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E6A0" w14:textId="77777777" w:rsidR="005B6506" w:rsidRDefault="005B6506" w:rsidP="005B6506">
      <w:pPr>
        <w:spacing w:line="480" w:lineRule="auto"/>
        <w:contextualSpacing/>
        <w:jc w:val="center"/>
        <w:rPr>
          <w:rFonts w:eastAsia="Times New Roman" w:cs="Times New Roman"/>
          <w:color w:val="000000"/>
          <w:szCs w:val="24"/>
          <w:lang w:val="en-US"/>
        </w:rPr>
      </w:pPr>
    </w:p>
    <w:p w14:paraId="45A43E73" w14:textId="77777777" w:rsidR="005B6506" w:rsidRDefault="005B6506" w:rsidP="005B6506">
      <w:pPr>
        <w:spacing w:line="480" w:lineRule="auto"/>
        <w:contextualSpacing/>
        <w:rPr>
          <w:rFonts w:eastAsia="Times New Roman" w:cs="Times New Roman"/>
          <w:color w:val="000000"/>
          <w:szCs w:val="24"/>
          <w:lang w:val="en-US"/>
        </w:rPr>
      </w:pPr>
    </w:p>
    <w:p w14:paraId="48FC8FB4" w14:textId="77777777" w:rsidR="005B6506" w:rsidRDefault="005B6506" w:rsidP="005B6506">
      <w:pPr>
        <w:spacing w:line="480" w:lineRule="auto"/>
        <w:contextualSpacing/>
        <w:jc w:val="center"/>
        <w:rPr>
          <w:rFonts w:eastAsia="Times New Roman" w:cs="Times New Roman"/>
          <w:color w:val="000000"/>
          <w:szCs w:val="24"/>
          <w:lang w:val="en-US"/>
        </w:rPr>
      </w:pPr>
    </w:p>
    <w:p w14:paraId="1C21C2A3" w14:textId="77777777" w:rsidR="005B6506" w:rsidRDefault="005B6506" w:rsidP="005B6506">
      <w:pPr>
        <w:spacing w:line="480" w:lineRule="auto"/>
        <w:contextualSpacing/>
        <w:jc w:val="center"/>
        <w:rPr>
          <w:rFonts w:eastAsia="Times New Roman" w:cs="Times New Roman"/>
          <w:color w:val="000000"/>
          <w:szCs w:val="24"/>
          <w:lang w:val="en-US"/>
        </w:rPr>
      </w:pPr>
    </w:p>
    <w:p w14:paraId="56349D50" w14:textId="77777777" w:rsidR="005B6506" w:rsidRDefault="005B6506" w:rsidP="005B6506">
      <w:pPr>
        <w:spacing w:line="480" w:lineRule="auto"/>
        <w:contextualSpacing/>
        <w:jc w:val="center"/>
        <w:rPr>
          <w:rFonts w:eastAsia="Times New Roman" w:cs="Times New Roman"/>
          <w:color w:val="000000"/>
          <w:szCs w:val="24"/>
          <w:lang w:val="en-US"/>
        </w:rPr>
      </w:pPr>
    </w:p>
    <w:p w14:paraId="3B83E572" w14:textId="77777777" w:rsidR="005B6506" w:rsidRDefault="005B6506" w:rsidP="005B6506">
      <w:pPr>
        <w:spacing w:line="480" w:lineRule="auto"/>
        <w:contextualSpacing/>
        <w:jc w:val="center"/>
        <w:rPr>
          <w:rFonts w:eastAsia="Times New Roman" w:cs="Times New Roman"/>
          <w:color w:val="000000"/>
          <w:szCs w:val="24"/>
          <w:lang w:val="en-US"/>
        </w:rPr>
      </w:pPr>
    </w:p>
    <w:p w14:paraId="4E062905" w14:textId="77777777" w:rsidR="005B6506" w:rsidRDefault="005B6506" w:rsidP="005B6506">
      <w:pPr>
        <w:spacing w:line="480" w:lineRule="auto"/>
        <w:contextualSpacing/>
        <w:jc w:val="center"/>
        <w:rPr>
          <w:rFonts w:eastAsia="Times New Roman" w:cs="Times New Roman"/>
          <w:color w:val="000000"/>
          <w:szCs w:val="24"/>
          <w:lang w:val="en-US"/>
        </w:rPr>
      </w:pPr>
    </w:p>
    <w:p w14:paraId="5D608027" w14:textId="77777777" w:rsidR="005B6506" w:rsidRDefault="005B6506" w:rsidP="005B6506">
      <w:pPr>
        <w:spacing w:line="480" w:lineRule="auto"/>
        <w:contextualSpacing/>
        <w:jc w:val="center"/>
        <w:rPr>
          <w:rFonts w:eastAsia="Times New Roman" w:cs="Times New Roman"/>
          <w:color w:val="000000"/>
          <w:szCs w:val="24"/>
          <w:lang w:val="en-US"/>
        </w:rPr>
      </w:pPr>
      <w:r>
        <w:rPr>
          <w:rFonts w:eastAsia="Times New Roman" w:cs="Times New Roman"/>
          <w:color w:val="000000"/>
          <w:szCs w:val="24"/>
          <w:lang w:val="en-US"/>
        </w:rPr>
        <w:t>Using Peer-support Coaching to Improve Adherence to Online Acceptance and Commitment Therapy Self-help for College Mental Health: A Randomized Controlled Trial</w:t>
      </w:r>
    </w:p>
    <w:p w14:paraId="5A21421E" w14:textId="77777777" w:rsidR="005B6506" w:rsidRDefault="005B6506" w:rsidP="005B6506">
      <w:pPr>
        <w:spacing w:line="480" w:lineRule="auto"/>
        <w:contextualSpacing/>
        <w:jc w:val="center"/>
        <w:rPr>
          <w:rFonts w:eastAsia="Times New Roman" w:cs="Times New Roman"/>
          <w:color w:val="000000"/>
          <w:szCs w:val="24"/>
          <w:lang w:val="en-US"/>
        </w:rPr>
      </w:pPr>
    </w:p>
    <w:p w14:paraId="48F24C98" w14:textId="77777777" w:rsidR="005B6506" w:rsidRDefault="005B6506" w:rsidP="005B6506">
      <w:pPr>
        <w:spacing w:line="480" w:lineRule="auto"/>
        <w:contextualSpacing/>
        <w:jc w:val="center"/>
        <w:rPr>
          <w:vertAlign w:val="superscript"/>
        </w:rPr>
      </w:pPr>
      <w:r>
        <w:rPr>
          <w:rFonts w:eastAsia="Times New Roman" w:cs="Times New Roman"/>
          <w:color w:val="000000"/>
          <w:szCs w:val="24"/>
          <w:lang w:val="en-US"/>
        </w:rPr>
        <w:t>Korena S. Klimczak</w:t>
      </w:r>
      <w:r w:rsidRPr="00D92DB7">
        <w:rPr>
          <w:vertAlign w:val="superscript"/>
        </w:rPr>
        <w:t xml:space="preserve"> </w:t>
      </w:r>
      <w:r w:rsidRPr="009B1E7D">
        <w:rPr>
          <w:vertAlign w:val="superscript"/>
        </w:rPr>
        <w:t>a</w:t>
      </w:r>
      <w:r>
        <w:t>*</w:t>
      </w:r>
      <w:r>
        <w:rPr>
          <w:rFonts w:eastAsia="Times New Roman" w:cs="Times New Roman"/>
          <w:color w:val="000000"/>
          <w:szCs w:val="24"/>
          <w:lang w:val="en-US"/>
        </w:rPr>
        <w:t>, Michael P. Twohig</w:t>
      </w:r>
      <w:r w:rsidRPr="00D92DB7">
        <w:rPr>
          <w:vertAlign w:val="superscript"/>
        </w:rPr>
        <w:t xml:space="preserve"> </w:t>
      </w:r>
      <w:r w:rsidRPr="009B1E7D">
        <w:rPr>
          <w:vertAlign w:val="superscript"/>
        </w:rPr>
        <w:t>a</w:t>
      </w:r>
      <w:r>
        <w:rPr>
          <w:rFonts w:eastAsia="Times New Roman" w:cs="Times New Roman"/>
          <w:color w:val="000000"/>
          <w:szCs w:val="24"/>
          <w:lang w:val="en-US"/>
        </w:rPr>
        <w:t>, Gretchen G. Peacock</w:t>
      </w:r>
      <w:r w:rsidRPr="00D92DB7">
        <w:rPr>
          <w:vertAlign w:val="superscript"/>
        </w:rPr>
        <w:t xml:space="preserve"> </w:t>
      </w:r>
      <w:r w:rsidRPr="009B1E7D">
        <w:rPr>
          <w:vertAlign w:val="superscript"/>
        </w:rPr>
        <w:t>a</w:t>
      </w:r>
      <w:r>
        <w:rPr>
          <w:rFonts w:eastAsia="Times New Roman" w:cs="Times New Roman"/>
          <w:color w:val="000000"/>
          <w:szCs w:val="24"/>
          <w:lang w:val="en-US"/>
        </w:rPr>
        <w:t>, and Michael E. Levin</w:t>
      </w:r>
      <w:r w:rsidRPr="00D92DB7">
        <w:rPr>
          <w:vertAlign w:val="superscript"/>
        </w:rPr>
        <w:t xml:space="preserve"> </w:t>
      </w:r>
      <w:r w:rsidRPr="009B1E7D">
        <w:rPr>
          <w:vertAlign w:val="superscript"/>
        </w:rPr>
        <w:t>a</w:t>
      </w:r>
    </w:p>
    <w:p w14:paraId="127138F1" w14:textId="77777777" w:rsidR="005B6506" w:rsidRDefault="005B6506" w:rsidP="005B6506">
      <w:pPr>
        <w:spacing w:line="480" w:lineRule="auto"/>
        <w:contextualSpacing/>
      </w:pPr>
      <w:r w:rsidRPr="009B1E7D">
        <w:rPr>
          <w:vertAlign w:val="superscript"/>
        </w:rPr>
        <w:t>a</w:t>
      </w:r>
      <w:r w:rsidRPr="009B1E7D">
        <w:t xml:space="preserve"> Utah State University, Department of Psychology, 2810 Old Main Hill, Logan, UT 84322.</w:t>
      </w:r>
    </w:p>
    <w:p w14:paraId="1CA2213D" w14:textId="77777777" w:rsidR="005B6506" w:rsidRDefault="005B6506" w:rsidP="005B6506">
      <w:pPr>
        <w:autoSpaceDE w:val="0"/>
        <w:autoSpaceDN w:val="0"/>
        <w:adjustRightInd w:val="0"/>
        <w:spacing w:line="480" w:lineRule="auto"/>
        <w:contextualSpacing/>
      </w:pPr>
      <w:r w:rsidRPr="009B1E7D">
        <w:t xml:space="preserve">* Corresponding author. Utah State University, 2810 Old Main Hill, Logan, UT 84322, United States. Phone: +001 </w:t>
      </w:r>
      <w:r>
        <w:t>(561) 573-9258</w:t>
      </w:r>
      <w:r w:rsidRPr="009B1E7D">
        <w:t>; E-mail address:</w:t>
      </w:r>
      <w:r>
        <w:t xml:space="preserve"> k.klimczak@usu.edu.</w:t>
      </w:r>
    </w:p>
    <w:p w14:paraId="12E1D0AB" w14:textId="77777777" w:rsidR="005B6506" w:rsidRDefault="005B6506" w:rsidP="005B6506">
      <w:pPr>
        <w:spacing w:line="480" w:lineRule="auto"/>
        <w:contextualSpacing/>
        <w:jc w:val="center"/>
        <w:rPr>
          <w:rFonts w:eastAsia="Times New Roman" w:cs="Times New Roman"/>
          <w:color w:val="000000"/>
          <w:szCs w:val="24"/>
          <w:lang w:val="en-US"/>
        </w:rPr>
      </w:pPr>
    </w:p>
    <w:p w14:paraId="7C0EE9BD" w14:textId="77777777" w:rsidR="005B6506" w:rsidRDefault="005B6506" w:rsidP="005B6506"/>
    <w:p w14:paraId="6329EBA6" w14:textId="77777777" w:rsidR="005B6506" w:rsidRDefault="005B6506" w:rsidP="005B6506">
      <w:pPr>
        <w:widowControl/>
        <w:spacing w:after="160" w:line="259" w:lineRule="auto"/>
      </w:pPr>
    </w:p>
    <w:p w14:paraId="1363692C" w14:textId="77777777" w:rsidR="005B6506" w:rsidRDefault="005B6506">
      <w:pPr>
        <w:widowControl/>
        <w:spacing w:after="160" w:line="259" w:lineRule="auto"/>
      </w:pPr>
      <w:r>
        <w:br w:type="page"/>
      </w:r>
    </w:p>
    <w:p w14:paraId="61CD7131" w14:textId="2188AD0C" w:rsidR="00DA7AE3" w:rsidRDefault="006B0B4D" w:rsidP="006B0B4D">
      <w:pPr>
        <w:jc w:val="center"/>
      </w:pPr>
      <w:r>
        <w:lastRenderedPageBreak/>
        <w:t>Abstract</w:t>
      </w:r>
    </w:p>
    <w:p w14:paraId="79D1137E" w14:textId="64E5D3D7" w:rsidR="006B0B4D" w:rsidRDefault="006B0B4D" w:rsidP="006B0B4D">
      <w:pPr>
        <w:jc w:val="center"/>
      </w:pPr>
    </w:p>
    <w:p w14:paraId="17FC11F8" w14:textId="74606A03" w:rsidR="006B0B4D" w:rsidRDefault="00FA2944" w:rsidP="00FA2944">
      <w:pPr>
        <w:tabs>
          <w:tab w:val="left" w:pos="720"/>
          <w:tab w:val="center" w:pos="4680"/>
          <w:tab w:val="right" w:pos="9360"/>
        </w:tabs>
        <w:spacing w:line="480" w:lineRule="auto"/>
        <w:contextualSpacing/>
        <w:rPr>
          <w:rFonts w:cs="Times New Roman"/>
          <w:szCs w:val="24"/>
        </w:rPr>
      </w:pPr>
      <w:r w:rsidRPr="00FA2944">
        <w:rPr>
          <w:rFonts w:cs="Times New Roman"/>
          <w:szCs w:val="24"/>
        </w:rPr>
        <w:t xml:space="preserve">Online self-help programs </w:t>
      </w:r>
      <w:r w:rsidR="00093CF3">
        <w:rPr>
          <w:rFonts w:cs="Times New Roman"/>
          <w:szCs w:val="24"/>
        </w:rPr>
        <w:t>such as the</w:t>
      </w:r>
      <w:r w:rsidRPr="00FA2944">
        <w:rPr>
          <w:rFonts w:cs="Times New Roman"/>
          <w:szCs w:val="24"/>
        </w:rPr>
        <w:t xml:space="preserve"> </w:t>
      </w:r>
      <w:r w:rsidR="001948F6">
        <w:rPr>
          <w:rFonts w:cs="Times New Roman"/>
          <w:szCs w:val="24"/>
        </w:rPr>
        <w:t>Acceptance and Commitment Therapy (</w:t>
      </w:r>
      <w:r w:rsidRPr="00FA2944">
        <w:rPr>
          <w:rFonts w:cs="Times New Roman"/>
          <w:szCs w:val="24"/>
        </w:rPr>
        <w:t>ACT</w:t>
      </w:r>
      <w:r w:rsidR="001948F6">
        <w:rPr>
          <w:rFonts w:cs="Times New Roman"/>
          <w:szCs w:val="24"/>
        </w:rPr>
        <w:t>)</w:t>
      </w:r>
      <w:r w:rsidRPr="00FA2944">
        <w:rPr>
          <w:rFonts w:cs="Times New Roman"/>
          <w:szCs w:val="24"/>
        </w:rPr>
        <w:t xml:space="preserve"> Guide address significant barriers to receiving </w:t>
      </w:r>
      <w:r w:rsidR="00F25E4A" w:rsidRPr="00FA2944">
        <w:rPr>
          <w:rFonts w:cs="Times New Roman"/>
          <w:szCs w:val="24"/>
        </w:rPr>
        <w:t>therapy but</w:t>
      </w:r>
      <w:r w:rsidRPr="00FA2944">
        <w:rPr>
          <w:rFonts w:cs="Times New Roman"/>
          <w:szCs w:val="24"/>
        </w:rPr>
        <w:t xml:space="preserve"> suffer from low adherence rates. Peer-delivered coaching, using undergraduate students as coaches, is an innovative alternative to traditional coaching methods which may improve adherence</w:t>
      </w:r>
      <w:r w:rsidR="001948F6">
        <w:rPr>
          <w:rFonts w:cs="Times New Roman"/>
          <w:szCs w:val="24"/>
        </w:rPr>
        <w:t xml:space="preserve"> in a more scalable format</w:t>
      </w:r>
      <w:r w:rsidRPr="00FA2944">
        <w:rPr>
          <w:rFonts w:cs="Times New Roman"/>
          <w:szCs w:val="24"/>
        </w:rPr>
        <w:t xml:space="preserve">. </w:t>
      </w:r>
      <w:bookmarkStart w:id="0" w:name="_Hlk110883445"/>
      <w:r w:rsidRPr="00FA2944">
        <w:rPr>
          <w:rFonts w:cs="Times New Roman"/>
          <w:szCs w:val="24"/>
        </w:rPr>
        <w:t>To test the efficacy of peer-support coaching for college students using ACT Guide</w:t>
      </w:r>
      <w:r w:rsidR="00246F85">
        <w:rPr>
          <w:rFonts w:cs="Times New Roman"/>
          <w:szCs w:val="24"/>
        </w:rPr>
        <w:t xml:space="preserve"> in a </w:t>
      </w:r>
      <w:r w:rsidR="00E83BF9">
        <w:rPr>
          <w:rFonts w:cs="Times New Roman"/>
          <w:szCs w:val="24"/>
        </w:rPr>
        <w:t>naturalistic</w:t>
      </w:r>
      <w:r w:rsidR="007E64A5">
        <w:rPr>
          <w:rFonts w:cs="Times New Roman"/>
          <w:szCs w:val="24"/>
        </w:rPr>
        <w:t xml:space="preserve"> </w:t>
      </w:r>
      <w:r w:rsidR="00246F85">
        <w:rPr>
          <w:rFonts w:cs="Times New Roman"/>
          <w:szCs w:val="24"/>
        </w:rPr>
        <w:t>setting</w:t>
      </w:r>
      <w:r w:rsidRPr="00FA2944">
        <w:rPr>
          <w:rFonts w:cs="Times New Roman"/>
          <w:szCs w:val="24"/>
        </w:rPr>
        <w:t>, we conducted a</w:t>
      </w:r>
      <w:r w:rsidR="00E83BF9">
        <w:rPr>
          <w:rFonts w:cs="Times New Roman"/>
          <w:szCs w:val="24"/>
        </w:rPr>
        <w:t xml:space="preserve"> pragmatic</w:t>
      </w:r>
      <w:r w:rsidRPr="00FA2944">
        <w:rPr>
          <w:rFonts w:cs="Times New Roman"/>
          <w:szCs w:val="24"/>
        </w:rPr>
        <w:t xml:space="preserve"> randomized controlled trial with three conditions (phone coaching, text message coaching, and a no support control group; </w:t>
      </w:r>
      <w:r w:rsidRPr="001B2FDA">
        <w:rPr>
          <w:rFonts w:cs="Times New Roman"/>
          <w:i/>
          <w:iCs/>
          <w:szCs w:val="24"/>
        </w:rPr>
        <w:t>N</w:t>
      </w:r>
      <w:r w:rsidRPr="00FA2944">
        <w:rPr>
          <w:rFonts w:cs="Times New Roman"/>
          <w:szCs w:val="24"/>
        </w:rPr>
        <w:t xml:space="preserve"> = </w:t>
      </w:r>
      <w:r>
        <w:rPr>
          <w:rFonts w:cs="Times New Roman"/>
          <w:szCs w:val="24"/>
        </w:rPr>
        <w:t>230</w:t>
      </w:r>
      <w:r w:rsidRPr="00FA2944">
        <w:rPr>
          <w:rFonts w:cs="Times New Roman"/>
          <w:szCs w:val="24"/>
        </w:rPr>
        <w:t>)</w:t>
      </w:r>
      <w:r w:rsidR="007E64A5">
        <w:rPr>
          <w:rFonts w:cs="Times New Roman"/>
          <w:szCs w:val="24"/>
        </w:rPr>
        <w:t>.</w:t>
      </w:r>
      <w:bookmarkEnd w:id="0"/>
      <w:r w:rsidR="007E64A5">
        <w:rPr>
          <w:rFonts w:cs="Times New Roman"/>
          <w:szCs w:val="24"/>
        </w:rPr>
        <w:t xml:space="preserve"> Participants were block randomized, and p</w:t>
      </w:r>
      <w:r w:rsidR="00DF71DC">
        <w:rPr>
          <w:rFonts w:cs="Times New Roman"/>
          <w:szCs w:val="24"/>
        </w:rPr>
        <w:t xml:space="preserve">rogram adherence (i.e., number of modules completed) </w:t>
      </w:r>
      <w:r w:rsidR="007E64A5">
        <w:rPr>
          <w:rFonts w:cs="Times New Roman"/>
          <w:szCs w:val="24"/>
        </w:rPr>
        <w:t>was</w:t>
      </w:r>
      <w:r w:rsidR="00DF71DC">
        <w:rPr>
          <w:rFonts w:cs="Times New Roman"/>
          <w:szCs w:val="24"/>
        </w:rPr>
        <w:t xml:space="preserve"> the primary outcome</w:t>
      </w:r>
      <w:r w:rsidRPr="00FA2944">
        <w:rPr>
          <w:rFonts w:cs="Times New Roman"/>
          <w:szCs w:val="24"/>
        </w:rPr>
        <w:t xml:space="preserve">. </w:t>
      </w:r>
      <w:r w:rsidRPr="00E616CD">
        <w:rPr>
          <w:rFonts w:cs="Times New Roman"/>
          <w:szCs w:val="24"/>
        </w:rPr>
        <w:t xml:space="preserve">Participants </w:t>
      </w:r>
      <w:r w:rsidR="00433E5D" w:rsidRPr="00E616CD">
        <w:rPr>
          <w:rFonts w:cs="Times New Roman"/>
          <w:szCs w:val="24"/>
        </w:rPr>
        <w:t>comple</w:t>
      </w:r>
      <w:r w:rsidR="00433E5D">
        <w:rPr>
          <w:rFonts w:cs="Times New Roman"/>
          <w:szCs w:val="24"/>
        </w:rPr>
        <w:t>ted</w:t>
      </w:r>
      <w:r w:rsidR="00433E5D" w:rsidRPr="00E616CD">
        <w:rPr>
          <w:rFonts w:cs="Times New Roman"/>
          <w:szCs w:val="24"/>
        </w:rPr>
        <w:t xml:space="preserve"> significantly more </w:t>
      </w:r>
      <w:r w:rsidR="00433E5D">
        <w:rPr>
          <w:rFonts w:cs="Times New Roman"/>
          <w:szCs w:val="24"/>
        </w:rPr>
        <w:t xml:space="preserve">ACT Guide </w:t>
      </w:r>
      <w:r w:rsidR="00433E5D" w:rsidRPr="00E616CD">
        <w:rPr>
          <w:rFonts w:cs="Times New Roman"/>
          <w:szCs w:val="24"/>
        </w:rPr>
        <w:t xml:space="preserve">modules </w:t>
      </w:r>
      <w:r w:rsidR="00433E5D">
        <w:rPr>
          <w:rFonts w:cs="Times New Roman"/>
          <w:szCs w:val="24"/>
        </w:rPr>
        <w:t xml:space="preserve">in </w:t>
      </w:r>
      <w:r w:rsidRPr="00E616CD">
        <w:rPr>
          <w:rFonts w:cs="Times New Roman"/>
          <w:szCs w:val="24"/>
        </w:rPr>
        <w:t>phone (</w:t>
      </w:r>
      <w:r w:rsidRPr="00E616CD">
        <w:rPr>
          <w:rFonts w:cs="Times New Roman"/>
          <w:i/>
          <w:iCs/>
          <w:szCs w:val="24"/>
        </w:rPr>
        <w:t>M</w:t>
      </w:r>
      <w:r w:rsidRPr="00E616CD">
        <w:rPr>
          <w:rFonts w:cs="Times New Roman"/>
          <w:szCs w:val="24"/>
        </w:rPr>
        <w:t xml:space="preserve"> = </w:t>
      </w:r>
      <w:r>
        <w:rPr>
          <w:rFonts w:cs="Times New Roman"/>
          <w:szCs w:val="24"/>
        </w:rPr>
        <w:t>7.1</w:t>
      </w:r>
      <w:r w:rsidRPr="00E616CD">
        <w:rPr>
          <w:rFonts w:cs="Times New Roman"/>
          <w:szCs w:val="24"/>
        </w:rPr>
        <w:t xml:space="preserve">, </w:t>
      </w:r>
      <w:r w:rsidRPr="00E616CD">
        <w:rPr>
          <w:rFonts w:cs="Times New Roman"/>
          <w:i/>
          <w:iCs/>
          <w:szCs w:val="24"/>
        </w:rPr>
        <w:t>SD</w:t>
      </w:r>
      <w:r w:rsidRPr="00E616CD">
        <w:rPr>
          <w:rFonts w:cs="Times New Roman"/>
          <w:szCs w:val="24"/>
        </w:rPr>
        <w:t xml:space="preserve"> = 4.</w:t>
      </w:r>
      <w:r>
        <w:rPr>
          <w:rFonts w:cs="Times New Roman"/>
          <w:szCs w:val="24"/>
        </w:rPr>
        <w:t>9</w:t>
      </w:r>
      <w:r w:rsidRPr="00E616CD">
        <w:rPr>
          <w:rFonts w:cs="Times New Roman"/>
          <w:szCs w:val="24"/>
        </w:rPr>
        <w:t xml:space="preserve">) </w:t>
      </w:r>
      <w:r w:rsidR="00433E5D">
        <w:rPr>
          <w:rFonts w:cs="Times New Roman"/>
          <w:szCs w:val="24"/>
        </w:rPr>
        <w:t>and</w:t>
      </w:r>
      <w:r w:rsidR="00433E5D" w:rsidRPr="00E616CD">
        <w:rPr>
          <w:rFonts w:cs="Times New Roman"/>
          <w:szCs w:val="24"/>
        </w:rPr>
        <w:t xml:space="preserve"> </w:t>
      </w:r>
      <w:r w:rsidRPr="00E616CD">
        <w:rPr>
          <w:rFonts w:cs="Times New Roman"/>
          <w:szCs w:val="24"/>
        </w:rPr>
        <w:t>text (</w:t>
      </w:r>
      <w:r w:rsidRPr="00E616CD">
        <w:rPr>
          <w:rFonts w:cs="Times New Roman"/>
          <w:i/>
          <w:iCs/>
          <w:szCs w:val="24"/>
        </w:rPr>
        <w:t>M</w:t>
      </w:r>
      <w:r w:rsidRPr="00E616CD">
        <w:rPr>
          <w:rFonts w:cs="Times New Roman"/>
          <w:szCs w:val="24"/>
        </w:rPr>
        <w:t xml:space="preserve"> = </w:t>
      </w:r>
      <w:r>
        <w:rPr>
          <w:rFonts w:cs="Times New Roman"/>
          <w:szCs w:val="24"/>
        </w:rPr>
        <w:t>5.7</w:t>
      </w:r>
      <w:r w:rsidRPr="00E616CD">
        <w:rPr>
          <w:rFonts w:cs="Times New Roman"/>
          <w:szCs w:val="24"/>
        </w:rPr>
        <w:t xml:space="preserve">, </w:t>
      </w:r>
      <w:r w:rsidRPr="00E616CD">
        <w:rPr>
          <w:rFonts w:cs="Times New Roman"/>
          <w:i/>
          <w:iCs/>
          <w:szCs w:val="24"/>
        </w:rPr>
        <w:t>SD</w:t>
      </w:r>
      <w:r w:rsidRPr="00E616CD">
        <w:rPr>
          <w:rFonts w:cs="Times New Roman"/>
          <w:szCs w:val="24"/>
        </w:rPr>
        <w:t xml:space="preserve"> = 5) coaching than the</w:t>
      </w:r>
      <w:r>
        <w:rPr>
          <w:rFonts w:cs="Times New Roman"/>
          <w:szCs w:val="24"/>
        </w:rPr>
        <w:t xml:space="preserve"> no support</w:t>
      </w:r>
      <w:r w:rsidRPr="00E616CD">
        <w:rPr>
          <w:rFonts w:cs="Times New Roman"/>
          <w:szCs w:val="24"/>
        </w:rPr>
        <w:t xml:space="preserve"> control condition (</w:t>
      </w:r>
      <w:r w:rsidRPr="00E616CD">
        <w:rPr>
          <w:rFonts w:cs="Times New Roman"/>
          <w:i/>
          <w:iCs/>
          <w:szCs w:val="24"/>
        </w:rPr>
        <w:t>M</w:t>
      </w:r>
      <w:r w:rsidRPr="00E616CD">
        <w:rPr>
          <w:rFonts w:cs="Times New Roman"/>
          <w:szCs w:val="24"/>
        </w:rPr>
        <w:t xml:space="preserve"> = 1.</w:t>
      </w:r>
      <w:r>
        <w:rPr>
          <w:rFonts w:cs="Times New Roman"/>
          <w:szCs w:val="24"/>
        </w:rPr>
        <w:t>6</w:t>
      </w:r>
      <w:r w:rsidRPr="00E616CD">
        <w:rPr>
          <w:rFonts w:cs="Times New Roman"/>
          <w:szCs w:val="24"/>
        </w:rPr>
        <w:t xml:space="preserve">, </w:t>
      </w:r>
      <w:r w:rsidRPr="00E616CD">
        <w:rPr>
          <w:rFonts w:cs="Times New Roman"/>
          <w:i/>
          <w:iCs/>
          <w:szCs w:val="24"/>
        </w:rPr>
        <w:t>SD</w:t>
      </w:r>
      <w:r w:rsidRPr="00E616CD">
        <w:rPr>
          <w:rFonts w:cs="Times New Roman"/>
          <w:szCs w:val="24"/>
        </w:rPr>
        <w:t xml:space="preserve"> = 3.</w:t>
      </w:r>
      <w:r>
        <w:rPr>
          <w:rFonts w:cs="Times New Roman"/>
          <w:szCs w:val="24"/>
        </w:rPr>
        <w:t>3</w:t>
      </w:r>
      <w:r w:rsidRPr="00E616CD">
        <w:rPr>
          <w:rFonts w:cs="Times New Roman"/>
          <w:szCs w:val="24"/>
        </w:rPr>
        <w:t xml:space="preserve">, </w:t>
      </w:r>
      <w:r w:rsidRPr="00E616CD">
        <w:rPr>
          <w:rFonts w:cs="Times New Roman"/>
          <w:i/>
          <w:iCs/>
          <w:szCs w:val="24"/>
        </w:rPr>
        <w:t>p</w:t>
      </w:r>
      <w:r w:rsidRPr="00E616CD">
        <w:rPr>
          <w:rFonts w:cs="Times New Roman"/>
          <w:szCs w:val="24"/>
        </w:rPr>
        <w:t xml:space="preserve"> &lt; .0</w:t>
      </w:r>
      <w:r>
        <w:rPr>
          <w:rFonts w:cs="Times New Roman"/>
          <w:szCs w:val="24"/>
        </w:rPr>
        <w:t>01</w:t>
      </w:r>
      <w:r w:rsidRPr="00E616CD">
        <w:rPr>
          <w:rFonts w:cs="Times New Roman"/>
          <w:szCs w:val="24"/>
        </w:rPr>
        <w:t>).</w:t>
      </w:r>
      <w:r>
        <w:rPr>
          <w:rFonts w:cs="Times New Roman"/>
          <w:szCs w:val="24"/>
        </w:rPr>
        <w:t xml:space="preserve"> Participants who received phone coaching experienced significant improvements across </w:t>
      </w:r>
      <w:r w:rsidR="0052486A">
        <w:rPr>
          <w:rFonts w:cs="Times New Roman"/>
          <w:szCs w:val="24"/>
        </w:rPr>
        <w:t xml:space="preserve">almost all </w:t>
      </w:r>
      <w:r w:rsidR="00DF71DC">
        <w:rPr>
          <w:rFonts w:cs="Times New Roman"/>
          <w:szCs w:val="24"/>
        </w:rPr>
        <w:t>measured</w:t>
      </w:r>
      <w:r>
        <w:rPr>
          <w:rFonts w:cs="Times New Roman"/>
          <w:szCs w:val="24"/>
        </w:rPr>
        <w:t xml:space="preserve"> outcomes as compared to the control group</w:t>
      </w:r>
      <w:r w:rsidR="0005071E">
        <w:rPr>
          <w:rFonts w:cs="Times New Roman"/>
          <w:szCs w:val="24"/>
        </w:rPr>
        <w:t>, while p</w:t>
      </w:r>
      <w:r>
        <w:rPr>
          <w:rFonts w:cs="Times New Roman"/>
          <w:szCs w:val="24"/>
        </w:rPr>
        <w:t>articipants who received text coaching improv</w:t>
      </w:r>
      <w:r w:rsidR="0005071E">
        <w:rPr>
          <w:rFonts w:cs="Times New Roman"/>
          <w:szCs w:val="24"/>
        </w:rPr>
        <w:t>ed</w:t>
      </w:r>
      <w:r>
        <w:rPr>
          <w:rFonts w:cs="Times New Roman"/>
          <w:szCs w:val="24"/>
        </w:rPr>
        <w:t xml:space="preserve"> only on </w:t>
      </w:r>
      <w:r w:rsidR="0005071E">
        <w:rPr>
          <w:rFonts w:cs="Times New Roman"/>
          <w:szCs w:val="24"/>
        </w:rPr>
        <w:t xml:space="preserve">some </w:t>
      </w:r>
      <w:r w:rsidR="00DF71DC">
        <w:rPr>
          <w:rFonts w:cs="Times New Roman"/>
          <w:szCs w:val="24"/>
        </w:rPr>
        <w:t>outcomes</w:t>
      </w:r>
      <w:r w:rsidR="0005071E">
        <w:rPr>
          <w:rFonts w:cs="Times New Roman"/>
          <w:szCs w:val="24"/>
        </w:rPr>
        <w:t xml:space="preserve"> compared to control</w:t>
      </w:r>
      <w:r>
        <w:rPr>
          <w:rFonts w:cs="Times New Roman"/>
          <w:szCs w:val="24"/>
        </w:rPr>
        <w:t xml:space="preserve"> (</w:t>
      </w:r>
      <w:proofErr w:type="spellStart"/>
      <w:r w:rsidRPr="00E616CD">
        <w:rPr>
          <w:rFonts w:cs="Times New Roman"/>
          <w:i/>
          <w:iCs/>
          <w:szCs w:val="24"/>
        </w:rPr>
        <w:t>p</w:t>
      </w:r>
      <w:r>
        <w:rPr>
          <w:rFonts w:cs="Times New Roman"/>
          <w:szCs w:val="24"/>
        </w:rPr>
        <w:t>s</w:t>
      </w:r>
      <w:proofErr w:type="spellEnd"/>
      <w:r>
        <w:rPr>
          <w:rFonts w:cs="Times New Roman"/>
          <w:szCs w:val="24"/>
        </w:rPr>
        <w:t xml:space="preserve"> &lt; .05). </w:t>
      </w:r>
      <w:r w:rsidRPr="00FA2944">
        <w:rPr>
          <w:rFonts w:cs="Times New Roman"/>
          <w:szCs w:val="24"/>
        </w:rPr>
        <w:t>These results support peer-support coaching</w:t>
      </w:r>
      <w:r w:rsidR="0052486A">
        <w:rPr>
          <w:rFonts w:cs="Times New Roman"/>
          <w:szCs w:val="24"/>
        </w:rPr>
        <w:t>, particularly when delivered through phone calls,</w:t>
      </w:r>
      <w:r w:rsidRPr="00FA2944">
        <w:rPr>
          <w:rFonts w:cs="Times New Roman"/>
          <w:szCs w:val="24"/>
        </w:rPr>
        <w:t xml:space="preserve"> as an efficacious method for improving adherence to</w:t>
      </w:r>
      <w:r w:rsidR="0052486A">
        <w:rPr>
          <w:rFonts w:cs="Times New Roman"/>
          <w:szCs w:val="24"/>
        </w:rPr>
        <w:t xml:space="preserve"> and outcomes from</w:t>
      </w:r>
      <w:r w:rsidRPr="00FA2944">
        <w:rPr>
          <w:rFonts w:cs="Times New Roman"/>
          <w:szCs w:val="24"/>
        </w:rPr>
        <w:t xml:space="preserve"> online </w:t>
      </w:r>
      <w:r w:rsidR="002A6DB6">
        <w:rPr>
          <w:rFonts w:cs="Times New Roman"/>
          <w:szCs w:val="24"/>
        </w:rPr>
        <w:t>self-help</w:t>
      </w:r>
      <w:r w:rsidRPr="00FA2944">
        <w:rPr>
          <w:rFonts w:cs="Times New Roman"/>
          <w:szCs w:val="24"/>
        </w:rPr>
        <w:t xml:space="preserve"> programs.</w:t>
      </w:r>
    </w:p>
    <w:p w14:paraId="0A70E620" w14:textId="51AA295D" w:rsidR="001A2F66" w:rsidRDefault="001A2F66" w:rsidP="00FA2944">
      <w:pPr>
        <w:tabs>
          <w:tab w:val="left" w:pos="720"/>
          <w:tab w:val="center" w:pos="4680"/>
          <w:tab w:val="right" w:pos="9360"/>
        </w:tabs>
        <w:spacing w:line="480" w:lineRule="auto"/>
        <w:contextualSpacing/>
        <w:rPr>
          <w:rFonts w:cs="Times New Roman"/>
          <w:szCs w:val="24"/>
        </w:rPr>
      </w:pPr>
      <w:r>
        <w:rPr>
          <w:rFonts w:cs="Times New Roman"/>
          <w:szCs w:val="24"/>
        </w:rPr>
        <w:t xml:space="preserve">Keywords: </w:t>
      </w:r>
      <w:r w:rsidRPr="001A2F66">
        <w:rPr>
          <w:rFonts w:cs="Times New Roman"/>
          <w:i/>
          <w:iCs/>
          <w:szCs w:val="24"/>
        </w:rPr>
        <w:t>Acceptance and Commit</w:t>
      </w:r>
      <w:r w:rsidRPr="00340C7B">
        <w:rPr>
          <w:rFonts w:cs="Times New Roman"/>
          <w:i/>
          <w:iCs/>
          <w:szCs w:val="24"/>
        </w:rPr>
        <w:t xml:space="preserve">ment Therapy, </w:t>
      </w:r>
      <w:r w:rsidR="00340C7B" w:rsidRPr="00340C7B">
        <w:rPr>
          <w:rFonts w:cs="Times New Roman"/>
          <w:i/>
          <w:iCs/>
          <w:szCs w:val="24"/>
        </w:rPr>
        <w:t>o</w:t>
      </w:r>
      <w:r w:rsidRPr="00340C7B">
        <w:rPr>
          <w:rFonts w:cs="Times New Roman"/>
          <w:i/>
          <w:iCs/>
          <w:szCs w:val="24"/>
        </w:rPr>
        <w:t xml:space="preserve">nline </w:t>
      </w:r>
      <w:r w:rsidR="00340C7B" w:rsidRPr="00340C7B">
        <w:rPr>
          <w:rFonts w:cs="Times New Roman"/>
          <w:i/>
          <w:iCs/>
          <w:szCs w:val="24"/>
        </w:rPr>
        <w:t>t</w:t>
      </w:r>
      <w:r w:rsidRPr="00340C7B">
        <w:rPr>
          <w:rFonts w:cs="Times New Roman"/>
          <w:i/>
          <w:iCs/>
          <w:szCs w:val="24"/>
        </w:rPr>
        <w:t xml:space="preserve">herapy, </w:t>
      </w:r>
      <w:r w:rsidR="00340C7B" w:rsidRPr="00340C7B">
        <w:rPr>
          <w:rFonts w:cs="Times New Roman"/>
          <w:i/>
          <w:iCs/>
          <w:szCs w:val="24"/>
        </w:rPr>
        <w:t xml:space="preserve">coaching, </w:t>
      </w:r>
      <w:r w:rsidR="00340C7B">
        <w:rPr>
          <w:rFonts w:cs="Times New Roman"/>
          <w:i/>
          <w:iCs/>
          <w:szCs w:val="24"/>
        </w:rPr>
        <w:t>treatment compliance, treatment outcomes, college students</w:t>
      </w:r>
    </w:p>
    <w:p w14:paraId="5FFCBDBD" w14:textId="009DD3FB" w:rsidR="00C722D2" w:rsidRDefault="00C722D2">
      <w:pPr>
        <w:widowControl/>
        <w:spacing w:after="160" w:line="259" w:lineRule="auto"/>
      </w:pPr>
      <w:r>
        <w:br w:type="page"/>
      </w:r>
    </w:p>
    <w:p w14:paraId="5FF3B79A" w14:textId="77777777" w:rsidR="00C722D2" w:rsidRDefault="00C722D2" w:rsidP="00C722D2">
      <w:pPr>
        <w:spacing w:line="480" w:lineRule="auto"/>
        <w:contextualSpacing/>
        <w:jc w:val="center"/>
        <w:rPr>
          <w:rFonts w:eastAsia="Times New Roman" w:cs="Times New Roman"/>
          <w:color w:val="000000"/>
          <w:szCs w:val="24"/>
          <w:lang w:val="en-US"/>
        </w:rPr>
      </w:pPr>
      <w:r>
        <w:rPr>
          <w:rFonts w:eastAsia="Times New Roman" w:cs="Times New Roman"/>
          <w:color w:val="000000"/>
          <w:szCs w:val="24"/>
          <w:lang w:val="en-US"/>
        </w:rPr>
        <w:lastRenderedPageBreak/>
        <w:t>Using Peer-support Coaching to Improve Adherence to Online ACT Self-help for College Mental Health: A Randomized Controlled Trial</w:t>
      </w:r>
    </w:p>
    <w:p w14:paraId="7219285E" w14:textId="72C1F3FE" w:rsidR="00C722D2" w:rsidRDefault="00C722D2" w:rsidP="00484654">
      <w:pPr>
        <w:spacing w:line="480" w:lineRule="auto"/>
        <w:ind w:firstLine="720"/>
        <w:contextualSpacing/>
        <w:rPr>
          <w:rFonts w:cs="Times New Roman"/>
          <w:szCs w:val="24"/>
        </w:rPr>
      </w:pPr>
      <w:bookmarkStart w:id="1" w:name="_Hlk100696560"/>
      <w:r>
        <w:rPr>
          <w:rFonts w:cs="Times New Roman"/>
          <w:szCs w:val="24"/>
        </w:rPr>
        <w:t>College students</w:t>
      </w:r>
      <w:r w:rsidR="0088714B">
        <w:rPr>
          <w:rFonts w:cs="Times New Roman"/>
          <w:szCs w:val="24"/>
        </w:rPr>
        <w:t>, defined in this context as students engaged in post-secondary education who are typically between the ages of 18 and 24,</w:t>
      </w:r>
      <w:r>
        <w:rPr>
          <w:rFonts w:cs="Times New Roman"/>
          <w:szCs w:val="24"/>
        </w:rPr>
        <w:t xml:space="preserve"> face a</w:t>
      </w:r>
      <w:r w:rsidR="0088714B">
        <w:rPr>
          <w:rFonts w:cs="Times New Roman"/>
          <w:szCs w:val="24"/>
        </w:rPr>
        <w:t xml:space="preserve"> deleterious </w:t>
      </w:r>
      <w:r>
        <w:rPr>
          <w:rFonts w:cs="Times New Roman"/>
          <w:szCs w:val="24"/>
        </w:rPr>
        <w:t>intersection of life circumstances</w:t>
      </w:r>
      <w:r w:rsidR="00313050">
        <w:rPr>
          <w:rFonts w:cs="Times New Roman"/>
          <w:szCs w:val="24"/>
        </w:rPr>
        <w:t xml:space="preserve"> that place them at considerable risk for mental health problems. These include</w:t>
      </w:r>
      <w:r>
        <w:rPr>
          <w:rFonts w:cs="Times New Roman"/>
          <w:szCs w:val="24"/>
        </w:rPr>
        <w:t xml:space="preserve"> school-induced stress, limited income, and common age of onset for psychopathology</w:t>
      </w:r>
      <w:r w:rsidR="007B68AF">
        <w:rPr>
          <w:rFonts w:cs="Times New Roman"/>
          <w:szCs w:val="24"/>
        </w:rPr>
        <w:t xml:space="preserve">. A total of 35.5% of college students </w:t>
      </w:r>
      <w:r w:rsidR="00AC2A9D">
        <w:rPr>
          <w:rFonts w:cs="Times New Roman"/>
          <w:szCs w:val="24"/>
        </w:rPr>
        <w:t xml:space="preserve">in the United States </w:t>
      </w:r>
      <w:r w:rsidR="007B68AF">
        <w:rPr>
          <w:rFonts w:cs="Times New Roman"/>
          <w:szCs w:val="24"/>
        </w:rPr>
        <w:t xml:space="preserve">were diagnosed with a mental health disorder in 2017, with this proportion increasing over time </w:t>
      </w:r>
      <w:r w:rsidR="007B68AF" w:rsidRPr="007B68AF">
        <w:rPr>
          <w:rFonts w:cs="Times New Roman"/>
        </w:rPr>
        <w:t>(Lipson et al., 2019)</w:t>
      </w:r>
      <w:r>
        <w:rPr>
          <w:rFonts w:cs="Times New Roman"/>
          <w:szCs w:val="24"/>
        </w:rPr>
        <w:t xml:space="preserve">. </w:t>
      </w:r>
      <w:r w:rsidR="0038752F">
        <w:rPr>
          <w:rFonts w:cs="Times New Roman"/>
          <w:szCs w:val="24"/>
        </w:rPr>
        <w:t>A</w:t>
      </w:r>
      <w:r>
        <w:rPr>
          <w:rFonts w:cs="Times New Roman"/>
          <w:szCs w:val="24"/>
        </w:rPr>
        <w:t xml:space="preserve">ttitudinal and structural </w:t>
      </w:r>
      <w:r w:rsidRPr="009365F7">
        <w:rPr>
          <w:rFonts w:cs="Times New Roman"/>
          <w:szCs w:val="24"/>
        </w:rPr>
        <w:t>barriers to accessing therapy services</w:t>
      </w:r>
      <w:r>
        <w:rPr>
          <w:rFonts w:cs="Times New Roman"/>
          <w:szCs w:val="24"/>
        </w:rPr>
        <w:t xml:space="preserve"> exacerbates this issue</w:t>
      </w:r>
      <w:r w:rsidR="008269A0">
        <w:rPr>
          <w:rFonts w:cs="Times New Roman"/>
          <w:szCs w:val="24"/>
        </w:rPr>
        <w:t xml:space="preserve">, as </w:t>
      </w:r>
      <w:r w:rsidR="00883A47">
        <w:rPr>
          <w:rFonts w:cs="Times New Roman"/>
          <w:szCs w:val="24"/>
        </w:rPr>
        <w:t>50-80</w:t>
      </w:r>
      <w:r w:rsidRPr="009365F7">
        <w:rPr>
          <w:rFonts w:cs="Times New Roman"/>
          <w:szCs w:val="24"/>
        </w:rPr>
        <w:t xml:space="preserve">% </w:t>
      </w:r>
      <w:r w:rsidR="008269A0">
        <w:rPr>
          <w:rFonts w:cs="Times New Roman"/>
          <w:szCs w:val="24"/>
        </w:rPr>
        <w:t xml:space="preserve">of college students struggling with mental health </w:t>
      </w:r>
      <w:r w:rsidRPr="009365F7">
        <w:rPr>
          <w:rFonts w:cs="Times New Roman"/>
          <w:szCs w:val="24"/>
        </w:rPr>
        <w:t>do not seek treatment</w:t>
      </w:r>
      <w:r w:rsidR="008269A0">
        <w:rPr>
          <w:rFonts w:cs="Times New Roman"/>
          <w:szCs w:val="24"/>
        </w:rPr>
        <w:t xml:space="preserve"> </w:t>
      </w:r>
      <w:r w:rsidR="008269A0" w:rsidRPr="008269A0">
        <w:rPr>
          <w:rFonts w:cs="Times New Roman"/>
        </w:rPr>
        <w:t>(Oswalt et al., 2020)</w:t>
      </w:r>
      <w:r w:rsidR="008269A0">
        <w:rPr>
          <w:rFonts w:cs="Times New Roman"/>
          <w:szCs w:val="24"/>
        </w:rPr>
        <w:t>.</w:t>
      </w:r>
      <w:r w:rsidRPr="009365F7">
        <w:rPr>
          <w:rFonts w:cs="Times New Roman"/>
          <w:szCs w:val="24"/>
        </w:rPr>
        <w:t xml:space="preserve"> College students who seek treatment encounter additional barriers that delay or minimize services</w:t>
      </w:r>
      <w:r>
        <w:rPr>
          <w:rFonts w:cs="Times New Roman"/>
          <w:szCs w:val="24"/>
        </w:rPr>
        <w:t>, such as extended waitlists</w:t>
      </w:r>
      <w:r w:rsidR="00940A43">
        <w:rPr>
          <w:rFonts w:cs="Times New Roman"/>
          <w:szCs w:val="24"/>
        </w:rPr>
        <w:t xml:space="preserve"> and provider shortages </w:t>
      </w:r>
      <w:r w:rsidR="00940A43" w:rsidRPr="00914110">
        <w:rPr>
          <w:rFonts w:cs="Times New Roman"/>
        </w:rPr>
        <w:t>(Xiao et al., 2017)</w:t>
      </w:r>
      <w:r w:rsidR="009C6A10">
        <w:rPr>
          <w:rFonts w:cs="Times New Roman"/>
          <w:szCs w:val="24"/>
        </w:rPr>
        <w:t xml:space="preserve">. </w:t>
      </w:r>
      <w:r w:rsidR="00940A43">
        <w:rPr>
          <w:rFonts w:cs="Times New Roman"/>
          <w:szCs w:val="24"/>
        </w:rPr>
        <w:t xml:space="preserve">While counseling/therapy services are the most common mental health resource offered by colleges </w:t>
      </w:r>
      <w:r w:rsidR="00940A43">
        <w:rPr>
          <w:rFonts w:cs="Times New Roman"/>
          <w:noProof/>
          <w:szCs w:val="24"/>
        </w:rPr>
        <w:t>(Balon et al., 2015)</w:t>
      </w:r>
      <w:r w:rsidR="00940A43">
        <w:rPr>
          <w:rFonts w:cs="Times New Roman"/>
          <w:szCs w:val="24"/>
        </w:rPr>
        <w:t xml:space="preserve">, </w:t>
      </w:r>
      <w:r>
        <w:rPr>
          <w:rFonts w:cs="Times New Roman"/>
          <w:szCs w:val="24"/>
        </w:rPr>
        <w:t xml:space="preserve">alternative formats for mental health treatment are becoming increasingly implemented. </w:t>
      </w:r>
    </w:p>
    <w:p w14:paraId="79E6E563" w14:textId="7D709B26" w:rsidR="00A13A3B" w:rsidRPr="00BA26FF" w:rsidRDefault="00A13A3B" w:rsidP="00BA26FF">
      <w:pPr>
        <w:spacing w:line="480" w:lineRule="auto"/>
        <w:contextualSpacing/>
        <w:rPr>
          <w:rFonts w:cs="Times New Roman"/>
          <w:b/>
          <w:bCs/>
          <w:szCs w:val="24"/>
        </w:rPr>
      </w:pPr>
      <w:r>
        <w:rPr>
          <w:rFonts w:cs="Times New Roman"/>
          <w:b/>
          <w:bCs/>
          <w:szCs w:val="24"/>
        </w:rPr>
        <w:t>Online Self-help Programs</w:t>
      </w:r>
    </w:p>
    <w:p w14:paraId="7A0D6DF9" w14:textId="6C0A849B" w:rsidR="00C722D2" w:rsidRDefault="00C722D2" w:rsidP="00C722D2">
      <w:pPr>
        <w:spacing w:line="480" w:lineRule="auto"/>
        <w:ind w:firstLine="720"/>
        <w:contextualSpacing/>
        <w:rPr>
          <w:rFonts w:cs="Times New Roman"/>
          <w:szCs w:val="24"/>
        </w:rPr>
      </w:pPr>
      <w:bookmarkStart w:id="2" w:name="_Hlk55744420"/>
      <w:bookmarkEnd w:id="1"/>
      <w:r w:rsidRPr="005700BD">
        <w:rPr>
          <w:rFonts w:cs="Times New Roman"/>
          <w:szCs w:val="24"/>
        </w:rPr>
        <w:t>Online self-help</w:t>
      </w:r>
      <w:r>
        <w:rPr>
          <w:rFonts w:cs="Times New Roman"/>
          <w:szCs w:val="24"/>
        </w:rPr>
        <w:t xml:space="preserve"> is one alternate format that </w:t>
      </w:r>
      <w:r w:rsidRPr="005700BD">
        <w:rPr>
          <w:rFonts w:cs="Times New Roman"/>
          <w:szCs w:val="24"/>
        </w:rPr>
        <w:t>can increase access to mental health services for college students</w:t>
      </w:r>
      <w:r w:rsidR="00381C11">
        <w:rPr>
          <w:rFonts w:cs="Times New Roman"/>
          <w:szCs w:val="24"/>
        </w:rPr>
        <w:t xml:space="preserve"> </w:t>
      </w:r>
      <w:r w:rsidR="00381C11" w:rsidRPr="00381C11">
        <w:rPr>
          <w:rFonts w:cs="Times New Roman"/>
        </w:rPr>
        <w:t>(Lattie et al., 2019)</w:t>
      </w:r>
      <w:r w:rsidRPr="005700BD">
        <w:rPr>
          <w:rFonts w:cs="Times New Roman"/>
          <w:szCs w:val="24"/>
        </w:rPr>
        <w:t>.</w:t>
      </w:r>
      <w:r>
        <w:rPr>
          <w:rFonts w:cs="Times New Roman"/>
          <w:szCs w:val="24"/>
        </w:rPr>
        <w:t xml:space="preserve"> Self-help</w:t>
      </w:r>
      <w:r w:rsidRPr="001B4911">
        <w:rPr>
          <w:rFonts w:cs="Times New Roman"/>
          <w:szCs w:val="24"/>
        </w:rPr>
        <w:t xml:space="preserve"> apps or websites allow users to learn valuable skills for managing psychological problems, similar to a self-help book, while providing greater tailoring or engagement than what a self-help book can often provide </w:t>
      </w:r>
      <w:r w:rsidR="00381C11" w:rsidRPr="00381C11">
        <w:rPr>
          <w:rFonts w:cs="Times New Roman"/>
        </w:rPr>
        <w:t>(Andersson et al., 2008)</w:t>
      </w:r>
      <w:r w:rsidRPr="001B4911">
        <w:rPr>
          <w:rFonts w:cs="Times New Roman"/>
          <w:szCs w:val="24"/>
        </w:rPr>
        <w:t>.</w:t>
      </w:r>
      <w:r w:rsidRPr="005700BD">
        <w:rPr>
          <w:rFonts w:cs="Times New Roman"/>
          <w:szCs w:val="24"/>
        </w:rPr>
        <w:t xml:space="preserve"> </w:t>
      </w:r>
      <w:r>
        <w:rPr>
          <w:rFonts w:cs="Times New Roman"/>
          <w:szCs w:val="24"/>
        </w:rPr>
        <w:t>They</w:t>
      </w:r>
      <w:r w:rsidRPr="001B4911">
        <w:rPr>
          <w:rFonts w:cs="Times New Roman"/>
          <w:szCs w:val="24"/>
        </w:rPr>
        <w:t xml:space="preserve"> can serve a range of functions</w:t>
      </w:r>
      <w:r w:rsidR="00684BCE">
        <w:rPr>
          <w:rFonts w:cs="Times New Roman"/>
          <w:szCs w:val="24"/>
        </w:rPr>
        <w:t xml:space="preserve"> in enhancing and increasing access to services such as</w:t>
      </w:r>
      <w:r w:rsidRPr="001B4911">
        <w:rPr>
          <w:rFonts w:cs="Times New Roman"/>
          <w:szCs w:val="24"/>
        </w:rPr>
        <w:t xml:space="preserve"> preventative care, low-intensity treatment, </w:t>
      </w:r>
      <w:r w:rsidR="00940A43">
        <w:rPr>
          <w:rFonts w:cs="Times New Roman"/>
          <w:szCs w:val="24"/>
        </w:rPr>
        <w:t xml:space="preserve">a resource for clients </w:t>
      </w:r>
      <w:r w:rsidR="00FA72D7">
        <w:rPr>
          <w:rFonts w:cs="Times New Roman"/>
          <w:szCs w:val="24"/>
        </w:rPr>
        <w:t xml:space="preserve">who are </w:t>
      </w:r>
      <w:r w:rsidR="00940A43">
        <w:rPr>
          <w:rFonts w:cs="Times New Roman"/>
          <w:szCs w:val="24"/>
        </w:rPr>
        <w:t xml:space="preserve">waiting to begin therapy, an adjunctive </w:t>
      </w:r>
      <w:r w:rsidRPr="001B4911">
        <w:rPr>
          <w:rFonts w:cs="Times New Roman"/>
          <w:szCs w:val="24"/>
        </w:rPr>
        <w:t xml:space="preserve">resource </w:t>
      </w:r>
      <w:r w:rsidR="00940A43">
        <w:rPr>
          <w:rFonts w:cs="Times New Roman"/>
          <w:szCs w:val="24"/>
        </w:rPr>
        <w:t>to enhance</w:t>
      </w:r>
      <w:r w:rsidRPr="001B4911">
        <w:rPr>
          <w:rFonts w:cs="Times New Roman"/>
          <w:szCs w:val="24"/>
        </w:rPr>
        <w:t xml:space="preserve"> therapy</w:t>
      </w:r>
      <w:r w:rsidR="00940A43">
        <w:rPr>
          <w:rFonts w:cs="Times New Roman"/>
          <w:szCs w:val="24"/>
        </w:rPr>
        <w:t xml:space="preserve">, </w:t>
      </w:r>
      <w:r w:rsidR="00940A43" w:rsidRPr="005700BD">
        <w:rPr>
          <w:rFonts w:cs="Times New Roman"/>
          <w:szCs w:val="24"/>
        </w:rPr>
        <w:t>or</w:t>
      </w:r>
      <w:r w:rsidR="00940A43">
        <w:rPr>
          <w:rFonts w:cs="Times New Roman"/>
          <w:szCs w:val="24"/>
        </w:rPr>
        <w:t xml:space="preserve"> as a resource for use</w:t>
      </w:r>
      <w:r w:rsidR="00940A43" w:rsidRPr="005700BD">
        <w:rPr>
          <w:rFonts w:cs="Times New Roman"/>
          <w:szCs w:val="24"/>
        </w:rPr>
        <w:t xml:space="preserve"> after therapy has been terminated</w:t>
      </w:r>
      <w:r w:rsidR="00940A43">
        <w:rPr>
          <w:rFonts w:cs="Times New Roman"/>
          <w:szCs w:val="24"/>
        </w:rPr>
        <w:t xml:space="preserve"> to help maintain gains from therapy</w:t>
      </w:r>
      <w:r w:rsidR="00D54CC7">
        <w:rPr>
          <w:rFonts w:cs="Times New Roman"/>
          <w:szCs w:val="24"/>
        </w:rPr>
        <w:t xml:space="preserve"> </w:t>
      </w:r>
      <w:r w:rsidR="00864141" w:rsidRPr="00864141">
        <w:rPr>
          <w:rFonts w:cs="Times New Roman"/>
        </w:rPr>
        <w:t xml:space="preserve">(Harrer et al., 2019; Levin et al., 2015; </w:t>
      </w:r>
      <w:r w:rsidR="00864141" w:rsidRPr="00864141">
        <w:rPr>
          <w:rFonts w:cs="Times New Roman"/>
        </w:rPr>
        <w:lastRenderedPageBreak/>
        <w:t>Levin, Hicks, et al., 2020)</w:t>
      </w:r>
      <w:r w:rsidRPr="00827831">
        <w:rPr>
          <w:rFonts w:cs="Times New Roman"/>
          <w:szCs w:val="24"/>
        </w:rPr>
        <w:t>.</w:t>
      </w:r>
      <w:r w:rsidRPr="001B4911">
        <w:rPr>
          <w:rFonts w:cs="Times New Roman"/>
          <w:szCs w:val="24"/>
        </w:rPr>
        <w:t xml:space="preserve"> </w:t>
      </w:r>
      <w:r w:rsidRPr="005700BD">
        <w:rPr>
          <w:rFonts w:cs="Times New Roman"/>
          <w:szCs w:val="24"/>
        </w:rPr>
        <w:t xml:space="preserve">This allows for increased flexibility and accessibility regarding how students can receive help, as </w:t>
      </w:r>
      <w:r>
        <w:rPr>
          <w:rFonts w:cs="Times New Roman"/>
          <w:szCs w:val="24"/>
        </w:rPr>
        <w:t xml:space="preserve">these </w:t>
      </w:r>
      <w:r w:rsidRPr="005700BD">
        <w:rPr>
          <w:rFonts w:cs="Times New Roman"/>
          <w:szCs w:val="24"/>
        </w:rPr>
        <w:t>programs can be accessed at one’s own convenience</w:t>
      </w:r>
      <w:r w:rsidR="00940A43">
        <w:rPr>
          <w:rFonts w:cs="Times New Roman"/>
          <w:szCs w:val="24"/>
        </w:rPr>
        <w:t xml:space="preserve">, </w:t>
      </w:r>
      <w:r w:rsidR="00F12E26">
        <w:rPr>
          <w:rFonts w:cs="Times New Roman"/>
          <w:szCs w:val="24"/>
        </w:rPr>
        <w:t xml:space="preserve">in a scalable format that limits the </w:t>
      </w:r>
      <w:r w:rsidR="00940A43">
        <w:rPr>
          <w:rFonts w:cs="Times New Roman"/>
          <w:szCs w:val="24"/>
        </w:rPr>
        <w:t>burden on providers or counseling centers</w:t>
      </w:r>
      <w:r w:rsidRPr="005700BD">
        <w:rPr>
          <w:rFonts w:cs="Times New Roman"/>
          <w:szCs w:val="24"/>
        </w:rPr>
        <w:t xml:space="preserve">. </w:t>
      </w:r>
      <w:r w:rsidRPr="00827831">
        <w:rPr>
          <w:rFonts w:cs="Times New Roman"/>
          <w:szCs w:val="24"/>
        </w:rPr>
        <w:t>Additionally,</w:t>
      </w:r>
      <w:r w:rsidRPr="000A070E">
        <w:rPr>
          <w:rFonts w:cs="Times New Roman"/>
          <w:szCs w:val="24"/>
        </w:rPr>
        <w:t xml:space="preserve"> </w:t>
      </w:r>
      <w:r>
        <w:rPr>
          <w:rFonts w:cs="Times New Roman"/>
          <w:szCs w:val="24"/>
        </w:rPr>
        <w:t>s</w:t>
      </w:r>
      <w:r w:rsidRPr="001B4911">
        <w:rPr>
          <w:rFonts w:cs="Times New Roman"/>
          <w:szCs w:val="24"/>
        </w:rPr>
        <w:t xml:space="preserve">tudents are generally interested in these technology-driven interfaces for self-help, with 53% of college students having downloaded a mental health app at </w:t>
      </w:r>
      <w:r>
        <w:rPr>
          <w:rFonts w:cs="Times New Roman"/>
          <w:szCs w:val="24"/>
        </w:rPr>
        <w:t xml:space="preserve">some </w:t>
      </w:r>
      <w:r w:rsidRPr="001B4911">
        <w:rPr>
          <w:rFonts w:cs="Times New Roman"/>
          <w:szCs w:val="24"/>
        </w:rPr>
        <w:t>point</w:t>
      </w:r>
      <w:r>
        <w:rPr>
          <w:rFonts w:cs="Times New Roman"/>
          <w:szCs w:val="24"/>
        </w:rPr>
        <w:t xml:space="preserve"> in time</w:t>
      </w:r>
      <w:r w:rsidR="00381C11">
        <w:rPr>
          <w:rFonts w:cs="Times New Roman"/>
          <w:szCs w:val="24"/>
        </w:rPr>
        <w:t xml:space="preserve"> </w:t>
      </w:r>
      <w:r w:rsidR="00381C11" w:rsidRPr="00381C11">
        <w:rPr>
          <w:rFonts w:cs="Times New Roman"/>
        </w:rPr>
        <w:t>(Melcher et al., 2020)</w:t>
      </w:r>
      <w:r w:rsidRPr="001B4911">
        <w:rPr>
          <w:rFonts w:cs="Times New Roman"/>
          <w:szCs w:val="24"/>
        </w:rPr>
        <w:t xml:space="preserve">. </w:t>
      </w:r>
    </w:p>
    <w:p w14:paraId="0428B764" w14:textId="1753F282" w:rsidR="00C722D2" w:rsidRDefault="00C722D2" w:rsidP="00C722D2">
      <w:pPr>
        <w:spacing w:line="480" w:lineRule="auto"/>
        <w:ind w:firstLine="720"/>
        <w:contextualSpacing/>
        <w:rPr>
          <w:rFonts w:cs="Times New Roman"/>
          <w:szCs w:val="24"/>
        </w:rPr>
      </w:pPr>
      <w:r w:rsidRPr="00267D17">
        <w:rPr>
          <w:rFonts w:cs="Times New Roman"/>
          <w:szCs w:val="24"/>
        </w:rPr>
        <w:t xml:space="preserve">Online self-help has been shown to be highly effective for improving college student mental health, with meta-analyses targeting college samples having demonstrated significant </w:t>
      </w:r>
      <w:r w:rsidR="00E20F57">
        <w:rPr>
          <w:rFonts w:cs="Times New Roman"/>
          <w:szCs w:val="24"/>
        </w:rPr>
        <w:t>decreases</w:t>
      </w:r>
      <w:r w:rsidRPr="00267D17">
        <w:rPr>
          <w:rFonts w:cs="Times New Roman"/>
          <w:szCs w:val="24"/>
        </w:rPr>
        <w:t xml:space="preserve"> in stress, anxiety, </w:t>
      </w:r>
      <w:r w:rsidR="00E20F57">
        <w:rPr>
          <w:rFonts w:cs="Times New Roman"/>
          <w:szCs w:val="24"/>
        </w:rPr>
        <w:t xml:space="preserve">and </w:t>
      </w:r>
      <w:r w:rsidRPr="00267D17">
        <w:rPr>
          <w:rFonts w:cs="Times New Roman"/>
          <w:szCs w:val="24"/>
        </w:rPr>
        <w:t xml:space="preserve">depression, and </w:t>
      </w:r>
      <w:r w:rsidR="00E20F57">
        <w:rPr>
          <w:rFonts w:cs="Times New Roman"/>
          <w:szCs w:val="24"/>
        </w:rPr>
        <w:t xml:space="preserve">significant improvements in </w:t>
      </w:r>
      <w:r w:rsidRPr="00267D17">
        <w:rPr>
          <w:rFonts w:cs="Times New Roman"/>
          <w:szCs w:val="24"/>
        </w:rPr>
        <w:t xml:space="preserve">interpersonal relationships </w:t>
      </w:r>
      <w:r w:rsidR="00060059" w:rsidRPr="00060059">
        <w:rPr>
          <w:rFonts w:cs="Times New Roman"/>
        </w:rPr>
        <w:t>(Conley et al., 2016)</w:t>
      </w:r>
      <w:r w:rsidRPr="00267D17">
        <w:rPr>
          <w:rFonts w:cs="Times New Roman"/>
          <w:szCs w:val="24"/>
        </w:rPr>
        <w:t xml:space="preserve">. </w:t>
      </w:r>
      <w:r w:rsidR="00827CEF">
        <w:rPr>
          <w:rFonts w:cs="Times New Roman"/>
          <w:szCs w:val="24"/>
        </w:rPr>
        <w:t>U</w:t>
      </w:r>
      <w:r w:rsidRPr="00267D17">
        <w:rPr>
          <w:rFonts w:cs="Times New Roman"/>
          <w:szCs w:val="24"/>
        </w:rPr>
        <w:t>niversal programs developed for use with students</w:t>
      </w:r>
      <w:r w:rsidR="00FA72D7">
        <w:rPr>
          <w:rFonts w:cs="Times New Roman"/>
          <w:szCs w:val="24"/>
        </w:rPr>
        <w:t>,</w:t>
      </w:r>
      <w:r w:rsidRPr="00267D17">
        <w:rPr>
          <w:rFonts w:cs="Times New Roman"/>
          <w:szCs w:val="24"/>
        </w:rPr>
        <w:t xml:space="preserve"> as well as programs tailored towards specific mental health conditions</w:t>
      </w:r>
      <w:r w:rsidR="00FA72D7">
        <w:rPr>
          <w:rFonts w:cs="Times New Roman"/>
          <w:szCs w:val="24"/>
        </w:rPr>
        <w:t>,</w:t>
      </w:r>
      <w:r w:rsidRPr="00267D17">
        <w:rPr>
          <w:rFonts w:cs="Times New Roman"/>
          <w:szCs w:val="24"/>
        </w:rPr>
        <w:t xml:space="preserve"> </w:t>
      </w:r>
      <w:r>
        <w:rPr>
          <w:rFonts w:cs="Times New Roman"/>
          <w:szCs w:val="24"/>
        </w:rPr>
        <w:t xml:space="preserve">have been </w:t>
      </w:r>
      <w:r w:rsidRPr="00267D17">
        <w:rPr>
          <w:rFonts w:cs="Times New Roman"/>
          <w:szCs w:val="24"/>
        </w:rPr>
        <w:t>found to be effective</w:t>
      </w:r>
      <w:r w:rsidR="00FA72D7">
        <w:rPr>
          <w:rFonts w:cs="Times New Roman"/>
          <w:szCs w:val="24"/>
        </w:rPr>
        <w:t>.</w:t>
      </w:r>
      <w:r w:rsidRPr="00267D17">
        <w:rPr>
          <w:rFonts w:cs="Times New Roman"/>
          <w:szCs w:val="24"/>
        </w:rPr>
        <w:t xml:space="preserve"> </w:t>
      </w:r>
      <w:r w:rsidR="00FA72D7">
        <w:rPr>
          <w:rFonts w:cs="Times New Roman"/>
          <w:szCs w:val="24"/>
        </w:rPr>
        <w:t xml:space="preserve">This </w:t>
      </w:r>
      <w:r w:rsidRPr="00267D17">
        <w:rPr>
          <w:rFonts w:cs="Times New Roman"/>
          <w:szCs w:val="24"/>
        </w:rPr>
        <w:t>demonstrat</w:t>
      </w:r>
      <w:r w:rsidR="00FA72D7">
        <w:rPr>
          <w:rFonts w:cs="Times New Roman"/>
          <w:szCs w:val="24"/>
        </w:rPr>
        <w:t>es</w:t>
      </w:r>
      <w:r w:rsidRPr="00267D17">
        <w:rPr>
          <w:rFonts w:cs="Times New Roman"/>
          <w:szCs w:val="24"/>
        </w:rPr>
        <w:t xml:space="preserve"> the wide application of online self-help for students across varying levels of need. While most of these programs use a</w:t>
      </w:r>
      <w:r w:rsidR="00FA72D7">
        <w:rPr>
          <w:rFonts w:cs="Times New Roman"/>
          <w:szCs w:val="24"/>
        </w:rPr>
        <w:t xml:space="preserve"> traditional</w:t>
      </w:r>
      <w:r w:rsidRPr="00267D17">
        <w:rPr>
          <w:rFonts w:cs="Times New Roman"/>
          <w:szCs w:val="24"/>
        </w:rPr>
        <w:t xml:space="preserve"> cognitive behavioral therapy (CBT) based framework</w:t>
      </w:r>
      <w:r w:rsidR="00FA72D7">
        <w:rPr>
          <w:rFonts w:cs="Times New Roman"/>
          <w:szCs w:val="24"/>
        </w:rPr>
        <w:t>, p</w:t>
      </w:r>
      <w:r w:rsidRPr="00267D17">
        <w:rPr>
          <w:rFonts w:cs="Times New Roman"/>
          <w:szCs w:val="24"/>
        </w:rPr>
        <w:t xml:space="preserve">rograms based in </w:t>
      </w:r>
      <w:r w:rsidR="00F12E26">
        <w:rPr>
          <w:rFonts w:cs="Times New Roman"/>
          <w:szCs w:val="24"/>
        </w:rPr>
        <w:t>acceptance and commitment therapy (</w:t>
      </w:r>
      <w:r w:rsidR="00FA72D7">
        <w:rPr>
          <w:rFonts w:cs="Times New Roman"/>
          <w:szCs w:val="24"/>
        </w:rPr>
        <w:t>ACT</w:t>
      </w:r>
      <w:r w:rsidR="00F12E26">
        <w:rPr>
          <w:rFonts w:cs="Times New Roman"/>
          <w:szCs w:val="24"/>
        </w:rPr>
        <w:t>)</w:t>
      </w:r>
      <w:r>
        <w:rPr>
          <w:rFonts w:cs="Times New Roman"/>
          <w:szCs w:val="24"/>
        </w:rPr>
        <w:t xml:space="preserve"> </w:t>
      </w:r>
      <w:r w:rsidRPr="00267D17">
        <w:rPr>
          <w:rFonts w:cs="Times New Roman"/>
          <w:szCs w:val="24"/>
        </w:rPr>
        <w:t>are becoming increasingly common with evidence supporting effectiveness</w:t>
      </w:r>
      <w:r w:rsidR="00F16496">
        <w:rPr>
          <w:rFonts w:cs="Times New Roman"/>
          <w:szCs w:val="24"/>
        </w:rPr>
        <w:t xml:space="preserve"> </w:t>
      </w:r>
      <w:r w:rsidR="00F16496" w:rsidRPr="00F16496">
        <w:rPr>
          <w:rFonts w:cs="Times New Roman"/>
        </w:rPr>
        <w:t>(Thompson et al., 2021)</w:t>
      </w:r>
      <w:r w:rsidRPr="00267D17">
        <w:rPr>
          <w:rFonts w:cs="Times New Roman"/>
          <w:szCs w:val="24"/>
        </w:rPr>
        <w:t xml:space="preserve">. </w:t>
      </w:r>
    </w:p>
    <w:p w14:paraId="3A51D3A0" w14:textId="7B7C3366" w:rsidR="00A13A3B" w:rsidRDefault="00C722D2" w:rsidP="00484654">
      <w:pPr>
        <w:spacing w:line="480" w:lineRule="auto"/>
        <w:ind w:firstLine="720"/>
        <w:contextualSpacing/>
        <w:rPr>
          <w:rFonts w:cs="Times New Roman"/>
          <w:szCs w:val="24"/>
        </w:rPr>
      </w:pPr>
      <w:r w:rsidRPr="00C52FBD">
        <w:rPr>
          <w:rFonts w:cs="Times New Roman"/>
          <w:szCs w:val="24"/>
        </w:rPr>
        <w:t xml:space="preserve">However, the impact </w:t>
      </w:r>
      <w:r w:rsidR="008A5AC5">
        <w:rPr>
          <w:rFonts w:cs="Times New Roman"/>
          <w:szCs w:val="24"/>
        </w:rPr>
        <w:t>that</w:t>
      </w:r>
      <w:r w:rsidRPr="00C52FBD">
        <w:rPr>
          <w:rFonts w:cs="Times New Roman"/>
          <w:szCs w:val="24"/>
        </w:rPr>
        <w:t xml:space="preserve"> online self-help</w:t>
      </w:r>
      <w:r>
        <w:rPr>
          <w:rFonts w:cs="Times New Roman"/>
          <w:szCs w:val="24"/>
        </w:rPr>
        <w:t xml:space="preserve"> programs </w:t>
      </w:r>
      <w:r w:rsidR="008A5AC5">
        <w:rPr>
          <w:rFonts w:cs="Times New Roman"/>
          <w:szCs w:val="24"/>
        </w:rPr>
        <w:t xml:space="preserve">have </w:t>
      </w:r>
      <w:r w:rsidRPr="00C52FBD">
        <w:rPr>
          <w:rFonts w:cs="Times New Roman"/>
          <w:szCs w:val="24"/>
        </w:rPr>
        <w:t xml:space="preserve">on college student mental health is significantly reduced due to low rates of </w:t>
      </w:r>
      <w:r>
        <w:rPr>
          <w:rFonts w:cs="Times New Roman"/>
          <w:szCs w:val="24"/>
        </w:rPr>
        <w:t>adherence</w:t>
      </w:r>
      <w:r w:rsidR="00FE5D3B">
        <w:rPr>
          <w:rFonts w:cs="Times New Roman"/>
          <w:szCs w:val="24"/>
        </w:rPr>
        <w:t xml:space="preserve"> </w:t>
      </w:r>
      <w:r w:rsidR="00FE5D3B" w:rsidRPr="00FE5D3B">
        <w:rPr>
          <w:rFonts w:cs="Times New Roman"/>
        </w:rPr>
        <w:t>(Donkin et al., 2011; Fleming et al., 2018)</w:t>
      </w:r>
      <w:r w:rsidRPr="00C52FBD">
        <w:rPr>
          <w:rFonts w:cs="Times New Roman"/>
          <w:szCs w:val="24"/>
        </w:rPr>
        <w:t xml:space="preserve">. </w:t>
      </w:r>
      <w:r w:rsidRPr="00267D17">
        <w:rPr>
          <w:rFonts w:cs="Times New Roman"/>
          <w:szCs w:val="24"/>
        </w:rPr>
        <w:t xml:space="preserve">Attrition rates for online mental health programs in </w:t>
      </w:r>
      <w:r>
        <w:rPr>
          <w:rFonts w:cs="Times New Roman"/>
          <w:szCs w:val="24"/>
        </w:rPr>
        <w:t>randomized controlled trials (RCTs)</w:t>
      </w:r>
      <w:r w:rsidRPr="00267D17">
        <w:rPr>
          <w:rFonts w:cs="Times New Roman"/>
          <w:szCs w:val="24"/>
        </w:rPr>
        <w:t xml:space="preserve"> commonly exceed 50%, as users are more likely to lose interest or forget about the program as compared to face-to-face treatment </w:t>
      </w:r>
      <w:r w:rsidR="00FE5D3B" w:rsidRPr="00FE5D3B">
        <w:rPr>
          <w:rFonts w:cs="Times New Roman"/>
        </w:rPr>
        <w:t>(Wangberg et al., 2008)</w:t>
      </w:r>
      <w:r w:rsidRPr="00267D17">
        <w:rPr>
          <w:rFonts w:cs="Times New Roman"/>
          <w:szCs w:val="24"/>
        </w:rPr>
        <w:t xml:space="preserve">. Rates of engagement are even poorer in </w:t>
      </w:r>
      <w:r w:rsidR="00DA1BBF">
        <w:rPr>
          <w:rFonts w:cs="Times New Roman"/>
          <w:szCs w:val="24"/>
        </w:rPr>
        <w:t>real-world settings</w:t>
      </w:r>
      <w:r w:rsidRPr="00267D17">
        <w:rPr>
          <w:rFonts w:cs="Times New Roman"/>
          <w:szCs w:val="24"/>
        </w:rPr>
        <w:t xml:space="preserve">, with one systematic comparison finding adherence to be four times worse during natural use as compared to when the program </w:t>
      </w:r>
      <w:r>
        <w:rPr>
          <w:rFonts w:cs="Times New Roman"/>
          <w:szCs w:val="24"/>
        </w:rPr>
        <w:t xml:space="preserve">was </w:t>
      </w:r>
      <w:r w:rsidRPr="00267D17">
        <w:rPr>
          <w:rFonts w:cs="Times New Roman"/>
          <w:szCs w:val="24"/>
        </w:rPr>
        <w:t>assessed in a</w:t>
      </w:r>
      <w:r>
        <w:rPr>
          <w:rFonts w:cs="Times New Roman"/>
          <w:szCs w:val="24"/>
        </w:rPr>
        <w:t>n</w:t>
      </w:r>
      <w:r w:rsidRPr="00267D17">
        <w:rPr>
          <w:rFonts w:cs="Times New Roman"/>
          <w:szCs w:val="24"/>
        </w:rPr>
        <w:t xml:space="preserve"> RCT </w:t>
      </w:r>
      <w:r w:rsidR="00FE5D3B" w:rsidRPr="00FE5D3B">
        <w:rPr>
          <w:rFonts w:cs="Times New Roman"/>
        </w:rPr>
        <w:t>(Baumel et al., 2019)</w:t>
      </w:r>
      <w:r w:rsidRPr="00267D17">
        <w:rPr>
          <w:rFonts w:cs="Times New Roman"/>
          <w:szCs w:val="24"/>
        </w:rPr>
        <w:t xml:space="preserve">. </w:t>
      </w:r>
    </w:p>
    <w:p w14:paraId="66CCD55A" w14:textId="48C36052" w:rsidR="00A13A3B" w:rsidRPr="00BA26FF" w:rsidRDefault="00A13A3B" w:rsidP="00BA26FF">
      <w:pPr>
        <w:spacing w:line="480" w:lineRule="auto"/>
        <w:contextualSpacing/>
        <w:rPr>
          <w:rFonts w:cs="Times New Roman"/>
          <w:b/>
          <w:bCs/>
          <w:szCs w:val="24"/>
        </w:rPr>
      </w:pPr>
      <w:r w:rsidRPr="00BA26FF">
        <w:rPr>
          <w:rFonts w:cs="Times New Roman"/>
          <w:b/>
          <w:bCs/>
          <w:szCs w:val="24"/>
        </w:rPr>
        <w:t>Coaching for Online Self-help Programs</w:t>
      </w:r>
    </w:p>
    <w:p w14:paraId="003C98FE" w14:textId="0FD6B105" w:rsidR="00C722D2" w:rsidRDefault="00C722D2" w:rsidP="00484654">
      <w:pPr>
        <w:spacing w:line="480" w:lineRule="auto"/>
        <w:ind w:firstLine="720"/>
        <w:contextualSpacing/>
        <w:rPr>
          <w:rFonts w:cs="Times New Roman"/>
          <w:szCs w:val="24"/>
        </w:rPr>
      </w:pPr>
      <w:r w:rsidRPr="000A070E">
        <w:rPr>
          <w:rFonts w:cs="Times New Roman"/>
          <w:szCs w:val="24"/>
        </w:rPr>
        <w:lastRenderedPageBreak/>
        <w:t>The gold standard approach to improving</w:t>
      </w:r>
      <w:r w:rsidRPr="00267D17">
        <w:rPr>
          <w:rFonts w:cs="Times New Roman"/>
          <w:szCs w:val="24"/>
        </w:rPr>
        <w:t xml:space="preserve"> engagement in online self-help is through coaching delivered via phone calls or asynchronous messaging systems</w:t>
      </w:r>
      <w:r>
        <w:rPr>
          <w:rFonts w:cs="Times New Roman"/>
          <w:szCs w:val="24"/>
        </w:rPr>
        <w:t xml:space="preserve"> delivered by</w:t>
      </w:r>
      <w:r w:rsidRPr="005E273A">
        <w:rPr>
          <w:rFonts w:cs="Times New Roman"/>
          <w:szCs w:val="24"/>
        </w:rPr>
        <w:t xml:space="preserve"> graduate students or staff</w:t>
      </w:r>
      <w:r w:rsidRPr="00267D17">
        <w:rPr>
          <w:rFonts w:cs="Times New Roman"/>
          <w:szCs w:val="24"/>
        </w:rPr>
        <w:t>.</w:t>
      </w:r>
      <w:r>
        <w:rPr>
          <w:rFonts w:cs="Times New Roman"/>
          <w:szCs w:val="24"/>
        </w:rPr>
        <w:t xml:space="preserve"> The most common functions of coaching are to provide reminders to use the program, reinforce program usage, and to provide information on how to use the program or on other resources</w:t>
      </w:r>
      <w:r w:rsidR="00FE5D3B">
        <w:rPr>
          <w:rFonts w:cs="Times New Roman"/>
          <w:szCs w:val="24"/>
        </w:rPr>
        <w:t xml:space="preserve"> </w:t>
      </w:r>
      <w:r w:rsidR="00FE5D3B" w:rsidRPr="00FE5D3B">
        <w:rPr>
          <w:rFonts w:cs="Times New Roman"/>
        </w:rPr>
        <w:t>(Shim et al., 2017)</w:t>
      </w:r>
      <w:r>
        <w:rPr>
          <w:rFonts w:cs="Times New Roman"/>
          <w:szCs w:val="24"/>
        </w:rPr>
        <w:t>.</w:t>
      </w:r>
      <w:r w:rsidRPr="00267D17">
        <w:rPr>
          <w:rFonts w:cs="Times New Roman"/>
          <w:szCs w:val="24"/>
        </w:rPr>
        <w:t xml:space="preserve"> Initial examination</w:t>
      </w:r>
      <w:r>
        <w:rPr>
          <w:rFonts w:cs="Times New Roman"/>
          <w:szCs w:val="24"/>
        </w:rPr>
        <w:t xml:space="preserve"> through meta-analyses</w:t>
      </w:r>
      <w:r w:rsidRPr="00267D17">
        <w:rPr>
          <w:rFonts w:cs="Times New Roman"/>
          <w:szCs w:val="24"/>
        </w:rPr>
        <w:t xml:space="preserve"> of </w:t>
      </w:r>
      <w:r>
        <w:rPr>
          <w:rFonts w:cs="Times New Roman"/>
          <w:szCs w:val="24"/>
        </w:rPr>
        <w:t xml:space="preserve">differences between studies that used coaches, and studies that did not, </w:t>
      </w:r>
      <w:r w:rsidRPr="00267D17">
        <w:rPr>
          <w:rFonts w:cs="Times New Roman"/>
          <w:szCs w:val="24"/>
        </w:rPr>
        <w:t>suggest</w:t>
      </w:r>
      <w:r>
        <w:rPr>
          <w:rFonts w:cs="Times New Roman"/>
          <w:szCs w:val="24"/>
        </w:rPr>
        <w:t>ed</w:t>
      </w:r>
      <w:r w:rsidRPr="00267D17">
        <w:rPr>
          <w:rFonts w:cs="Times New Roman"/>
          <w:szCs w:val="24"/>
        </w:rPr>
        <w:t xml:space="preserve"> </w:t>
      </w:r>
      <w:r>
        <w:rPr>
          <w:rFonts w:cs="Times New Roman"/>
          <w:szCs w:val="24"/>
        </w:rPr>
        <w:t xml:space="preserve">that coaching provides </w:t>
      </w:r>
      <w:r w:rsidRPr="00267D17">
        <w:rPr>
          <w:rFonts w:cs="Times New Roman"/>
          <w:szCs w:val="24"/>
        </w:rPr>
        <w:t>positive effects for improving engagement and mental health</w:t>
      </w:r>
      <w:r w:rsidR="00FE5D3B">
        <w:rPr>
          <w:rFonts w:cs="Times New Roman"/>
          <w:szCs w:val="24"/>
        </w:rPr>
        <w:t xml:space="preserve"> </w:t>
      </w:r>
      <w:r w:rsidR="00FE5D3B" w:rsidRPr="00FE5D3B">
        <w:rPr>
          <w:rFonts w:cs="Times New Roman"/>
        </w:rPr>
        <w:t>(Andrews et al., 2010)</w:t>
      </w:r>
      <w:r w:rsidRPr="00267D17">
        <w:rPr>
          <w:rFonts w:cs="Times New Roman"/>
          <w:szCs w:val="24"/>
        </w:rPr>
        <w:t xml:space="preserve">. </w:t>
      </w:r>
      <w:r>
        <w:rPr>
          <w:rFonts w:cs="Times New Roman"/>
          <w:szCs w:val="24"/>
        </w:rPr>
        <w:t>Additionally, online interventions implemented in real-world settings that include coaching or were used adjunctively with therapist support have evidenced significantly better adherence rates than those that have not</w:t>
      </w:r>
      <w:r w:rsidR="00F16496">
        <w:rPr>
          <w:rFonts w:cs="Times New Roman"/>
          <w:szCs w:val="24"/>
        </w:rPr>
        <w:t xml:space="preserve"> </w:t>
      </w:r>
      <w:r w:rsidR="005F440C" w:rsidRPr="005F440C">
        <w:rPr>
          <w:rFonts w:cs="Times New Roman"/>
        </w:rPr>
        <w:t>(Baumel et al., 2019; Titov et al., 2017)</w:t>
      </w:r>
      <w:r>
        <w:rPr>
          <w:rFonts w:cs="Times New Roman"/>
          <w:szCs w:val="24"/>
        </w:rPr>
        <w:t xml:space="preserve">. </w:t>
      </w:r>
    </w:p>
    <w:p w14:paraId="56D3E364" w14:textId="225428D5" w:rsidR="00C722D2" w:rsidRDefault="00C722D2" w:rsidP="009D2061">
      <w:pPr>
        <w:spacing w:line="480" w:lineRule="auto"/>
        <w:ind w:firstLine="720"/>
        <w:contextualSpacing/>
        <w:rPr>
          <w:rFonts w:cs="Times New Roman"/>
          <w:szCs w:val="24"/>
        </w:rPr>
      </w:pPr>
      <w:r w:rsidRPr="00267D17">
        <w:rPr>
          <w:rFonts w:cs="Times New Roman"/>
          <w:szCs w:val="24"/>
        </w:rPr>
        <w:t xml:space="preserve">However, more recent </w:t>
      </w:r>
      <w:r>
        <w:rPr>
          <w:rFonts w:cs="Times New Roman"/>
          <w:szCs w:val="24"/>
        </w:rPr>
        <w:t>RCT</w:t>
      </w:r>
      <w:r w:rsidR="00827CEF">
        <w:rPr>
          <w:rFonts w:cs="Times New Roman"/>
          <w:szCs w:val="24"/>
        </w:rPr>
        <w:t>s</w:t>
      </w:r>
      <w:r w:rsidRPr="00267D17">
        <w:rPr>
          <w:rFonts w:cs="Times New Roman"/>
          <w:szCs w:val="24"/>
        </w:rPr>
        <w:t xml:space="preserve"> directly comparing coaching to no-coaching have produced much more mixed results, with many studies failing to demonstrate </w:t>
      </w:r>
      <w:r>
        <w:rPr>
          <w:rFonts w:cs="Times New Roman"/>
          <w:szCs w:val="24"/>
        </w:rPr>
        <w:t xml:space="preserve">that </w:t>
      </w:r>
      <w:r w:rsidRPr="00267D17">
        <w:rPr>
          <w:rFonts w:cs="Times New Roman"/>
          <w:szCs w:val="24"/>
        </w:rPr>
        <w:t>coaching improves adherence rates or mental health outcomes</w:t>
      </w:r>
      <w:r w:rsidR="00FE5D3B">
        <w:rPr>
          <w:rFonts w:cs="Times New Roman"/>
          <w:szCs w:val="24"/>
        </w:rPr>
        <w:t xml:space="preserve"> </w:t>
      </w:r>
      <w:r w:rsidR="00FE5D3B" w:rsidRPr="00FE5D3B">
        <w:rPr>
          <w:rFonts w:cs="Times New Roman"/>
        </w:rPr>
        <w:t>(Shim et al., 2017)</w:t>
      </w:r>
      <w:r w:rsidRPr="00267D17">
        <w:rPr>
          <w:rFonts w:cs="Times New Roman"/>
          <w:szCs w:val="24"/>
        </w:rPr>
        <w:t xml:space="preserve">. </w:t>
      </w:r>
      <w:r>
        <w:rPr>
          <w:rFonts w:cs="Times New Roman"/>
          <w:szCs w:val="24"/>
        </w:rPr>
        <w:t xml:space="preserve">These mixed results have been attributed to heterogeneity among the examined studies. </w:t>
      </w:r>
      <w:r w:rsidRPr="005E273A">
        <w:rPr>
          <w:rFonts w:cs="Times New Roman"/>
          <w:szCs w:val="24"/>
        </w:rPr>
        <w:t xml:space="preserve">Furthermore, these coaching methods are often not feasible to implement on a wide-scale basis, due to the resources required to hire a large staff of </w:t>
      </w:r>
      <w:r>
        <w:rPr>
          <w:rFonts w:cs="Times New Roman"/>
          <w:szCs w:val="24"/>
        </w:rPr>
        <w:t xml:space="preserve">graduate students or professional psychologists as </w:t>
      </w:r>
      <w:r w:rsidRPr="005E273A">
        <w:rPr>
          <w:rFonts w:cs="Times New Roman"/>
          <w:szCs w:val="24"/>
        </w:rPr>
        <w:t>coaches</w:t>
      </w:r>
      <w:r w:rsidR="00FE5D3B">
        <w:rPr>
          <w:rFonts w:cs="Times New Roman"/>
          <w:szCs w:val="24"/>
        </w:rPr>
        <w:t xml:space="preserve"> </w:t>
      </w:r>
      <w:r w:rsidR="00FE5D3B" w:rsidRPr="00FE5D3B">
        <w:rPr>
          <w:rFonts w:cs="Times New Roman"/>
        </w:rPr>
        <w:t>(Shim et al., 2017)</w:t>
      </w:r>
      <w:r w:rsidRPr="005E273A">
        <w:rPr>
          <w:rFonts w:cs="Times New Roman"/>
          <w:szCs w:val="24"/>
        </w:rPr>
        <w:t>.</w:t>
      </w:r>
      <w:r>
        <w:rPr>
          <w:rFonts w:cs="Times New Roman"/>
          <w:szCs w:val="24"/>
        </w:rPr>
        <w:t xml:space="preserve"> Prior research has suggested that whether coaching is delivered by clinicians or lay technicians without post-graduate training does not influence the effectiveness of the coaching on treatment outcomes. This indicates that a high level of prior professional training in a mental health related field is not a necessary prerequisite to produce effective coaches </w:t>
      </w:r>
      <w:r w:rsidR="005F440C" w:rsidRPr="005F440C">
        <w:rPr>
          <w:rFonts w:cs="Times New Roman"/>
        </w:rPr>
        <w:t>(Kobak et al., 2015)</w:t>
      </w:r>
      <w:r>
        <w:rPr>
          <w:rFonts w:cs="Times New Roman"/>
          <w:szCs w:val="24"/>
        </w:rPr>
        <w:t>.</w:t>
      </w:r>
    </w:p>
    <w:p w14:paraId="09540ECE" w14:textId="4C10955F" w:rsidR="00C722D2" w:rsidRPr="00C52FBD" w:rsidRDefault="00C722D2">
      <w:pPr>
        <w:spacing w:line="480" w:lineRule="auto"/>
        <w:ind w:firstLine="720"/>
        <w:contextualSpacing/>
        <w:rPr>
          <w:rFonts w:cs="Times New Roman"/>
          <w:szCs w:val="24"/>
        </w:rPr>
      </w:pPr>
      <w:r>
        <w:rPr>
          <w:rFonts w:cs="Times New Roman"/>
          <w:iCs/>
          <w:szCs w:val="24"/>
        </w:rPr>
        <w:t xml:space="preserve">One possible alternative would be the utilization of undergraduate </w:t>
      </w:r>
      <w:r w:rsidR="00F80FDC">
        <w:rPr>
          <w:rFonts w:cs="Times New Roman"/>
          <w:iCs/>
          <w:szCs w:val="24"/>
        </w:rPr>
        <w:t xml:space="preserve">college students </w:t>
      </w:r>
      <w:r>
        <w:rPr>
          <w:rFonts w:cs="Times New Roman"/>
          <w:iCs/>
          <w:szCs w:val="24"/>
        </w:rPr>
        <w:t xml:space="preserve">as </w:t>
      </w:r>
      <w:r w:rsidR="00F80FDC">
        <w:rPr>
          <w:rFonts w:cs="Times New Roman"/>
          <w:iCs/>
          <w:szCs w:val="24"/>
        </w:rPr>
        <w:t xml:space="preserve">volunteer </w:t>
      </w:r>
      <w:r>
        <w:rPr>
          <w:rFonts w:cs="Times New Roman"/>
          <w:iCs/>
          <w:szCs w:val="24"/>
        </w:rPr>
        <w:t>peer-support coaches.</w:t>
      </w:r>
      <w:r w:rsidRPr="00A44705">
        <w:rPr>
          <w:rFonts w:cs="Times New Roman"/>
          <w:i/>
          <w:szCs w:val="24"/>
        </w:rPr>
        <w:t xml:space="preserve"> </w:t>
      </w:r>
      <w:r>
        <w:rPr>
          <w:rFonts w:cs="Times New Roman"/>
          <w:szCs w:val="24"/>
        </w:rPr>
        <w:t>Undergraduate volunteers</w:t>
      </w:r>
      <w:r w:rsidRPr="00C52FBD">
        <w:rPr>
          <w:rFonts w:cs="Times New Roman"/>
          <w:szCs w:val="24"/>
        </w:rPr>
        <w:t xml:space="preserve"> provide a cost-effective method for phone coaching</w:t>
      </w:r>
      <w:r>
        <w:rPr>
          <w:rFonts w:cs="Times New Roman"/>
          <w:szCs w:val="24"/>
        </w:rPr>
        <w:t>, making large-scale implementation feasible</w:t>
      </w:r>
      <w:r w:rsidR="00F80FDC">
        <w:rPr>
          <w:rFonts w:cs="Times New Roman"/>
          <w:szCs w:val="24"/>
        </w:rPr>
        <w:t xml:space="preserve"> while providing valuable training </w:t>
      </w:r>
      <w:r w:rsidR="00F80FDC">
        <w:rPr>
          <w:rFonts w:cs="Times New Roman"/>
          <w:szCs w:val="24"/>
        </w:rPr>
        <w:lastRenderedPageBreak/>
        <w:t>opportunities for students</w:t>
      </w:r>
      <w:r>
        <w:rPr>
          <w:rFonts w:cs="Times New Roman"/>
          <w:szCs w:val="24"/>
        </w:rPr>
        <w:t>.</w:t>
      </w:r>
      <w:r w:rsidR="00190E06">
        <w:rPr>
          <w:rFonts w:cs="Times New Roman"/>
          <w:szCs w:val="24"/>
        </w:rPr>
        <w:t xml:space="preserve"> Additionally, </w:t>
      </w:r>
      <w:r w:rsidR="00F80FDC">
        <w:rPr>
          <w:rFonts w:cs="Times New Roman"/>
          <w:szCs w:val="24"/>
        </w:rPr>
        <w:t xml:space="preserve">undergraduates </w:t>
      </w:r>
      <w:r w:rsidR="00190E06">
        <w:rPr>
          <w:rFonts w:cs="Times New Roman"/>
          <w:szCs w:val="24"/>
        </w:rPr>
        <w:t>r</w:t>
      </w:r>
      <w:r w:rsidRPr="00C52FBD">
        <w:rPr>
          <w:rFonts w:cs="Times New Roman"/>
          <w:szCs w:val="24"/>
        </w:rPr>
        <w:t>eceiving coaching from another undergraduate student may</w:t>
      </w:r>
      <w:r w:rsidR="00217B6D">
        <w:rPr>
          <w:rFonts w:cs="Times New Roman"/>
          <w:szCs w:val="24"/>
        </w:rPr>
        <w:t xml:space="preserve"> potentially</w:t>
      </w:r>
      <w:r w:rsidRPr="00C52FBD">
        <w:rPr>
          <w:rFonts w:cs="Times New Roman"/>
          <w:szCs w:val="24"/>
        </w:rPr>
        <w:t xml:space="preserve"> be </w:t>
      </w:r>
      <w:r>
        <w:rPr>
          <w:rFonts w:cs="Times New Roman"/>
          <w:szCs w:val="24"/>
        </w:rPr>
        <w:t xml:space="preserve">more acceptable </w:t>
      </w:r>
      <w:r w:rsidR="00217B6D">
        <w:rPr>
          <w:rFonts w:cs="Times New Roman"/>
          <w:szCs w:val="24"/>
        </w:rPr>
        <w:t xml:space="preserve">than from a mental health professional </w:t>
      </w:r>
      <w:r w:rsidR="00864141" w:rsidRPr="00864141">
        <w:rPr>
          <w:rFonts w:cs="Times New Roman"/>
        </w:rPr>
        <w:t>(Levin et al., 2017)</w:t>
      </w:r>
      <w:r w:rsidR="00CF60D5">
        <w:rPr>
          <w:rFonts w:cs="Times New Roman"/>
          <w:szCs w:val="24"/>
        </w:rPr>
        <w:t xml:space="preserve"> and</w:t>
      </w:r>
      <w:r>
        <w:rPr>
          <w:rFonts w:cs="Times New Roman"/>
          <w:szCs w:val="24"/>
        </w:rPr>
        <w:t xml:space="preserve"> </w:t>
      </w:r>
      <w:r w:rsidR="00217B6D">
        <w:rPr>
          <w:rFonts w:cs="Times New Roman"/>
          <w:szCs w:val="24"/>
        </w:rPr>
        <w:t>help</w:t>
      </w:r>
      <w:r w:rsidRPr="00C52FBD">
        <w:rPr>
          <w:rFonts w:cs="Times New Roman"/>
          <w:szCs w:val="24"/>
        </w:rPr>
        <w:t xml:space="preserve"> normalize help seeking</w:t>
      </w:r>
      <w:r w:rsidR="00CF60D5">
        <w:rPr>
          <w:rFonts w:cs="Times New Roman"/>
          <w:szCs w:val="24"/>
        </w:rPr>
        <w:t>.</w:t>
      </w:r>
      <w:r w:rsidR="00910645">
        <w:rPr>
          <w:rFonts w:cs="Times New Roman"/>
          <w:szCs w:val="24"/>
        </w:rPr>
        <w:t xml:space="preserve"> </w:t>
      </w:r>
      <w:r w:rsidRPr="00C52FBD">
        <w:rPr>
          <w:rFonts w:cs="Times New Roman"/>
          <w:szCs w:val="24"/>
        </w:rPr>
        <w:t xml:space="preserve">Despite </w:t>
      </w:r>
      <w:r w:rsidR="00CF60D5">
        <w:rPr>
          <w:rFonts w:cs="Times New Roman"/>
          <w:szCs w:val="24"/>
        </w:rPr>
        <w:t>these</w:t>
      </w:r>
      <w:r w:rsidRPr="00C52FBD">
        <w:rPr>
          <w:rFonts w:cs="Times New Roman"/>
          <w:szCs w:val="24"/>
        </w:rPr>
        <w:t xml:space="preserve"> benefits, peer-support has </w:t>
      </w:r>
      <w:r w:rsidR="00CA0321">
        <w:rPr>
          <w:rFonts w:cs="Times New Roman"/>
          <w:szCs w:val="24"/>
        </w:rPr>
        <w:t xml:space="preserve">yet to </w:t>
      </w:r>
      <w:r w:rsidRPr="00C52FBD">
        <w:rPr>
          <w:rFonts w:cs="Times New Roman"/>
          <w:szCs w:val="24"/>
        </w:rPr>
        <w:t xml:space="preserve">be studied </w:t>
      </w:r>
      <w:r>
        <w:rPr>
          <w:rFonts w:cs="Times New Roman"/>
          <w:szCs w:val="24"/>
        </w:rPr>
        <w:t>as a tool for increasing adherence to</w:t>
      </w:r>
      <w:r w:rsidRPr="00C52FBD">
        <w:rPr>
          <w:rFonts w:cs="Times New Roman"/>
          <w:szCs w:val="24"/>
        </w:rPr>
        <w:t xml:space="preserve"> online mental health programs</w:t>
      </w:r>
      <w:r w:rsidR="00CA0321">
        <w:rPr>
          <w:rFonts w:cs="Times New Roman"/>
          <w:szCs w:val="24"/>
        </w:rPr>
        <w:t xml:space="preserve">, and has instead typically been used as the primary intervention itself </w:t>
      </w:r>
      <w:r w:rsidR="00CA0321" w:rsidRPr="00CA0321">
        <w:rPr>
          <w:rFonts w:cs="Times New Roman"/>
        </w:rPr>
        <w:t>(Fortuna et al., 2019)</w:t>
      </w:r>
      <w:r>
        <w:rPr>
          <w:rFonts w:cs="Times New Roman"/>
          <w:szCs w:val="24"/>
        </w:rPr>
        <w:t xml:space="preserve">. </w:t>
      </w:r>
      <w:r w:rsidRPr="005E273A">
        <w:rPr>
          <w:rFonts w:cs="Times New Roman"/>
          <w:szCs w:val="24"/>
        </w:rPr>
        <w:t xml:space="preserve">Thus, the proposed </w:t>
      </w:r>
      <w:r>
        <w:rPr>
          <w:rFonts w:cs="Times New Roman"/>
          <w:szCs w:val="24"/>
        </w:rPr>
        <w:t>study</w:t>
      </w:r>
      <w:r w:rsidRPr="005E273A">
        <w:rPr>
          <w:rFonts w:cs="Times New Roman"/>
          <w:szCs w:val="24"/>
        </w:rPr>
        <w:t xml:space="preserve"> aims to test the efficacy of an innovative peer-support coaching model.</w:t>
      </w:r>
      <w:r>
        <w:rPr>
          <w:rFonts w:cs="Times New Roman"/>
          <w:szCs w:val="24"/>
        </w:rPr>
        <w:t xml:space="preserve"> </w:t>
      </w:r>
    </w:p>
    <w:p w14:paraId="1CD8F37F" w14:textId="77777777" w:rsidR="00C722D2" w:rsidRPr="005E273A" w:rsidRDefault="00C722D2" w:rsidP="00071F3E">
      <w:pPr>
        <w:spacing w:line="480" w:lineRule="auto"/>
        <w:contextualSpacing/>
        <w:rPr>
          <w:rFonts w:cs="Times New Roman"/>
          <w:b/>
          <w:bCs/>
          <w:szCs w:val="24"/>
        </w:rPr>
      </w:pPr>
      <w:r>
        <w:rPr>
          <w:rFonts w:cs="Times New Roman"/>
          <w:b/>
          <w:bCs/>
          <w:szCs w:val="24"/>
        </w:rPr>
        <w:t>The Current Study</w:t>
      </w:r>
    </w:p>
    <w:p w14:paraId="3FC07ABB" w14:textId="72284413" w:rsidR="008906DA" w:rsidRDefault="00C722D2" w:rsidP="00F8640E">
      <w:pPr>
        <w:spacing w:line="480" w:lineRule="auto"/>
        <w:ind w:firstLine="720"/>
        <w:contextualSpacing/>
        <w:rPr>
          <w:rFonts w:cs="Times New Roman"/>
          <w:szCs w:val="24"/>
        </w:rPr>
      </w:pPr>
      <w:bookmarkStart w:id="3" w:name="_Hlk55744902"/>
      <w:bookmarkEnd w:id="2"/>
      <w:r>
        <w:rPr>
          <w:rFonts w:cs="Times New Roman"/>
          <w:szCs w:val="24"/>
        </w:rPr>
        <w:t>A novel peer-support coaching</w:t>
      </w:r>
      <w:r w:rsidRPr="00C52FBD">
        <w:rPr>
          <w:rFonts w:cs="Times New Roman"/>
          <w:szCs w:val="24"/>
        </w:rPr>
        <w:t xml:space="preserve"> model </w:t>
      </w:r>
      <w:r>
        <w:rPr>
          <w:rFonts w:cs="Times New Roman"/>
          <w:szCs w:val="24"/>
        </w:rPr>
        <w:t xml:space="preserve">was tested </w:t>
      </w:r>
      <w:r w:rsidR="0030108B">
        <w:rPr>
          <w:rFonts w:cs="Times New Roman"/>
          <w:szCs w:val="24"/>
        </w:rPr>
        <w:t xml:space="preserve">in </w:t>
      </w:r>
      <w:r w:rsidRPr="00C52FBD">
        <w:rPr>
          <w:rFonts w:cs="Times New Roman"/>
          <w:szCs w:val="24"/>
        </w:rPr>
        <w:t xml:space="preserve">a </w:t>
      </w:r>
      <w:r>
        <w:rPr>
          <w:rFonts w:cs="Times New Roman"/>
          <w:szCs w:val="24"/>
        </w:rPr>
        <w:t>RCT</w:t>
      </w:r>
      <w:r w:rsidRPr="00C52FBD">
        <w:rPr>
          <w:rFonts w:cs="Times New Roman"/>
          <w:szCs w:val="24"/>
        </w:rPr>
        <w:t>, in which undergraduate students</w:t>
      </w:r>
      <w:r>
        <w:rPr>
          <w:rFonts w:cs="Times New Roman"/>
          <w:szCs w:val="24"/>
        </w:rPr>
        <w:t xml:space="preserve"> used </w:t>
      </w:r>
      <w:r w:rsidR="00CE7D1B">
        <w:rPr>
          <w:rFonts w:cs="Times New Roman"/>
          <w:szCs w:val="24"/>
        </w:rPr>
        <w:t xml:space="preserve">the online self-help program </w:t>
      </w:r>
      <w:r w:rsidR="0030108B">
        <w:rPr>
          <w:rFonts w:cs="Times New Roman"/>
          <w:szCs w:val="24"/>
        </w:rPr>
        <w:t xml:space="preserve">ACT </w:t>
      </w:r>
      <w:r>
        <w:rPr>
          <w:rFonts w:cs="Times New Roman"/>
          <w:szCs w:val="24"/>
        </w:rPr>
        <w:t xml:space="preserve">Guide </w:t>
      </w:r>
      <w:r w:rsidR="0030108B">
        <w:rPr>
          <w:rFonts w:cs="Times New Roman"/>
          <w:szCs w:val="24"/>
        </w:rPr>
        <w:t>(</w:t>
      </w:r>
      <w:hyperlink r:id="rId8" w:history="1">
        <w:r w:rsidR="0030108B" w:rsidRPr="00CC4EAE">
          <w:rPr>
            <w:rStyle w:val="Hyperlink"/>
            <w:rFonts w:cs="Times New Roman"/>
            <w:szCs w:val="24"/>
          </w:rPr>
          <w:t>https://ACTGuide.usu.edu</w:t>
        </w:r>
      </w:hyperlink>
      <w:r w:rsidR="0030108B">
        <w:rPr>
          <w:rFonts w:cs="Times New Roman"/>
          <w:szCs w:val="24"/>
        </w:rPr>
        <w:t xml:space="preserve">) </w:t>
      </w:r>
      <w:r>
        <w:rPr>
          <w:rFonts w:cs="Times New Roman"/>
          <w:szCs w:val="24"/>
        </w:rPr>
        <w:t>for 10 weeks w</w:t>
      </w:r>
      <w:r w:rsidR="003F4BEF">
        <w:rPr>
          <w:rFonts w:cs="Times New Roman"/>
          <w:szCs w:val="24"/>
        </w:rPr>
        <w:t xml:space="preserve">ith </w:t>
      </w:r>
      <w:r w:rsidRPr="00C52FBD">
        <w:rPr>
          <w:rFonts w:cs="Times New Roman"/>
          <w:szCs w:val="24"/>
        </w:rPr>
        <w:t>random assign</w:t>
      </w:r>
      <w:r w:rsidR="003F4BEF">
        <w:rPr>
          <w:rFonts w:cs="Times New Roman"/>
          <w:szCs w:val="24"/>
        </w:rPr>
        <w:t>ment</w:t>
      </w:r>
      <w:r w:rsidRPr="00C52FBD">
        <w:rPr>
          <w:rFonts w:cs="Times New Roman"/>
          <w:szCs w:val="24"/>
        </w:rPr>
        <w:t xml:space="preserve"> to</w:t>
      </w:r>
      <w:r>
        <w:rPr>
          <w:rFonts w:cs="Times New Roman"/>
          <w:szCs w:val="24"/>
        </w:rPr>
        <w:t xml:space="preserve"> </w:t>
      </w:r>
      <w:r w:rsidRPr="00C52FBD">
        <w:rPr>
          <w:rFonts w:cs="Times New Roman"/>
          <w:szCs w:val="24"/>
        </w:rPr>
        <w:t xml:space="preserve">receive peer-support phone coaching, </w:t>
      </w:r>
      <w:r>
        <w:rPr>
          <w:rFonts w:cs="Times New Roman"/>
          <w:szCs w:val="24"/>
        </w:rPr>
        <w:t>text-message coaching</w:t>
      </w:r>
      <w:r w:rsidRPr="00C52FBD">
        <w:rPr>
          <w:rFonts w:cs="Times New Roman"/>
          <w:szCs w:val="24"/>
        </w:rPr>
        <w:t xml:space="preserve">, or </w:t>
      </w:r>
      <w:r w:rsidR="003F4BEF">
        <w:rPr>
          <w:rFonts w:cs="Times New Roman"/>
          <w:szCs w:val="24"/>
        </w:rPr>
        <w:t>no coaching</w:t>
      </w:r>
      <w:r w:rsidRPr="00C52FBD">
        <w:rPr>
          <w:rFonts w:cs="Times New Roman"/>
          <w:szCs w:val="24"/>
        </w:rPr>
        <w:t>.</w:t>
      </w:r>
      <w:r w:rsidR="00853784">
        <w:rPr>
          <w:rFonts w:cs="Times New Roman"/>
          <w:szCs w:val="24"/>
        </w:rPr>
        <w:t xml:space="preserve"> The ACT Guide program </w:t>
      </w:r>
      <w:r w:rsidR="00FE16CE">
        <w:rPr>
          <w:rFonts w:cs="Times New Roman"/>
          <w:szCs w:val="24"/>
        </w:rPr>
        <w:t>had been</w:t>
      </w:r>
      <w:r w:rsidR="00853784">
        <w:rPr>
          <w:rFonts w:cs="Times New Roman"/>
          <w:szCs w:val="24"/>
        </w:rPr>
        <w:t xml:space="preserve"> widely deployed at the university</w:t>
      </w:r>
      <w:r w:rsidR="00FE16CE">
        <w:rPr>
          <w:rFonts w:cs="Times New Roman"/>
          <w:szCs w:val="24"/>
        </w:rPr>
        <w:t xml:space="preserve"> since December 2019</w:t>
      </w:r>
      <w:r w:rsidR="00853784">
        <w:rPr>
          <w:rFonts w:cs="Times New Roman"/>
          <w:szCs w:val="24"/>
        </w:rPr>
        <w:t xml:space="preserve"> as a freely available self-help mental health service for students</w:t>
      </w:r>
      <w:r w:rsidR="00FE16CE">
        <w:rPr>
          <w:rFonts w:cs="Times New Roman"/>
          <w:szCs w:val="24"/>
        </w:rPr>
        <w:t>, with over 1,500 registered users since its launch</w:t>
      </w:r>
      <w:r w:rsidR="00853784">
        <w:rPr>
          <w:rFonts w:cs="Times New Roman"/>
          <w:szCs w:val="24"/>
        </w:rPr>
        <w:t xml:space="preserve">, and thus this study aimed to </w:t>
      </w:r>
      <w:r w:rsidR="00FE16CE">
        <w:rPr>
          <w:rFonts w:cs="Times New Roman"/>
          <w:szCs w:val="24"/>
        </w:rPr>
        <w:t>evaluate</w:t>
      </w:r>
      <w:r w:rsidR="00853784">
        <w:rPr>
          <w:rFonts w:cs="Times New Roman"/>
          <w:szCs w:val="24"/>
        </w:rPr>
        <w:t xml:space="preserve"> </w:t>
      </w:r>
      <w:r w:rsidR="00FE16CE">
        <w:rPr>
          <w:rFonts w:cs="Times New Roman"/>
          <w:szCs w:val="24"/>
        </w:rPr>
        <w:t>scalable methods to increase adherence to a naturalistically deployed online service.</w:t>
      </w:r>
      <w:r w:rsidRPr="00C52FBD">
        <w:rPr>
          <w:rFonts w:cs="Times New Roman"/>
          <w:szCs w:val="24"/>
        </w:rPr>
        <w:t xml:space="preserve"> This w</w:t>
      </w:r>
      <w:r>
        <w:rPr>
          <w:rFonts w:cs="Times New Roman"/>
          <w:szCs w:val="24"/>
        </w:rPr>
        <w:t>as</w:t>
      </w:r>
      <w:r w:rsidRPr="00C52FBD">
        <w:rPr>
          <w:rFonts w:cs="Times New Roman"/>
          <w:szCs w:val="24"/>
        </w:rPr>
        <w:t xml:space="preserve"> tested using a</w:t>
      </w:r>
      <w:r>
        <w:rPr>
          <w:rFonts w:cs="Times New Roman"/>
          <w:szCs w:val="24"/>
        </w:rPr>
        <w:t xml:space="preserve"> novel</w:t>
      </w:r>
      <w:r w:rsidRPr="00C52FBD">
        <w:rPr>
          <w:rFonts w:cs="Times New Roman"/>
          <w:szCs w:val="24"/>
        </w:rPr>
        <w:t xml:space="preserve"> ACT</w:t>
      </w:r>
      <w:r>
        <w:rPr>
          <w:rFonts w:cs="Times New Roman"/>
          <w:szCs w:val="24"/>
        </w:rPr>
        <w:t>-</w:t>
      </w:r>
      <w:r w:rsidRPr="00C52FBD">
        <w:rPr>
          <w:rFonts w:cs="Times New Roman"/>
          <w:szCs w:val="24"/>
        </w:rPr>
        <w:t>based coaching protocol,</w:t>
      </w:r>
      <w:r>
        <w:rPr>
          <w:rFonts w:cs="Times New Roman"/>
          <w:szCs w:val="24"/>
        </w:rPr>
        <w:t xml:space="preserve"> which leveraged key acceptance, mindfulness, and values-based strategies that have been found effective in improving face-to-face treatment adherence</w:t>
      </w:r>
      <w:r w:rsidR="00F8640E">
        <w:rPr>
          <w:rFonts w:cs="Times New Roman"/>
          <w:szCs w:val="24"/>
        </w:rPr>
        <w:t xml:space="preserve"> </w:t>
      </w:r>
      <w:r w:rsidR="00F8640E" w:rsidRPr="00F8640E">
        <w:rPr>
          <w:rFonts w:cs="Times New Roman"/>
        </w:rPr>
        <w:t>(</w:t>
      </w:r>
      <w:r w:rsidR="00F8640E">
        <w:rPr>
          <w:rFonts w:cs="Times New Roman"/>
        </w:rPr>
        <w:t xml:space="preserve">e.g., </w:t>
      </w:r>
      <w:r w:rsidR="00F8640E" w:rsidRPr="00F8640E">
        <w:rPr>
          <w:rFonts w:cs="Times New Roman"/>
        </w:rPr>
        <w:t>Moitra &amp; Gaudiano, 2016)</w:t>
      </w:r>
      <w:r>
        <w:rPr>
          <w:rFonts w:cs="Times New Roman"/>
          <w:szCs w:val="24"/>
        </w:rPr>
        <w:t xml:space="preserve">, but have not been previously applied to online self-help adherence. </w:t>
      </w:r>
      <w:r w:rsidR="0030108B">
        <w:rPr>
          <w:rFonts w:cs="Times New Roman"/>
          <w:szCs w:val="24"/>
        </w:rPr>
        <w:t>P</w:t>
      </w:r>
      <w:r>
        <w:rPr>
          <w:rFonts w:cs="Times New Roman"/>
          <w:szCs w:val="24"/>
        </w:rPr>
        <w:t>eer-delivered coaching over the phone</w:t>
      </w:r>
      <w:r w:rsidR="0030108B">
        <w:rPr>
          <w:rFonts w:cs="Times New Roman"/>
          <w:szCs w:val="24"/>
        </w:rPr>
        <w:t xml:space="preserve"> was compared</w:t>
      </w:r>
      <w:r>
        <w:rPr>
          <w:rFonts w:cs="Times New Roman"/>
          <w:szCs w:val="24"/>
        </w:rPr>
        <w:t xml:space="preserve"> to briefer coaching via text messaging </w:t>
      </w:r>
      <w:r w:rsidR="0030108B">
        <w:rPr>
          <w:rFonts w:cs="Times New Roman"/>
          <w:szCs w:val="24"/>
        </w:rPr>
        <w:t>to</w:t>
      </w:r>
      <w:r>
        <w:rPr>
          <w:rFonts w:cs="Times New Roman"/>
          <w:szCs w:val="24"/>
        </w:rPr>
        <w:t xml:space="preserve"> </w:t>
      </w:r>
      <w:r w:rsidR="0030108B">
        <w:rPr>
          <w:rFonts w:cs="Times New Roman"/>
          <w:szCs w:val="24"/>
        </w:rPr>
        <w:t xml:space="preserve">determine if </w:t>
      </w:r>
      <w:r w:rsidR="0002788B">
        <w:rPr>
          <w:rFonts w:cs="Times New Roman"/>
          <w:szCs w:val="24"/>
        </w:rPr>
        <w:t>phone coaching was more effective despite potentially being less efficient to deliver th</w:t>
      </w:r>
      <w:r w:rsidR="009D0360">
        <w:rPr>
          <w:rFonts w:cs="Times New Roman"/>
          <w:szCs w:val="24"/>
        </w:rPr>
        <w:t>a</w:t>
      </w:r>
      <w:r w:rsidR="0002788B">
        <w:rPr>
          <w:rFonts w:cs="Times New Roman"/>
          <w:szCs w:val="24"/>
        </w:rPr>
        <w:t>n text-based coaching</w:t>
      </w:r>
      <w:r>
        <w:rPr>
          <w:rFonts w:cs="Times New Roman"/>
          <w:szCs w:val="24"/>
        </w:rPr>
        <w:t xml:space="preserve">. </w:t>
      </w:r>
      <w:r w:rsidR="00B34498">
        <w:rPr>
          <w:rFonts w:cs="Times New Roman"/>
          <w:szCs w:val="24"/>
        </w:rPr>
        <w:t>S</w:t>
      </w:r>
      <w:r>
        <w:rPr>
          <w:rFonts w:cs="Times New Roman"/>
          <w:szCs w:val="24"/>
        </w:rPr>
        <w:t xml:space="preserve">ynchronous and asynchronous formats have been </w:t>
      </w:r>
      <w:r w:rsidR="00B34498">
        <w:rPr>
          <w:rFonts w:cs="Times New Roman"/>
          <w:szCs w:val="24"/>
        </w:rPr>
        <w:t>directly compared in previous studies</w:t>
      </w:r>
      <w:r w:rsidR="0086712E">
        <w:rPr>
          <w:rFonts w:cs="Times New Roman"/>
          <w:szCs w:val="24"/>
        </w:rPr>
        <w:t xml:space="preserve"> </w:t>
      </w:r>
      <w:r w:rsidR="005F440C" w:rsidRPr="005F440C">
        <w:rPr>
          <w:rFonts w:cs="Times New Roman"/>
        </w:rPr>
        <w:t>(</w:t>
      </w:r>
      <w:r w:rsidR="005F440C">
        <w:rPr>
          <w:rFonts w:cs="Times New Roman"/>
        </w:rPr>
        <w:t xml:space="preserve">e.g., </w:t>
      </w:r>
      <w:r w:rsidR="005F440C" w:rsidRPr="005F440C">
        <w:rPr>
          <w:rFonts w:cs="Times New Roman"/>
        </w:rPr>
        <w:t>Renfrew et al., 2020)</w:t>
      </w:r>
      <w:r w:rsidR="00B34498">
        <w:rPr>
          <w:rFonts w:cs="Times New Roman"/>
          <w:szCs w:val="24"/>
        </w:rPr>
        <w:t xml:space="preserve">, but </w:t>
      </w:r>
      <w:r w:rsidR="0030108B">
        <w:rPr>
          <w:rFonts w:cs="Times New Roman"/>
          <w:szCs w:val="24"/>
        </w:rPr>
        <w:t>not</w:t>
      </w:r>
      <w:r w:rsidR="00B34498">
        <w:rPr>
          <w:rFonts w:cs="Times New Roman"/>
          <w:szCs w:val="24"/>
        </w:rPr>
        <w:t xml:space="preserve"> phone coaching and </w:t>
      </w:r>
      <w:r w:rsidR="00B222BA">
        <w:rPr>
          <w:rFonts w:cs="Times New Roman"/>
          <w:szCs w:val="24"/>
        </w:rPr>
        <w:t>text coaching specifically</w:t>
      </w:r>
      <w:r>
        <w:rPr>
          <w:rFonts w:cs="Times New Roman"/>
          <w:szCs w:val="24"/>
        </w:rPr>
        <w:t xml:space="preserve">. </w:t>
      </w:r>
    </w:p>
    <w:p w14:paraId="674AE1A0" w14:textId="1B146BA6" w:rsidR="00C722D2" w:rsidRDefault="00313050" w:rsidP="001B2FDA">
      <w:pPr>
        <w:spacing w:line="480" w:lineRule="auto"/>
        <w:ind w:firstLine="720"/>
        <w:contextualSpacing/>
      </w:pPr>
      <w:r>
        <w:rPr>
          <w:rFonts w:cs="Times New Roman"/>
          <w:bCs/>
          <w:szCs w:val="24"/>
        </w:rPr>
        <w:t>Our hypotheses</w:t>
      </w:r>
      <w:r w:rsidR="005023C3">
        <w:rPr>
          <w:rFonts w:cs="Times New Roman"/>
          <w:bCs/>
          <w:szCs w:val="24"/>
        </w:rPr>
        <w:t xml:space="preserve"> included</w:t>
      </w:r>
      <w:r w:rsidR="00C722D2">
        <w:rPr>
          <w:rFonts w:cs="Times New Roman"/>
          <w:szCs w:val="24"/>
        </w:rPr>
        <w:t xml:space="preserve"> </w:t>
      </w:r>
      <w:r w:rsidR="008906DA">
        <w:rPr>
          <w:rFonts w:cs="Times New Roman"/>
          <w:szCs w:val="24"/>
        </w:rPr>
        <w:t>that p</w:t>
      </w:r>
      <w:r w:rsidR="008906DA" w:rsidRPr="008906DA">
        <w:rPr>
          <w:rFonts w:cs="Times New Roman"/>
          <w:szCs w:val="24"/>
        </w:rPr>
        <w:t xml:space="preserve">articipants who receive peer-support phone coaching </w:t>
      </w:r>
      <w:r w:rsidR="008906DA" w:rsidRPr="008906DA">
        <w:rPr>
          <w:rFonts w:cs="Times New Roman"/>
          <w:szCs w:val="24"/>
        </w:rPr>
        <w:lastRenderedPageBreak/>
        <w:t>w</w:t>
      </w:r>
      <w:r w:rsidR="008906DA">
        <w:rPr>
          <w:rFonts w:cs="Times New Roman"/>
          <w:szCs w:val="24"/>
        </w:rPr>
        <w:t>ould</w:t>
      </w:r>
      <w:r w:rsidR="008906DA" w:rsidRPr="008906DA">
        <w:rPr>
          <w:rFonts w:cs="Times New Roman"/>
          <w:szCs w:val="24"/>
        </w:rPr>
        <w:t xml:space="preserve"> complete more ACT Guide modules</w:t>
      </w:r>
      <w:r w:rsidR="005023C3">
        <w:rPr>
          <w:rFonts w:cs="Times New Roman"/>
          <w:szCs w:val="24"/>
        </w:rPr>
        <w:t xml:space="preserve"> (primary outcome)</w:t>
      </w:r>
      <w:r w:rsidR="008906DA" w:rsidRPr="008906DA">
        <w:rPr>
          <w:rFonts w:cs="Times New Roman"/>
          <w:szCs w:val="24"/>
        </w:rPr>
        <w:t xml:space="preserve"> and report greater improvements in</w:t>
      </w:r>
      <w:r w:rsidR="005023C3">
        <w:rPr>
          <w:rFonts w:cs="Times New Roman"/>
          <w:szCs w:val="24"/>
        </w:rPr>
        <w:t xml:space="preserve"> secondary outcomes of</w:t>
      </w:r>
      <w:r w:rsidR="008906DA" w:rsidRPr="008906DA">
        <w:rPr>
          <w:rFonts w:cs="Times New Roman"/>
          <w:szCs w:val="24"/>
        </w:rPr>
        <w:t xml:space="preserve"> mental health </w:t>
      </w:r>
      <w:r w:rsidR="005023C3">
        <w:rPr>
          <w:rFonts w:cs="Times New Roman"/>
          <w:szCs w:val="24"/>
        </w:rPr>
        <w:t xml:space="preserve">and ACT processes of change (psychological flexibility) </w:t>
      </w:r>
      <w:r w:rsidR="008906DA" w:rsidRPr="008906DA">
        <w:rPr>
          <w:rFonts w:cs="Times New Roman"/>
          <w:szCs w:val="24"/>
        </w:rPr>
        <w:t xml:space="preserve">relative to the text messaging and no </w:t>
      </w:r>
      <w:r w:rsidR="000F593D">
        <w:rPr>
          <w:rFonts w:cs="Times New Roman"/>
          <w:szCs w:val="24"/>
        </w:rPr>
        <w:t>coaching</w:t>
      </w:r>
      <w:r w:rsidR="008906DA" w:rsidRPr="008906DA">
        <w:rPr>
          <w:rFonts w:cs="Times New Roman"/>
          <w:szCs w:val="24"/>
        </w:rPr>
        <w:t xml:space="preserve"> conditions.</w:t>
      </w:r>
      <w:r w:rsidR="008906DA">
        <w:rPr>
          <w:rFonts w:cs="Times New Roman"/>
          <w:szCs w:val="24"/>
        </w:rPr>
        <w:t xml:space="preserve"> </w:t>
      </w:r>
      <w:r w:rsidR="0002788B">
        <w:rPr>
          <w:rFonts w:cs="Times New Roman"/>
          <w:szCs w:val="24"/>
        </w:rPr>
        <w:t>P</w:t>
      </w:r>
      <w:r w:rsidR="00C722D2" w:rsidRPr="001B4911">
        <w:t xml:space="preserve">articipants in the text messaging condition </w:t>
      </w:r>
      <w:r w:rsidR="0002788B">
        <w:t xml:space="preserve">were </w:t>
      </w:r>
      <w:r w:rsidR="00FF1727">
        <w:t xml:space="preserve">hypothesized </w:t>
      </w:r>
      <w:r w:rsidR="0002788B">
        <w:t xml:space="preserve">to </w:t>
      </w:r>
      <w:r w:rsidR="005023C3">
        <w:t>demonstrate</w:t>
      </w:r>
      <w:r w:rsidR="005023C3" w:rsidRPr="001B4911">
        <w:t xml:space="preserve"> </w:t>
      </w:r>
      <w:r w:rsidR="00C722D2" w:rsidRPr="001B4911">
        <w:t xml:space="preserve">better adherence and </w:t>
      </w:r>
      <w:r w:rsidR="00C722D2">
        <w:t xml:space="preserve">greater improvements in </w:t>
      </w:r>
      <w:r w:rsidR="00C722D2" w:rsidRPr="001B4911">
        <w:t>mental health</w:t>
      </w:r>
      <w:r w:rsidR="005023C3">
        <w:t xml:space="preserve"> and psychological flexibility</w:t>
      </w:r>
      <w:r w:rsidR="00C722D2" w:rsidRPr="001B4911">
        <w:t xml:space="preserve"> than the no </w:t>
      </w:r>
      <w:r w:rsidR="000F593D">
        <w:t>coaching</w:t>
      </w:r>
      <w:r w:rsidR="00C722D2" w:rsidRPr="001B4911">
        <w:t xml:space="preserve"> condition</w:t>
      </w:r>
      <w:r w:rsidR="005023C3">
        <w:t xml:space="preserve">. The results of this study would thus determine the potential benefits of the novel ACT-based peer coaching model as well as whether effects were equivalent or weaker when using a potentially more efficient text-messaging format. </w:t>
      </w:r>
      <w:r w:rsidR="00C722D2" w:rsidRPr="001B4911">
        <w:t xml:space="preserve"> </w:t>
      </w:r>
      <w:bookmarkEnd w:id="3"/>
    </w:p>
    <w:p w14:paraId="68B5C607" w14:textId="3EFA492F" w:rsidR="00C722D2" w:rsidRPr="00F3462F" w:rsidRDefault="00071F3E" w:rsidP="00F3462F">
      <w:pPr>
        <w:spacing w:line="480" w:lineRule="auto"/>
        <w:jc w:val="center"/>
      </w:pPr>
      <w:r>
        <w:rPr>
          <w:rFonts w:eastAsia="Times New Roman" w:cs="Times New Roman"/>
          <w:b/>
          <w:bCs/>
          <w:color w:val="000000" w:themeColor="text1"/>
          <w:szCs w:val="24"/>
        </w:rPr>
        <w:t>Method</w:t>
      </w:r>
    </w:p>
    <w:p w14:paraId="740EA891" w14:textId="2CB95C8C" w:rsidR="006A2749" w:rsidRDefault="00C722D2" w:rsidP="001B2FDA">
      <w:pPr>
        <w:spacing w:line="480" w:lineRule="auto"/>
        <w:contextualSpacing/>
        <w:rPr>
          <w:rFonts w:cs="Times New Roman"/>
          <w:bCs/>
          <w:iCs/>
          <w:szCs w:val="24"/>
        </w:rPr>
      </w:pPr>
      <w:r>
        <w:rPr>
          <w:rFonts w:cs="Times New Roman"/>
          <w:b/>
          <w:bCs/>
          <w:szCs w:val="24"/>
        </w:rPr>
        <w:t>Study Design</w:t>
      </w:r>
      <w:bookmarkStart w:id="4" w:name="_Hlk55745092"/>
    </w:p>
    <w:p w14:paraId="66ACA794" w14:textId="7437F57B" w:rsidR="00885AC9" w:rsidRDefault="00C722D2" w:rsidP="00053D29">
      <w:pPr>
        <w:spacing w:line="480" w:lineRule="auto"/>
        <w:ind w:firstLine="720"/>
        <w:contextualSpacing/>
        <w:rPr>
          <w:rFonts w:cs="Times New Roman"/>
          <w:szCs w:val="24"/>
        </w:rPr>
      </w:pPr>
      <w:r>
        <w:rPr>
          <w:rFonts w:cs="Times New Roman"/>
          <w:bCs/>
          <w:iCs/>
          <w:szCs w:val="24"/>
        </w:rPr>
        <w:t xml:space="preserve">The present study was preregistered through ClinicalTrials.gov (NCT04573465), and all procedures took place online. </w:t>
      </w:r>
      <w:r>
        <w:rPr>
          <w:rFonts w:cs="Times New Roman"/>
          <w:bCs/>
          <w:szCs w:val="24"/>
        </w:rPr>
        <w:t>Data w</w:t>
      </w:r>
      <w:r w:rsidR="000F593D">
        <w:rPr>
          <w:rFonts w:cs="Times New Roman"/>
          <w:bCs/>
          <w:szCs w:val="24"/>
        </w:rPr>
        <w:t>ere</w:t>
      </w:r>
      <w:r>
        <w:rPr>
          <w:rFonts w:cs="Times New Roman"/>
          <w:bCs/>
          <w:szCs w:val="24"/>
        </w:rPr>
        <w:t xml:space="preserve"> collected throughout the 2020-21 academic school year during the COVID-19 pandemic, with data collect</w:t>
      </w:r>
      <w:r w:rsidR="00B50CC7">
        <w:rPr>
          <w:rFonts w:cs="Times New Roman"/>
          <w:bCs/>
          <w:szCs w:val="24"/>
        </w:rPr>
        <w:t>ion</w:t>
      </w:r>
      <w:r>
        <w:rPr>
          <w:rFonts w:cs="Times New Roman"/>
          <w:bCs/>
          <w:szCs w:val="24"/>
        </w:rPr>
        <w:t xml:space="preserve"> staring on 9/28/2020 and ending on 3/17/2021. </w:t>
      </w:r>
      <w:r>
        <w:rPr>
          <w:rFonts w:cs="Times New Roman"/>
          <w:bCs/>
          <w:iCs/>
          <w:szCs w:val="24"/>
        </w:rPr>
        <w:t xml:space="preserve">This end-date was selected so that participation would not continue into the academic summer, which could potentially alter participant behavior and influence results. </w:t>
      </w:r>
      <w:r>
        <w:rPr>
          <w:rFonts w:cs="Times New Roman"/>
          <w:szCs w:val="24"/>
        </w:rPr>
        <w:t>T</w:t>
      </w:r>
      <w:r w:rsidRPr="00C52FBD">
        <w:rPr>
          <w:rFonts w:cs="Times New Roman"/>
          <w:szCs w:val="24"/>
        </w:rPr>
        <w:t xml:space="preserve">o test the effects of </w:t>
      </w:r>
      <w:r>
        <w:rPr>
          <w:rFonts w:cs="Times New Roman"/>
          <w:szCs w:val="24"/>
        </w:rPr>
        <w:t xml:space="preserve">peer-support </w:t>
      </w:r>
      <w:r w:rsidRPr="00C52FBD">
        <w:rPr>
          <w:rFonts w:cs="Times New Roman"/>
          <w:szCs w:val="24"/>
        </w:rPr>
        <w:t xml:space="preserve">coaching on </w:t>
      </w:r>
      <w:r>
        <w:rPr>
          <w:rFonts w:cs="Times New Roman"/>
          <w:szCs w:val="24"/>
        </w:rPr>
        <w:t>ACT Guide adherence rates and outcomes</w:t>
      </w:r>
      <w:r w:rsidRPr="00C52FBD">
        <w:rPr>
          <w:rFonts w:cs="Times New Roman"/>
          <w:szCs w:val="24"/>
        </w:rPr>
        <w:t xml:space="preserve">, </w:t>
      </w:r>
      <w:r>
        <w:rPr>
          <w:rFonts w:cs="Times New Roman"/>
          <w:szCs w:val="24"/>
        </w:rPr>
        <w:t xml:space="preserve">a RCT with </w:t>
      </w:r>
      <w:r w:rsidRPr="00C52FBD">
        <w:rPr>
          <w:rFonts w:cs="Times New Roman"/>
          <w:szCs w:val="24"/>
        </w:rPr>
        <w:t xml:space="preserve">three </w:t>
      </w:r>
      <w:r>
        <w:rPr>
          <w:rFonts w:cs="Times New Roman"/>
          <w:szCs w:val="24"/>
        </w:rPr>
        <w:t>conditions was conducted</w:t>
      </w:r>
      <w:r w:rsidRPr="00C52FBD">
        <w:rPr>
          <w:rFonts w:cs="Times New Roman"/>
          <w:szCs w:val="24"/>
        </w:rPr>
        <w:t xml:space="preserve">. </w:t>
      </w:r>
      <w:bookmarkStart w:id="5" w:name="_Hlk110282211"/>
      <w:r w:rsidRPr="00C52FBD">
        <w:rPr>
          <w:rFonts w:cs="Times New Roman"/>
          <w:szCs w:val="24"/>
        </w:rPr>
        <w:t xml:space="preserve">Participants </w:t>
      </w:r>
      <w:r>
        <w:rPr>
          <w:rFonts w:cs="Times New Roman"/>
          <w:szCs w:val="24"/>
        </w:rPr>
        <w:t>were</w:t>
      </w:r>
      <w:r w:rsidRPr="00C52FBD">
        <w:rPr>
          <w:rFonts w:cs="Times New Roman"/>
          <w:szCs w:val="24"/>
        </w:rPr>
        <w:t xml:space="preserve"> randomly assigned to either use ACT Guide while supported by weekly peer phone coaching, ACT Guide while supported by </w:t>
      </w:r>
      <w:r w:rsidR="00FF66C3">
        <w:rPr>
          <w:rFonts w:cs="Times New Roman"/>
          <w:szCs w:val="24"/>
        </w:rPr>
        <w:t xml:space="preserve">briefer </w:t>
      </w:r>
      <w:r>
        <w:rPr>
          <w:rFonts w:cs="Times New Roman"/>
          <w:szCs w:val="24"/>
        </w:rPr>
        <w:t xml:space="preserve">peer </w:t>
      </w:r>
      <w:r w:rsidRPr="00C52FBD">
        <w:rPr>
          <w:rFonts w:cs="Times New Roman"/>
          <w:szCs w:val="24"/>
        </w:rPr>
        <w:t>coaching through text-messages, or ACT Guide with no additional support.</w:t>
      </w:r>
      <w:r>
        <w:rPr>
          <w:rFonts w:cs="Times New Roman"/>
          <w:szCs w:val="24"/>
        </w:rPr>
        <w:t xml:space="preserve"> Participants were block randomized</w:t>
      </w:r>
      <w:r w:rsidR="00315924">
        <w:rPr>
          <w:rFonts w:cs="Times New Roman"/>
          <w:szCs w:val="24"/>
        </w:rPr>
        <w:t xml:space="preserve"> to their respective treatment</w:t>
      </w:r>
      <w:r>
        <w:rPr>
          <w:rFonts w:cs="Times New Roman"/>
          <w:szCs w:val="24"/>
        </w:rPr>
        <w:t xml:space="preserve"> in blocks of 15 to ensure balance across the three conditions.</w:t>
      </w:r>
      <w:r w:rsidR="006A361F">
        <w:rPr>
          <w:rFonts w:cs="Times New Roman"/>
          <w:szCs w:val="24"/>
        </w:rPr>
        <w:t xml:space="preserve"> </w:t>
      </w:r>
      <w:r w:rsidR="00573498">
        <w:rPr>
          <w:rFonts w:cs="Times New Roman"/>
          <w:szCs w:val="24"/>
        </w:rPr>
        <w:t>Peer-support c</w:t>
      </w:r>
      <w:r w:rsidR="00F574ED">
        <w:rPr>
          <w:rFonts w:cs="Times New Roman"/>
          <w:szCs w:val="24"/>
        </w:rPr>
        <w:t>oaches were randomly assigned using block randomization</w:t>
      </w:r>
      <w:r w:rsidR="00573498">
        <w:rPr>
          <w:rFonts w:cs="Times New Roman"/>
          <w:szCs w:val="24"/>
        </w:rPr>
        <w:t xml:space="preserve"> as well</w:t>
      </w:r>
      <w:r w:rsidR="00F574ED">
        <w:rPr>
          <w:rFonts w:cs="Times New Roman"/>
          <w:szCs w:val="24"/>
        </w:rPr>
        <w:t>, with the</w:t>
      </w:r>
      <w:r w:rsidR="00573498">
        <w:rPr>
          <w:rFonts w:cs="Times New Roman"/>
          <w:szCs w:val="24"/>
        </w:rPr>
        <w:t xml:space="preserve"> block size depending on the number of coaches currently volunteering at a given time (e.g., block size of 16 for 8 coaches). </w:t>
      </w:r>
      <w:r w:rsidR="006A361F">
        <w:rPr>
          <w:rFonts w:cs="Times New Roman"/>
          <w:szCs w:val="24"/>
        </w:rPr>
        <w:t>Generation of th</w:t>
      </w:r>
      <w:r w:rsidR="00885AC9">
        <w:rPr>
          <w:rFonts w:cs="Times New Roman"/>
          <w:szCs w:val="24"/>
        </w:rPr>
        <w:t>e</w:t>
      </w:r>
      <w:r w:rsidR="00852FF8">
        <w:rPr>
          <w:rFonts w:cs="Times New Roman"/>
          <w:szCs w:val="24"/>
        </w:rPr>
        <w:t xml:space="preserve"> </w:t>
      </w:r>
      <w:r w:rsidR="006A361F">
        <w:rPr>
          <w:rFonts w:cs="Times New Roman"/>
          <w:szCs w:val="24"/>
        </w:rPr>
        <w:t xml:space="preserve">random allocation sequence, participant </w:t>
      </w:r>
      <w:r w:rsidR="006A361F">
        <w:rPr>
          <w:rFonts w:cs="Times New Roman"/>
          <w:szCs w:val="24"/>
        </w:rPr>
        <w:lastRenderedPageBreak/>
        <w:t>enrollment, and participant assignment were all conducted by the study coordinator</w:t>
      </w:r>
      <w:r w:rsidR="00885AC9">
        <w:rPr>
          <w:rFonts w:cs="Times New Roman"/>
          <w:szCs w:val="24"/>
        </w:rPr>
        <w:t>.</w:t>
      </w:r>
      <w:r w:rsidR="00365A52">
        <w:rPr>
          <w:rFonts w:cs="Times New Roman"/>
          <w:szCs w:val="24"/>
        </w:rPr>
        <w:t xml:space="preserve"> However, the actual enrollment and randomization procedures were fully automated, with participants self-enrolling through an online survey which informed them of their assigned condition once completed. The study coordinator would then manually inform the coach of their new assignment through email.</w:t>
      </w:r>
    </w:p>
    <w:bookmarkEnd w:id="5"/>
    <w:p w14:paraId="380262FD" w14:textId="78656450" w:rsidR="00C722D2" w:rsidRDefault="00C722D2" w:rsidP="001B2FDA">
      <w:pPr>
        <w:spacing w:line="480" w:lineRule="auto"/>
        <w:ind w:firstLine="720"/>
        <w:contextualSpacing/>
        <w:rPr>
          <w:rFonts w:cs="Times New Roman"/>
          <w:szCs w:val="24"/>
        </w:rPr>
      </w:pPr>
      <w:r>
        <w:rPr>
          <w:rFonts w:cs="Times New Roman"/>
          <w:szCs w:val="24"/>
        </w:rPr>
        <w:t>Adherence</w:t>
      </w:r>
      <w:r w:rsidRPr="00C52FBD">
        <w:rPr>
          <w:rFonts w:cs="Times New Roman"/>
          <w:szCs w:val="24"/>
        </w:rPr>
        <w:t xml:space="preserve"> </w:t>
      </w:r>
      <w:r>
        <w:rPr>
          <w:rFonts w:cs="Times New Roman"/>
          <w:szCs w:val="24"/>
        </w:rPr>
        <w:t xml:space="preserve">was </w:t>
      </w:r>
      <w:r w:rsidR="00B50CC7">
        <w:rPr>
          <w:rFonts w:cs="Times New Roman"/>
          <w:szCs w:val="24"/>
        </w:rPr>
        <w:t>designated as</w:t>
      </w:r>
      <w:r w:rsidR="00B50CC7" w:rsidRPr="00C52FBD">
        <w:rPr>
          <w:rFonts w:cs="Times New Roman"/>
          <w:szCs w:val="24"/>
        </w:rPr>
        <w:t xml:space="preserve"> </w:t>
      </w:r>
      <w:r w:rsidRPr="00C52FBD">
        <w:rPr>
          <w:rFonts w:cs="Times New Roman"/>
          <w:szCs w:val="24"/>
        </w:rPr>
        <w:t>the primary outcome</w:t>
      </w:r>
      <w:r>
        <w:rPr>
          <w:rFonts w:cs="Times New Roman"/>
          <w:szCs w:val="24"/>
        </w:rPr>
        <w:t xml:space="preserve">, </w:t>
      </w:r>
      <w:r w:rsidRPr="00C52FBD">
        <w:rPr>
          <w:rFonts w:cs="Times New Roman"/>
          <w:szCs w:val="24"/>
        </w:rPr>
        <w:t xml:space="preserve">measured by the number of ACT Guide modules completed which is automatically tracked by the program. Online self-report measures </w:t>
      </w:r>
      <w:r>
        <w:rPr>
          <w:rFonts w:cs="Times New Roman"/>
          <w:szCs w:val="24"/>
        </w:rPr>
        <w:t>were</w:t>
      </w:r>
      <w:r w:rsidRPr="00C52FBD">
        <w:rPr>
          <w:rFonts w:cs="Times New Roman"/>
          <w:szCs w:val="24"/>
        </w:rPr>
        <w:t xml:space="preserve"> administered at baseline and 10 weeks to assess </w:t>
      </w:r>
      <w:r>
        <w:rPr>
          <w:rFonts w:cs="Times New Roman"/>
          <w:szCs w:val="24"/>
        </w:rPr>
        <w:t xml:space="preserve">total psychological distress and subsequent subscales (i.e., </w:t>
      </w:r>
      <w:r w:rsidRPr="00C52FBD">
        <w:rPr>
          <w:rFonts w:cs="Times New Roman"/>
          <w:szCs w:val="24"/>
        </w:rPr>
        <w:t xml:space="preserve">depression, anxiety, </w:t>
      </w:r>
      <w:r>
        <w:rPr>
          <w:rFonts w:cs="Times New Roman"/>
          <w:szCs w:val="24"/>
        </w:rPr>
        <w:t xml:space="preserve">and </w:t>
      </w:r>
      <w:r w:rsidRPr="00C52FBD">
        <w:rPr>
          <w:rFonts w:cs="Times New Roman"/>
          <w:szCs w:val="24"/>
        </w:rPr>
        <w:t>stress</w:t>
      </w:r>
      <w:r>
        <w:rPr>
          <w:rFonts w:cs="Times New Roman"/>
          <w:szCs w:val="24"/>
        </w:rPr>
        <w:t xml:space="preserve">), </w:t>
      </w:r>
      <w:r w:rsidRPr="00C52FBD">
        <w:rPr>
          <w:rFonts w:cs="Times New Roman"/>
          <w:szCs w:val="24"/>
        </w:rPr>
        <w:t xml:space="preserve">positive mental health, </w:t>
      </w:r>
      <w:r>
        <w:rPr>
          <w:rFonts w:cs="Times New Roman"/>
          <w:szCs w:val="24"/>
        </w:rPr>
        <w:t xml:space="preserve">psychological inflexibility, </w:t>
      </w:r>
      <w:r w:rsidR="00DA2458">
        <w:rPr>
          <w:rFonts w:cs="Times New Roman"/>
          <w:szCs w:val="24"/>
        </w:rPr>
        <w:t xml:space="preserve">and </w:t>
      </w:r>
      <w:r>
        <w:rPr>
          <w:rFonts w:cs="Times New Roman"/>
          <w:szCs w:val="24"/>
        </w:rPr>
        <w:t>psychological flexibility and subsequent subscales (i.e., openness to experience, behavioral awareness, and valued action)</w:t>
      </w:r>
      <w:r w:rsidR="00DA2458">
        <w:rPr>
          <w:rFonts w:cs="Times New Roman"/>
          <w:szCs w:val="24"/>
        </w:rPr>
        <w:t>.</w:t>
      </w:r>
    </w:p>
    <w:p w14:paraId="4E9C66BD" w14:textId="77777777" w:rsidR="00C722D2" w:rsidRPr="00362311" w:rsidRDefault="00C722D2" w:rsidP="00F3462F">
      <w:pPr>
        <w:spacing w:line="480" w:lineRule="auto"/>
        <w:contextualSpacing/>
        <w:rPr>
          <w:rFonts w:cs="Times New Roman"/>
          <w:b/>
          <w:bCs/>
          <w:szCs w:val="24"/>
        </w:rPr>
      </w:pPr>
      <w:bookmarkStart w:id="6" w:name="_Hlk55745123"/>
      <w:bookmarkEnd w:id="4"/>
      <w:r>
        <w:rPr>
          <w:rFonts w:cs="Times New Roman"/>
          <w:b/>
          <w:bCs/>
          <w:szCs w:val="24"/>
        </w:rPr>
        <w:t>Participants</w:t>
      </w:r>
    </w:p>
    <w:p w14:paraId="611E50E7" w14:textId="64C649B2" w:rsidR="00C722D2" w:rsidRPr="009D2061" w:rsidRDefault="00CF5345" w:rsidP="009D2061">
      <w:pPr>
        <w:spacing w:line="480" w:lineRule="auto"/>
        <w:ind w:firstLine="720"/>
        <w:contextualSpacing/>
        <w:rPr>
          <w:rFonts w:cs="Times New Roman"/>
          <w:szCs w:val="24"/>
        </w:rPr>
      </w:pPr>
      <w:bookmarkStart w:id="7" w:name="_Hlk55745160"/>
      <w:bookmarkEnd w:id="6"/>
      <w:r>
        <w:rPr>
          <w:rFonts w:cs="Times New Roman"/>
          <w:szCs w:val="24"/>
        </w:rPr>
        <w:t xml:space="preserve">Participants were recruited from a mid-sized university in the Mountain West region of the United States. </w:t>
      </w:r>
      <w:r w:rsidR="00C722D2">
        <w:rPr>
          <w:rFonts w:cs="Times New Roman"/>
          <w:szCs w:val="24"/>
        </w:rPr>
        <w:t xml:space="preserve">In order to participate in the study, interested individuals must have 1) been a </w:t>
      </w:r>
      <w:r>
        <w:rPr>
          <w:rFonts w:cs="Times New Roman"/>
          <w:szCs w:val="24"/>
        </w:rPr>
        <w:t xml:space="preserve">current college </w:t>
      </w:r>
      <w:r w:rsidR="00C722D2" w:rsidRPr="00C52FBD">
        <w:rPr>
          <w:rFonts w:cs="Times New Roman"/>
          <w:szCs w:val="24"/>
        </w:rPr>
        <w:t>student</w:t>
      </w:r>
      <w:r w:rsidR="00C722D2">
        <w:rPr>
          <w:rFonts w:cs="Times New Roman"/>
          <w:szCs w:val="24"/>
        </w:rPr>
        <w:t>, 2) been age 18 or older</w:t>
      </w:r>
      <w:r w:rsidR="00C722D2" w:rsidRPr="00C52FBD">
        <w:rPr>
          <w:rFonts w:cs="Times New Roman"/>
          <w:szCs w:val="24"/>
        </w:rPr>
        <w:t xml:space="preserve">, </w:t>
      </w:r>
      <w:r w:rsidR="00C722D2">
        <w:rPr>
          <w:rFonts w:cs="Times New Roman"/>
          <w:szCs w:val="24"/>
        </w:rPr>
        <w:t>and 3)</w:t>
      </w:r>
      <w:r w:rsidR="00C722D2" w:rsidRPr="00C52FBD">
        <w:rPr>
          <w:rFonts w:cs="Times New Roman"/>
          <w:szCs w:val="24"/>
        </w:rPr>
        <w:t xml:space="preserve"> </w:t>
      </w:r>
      <w:r w:rsidR="00C722D2">
        <w:rPr>
          <w:rFonts w:cs="Times New Roman"/>
          <w:szCs w:val="24"/>
        </w:rPr>
        <w:t xml:space="preserve">have </w:t>
      </w:r>
      <w:r w:rsidR="00C722D2" w:rsidRPr="00C52FBD">
        <w:rPr>
          <w:rFonts w:cs="Times New Roman"/>
          <w:szCs w:val="24"/>
        </w:rPr>
        <w:t>not used ACT Guide in the past.</w:t>
      </w:r>
      <w:r w:rsidR="00C722D2">
        <w:rPr>
          <w:rFonts w:cs="Times New Roman"/>
          <w:szCs w:val="24"/>
        </w:rPr>
        <w:t xml:space="preserve"> </w:t>
      </w:r>
      <w:r w:rsidR="00C722D2">
        <w:rPr>
          <w:rFonts w:cs="Times New Roman"/>
          <w:bCs/>
          <w:szCs w:val="24"/>
        </w:rPr>
        <w:t>A total of 237 participants completed enrollment, as compared to our targeted enrollment rate of 300.</w:t>
      </w:r>
      <w:r w:rsidR="00FB76AE">
        <w:rPr>
          <w:rFonts w:cs="Times New Roman"/>
          <w:bCs/>
          <w:szCs w:val="24"/>
        </w:rPr>
        <w:t xml:space="preserve"> </w:t>
      </w:r>
      <w:r w:rsidR="00C722D2">
        <w:rPr>
          <w:rFonts w:cs="Times New Roman"/>
          <w:bCs/>
          <w:szCs w:val="24"/>
        </w:rPr>
        <w:t xml:space="preserve">However, seven participants were excluded from analyses, on account of procedural errors or study withdrawals with specific requests from participants to not use their data. Thus, 230 participants were included in the analyses, with 78 having been assigned to the control condition, 77 to the phone coaching condition, and 75 to the text messaging condition (see Figure 1). </w:t>
      </w:r>
      <w:r w:rsidR="001228E7">
        <w:t>Of the 230 participants that were included in analyses, 32% were recruited through the ACT Guide sign-up workflow, 8% were recruited through SONA, and 60% were recruited through other avenues such as class announcements or flyers.</w:t>
      </w:r>
    </w:p>
    <w:p w14:paraId="795643FC" w14:textId="26061C97" w:rsidR="00C722D2" w:rsidRDefault="007771D7" w:rsidP="00053D29">
      <w:pPr>
        <w:spacing w:line="480" w:lineRule="auto"/>
        <w:contextualSpacing/>
        <w:rPr>
          <w:rFonts w:cs="Times New Roman"/>
          <w:szCs w:val="24"/>
        </w:rPr>
      </w:pPr>
      <w:r>
        <w:rPr>
          <w:rFonts w:cs="Times New Roman"/>
          <w:szCs w:val="24"/>
        </w:rPr>
        <w:lastRenderedPageBreak/>
        <w:tab/>
      </w:r>
      <w:r w:rsidR="009E286C">
        <w:rPr>
          <w:rFonts w:cs="Times New Roman"/>
          <w:bCs/>
          <w:szCs w:val="24"/>
        </w:rPr>
        <w:t>Students</w:t>
      </w:r>
      <w:r w:rsidR="00C722D2">
        <w:rPr>
          <w:rFonts w:cs="Times New Roman"/>
          <w:bCs/>
          <w:szCs w:val="24"/>
        </w:rPr>
        <w:t xml:space="preserve"> who began the registration process for the ACT Guide program, which is available as a free service to </w:t>
      </w:r>
      <w:r w:rsidR="000F593D">
        <w:rPr>
          <w:rFonts w:cs="Times New Roman"/>
          <w:bCs/>
          <w:szCs w:val="24"/>
        </w:rPr>
        <w:t>students at the university where the study took place</w:t>
      </w:r>
      <w:r w:rsidR="00C722D2">
        <w:rPr>
          <w:rFonts w:cs="Times New Roman"/>
          <w:bCs/>
          <w:szCs w:val="24"/>
        </w:rPr>
        <w:t>, were offered the opportunity to take part in the study.</w:t>
      </w:r>
      <w:r w:rsidR="00B017FB">
        <w:rPr>
          <w:rFonts w:cs="Times New Roman"/>
          <w:bCs/>
          <w:szCs w:val="24"/>
        </w:rPr>
        <w:t xml:space="preserve"> </w:t>
      </w:r>
      <w:r w:rsidR="00B017FB">
        <w:t>Of the 228 students who were invited into the study through the ACT Guide sign-up process, 90 (39%) expressed interest in the study, with 74 (32%) completing enrolling.</w:t>
      </w:r>
      <w:r w:rsidR="00C722D2">
        <w:rPr>
          <w:rFonts w:cs="Times New Roman"/>
          <w:bCs/>
          <w:szCs w:val="24"/>
        </w:rPr>
        <w:t xml:space="preserve"> </w:t>
      </w:r>
      <w:r w:rsidR="00C722D2">
        <w:rPr>
          <w:rFonts w:cs="Times New Roman"/>
          <w:szCs w:val="24"/>
        </w:rPr>
        <w:t xml:space="preserve">Participants were additionally recruited through class announcements, digital signs, campus flyers, </w:t>
      </w:r>
      <w:r w:rsidR="009E286C">
        <w:rPr>
          <w:rFonts w:cs="Times New Roman"/>
          <w:szCs w:val="24"/>
        </w:rPr>
        <w:t xml:space="preserve">university </w:t>
      </w:r>
      <w:r w:rsidR="00C722D2">
        <w:rPr>
          <w:rFonts w:cs="Times New Roman"/>
          <w:szCs w:val="24"/>
        </w:rPr>
        <w:t xml:space="preserve">homepage advertisements, and a psychology department study participant pool (SONA). </w:t>
      </w:r>
      <w:r w:rsidR="00C722D2">
        <w:rPr>
          <w:rFonts w:cs="Times New Roman"/>
          <w:bCs/>
          <w:szCs w:val="24"/>
        </w:rPr>
        <w:t xml:space="preserve">The sample was primarily female identifying </w:t>
      </w:r>
      <w:r w:rsidR="00F7670C">
        <w:rPr>
          <w:rFonts w:cs="Times New Roman"/>
          <w:bCs/>
          <w:szCs w:val="24"/>
        </w:rPr>
        <w:t xml:space="preserve">and </w:t>
      </w:r>
      <w:r w:rsidR="00C722D2" w:rsidRPr="00C636A4">
        <w:rPr>
          <w:rFonts w:cs="Times New Roman"/>
          <w:bCs/>
          <w:szCs w:val="24"/>
        </w:rPr>
        <w:t>White</w:t>
      </w:r>
      <w:r w:rsidR="00F7670C">
        <w:rPr>
          <w:rFonts w:cs="Times New Roman"/>
          <w:bCs/>
          <w:szCs w:val="24"/>
        </w:rPr>
        <w:t xml:space="preserve">. Most participants were full time students and a majority were employed at least part time. </w:t>
      </w:r>
      <w:r w:rsidR="00C722D2">
        <w:rPr>
          <w:rFonts w:cs="Times New Roman"/>
          <w:bCs/>
          <w:szCs w:val="24"/>
        </w:rPr>
        <w:t>See Table 1 for a full listing of demographics by treatment condition.</w:t>
      </w:r>
    </w:p>
    <w:bookmarkEnd w:id="7"/>
    <w:p w14:paraId="1BE2D003" w14:textId="77777777" w:rsidR="00C722D2" w:rsidRPr="00362311" w:rsidRDefault="00C722D2" w:rsidP="00F3462F">
      <w:pPr>
        <w:spacing w:line="480" w:lineRule="auto"/>
        <w:contextualSpacing/>
        <w:rPr>
          <w:rFonts w:cs="Times New Roman"/>
          <w:b/>
          <w:bCs/>
          <w:i/>
          <w:iCs/>
          <w:szCs w:val="24"/>
        </w:rPr>
      </w:pPr>
      <w:r>
        <w:rPr>
          <w:rFonts w:cs="Times New Roman"/>
          <w:b/>
          <w:bCs/>
          <w:szCs w:val="24"/>
        </w:rPr>
        <w:t>Procedures</w:t>
      </w:r>
    </w:p>
    <w:p w14:paraId="6752C716" w14:textId="63961A22" w:rsidR="00C722D2" w:rsidRDefault="00C722D2" w:rsidP="00C722D2">
      <w:pPr>
        <w:spacing w:line="480" w:lineRule="auto"/>
        <w:ind w:firstLine="720"/>
        <w:contextualSpacing/>
        <w:rPr>
          <w:rFonts w:cs="Times New Roman"/>
          <w:szCs w:val="24"/>
        </w:rPr>
      </w:pPr>
      <w:r w:rsidRPr="00DF3422">
        <w:rPr>
          <w:rFonts w:cs="Times New Roman"/>
          <w:bCs/>
          <w:i/>
          <w:szCs w:val="24"/>
        </w:rPr>
        <w:t xml:space="preserve"> </w:t>
      </w:r>
      <w:bookmarkStart w:id="8" w:name="_Hlk55745746"/>
      <w:r>
        <w:rPr>
          <w:rFonts w:cs="Times New Roman"/>
          <w:bCs/>
          <w:iCs/>
          <w:szCs w:val="24"/>
        </w:rPr>
        <w:t xml:space="preserve">To enroll in the study, prospective participants were instructed to complete an eligibility screener, informed consent, a baseline assessment, and to create an ACT Guide account. </w:t>
      </w:r>
      <w:r>
        <w:rPr>
          <w:rFonts w:cs="Times New Roman"/>
          <w:szCs w:val="24"/>
        </w:rPr>
        <w:t xml:space="preserve">Participants then gained access to ACT Guide, and received either no coaching, weekly synchronous phone coaching, or weekly synchronous text coaching based on their </w:t>
      </w:r>
      <w:r w:rsidR="009520D7">
        <w:rPr>
          <w:rFonts w:cs="Times New Roman"/>
          <w:szCs w:val="24"/>
        </w:rPr>
        <w:t xml:space="preserve">randomly </w:t>
      </w:r>
      <w:r>
        <w:rPr>
          <w:rFonts w:cs="Times New Roman"/>
          <w:szCs w:val="24"/>
        </w:rPr>
        <w:t>assigned condition. Those who were assigned to a coaching condition were randomly matched with an available coach, who initiate</w:t>
      </w:r>
      <w:r w:rsidR="00F7670C">
        <w:rPr>
          <w:rFonts w:cs="Times New Roman"/>
          <w:szCs w:val="24"/>
        </w:rPr>
        <w:t>d</w:t>
      </w:r>
      <w:r>
        <w:rPr>
          <w:rFonts w:cs="Times New Roman"/>
          <w:szCs w:val="24"/>
        </w:rPr>
        <w:t xml:space="preserve"> contact through text message to either schedule the first coaching call or engage in the first text coaching conversation.</w:t>
      </w:r>
    </w:p>
    <w:p w14:paraId="0D6426A7" w14:textId="117FB6A8" w:rsidR="00C722D2" w:rsidRDefault="00C722D2" w:rsidP="00F3462F">
      <w:pPr>
        <w:spacing w:line="480" w:lineRule="auto"/>
        <w:ind w:firstLine="720"/>
        <w:contextualSpacing/>
        <w:rPr>
          <w:rFonts w:cs="Times New Roman"/>
          <w:szCs w:val="24"/>
        </w:rPr>
      </w:pPr>
      <w:r>
        <w:rPr>
          <w:rFonts w:cs="Times New Roman"/>
          <w:szCs w:val="24"/>
        </w:rPr>
        <w:t xml:space="preserve">Participants were then instructed to use ACT Guide over the following 10 weeks, and those in one of the two coaching conditions received up to 10 weeks of coaching. After 10 weeks, participants completed a post-treatment assessment. </w:t>
      </w:r>
      <w:r w:rsidRPr="00C52FBD">
        <w:rPr>
          <w:rFonts w:cs="Times New Roman"/>
          <w:szCs w:val="24"/>
        </w:rPr>
        <w:t xml:space="preserve">Incentives </w:t>
      </w:r>
      <w:r>
        <w:rPr>
          <w:rFonts w:cs="Times New Roman"/>
          <w:szCs w:val="24"/>
        </w:rPr>
        <w:t>included</w:t>
      </w:r>
      <w:r w:rsidRPr="00C52FBD">
        <w:rPr>
          <w:rFonts w:cs="Times New Roman"/>
          <w:szCs w:val="24"/>
        </w:rPr>
        <w:t xml:space="preserve"> </w:t>
      </w:r>
      <w:r>
        <w:rPr>
          <w:rFonts w:cs="Times New Roman"/>
          <w:szCs w:val="24"/>
        </w:rPr>
        <w:t>$5</w:t>
      </w:r>
      <w:r w:rsidRPr="00C52FBD">
        <w:rPr>
          <w:rFonts w:cs="Times New Roman"/>
          <w:szCs w:val="24"/>
        </w:rPr>
        <w:t xml:space="preserve"> upon completion of baseline assessment </w:t>
      </w:r>
      <w:r>
        <w:rPr>
          <w:rFonts w:cs="Times New Roman"/>
          <w:szCs w:val="24"/>
        </w:rPr>
        <w:t>and</w:t>
      </w:r>
      <w:r w:rsidRPr="00C52FBD">
        <w:rPr>
          <w:rFonts w:cs="Times New Roman"/>
          <w:szCs w:val="24"/>
        </w:rPr>
        <w:t xml:space="preserve"> $10 </w:t>
      </w:r>
      <w:r>
        <w:rPr>
          <w:rFonts w:cs="Times New Roman"/>
          <w:szCs w:val="24"/>
        </w:rPr>
        <w:t xml:space="preserve">upon </w:t>
      </w:r>
      <w:r w:rsidRPr="00C52FBD">
        <w:rPr>
          <w:rFonts w:cs="Times New Roman"/>
          <w:szCs w:val="24"/>
        </w:rPr>
        <w:t>complet</w:t>
      </w:r>
      <w:r>
        <w:rPr>
          <w:rFonts w:cs="Times New Roman"/>
          <w:szCs w:val="24"/>
        </w:rPr>
        <w:t>ion of</w:t>
      </w:r>
      <w:r w:rsidRPr="00C52FBD">
        <w:rPr>
          <w:rFonts w:cs="Times New Roman"/>
          <w:szCs w:val="24"/>
        </w:rPr>
        <w:t xml:space="preserve"> post-treatment assessmen</w:t>
      </w:r>
      <w:r>
        <w:rPr>
          <w:rFonts w:cs="Times New Roman"/>
          <w:szCs w:val="24"/>
        </w:rPr>
        <w:t xml:space="preserve">t, or 1 SONA credit </w:t>
      </w:r>
      <w:r w:rsidR="00F7670C">
        <w:rPr>
          <w:rFonts w:cs="Times New Roman"/>
          <w:szCs w:val="24"/>
        </w:rPr>
        <w:t xml:space="preserve">each </w:t>
      </w:r>
      <w:r>
        <w:rPr>
          <w:rFonts w:cs="Times New Roman"/>
          <w:szCs w:val="24"/>
        </w:rPr>
        <w:t xml:space="preserve">for completion of baseline </w:t>
      </w:r>
      <w:r w:rsidR="00F7670C">
        <w:rPr>
          <w:rFonts w:cs="Times New Roman"/>
          <w:szCs w:val="24"/>
        </w:rPr>
        <w:t xml:space="preserve">and </w:t>
      </w:r>
      <w:r>
        <w:rPr>
          <w:rFonts w:cs="Times New Roman"/>
          <w:szCs w:val="24"/>
        </w:rPr>
        <w:t>post-treatment assessment.</w:t>
      </w:r>
    </w:p>
    <w:p w14:paraId="562B993A" w14:textId="77777777" w:rsidR="00C722D2" w:rsidRPr="00B069BB" w:rsidRDefault="00C722D2" w:rsidP="00F3462F">
      <w:pPr>
        <w:spacing w:line="480" w:lineRule="auto"/>
        <w:contextualSpacing/>
        <w:rPr>
          <w:rFonts w:cs="Times New Roman"/>
          <w:b/>
          <w:iCs/>
          <w:szCs w:val="24"/>
        </w:rPr>
      </w:pPr>
      <w:r w:rsidRPr="00B069BB">
        <w:rPr>
          <w:rFonts w:cs="Times New Roman"/>
          <w:b/>
          <w:iCs/>
          <w:szCs w:val="24"/>
        </w:rPr>
        <w:t>Intervention</w:t>
      </w:r>
    </w:p>
    <w:p w14:paraId="0DA79BC1" w14:textId="2BCF337A" w:rsidR="00FA69B3" w:rsidRDefault="00C722D2" w:rsidP="00C722D2">
      <w:pPr>
        <w:spacing w:line="480" w:lineRule="auto"/>
        <w:contextualSpacing/>
        <w:rPr>
          <w:rFonts w:cs="Times New Roman"/>
          <w:szCs w:val="24"/>
        </w:rPr>
      </w:pPr>
      <w:r w:rsidRPr="00C52FBD">
        <w:rPr>
          <w:rFonts w:cs="Times New Roman"/>
          <w:szCs w:val="24"/>
        </w:rPr>
        <w:lastRenderedPageBreak/>
        <w:tab/>
      </w:r>
      <w:r w:rsidRPr="00C52FBD">
        <w:rPr>
          <w:rFonts w:cs="Times New Roman"/>
          <w:b/>
          <w:bCs/>
          <w:szCs w:val="24"/>
        </w:rPr>
        <w:t xml:space="preserve"> </w:t>
      </w:r>
      <w:r>
        <w:rPr>
          <w:rFonts w:cs="Times New Roman"/>
          <w:bCs/>
          <w:iCs/>
          <w:szCs w:val="24"/>
        </w:rPr>
        <w:t>ACT Guide (https://actguide.usu.edu) is an online, self-guided mental health program delivered over a website that helps users learn</w:t>
      </w:r>
      <w:r w:rsidRPr="00267D17">
        <w:rPr>
          <w:rFonts w:cs="Times New Roman"/>
          <w:szCs w:val="24"/>
        </w:rPr>
        <w:t xml:space="preserve"> ACT skills to </w:t>
      </w:r>
      <w:r w:rsidR="007E3F31">
        <w:rPr>
          <w:rFonts w:cs="Times New Roman"/>
          <w:szCs w:val="24"/>
        </w:rPr>
        <w:t>address mental health concerns</w:t>
      </w:r>
      <w:r>
        <w:rPr>
          <w:rFonts w:cs="Times New Roman"/>
          <w:szCs w:val="24"/>
        </w:rPr>
        <w:t xml:space="preserve">. </w:t>
      </w:r>
      <w:r w:rsidR="00FA69B3">
        <w:rPr>
          <w:rFonts w:cs="Times New Roman"/>
          <w:bCs/>
          <w:iCs/>
          <w:szCs w:val="24"/>
        </w:rPr>
        <w:t xml:space="preserve">Participants in all three conditions were instructed to work on ACT Guide over the course of 10 weeks, completing one to two modules a week in order to complete the full 12 modules. </w:t>
      </w:r>
      <w:r w:rsidR="00FA69B3">
        <w:rPr>
          <w:rFonts w:cs="Times New Roman"/>
          <w:szCs w:val="24"/>
        </w:rPr>
        <w:t>The program targets acceptance, mindfulness, and values-based</w:t>
      </w:r>
      <w:r w:rsidR="00FA69B3" w:rsidRPr="00C52FBD">
        <w:rPr>
          <w:rFonts w:cs="Times New Roman"/>
          <w:szCs w:val="24"/>
        </w:rPr>
        <w:t xml:space="preserve"> processes</w:t>
      </w:r>
      <w:r w:rsidR="00FA69B3">
        <w:rPr>
          <w:rFonts w:cs="Times New Roman"/>
          <w:szCs w:val="24"/>
        </w:rPr>
        <w:t xml:space="preserve"> </w:t>
      </w:r>
      <w:r w:rsidR="00FA69B3" w:rsidRPr="00C52FBD">
        <w:rPr>
          <w:rFonts w:cs="Times New Roman"/>
          <w:szCs w:val="24"/>
        </w:rPr>
        <w:t xml:space="preserve">that </w:t>
      </w:r>
      <w:r w:rsidR="00FA69B3">
        <w:rPr>
          <w:rFonts w:cs="Times New Roman"/>
          <w:szCs w:val="24"/>
        </w:rPr>
        <w:t xml:space="preserve">have been consistently found to improve a wide range of mental health concerns relevant to college students </w:t>
      </w:r>
      <w:r w:rsidR="00FA69B3" w:rsidRPr="00FE5D3B">
        <w:rPr>
          <w:rFonts w:cs="Times New Roman"/>
        </w:rPr>
        <w:t>(A-Tjak et al., 2015)</w:t>
      </w:r>
      <w:r w:rsidR="00FA69B3">
        <w:rPr>
          <w:rFonts w:cs="Times New Roman"/>
          <w:szCs w:val="24"/>
        </w:rPr>
        <w:t>.</w:t>
      </w:r>
      <w:r w:rsidR="00FA69B3" w:rsidRPr="00C52FBD">
        <w:rPr>
          <w:rFonts w:cs="Times New Roman"/>
          <w:szCs w:val="24"/>
        </w:rPr>
        <w:t xml:space="preserve"> </w:t>
      </w:r>
      <w:r w:rsidR="008A5AC5" w:rsidRPr="00267D17">
        <w:rPr>
          <w:rFonts w:cs="Times New Roman"/>
          <w:szCs w:val="24"/>
        </w:rPr>
        <w:t xml:space="preserve">Previous studies have supported the effectiveness of the ACT Guide, with student participants showing improvements in overall distress, </w:t>
      </w:r>
      <w:r w:rsidR="007E3F31">
        <w:rPr>
          <w:rFonts w:cs="Times New Roman"/>
          <w:szCs w:val="24"/>
        </w:rPr>
        <w:t>anxiety and depression symptoms</w:t>
      </w:r>
      <w:r w:rsidR="008A5AC5" w:rsidRPr="00267D17">
        <w:rPr>
          <w:rFonts w:cs="Times New Roman"/>
          <w:szCs w:val="24"/>
        </w:rPr>
        <w:t>, and positive mental health</w:t>
      </w:r>
      <w:r w:rsidR="00864141">
        <w:rPr>
          <w:rFonts w:cs="Times New Roman"/>
          <w:szCs w:val="24"/>
        </w:rPr>
        <w:t xml:space="preserve"> </w:t>
      </w:r>
      <w:r w:rsidR="00864141" w:rsidRPr="00864141">
        <w:rPr>
          <w:rFonts w:cs="Times New Roman"/>
        </w:rPr>
        <w:t>(Levin, Krafft, et al., 2020; Petersen et al., 2021)</w:t>
      </w:r>
      <w:r w:rsidR="008A5AC5">
        <w:rPr>
          <w:rFonts w:cs="Times New Roman"/>
          <w:szCs w:val="24"/>
        </w:rPr>
        <w:t>.</w:t>
      </w:r>
      <w:r w:rsidR="00FA69B3" w:rsidRPr="00267D17">
        <w:rPr>
          <w:rFonts w:cs="Times New Roman"/>
          <w:szCs w:val="24"/>
        </w:rPr>
        <w:t xml:space="preserve"> </w:t>
      </w:r>
    </w:p>
    <w:p w14:paraId="24D711FF" w14:textId="30F98B2E" w:rsidR="00C722D2" w:rsidRDefault="00C722D2" w:rsidP="00C722D2">
      <w:pPr>
        <w:spacing w:line="480" w:lineRule="auto"/>
        <w:ind w:firstLine="720"/>
        <w:contextualSpacing/>
        <w:rPr>
          <w:rFonts w:cs="Times New Roman"/>
          <w:bCs/>
          <w:iCs/>
          <w:szCs w:val="24"/>
        </w:rPr>
      </w:pPr>
      <w:r>
        <w:rPr>
          <w:rFonts w:cs="Times New Roman"/>
          <w:bCs/>
          <w:iCs/>
          <w:szCs w:val="24"/>
        </w:rPr>
        <w:t xml:space="preserve">Modules are completed linearly, with each module taking approximately 20-40 minutes. Each module focuses on </w:t>
      </w:r>
      <w:r w:rsidR="000659F0">
        <w:rPr>
          <w:rFonts w:cs="Times New Roman"/>
          <w:bCs/>
          <w:iCs/>
          <w:szCs w:val="24"/>
        </w:rPr>
        <w:t xml:space="preserve">teaching </w:t>
      </w:r>
      <w:r>
        <w:rPr>
          <w:rFonts w:cs="Times New Roman"/>
          <w:bCs/>
          <w:iCs/>
          <w:szCs w:val="24"/>
        </w:rPr>
        <w:t>specific ACT skills (e.g., identifying personal values, defusing from difficult thoughts, accepting difficult emotions</w:t>
      </w:r>
      <w:r w:rsidR="007E3F31">
        <w:rPr>
          <w:rFonts w:cs="Times New Roman"/>
          <w:bCs/>
          <w:iCs/>
          <w:szCs w:val="24"/>
        </w:rPr>
        <w:t>, setting values-based goals</w:t>
      </w:r>
      <w:r>
        <w:rPr>
          <w:rFonts w:cs="Times New Roman"/>
          <w:bCs/>
          <w:iCs/>
          <w:szCs w:val="24"/>
        </w:rPr>
        <w:t>)</w:t>
      </w:r>
      <w:r w:rsidR="004E44E4">
        <w:rPr>
          <w:rFonts w:cs="Times New Roman"/>
          <w:bCs/>
          <w:iCs/>
          <w:szCs w:val="24"/>
        </w:rPr>
        <w:t xml:space="preserve"> </w:t>
      </w:r>
      <w:r w:rsidR="007E3F31">
        <w:rPr>
          <w:rFonts w:cs="Times New Roman"/>
          <w:bCs/>
          <w:iCs/>
          <w:szCs w:val="24"/>
        </w:rPr>
        <w:t xml:space="preserve">and then </w:t>
      </w:r>
      <w:r w:rsidR="004E44E4">
        <w:rPr>
          <w:rFonts w:cs="Times New Roman"/>
          <w:bCs/>
          <w:iCs/>
          <w:szCs w:val="24"/>
        </w:rPr>
        <w:t>assigning a practi</w:t>
      </w:r>
      <w:r w:rsidR="00E13ADB">
        <w:rPr>
          <w:rFonts w:cs="Times New Roman"/>
          <w:bCs/>
          <w:iCs/>
          <w:szCs w:val="24"/>
        </w:rPr>
        <w:t>ce</w:t>
      </w:r>
      <w:r w:rsidR="004E44E4">
        <w:rPr>
          <w:rFonts w:cs="Times New Roman"/>
          <w:bCs/>
          <w:iCs/>
          <w:szCs w:val="24"/>
        </w:rPr>
        <w:t xml:space="preserve"> assignment for the user to complete </w:t>
      </w:r>
      <w:r>
        <w:rPr>
          <w:rFonts w:cs="Times New Roman"/>
          <w:bCs/>
          <w:iCs/>
          <w:szCs w:val="24"/>
        </w:rPr>
        <w:t>before the next module. ACT skills are taught in modules through a combination of interactive exercises (e.g., multiple choice prompts, sorting tasks, short writing activities), text, and multimedia (e.g., videos, audio-guided exercises)</w:t>
      </w:r>
      <w:r w:rsidR="007E3F31">
        <w:rPr>
          <w:rFonts w:cs="Times New Roman"/>
          <w:bCs/>
          <w:iCs/>
          <w:szCs w:val="24"/>
        </w:rPr>
        <w:t xml:space="preserve">. Program content is heavily </w:t>
      </w:r>
      <w:r>
        <w:rPr>
          <w:rFonts w:cs="Times New Roman"/>
          <w:bCs/>
          <w:iCs/>
          <w:szCs w:val="24"/>
        </w:rPr>
        <w:t>tailored based on responses in interactive exercises. Participants also receive automatic emails containing tips for using ACT Guide, with one email being sent per week for the first four weeks upon registration.</w:t>
      </w:r>
    </w:p>
    <w:p w14:paraId="01B5234D" w14:textId="63861D16" w:rsidR="00F3462F" w:rsidRPr="00F3462F" w:rsidRDefault="00C722D2" w:rsidP="00C722D2">
      <w:pPr>
        <w:spacing w:line="480" w:lineRule="auto"/>
        <w:contextualSpacing/>
        <w:rPr>
          <w:rFonts w:cs="Times New Roman"/>
          <w:i/>
          <w:szCs w:val="24"/>
        </w:rPr>
      </w:pPr>
      <w:r w:rsidRPr="00F3462F">
        <w:rPr>
          <w:rFonts w:cs="Times New Roman"/>
          <w:b/>
          <w:i/>
          <w:szCs w:val="24"/>
        </w:rPr>
        <w:t xml:space="preserve">Phone </w:t>
      </w:r>
      <w:r w:rsidR="00F3462F">
        <w:rPr>
          <w:rFonts w:cs="Times New Roman"/>
          <w:b/>
          <w:i/>
          <w:szCs w:val="24"/>
        </w:rPr>
        <w:t>P</w:t>
      </w:r>
      <w:r w:rsidRPr="00F3462F">
        <w:rPr>
          <w:rFonts w:cs="Times New Roman"/>
          <w:b/>
          <w:i/>
          <w:szCs w:val="24"/>
        </w:rPr>
        <w:t>eer-</w:t>
      </w:r>
      <w:r w:rsidR="00F3462F">
        <w:rPr>
          <w:rFonts w:cs="Times New Roman"/>
          <w:b/>
          <w:i/>
          <w:szCs w:val="24"/>
        </w:rPr>
        <w:t>S</w:t>
      </w:r>
      <w:r w:rsidRPr="00F3462F">
        <w:rPr>
          <w:rFonts w:cs="Times New Roman"/>
          <w:b/>
          <w:i/>
          <w:szCs w:val="24"/>
        </w:rPr>
        <w:t xml:space="preserve">upport </w:t>
      </w:r>
      <w:r w:rsidR="00F3462F">
        <w:rPr>
          <w:rFonts w:cs="Times New Roman"/>
          <w:b/>
          <w:i/>
          <w:szCs w:val="24"/>
        </w:rPr>
        <w:t>C</w:t>
      </w:r>
      <w:r w:rsidRPr="00F3462F">
        <w:rPr>
          <w:rFonts w:cs="Times New Roman"/>
          <w:b/>
          <w:i/>
          <w:szCs w:val="24"/>
        </w:rPr>
        <w:t xml:space="preserve">oaching </w:t>
      </w:r>
      <w:r w:rsidR="00F3462F">
        <w:rPr>
          <w:rFonts w:cs="Times New Roman"/>
          <w:b/>
          <w:i/>
          <w:szCs w:val="24"/>
        </w:rPr>
        <w:t>C</w:t>
      </w:r>
      <w:r w:rsidRPr="00F3462F">
        <w:rPr>
          <w:rFonts w:cs="Times New Roman"/>
          <w:b/>
          <w:i/>
          <w:szCs w:val="24"/>
        </w:rPr>
        <w:t>ondition</w:t>
      </w:r>
    </w:p>
    <w:p w14:paraId="0CF12EDA" w14:textId="2839547C" w:rsidR="00AC26D3" w:rsidRDefault="00C722D2" w:rsidP="00484654">
      <w:pPr>
        <w:spacing w:line="480" w:lineRule="auto"/>
        <w:ind w:firstLine="720"/>
        <w:contextualSpacing/>
        <w:rPr>
          <w:rFonts w:cs="Times New Roman"/>
          <w:szCs w:val="24"/>
        </w:rPr>
      </w:pPr>
      <w:r w:rsidRPr="00C52FBD">
        <w:rPr>
          <w:rFonts w:cs="Times New Roman"/>
          <w:szCs w:val="24"/>
        </w:rPr>
        <w:t xml:space="preserve">Participants assigned to the phone coaching group </w:t>
      </w:r>
      <w:r>
        <w:rPr>
          <w:rFonts w:cs="Times New Roman"/>
          <w:szCs w:val="24"/>
        </w:rPr>
        <w:t>received</w:t>
      </w:r>
      <w:r w:rsidRPr="00C52FBD">
        <w:rPr>
          <w:rFonts w:cs="Times New Roman"/>
          <w:szCs w:val="24"/>
        </w:rPr>
        <w:t xml:space="preserve"> weekly</w:t>
      </w:r>
      <w:r>
        <w:rPr>
          <w:rFonts w:cs="Times New Roman"/>
          <w:szCs w:val="24"/>
        </w:rPr>
        <w:t>, 10-15 minute</w:t>
      </w:r>
      <w:r w:rsidRPr="00C52FBD">
        <w:rPr>
          <w:rFonts w:cs="Times New Roman"/>
          <w:szCs w:val="24"/>
        </w:rPr>
        <w:t xml:space="preserve"> phone coaching from a trained peer-support coach over </w:t>
      </w:r>
      <w:r>
        <w:rPr>
          <w:rFonts w:cs="Times New Roman"/>
          <w:szCs w:val="24"/>
        </w:rPr>
        <w:t xml:space="preserve">the </w:t>
      </w:r>
      <w:r w:rsidRPr="00C52FBD">
        <w:rPr>
          <w:rFonts w:cs="Times New Roman"/>
          <w:szCs w:val="24"/>
        </w:rPr>
        <w:t>ten weeks</w:t>
      </w:r>
      <w:r>
        <w:rPr>
          <w:rFonts w:cs="Times New Roman"/>
          <w:szCs w:val="24"/>
        </w:rPr>
        <w:t xml:space="preserve"> that they used ACT Guide</w:t>
      </w:r>
      <w:r w:rsidRPr="00C52FBD">
        <w:rPr>
          <w:rFonts w:cs="Times New Roman"/>
          <w:szCs w:val="24"/>
        </w:rPr>
        <w:t xml:space="preserve">. </w:t>
      </w:r>
      <w:r>
        <w:rPr>
          <w:rFonts w:cs="Times New Roman"/>
          <w:szCs w:val="24"/>
        </w:rPr>
        <w:t>The content of coaching excluded discussing specific</w:t>
      </w:r>
      <w:r w:rsidR="00372DB7">
        <w:rPr>
          <w:rFonts w:cs="Times New Roman"/>
          <w:szCs w:val="24"/>
        </w:rPr>
        <w:t xml:space="preserve"> mental health</w:t>
      </w:r>
      <w:r>
        <w:rPr>
          <w:rFonts w:cs="Times New Roman"/>
          <w:szCs w:val="24"/>
        </w:rPr>
        <w:t xml:space="preserve"> problems the participant may have been struggling with, in order to differentiate coaching from therapy. Instead, coaching </w:t>
      </w:r>
      <w:r>
        <w:rPr>
          <w:rFonts w:cs="Times New Roman"/>
          <w:szCs w:val="24"/>
        </w:rPr>
        <w:lastRenderedPageBreak/>
        <w:t>consisted of reinforcing adherence, identifying and problem-solving non-adherence, strengthening and generalizing ACT skills, and using ACT skills to increase commitment to ongoing program adherence</w:t>
      </w:r>
      <w:r w:rsidRPr="00C52FBD">
        <w:rPr>
          <w:rFonts w:cs="Times New Roman"/>
          <w:szCs w:val="24"/>
        </w:rPr>
        <w:t xml:space="preserve">. Coaches </w:t>
      </w:r>
      <w:r>
        <w:rPr>
          <w:rFonts w:cs="Times New Roman"/>
          <w:szCs w:val="24"/>
        </w:rPr>
        <w:t>used</w:t>
      </w:r>
      <w:r w:rsidRPr="00C52FBD">
        <w:rPr>
          <w:rFonts w:cs="Times New Roman"/>
          <w:szCs w:val="24"/>
        </w:rPr>
        <w:t xml:space="preserve"> a</w:t>
      </w:r>
      <w:r w:rsidR="00372DB7">
        <w:rPr>
          <w:rFonts w:cs="Times New Roman"/>
          <w:szCs w:val="24"/>
        </w:rPr>
        <w:t xml:space="preserve"> </w:t>
      </w:r>
      <w:r w:rsidRPr="00C52FBD">
        <w:rPr>
          <w:rFonts w:cs="Times New Roman"/>
          <w:szCs w:val="24"/>
        </w:rPr>
        <w:t>n</w:t>
      </w:r>
      <w:r w:rsidR="00372DB7">
        <w:rPr>
          <w:rFonts w:cs="Times New Roman"/>
          <w:szCs w:val="24"/>
        </w:rPr>
        <w:t>ewly developed</w:t>
      </w:r>
      <w:r w:rsidRPr="00C52FBD">
        <w:rPr>
          <w:rFonts w:cs="Times New Roman"/>
          <w:szCs w:val="24"/>
        </w:rPr>
        <w:t xml:space="preserve"> ACT-based protocol</w:t>
      </w:r>
      <w:r>
        <w:rPr>
          <w:rFonts w:cs="Times New Roman"/>
          <w:szCs w:val="24"/>
        </w:rPr>
        <w:t xml:space="preserve"> to guide their coaching, which included general guidelines for ACT consistent coaching (e.g., respond to participants’ unhelpful thoughts with </w:t>
      </w:r>
      <w:proofErr w:type="spellStart"/>
      <w:r>
        <w:rPr>
          <w:rFonts w:cs="Times New Roman"/>
          <w:szCs w:val="24"/>
        </w:rPr>
        <w:t>defusion</w:t>
      </w:r>
      <w:proofErr w:type="spellEnd"/>
      <w:r>
        <w:rPr>
          <w:rFonts w:cs="Times New Roman"/>
          <w:szCs w:val="24"/>
        </w:rPr>
        <w:t xml:space="preserve">; use participants’ values as a source of motivation) as well as content specific to each module a participant may have completed (see </w:t>
      </w:r>
      <w:r w:rsidR="00537CD0">
        <w:rPr>
          <w:rFonts w:cs="Times New Roman"/>
          <w:szCs w:val="24"/>
        </w:rPr>
        <w:t>Supplement 1</w:t>
      </w:r>
      <w:r>
        <w:rPr>
          <w:rFonts w:cs="Times New Roman"/>
          <w:szCs w:val="24"/>
        </w:rPr>
        <w:t xml:space="preserve">). </w:t>
      </w:r>
      <w:r w:rsidR="00D74C40">
        <w:rPr>
          <w:rFonts w:cs="Times New Roman"/>
          <w:szCs w:val="24"/>
        </w:rPr>
        <w:t xml:space="preserve">This protocol expanded upon Mohr et al.'s </w:t>
      </w:r>
      <w:r w:rsidR="00D74C40" w:rsidRPr="00D74C40">
        <w:rPr>
          <w:rFonts w:cs="Times New Roman"/>
        </w:rPr>
        <w:t>(2011)</w:t>
      </w:r>
      <w:r w:rsidR="00AC26D3">
        <w:rPr>
          <w:rFonts w:cs="Times New Roman"/>
          <w:szCs w:val="24"/>
        </w:rPr>
        <w:t xml:space="preserve"> model of supportive accountability for human support in the context of online interventions, adding additional content such as principles for ACT consistent coaching, instructions for navigating non-adherence using ACT skills, and content related questions to facilitate discussion </w:t>
      </w:r>
      <w:r w:rsidR="00495981">
        <w:rPr>
          <w:rFonts w:cs="Times New Roman"/>
          <w:szCs w:val="24"/>
        </w:rPr>
        <w:t xml:space="preserve">of the skills that </w:t>
      </w:r>
      <w:r w:rsidR="00706475">
        <w:rPr>
          <w:rFonts w:cs="Times New Roman"/>
          <w:szCs w:val="24"/>
        </w:rPr>
        <w:t xml:space="preserve">were </w:t>
      </w:r>
      <w:r w:rsidR="00495981">
        <w:rPr>
          <w:rFonts w:cs="Times New Roman"/>
          <w:szCs w:val="24"/>
        </w:rPr>
        <w:t>being learned from ACT Guide.</w:t>
      </w:r>
    </w:p>
    <w:p w14:paraId="04DDC1EE" w14:textId="150DD5AE" w:rsidR="00C722D2" w:rsidRDefault="00C722D2" w:rsidP="000F2E3B">
      <w:pPr>
        <w:spacing w:line="480" w:lineRule="auto"/>
        <w:ind w:firstLine="720"/>
        <w:contextualSpacing/>
        <w:rPr>
          <w:rFonts w:cs="Times New Roman"/>
          <w:szCs w:val="24"/>
        </w:rPr>
      </w:pPr>
      <w:r>
        <w:rPr>
          <w:rFonts w:cs="Times New Roman"/>
          <w:szCs w:val="24"/>
        </w:rPr>
        <w:t xml:space="preserve">The first coaching call was to be made prior to the participant starting ACT Guide, in which the coach would introduce themselves, explain the purpose and format of coaching, explain privacy and confidentiality limitations, discuss what the participant would like to get out of using ACT Guide, and problem-solve anticipated barriers to using ACT Guide. Each subsequent peer-coaching phone call, aside from the last call, was to follow the same format of asking the participant what modules were completed, if the participant completed the associated practice assignment(s), asking questions related to the modules that were completed, addressing any remaining questions from the participant, and </w:t>
      </w:r>
      <w:r w:rsidR="00372DB7">
        <w:rPr>
          <w:rFonts w:cs="Times New Roman"/>
          <w:szCs w:val="24"/>
        </w:rPr>
        <w:t xml:space="preserve">setting a goal for </w:t>
      </w:r>
      <w:r>
        <w:rPr>
          <w:rFonts w:cs="Times New Roman"/>
          <w:szCs w:val="24"/>
        </w:rPr>
        <w:t xml:space="preserve">how many modules the participant plans to complete before the next call. If the participant did not complete any modules, the coach was to address non-adherence using the “Choice Point” model </w:t>
      </w:r>
      <w:r w:rsidR="00B57D0E" w:rsidRPr="00B57D0E">
        <w:rPr>
          <w:rFonts w:cs="Times New Roman"/>
        </w:rPr>
        <w:t>(Harris, 2018)</w:t>
      </w:r>
      <w:r w:rsidR="00B57D0E">
        <w:rPr>
          <w:rFonts w:cs="Times New Roman"/>
          <w:szCs w:val="24"/>
        </w:rPr>
        <w:t>,</w:t>
      </w:r>
      <w:r>
        <w:rPr>
          <w:rFonts w:cs="Times New Roman"/>
          <w:szCs w:val="24"/>
        </w:rPr>
        <w:t xml:space="preserve"> and/or use problem-solving strategies. If the participant completed at least one module but did not do any associated practice assignments, the coach was to do a brief version of the </w:t>
      </w:r>
      <w:r>
        <w:rPr>
          <w:rFonts w:cs="Times New Roman"/>
          <w:szCs w:val="24"/>
        </w:rPr>
        <w:lastRenderedPageBreak/>
        <w:t>practice assignment together with the participant. Final coaching calls were intended to serve as an opportunity to review what the participant had learned from ACT Guide and reflect on how the participant may continue to implement the skills they had learned.</w:t>
      </w:r>
    </w:p>
    <w:p w14:paraId="4ECB3074" w14:textId="4DB8D81D" w:rsidR="00BC7DEB" w:rsidRDefault="00BC7DEB" w:rsidP="000F2E3B">
      <w:pPr>
        <w:spacing w:line="480" w:lineRule="auto"/>
        <w:ind w:firstLine="720"/>
        <w:contextualSpacing/>
        <w:rPr>
          <w:rFonts w:cs="Times New Roman"/>
          <w:szCs w:val="24"/>
        </w:rPr>
      </w:pPr>
      <w:r>
        <w:t>Prior to coaching participants, coaches completed a training sequence that included didactic lectures on coaching principles, CITI research ethics trainings, and readings on ACT. Coaches additionally each completed ACT Guide as part of the training process, and took turns practicing the coaching protocol on one another in both call and text format for each individual module. These activities totaled to approximately 25 hours of training in total, carried out over a course of two to four weeks, given that training schedules slightly varied by coach cohort. All training activities remained the same across coach cohorts, with only the pacing of activities varying.</w:t>
      </w:r>
    </w:p>
    <w:p w14:paraId="2B99C85A" w14:textId="362DDEC5" w:rsidR="00F3462F" w:rsidRDefault="00C722D2" w:rsidP="00F3462F">
      <w:pPr>
        <w:spacing w:line="480" w:lineRule="auto"/>
        <w:contextualSpacing/>
        <w:rPr>
          <w:rFonts w:cs="Times New Roman"/>
          <w:i/>
          <w:iCs/>
          <w:szCs w:val="24"/>
        </w:rPr>
      </w:pPr>
      <w:r w:rsidRPr="00F3462F">
        <w:rPr>
          <w:rFonts w:cs="Times New Roman"/>
          <w:b/>
          <w:bCs/>
          <w:i/>
          <w:iCs/>
          <w:szCs w:val="24"/>
        </w:rPr>
        <w:t xml:space="preserve">Text </w:t>
      </w:r>
      <w:r w:rsidR="00F3462F">
        <w:rPr>
          <w:rFonts w:cs="Times New Roman"/>
          <w:b/>
          <w:bCs/>
          <w:i/>
          <w:iCs/>
          <w:szCs w:val="24"/>
        </w:rPr>
        <w:t>M</w:t>
      </w:r>
      <w:r w:rsidRPr="00F3462F">
        <w:rPr>
          <w:rFonts w:cs="Times New Roman"/>
          <w:b/>
          <w:bCs/>
          <w:i/>
          <w:iCs/>
          <w:szCs w:val="24"/>
        </w:rPr>
        <w:t xml:space="preserve">essage </w:t>
      </w:r>
      <w:r w:rsidR="00F3462F">
        <w:rPr>
          <w:rFonts w:cs="Times New Roman"/>
          <w:b/>
          <w:bCs/>
          <w:i/>
          <w:iCs/>
          <w:szCs w:val="24"/>
        </w:rPr>
        <w:t>P</w:t>
      </w:r>
      <w:r w:rsidRPr="00F3462F">
        <w:rPr>
          <w:rFonts w:cs="Times New Roman"/>
          <w:b/>
          <w:bCs/>
          <w:i/>
          <w:iCs/>
          <w:szCs w:val="24"/>
        </w:rPr>
        <w:t>eer-</w:t>
      </w:r>
      <w:r w:rsidR="00F3462F">
        <w:rPr>
          <w:rFonts w:cs="Times New Roman"/>
          <w:b/>
          <w:bCs/>
          <w:i/>
          <w:iCs/>
          <w:szCs w:val="24"/>
        </w:rPr>
        <w:t>S</w:t>
      </w:r>
      <w:r w:rsidRPr="00F3462F">
        <w:rPr>
          <w:rFonts w:cs="Times New Roman"/>
          <w:b/>
          <w:bCs/>
          <w:i/>
          <w:iCs/>
          <w:szCs w:val="24"/>
        </w:rPr>
        <w:t xml:space="preserve">upport </w:t>
      </w:r>
      <w:r w:rsidR="00F3462F">
        <w:rPr>
          <w:rFonts w:cs="Times New Roman"/>
          <w:b/>
          <w:bCs/>
          <w:i/>
          <w:iCs/>
          <w:szCs w:val="24"/>
        </w:rPr>
        <w:t>C</w:t>
      </w:r>
      <w:r w:rsidRPr="00F3462F">
        <w:rPr>
          <w:rFonts w:cs="Times New Roman"/>
          <w:b/>
          <w:bCs/>
          <w:i/>
          <w:iCs/>
          <w:szCs w:val="24"/>
        </w:rPr>
        <w:t xml:space="preserve">oaching </w:t>
      </w:r>
      <w:r w:rsidR="00F3462F">
        <w:rPr>
          <w:rFonts w:cs="Times New Roman"/>
          <w:b/>
          <w:bCs/>
          <w:i/>
          <w:iCs/>
          <w:szCs w:val="24"/>
        </w:rPr>
        <w:t>C</w:t>
      </w:r>
      <w:r w:rsidRPr="00F3462F">
        <w:rPr>
          <w:rFonts w:cs="Times New Roman"/>
          <w:b/>
          <w:bCs/>
          <w:i/>
          <w:iCs/>
          <w:szCs w:val="24"/>
        </w:rPr>
        <w:t>ondition</w:t>
      </w:r>
    </w:p>
    <w:p w14:paraId="4A658739" w14:textId="798C9EA6" w:rsidR="00C722D2" w:rsidRDefault="00C722D2" w:rsidP="00F3462F">
      <w:pPr>
        <w:spacing w:line="480" w:lineRule="auto"/>
        <w:ind w:firstLine="720"/>
        <w:contextualSpacing/>
        <w:rPr>
          <w:rFonts w:cs="Times New Roman"/>
          <w:szCs w:val="24"/>
        </w:rPr>
      </w:pPr>
      <w:r>
        <w:rPr>
          <w:rFonts w:cs="Times New Roman"/>
          <w:szCs w:val="24"/>
        </w:rPr>
        <w:t xml:space="preserve"> </w:t>
      </w:r>
      <w:r w:rsidRPr="00C52FBD">
        <w:rPr>
          <w:rFonts w:cs="Times New Roman"/>
          <w:szCs w:val="24"/>
        </w:rPr>
        <w:t>Participants assigned to the text messag</w:t>
      </w:r>
      <w:r>
        <w:rPr>
          <w:rFonts w:cs="Times New Roman"/>
          <w:szCs w:val="24"/>
        </w:rPr>
        <w:t>ing condition</w:t>
      </w:r>
      <w:r w:rsidRPr="00C52FBD">
        <w:rPr>
          <w:rFonts w:cs="Times New Roman"/>
          <w:szCs w:val="24"/>
        </w:rPr>
        <w:t xml:space="preserve"> </w:t>
      </w:r>
      <w:r>
        <w:rPr>
          <w:rFonts w:cs="Times New Roman"/>
          <w:szCs w:val="24"/>
        </w:rPr>
        <w:t xml:space="preserve">received weekly text messages from their peer-support coach. </w:t>
      </w:r>
      <w:r w:rsidRPr="00C52FBD">
        <w:rPr>
          <w:rFonts w:cs="Times New Roman"/>
          <w:szCs w:val="24"/>
        </w:rPr>
        <w:t xml:space="preserve">These text messages </w:t>
      </w:r>
      <w:r>
        <w:rPr>
          <w:rFonts w:cs="Times New Roman"/>
          <w:szCs w:val="24"/>
        </w:rPr>
        <w:t>reflected the content delivered in the phone coaching group, but through a briefer protocol that accounted for the abbreviated, asynchronous nature of texting. Text messages similarly focused on reinforcing adherence, problem solving non-adherence, strengthening ACT skills, and using ACT to increase program adherence. However, these areas were covered in brief messages and with more limited exchanges between participants and coaches. Coaches</w:t>
      </w:r>
      <w:r w:rsidR="00495981">
        <w:rPr>
          <w:rFonts w:cs="Times New Roman"/>
          <w:szCs w:val="24"/>
        </w:rPr>
        <w:t xml:space="preserve"> initiated conversation with </w:t>
      </w:r>
      <w:r>
        <w:rPr>
          <w:rFonts w:cs="Times New Roman"/>
          <w:szCs w:val="24"/>
        </w:rPr>
        <w:t xml:space="preserve">their assigned text condition participants once a week, </w:t>
      </w:r>
      <w:r w:rsidR="00495981">
        <w:rPr>
          <w:rFonts w:cs="Times New Roman"/>
          <w:szCs w:val="24"/>
        </w:rPr>
        <w:t xml:space="preserve">however </w:t>
      </w:r>
      <w:r>
        <w:rPr>
          <w:rFonts w:cs="Times New Roman"/>
          <w:szCs w:val="24"/>
        </w:rPr>
        <w:t xml:space="preserve">text-message conversations frequently occurred over a span of multiple days on account of the </w:t>
      </w:r>
      <w:proofErr w:type="spellStart"/>
      <w:r>
        <w:rPr>
          <w:rFonts w:cs="Times New Roman"/>
          <w:szCs w:val="24"/>
        </w:rPr>
        <w:t>asynchronicity</w:t>
      </w:r>
      <w:proofErr w:type="spellEnd"/>
      <w:r>
        <w:rPr>
          <w:rFonts w:cs="Times New Roman"/>
          <w:szCs w:val="24"/>
        </w:rPr>
        <w:t xml:space="preserve"> of text messaging.</w:t>
      </w:r>
    </w:p>
    <w:p w14:paraId="340185A7" w14:textId="26959162" w:rsidR="00C722D2" w:rsidRDefault="00C722D2" w:rsidP="00C722D2">
      <w:pPr>
        <w:spacing w:line="480" w:lineRule="auto"/>
        <w:ind w:firstLine="720"/>
        <w:contextualSpacing/>
        <w:rPr>
          <w:rFonts w:cs="Times New Roman"/>
          <w:szCs w:val="24"/>
        </w:rPr>
      </w:pPr>
      <w:r>
        <w:rPr>
          <w:rFonts w:cs="Times New Roman"/>
          <w:szCs w:val="24"/>
        </w:rPr>
        <w:t xml:space="preserve">The first text coaching conversation consisted of the coach introducing themself, providing a link to a document that explained the purpose and format of coaching as well as </w:t>
      </w:r>
      <w:r>
        <w:rPr>
          <w:rFonts w:cs="Times New Roman"/>
          <w:szCs w:val="24"/>
        </w:rPr>
        <w:lastRenderedPageBreak/>
        <w:t>privacy/confidentiality limitations, and problem-solving anticipated barriers to using ACT Guide. Subsequent text message conversations followed a consistent format of asking the participant which modules they were able to complete</w:t>
      </w:r>
      <w:r w:rsidR="004E44E4">
        <w:rPr>
          <w:rFonts w:cs="Times New Roman"/>
          <w:szCs w:val="24"/>
        </w:rPr>
        <w:t>,</w:t>
      </w:r>
      <w:r>
        <w:rPr>
          <w:rFonts w:cs="Times New Roman"/>
          <w:szCs w:val="24"/>
        </w:rPr>
        <w:t xml:space="preserve"> along with a simple question related to the modules that were supposed to be completed (e.g., what thoughts did you notice yourself getting hooked on throughout the week?), followed by </w:t>
      </w:r>
      <w:r w:rsidR="00D31B92">
        <w:rPr>
          <w:rFonts w:cs="Times New Roman"/>
          <w:szCs w:val="24"/>
        </w:rPr>
        <w:t xml:space="preserve">setting a goal for </w:t>
      </w:r>
      <w:r>
        <w:rPr>
          <w:rFonts w:cs="Times New Roman"/>
          <w:szCs w:val="24"/>
        </w:rPr>
        <w:t>how many modules the participant intends to complete within the next week.</w:t>
      </w:r>
      <w:r w:rsidR="003245EB">
        <w:rPr>
          <w:rFonts w:cs="Times New Roman"/>
          <w:szCs w:val="24"/>
        </w:rPr>
        <w:t xml:space="preserve"> </w:t>
      </w:r>
      <w:r>
        <w:rPr>
          <w:rFonts w:cs="Times New Roman"/>
          <w:szCs w:val="24"/>
        </w:rPr>
        <w:t xml:space="preserve">The final text message conversation would involve reviewing what skills the participant intends to keep using and practicing. </w:t>
      </w:r>
    </w:p>
    <w:p w14:paraId="23397D04" w14:textId="1AA161A7" w:rsidR="00F3462F" w:rsidRPr="00F3462F" w:rsidRDefault="00C722D2" w:rsidP="00F3462F">
      <w:pPr>
        <w:spacing w:line="480" w:lineRule="auto"/>
        <w:contextualSpacing/>
        <w:rPr>
          <w:rFonts w:cs="Times New Roman"/>
          <w:b/>
          <w:bCs/>
          <w:i/>
          <w:iCs/>
          <w:szCs w:val="24"/>
        </w:rPr>
      </w:pPr>
      <w:r w:rsidRPr="00F3462F">
        <w:rPr>
          <w:rFonts w:cs="Times New Roman"/>
          <w:b/>
          <w:bCs/>
          <w:i/>
          <w:iCs/>
          <w:szCs w:val="24"/>
        </w:rPr>
        <w:t xml:space="preserve">Control </w:t>
      </w:r>
      <w:r w:rsidR="00F3462F">
        <w:rPr>
          <w:rFonts w:cs="Times New Roman"/>
          <w:b/>
          <w:bCs/>
          <w:i/>
          <w:iCs/>
          <w:szCs w:val="24"/>
        </w:rPr>
        <w:t>C</w:t>
      </w:r>
      <w:r w:rsidRPr="00F3462F">
        <w:rPr>
          <w:rFonts w:cs="Times New Roman"/>
          <w:b/>
          <w:bCs/>
          <w:i/>
          <w:iCs/>
          <w:szCs w:val="24"/>
        </w:rPr>
        <w:t>ondition</w:t>
      </w:r>
    </w:p>
    <w:p w14:paraId="39711961" w14:textId="3D0C7D8E" w:rsidR="00C722D2" w:rsidRPr="006067B2" w:rsidRDefault="00C722D2" w:rsidP="00F3462F">
      <w:pPr>
        <w:spacing w:line="480" w:lineRule="auto"/>
        <w:ind w:firstLine="720"/>
        <w:contextualSpacing/>
        <w:rPr>
          <w:rFonts w:cs="Times New Roman"/>
          <w:szCs w:val="24"/>
        </w:rPr>
      </w:pPr>
      <w:r>
        <w:rPr>
          <w:rFonts w:cs="Times New Roman"/>
          <w:szCs w:val="24"/>
        </w:rPr>
        <w:t>The control condition received no coaching intervention, and no additional contact from the research team aside from prompts to complete the post-treatment assessment. Thus, the only intervention provided was access to the same ACT Guide program that was provided to the phone and text peer-support coaching conditions. Also, the control condition received the same four weekly automated emails containing tips for using ACT Guide that the other two conditions received as a built-in feature of ACT Guide.</w:t>
      </w:r>
    </w:p>
    <w:p w14:paraId="408ACC35" w14:textId="77777777" w:rsidR="00C722D2" w:rsidRPr="00362311" w:rsidRDefault="00C722D2" w:rsidP="00AE2B5C">
      <w:pPr>
        <w:spacing w:line="480" w:lineRule="auto"/>
        <w:contextualSpacing/>
        <w:rPr>
          <w:rFonts w:cs="Times New Roman"/>
          <w:b/>
          <w:bCs/>
          <w:szCs w:val="24"/>
        </w:rPr>
      </w:pPr>
      <w:r>
        <w:rPr>
          <w:rFonts w:cs="Times New Roman"/>
          <w:b/>
          <w:bCs/>
          <w:szCs w:val="24"/>
        </w:rPr>
        <w:t>Measures</w:t>
      </w:r>
    </w:p>
    <w:bookmarkEnd w:id="8"/>
    <w:p w14:paraId="23CF45A6" w14:textId="77777777" w:rsidR="00AE2B5C" w:rsidRDefault="00C722D2" w:rsidP="00AE2B5C">
      <w:pPr>
        <w:spacing w:line="480" w:lineRule="auto"/>
        <w:contextualSpacing/>
        <w:rPr>
          <w:rFonts w:cs="Times New Roman"/>
          <w:b/>
          <w:szCs w:val="24"/>
        </w:rPr>
      </w:pPr>
      <w:r w:rsidRPr="00AE2B5C">
        <w:rPr>
          <w:rFonts w:cs="Times New Roman"/>
          <w:b/>
          <w:i/>
          <w:iCs/>
          <w:szCs w:val="24"/>
        </w:rPr>
        <w:t>ACT Guide Adherence</w:t>
      </w:r>
      <w:r>
        <w:rPr>
          <w:rFonts w:cs="Times New Roman"/>
          <w:b/>
          <w:szCs w:val="24"/>
        </w:rPr>
        <w:t xml:space="preserve"> </w:t>
      </w:r>
    </w:p>
    <w:p w14:paraId="27C8D9D5" w14:textId="743B4668" w:rsidR="00C722D2" w:rsidRDefault="00C722D2" w:rsidP="00AE2B5C">
      <w:pPr>
        <w:spacing w:line="480" w:lineRule="auto"/>
        <w:ind w:firstLine="720"/>
        <w:contextualSpacing/>
        <w:rPr>
          <w:rFonts w:cs="Times New Roman"/>
          <w:szCs w:val="24"/>
        </w:rPr>
      </w:pPr>
      <w:r>
        <w:rPr>
          <w:rFonts w:cs="Times New Roman"/>
          <w:bCs/>
          <w:szCs w:val="24"/>
        </w:rPr>
        <w:t>Adherence to</w:t>
      </w:r>
      <w:r w:rsidRPr="00C52FBD">
        <w:rPr>
          <w:rFonts w:cs="Times New Roman"/>
          <w:szCs w:val="24"/>
        </w:rPr>
        <w:t xml:space="preserve"> the ACT guide program </w:t>
      </w:r>
      <w:r>
        <w:rPr>
          <w:rFonts w:cs="Times New Roman"/>
          <w:szCs w:val="24"/>
        </w:rPr>
        <w:t>served as</w:t>
      </w:r>
      <w:r w:rsidRPr="00C52FBD">
        <w:rPr>
          <w:rFonts w:cs="Times New Roman"/>
          <w:szCs w:val="24"/>
        </w:rPr>
        <w:t xml:space="preserve"> the primary outcome. This </w:t>
      </w:r>
      <w:r>
        <w:rPr>
          <w:rFonts w:cs="Times New Roman"/>
          <w:szCs w:val="24"/>
        </w:rPr>
        <w:t>was</w:t>
      </w:r>
      <w:r w:rsidRPr="00C52FBD">
        <w:rPr>
          <w:rFonts w:cs="Times New Roman"/>
          <w:szCs w:val="24"/>
        </w:rPr>
        <w:t xml:space="preserve"> automatically recorded by the program, defined as the number of modules completed </w:t>
      </w:r>
      <w:r>
        <w:rPr>
          <w:rFonts w:cs="Times New Roman"/>
          <w:szCs w:val="24"/>
        </w:rPr>
        <w:t>at the end of</w:t>
      </w:r>
      <w:r w:rsidRPr="00C52FBD">
        <w:rPr>
          <w:rFonts w:cs="Times New Roman"/>
          <w:szCs w:val="24"/>
        </w:rPr>
        <w:t xml:space="preserve"> week 10.</w:t>
      </w:r>
      <w:r>
        <w:rPr>
          <w:rFonts w:cs="Times New Roman"/>
          <w:szCs w:val="24"/>
        </w:rPr>
        <w:t xml:space="preserve"> </w:t>
      </w:r>
    </w:p>
    <w:p w14:paraId="634F9F37" w14:textId="77777777" w:rsidR="00AE2B5C" w:rsidRPr="00AE2B5C" w:rsidRDefault="00C722D2" w:rsidP="00AE2B5C">
      <w:pPr>
        <w:spacing w:line="480" w:lineRule="auto"/>
        <w:contextualSpacing/>
        <w:rPr>
          <w:rFonts w:cs="Times New Roman"/>
          <w:b/>
          <w:bCs/>
          <w:i/>
          <w:iCs/>
          <w:szCs w:val="24"/>
        </w:rPr>
      </w:pPr>
      <w:r w:rsidRPr="00AE2B5C">
        <w:rPr>
          <w:rFonts w:cs="Times New Roman"/>
          <w:b/>
          <w:bCs/>
          <w:i/>
          <w:iCs/>
          <w:szCs w:val="24"/>
        </w:rPr>
        <w:t>Mental Health Continuum Short Form (MHC-SF)</w:t>
      </w:r>
    </w:p>
    <w:p w14:paraId="09678013" w14:textId="05640E9E" w:rsidR="00C722D2" w:rsidRDefault="00C722D2" w:rsidP="009D2061">
      <w:pPr>
        <w:spacing w:line="480" w:lineRule="auto"/>
        <w:ind w:firstLine="720"/>
        <w:contextualSpacing/>
        <w:rPr>
          <w:rFonts w:cs="Times New Roman"/>
          <w:szCs w:val="24"/>
        </w:rPr>
      </w:pPr>
      <w:r w:rsidRPr="00F34394">
        <w:rPr>
          <w:rFonts w:cs="Times New Roman"/>
          <w:szCs w:val="24"/>
        </w:rPr>
        <w:t xml:space="preserve">The MHC-SF </w:t>
      </w:r>
      <w:r>
        <w:rPr>
          <w:rFonts w:cs="Times New Roman"/>
          <w:szCs w:val="24"/>
        </w:rPr>
        <w:t xml:space="preserve">is a </w:t>
      </w:r>
      <w:r w:rsidRPr="00F34394">
        <w:rPr>
          <w:rFonts w:cs="Times New Roman"/>
          <w:szCs w:val="24"/>
        </w:rPr>
        <w:t xml:space="preserve">14 item measure </w:t>
      </w:r>
      <w:r>
        <w:rPr>
          <w:rFonts w:cs="Times New Roman"/>
          <w:szCs w:val="24"/>
        </w:rPr>
        <w:t xml:space="preserve">of </w:t>
      </w:r>
      <w:r w:rsidRPr="00F34394">
        <w:rPr>
          <w:rFonts w:cs="Times New Roman"/>
          <w:szCs w:val="24"/>
        </w:rPr>
        <w:t>positive mental health, consisting of the subscales emotional, psychological, and social well-being</w:t>
      </w:r>
      <w:r w:rsidR="00B57D0E">
        <w:rPr>
          <w:rFonts w:cs="Times New Roman"/>
          <w:szCs w:val="24"/>
        </w:rPr>
        <w:t xml:space="preserve"> </w:t>
      </w:r>
      <w:r w:rsidR="00B57D0E" w:rsidRPr="00B57D0E">
        <w:rPr>
          <w:rFonts w:cs="Times New Roman"/>
        </w:rPr>
        <w:t>(Keyes, 2005)</w:t>
      </w:r>
      <w:r w:rsidRPr="00F34394">
        <w:rPr>
          <w:rFonts w:cs="Times New Roman"/>
          <w:szCs w:val="24"/>
        </w:rPr>
        <w:t xml:space="preserve">. Items are rated on a 6-point Likert scale from </w:t>
      </w:r>
      <w:r>
        <w:rPr>
          <w:rFonts w:cs="Times New Roman"/>
          <w:szCs w:val="24"/>
        </w:rPr>
        <w:t>0 (</w:t>
      </w:r>
      <w:r w:rsidRPr="00F34394">
        <w:rPr>
          <w:rFonts w:cs="Times New Roman"/>
          <w:i/>
          <w:iCs/>
          <w:szCs w:val="24"/>
        </w:rPr>
        <w:t>never</w:t>
      </w:r>
      <w:r>
        <w:rPr>
          <w:rFonts w:cs="Times New Roman"/>
          <w:i/>
          <w:iCs/>
          <w:szCs w:val="24"/>
        </w:rPr>
        <w:t>)</w:t>
      </w:r>
      <w:r w:rsidRPr="00F34394">
        <w:rPr>
          <w:rFonts w:cs="Times New Roman"/>
          <w:szCs w:val="24"/>
        </w:rPr>
        <w:t xml:space="preserve"> to </w:t>
      </w:r>
      <w:r>
        <w:rPr>
          <w:rFonts w:cs="Times New Roman"/>
          <w:szCs w:val="24"/>
        </w:rPr>
        <w:t>5 (</w:t>
      </w:r>
      <w:r w:rsidRPr="00F34394">
        <w:rPr>
          <w:rFonts w:cs="Times New Roman"/>
          <w:i/>
          <w:iCs/>
          <w:szCs w:val="24"/>
        </w:rPr>
        <w:t>every day</w:t>
      </w:r>
      <w:r w:rsidRPr="001B4911">
        <w:rPr>
          <w:rFonts w:cs="Times New Roman"/>
          <w:szCs w:val="24"/>
        </w:rPr>
        <w:t>)</w:t>
      </w:r>
      <w:r w:rsidRPr="00853C01">
        <w:rPr>
          <w:rFonts w:cs="Times New Roman"/>
          <w:szCs w:val="24"/>
        </w:rPr>
        <w:t>.</w:t>
      </w:r>
      <w:r w:rsidRPr="00F34394">
        <w:rPr>
          <w:rFonts w:cs="Times New Roman"/>
          <w:szCs w:val="24"/>
        </w:rPr>
        <w:t xml:space="preserve"> </w:t>
      </w:r>
      <w:r>
        <w:rPr>
          <w:rFonts w:cs="Times New Roman"/>
          <w:szCs w:val="24"/>
        </w:rPr>
        <w:t xml:space="preserve">A total score is summed, ranging from 0 to 70, with </w:t>
      </w:r>
      <w:r>
        <w:rPr>
          <w:rFonts w:cs="Times New Roman"/>
          <w:szCs w:val="24"/>
        </w:rPr>
        <w:lastRenderedPageBreak/>
        <w:t>higher scores indicating greater emotional wellbeing. The three factor model of positive mental health used by the MHC-SF has been supported in college students</w:t>
      </w:r>
      <w:r w:rsidR="003337A1">
        <w:rPr>
          <w:rFonts w:cs="Times New Roman"/>
          <w:szCs w:val="24"/>
        </w:rPr>
        <w:t xml:space="preserve"> </w:t>
      </w:r>
      <w:r w:rsidR="003337A1" w:rsidRPr="003337A1">
        <w:rPr>
          <w:rFonts w:cs="Times New Roman"/>
        </w:rPr>
        <w:t>(Lamers et al., 2011)</w:t>
      </w:r>
      <w:r w:rsidR="00967DD4">
        <w:rPr>
          <w:rFonts w:cs="Times New Roman"/>
          <w:szCs w:val="24"/>
        </w:rPr>
        <w:t>, and</w:t>
      </w:r>
      <w:r>
        <w:rPr>
          <w:rFonts w:cs="Times New Roman"/>
          <w:szCs w:val="24"/>
        </w:rPr>
        <w:t xml:space="preserve"> </w:t>
      </w:r>
      <w:r w:rsidR="00967DD4">
        <w:rPr>
          <w:rFonts w:cs="Times New Roman"/>
          <w:szCs w:val="24"/>
        </w:rPr>
        <w:t>i</w:t>
      </w:r>
      <w:r>
        <w:rPr>
          <w:rFonts w:cs="Times New Roman"/>
          <w:szCs w:val="24"/>
        </w:rPr>
        <w:t>tems within the MHC-SF display good internal consistency</w:t>
      </w:r>
      <w:r w:rsidR="00967DD4">
        <w:rPr>
          <w:rFonts w:cs="Times New Roman"/>
          <w:szCs w:val="24"/>
        </w:rPr>
        <w:t>,</w:t>
      </w:r>
      <w:r>
        <w:rPr>
          <w:rFonts w:cs="Times New Roman"/>
          <w:szCs w:val="24"/>
        </w:rPr>
        <w:t xml:space="preserve"> </w:t>
      </w:r>
      <w:r w:rsidR="00967DD4">
        <w:rPr>
          <w:rFonts w:cs="Times New Roman"/>
          <w:szCs w:val="24"/>
        </w:rPr>
        <w:t xml:space="preserve">appropriate test-retest reliability, and sensitivity to change </w:t>
      </w:r>
      <w:r w:rsidR="00967DD4" w:rsidRPr="00B57D0E">
        <w:rPr>
          <w:rFonts w:cs="Times New Roman"/>
        </w:rPr>
        <w:t>(Keyes, 2005; Lamers et al., 2011)</w:t>
      </w:r>
      <w:r>
        <w:rPr>
          <w:rFonts w:cs="Times New Roman"/>
          <w:szCs w:val="24"/>
        </w:rPr>
        <w:t>. Our sample demonstrated an excellent Cronbach alpha of 0.92 for the total score.</w:t>
      </w:r>
    </w:p>
    <w:p w14:paraId="22CBA977" w14:textId="77777777" w:rsidR="00AE2B5C" w:rsidRDefault="00C722D2" w:rsidP="00AE2B5C">
      <w:pPr>
        <w:spacing w:line="480" w:lineRule="auto"/>
        <w:contextualSpacing/>
        <w:rPr>
          <w:rFonts w:cs="Times New Roman"/>
          <w:b/>
          <w:bCs/>
          <w:i/>
          <w:iCs/>
          <w:szCs w:val="24"/>
        </w:rPr>
      </w:pPr>
      <w:r w:rsidRPr="00AE2B5C">
        <w:rPr>
          <w:rFonts w:cs="Times New Roman"/>
          <w:b/>
          <w:bCs/>
          <w:i/>
          <w:iCs/>
          <w:szCs w:val="24"/>
        </w:rPr>
        <w:t>Depression/Anxiety/Stress Scale (DASS-21)</w:t>
      </w:r>
    </w:p>
    <w:p w14:paraId="62A90B2D" w14:textId="128BAF35" w:rsidR="00C722D2" w:rsidRDefault="00C722D2" w:rsidP="00AE2B5C">
      <w:pPr>
        <w:spacing w:line="480" w:lineRule="auto"/>
        <w:ind w:firstLine="720"/>
        <w:contextualSpacing/>
        <w:rPr>
          <w:rFonts w:cs="Times New Roman"/>
          <w:szCs w:val="24"/>
        </w:rPr>
      </w:pPr>
      <w:r w:rsidRPr="00F34394">
        <w:rPr>
          <w:rFonts w:cs="Times New Roman"/>
          <w:szCs w:val="24"/>
        </w:rPr>
        <w:t>The DASS-21 i</w:t>
      </w:r>
      <w:r>
        <w:rPr>
          <w:rFonts w:cs="Times New Roman"/>
          <w:szCs w:val="24"/>
        </w:rPr>
        <w:t>s a</w:t>
      </w:r>
      <w:r w:rsidRPr="00F34394">
        <w:rPr>
          <w:rFonts w:cs="Times New Roman"/>
          <w:szCs w:val="24"/>
        </w:rPr>
        <w:t xml:space="preserve"> 21 items measur</w:t>
      </w:r>
      <w:r>
        <w:rPr>
          <w:rFonts w:cs="Times New Roman"/>
          <w:szCs w:val="24"/>
        </w:rPr>
        <w:t>e of</w:t>
      </w:r>
      <w:r w:rsidRPr="00F34394">
        <w:rPr>
          <w:rFonts w:cs="Times New Roman"/>
          <w:szCs w:val="24"/>
        </w:rPr>
        <w:t xml:space="preserve"> general</w:t>
      </w:r>
      <w:r>
        <w:rPr>
          <w:rFonts w:cs="Times New Roman"/>
          <w:szCs w:val="24"/>
        </w:rPr>
        <w:t xml:space="preserve"> psychological</w:t>
      </w:r>
      <w:r w:rsidRPr="00F34394">
        <w:rPr>
          <w:rFonts w:cs="Times New Roman"/>
          <w:szCs w:val="24"/>
        </w:rPr>
        <w:t xml:space="preserve"> distress, consisting of the subscales depression, stress, and anxiety</w:t>
      </w:r>
      <w:r w:rsidR="00B57D0E">
        <w:rPr>
          <w:rFonts w:cs="Times New Roman"/>
          <w:szCs w:val="24"/>
        </w:rPr>
        <w:t xml:space="preserve"> </w:t>
      </w:r>
      <w:r w:rsidR="00B57D0E" w:rsidRPr="00B57D0E">
        <w:rPr>
          <w:rFonts w:cs="Times New Roman"/>
        </w:rPr>
        <w:t>(Lovibond &amp; Lovibond, 1995)</w:t>
      </w:r>
      <w:r w:rsidRPr="00F34394">
        <w:rPr>
          <w:rFonts w:cs="Times New Roman"/>
          <w:szCs w:val="24"/>
        </w:rPr>
        <w:t>. Items are rated on a 4-point Likert scale from 0 (</w:t>
      </w:r>
      <w:r w:rsidRPr="00F34394">
        <w:rPr>
          <w:rFonts w:cs="Times New Roman"/>
          <w:i/>
          <w:iCs/>
          <w:szCs w:val="24"/>
        </w:rPr>
        <w:t>did not apply to me at all</w:t>
      </w:r>
      <w:r w:rsidRPr="00F34394">
        <w:rPr>
          <w:rFonts w:cs="Times New Roman"/>
          <w:szCs w:val="24"/>
        </w:rPr>
        <w:t>) to 3 (</w:t>
      </w:r>
      <w:r w:rsidRPr="00F34394">
        <w:rPr>
          <w:rFonts w:cs="Times New Roman"/>
          <w:i/>
          <w:iCs/>
          <w:szCs w:val="24"/>
        </w:rPr>
        <w:t>applied to me most of the time</w:t>
      </w:r>
      <w:r w:rsidRPr="00F34394">
        <w:rPr>
          <w:rFonts w:cs="Times New Roman"/>
          <w:szCs w:val="24"/>
        </w:rPr>
        <w:t>).</w:t>
      </w:r>
      <w:r>
        <w:rPr>
          <w:rFonts w:cs="Times New Roman"/>
          <w:szCs w:val="24"/>
        </w:rPr>
        <w:t xml:space="preserve"> </w:t>
      </w:r>
      <w:r w:rsidRPr="0016305E">
        <w:rPr>
          <w:rFonts w:cs="Times New Roman"/>
          <w:szCs w:val="24"/>
        </w:rPr>
        <w:t>Responses are summed and then multiplied by two for each subscale to produce subscale scores</w:t>
      </w:r>
      <w:r>
        <w:rPr>
          <w:rFonts w:cs="Times New Roman"/>
          <w:szCs w:val="24"/>
        </w:rPr>
        <w:t>, with a composite total summed from subscales to represent negative affectivity</w:t>
      </w:r>
      <w:r w:rsidR="003337A1">
        <w:rPr>
          <w:rFonts w:cs="Times New Roman"/>
          <w:szCs w:val="24"/>
        </w:rPr>
        <w:t xml:space="preserve"> </w:t>
      </w:r>
      <w:r w:rsidR="003337A1" w:rsidRPr="003337A1">
        <w:rPr>
          <w:rFonts w:cs="Times New Roman"/>
        </w:rPr>
        <w:t>(Osman et al., 2012)</w:t>
      </w:r>
      <w:r>
        <w:rPr>
          <w:rFonts w:cs="Times New Roman"/>
          <w:szCs w:val="24"/>
        </w:rPr>
        <w:t xml:space="preserve">. Prior evidence has suggested that the DASS-21 is sensitive to clinically relevant change in response to </w:t>
      </w:r>
      <w:r w:rsidR="00391D16">
        <w:rPr>
          <w:rFonts w:cs="Times New Roman"/>
          <w:szCs w:val="24"/>
        </w:rPr>
        <w:t>online ACT</w:t>
      </w:r>
      <w:r w:rsidR="003337A1">
        <w:rPr>
          <w:rFonts w:cs="Times New Roman"/>
          <w:szCs w:val="24"/>
        </w:rPr>
        <w:t xml:space="preserve"> </w:t>
      </w:r>
      <w:r w:rsidR="003337A1" w:rsidRPr="003337A1">
        <w:rPr>
          <w:rFonts w:cs="Times New Roman"/>
        </w:rPr>
        <w:t>(Levin et al., 2015; Petersen et al., 2021)</w:t>
      </w:r>
      <w:r w:rsidR="00967DD4">
        <w:rPr>
          <w:rFonts w:cs="Times New Roman"/>
          <w:szCs w:val="24"/>
        </w:rPr>
        <w:t xml:space="preserve">, and the measure </w:t>
      </w:r>
      <w:r>
        <w:rPr>
          <w:rFonts w:cs="Times New Roman"/>
          <w:szCs w:val="24"/>
        </w:rPr>
        <w:t>has demonstrated good internal consistency among U.S. college populations</w:t>
      </w:r>
      <w:r w:rsidR="00967DD4">
        <w:rPr>
          <w:rFonts w:cs="Times New Roman"/>
          <w:szCs w:val="24"/>
        </w:rPr>
        <w:t xml:space="preserve"> </w:t>
      </w:r>
      <w:r w:rsidR="00EF1CD6" w:rsidRPr="00EF1CD6">
        <w:rPr>
          <w:rFonts w:cs="Times New Roman"/>
        </w:rPr>
        <w:t>(Osman et al., 2012)</w:t>
      </w:r>
      <w:r>
        <w:rPr>
          <w:rFonts w:cs="Times New Roman"/>
          <w:szCs w:val="24"/>
        </w:rPr>
        <w:t xml:space="preserve">. Our sample demonstrated </w:t>
      </w:r>
      <w:r w:rsidR="00A828CF">
        <w:rPr>
          <w:rFonts w:cs="Times New Roman"/>
          <w:szCs w:val="24"/>
        </w:rPr>
        <w:t xml:space="preserve">an </w:t>
      </w:r>
      <w:r>
        <w:rPr>
          <w:rFonts w:cs="Times New Roman"/>
          <w:szCs w:val="24"/>
        </w:rPr>
        <w:t>excellent Cronbach alpha</w:t>
      </w:r>
      <w:r w:rsidR="00A828CF">
        <w:rPr>
          <w:rFonts w:cs="Times New Roman"/>
          <w:szCs w:val="24"/>
        </w:rPr>
        <w:t xml:space="preserve"> </w:t>
      </w:r>
      <w:r>
        <w:rPr>
          <w:rFonts w:cs="Times New Roman"/>
          <w:szCs w:val="24"/>
        </w:rPr>
        <w:t xml:space="preserve">of 0.93 for the full scale. </w:t>
      </w:r>
    </w:p>
    <w:p w14:paraId="1143D5EF" w14:textId="77777777" w:rsidR="00AE2B5C" w:rsidRPr="00AE2B5C" w:rsidRDefault="00C722D2" w:rsidP="00AE2B5C">
      <w:pPr>
        <w:spacing w:line="480" w:lineRule="auto"/>
        <w:contextualSpacing/>
        <w:rPr>
          <w:rFonts w:cs="Times New Roman"/>
          <w:b/>
          <w:bCs/>
          <w:i/>
          <w:iCs/>
          <w:szCs w:val="24"/>
        </w:rPr>
      </w:pPr>
      <w:r w:rsidRPr="00AE2B5C">
        <w:rPr>
          <w:rFonts w:cs="Times New Roman"/>
          <w:b/>
          <w:bCs/>
          <w:i/>
          <w:iCs/>
          <w:szCs w:val="24"/>
        </w:rPr>
        <w:t>The Acceptance and Action Questionnaire (AAQ-II)</w:t>
      </w:r>
    </w:p>
    <w:p w14:paraId="57AB43C8" w14:textId="2941DD38" w:rsidR="00C722D2" w:rsidRDefault="00C722D2" w:rsidP="009D2061">
      <w:pPr>
        <w:spacing w:line="480" w:lineRule="auto"/>
        <w:ind w:firstLine="720"/>
        <w:contextualSpacing/>
        <w:rPr>
          <w:rFonts w:cs="Times New Roman"/>
          <w:szCs w:val="24"/>
        </w:rPr>
      </w:pPr>
      <w:r w:rsidRPr="00C7174F">
        <w:rPr>
          <w:rFonts w:cs="Times New Roman"/>
          <w:szCs w:val="24"/>
        </w:rPr>
        <w:t xml:space="preserve">The AAQ-II includes </w:t>
      </w:r>
      <w:r>
        <w:rPr>
          <w:rFonts w:cs="Times New Roman"/>
          <w:szCs w:val="24"/>
        </w:rPr>
        <w:t xml:space="preserve">7 </w:t>
      </w:r>
      <w:r w:rsidRPr="00C7174F">
        <w:rPr>
          <w:rFonts w:cs="Times New Roman"/>
          <w:szCs w:val="24"/>
        </w:rPr>
        <w:t>items that measure psychological inflexibility</w:t>
      </w:r>
      <w:r>
        <w:rPr>
          <w:rFonts w:cs="Times New Roman"/>
          <w:szCs w:val="24"/>
        </w:rPr>
        <w:t xml:space="preserve"> </w:t>
      </w:r>
      <w:r w:rsidR="00A2571C">
        <w:rPr>
          <w:rFonts w:cs="Times New Roman"/>
          <w:szCs w:val="24"/>
        </w:rPr>
        <w:t xml:space="preserve">(the inverse of psychological flexibility) </w:t>
      </w:r>
      <w:r>
        <w:rPr>
          <w:rFonts w:cs="Times New Roman"/>
          <w:szCs w:val="24"/>
        </w:rPr>
        <w:t>with a primary focus on experiential avoidance</w:t>
      </w:r>
      <w:r w:rsidRPr="00C7174F">
        <w:rPr>
          <w:rFonts w:cs="Times New Roman"/>
          <w:szCs w:val="24"/>
        </w:rPr>
        <w:t>, rated on a 7-point Likert scale from 1 (</w:t>
      </w:r>
      <w:r w:rsidRPr="001B4911">
        <w:rPr>
          <w:rFonts w:cs="Times New Roman"/>
          <w:i/>
          <w:iCs/>
          <w:szCs w:val="24"/>
        </w:rPr>
        <w:t>never true</w:t>
      </w:r>
      <w:r w:rsidRPr="00C7174F">
        <w:rPr>
          <w:rFonts w:cs="Times New Roman"/>
          <w:szCs w:val="24"/>
        </w:rPr>
        <w:t>) to 7 (</w:t>
      </w:r>
      <w:r w:rsidRPr="001B4911">
        <w:rPr>
          <w:rFonts w:cs="Times New Roman"/>
          <w:i/>
          <w:iCs/>
          <w:szCs w:val="24"/>
        </w:rPr>
        <w:t>always true</w:t>
      </w:r>
      <w:r w:rsidR="0061293D">
        <w:rPr>
          <w:rFonts w:cs="Times New Roman"/>
          <w:szCs w:val="24"/>
        </w:rPr>
        <w:t>;</w:t>
      </w:r>
      <w:r w:rsidR="00EF1CD6">
        <w:rPr>
          <w:rFonts w:cs="Times New Roman"/>
          <w:szCs w:val="24"/>
        </w:rPr>
        <w:t xml:space="preserve"> </w:t>
      </w:r>
      <w:r w:rsidR="00EF1CD6" w:rsidRPr="00EF1CD6">
        <w:rPr>
          <w:rFonts w:cs="Times New Roman"/>
        </w:rPr>
        <w:t>Bond et al., 2011)</w:t>
      </w:r>
      <w:r w:rsidRPr="00C7174F">
        <w:rPr>
          <w:rFonts w:cs="Times New Roman"/>
          <w:szCs w:val="24"/>
        </w:rPr>
        <w:t>.</w:t>
      </w:r>
      <w:r>
        <w:rPr>
          <w:rFonts w:cs="Times New Roman"/>
          <w:szCs w:val="24"/>
        </w:rPr>
        <w:t xml:space="preserve"> Previous analysis of the AAQ-II’s factor structure suggests that it measures a unidimensional construct</w:t>
      </w:r>
      <w:r w:rsidR="00A2571C">
        <w:rPr>
          <w:rFonts w:cs="Times New Roman"/>
          <w:szCs w:val="24"/>
        </w:rPr>
        <w:t xml:space="preserve"> and that it has acceptable internal consistency among college students </w:t>
      </w:r>
      <w:r w:rsidR="00EF1CD6" w:rsidRPr="00EF1CD6">
        <w:rPr>
          <w:rFonts w:cs="Times New Roman"/>
        </w:rPr>
        <w:t>(Bond et al., 2011)</w:t>
      </w:r>
      <w:r>
        <w:rPr>
          <w:rFonts w:cs="Times New Roman"/>
          <w:szCs w:val="24"/>
        </w:rPr>
        <w:t xml:space="preserve">. We found an excellent Cronbach alpha score of 0.91 within </w:t>
      </w:r>
      <w:r w:rsidR="00A2571C">
        <w:rPr>
          <w:rFonts w:cs="Times New Roman"/>
          <w:szCs w:val="24"/>
        </w:rPr>
        <w:t>the current</w:t>
      </w:r>
      <w:r>
        <w:rPr>
          <w:rFonts w:cs="Times New Roman"/>
          <w:szCs w:val="24"/>
        </w:rPr>
        <w:t xml:space="preserve"> sample.</w:t>
      </w:r>
      <w:r w:rsidR="00537CD0">
        <w:rPr>
          <w:rFonts w:cs="Times New Roman"/>
          <w:szCs w:val="24"/>
        </w:rPr>
        <w:t xml:space="preserve"> </w:t>
      </w:r>
      <w:r>
        <w:rPr>
          <w:rFonts w:cs="Times New Roman"/>
          <w:szCs w:val="24"/>
        </w:rPr>
        <w:t>However, the AAQ-II has shown limited treatment sensitivity as compared to other measures of psychological inflexibility</w:t>
      </w:r>
      <w:r w:rsidR="00EF1CD6">
        <w:rPr>
          <w:rFonts w:cs="Times New Roman"/>
          <w:szCs w:val="24"/>
        </w:rPr>
        <w:t xml:space="preserve"> </w:t>
      </w:r>
      <w:r w:rsidR="003337A1">
        <w:rPr>
          <w:rFonts w:cs="Times New Roman"/>
          <w:szCs w:val="24"/>
        </w:rPr>
        <w:t xml:space="preserve"> </w:t>
      </w:r>
      <w:r w:rsidR="003337A1" w:rsidRPr="003337A1">
        <w:rPr>
          <w:rFonts w:cs="Times New Roman"/>
        </w:rPr>
        <w:lastRenderedPageBreak/>
        <w:t>(Benoy et al., 2019)</w:t>
      </w:r>
      <w:r>
        <w:rPr>
          <w:rFonts w:cs="Times New Roman"/>
          <w:szCs w:val="24"/>
        </w:rPr>
        <w:t>. Despite this and other limitations, the AAQ-II remains the most common measure for psychological flexibility, and thus provides a useful point of reference for comparison with other studies</w:t>
      </w:r>
      <w:r w:rsidR="00EF1CD6">
        <w:rPr>
          <w:rFonts w:cs="Times New Roman"/>
          <w:szCs w:val="24"/>
        </w:rPr>
        <w:t xml:space="preserve"> </w:t>
      </w:r>
      <w:r w:rsidR="00EF1CD6" w:rsidRPr="00EF1CD6">
        <w:rPr>
          <w:rFonts w:cs="Times New Roman"/>
        </w:rPr>
        <w:t>(Ong et al., 2020)</w:t>
      </w:r>
      <w:r>
        <w:rPr>
          <w:rFonts w:cs="Times New Roman"/>
          <w:szCs w:val="24"/>
        </w:rPr>
        <w:t xml:space="preserve">. </w:t>
      </w:r>
    </w:p>
    <w:p w14:paraId="2F8F0B9C" w14:textId="77777777" w:rsidR="00AE2B5C" w:rsidRDefault="00C722D2" w:rsidP="00AE2B5C">
      <w:pPr>
        <w:spacing w:line="480" w:lineRule="auto"/>
        <w:contextualSpacing/>
        <w:rPr>
          <w:rFonts w:cs="Times New Roman"/>
          <w:b/>
          <w:bCs/>
          <w:i/>
          <w:iCs/>
          <w:szCs w:val="24"/>
        </w:rPr>
      </w:pPr>
      <w:r w:rsidRPr="00AE2B5C">
        <w:rPr>
          <w:rFonts w:cs="Times New Roman"/>
          <w:b/>
          <w:bCs/>
          <w:i/>
          <w:iCs/>
          <w:szCs w:val="24"/>
        </w:rPr>
        <w:t>Comprehensive Assessment of Acceptance and Commitment Therapy Processes (</w:t>
      </w:r>
      <w:proofErr w:type="spellStart"/>
      <w:r w:rsidRPr="00AE2B5C">
        <w:rPr>
          <w:rFonts w:cs="Times New Roman"/>
          <w:b/>
          <w:bCs/>
          <w:i/>
          <w:iCs/>
          <w:szCs w:val="24"/>
        </w:rPr>
        <w:t>CompACT</w:t>
      </w:r>
      <w:proofErr w:type="spellEnd"/>
      <w:r w:rsidRPr="00AE2B5C">
        <w:rPr>
          <w:rFonts w:cs="Times New Roman"/>
          <w:b/>
          <w:bCs/>
          <w:i/>
          <w:iCs/>
          <w:szCs w:val="24"/>
        </w:rPr>
        <w:t xml:space="preserve">) </w:t>
      </w:r>
    </w:p>
    <w:p w14:paraId="1AE4FAFD" w14:textId="50C11F44" w:rsidR="00C722D2" w:rsidRDefault="00C722D2" w:rsidP="009D2061">
      <w:pPr>
        <w:spacing w:line="480" w:lineRule="auto"/>
        <w:ind w:firstLine="720"/>
        <w:contextualSpacing/>
        <w:rPr>
          <w:rFonts w:cs="Times New Roman"/>
          <w:szCs w:val="24"/>
        </w:rPr>
      </w:pPr>
      <w:r>
        <w:rPr>
          <w:rFonts w:cs="Times New Roman"/>
          <w:szCs w:val="24"/>
        </w:rPr>
        <w:t xml:space="preserve">The </w:t>
      </w:r>
      <w:proofErr w:type="spellStart"/>
      <w:r>
        <w:rPr>
          <w:rFonts w:cs="Times New Roman"/>
          <w:szCs w:val="24"/>
        </w:rPr>
        <w:t>CompACT</w:t>
      </w:r>
      <w:proofErr w:type="spellEnd"/>
      <w:r>
        <w:rPr>
          <w:rFonts w:cs="Times New Roman"/>
          <w:szCs w:val="24"/>
        </w:rPr>
        <w:t xml:space="preserve"> is a 23 item measure of psychological flexibility, consisting of three subscales including openness to experience, behavioral awareness, and valued action</w:t>
      </w:r>
      <w:r w:rsidR="00EF1CD6">
        <w:rPr>
          <w:rFonts w:cs="Times New Roman"/>
          <w:szCs w:val="24"/>
        </w:rPr>
        <w:t xml:space="preserve"> </w:t>
      </w:r>
      <w:r w:rsidR="00EF1CD6" w:rsidRPr="00EF1CD6">
        <w:rPr>
          <w:rFonts w:cs="Times New Roman"/>
        </w:rPr>
        <w:t>(Francis et al., 2016)</w:t>
      </w:r>
      <w:r>
        <w:rPr>
          <w:rFonts w:cs="Times New Roman"/>
          <w:szCs w:val="24"/>
        </w:rPr>
        <w:t>. Items are rated on a 7-point Likert scale from 0 (</w:t>
      </w:r>
      <w:r w:rsidRPr="001B4911">
        <w:rPr>
          <w:rFonts w:cs="Times New Roman"/>
          <w:i/>
          <w:iCs/>
          <w:szCs w:val="24"/>
        </w:rPr>
        <w:t>strongly disagree</w:t>
      </w:r>
      <w:r>
        <w:rPr>
          <w:rFonts w:cs="Times New Roman"/>
          <w:szCs w:val="24"/>
        </w:rPr>
        <w:t>) to 6 (</w:t>
      </w:r>
      <w:r w:rsidRPr="001B4911">
        <w:rPr>
          <w:rFonts w:cs="Times New Roman"/>
          <w:i/>
          <w:iCs/>
          <w:szCs w:val="24"/>
        </w:rPr>
        <w:t>strongly agree</w:t>
      </w:r>
      <w:r>
        <w:rPr>
          <w:rFonts w:cs="Times New Roman"/>
          <w:szCs w:val="24"/>
        </w:rPr>
        <w:t>)</w:t>
      </w:r>
      <w:r w:rsidR="00A421E7">
        <w:rPr>
          <w:rFonts w:cs="Times New Roman"/>
          <w:szCs w:val="24"/>
        </w:rPr>
        <w:t>, with h</w:t>
      </w:r>
      <w:r>
        <w:rPr>
          <w:rFonts w:cs="Times New Roman"/>
          <w:szCs w:val="24"/>
        </w:rPr>
        <w:t>igher scores indicat</w:t>
      </w:r>
      <w:r w:rsidR="00A421E7">
        <w:rPr>
          <w:rFonts w:cs="Times New Roman"/>
          <w:szCs w:val="24"/>
        </w:rPr>
        <w:t>ing</w:t>
      </w:r>
      <w:r>
        <w:rPr>
          <w:rFonts w:cs="Times New Roman"/>
          <w:szCs w:val="24"/>
        </w:rPr>
        <w:t xml:space="preserve"> greater psychological flexibility. Like the AAQ-II, the </w:t>
      </w:r>
      <w:proofErr w:type="spellStart"/>
      <w:r>
        <w:rPr>
          <w:rFonts w:cs="Times New Roman"/>
          <w:szCs w:val="24"/>
        </w:rPr>
        <w:t>CompACT</w:t>
      </w:r>
      <w:proofErr w:type="spellEnd"/>
      <w:r>
        <w:rPr>
          <w:rFonts w:cs="Times New Roman"/>
          <w:szCs w:val="24"/>
        </w:rPr>
        <w:t xml:space="preserve"> conceptualizes psychological flexibility and the processes subsumed under it as unipolar constructs (e.g., high psychological flexibility is equated with low psychological inflexibility). The </w:t>
      </w:r>
      <w:proofErr w:type="spellStart"/>
      <w:r>
        <w:rPr>
          <w:rFonts w:cs="Times New Roman"/>
          <w:szCs w:val="24"/>
        </w:rPr>
        <w:t>CompACT</w:t>
      </w:r>
      <w:proofErr w:type="spellEnd"/>
      <w:r>
        <w:rPr>
          <w:rFonts w:cs="Times New Roman"/>
          <w:szCs w:val="24"/>
        </w:rPr>
        <w:t xml:space="preserve"> has demonstrated good to excellent internal consistency in a general adult sample</w:t>
      </w:r>
      <w:r w:rsidR="00567C84">
        <w:rPr>
          <w:rFonts w:cs="Times New Roman"/>
          <w:szCs w:val="24"/>
        </w:rPr>
        <w:t xml:space="preserve"> </w:t>
      </w:r>
      <w:r w:rsidR="00EF1CD6" w:rsidRPr="00EF1CD6">
        <w:rPr>
          <w:rFonts w:cs="Times New Roman"/>
        </w:rPr>
        <w:t>(Francis et al., 2016)</w:t>
      </w:r>
      <w:r w:rsidR="00567C84">
        <w:rPr>
          <w:rFonts w:cs="Times New Roman"/>
          <w:szCs w:val="24"/>
        </w:rPr>
        <w:t xml:space="preserve">, as well as good discriminant validity </w:t>
      </w:r>
      <w:r w:rsidR="00567C84" w:rsidRPr="00EF1CD6">
        <w:rPr>
          <w:rFonts w:cs="Times New Roman"/>
        </w:rPr>
        <w:t>(Ong et al., 2020)</w:t>
      </w:r>
      <w:r>
        <w:rPr>
          <w:rFonts w:cs="Times New Roman"/>
          <w:szCs w:val="24"/>
        </w:rPr>
        <w:t xml:space="preserve">. Our own sample demonstrated </w:t>
      </w:r>
      <w:r w:rsidR="00A828CF">
        <w:rPr>
          <w:rFonts w:cs="Times New Roman"/>
          <w:szCs w:val="24"/>
        </w:rPr>
        <w:t xml:space="preserve">a </w:t>
      </w:r>
      <w:r>
        <w:rPr>
          <w:rFonts w:cs="Times New Roman"/>
          <w:szCs w:val="24"/>
        </w:rPr>
        <w:t xml:space="preserve">good Cronbach alpha of 0.85 </w:t>
      </w:r>
      <w:r w:rsidR="00A828CF">
        <w:rPr>
          <w:rFonts w:cs="Times New Roman"/>
          <w:szCs w:val="24"/>
        </w:rPr>
        <w:t>for the full scale</w:t>
      </w:r>
      <w:r>
        <w:rPr>
          <w:rFonts w:cs="Times New Roman"/>
          <w:szCs w:val="24"/>
        </w:rPr>
        <w:t xml:space="preserve">. Both discriminant validity and treatment sensitivity of the </w:t>
      </w:r>
      <w:proofErr w:type="spellStart"/>
      <w:r>
        <w:rPr>
          <w:rFonts w:cs="Times New Roman"/>
          <w:szCs w:val="24"/>
        </w:rPr>
        <w:t>CompACT</w:t>
      </w:r>
      <w:proofErr w:type="spellEnd"/>
      <w:r>
        <w:rPr>
          <w:rFonts w:cs="Times New Roman"/>
          <w:szCs w:val="24"/>
        </w:rPr>
        <w:t xml:space="preserve"> appear to be better than that of the AAQ-II</w:t>
      </w:r>
      <w:r w:rsidR="00EF1CD6">
        <w:rPr>
          <w:rFonts w:cs="Times New Roman"/>
          <w:szCs w:val="24"/>
        </w:rPr>
        <w:t xml:space="preserve"> </w:t>
      </w:r>
      <w:r w:rsidR="00EF1CD6" w:rsidRPr="00EF1CD6">
        <w:rPr>
          <w:rFonts w:cs="Times New Roman"/>
        </w:rPr>
        <w:t>(Ong et al., 2020; Rogge et al., 2019)</w:t>
      </w:r>
      <w:r>
        <w:rPr>
          <w:rFonts w:cs="Times New Roman"/>
          <w:szCs w:val="24"/>
        </w:rPr>
        <w:t>.</w:t>
      </w:r>
    </w:p>
    <w:p w14:paraId="582D8C97" w14:textId="77777777" w:rsidR="00C722D2" w:rsidRDefault="00C722D2" w:rsidP="00AE2B5C">
      <w:pPr>
        <w:spacing w:line="480" w:lineRule="auto"/>
        <w:contextualSpacing/>
        <w:rPr>
          <w:rFonts w:cs="Times New Roman"/>
          <w:b/>
          <w:bCs/>
          <w:szCs w:val="24"/>
        </w:rPr>
      </w:pPr>
      <w:r>
        <w:rPr>
          <w:rFonts w:cs="Times New Roman"/>
          <w:b/>
          <w:bCs/>
          <w:szCs w:val="24"/>
        </w:rPr>
        <w:t>Statistical Analyses</w:t>
      </w:r>
    </w:p>
    <w:p w14:paraId="6677532C" w14:textId="262358FD" w:rsidR="00C722D2" w:rsidRDefault="00C722D2" w:rsidP="00C722D2">
      <w:pPr>
        <w:spacing w:line="480" w:lineRule="auto"/>
        <w:ind w:firstLine="720"/>
        <w:contextualSpacing/>
        <w:rPr>
          <w:rFonts w:cs="Times New Roman"/>
          <w:bCs/>
          <w:szCs w:val="24"/>
        </w:rPr>
      </w:pPr>
      <w:r>
        <w:rPr>
          <w:rFonts w:cs="Times New Roman"/>
          <w:szCs w:val="24"/>
        </w:rPr>
        <w:t xml:space="preserve">Statistical analyses were conducted </w:t>
      </w:r>
      <w:r w:rsidRPr="00EC590C">
        <w:rPr>
          <w:rFonts w:cs="Times New Roman"/>
          <w:szCs w:val="24"/>
        </w:rPr>
        <w:t>with R</w:t>
      </w:r>
      <w:r>
        <w:rPr>
          <w:rFonts w:cs="Times New Roman"/>
          <w:szCs w:val="24"/>
        </w:rPr>
        <w:t xml:space="preserve"> (v 4.1.2</w:t>
      </w:r>
      <w:r w:rsidR="003245EB">
        <w:rPr>
          <w:rFonts w:cs="Times New Roman"/>
          <w:szCs w:val="24"/>
        </w:rPr>
        <w:t>;</w:t>
      </w:r>
      <w:r w:rsidRPr="00EC590C">
        <w:rPr>
          <w:rFonts w:cs="Times New Roman"/>
          <w:szCs w:val="24"/>
        </w:rPr>
        <w:t xml:space="preserve"> </w:t>
      </w:r>
      <w:r w:rsidR="00252C69" w:rsidRPr="00252C69">
        <w:rPr>
          <w:rFonts w:cs="Times New Roman"/>
        </w:rPr>
        <w:t>R Core Team, 2021)</w:t>
      </w:r>
      <w:r w:rsidR="00252C69">
        <w:rPr>
          <w:rFonts w:cs="Times New Roman"/>
          <w:szCs w:val="24"/>
        </w:rPr>
        <w:t xml:space="preserve"> </w:t>
      </w:r>
      <w:r w:rsidRPr="00EC590C">
        <w:rPr>
          <w:rFonts w:cs="Times New Roman"/>
          <w:szCs w:val="24"/>
        </w:rPr>
        <w:t>in RStudio</w:t>
      </w:r>
      <w:r>
        <w:rPr>
          <w:rFonts w:cs="Times New Roman"/>
          <w:szCs w:val="24"/>
        </w:rPr>
        <w:t xml:space="preserve"> </w:t>
      </w:r>
      <w:r>
        <w:rPr>
          <w:rFonts w:cs="Times New Roman"/>
          <w:noProof/>
          <w:szCs w:val="24"/>
        </w:rPr>
        <w:t>(v 2021.09.0</w:t>
      </w:r>
      <w:r w:rsidR="003245EB">
        <w:rPr>
          <w:rFonts w:cs="Times New Roman"/>
          <w:noProof/>
          <w:szCs w:val="24"/>
        </w:rPr>
        <w:t>;</w:t>
      </w:r>
      <w:r w:rsidR="00252C69">
        <w:rPr>
          <w:rFonts w:cs="Times New Roman"/>
          <w:szCs w:val="24"/>
        </w:rPr>
        <w:t xml:space="preserve"> </w:t>
      </w:r>
      <w:r w:rsidR="00252C69" w:rsidRPr="00252C69">
        <w:rPr>
          <w:rFonts w:cs="Times New Roman"/>
        </w:rPr>
        <w:t>RStudio Team, 2021)</w:t>
      </w:r>
      <w:r>
        <w:rPr>
          <w:rFonts w:cs="Times New Roman"/>
          <w:szCs w:val="24"/>
        </w:rPr>
        <w:t xml:space="preserve">. </w:t>
      </w:r>
      <w:r>
        <w:rPr>
          <w:rFonts w:cs="Times New Roman"/>
          <w:bCs/>
          <w:szCs w:val="24"/>
        </w:rPr>
        <w:t>We took an intention-to-treat approach to data analysis, including all participants who had been randomized to a condition</w:t>
      </w:r>
      <w:r w:rsidR="002F2CE8">
        <w:rPr>
          <w:rFonts w:cs="Times New Roman"/>
          <w:bCs/>
          <w:szCs w:val="24"/>
        </w:rPr>
        <w:t>, irrespective of intervention adherence or retention in post-treatment assessments</w:t>
      </w:r>
      <w:bookmarkStart w:id="9" w:name="_Hlk110282457"/>
      <w:r>
        <w:rPr>
          <w:rFonts w:cs="Times New Roman"/>
          <w:bCs/>
          <w:szCs w:val="24"/>
        </w:rPr>
        <w:t>.</w:t>
      </w:r>
      <w:r w:rsidR="009B285E">
        <w:rPr>
          <w:rFonts w:cs="Times New Roman"/>
          <w:bCs/>
          <w:szCs w:val="24"/>
        </w:rPr>
        <w:t xml:space="preserve"> </w:t>
      </w:r>
      <w:bookmarkStart w:id="10" w:name="_Hlk110881782"/>
      <w:r w:rsidR="00A31D31">
        <w:rPr>
          <w:rFonts w:cs="Times New Roman"/>
          <w:bCs/>
          <w:szCs w:val="24"/>
        </w:rPr>
        <w:t xml:space="preserve">For each individual analysis, </w:t>
      </w:r>
      <w:r w:rsidR="00FA6E4E">
        <w:rPr>
          <w:rFonts w:cs="Times New Roman"/>
          <w:bCs/>
          <w:szCs w:val="24"/>
        </w:rPr>
        <w:t xml:space="preserve">a listwise deletion approach was taken to missing data, in which </w:t>
      </w:r>
      <w:r w:rsidR="007D11CA">
        <w:rPr>
          <w:rFonts w:cs="Times New Roman"/>
          <w:bCs/>
          <w:szCs w:val="24"/>
        </w:rPr>
        <w:t>participants who were</w:t>
      </w:r>
      <w:r w:rsidR="00FA6E4E">
        <w:rPr>
          <w:rFonts w:cs="Times New Roman"/>
          <w:bCs/>
          <w:szCs w:val="24"/>
        </w:rPr>
        <w:t xml:space="preserve"> missing data necessary to run the analysis w</w:t>
      </w:r>
      <w:r w:rsidR="007D11CA">
        <w:rPr>
          <w:rFonts w:cs="Times New Roman"/>
          <w:bCs/>
          <w:szCs w:val="24"/>
        </w:rPr>
        <w:t>ere</w:t>
      </w:r>
      <w:r w:rsidR="00FA6E4E">
        <w:rPr>
          <w:rFonts w:cs="Times New Roman"/>
          <w:bCs/>
          <w:szCs w:val="24"/>
        </w:rPr>
        <w:t xml:space="preserve"> excluded.</w:t>
      </w:r>
      <w:r w:rsidR="00E70378">
        <w:rPr>
          <w:rFonts w:cs="Times New Roman"/>
          <w:bCs/>
          <w:szCs w:val="24"/>
        </w:rPr>
        <w:t xml:space="preserve"> </w:t>
      </w:r>
      <w:bookmarkStart w:id="11" w:name="_Hlk110282499"/>
      <w:bookmarkEnd w:id="9"/>
      <w:r w:rsidR="001845CE">
        <w:rPr>
          <w:rFonts w:cs="Times New Roman"/>
          <w:bCs/>
          <w:szCs w:val="24"/>
        </w:rPr>
        <w:t>The exception to this were our m</w:t>
      </w:r>
      <w:r w:rsidR="00507AB6">
        <w:rPr>
          <w:rFonts w:cs="Times New Roman"/>
          <w:bCs/>
          <w:szCs w:val="24"/>
        </w:rPr>
        <w:t>ultilevel models</w:t>
      </w:r>
      <w:r w:rsidR="001845CE">
        <w:rPr>
          <w:rFonts w:cs="Times New Roman"/>
          <w:bCs/>
          <w:szCs w:val="24"/>
        </w:rPr>
        <w:t>, which</w:t>
      </w:r>
      <w:r w:rsidR="00507AB6">
        <w:rPr>
          <w:rFonts w:cs="Times New Roman"/>
          <w:bCs/>
          <w:szCs w:val="24"/>
        </w:rPr>
        <w:t xml:space="preserve"> do not require</w:t>
      </w:r>
      <w:r w:rsidR="001845CE">
        <w:rPr>
          <w:rFonts w:cs="Times New Roman"/>
          <w:bCs/>
          <w:szCs w:val="24"/>
        </w:rPr>
        <w:t xml:space="preserve"> completion of both baseline and posttreatment assessments for a participant </w:t>
      </w:r>
      <w:r w:rsidR="001845CE">
        <w:rPr>
          <w:rFonts w:cs="Times New Roman"/>
          <w:bCs/>
          <w:szCs w:val="24"/>
        </w:rPr>
        <w:lastRenderedPageBreak/>
        <w:t>to be included in the analyses.</w:t>
      </w:r>
      <w:r w:rsidR="00507AB6">
        <w:rPr>
          <w:rFonts w:cs="Times New Roman"/>
          <w:bCs/>
          <w:szCs w:val="24"/>
        </w:rPr>
        <w:t xml:space="preserve"> </w:t>
      </w:r>
      <w:bookmarkEnd w:id="10"/>
      <w:r w:rsidR="00E70378">
        <w:rPr>
          <w:rFonts w:cs="Times New Roman"/>
          <w:bCs/>
          <w:szCs w:val="24"/>
        </w:rPr>
        <w:t xml:space="preserve">No subgroup analyses were conducted, and no additional covariates (e.g., age, race, </w:t>
      </w:r>
      <w:r w:rsidR="00EE2AE6">
        <w:rPr>
          <w:rFonts w:cs="Times New Roman"/>
          <w:bCs/>
          <w:szCs w:val="24"/>
        </w:rPr>
        <w:t>gender, etc.) were accounted for in the models.</w:t>
      </w:r>
      <w:bookmarkEnd w:id="11"/>
    </w:p>
    <w:p w14:paraId="7FC88E6F" w14:textId="6D70473F" w:rsidR="003D2C66" w:rsidRDefault="005B341D" w:rsidP="00C722D2">
      <w:pPr>
        <w:spacing w:line="480" w:lineRule="auto"/>
        <w:ind w:firstLine="720"/>
        <w:contextualSpacing/>
        <w:rPr>
          <w:rFonts w:cs="Times New Roman"/>
          <w:szCs w:val="24"/>
        </w:rPr>
      </w:pPr>
      <w:bookmarkStart w:id="12" w:name="_Hlk110880197"/>
      <w:r>
        <w:rPr>
          <w:rFonts w:cs="Times New Roman"/>
          <w:bCs/>
          <w:szCs w:val="24"/>
        </w:rPr>
        <w:t xml:space="preserve">A power analysis was conducted to determine our target sample size, which indicated </w:t>
      </w:r>
      <w:r w:rsidR="003D2C66" w:rsidRPr="00AA54E2">
        <w:rPr>
          <w:rFonts w:cs="Times New Roman"/>
          <w:bCs/>
          <w:szCs w:val="24"/>
        </w:rPr>
        <w:t>that a sample size of 240 would allow us to detect a small effect size of d = .20 (power = .80; α = .05) when conducting a one-way ANOVA.</w:t>
      </w:r>
      <w:r>
        <w:rPr>
          <w:rFonts w:cs="Times New Roman"/>
          <w:bCs/>
          <w:szCs w:val="24"/>
        </w:rPr>
        <w:t xml:space="preserve"> </w:t>
      </w:r>
      <w:r w:rsidR="002659FD">
        <w:rPr>
          <w:rFonts w:cs="Times New Roman"/>
          <w:bCs/>
          <w:szCs w:val="24"/>
        </w:rPr>
        <w:t>Thus, we decided on a</w:t>
      </w:r>
      <w:r>
        <w:rPr>
          <w:rFonts w:cs="Times New Roman"/>
          <w:bCs/>
          <w:szCs w:val="24"/>
        </w:rPr>
        <w:t xml:space="preserve"> target sample size to 300</w:t>
      </w:r>
      <w:r w:rsidR="002659FD">
        <w:rPr>
          <w:rFonts w:cs="Times New Roman"/>
          <w:bCs/>
          <w:szCs w:val="24"/>
        </w:rPr>
        <w:t>,</w:t>
      </w:r>
      <w:r>
        <w:rPr>
          <w:rFonts w:cs="Times New Roman"/>
          <w:bCs/>
          <w:szCs w:val="24"/>
        </w:rPr>
        <w:t xml:space="preserve"> which would allow for </w:t>
      </w:r>
      <w:r w:rsidR="002659FD">
        <w:rPr>
          <w:rFonts w:cs="Times New Roman"/>
          <w:bCs/>
          <w:szCs w:val="24"/>
        </w:rPr>
        <w:t>a</w:t>
      </w:r>
      <w:r w:rsidR="002659FD" w:rsidRPr="00AA54E2">
        <w:rPr>
          <w:rFonts w:cs="Times New Roman"/>
          <w:bCs/>
          <w:szCs w:val="24"/>
        </w:rPr>
        <w:t xml:space="preserve"> conservative attrition rate of 20%</w:t>
      </w:r>
      <w:r w:rsidR="002659FD">
        <w:rPr>
          <w:rFonts w:cs="Times New Roman"/>
          <w:bCs/>
          <w:szCs w:val="24"/>
        </w:rPr>
        <w:t xml:space="preserve"> (</w:t>
      </w:r>
      <w:r w:rsidR="002659FD" w:rsidRPr="002659FD">
        <w:rPr>
          <w:rFonts w:cs="Times New Roman"/>
          <w:bCs/>
          <w:szCs w:val="24"/>
        </w:rPr>
        <w:t>i.e., 240 study completers</w:t>
      </w:r>
      <w:r w:rsidR="002659FD">
        <w:rPr>
          <w:rFonts w:cs="Times New Roman"/>
          <w:bCs/>
          <w:szCs w:val="24"/>
        </w:rPr>
        <w:t>)</w:t>
      </w:r>
      <w:r>
        <w:rPr>
          <w:rFonts w:cs="Times New Roman"/>
          <w:bCs/>
          <w:szCs w:val="24"/>
        </w:rPr>
        <w:t>.</w:t>
      </w:r>
      <w:r w:rsidR="003D2C66" w:rsidRPr="00AA54E2">
        <w:rPr>
          <w:rFonts w:cs="Times New Roman"/>
          <w:bCs/>
          <w:szCs w:val="24"/>
        </w:rPr>
        <w:t xml:space="preserve"> It should be noted that while a one-way ANOVA was the initially planned analysis determining whether assigned condition has an effect on treatment adherence (e.g., number of modules completed), a non-parametric Kruskal-Wallis test was conducted instead due to violated normality assumptions.</w:t>
      </w:r>
    </w:p>
    <w:bookmarkEnd w:id="12"/>
    <w:p w14:paraId="0ABEA26B" w14:textId="172FEE98" w:rsidR="00C722D2" w:rsidRDefault="00C722D2" w:rsidP="00C722D2">
      <w:pPr>
        <w:spacing w:line="480" w:lineRule="auto"/>
        <w:ind w:firstLine="720"/>
        <w:contextualSpacing/>
        <w:rPr>
          <w:rFonts w:cs="Times New Roman"/>
          <w:szCs w:val="24"/>
        </w:rPr>
      </w:pPr>
      <w:r>
        <w:rPr>
          <w:rFonts w:cs="Times New Roman"/>
          <w:szCs w:val="24"/>
        </w:rPr>
        <w:t xml:space="preserve">A Shapiro-Wilk test and </w:t>
      </w:r>
      <w:proofErr w:type="spellStart"/>
      <w:r>
        <w:rPr>
          <w:rFonts w:cs="Times New Roman"/>
          <w:szCs w:val="24"/>
        </w:rPr>
        <w:t>Levene’s</w:t>
      </w:r>
      <w:proofErr w:type="spellEnd"/>
      <w:r>
        <w:rPr>
          <w:rFonts w:cs="Times New Roman"/>
          <w:szCs w:val="24"/>
        </w:rPr>
        <w:t xml:space="preserve"> test was conducted with each outcome to test </w:t>
      </w:r>
      <w:r w:rsidR="009B285E">
        <w:rPr>
          <w:rFonts w:cs="Times New Roman"/>
          <w:szCs w:val="24"/>
        </w:rPr>
        <w:t>whether normality</w:t>
      </w:r>
      <w:r>
        <w:rPr>
          <w:rFonts w:cs="Times New Roman"/>
          <w:szCs w:val="24"/>
        </w:rPr>
        <w:t xml:space="preserve"> and homoscedasticity assumptions were met. </w:t>
      </w:r>
      <w:r w:rsidR="00B93452">
        <w:rPr>
          <w:rFonts w:cs="Times New Roman"/>
          <w:szCs w:val="24"/>
        </w:rPr>
        <w:t>O</w:t>
      </w:r>
      <w:r w:rsidR="00000CB9">
        <w:rPr>
          <w:rFonts w:cs="Times New Roman"/>
          <w:szCs w:val="24"/>
        </w:rPr>
        <w:t>nly</w:t>
      </w:r>
      <w:r>
        <w:rPr>
          <w:rFonts w:cs="Times New Roman"/>
          <w:szCs w:val="24"/>
        </w:rPr>
        <w:t xml:space="preserve"> positive mental health, psychological inflexibility, and psychological flexibility</w:t>
      </w:r>
      <w:r w:rsidR="00000CB9">
        <w:rPr>
          <w:rFonts w:cs="Times New Roman"/>
          <w:szCs w:val="24"/>
        </w:rPr>
        <w:t xml:space="preserve"> followed a normal distribution across conditions</w:t>
      </w:r>
      <w:r>
        <w:rPr>
          <w:rFonts w:cs="Times New Roman"/>
          <w:szCs w:val="24"/>
        </w:rPr>
        <w:t>. Rather than transforming non-normal variables to fit a normal distribution, non-parametric tests (i.e., Mann-Whitney U, Kruskal-Wallis) were used when appropriate</w:t>
      </w:r>
      <w:r w:rsidR="00E33611">
        <w:rPr>
          <w:rFonts w:cs="Times New Roman"/>
          <w:szCs w:val="24"/>
        </w:rPr>
        <w:t xml:space="preserve"> </w:t>
      </w:r>
      <w:r w:rsidR="00CB7FD1" w:rsidRPr="00CB7FD1">
        <w:rPr>
          <w:rFonts w:cs="Times New Roman"/>
        </w:rPr>
        <w:t>(Feng et al., 2014)</w:t>
      </w:r>
      <w:r w:rsidR="00CB7FD1">
        <w:rPr>
          <w:rFonts w:cs="Times New Roman"/>
          <w:szCs w:val="24"/>
        </w:rPr>
        <w:t xml:space="preserve">. </w:t>
      </w:r>
      <w:r>
        <w:rPr>
          <w:rFonts w:cs="Times New Roman"/>
          <w:szCs w:val="24"/>
        </w:rPr>
        <w:t>This approach was chosen on account of the number of modules completed variable following a bimodal distribution, given that transformation for correcting normality is only effective with unimodal distributions.</w:t>
      </w:r>
    </w:p>
    <w:p w14:paraId="43F0438C" w14:textId="49478D5F" w:rsidR="00C722D2" w:rsidRDefault="009B285E" w:rsidP="00C722D2">
      <w:pPr>
        <w:spacing w:line="480" w:lineRule="auto"/>
        <w:ind w:firstLine="720"/>
        <w:contextualSpacing/>
        <w:rPr>
          <w:rFonts w:cs="Times New Roman"/>
          <w:b/>
          <w:bCs/>
          <w:szCs w:val="24"/>
        </w:rPr>
      </w:pPr>
      <w:r>
        <w:rPr>
          <w:rFonts w:cs="Times New Roman"/>
          <w:szCs w:val="24"/>
        </w:rPr>
        <w:t>Multilevel models</w:t>
      </w:r>
      <w:r w:rsidR="00C722D2">
        <w:rPr>
          <w:rFonts w:cs="Times New Roman"/>
          <w:szCs w:val="24"/>
        </w:rPr>
        <w:t xml:space="preserve"> </w:t>
      </w:r>
      <w:r>
        <w:rPr>
          <w:rFonts w:cs="Times New Roman"/>
          <w:szCs w:val="24"/>
        </w:rPr>
        <w:t>were</w:t>
      </w:r>
      <w:r w:rsidR="00C722D2">
        <w:rPr>
          <w:rFonts w:cs="Times New Roman"/>
          <w:szCs w:val="24"/>
        </w:rPr>
        <w:t xml:space="preserve"> used to test whether assigned condition had an effect on mental health outcomes when controlling for baseline scores using the </w:t>
      </w:r>
      <w:proofErr w:type="spellStart"/>
      <w:r w:rsidR="00C722D2">
        <w:rPr>
          <w:rFonts w:cs="Times New Roman"/>
          <w:szCs w:val="24"/>
        </w:rPr>
        <w:t>lmerTest</w:t>
      </w:r>
      <w:proofErr w:type="spellEnd"/>
      <w:r w:rsidR="00C722D2">
        <w:rPr>
          <w:rFonts w:cs="Times New Roman"/>
          <w:szCs w:val="24"/>
        </w:rPr>
        <w:t xml:space="preserve"> package and </w:t>
      </w:r>
      <w:proofErr w:type="spellStart"/>
      <w:r w:rsidR="00C722D2">
        <w:rPr>
          <w:rFonts w:cs="Times New Roman"/>
          <w:szCs w:val="24"/>
        </w:rPr>
        <w:t>lmer</w:t>
      </w:r>
      <w:proofErr w:type="spellEnd"/>
      <w:r w:rsidR="00C722D2">
        <w:rPr>
          <w:rFonts w:cs="Times New Roman"/>
          <w:szCs w:val="24"/>
        </w:rPr>
        <w:t>() function</w:t>
      </w:r>
      <w:r w:rsidR="009A3FFD">
        <w:rPr>
          <w:rFonts w:cs="Times New Roman"/>
          <w:szCs w:val="24"/>
        </w:rPr>
        <w:t xml:space="preserve"> </w:t>
      </w:r>
      <w:r w:rsidR="009A3FFD" w:rsidRPr="009A3FFD">
        <w:rPr>
          <w:rFonts w:cs="Times New Roman"/>
        </w:rPr>
        <w:t>(Kuznetsova et al., 2017)</w:t>
      </w:r>
      <w:r w:rsidR="00C722D2">
        <w:rPr>
          <w:rFonts w:cs="Times New Roman"/>
          <w:szCs w:val="24"/>
        </w:rPr>
        <w:t xml:space="preserve">. </w:t>
      </w:r>
      <w:r>
        <w:rPr>
          <w:rFonts w:cs="Times New Roman"/>
          <w:szCs w:val="24"/>
        </w:rPr>
        <w:t xml:space="preserve">All data was included, regardless of whether </w:t>
      </w:r>
      <w:r w:rsidR="00361044">
        <w:rPr>
          <w:rFonts w:cs="Times New Roman"/>
          <w:szCs w:val="24"/>
        </w:rPr>
        <w:t xml:space="preserve">the </w:t>
      </w:r>
      <w:r>
        <w:rPr>
          <w:rFonts w:cs="Times New Roman"/>
          <w:szCs w:val="24"/>
        </w:rPr>
        <w:t xml:space="preserve">post-treatment assessment was completed for a given individual. </w:t>
      </w:r>
      <w:r w:rsidR="00C722D2">
        <w:rPr>
          <w:rFonts w:cs="Times New Roman"/>
          <w:szCs w:val="24"/>
        </w:rPr>
        <w:t xml:space="preserve">A separate model was run for each individual outcome. </w:t>
      </w:r>
      <w:r w:rsidR="00C722D2">
        <w:rPr>
          <w:rFonts w:cs="Times New Roman"/>
          <w:szCs w:val="24"/>
          <w:shd w:val="clear" w:color="auto" w:fill="FFFFFF"/>
        </w:rPr>
        <w:t xml:space="preserve">Post-hoc analyses were conducted using the </w:t>
      </w:r>
      <w:proofErr w:type="spellStart"/>
      <w:r w:rsidR="00C722D2">
        <w:rPr>
          <w:rFonts w:cs="Times New Roman"/>
          <w:szCs w:val="24"/>
          <w:shd w:val="clear" w:color="auto" w:fill="FFFFFF"/>
        </w:rPr>
        <w:t>emmeans</w:t>
      </w:r>
      <w:proofErr w:type="spellEnd"/>
      <w:r w:rsidR="00C722D2">
        <w:rPr>
          <w:rFonts w:cs="Times New Roman"/>
          <w:szCs w:val="24"/>
          <w:shd w:val="clear" w:color="auto" w:fill="FFFFFF"/>
        </w:rPr>
        <w:t xml:space="preserve"> package and </w:t>
      </w:r>
      <w:proofErr w:type="spellStart"/>
      <w:r w:rsidR="00C722D2">
        <w:rPr>
          <w:rFonts w:cs="Times New Roman"/>
          <w:szCs w:val="24"/>
          <w:shd w:val="clear" w:color="auto" w:fill="FFFFFF"/>
        </w:rPr>
        <w:lastRenderedPageBreak/>
        <w:t>emmeans</w:t>
      </w:r>
      <w:proofErr w:type="spellEnd"/>
      <w:r w:rsidR="00C722D2">
        <w:rPr>
          <w:rFonts w:cs="Times New Roman"/>
          <w:szCs w:val="24"/>
          <w:shd w:val="clear" w:color="auto" w:fill="FFFFFF"/>
        </w:rPr>
        <w:t>() function, to compare the phone and text coaching conditions as an additional contrast</w:t>
      </w:r>
      <w:r w:rsidR="009A3FFD">
        <w:rPr>
          <w:rFonts w:cs="Times New Roman"/>
          <w:szCs w:val="24"/>
          <w:shd w:val="clear" w:color="auto" w:fill="FFFFFF"/>
        </w:rPr>
        <w:t xml:space="preserve"> </w:t>
      </w:r>
      <w:r w:rsidR="009A3FFD" w:rsidRPr="009A3FFD">
        <w:rPr>
          <w:rFonts w:cs="Times New Roman"/>
        </w:rPr>
        <w:t>(Lenth et al., 2022)</w:t>
      </w:r>
      <w:r w:rsidR="00C722D2">
        <w:rPr>
          <w:rFonts w:cs="Times New Roman"/>
          <w:szCs w:val="24"/>
          <w:shd w:val="clear" w:color="auto" w:fill="FFFFFF"/>
        </w:rPr>
        <w:t xml:space="preserve">. </w:t>
      </w:r>
      <w:r w:rsidR="00C722D2">
        <w:rPr>
          <w:rFonts w:cs="Times New Roman"/>
          <w:szCs w:val="24"/>
        </w:rPr>
        <w:t xml:space="preserve">All p-values were corrected using the </w:t>
      </w:r>
      <w:proofErr w:type="spellStart"/>
      <w:r w:rsidR="00C722D2">
        <w:rPr>
          <w:rFonts w:cs="Times New Roman"/>
          <w:szCs w:val="24"/>
        </w:rPr>
        <w:t>Benjamini</w:t>
      </w:r>
      <w:proofErr w:type="spellEnd"/>
      <w:r w:rsidR="00C722D2">
        <w:rPr>
          <w:rFonts w:cs="Times New Roman"/>
          <w:szCs w:val="24"/>
        </w:rPr>
        <w:t>-Hochberg procedure to prevent family-wise error.</w:t>
      </w:r>
    </w:p>
    <w:p w14:paraId="708A85BD" w14:textId="56F4F511" w:rsidR="003E7072" w:rsidRDefault="002F2CE8" w:rsidP="00CC0CCD">
      <w:pPr>
        <w:spacing w:line="480" w:lineRule="auto"/>
        <w:ind w:firstLine="720"/>
        <w:contextualSpacing/>
        <w:rPr>
          <w:rFonts w:cs="Times New Roman"/>
          <w:szCs w:val="24"/>
        </w:rPr>
      </w:pPr>
      <w:r w:rsidRPr="00E33611">
        <w:rPr>
          <w:rFonts w:cs="Times New Roman"/>
          <w:szCs w:val="24"/>
        </w:rPr>
        <w:t>R</w:t>
      </w:r>
      <w:r w:rsidR="00C722D2">
        <w:rPr>
          <w:rFonts w:cs="Times New Roman"/>
          <w:szCs w:val="24"/>
        </w:rPr>
        <w:t xml:space="preserve">eliable change index (RCI) </w:t>
      </w:r>
      <w:r>
        <w:rPr>
          <w:rFonts w:cs="Times New Roman"/>
          <w:szCs w:val="24"/>
        </w:rPr>
        <w:t xml:space="preserve">was used </w:t>
      </w:r>
      <w:r w:rsidR="00C722D2">
        <w:rPr>
          <w:rFonts w:cs="Times New Roman"/>
          <w:szCs w:val="24"/>
        </w:rPr>
        <w:t>to evaluate whether individual participants showed clinically relevant change</w:t>
      </w:r>
      <w:r w:rsidR="009A3FFD">
        <w:rPr>
          <w:rFonts w:cs="Times New Roman"/>
          <w:szCs w:val="24"/>
        </w:rPr>
        <w:t xml:space="preserve"> </w:t>
      </w:r>
      <w:r w:rsidR="009A3FFD" w:rsidRPr="009A3FFD">
        <w:rPr>
          <w:rFonts w:cs="Times New Roman"/>
        </w:rPr>
        <w:t>(Wise, 2004)</w:t>
      </w:r>
      <w:r w:rsidR="00C722D2">
        <w:rPr>
          <w:rFonts w:cs="Times New Roman"/>
          <w:szCs w:val="24"/>
        </w:rPr>
        <w:t xml:space="preserve">. RCIs were calculated using Ley’s formula through the </w:t>
      </w:r>
      <w:proofErr w:type="spellStart"/>
      <w:r w:rsidR="00C722D2">
        <w:rPr>
          <w:rFonts w:cs="Times New Roman"/>
          <w:szCs w:val="24"/>
        </w:rPr>
        <w:t>rci</w:t>
      </w:r>
      <w:proofErr w:type="spellEnd"/>
      <w:r w:rsidR="00C722D2">
        <w:rPr>
          <w:rFonts w:cs="Times New Roman"/>
          <w:szCs w:val="24"/>
        </w:rPr>
        <w:t xml:space="preserve">() function in the </w:t>
      </w:r>
      <w:proofErr w:type="spellStart"/>
      <w:r w:rsidR="00C722D2">
        <w:rPr>
          <w:rFonts w:cs="Times New Roman"/>
          <w:szCs w:val="24"/>
        </w:rPr>
        <w:t>ClinicalSig</w:t>
      </w:r>
      <w:proofErr w:type="spellEnd"/>
      <w:r w:rsidR="00C722D2">
        <w:rPr>
          <w:rFonts w:cs="Times New Roman"/>
          <w:szCs w:val="24"/>
        </w:rPr>
        <w:t xml:space="preserve"> package</w:t>
      </w:r>
      <w:r w:rsidR="00E33611">
        <w:rPr>
          <w:rFonts w:cs="Times New Roman"/>
          <w:szCs w:val="24"/>
        </w:rPr>
        <w:t xml:space="preserve"> </w:t>
      </w:r>
      <w:r w:rsidR="00E33611" w:rsidRPr="00E33611">
        <w:rPr>
          <w:rFonts w:cs="Times New Roman"/>
        </w:rPr>
        <w:t>(Ziegler, 2016)</w:t>
      </w:r>
      <w:r w:rsidR="00C722D2">
        <w:rPr>
          <w:rFonts w:cs="Times New Roman"/>
          <w:szCs w:val="24"/>
        </w:rPr>
        <w:t xml:space="preserve">. </w:t>
      </w:r>
      <w:r w:rsidR="00361044">
        <w:rPr>
          <w:rFonts w:cs="Times New Roman"/>
          <w:szCs w:val="24"/>
        </w:rPr>
        <w:t xml:space="preserve">Given the nature of RCIs, only data from participants who completed both baseline and post-treatment assessments were included. </w:t>
      </w:r>
      <w:r w:rsidR="001B00A1">
        <w:rPr>
          <w:rFonts w:cs="Times New Roman"/>
          <w:szCs w:val="24"/>
        </w:rPr>
        <w:t>To calculate RCIs, t</w:t>
      </w:r>
      <w:r w:rsidR="0095056B">
        <w:rPr>
          <w:rFonts w:cs="Times New Roman"/>
          <w:szCs w:val="24"/>
        </w:rPr>
        <w:t>est-retest correlations and standard deviations from non-clinical sample</w:t>
      </w:r>
      <w:r w:rsidR="001B00A1">
        <w:rPr>
          <w:rFonts w:cs="Times New Roman"/>
          <w:szCs w:val="24"/>
        </w:rPr>
        <w:t>s</w:t>
      </w:r>
      <w:r w:rsidR="0095056B">
        <w:rPr>
          <w:rFonts w:cs="Times New Roman"/>
          <w:szCs w:val="24"/>
        </w:rPr>
        <w:t xml:space="preserve"> were </w:t>
      </w:r>
      <w:r w:rsidR="001B00A1">
        <w:rPr>
          <w:rFonts w:cs="Times New Roman"/>
          <w:szCs w:val="24"/>
        </w:rPr>
        <w:t>found within prior literature</w:t>
      </w:r>
      <w:r w:rsidR="0095056B">
        <w:rPr>
          <w:rFonts w:cs="Times New Roman"/>
          <w:szCs w:val="24"/>
        </w:rPr>
        <w:t xml:space="preserve"> for the DASS </w:t>
      </w:r>
      <w:r w:rsidR="0095056B" w:rsidRPr="0095056B">
        <w:rPr>
          <w:rFonts w:cs="Times New Roman"/>
        </w:rPr>
        <w:t>(</w:t>
      </w:r>
      <w:r w:rsidR="001B00A1">
        <w:rPr>
          <w:rFonts w:cs="Times New Roman"/>
        </w:rPr>
        <w:t xml:space="preserve">test-retest: </w:t>
      </w:r>
      <w:r w:rsidR="0095056B" w:rsidRPr="0095056B">
        <w:rPr>
          <w:rFonts w:cs="Times New Roman"/>
        </w:rPr>
        <w:t xml:space="preserve">Bottesi et al., 2015; </w:t>
      </w:r>
      <w:r w:rsidR="001B00A1">
        <w:rPr>
          <w:rFonts w:cs="Times New Roman"/>
        </w:rPr>
        <w:t xml:space="preserve">SD: </w:t>
      </w:r>
      <w:r w:rsidR="0095056B" w:rsidRPr="0095056B">
        <w:rPr>
          <w:rFonts w:cs="Times New Roman"/>
        </w:rPr>
        <w:t>Crawford &amp; Henry, 2003)</w:t>
      </w:r>
      <w:r w:rsidR="0095056B">
        <w:rPr>
          <w:rFonts w:cs="Times New Roman"/>
          <w:szCs w:val="24"/>
        </w:rPr>
        <w:t>, MHC</w:t>
      </w:r>
      <w:r w:rsidR="001B00A1">
        <w:rPr>
          <w:rFonts w:cs="Times New Roman"/>
          <w:szCs w:val="24"/>
        </w:rPr>
        <w:t xml:space="preserve"> </w:t>
      </w:r>
      <w:r w:rsidR="001B00A1" w:rsidRPr="001B00A1">
        <w:rPr>
          <w:rFonts w:cs="Times New Roman"/>
        </w:rPr>
        <w:t>(Lamers et al., 2011)</w:t>
      </w:r>
      <w:r w:rsidR="0095056B">
        <w:rPr>
          <w:rFonts w:cs="Times New Roman"/>
          <w:szCs w:val="24"/>
        </w:rPr>
        <w:t>, AAQ-II</w:t>
      </w:r>
      <w:r w:rsidR="001B00A1">
        <w:rPr>
          <w:rFonts w:cs="Times New Roman"/>
          <w:szCs w:val="24"/>
        </w:rPr>
        <w:t xml:space="preserve"> </w:t>
      </w:r>
      <w:r w:rsidR="001B00A1" w:rsidRPr="001B00A1">
        <w:rPr>
          <w:rFonts w:cs="Times New Roman"/>
        </w:rPr>
        <w:t>(</w:t>
      </w:r>
      <w:r w:rsidR="00B41846">
        <w:rPr>
          <w:rFonts w:cs="Times New Roman"/>
        </w:rPr>
        <w:t xml:space="preserve">test-retest: </w:t>
      </w:r>
      <w:r w:rsidR="00B41846" w:rsidRPr="001B00A1">
        <w:rPr>
          <w:rFonts w:cs="Times New Roman"/>
        </w:rPr>
        <w:t>Gloster et al., 2011</w:t>
      </w:r>
      <w:r w:rsidR="00B41846">
        <w:rPr>
          <w:rFonts w:cs="Times New Roman"/>
        </w:rPr>
        <w:t xml:space="preserve">; </w:t>
      </w:r>
      <w:r w:rsidR="001B00A1">
        <w:rPr>
          <w:rFonts w:cs="Times New Roman"/>
        </w:rPr>
        <w:t xml:space="preserve">SD: </w:t>
      </w:r>
      <w:r w:rsidR="001B00A1" w:rsidRPr="001B00A1">
        <w:rPr>
          <w:rFonts w:cs="Times New Roman"/>
        </w:rPr>
        <w:t>Bond et al., 2011)</w:t>
      </w:r>
      <w:r w:rsidR="0095056B">
        <w:rPr>
          <w:rFonts w:cs="Times New Roman"/>
          <w:szCs w:val="24"/>
        </w:rPr>
        <w:t xml:space="preserve">, and </w:t>
      </w:r>
      <w:proofErr w:type="spellStart"/>
      <w:r w:rsidR="0095056B">
        <w:rPr>
          <w:rFonts w:cs="Times New Roman"/>
          <w:szCs w:val="24"/>
        </w:rPr>
        <w:t>CompACT</w:t>
      </w:r>
      <w:proofErr w:type="spellEnd"/>
      <w:r w:rsidR="00486501">
        <w:rPr>
          <w:rFonts w:cs="Times New Roman"/>
          <w:szCs w:val="24"/>
        </w:rPr>
        <w:t xml:space="preserve"> </w:t>
      </w:r>
      <w:r w:rsidR="00B41846" w:rsidRPr="00B41846">
        <w:rPr>
          <w:rFonts w:cs="Times New Roman"/>
        </w:rPr>
        <w:t>(</w:t>
      </w:r>
      <w:r w:rsidR="00B41846">
        <w:rPr>
          <w:rFonts w:cs="Times New Roman"/>
        </w:rPr>
        <w:t xml:space="preserve">test-retest: </w:t>
      </w:r>
      <w:proofErr w:type="spellStart"/>
      <w:r w:rsidR="00B41846" w:rsidRPr="00B41846">
        <w:rPr>
          <w:rFonts w:cs="Times New Roman"/>
        </w:rPr>
        <w:t>soleimani</w:t>
      </w:r>
      <w:proofErr w:type="spellEnd"/>
      <w:r w:rsidR="00B41846" w:rsidRPr="00B41846">
        <w:rPr>
          <w:rFonts w:cs="Times New Roman"/>
        </w:rPr>
        <w:t xml:space="preserve"> et al., 2022; </w:t>
      </w:r>
      <w:r w:rsidR="00B41846">
        <w:rPr>
          <w:rFonts w:cs="Times New Roman"/>
        </w:rPr>
        <w:t xml:space="preserve">SD: </w:t>
      </w:r>
      <w:r w:rsidR="00B41846" w:rsidRPr="00B41846">
        <w:rPr>
          <w:rFonts w:cs="Times New Roman"/>
        </w:rPr>
        <w:t>Trindade et al., 2021)</w:t>
      </w:r>
      <w:r w:rsidR="0095056B">
        <w:rPr>
          <w:rFonts w:cs="Times New Roman"/>
          <w:szCs w:val="24"/>
        </w:rPr>
        <w:t xml:space="preserve">. </w:t>
      </w:r>
      <w:r w:rsidR="00C722D2">
        <w:rPr>
          <w:rFonts w:cs="Times New Roman"/>
          <w:szCs w:val="24"/>
        </w:rPr>
        <w:t>Chi-square tests were used to determine whether rate of reliable change differed between conditions for each outcome, followed by post-hoc analyses using a Bonferroni correction for p-values.</w:t>
      </w:r>
    </w:p>
    <w:p w14:paraId="0E6A66F1" w14:textId="1F95D0B1" w:rsidR="00E6464E" w:rsidRPr="00CC0CCD" w:rsidRDefault="00E6464E" w:rsidP="00CC0CCD">
      <w:pPr>
        <w:spacing w:line="480" w:lineRule="auto"/>
        <w:ind w:firstLine="720"/>
        <w:contextualSpacing/>
        <w:rPr>
          <w:rFonts w:cs="Times New Roman"/>
          <w:szCs w:val="24"/>
        </w:rPr>
      </w:pPr>
      <w:r>
        <w:rPr>
          <w:rFonts w:cs="Times New Roman"/>
          <w:szCs w:val="24"/>
        </w:rPr>
        <w:t xml:space="preserve">Additionally, exploratory moderation analyses were conducted to test whether any effects of peer-coaching differed between individuals. Age and baseline psychological distress were examined as moderators for both adherence and </w:t>
      </w:r>
      <w:r w:rsidR="004208A0">
        <w:rPr>
          <w:rFonts w:cs="Times New Roman"/>
          <w:szCs w:val="24"/>
        </w:rPr>
        <w:t>treatment</w:t>
      </w:r>
      <w:r>
        <w:rPr>
          <w:rFonts w:cs="Times New Roman"/>
          <w:szCs w:val="24"/>
        </w:rPr>
        <w:t xml:space="preserve"> effects. Given the exploratory nature and potential limitations in sample size for running such models, </w:t>
      </w:r>
      <w:r w:rsidR="005F3967">
        <w:rPr>
          <w:rFonts w:cs="Times New Roman"/>
          <w:szCs w:val="24"/>
        </w:rPr>
        <w:t>they</w:t>
      </w:r>
      <w:r>
        <w:rPr>
          <w:rFonts w:cs="Times New Roman"/>
          <w:szCs w:val="24"/>
        </w:rPr>
        <w:t xml:space="preserve"> were run separately </w:t>
      </w:r>
      <w:r w:rsidR="005F3967">
        <w:rPr>
          <w:rFonts w:cs="Times New Roman"/>
          <w:szCs w:val="24"/>
        </w:rPr>
        <w:t>from the previously described analyses. Both main effects and interactions were included in the models</w:t>
      </w:r>
      <w:r w:rsidR="00CA67C4">
        <w:rPr>
          <w:rFonts w:cs="Times New Roman"/>
          <w:szCs w:val="24"/>
        </w:rPr>
        <w:t>, and both age and baseline psychological distress were mean centered for these specific analyses.</w:t>
      </w:r>
      <w:r w:rsidR="004208A0">
        <w:rPr>
          <w:rFonts w:cs="Times New Roman"/>
          <w:szCs w:val="24"/>
        </w:rPr>
        <w:t xml:space="preserve"> For analyzing effects on mental health outcomes, all interaction effects additionally included time, </w:t>
      </w:r>
      <w:r w:rsidR="003A2D7C">
        <w:rPr>
          <w:rFonts w:cs="Times New Roman"/>
          <w:szCs w:val="24"/>
        </w:rPr>
        <w:t>thus the interactions assessed were three-way interactions between time, condition, and the given moderator.</w:t>
      </w:r>
    </w:p>
    <w:p w14:paraId="5CE76882" w14:textId="634CAEE2" w:rsidR="00F92BAA" w:rsidRPr="005445EA" w:rsidRDefault="00F92BAA" w:rsidP="00F92BAA">
      <w:pPr>
        <w:spacing w:line="480" w:lineRule="auto"/>
        <w:contextualSpacing/>
        <w:jc w:val="center"/>
        <w:rPr>
          <w:rFonts w:cs="Times New Roman"/>
          <w:b/>
          <w:bCs/>
          <w:szCs w:val="24"/>
        </w:rPr>
      </w:pPr>
      <w:r w:rsidRPr="005445EA">
        <w:rPr>
          <w:rFonts w:cs="Times New Roman"/>
          <w:b/>
          <w:bCs/>
          <w:szCs w:val="24"/>
        </w:rPr>
        <w:t>Results</w:t>
      </w:r>
    </w:p>
    <w:p w14:paraId="14FA546C" w14:textId="77777777" w:rsidR="005445EA" w:rsidRPr="00053D29" w:rsidRDefault="005445EA" w:rsidP="005445EA">
      <w:pPr>
        <w:spacing w:line="480" w:lineRule="auto"/>
        <w:contextualSpacing/>
        <w:rPr>
          <w:rFonts w:cs="Times New Roman"/>
          <w:b/>
          <w:bCs/>
          <w:szCs w:val="24"/>
        </w:rPr>
      </w:pPr>
      <w:r w:rsidRPr="00053D29">
        <w:rPr>
          <w:rFonts w:cs="Times New Roman"/>
          <w:b/>
          <w:bCs/>
          <w:szCs w:val="24"/>
        </w:rPr>
        <w:lastRenderedPageBreak/>
        <w:t>Preliminary Analyses</w:t>
      </w:r>
    </w:p>
    <w:p w14:paraId="58343ABB" w14:textId="62D73D24" w:rsidR="005445EA" w:rsidRDefault="005445EA" w:rsidP="00053D29">
      <w:pPr>
        <w:spacing w:line="480" w:lineRule="auto"/>
        <w:ind w:firstLine="720"/>
        <w:contextualSpacing/>
        <w:rPr>
          <w:rFonts w:cs="Times New Roman"/>
          <w:b/>
          <w:bCs/>
          <w:szCs w:val="24"/>
        </w:rPr>
      </w:pPr>
      <w:r w:rsidRPr="00053D29">
        <w:rPr>
          <w:rFonts w:cs="Times New Roman"/>
          <w:szCs w:val="24"/>
        </w:rPr>
        <w:t>All baseline demographic and outcome variables were assessed for potential differences between conditions using chi square tests and one-way ANOVAs (see Tables 1 &amp; 2). No significant differences were detected between conditions (</w:t>
      </w:r>
      <w:r w:rsidRPr="00053D29">
        <w:rPr>
          <w:rFonts w:cs="Times New Roman"/>
          <w:i/>
          <w:iCs/>
          <w:szCs w:val="24"/>
        </w:rPr>
        <w:t>p</w:t>
      </w:r>
      <w:r w:rsidRPr="00053D29">
        <w:rPr>
          <w:rFonts w:cs="Times New Roman"/>
          <w:szCs w:val="24"/>
        </w:rPr>
        <w:t xml:space="preserve"> &gt; .05 for all comparisons).</w:t>
      </w:r>
      <w:r w:rsidR="003D35B8">
        <w:rPr>
          <w:rFonts w:cs="Times New Roman"/>
          <w:szCs w:val="24"/>
        </w:rPr>
        <w:t xml:space="preserve"> </w:t>
      </w:r>
      <w:r w:rsidRPr="00053D29">
        <w:rPr>
          <w:rFonts w:cs="Times New Roman"/>
          <w:szCs w:val="24"/>
        </w:rPr>
        <w:t>An acceptable proportion of participants completed the post-treatment assessment (76%; see Figure 1). There was no significant difference in completion rate between conditions (</w:t>
      </w:r>
      <w:r w:rsidRPr="00053D29">
        <w:rPr>
          <w:rFonts w:cs="Times New Roman"/>
          <w:i/>
          <w:iCs/>
          <w:szCs w:val="24"/>
        </w:rPr>
        <w:t>X</w:t>
      </w:r>
      <w:r w:rsidRPr="00053D29">
        <w:rPr>
          <w:rFonts w:cs="Times New Roman"/>
          <w:i/>
          <w:iCs/>
          <w:szCs w:val="24"/>
          <w:vertAlign w:val="superscript"/>
        </w:rPr>
        <w:t>2</w:t>
      </w:r>
      <w:r w:rsidRPr="00053D29">
        <w:rPr>
          <w:rFonts w:cs="Times New Roman"/>
          <w:szCs w:val="24"/>
        </w:rPr>
        <w:t xml:space="preserve">(2) = 1.21, </w:t>
      </w:r>
      <w:r w:rsidRPr="00053D29">
        <w:rPr>
          <w:rFonts w:cs="Times New Roman"/>
          <w:i/>
          <w:iCs/>
          <w:szCs w:val="24"/>
        </w:rPr>
        <w:t>p</w:t>
      </w:r>
      <w:r w:rsidRPr="00053D29">
        <w:rPr>
          <w:rFonts w:cs="Times New Roman"/>
          <w:szCs w:val="24"/>
        </w:rPr>
        <w:t xml:space="preserve"> = .547). However, using a generalized linear model</w:t>
      </w:r>
      <w:r w:rsidR="00642C6E">
        <w:rPr>
          <w:rFonts w:cs="Times New Roman"/>
          <w:szCs w:val="24"/>
        </w:rPr>
        <w:t xml:space="preserve"> to perform logistic regression</w:t>
      </w:r>
      <w:r w:rsidRPr="00053D29">
        <w:rPr>
          <w:rFonts w:cs="Times New Roman"/>
          <w:szCs w:val="24"/>
        </w:rPr>
        <w:t xml:space="preserve">, we did find that individuals who completed more modules of ACT Guide were more likely to complete the post-treatment assessment </w:t>
      </w:r>
      <w:r w:rsidR="00642C6E">
        <w:rPr>
          <w:rFonts w:cs="Times New Roman"/>
          <w:szCs w:val="24"/>
        </w:rPr>
        <w:t>(</w:t>
      </w:r>
      <w:r w:rsidR="00642C6E" w:rsidRPr="00053D29">
        <w:rPr>
          <w:rFonts w:cs="Times New Roman"/>
          <w:i/>
          <w:iCs/>
          <w:szCs w:val="24"/>
        </w:rPr>
        <w:t>Z</w:t>
      </w:r>
      <w:r w:rsidR="00642C6E">
        <w:rPr>
          <w:rFonts w:cs="Times New Roman"/>
          <w:szCs w:val="24"/>
        </w:rPr>
        <w:t xml:space="preserve"> = 5.08</w:t>
      </w:r>
      <w:r w:rsidR="006A2528">
        <w:rPr>
          <w:rFonts w:cs="Times New Roman"/>
          <w:szCs w:val="24"/>
        </w:rPr>
        <w:t xml:space="preserve">, </w:t>
      </w:r>
      <w:r w:rsidRPr="00053D29">
        <w:rPr>
          <w:rFonts w:cs="Times New Roman"/>
          <w:i/>
          <w:iCs/>
          <w:szCs w:val="24"/>
        </w:rPr>
        <w:t>p</w:t>
      </w:r>
      <w:r w:rsidRPr="00053D29">
        <w:rPr>
          <w:rFonts w:cs="Times New Roman"/>
          <w:szCs w:val="24"/>
        </w:rPr>
        <w:t xml:space="preserve">  &lt; .001).</w:t>
      </w:r>
    </w:p>
    <w:p w14:paraId="5D52E2BB" w14:textId="7EF6AC12" w:rsidR="00C722D2" w:rsidRDefault="00C722D2" w:rsidP="00AE2B5C">
      <w:pPr>
        <w:spacing w:line="480" w:lineRule="auto"/>
        <w:contextualSpacing/>
        <w:rPr>
          <w:rFonts w:cs="Times New Roman"/>
          <w:b/>
          <w:bCs/>
          <w:szCs w:val="24"/>
        </w:rPr>
      </w:pPr>
      <w:r>
        <w:rPr>
          <w:rFonts w:cs="Times New Roman"/>
          <w:b/>
          <w:bCs/>
          <w:szCs w:val="24"/>
        </w:rPr>
        <w:t>Adherence Effects</w:t>
      </w:r>
    </w:p>
    <w:p w14:paraId="4FD11ABE" w14:textId="5BAD8109" w:rsidR="00C722D2" w:rsidRDefault="00C722D2">
      <w:pPr>
        <w:spacing w:line="480" w:lineRule="auto"/>
        <w:ind w:firstLine="720"/>
        <w:contextualSpacing/>
        <w:rPr>
          <w:rFonts w:cs="Times New Roman"/>
          <w:szCs w:val="24"/>
          <w:shd w:val="clear" w:color="auto" w:fill="FFFFFF"/>
        </w:rPr>
      </w:pPr>
      <w:r>
        <w:rPr>
          <w:rFonts w:cs="Times New Roman"/>
          <w:szCs w:val="24"/>
          <w:shd w:val="clear" w:color="auto" w:fill="FFFFFF"/>
        </w:rPr>
        <w:t>Participants could complete up to 12 modules of ACT guide in total</w:t>
      </w:r>
      <w:r w:rsidR="008432F7">
        <w:rPr>
          <w:rFonts w:cs="Times New Roman"/>
          <w:szCs w:val="24"/>
          <w:shd w:val="clear" w:color="auto" w:fill="FFFFFF"/>
        </w:rPr>
        <w:t>. Assigned condition had a large effect on number of modules completed, with participants in the phone call (</w:t>
      </w:r>
      <w:proofErr w:type="spellStart"/>
      <w:r w:rsidR="008432F7" w:rsidRPr="00310E34">
        <w:rPr>
          <w:rFonts w:cs="Times New Roman"/>
          <w:i/>
          <w:iCs/>
          <w:szCs w:val="24"/>
          <w:shd w:val="clear" w:color="auto" w:fill="FFFFFF"/>
        </w:rPr>
        <w:t>Mdn</w:t>
      </w:r>
      <w:proofErr w:type="spellEnd"/>
      <w:r w:rsidR="008432F7">
        <w:rPr>
          <w:rFonts w:cs="Times New Roman"/>
          <w:szCs w:val="24"/>
          <w:shd w:val="clear" w:color="auto" w:fill="FFFFFF"/>
        </w:rPr>
        <w:t xml:space="preserve"> = 8; </w:t>
      </w:r>
      <w:r w:rsidR="008432F7" w:rsidRPr="00CE5DFC">
        <w:rPr>
          <w:rFonts w:cs="Times New Roman"/>
          <w:i/>
          <w:iCs/>
          <w:szCs w:val="24"/>
          <w:shd w:val="clear" w:color="auto" w:fill="FFFFFF"/>
        </w:rPr>
        <w:t xml:space="preserve">p </w:t>
      </w:r>
      <w:r w:rsidR="008432F7">
        <w:rPr>
          <w:rFonts w:cs="Times New Roman"/>
          <w:szCs w:val="24"/>
          <w:shd w:val="clear" w:color="auto" w:fill="FFFFFF"/>
        </w:rPr>
        <w:t>&lt; .001) and text messaging (</w:t>
      </w:r>
      <w:proofErr w:type="spellStart"/>
      <w:r w:rsidR="008432F7" w:rsidRPr="00310E34">
        <w:rPr>
          <w:rFonts w:cs="Times New Roman"/>
          <w:i/>
          <w:iCs/>
          <w:szCs w:val="24"/>
          <w:shd w:val="clear" w:color="auto" w:fill="FFFFFF"/>
        </w:rPr>
        <w:t>Mdn</w:t>
      </w:r>
      <w:proofErr w:type="spellEnd"/>
      <w:r w:rsidR="008432F7">
        <w:rPr>
          <w:rFonts w:cs="Times New Roman"/>
          <w:szCs w:val="24"/>
          <w:shd w:val="clear" w:color="auto" w:fill="FFFFFF"/>
        </w:rPr>
        <w:t xml:space="preserve"> = 6; </w:t>
      </w:r>
      <w:r w:rsidR="008432F7" w:rsidRPr="00CE5DFC">
        <w:rPr>
          <w:rFonts w:cs="Times New Roman"/>
          <w:i/>
          <w:iCs/>
          <w:szCs w:val="24"/>
          <w:shd w:val="clear" w:color="auto" w:fill="FFFFFF"/>
        </w:rPr>
        <w:t xml:space="preserve">p </w:t>
      </w:r>
      <w:r w:rsidR="008432F7">
        <w:rPr>
          <w:rFonts w:cs="Times New Roman"/>
          <w:szCs w:val="24"/>
          <w:shd w:val="clear" w:color="auto" w:fill="FFFFFF"/>
        </w:rPr>
        <w:t>&lt; .001) conditions completing significantly more modules than participants in the control condition (</w:t>
      </w:r>
      <w:proofErr w:type="spellStart"/>
      <w:r w:rsidR="008432F7" w:rsidRPr="00310E34">
        <w:rPr>
          <w:rFonts w:cs="Times New Roman"/>
          <w:i/>
          <w:iCs/>
          <w:szCs w:val="24"/>
          <w:shd w:val="clear" w:color="auto" w:fill="FFFFFF"/>
        </w:rPr>
        <w:t>Mdn</w:t>
      </w:r>
      <w:proofErr w:type="spellEnd"/>
      <w:r w:rsidR="008432F7">
        <w:rPr>
          <w:rFonts w:cs="Times New Roman"/>
          <w:szCs w:val="24"/>
          <w:shd w:val="clear" w:color="auto" w:fill="FFFFFF"/>
        </w:rPr>
        <w:t xml:space="preserve"> = 0; </w:t>
      </w:r>
      <w:r w:rsidR="008432F7" w:rsidRPr="00310E34">
        <w:rPr>
          <w:rFonts w:cs="Times New Roman"/>
          <w:i/>
          <w:iCs/>
          <w:szCs w:val="24"/>
          <w:shd w:val="clear" w:color="auto" w:fill="FFFFFF"/>
        </w:rPr>
        <w:t>H</w:t>
      </w:r>
      <w:r w:rsidR="008432F7">
        <w:rPr>
          <w:rFonts w:cs="Times New Roman"/>
          <w:szCs w:val="24"/>
          <w:shd w:val="clear" w:color="auto" w:fill="FFFFFF"/>
        </w:rPr>
        <w:t xml:space="preserve">(2) = 52.1, </w:t>
      </w:r>
      <w:r w:rsidR="008432F7" w:rsidRPr="00310E34">
        <w:rPr>
          <w:rFonts w:cs="Times New Roman"/>
          <w:i/>
          <w:iCs/>
          <w:szCs w:val="24"/>
          <w:shd w:val="clear" w:color="auto" w:fill="FFFFFF"/>
        </w:rPr>
        <w:t>p</w:t>
      </w:r>
      <w:r w:rsidR="008432F7">
        <w:rPr>
          <w:rFonts w:cs="Times New Roman"/>
          <w:szCs w:val="24"/>
          <w:shd w:val="clear" w:color="auto" w:fill="FFFFFF"/>
        </w:rPr>
        <w:t xml:space="preserve"> &lt; .001, </w:t>
      </w:r>
      <w:r w:rsidR="008432F7" w:rsidRPr="00310E34">
        <w:rPr>
          <w:rFonts w:cs="Times New Roman"/>
          <w:i/>
          <w:iCs/>
          <w:szCs w:val="24"/>
          <w:shd w:val="clear" w:color="auto" w:fill="FFFFFF"/>
        </w:rPr>
        <w:t>η</w:t>
      </w:r>
      <w:r w:rsidR="008432F7" w:rsidRPr="0054432D">
        <w:rPr>
          <w:rFonts w:cs="Times New Roman"/>
          <w:szCs w:val="24"/>
          <w:shd w:val="clear" w:color="auto" w:fill="FFFFFF"/>
        </w:rPr>
        <w:t>²</w:t>
      </w:r>
      <w:r w:rsidR="008432F7">
        <w:rPr>
          <w:rFonts w:cs="Times New Roman"/>
          <w:szCs w:val="24"/>
          <w:shd w:val="clear" w:color="auto" w:fill="FFFFFF"/>
        </w:rPr>
        <w:t xml:space="preserve"> = .221). A significant difference in module completion between the phone call and text message conditions was not detected (</w:t>
      </w:r>
      <w:r w:rsidR="008432F7" w:rsidRPr="00310E34">
        <w:rPr>
          <w:rFonts w:cs="Times New Roman"/>
          <w:i/>
          <w:iCs/>
          <w:szCs w:val="24"/>
          <w:shd w:val="clear" w:color="auto" w:fill="FFFFFF"/>
        </w:rPr>
        <w:t>p</w:t>
      </w:r>
      <w:r w:rsidR="008432F7">
        <w:rPr>
          <w:rFonts w:cs="Times New Roman"/>
          <w:szCs w:val="24"/>
          <w:shd w:val="clear" w:color="auto" w:fill="FFFFFF"/>
        </w:rPr>
        <w:t xml:space="preserve"> = .39). </w:t>
      </w:r>
      <w:r>
        <w:rPr>
          <w:rFonts w:cs="Times New Roman"/>
          <w:szCs w:val="24"/>
          <w:shd w:val="clear" w:color="auto" w:fill="FFFFFF"/>
        </w:rPr>
        <w:t xml:space="preserve">A total of 5.1% of </w:t>
      </w:r>
      <w:r w:rsidR="00F810F0">
        <w:rPr>
          <w:rFonts w:cs="Times New Roman"/>
          <w:szCs w:val="24"/>
          <w:shd w:val="clear" w:color="auto" w:fill="FFFFFF"/>
        </w:rPr>
        <w:t xml:space="preserve">participants in </w:t>
      </w:r>
      <w:r>
        <w:rPr>
          <w:rFonts w:cs="Times New Roman"/>
          <w:szCs w:val="24"/>
          <w:shd w:val="clear" w:color="auto" w:fill="FFFFFF"/>
        </w:rPr>
        <w:t xml:space="preserve">the control condition completed all 12 modules, </w:t>
      </w:r>
      <w:r w:rsidR="00892587">
        <w:rPr>
          <w:rFonts w:cs="Times New Roman"/>
          <w:szCs w:val="24"/>
          <w:shd w:val="clear" w:color="auto" w:fill="FFFFFF"/>
        </w:rPr>
        <w:t>which was a significantly lower proportion (</w:t>
      </w:r>
      <w:r w:rsidR="00892587" w:rsidRPr="00E62B7A">
        <w:rPr>
          <w:rFonts w:cs="Times New Roman"/>
          <w:i/>
          <w:iCs/>
          <w:szCs w:val="24"/>
          <w:shd w:val="clear" w:color="auto" w:fill="FFFFFF"/>
        </w:rPr>
        <w:t>X</w:t>
      </w:r>
      <w:r w:rsidR="00892587" w:rsidRPr="00E62B7A">
        <w:rPr>
          <w:rFonts w:cs="Times New Roman"/>
          <w:i/>
          <w:iCs/>
          <w:szCs w:val="24"/>
          <w:shd w:val="clear" w:color="auto" w:fill="FFFFFF"/>
          <w:vertAlign w:val="superscript"/>
        </w:rPr>
        <w:t>2</w:t>
      </w:r>
      <w:r w:rsidR="00892587">
        <w:rPr>
          <w:rFonts w:cs="Times New Roman"/>
          <w:szCs w:val="24"/>
          <w:shd w:val="clear" w:color="auto" w:fill="FFFFFF"/>
        </w:rPr>
        <w:t xml:space="preserve">(2) = 21.7, </w:t>
      </w:r>
      <w:r w:rsidR="00892587" w:rsidRPr="00E62B7A">
        <w:rPr>
          <w:rFonts w:cs="Times New Roman"/>
          <w:i/>
          <w:iCs/>
          <w:szCs w:val="24"/>
          <w:shd w:val="clear" w:color="auto" w:fill="FFFFFF"/>
        </w:rPr>
        <w:t>p</w:t>
      </w:r>
      <w:r w:rsidR="00892587">
        <w:rPr>
          <w:rFonts w:cs="Times New Roman"/>
          <w:szCs w:val="24"/>
          <w:shd w:val="clear" w:color="auto" w:fill="FFFFFF"/>
        </w:rPr>
        <w:t xml:space="preserve"> &lt; .001) as </w:t>
      </w:r>
      <w:r>
        <w:rPr>
          <w:rFonts w:cs="Times New Roman"/>
          <w:szCs w:val="24"/>
          <w:shd w:val="clear" w:color="auto" w:fill="FFFFFF"/>
        </w:rPr>
        <w:t xml:space="preserve">compared to </w:t>
      </w:r>
      <w:r w:rsidR="00892587">
        <w:rPr>
          <w:rFonts w:cs="Times New Roman"/>
          <w:szCs w:val="24"/>
          <w:shd w:val="clear" w:color="auto" w:fill="FFFFFF"/>
        </w:rPr>
        <w:t xml:space="preserve">the </w:t>
      </w:r>
      <w:r>
        <w:rPr>
          <w:rFonts w:cs="Times New Roman"/>
          <w:szCs w:val="24"/>
          <w:shd w:val="clear" w:color="auto" w:fill="FFFFFF"/>
        </w:rPr>
        <w:t>phone condition</w:t>
      </w:r>
      <w:r w:rsidR="00892587">
        <w:rPr>
          <w:rFonts w:cs="Times New Roman"/>
          <w:szCs w:val="24"/>
          <w:shd w:val="clear" w:color="auto" w:fill="FFFFFF"/>
        </w:rPr>
        <w:t xml:space="preserve"> (35.1%; </w:t>
      </w:r>
      <w:r w:rsidR="00EE5123" w:rsidRPr="00053D29">
        <w:rPr>
          <w:rFonts w:cs="Times New Roman"/>
          <w:i/>
          <w:iCs/>
          <w:szCs w:val="24"/>
          <w:shd w:val="clear" w:color="auto" w:fill="FFFFFF"/>
        </w:rPr>
        <w:t>p</w:t>
      </w:r>
      <w:r w:rsidR="00EE5123">
        <w:rPr>
          <w:rFonts w:cs="Times New Roman"/>
          <w:szCs w:val="24"/>
          <w:shd w:val="clear" w:color="auto" w:fill="FFFFFF"/>
        </w:rPr>
        <w:t xml:space="preserve"> &lt; .001)</w:t>
      </w:r>
      <w:r>
        <w:rPr>
          <w:rFonts w:cs="Times New Roman"/>
          <w:szCs w:val="24"/>
          <w:shd w:val="clear" w:color="auto" w:fill="FFFFFF"/>
        </w:rPr>
        <w:t xml:space="preserve"> and the text condition</w:t>
      </w:r>
      <w:r w:rsidR="00EE5123">
        <w:rPr>
          <w:rFonts w:cs="Times New Roman"/>
          <w:szCs w:val="24"/>
          <w:shd w:val="clear" w:color="auto" w:fill="FFFFFF"/>
        </w:rPr>
        <w:t xml:space="preserve"> (28%; </w:t>
      </w:r>
      <w:r w:rsidR="00EE5123" w:rsidRPr="00E62B7A">
        <w:rPr>
          <w:rFonts w:cs="Times New Roman"/>
          <w:i/>
          <w:iCs/>
          <w:szCs w:val="24"/>
          <w:shd w:val="clear" w:color="auto" w:fill="FFFFFF"/>
        </w:rPr>
        <w:t>p</w:t>
      </w:r>
      <w:r w:rsidR="00EE5123">
        <w:rPr>
          <w:rFonts w:cs="Times New Roman"/>
          <w:szCs w:val="24"/>
          <w:shd w:val="clear" w:color="auto" w:fill="FFFFFF"/>
        </w:rPr>
        <w:t xml:space="preserve"> &lt; .001), with no significant difference between the phone and text condition (</w:t>
      </w:r>
      <w:r w:rsidR="00EE5123" w:rsidRPr="00E62B7A">
        <w:rPr>
          <w:rFonts w:cs="Times New Roman"/>
          <w:i/>
          <w:iCs/>
          <w:szCs w:val="24"/>
          <w:shd w:val="clear" w:color="auto" w:fill="FFFFFF"/>
        </w:rPr>
        <w:t>p</w:t>
      </w:r>
      <w:r w:rsidR="00EE5123">
        <w:rPr>
          <w:rFonts w:cs="Times New Roman"/>
          <w:szCs w:val="24"/>
          <w:shd w:val="clear" w:color="auto" w:fill="FFFFFF"/>
        </w:rPr>
        <w:t xml:space="preserve"> = </w:t>
      </w:r>
      <w:r w:rsidR="00543250">
        <w:rPr>
          <w:rFonts w:cs="Times New Roman"/>
          <w:szCs w:val="24"/>
          <w:shd w:val="clear" w:color="auto" w:fill="FFFFFF"/>
        </w:rPr>
        <w:t>.999</w:t>
      </w:r>
      <w:r w:rsidR="00EE5123">
        <w:rPr>
          <w:rFonts w:cs="Times New Roman"/>
          <w:szCs w:val="24"/>
          <w:shd w:val="clear" w:color="auto" w:fill="FFFFFF"/>
        </w:rPr>
        <w:t>)</w:t>
      </w:r>
      <w:r>
        <w:rPr>
          <w:rFonts w:cs="Times New Roman"/>
          <w:szCs w:val="24"/>
          <w:shd w:val="clear" w:color="auto" w:fill="FFFFFF"/>
        </w:rPr>
        <w:t>.</w:t>
      </w:r>
      <w:r w:rsidR="005947BF">
        <w:rPr>
          <w:rFonts w:cs="Times New Roman"/>
          <w:szCs w:val="24"/>
          <w:shd w:val="clear" w:color="auto" w:fill="FFFFFF"/>
        </w:rPr>
        <w:t xml:space="preserve"> A total of 66.7% of </w:t>
      </w:r>
      <w:r w:rsidR="00F810F0">
        <w:rPr>
          <w:rFonts w:cs="Times New Roman"/>
          <w:szCs w:val="24"/>
          <w:shd w:val="clear" w:color="auto" w:fill="FFFFFF"/>
        </w:rPr>
        <w:t xml:space="preserve">participants in </w:t>
      </w:r>
      <w:r w:rsidR="005947BF">
        <w:rPr>
          <w:rFonts w:cs="Times New Roman"/>
          <w:szCs w:val="24"/>
          <w:shd w:val="clear" w:color="auto" w:fill="FFFFFF"/>
        </w:rPr>
        <w:t xml:space="preserve">the control condition completed no modules at all, which was a significantly higher proportion </w:t>
      </w:r>
      <w:r w:rsidR="00892587">
        <w:rPr>
          <w:rFonts w:cs="Times New Roman"/>
          <w:szCs w:val="24"/>
          <w:shd w:val="clear" w:color="auto" w:fill="FFFFFF"/>
        </w:rPr>
        <w:t>(</w:t>
      </w:r>
      <w:r w:rsidR="00892587" w:rsidRPr="00E62B7A">
        <w:rPr>
          <w:rFonts w:cs="Times New Roman"/>
          <w:i/>
          <w:iCs/>
          <w:szCs w:val="24"/>
          <w:shd w:val="clear" w:color="auto" w:fill="FFFFFF"/>
        </w:rPr>
        <w:t>X</w:t>
      </w:r>
      <w:r w:rsidR="00892587" w:rsidRPr="00E62B7A">
        <w:rPr>
          <w:rFonts w:cs="Times New Roman"/>
          <w:i/>
          <w:iCs/>
          <w:szCs w:val="24"/>
          <w:shd w:val="clear" w:color="auto" w:fill="FFFFFF"/>
          <w:vertAlign w:val="superscript"/>
        </w:rPr>
        <w:t>2</w:t>
      </w:r>
      <w:r w:rsidR="00892587">
        <w:rPr>
          <w:rFonts w:cs="Times New Roman"/>
          <w:szCs w:val="24"/>
          <w:shd w:val="clear" w:color="auto" w:fill="FFFFFF"/>
        </w:rPr>
        <w:t xml:space="preserve">(2) = 42.58, </w:t>
      </w:r>
      <w:r w:rsidR="00892587" w:rsidRPr="00E62B7A">
        <w:rPr>
          <w:rFonts w:cs="Times New Roman"/>
          <w:i/>
          <w:iCs/>
          <w:szCs w:val="24"/>
          <w:shd w:val="clear" w:color="auto" w:fill="FFFFFF"/>
        </w:rPr>
        <w:t>p</w:t>
      </w:r>
      <w:r w:rsidR="00892587">
        <w:rPr>
          <w:rFonts w:cs="Times New Roman"/>
          <w:szCs w:val="24"/>
          <w:shd w:val="clear" w:color="auto" w:fill="FFFFFF"/>
        </w:rPr>
        <w:t xml:space="preserve"> &lt; .001) </w:t>
      </w:r>
      <w:r w:rsidR="005947BF">
        <w:rPr>
          <w:rFonts w:cs="Times New Roman"/>
          <w:szCs w:val="24"/>
          <w:shd w:val="clear" w:color="auto" w:fill="FFFFFF"/>
        </w:rPr>
        <w:t xml:space="preserve">as compared to the phone condition (19.48%; </w:t>
      </w:r>
      <w:r w:rsidR="005947BF" w:rsidRPr="00E62B7A">
        <w:rPr>
          <w:rFonts w:cs="Times New Roman"/>
          <w:i/>
          <w:iCs/>
          <w:szCs w:val="24"/>
          <w:shd w:val="clear" w:color="auto" w:fill="FFFFFF"/>
        </w:rPr>
        <w:t>p</w:t>
      </w:r>
      <w:r w:rsidR="005947BF">
        <w:rPr>
          <w:rFonts w:cs="Times New Roman"/>
          <w:szCs w:val="24"/>
          <w:shd w:val="clear" w:color="auto" w:fill="FFFFFF"/>
        </w:rPr>
        <w:t xml:space="preserve"> &lt; .001) and the text condition (26.7%; </w:t>
      </w:r>
      <w:r w:rsidR="005947BF" w:rsidRPr="00E62B7A">
        <w:rPr>
          <w:rFonts w:cs="Times New Roman"/>
          <w:i/>
          <w:iCs/>
          <w:szCs w:val="24"/>
          <w:shd w:val="clear" w:color="auto" w:fill="FFFFFF"/>
        </w:rPr>
        <w:t>p</w:t>
      </w:r>
      <w:r w:rsidR="005947BF">
        <w:rPr>
          <w:rFonts w:cs="Times New Roman"/>
          <w:szCs w:val="24"/>
          <w:shd w:val="clear" w:color="auto" w:fill="FFFFFF"/>
        </w:rPr>
        <w:t xml:space="preserve"> &lt; .001), with no significant difference between the phone and text condition (</w:t>
      </w:r>
      <w:r w:rsidR="005947BF" w:rsidRPr="00053D29">
        <w:rPr>
          <w:rFonts w:cs="Times New Roman"/>
          <w:i/>
          <w:iCs/>
          <w:szCs w:val="24"/>
          <w:shd w:val="clear" w:color="auto" w:fill="FFFFFF"/>
        </w:rPr>
        <w:t>p</w:t>
      </w:r>
      <w:r w:rsidR="00892587">
        <w:rPr>
          <w:rFonts w:cs="Times New Roman"/>
          <w:szCs w:val="24"/>
          <w:shd w:val="clear" w:color="auto" w:fill="FFFFFF"/>
        </w:rPr>
        <w:t xml:space="preserve"> = .</w:t>
      </w:r>
      <w:r w:rsidR="00543250">
        <w:rPr>
          <w:rFonts w:cs="Times New Roman"/>
          <w:szCs w:val="24"/>
          <w:shd w:val="clear" w:color="auto" w:fill="FFFFFF"/>
        </w:rPr>
        <w:t>878</w:t>
      </w:r>
      <w:r w:rsidR="00892587">
        <w:rPr>
          <w:rFonts w:cs="Times New Roman"/>
          <w:szCs w:val="24"/>
          <w:shd w:val="clear" w:color="auto" w:fill="FFFFFF"/>
        </w:rPr>
        <w:t>).</w:t>
      </w:r>
    </w:p>
    <w:p w14:paraId="0B0FD73B" w14:textId="77777777" w:rsidR="00C722D2" w:rsidRDefault="00C722D2" w:rsidP="00AE2B5C">
      <w:pPr>
        <w:spacing w:line="480" w:lineRule="auto"/>
        <w:contextualSpacing/>
        <w:rPr>
          <w:rFonts w:cs="Times New Roman"/>
          <w:b/>
          <w:bCs/>
          <w:szCs w:val="24"/>
        </w:rPr>
      </w:pPr>
      <w:bookmarkStart w:id="13" w:name="_Hlk95581440"/>
      <w:r>
        <w:rPr>
          <w:rFonts w:cs="Times New Roman"/>
          <w:b/>
          <w:bCs/>
          <w:szCs w:val="24"/>
        </w:rPr>
        <w:lastRenderedPageBreak/>
        <w:t>Treatment Effects</w:t>
      </w:r>
    </w:p>
    <w:p w14:paraId="6EA10DB4" w14:textId="2E5D78AB" w:rsidR="00C722D2" w:rsidRDefault="00257A79">
      <w:pPr>
        <w:spacing w:line="480" w:lineRule="auto"/>
        <w:ind w:firstLine="720"/>
        <w:contextualSpacing/>
        <w:rPr>
          <w:rFonts w:cs="Times New Roman"/>
          <w:szCs w:val="24"/>
          <w:shd w:val="clear" w:color="auto" w:fill="FFFFFF"/>
        </w:rPr>
      </w:pPr>
      <w:r>
        <w:rPr>
          <w:rFonts w:cs="Times New Roman"/>
          <w:szCs w:val="24"/>
          <w:shd w:val="clear" w:color="auto" w:fill="FFFFFF"/>
        </w:rPr>
        <w:t xml:space="preserve">For a full listing of MLM results, see Table </w:t>
      </w:r>
      <w:r w:rsidR="00A35DDB">
        <w:rPr>
          <w:rFonts w:cs="Times New Roman"/>
          <w:szCs w:val="24"/>
          <w:shd w:val="clear" w:color="auto" w:fill="FFFFFF"/>
        </w:rPr>
        <w:t>3</w:t>
      </w:r>
      <w:r>
        <w:rPr>
          <w:rFonts w:cs="Times New Roman"/>
          <w:szCs w:val="24"/>
          <w:shd w:val="clear" w:color="auto" w:fill="FFFFFF"/>
        </w:rPr>
        <w:t>.</w:t>
      </w:r>
      <w:r w:rsidR="00CF67FD">
        <w:rPr>
          <w:rFonts w:cs="Times New Roman"/>
          <w:szCs w:val="24"/>
          <w:shd w:val="clear" w:color="auto" w:fill="FFFFFF"/>
        </w:rPr>
        <w:t xml:space="preserve"> </w:t>
      </w:r>
      <w:r w:rsidR="00CF67FD">
        <w:rPr>
          <w:rFonts w:cs="Times New Roman"/>
          <w:szCs w:val="24"/>
        </w:rPr>
        <w:t>Time on its own was found to have no effects on evaluated outcomes (</w:t>
      </w:r>
      <w:r w:rsidR="00CF67FD" w:rsidRPr="00E010DF">
        <w:rPr>
          <w:rFonts w:cs="Times New Roman"/>
          <w:i/>
          <w:iCs/>
          <w:szCs w:val="24"/>
        </w:rPr>
        <w:t>p</w:t>
      </w:r>
      <w:r w:rsidR="00CF67FD">
        <w:rPr>
          <w:rFonts w:cs="Times New Roman"/>
          <w:szCs w:val="24"/>
        </w:rPr>
        <w:t xml:space="preserve"> &gt; .05 for all outcomes), indicating that significant time by condition effects can be attributed to the effects of the assigned coaching intervention.</w:t>
      </w:r>
      <w:r w:rsidR="00CF67FD">
        <w:rPr>
          <w:rFonts w:cs="Times New Roman"/>
          <w:szCs w:val="24"/>
          <w:shd w:val="clear" w:color="auto" w:fill="FFFFFF"/>
        </w:rPr>
        <w:t xml:space="preserve"> </w:t>
      </w:r>
      <w:r w:rsidR="00C722D2" w:rsidRPr="001577D2">
        <w:rPr>
          <w:rFonts w:cs="Times New Roman"/>
          <w:szCs w:val="24"/>
          <w:shd w:val="clear" w:color="auto" w:fill="FFFFFF"/>
        </w:rPr>
        <w:t xml:space="preserve">Participants receiving coaching through phone calls experienced </w:t>
      </w:r>
      <w:r w:rsidR="00BE04FC">
        <w:rPr>
          <w:rFonts w:cs="Times New Roman"/>
          <w:szCs w:val="24"/>
          <w:shd w:val="clear" w:color="auto" w:fill="FFFFFF"/>
        </w:rPr>
        <w:t xml:space="preserve">significantly </w:t>
      </w:r>
      <w:r w:rsidR="00C722D2" w:rsidRPr="001577D2">
        <w:rPr>
          <w:rFonts w:cs="Times New Roman"/>
          <w:szCs w:val="24"/>
          <w:shd w:val="clear" w:color="auto" w:fill="FFFFFF"/>
        </w:rPr>
        <w:t>greater gains in mental health than the control group for</w:t>
      </w:r>
      <w:r w:rsidR="00C722D2">
        <w:rPr>
          <w:rFonts w:cs="Times New Roman"/>
          <w:szCs w:val="24"/>
          <w:shd w:val="clear" w:color="auto" w:fill="FFFFFF"/>
        </w:rPr>
        <w:t xml:space="preserve"> </w:t>
      </w:r>
      <w:r w:rsidR="00C722D2" w:rsidRPr="001577D2">
        <w:rPr>
          <w:rFonts w:cs="Times New Roman"/>
          <w:szCs w:val="24"/>
          <w:shd w:val="clear" w:color="auto" w:fill="FFFFFF"/>
        </w:rPr>
        <w:t>psychological distress (</w:t>
      </w:r>
      <w:r w:rsidR="00C722D2" w:rsidRPr="001577D2">
        <w:rPr>
          <w:rFonts w:cs="Times New Roman"/>
          <w:i/>
          <w:iCs/>
          <w:szCs w:val="24"/>
          <w:shd w:val="clear" w:color="auto" w:fill="FFFFFF"/>
        </w:rPr>
        <w:t>p</w:t>
      </w:r>
      <w:r w:rsidR="00C722D2" w:rsidRPr="001577D2">
        <w:rPr>
          <w:rFonts w:cs="Times New Roman"/>
          <w:szCs w:val="24"/>
          <w:shd w:val="clear" w:color="auto" w:fill="FFFFFF"/>
        </w:rPr>
        <w:t xml:space="preserve"> = .0</w:t>
      </w:r>
      <w:r w:rsidR="00BE04FC">
        <w:rPr>
          <w:rFonts w:cs="Times New Roman"/>
          <w:szCs w:val="24"/>
          <w:shd w:val="clear" w:color="auto" w:fill="FFFFFF"/>
        </w:rPr>
        <w:t>07</w:t>
      </w:r>
      <w:r w:rsidR="00C722D2" w:rsidRPr="001577D2">
        <w:rPr>
          <w:rFonts w:cs="Times New Roman"/>
          <w:szCs w:val="24"/>
          <w:shd w:val="clear" w:color="auto" w:fill="FFFFFF"/>
        </w:rPr>
        <w:t>), positive mental health (</w:t>
      </w:r>
      <w:r w:rsidR="00C722D2" w:rsidRPr="001577D2">
        <w:rPr>
          <w:rFonts w:cs="Times New Roman"/>
          <w:i/>
          <w:iCs/>
          <w:szCs w:val="24"/>
          <w:shd w:val="clear" w:color="auto" w:fill="FFFFFF"/>
        </w:rPr>
        <w:t>p</w:t>
      </w:r>
      <w:r w:rsidR="00C722D2" w:rsidRPr="001577D2">
        <w:rPr>
          <w:rFonts w:cs="Times New Roman"/>
          <w:szCs w:val="24"/>
          <w:shd w:val="clear" w:color="auto" w:fill="FFFFFF"/>
        </w:rPr>
        <w:t xml:space="preserve"> = .00</w:t>
      </w:r>
      <w:r w:rsidR="00BE04FC">
        <w:rPr>
          <w:rFonts w:cs="Times New Roman"/>
          <w:szCs w:val="24"/>
          <w:shd w:val="clear" w:color="auto" w:fill="FFFFFF"/>
        </w:rPr>
        <w:t>6</w:t>
      </w:r>
      <w:r w:rsidR="00C722D2" w:rsidRPr="001577D2">
        <w:rPr>
          <w:rFonts w:cs="Times New Roman"/>
          <w:szCs w:val="24"/>
          <w:shd w:val="clear" w:color="auto" w:fill="FFFFFF"/>
        </w:rPr>
        <w:t>), psychological inflexibility (</w:t>
      </w:r>
      <w:r w:rsidR="00C722D2" w:rsidRPr="001577D2">
        <w:rPr>
          <w:rFonts w:cs="Times New Roman"/>
          <w:i/>
          <w:iCs/>
          <w:szCs w:val="24"/>
          <w:shd w:val="clear" w:color="auto" w:fill="FFFFFF"/>
        </w:rPr>
        <w:t xml:space="preserve">p </w:t>
      </w:r>
      <w:r w:rsidR="00C722D2" w:rsidRPr="001577D2">
        <w:rPr>
          <w:rFonts w:cs="Times New Roman"/>
          <w:szCs w:val="24"/>
          <w:shd w:val="clear" w:color="auto" w:fill="FFFFFF"/>
        </w:rPr>
        <w:t>= .0</w:t>
      </w:r>
      <w:r w:rsidR="00C722D2">
        <w:rPr>
          <w:rFonts w:cs="Times New Roman"/>
          <w:szCs w:val="24"/>
          <w:shd w:val="clear" w:color="auto" w:fill="FFFFFF"/>
        </w:rPr>
        <w:t>3</w:t>
      </w:r>
      <w:r w:rsidR="00BE04FC">
        <w:rPr>
          <w:rFonts w:cs="Times New Roman"/>
          <w:szCs w:val="24"/>
          <w:shd w:val="clear" w:color="auto" w:fill="FFFFFF"/>
        </w:rPr>
        <w:t>2</w:t>
      </w:r>
      <w:r w:rsidR="00C722D2" w:rsidRPr="001577D2">
        <w:rPr>
          <w:rFonts w:cs="Times New Roman"/>
          <w:szCs w:val="24"/>
          <w:shd w:val="clear" w:color="auto" w:fill="FFFFFF"/>
        </w:rPr>
        <w:t>),</w:t>
      </w:r>
      <w:r w:rsidR="00C722D2">
        <w:rPr>
          <w:rFonts w:cs="Times New Roman"/>
          <w:szCs w:val="24"/>
          <w:shd w:val="clear" w:color="auto" w:fill="FFFFFF"/>
        </w:rPr>
        <w:t xml:space="preserve"> </w:t>
      </w:r>
      <w:r w:rsidR="00C722D2" w:rsidRPr="001577D2">
        <w:rPr>
          <w:rFonts w:cs="Times New Roman"/>
          <w:szCs w:val="24"/>
          <w:shd w:val="clear" w:color="auto" w:fill="FFFFFF"/>
        </w:rPr>
        <w:t>and psychological flexibility (</w:t>
      </w:r>
      <w:r w:rsidR="00C722D2" w:rsidRPr="001577D2">
        <w:rPr>
          <w:rFonts w:cs="Times New Roman"/>
          <w:i/>
          <w:iCs/>
          <w:szCs w:val="24"/>
          <w:shd w:val="clear" w:color="auto" w:fill="FFFFFF"/>
        </w:rPr>
        <w:t xml:space="preserve">p </w:t>
      </w:r>
      <w:r w:rsidR="00C722D2">
        <w:rPr>
          <w:rFonts w:cs="Times New Roman"/>
          <w:szCs w:val="24"/>
          <w:shd w:val="clear" w:color="auto" w:fill="FFFFFF"/>
        </w:rPr>
        <w:t>&lt;</w:t>
      </w:r>
      <w:r w:rsidR="00C722D2" w:rsidRPr="001577D2">
        <w:rPr>
          <w:rFonts w:cs="Times New Roman"/>
          <w:szCs w:val="24"/>
          <w:shd w:val="clear" w:color="auto" w:fill="FFFFFF"/>
        </w:rPr>
        <w:t xml:space="preserve"> .001). For those receiving coaching through text messages,</w:t>
      </w:r>
      <w:r w:rsidR="00BE04FC">
        <w:rPr>
          <w:rFonts w:cs="Times New Roman"/>
          <w:szCs w:val="24"/>
          <w:shd w:val="clear" w:color="auto" w:fill="FFFFFF"/>
        </w:rPr>
        <w:t xml:space="preserve"> </w:t>
      </w:r>
      <w:r w:rsidR="00C722D2" w:rsidRPr="001577D2">
        <w:rPr>
          <w:rFonts w:cs="Times New Roman"/>
          <w:szCs w:val="24"/>
          <w:shd w:val="clear" w:color="auto" w:fill="FFFFFF"/>
        </w:rPr>
        <w:t>psychological flexibility (</w:t>
      </w:r>
      <w:r w:rsidR="00C722D2" w:rsidRPr="001577D2">
        <w:rPr>
          <w:rFonts w:cs="Times New Roman"/>
          <w:i/>
          <w:iCs/>
          <w:szCs w:val="24"/>
          <w:shd w:val="clear" w:color="auto" w:fill="FFFFFF"/>
        </w:rPr>
        <w:t>p</w:t>
      </w:r>
      <w:r w:rsidR="00C722D2" w:rsidRPr="001577D2">
        <w:rPr>
          <w:rFonts w:cs="Times New Roman"/>
          <w:szCs w:val="24"/>
          <w:shd w:val="clear" w:color="auto" w:fill="FFFFFF"/>
        </w:rPr>
        <w:t xml:space="preserve"> = .0</w:t>
      </w:r>
      <w:r w:rsidR="00C722D2">
        <w:rPr>
          <w:rFonts w:cs="Times New Roman"/>
          <w:szCs w:val="24"/>
          <w:shd w:val="clear" w:color="auto" w:fill="FFFFFF"/>
        </w:rPr>
        <w:t>3</w:t>
      </w:r>
      <w:r w:rsidR="00BE04FC">
        <w:rPr>
          <w:rFonts w:cs="Times New Roman"/>
          <w:szCs w:val="24"/>
          <w:shd w:val="clear" w:color="auto" w:fill="FFFFFF"/>
        </w:rPr>
        <w:t>2</w:t>
      </w:r>
      <w:r w:rsidR="00C722D2" w:rsidRPr="001577D2">
        <w:rPr>
          <w:rFonts w:cs="Times New Roman"/>
          <w:szCs w:val="24"/>
          <w:shd w:val="clear" w:color="auto" w:fill="FFFFFF"/>
        </w:rPr>
        <w:t>) significant</w:t>
      </w:r>
      <w:r>
        <w:rPr>
          <w:rFonts w:cs="Times New Roman"/>
          <w:szCs w:val="24"/>
          <w:shd w:val="clear" w:color="auto" w:fill="FFFFFF"/>
        </w:rPr>
        <w:t>ly</w:t>
      </w:r>
      <w:r w:rsidR="00C722D2" w:rsidRPr="001577D2">
        <w:rPr>
          <w:rFonts w:cs="Times New Roman"/>
          <w:szCs w:val="24"/>
          <w:shd w:val="clear" w:color="auto" w:fill="FFFFFF"/>
        </w:rPr>
        <w:t xml:space="preserve"> improve</w:t>
      </w:r>
      <w:r>
        <w:rPr>
          <w:rFonts w:cs="Times New Roman"/>
          <w:szCs w:val="24"/>
          <w:shd w:val="clear" w:color="auto" w:fill="FFFFFF"/>
        </w:rPr>
        <w:t>d</w:t>
      </w:r>
      <w:r w:rsidR="00C722D2" w:rsidRPr="001577D2">
        <w:rPr>
          <w:rFonts w:cs="Times New Roman"/>
          <w:szCs w:val="24"/>
          <w:shd w:val="clear" w:color="auto" w:fill="FFFFFF"/>
        </w:rPr>
        <w:t xml:space="preserve"> compared to the control condition.</w:t>
      </w:r>
      <w:r w:rsidR="00C722D2">
        <w:rPr>
          <w:rFonts w:cs="Times New Roman"/>
          <w:szCs w:val="24"/>
          <w:shd w:val="clear" w:color="auto" w:fill="FFFFFF"/>
        </w:rPr>
        <w:t xml:space="preserve"> Text coaching had no significant effect on psychological distress, positive mental health,</w:t>
      </w:r>
      <w:r w:rsidR="00BE04FC">
        <w:rPr>
          <w:rFonts w:cs="Times New Roman"/>
          <w:szCs w:val="24"/>
          <w:shd w:val="clear" w:color="auto" w:fill="FFFFFF"/>
        </w:rPr>
        <w:t xml:space="preserve"> or</w:t>
      </w:r>
      <w:r w:rsidR="00C722D2">
        <w:rPr>
          <w:rFonts w:cs="Times New Roman"/>
          <w:szCs w:val="24"/>
          <w:shd w:val="clear" w:color="auto" w:fill="FFFFFF"/>
        </w:rPr>
        <w:t xml:space="preserve"> psychological inflexibility</w:t>
      </w:r>
      <w:r w:rsidR="00BE04FC">
        <w:rPr>
          <w:rFonts w:cs="Times New Roman"/>
          <w:szCs w:val="24"/>
          <w:shd w:val="clear" w:color="auto" w:fill="FFFFFF"/>
        </w:rPr>
        <w:t xml:space="preserve"> </w:t>
      </w:r>
      <w:r>
        <w:rPr>
          <w:rFonts w:cs="Times New Roman"/>
          <w:szCs w:val="24"/>
          <w:shd w:val="clear" w:color="auto" w:fill="FFFFFF"/>
        </w:rPr>
        <w:t>relative to the control condition</w:t>
      </w:r>
      <w:r w:rsidR="00C722D2">
        <w:rPr>
          <w:rFonts w:cs="Times New Roman"/>
          <w:szCs w:val="24"/>
          <w:shd w:val="clear" w:color="auto" w:fill="FFFFFF"/>
        </w:rPr>
        <w:t xml:space="preserve"> (all </w:t>
      </w:r>
      <w:r w:rsidR="00C722D2" w:rsidRPr="001577D2">
        <w:rPr>
          <w:rFonts w:cs="Times New Roman"/>
          <w:i/>
          <w:iCs/>
          <w:szCs w:val="24"/>
          <w:shd w:val="clear" w:color="auto" w:fill="FFFFFF"/>
        </w:rPr>
        <w:t>p</w:t>
      </w:r>
      <w:r w:rsidR="00C722D2">
        <w:rPr>
          <w:rFonts w:cs="Times New Roman"/>
          <w:i/>
          <w:iCs/>
          <w:szCs w:val="24"/>
          <w:shd w:val="clear" w:color="auto" w:fill="FFFFFF"/>
        </w:rPr>
        <w:t xml:space="preserve"> </w:t>
      </w:r>
      <w:r w:rsidR="00C722D2">
        <w:rPr>
          <w:rFonts w:cs="Times New Roman"/>
          <w:szCs w:val="24"/>
          <w:shd w:val="clear" w:color="auto" w:fill="FFFFFF"/>
        </w:rPr>
        <w:t xml:space="preserve">&gt; .05). </w:t>
      </w:r>
      <w:r>
        <w:rPr>
          <w:rFonts w:cs="Times New Roman"/>
          <w:szCs w:val="24"/>
          <w:shd w:val="clear" w:color="auto" w:fill="FFFFFF"/>
        </w:rPr>
        <w:t xml:space="preserve">No significant differences were found between the phone and text coaching conditions (all </w:t>
      </w:r>
      <w:r w:rsidRPr="00053D29">
        <w:rPr>
          <w:rFonts w:cs="Times New Roman"/>
          <w:i/>
          <w:iCs/>
          <w:szCs w:val="24"/>
          <w:shd w:val="clear" w:color="auto" w:fill="FFFFFF"/>
        </w:rPr>
        <w:t>p</w:t>
      </w:r>
      <w:r>
        <w:rPr>
          <w:rFonts w:cs="Times New Roman"/>
          <w:szCs w:val="24"/>
          <w:shd w:val="clear" w:color="auto" w:fill="FFFFFF"/>
        </w:rPr>
        <w:t xml:space="preserve"> &gt; .05).</w:t>
      </w:r>
    </w:p>
    <w:p w14:paraId="6E076241" w14:textId="1B9A96EF" w:rsidR="00C722D2" w:rsidRDefault="00F810F0" w:rsidP="00053D29">
      <w:pPr>
        <w:widowControl/>
        <w:spacing w:line="480" w:lineRule="auto"/>
        <w:ind w:firstLine="720"/>
        <w:contextualSpacing/>
        <w:rPr>
          <w:rFonts w:cs="Times New Roman"/>
          <w:szCs w:val="24"/>
        </w:rPr>
      </w:pPr>
      <w:r>
        <w:rPr>
          <w:rFonts w:cs="Times New Roman"/>
          <w:szCs w:val="24"/>
        </w:rPr>
        <w:t>A</w:t>
      </w:r>
      <w:r w:rsidR="00C722D2">
        <w:rPr>
          <w:rFonts w:cs="Times New Roman"/>
          <w:szCs w:val="24"/>
        </w:rPr>
        <w:t>ssigned condition had a clinically significant effect on reliable improvement in psychological distress (</w:t>
      </w:r>
      <w:r w:rsidR="00C722D2" w:rsidRPr="00512002">
        <w:rPr>
          <w:rFonts w:cs="Times New Roman"/>
          <w:i/>
          <w:iCs/>
          <w:szCs w:val="24"/>
        </w:rPr>
        <w:t>X</w:t>
      </w:r>
      <w:r w:rsidR="00C722D2" w:rsidRPr="00512002">
        <w:rPr>
          <w:rFonts w:cs="Times New Roman"/>
          <w:i/>
          <w:iCs/>
          <w:szCs w:val="24"/>
          <w:vertAlign w:val="superscript"/>
        </w:rPr>
        <w:t>2</w:t>
      </w:r>
      <w:r w:rsidR="00C722D2" w:rsidRPr="00512002">
        <w:rPr>
          <w:rFonts w:cs="Times New Roman"/>
          <w:szCs w:val="24"/>
        </w:rPr>
        <w:t>(</w:t>
      </w:r>
      <w:r w:rsidR="00C722D2">
        <w:rPr>
          <w:rFonts w:cs="Times New Roman"/>
          <w:szCs w:val="24"/>
        </w:rPr>
        <w:t>2</w:t>
      </w:r>
      <w:r w:rsidR="00C722D2" w:rsidRPr="00512002">
        <w:rPr>
          <w:rFonts w:cs="Times New Roman"/>
          <w:szCs w:val="24"/>
        </w:rPr>
        <w:t>)</w:t>
      </w:r>
      <w:r w:rsidR="00C722D2">
        <w:rPr>
          <w:rFonts w:cs="Times New Roman"/>
          <w:szCs w:val="24"/>
        </w:rPr>
        <w:t xml:space="preserve"> = </w:t>
      </w:r>
      <w:r w:rsidR="002F2BBC">
        <w:rPr>
          <w:rFonts w:cs="Times New Roman"/>
          <w:szCs w:val="24"/>
        </w:rPr>
        <w:t>10.49</w:t>
      </w:r>
      <w:r w:rsidR="00C722D2">
        <w:rPr>
          <w:rFonts w:cs="Times New Roman"/>
          <w:szCs w:val="24"/>
        </w:rPr>
        <w:t xml:space="preserve">, </w:t>
      </w:r>
      <w:r w:rsidR="00C722D2" w:rsidRPr="00490810">
        <w:rPr>
          <w:rFonts w:cs="Times New Roman"/>
          <w:i/>
          <w:iCs/>
          <w:szCs w:val="24"/>
        </w:rPr>
        <w:t xml:space="preserve">p </w:t>
      </w:r>
      <w:r w:rsidR="00C722D2">
        <w:rPr>
          <w:rFonts w:cs="Times New Roman"/>
          <w:szCs w:val="24"/>
        </w:rPr>
        <w:t>= .00</w:t>
      </w:r>
      <w:r w:rsidR="002F2BBC">
        <w:rPr>
          <w:rFonts w:cs="Times New Roman"/>
          <w:szCs w:val="24"/>
        </w:rPr>
        <w:t>5</w:t>
      </w:r>
      <w:r w:rsidR="00C722D2">
        <w:rPr>
          <w:rFonts w:cs="Times New Roman"/>
          <w:szCs w:val="24"/>
        </w:rPr>
        <w:t>)</w:t>
      </w:r>
      <w:r w:rsidR="00C72C39">
        <w:rPr>
          <w:rFonts w:cs="Times New Roman"/>
          <w:szCs w:val="24"/>
        </w:rPr>
        <w:t xml:space="preserve"> </w:t>
      </w:r>
      <w:r w:rsidR="008405D3">
        <w:rPr>
          <w:rFonts w:cs="Times New Roman"/>
          <w:szCs w:val="24"/>
        </w:rPr>
        <w:t>and psychological flexibility (</w:t>
      </w:r>
      <w:r w:rsidR="008405D3" w:rsidRPr="00512002">
        <w:rPr>
          <w:rFonts w:cs="Times New Roman"/>
          <w:i/>
          <w:iCs/>
          <w:szCs w:val="24"/>
        </w:rPr>
        <w:t>X</w:t>
      </w:r>
      <w:r w:rsidR="008405D3" w:rsidRPr="00512002">
        <w:rPr>
          <w:rFonts w:cs="Times New Roman"/>
          <w:i/>
          <w:iCs/>
          <w:szCs w:val="24"/>
          <w:vertAlign w:val="superscript"/>
        </w:rPr>
        <w:t>2</w:t>
      </w:r>
      <w:r w:rsidR="008405D3" w:rsidRPr="00512002">
        <w:rPr>
          <w:rFonts w:cs="Times New Roman"/>
          <w:szCs w:val="24"/>
        </w:rPr>
        <w:t>(</w:t>
      </w:r>
      <w:r w:rsidR="008405D3">
        <w:rPr>
          <w:rFonts w:cs="Times New Roman"/>
          <w:szCs w:val="24"/>
        </w:rPr>
        <w:t>2</w:t>
      </w:r>
      <w:r w:rsidR="008405D3" w:rsidRPr="00512002">
        <w:rPr>
          <w:rFonts w:cs="Times New Roman"/>
          <w:szCs w:val="24"/>
        </w:rPr>
        <w:t>)</w:t>
      </w:r>
      <w:r w:rsidR="008405D3">
        <w:rPr>
          <w:rFonts w:cs="Times New Roman"/>
          <w:szCs w:val="24"/>
        </w:rPr>
        <w:t xml:space="preserve"> = 9, </w:t>
      </w:r>
      <w:r w:rsidR="008405D3" w:rsidRPr="00512002">
        <w:rPr>
          <w:rFonts w:cs="Times New Roman"/>
          <w:i/>
          <w:iCs/>
          <w:szCs w:val="24"/>
        </w:rPr>
        <w:t>p</w:t>
      </w:r>
      <w:r w:rsidR="008405D3">
        <w:rPr>
          <w:rFonts w:cs="Times New Roman"/>
          <w:szCs w:val="24"/>
        </w:rPr>
        <w:t xml:space="preserve"> = .011)</w:t>
      </w:r>
      <w:r w:rsidR="00C722D2">
        <w:rPr>
          <w:rFonts w:cs="Times New Roman"/>
          <w:szCs w:val="24"/>
        </w:rPr>
        <w:t xml:space="preserve">. </w:t>
      </w:r>
      <w:r w:rsidR="002F2BBC">
        <w:rPr>
          <w:rFonts w:cs="Times New Roman"/>
          <w:szCs w:val="24"/>
        </w:rPr>
        <w:t xml:space="preserve">No significant </w:t>
      </w:r>
      <w:r w:rsidR="00C72C39">
        <w:rPr>
          <w:rFonts w:cs="Times New Roman"/>
          <w:szCs w:val="24"/>
        </w:rPr>
        <w:t xml:space="preserve">clinical </w:t>
      </w:r>
      <w:r w:rsidR="002F2BBC">
        <w:rPr>
          <w:rFonts w:cs="Times New Roman"/>
          <w:szCs w:val="24"/>
        </w:rPr>
        <w:t>effect was found for positive mental health (</w:t>
      </w:r>
      <w:r w:rsidR="002F2BBC" w:rsidRPr="00512002">
        <w:rPr>
          <w:rFonts w:cs="Times New Roman"/>
          <w:i/>
          <w:iCs/>
          <w:szCs w:val="24"/>
        </w:rPr>
        <w:t>X</w:t>
      </w:r>
      <w:r w:rsidR="002F2BBC" w:rsidRPr="00512002">
        <w:rPr>
          <w:rFonts w:cs="Times New Roman"/>
          <w:i/>
          <w:iCs/>
          <w:szCs w:val="24"/>
          <w:vertAlign w:val="superscript"/>
        </w:rPr>
        <w:t>2</w:t>
      </w:r>
      <w:r w:rsidR="002F2BBC" w:rsidRPr="00512002">
        <w:rPr>
          <w:rFonts w:cs="Times New Roman"/>
          <w:szCs w:val="24"/>
        </w:rPr>
        <w:t>(</w:t>
      </w:r>
      <w:r w:rsidR="002F2BBC">
        <w:rPr>
          <w:rFonts w:cs="Times New Roman"/>
          <w:szCs w:val="24"/>
        </w:rPr>
        <w:t>2</w:t>
      </w:r>
      <w:r w:rsidR="002F2BBC" w:rsidRPr="00512002">
        <w:rPr>
          <w:rFonts w:cs="Times New Roman"/>
          <w:szCs w:val="24"/>
        </w:rPr>
        <w:t>)</w:t>
      </w:r>
      <w:r w:rsidR="002F2BBC">
        <w:rPr>
          <w:rFonts w:cs="Times New Roman"/>
          <w:szCs w:val="24"/>
        </w:rPr>
        <w:t xml:space="preserve"> = 4.38, </w:t>
      </w:r>
      <w:r w:rsidR="002F2BBC" w:rsidRPr="00490810">
        <w:rPr>
          <w:rFonts w:cs="Times New Roman"/>
          <w:i/>
          <w:iCs/>
          <w:szCs w:val="24"/>
        </w:rPr>
        <w:t xml:space="preserve">p </w:t>
      </w:r>
      <w:r w:rsidR="002F2BBC">
        <w:rPr>
          <w:rFonts w:cs="Times New Roman"/>
          <w:szCs w:val="24"/>
        </w:rPr>
        <w:t>= .</w:t>
      </w:r>
      <w:r w:rsidR="00C72C39">
        <w:rPr>
          <w:rFonts w:cs="Times New Roman"/>
          <w:szCs w:val="24"/>
        </w:rPr>
        <w:t>112</w:t>
      </w:r>
      <w:r w:rsidR="002F2BBC">
        <w:rPr>
          <w:rFonts w:cs="Times New Roman"/>
          <w:szCs w:val="24"/>
        </w:rPr>
        <w:t>)</w:t>
      </w:r>
      <w:r w:rsidR="00C72C39">
        <w:rPr>
          <w:rFonts w:cs="Times New Roman"/>
          <w:szCs w:val="24"/>
        </w:rPr>
        <w:t xml:space="preserve"> or psychological inflexibility (</w:t>
      </w:r>
      <w:r w:rsidR="00C72C39" w:rsidRPr="00512002">
        <w:rPr>
          <w:rFonts w:cs="Times New Roman"/>
          <w:i/>
          <w:iCs/>
          <w:szCs w:val="24"/>
        </w:rPr>
        <w:t>X</w:t>
      </w:r>
      <w:r w:rsidR="00C72C39" w:rsidRPr="00512002">
        <w:rPr>
          <w:rFonts w:cs="Times New Roman"/>
          <w:i/>
          <w:iCs/>
          <w:szCs w:val="24"/>
          <w:vertAlign w:val="superscript"/>
        </w:rPr>
        <w:t>2</w:t>
      </w:r>
      <w:r w:rsidR="00C72C39" w:rsidRPr="00512002">
        <w:rPr>
          <w:rFonts w:cs="Times New Roman"/>
          <w:szCs w:val="24"/>
        </w:rPr>
        <w:t>(</w:t>
      </w:r>
      <w:r w:rsidR="00C72C39">
        <w:rPr>
          <w:rFonts w:cs="Times New Roman"/>
          <w:szCs w:val="24"/>
        </w:rPr>
        <w:t>2</w:t>
      </w:r>
      <w:r w:rsidR="00C72C39" w:rsidRPr="00512002">
        <w:rPr>
          <w:rFonts w:cs="Times New Roman"/>
          <w:szCs w:val="24"/>
        </w:rPr>
        <w:t>)</w:t>
      </w:r>
      <w:r w:rsidR="00C72C39">
        <w:rPr>
          <w:rFonts w:cs="Times New Roman"/>
          <w:szCs w:val="24"/>
        </w:rPr>
        <w:t xml:space="preserve"> = 3.74, </w:t>
      </w:r>
      <w:r w:rsidR="00C72C39" w:rsidRPr="00512002">
        <w:rPr>
          <w:rFonts w:cs="Times New Roman"/>
          <w:i/>
          <w:iCs/>
          <w:szCs w:val="24"/>
        </w:rPr>
        <w:t>p</w:t>
      </w:r>
      <w:r w:rsidR="00C72C39">
        <w:rPr>
          <w:rFonts w:cs="Times New Roman"/>
          <w:szCs w:val="24"/>
        </w:rPr>
        <w:t xml:space="preserve"> = .154)</w:t>
      </w:r>
      <w:r w:rsidR="002F2BBC">
        <w:rPr>
          <w:rFonts w:cs="Times New Roman"/>
          <w:szCs w:val="24"/>
        </w:rPr>
        <w:t>.</w:t>
      </w:r>
      <w:r w:rsidR="00C72C39">
        <w:rPr>
          <w:rFonts w:cs="Times New Roman"/>
          <w:szCs w:val="24"/>
        </w:rPr>
        <w:t xml:space="preserve"> </w:t>
      </w:r>
      <w:r w:rsidR="00C722D2">
        <w:rPr>
          <w:rFonts w:cs="Times New Roman"/>
          <w:szCs w:val="24"/>
        </w:rPr>
        <w:t>Post-hoc analyses suggest that participants in the phone condition were significantly more likely to experience a reliable improvement in psychological distress (</w:t>
      </w:r>
      <w:r w:rsidR="00C72C39">
        <w:rPr>
          <w:rFonts w:cs="Times New Roman"/>
          <w:szCs w:val="24"/>
        </w:rPr>
        <w:t>25</w:t>
      </w:r>
      <w:r w:rsidR="00C722D2">
        <w:rPr>
          <w:rFonts w:cs="Times New Roman"/>
          <w:szCs w:val="24"/>
        </w:rPr>
        <w:t xml:space="preserve">%; </w:t>
      </w:r>
      <w:r w:rsidR="00C722D2" w:rsidRPr="002C0682">
        <w:rPr>
          <w:rFonts w:cs="Times New Roman"/>
          <w:i/>
          <w:iCs/>
          <w:szCs w:val="24"/>
        </w:rPr>
        <w:t xml:space="preserve">p </w:t>
      </w:r>
      <w:r w:rsidR="00C722D2">
        <w:rPr>
          <w:rFonts w:cs="Times New Roman"/>
          <w:szCs w:val="24"/>
        </w:rPr>
        <w:t>= .00</w:t>
      </w:r>
      <w:r w:rsidR="00C72C39">
        <w:rPr>
          <w:rFonts w:cs="Times New Roman"/>
          <w:szCs w:val="24"/>
        </w:rPr>
        <w:t>5)</w:t>
      </w:r>
      <w:r w:rsidR="00B660F6">
        <w:rPr>
          <w:rFonts w:cs="Times New Roman"/>
          <w:szCs w:val="24"/>
        </w:rPr>
        <w:t xml:space="preserve"> and psychological flexibility (10%; </w:t>
      </w:r>
      <w:r w:rsidR="00B660F6" w:rsidRPr="00053D29">
        <w:rPr>
          <w:rFonts w:cs="Times New Roman"/>
          <w:i/>
          <w:iCs/>
          <w:szCs w:val="24"/>
        </w:rPr>
        <w:t>p</w:t>
      </w:r>
      <w:r w:rsidR="00B660F6">
        <w:rPr>
          <w:rFonts w:cs="Times New Roman"/>
          <w:szCs w:val="24"/>
        </w:rPr>
        <w:t xml:space="preserve"> = .</w:t>
      </w:r>
      <w:r w:rsidR="00C72C39">
        <w:rPr>
          <w:rFonts w:cs="Times New Roman"/>
          <w:szCs w:val="24"/>
        </w:rPr>
        <w:t>0</w:t>
      </w:r>
      <w:r w:rsidR="000B4A39">
        <w:rPr>
          <w:rFonts w:cs="Times New Roman"/>
          <w:szCs w:val="24"/>
        </w:rPr>
        <w:t>4</w:t>
      </w:r>
      <w:r w:rsidR="00C72C39">
        <w:rPr>
          <w:rFonts w:cs="Times New Roman"/>
          <w:szCs w:val="24"/>
        </w:rPr>
        <w:t>0</w:t>
      </w:r>
      <w:r w:rsidR="00B660F6">
        <w:rPr>
          <w:rFonts w:cs="Times New Roman"/>
          <w:szCs w:val="24"/>
        </w:rPr>
        <w:t>)</w:t>
      </w:r>
      <w:r w:rsidR="00C722D2">
        <w:rPr>
          <w:rFonts w:cs="Times New Roman"/>
          <w:szCs w:val="24"/>
        </w:rPr>
        <w:t xml:space="preserve"> as compared to the control condition (rates of reliable improvement ranging from </w:t>
      </w:r>
      <w:r w:rsidR="00B660F6">
        <w:rPr>
          <w:rFonts w:cs="Times New Roman"/>
          <w:szCs w:val="24"/>
        </w:rPr>
        <w:t>0</w:t>
      </w:r>
      <w:r w:rsidR="00C722D2">
        <w:rPr>
          <w:rFonts w:cs="Times New Roman"/>
          <w:szCs w:val="24"/>
        </w:rPr>
        <w:t>-2</w:t>
      </w:r>
      <w:r w:rsidR="000B4A39">
        <w:rPr>
          <w:rFonts w:cs="Times New Roman"/>
          <w:szCs w:val="24"/>
        </w:rPr>
        <w:t>7</w:t>
      </w:r>
      <w:r w:rsidR="00C722D2">
        <w:rPr>
          <w:rFonts w:cs="Times New Roman"/>
          <w:szCs w:val="24"/>
        </w:rPr>
        <w:t xml:space="preserve">%, see Table </w:t>
      </w:r>
      <w:r w:rsidR="00A35DDB">
        <w:rPr>
          <w:rFonts w:cs="Times New Roman"/>
          <w:szCs w:val="24"/>
        </w:rPr>
        <w:t>4</w:t>
      </w:r>
      <w:r w:rsidR="00C722D2">
        <w:rPr>
          <w:rFonts w:cs="Times New Roman"/>
          <w:szCs w:val="24"/>
        </w:rPr>
        <w:t xml:space="preserve">). No significant differences were found between the phone and text conditions, or the text and control conditions (all </w:t>
      </w:r>
      <w:r w:rsidR="00C722D2" w:rsidRPr="007254FD">
        <w:rPr>
          <w:rFonts w:cs="Times New Roman"/>
          <w:i/>
          <w:iCs/>
          <w:szCs w:val="24"/>
        </w:rPr>
        <w:t>p</w:t>
      </w:r>
      <w:r w:rsidR="00C722D2">
        <w:rPr>
          <w:rFonts w:cs="Times New Roman"/>
          <w:szCs w:val="24"/>
        </w:rPr>
        <w:t xml:space="preserve"> &gt; .05).</w:t>
      </w:r>
    </w:p>
    <w:p w14:paraId="63F0AD1E" w14:textId="77777777" w:rsidR="003A2D7C" w:rsidRDefault="001A1912" w:rsidP="001A1912">
      <w:pPr>
        <w:widowControl/>
        <w:spacing w:line="480" w:lineRule="auto"/>
        <w:contextualSpacing/>
        <w:rPr>
          <w:rFonts w:cs="Times New Roman"/>
          <w:b/>
          <w:bCs/>
          <w:szCs w:val="24"/>
        </w:rPr>
      </w:pPr>
      <w:r>
        <w:rPr>
          <w:rFonts w:cs="Times New Roman"/>
          <w:b/>
          <w:bCs/>
          <w:szCs w:val="24"/>
        </w:rPr>
        <w:t>Exploratory Moderation Analyses</w:t>
      </w:r>
    </w:p>
    <w:p w14:paraId="663BDE3B" w14:textId="6CCD352A" w:rsidR="00497441" w:rsidRPr="00F4785F" w:rsidRDefault="001A1912" w:rsidP="00F4785F">
      <w:pPr>
        <w:widowControl/>
        <w:spacing w:line="480" w:lineRule="auto"/>
        <w:contextualSpacing/>
        <w:rPr>
          <w:rFonts w:cs="Times New Roman"/>
          <w:b/>
          <w:bCs/>
          <w:szCs w:val="24"/>
        </w:rPr>
      </w:pPr>
      <w:r>
        <w:rPr>
          <w:rFonts w:cs="Times New Roman"/>
          <w:szCs w:val="24"/>
        </w:rPr>
        <w:lastRenderedPageBreak/>
        <w:tab/>
      </w:r>
      <w:r w:rsidR="00246100">
        <w:rPr>
          <w:rFonts w:cs="Times New Roman"/>
          <w:szCs w:val="24"/>
        </w:rPr>
        <w:t>T</w:t>
      </w:r>
      <w:r w:rsidR="000C6F31">
        <w:rPr>
          <w:rFonts w:cs="Times New Roman"/>
          <w:szCs w:val="24"/>
        </w:rPr>
        <w:t>here was a significant interaction between age and the text coaching condition</w:t>
      </w:r>
      <w:r w:rsidR="00246100">
        <w:rPr>
          <w:rFonts w:cs="Times New Roman"/>
          <w:szCs w:val="24"/>
        </w:rPr>
        <w:t xml:space="preserve"> in predicting ACT Guide adherence</w:t>
      </w:r>
      <w:r w:rsidR="00CA67C4">
        <w:rPr>
          <w:rFonts w:cs="Times New Roman"/>
          <w:szCs w:val="24"/>
        </w:rPr>
        <w:t xml:space="preserve"> (</w:t>
      </w:r>
      <w:r w:rsidR="00CA67C4" w:rsidRPr="00F4785F">
        <w:rPr>
          <w:rFonts w:cs="Times New Roman"/>
          <w:i/>
          <w:iCs/>
          <w:szCs w:val="24"/>
        </w:rPr>
        <w:t>p</w:t>
      </w:r>
      <w:r w:rsidR="00CA67C4">
        <w:rPr>
          <w:rFonts w:cs="Times New Roman"/>
          <w:szCs w:val="24"/>
        </w:rPr>
        <w:t xml:space="preserve"> = .025)</w:t>
      </w:r>
      <w:r w:rsidR="000C6F31">
        <w:rPr>
          <w:rFonts w:cs="Times New Roman"/>
          <w:szCs w:val="24"/>
        </w:rPr>
        <w:t>, suggesting that text coaching has a weaker effect on program adherence for those who are older in age.</w:t>
      </w:r>
      <w:r w:rsidR="00D56016">
        <w:rPr>
          <w:rFonts w:cs="Times New Roman"/>
          <w:szCs w:val="24"/>
        </w:rPr>
        <w:t xml:space="preserve"> </w:t>
      </w:r>
      <w:r w:rsidR="00497441">
        <w:rPr>
          <w:rFonts w:cs="Times New Roman"/>
          <w:szCs w:val="24"/>
        </w:rPr>
        <w:t>Specific to those in the text coaching condition, for every one standard deviation increase in age (</w:t>
      </w:r>
      <w:r w:rsidR="00497441" w:rsidRPr="00F4785F">
        <w:rPr>
          <w:rFonts w:cs="Times New Roman"/>
          <w:i/>
          <w:iCs/>
          <w:szCs w:val="24"/>
        </w:rPr>
        <w:t>SD</w:t>
      </w:r>
      <w:r w:rsidR="00497441">
        <w:rPr>
          <w:rFonts w:cs="Times New Roman"/>
          <w:szCs w:val="24"/>
        </w:rPr>
        <w:t xml:space="preserve"> = </w:t>
      </w:r>
      <w:r w:rsidR="00A252AA">
        <w:rPr>
          <w:rFonts w:cs="Times New Roman"/>
          <w:szCs w:val="24"/>
        </w:rPr>
        <w:t>5.99)</w:t>
      </w:r>
      <w:r w:rsidR="00497441">
        <w:rPr>
          <w:rFonts w:cs="Times New Roman"/>
          <w:szCs w:val="24"/>
        </w:rPr>
        <w:t xml:space="preserve">, the individual is predicted to complete approximately one less module as compared to if they were the average age. </w:t>
      </w:r>
      <w:r w:rsidR="00D56016">
        <w:rPr>
          <w:rFonts w:cs="Times New Roman"/>
          <w:szCs w:val="24"/>
        </w:rPr>
        <w:t xml:space="preserve">No other significant </w:t>
      </w:r>
      <w:r w:rsidR="00053AD7">
        <w:rPr>
          <w:rFonts w:cs="Times New Roman"/>
          <w:szCs w:val="24"/>
        </w:rPr>
        <w:t>moderation</w:t>
      </w:r>
      <w:r w:rsidR="00D56016">
        <w:rPr>
          <w:rFonts w:cs="Times New Roman"/>
          <w:szCs w:val="24"/>
        </w:rPr>
        <w:t xml:space="preserve"> effects were found</w:t>
      </w:r>
      <w:r w:rsidR="00053AD7">
        <w:rPr>
          <w:rFonts w:cs="Times New Roman"/>
          <w:szCs w:val="24"/>
        </w:rPr>
        <w:t xml:space="preserve"> in predicting adherence</w:t>
      </w:r>
      <w:r w:rsidR="00D56016">
        <w:rPr>
          <w:rFonts w:cs="Times New Roman"/>
          <w:szCs w:val="24"/>
        </w:rPr>
        <w:t xml:space="preserve"> (all </w:t>
      </w:r>
      <w:r w:rsidR="00D56016" w:rsidRPr="00F4785F">
        <w:rPr>
          <w:rFonts w:cs="Times New Roman"/>
          <w:i/>
          <w:iCs/>
          <w:szCs w:val="24"/>
        </w:rPr>
        <w:t xml:space="preserve">p </w:t>
      </w:r>
      <w:r w:rsidR="00D56016">
        <w:rPr>
          <w:rFonts w:cs="Times New Roman"/>
          <w:szCs w:val="24"/>
        </w:rPr>
        <w:t>&lt; .05).</w:t>
      </w:r>
      <w:r w:rsidR="005820EF">
        <w:rPr>
          <w:rFonts w:cs="Times New Roman"/>
          <w:b/>
          <w:bCs/>
          <w:szCs w:val="24"/>
        </w:rPr>
        <w:t xml:space="preserve"> </w:t>
      </w:r>
      <w:r w:rsidR="00C66801">
        <w:rPr>
          <w:rFonts w:cs="Times New Roman"/>
          <w:szCs w:val="24"/>
        </w:rPr>
        <w:t>There was a significant interaction between the phone condition and baseline psychological distress (</w:t>
      </w:r>
      <w:r w:rsidR="00C66801" w:rsidRPr="00F4785F">
        <w:rPr>
          <w:rFonts w:cs="Times New Roman"/>
          <w:i/>
          <w:iCs/>
          <w:szCs w:val="24"/>
        </w:rPr>
        <w:t>p</w:t>
      </w:r>
      <w:r w:rsidR="00C66801">
        <w:rPr>
          <w:rFonts w:cs="Times New Roman"/>
          <w:szCs w:val="24"/>
        </w:rPr>
        <w:t xml:space="preserve"> &lt; .001), such that the relationship between phone coaching and improvements in psychological distress was weaker for those who entered the study with a higher level of psychological distress. </w:t>
      </w:r>
      <w:r w:rsidR="004208A0">
        <w:rPr>
          <w:rFonts w:cs="Times New Roman"/>
          <w:szCs w:val="24"/>
        </w:rPr>
        <w:t>This was</w:t>
      </w:r>
      <w:r w:rsidR="003A2D7C">
        <w:rPr>
          <w:rFonts w:cs="Times New Roman"/>
          <w:szCs w:val="24"/>
        </w:rPr>
        <w:t xml:space="preserve"> the only significant moderation effect found</w:t>
      </w:r>
      <w:r w:rsidR="00053AD7">
        <w:rPr>
          <w:rFonts w:cs="Times New Roman"/>
          <w:szCs w:val="24"/>
        </w:rPr>
        <w:t xml:space="preserve"> when predicting </w:t>
      </w:r>
      <w:r w:rsidR="00246100">
        <w:rPr>
          <w:rFonts w:cs="Times New Roman"/>
          <w:szCs w:val="24"/>
        </w:rPr>
        <w:t>treatment</w:t>
      </w:r>
      <w:r w:rsidR="00053AD7">
        <w:rPr>
          <w:rFonts w:cs="Times New Roman"/>
          <w:szCs w:val="24"/>
        </w:rPr>
        <w:t xml:space="preserve"> outcomes</w:t>
      </w:r>
      <w:r w:rsidR="003A2D7C">
        <w:rPr>
          <w:rFonts w:cs="Times New Roman"/>
          <w:szCs w:val="24"/>
        </w:rPr>
        <w:t xml:space="preserve"> (all </w:t>
      </w:r>
      <w:r w:rsidR="003A2D7C" w:rsidRPr="00F4785F">
        <w:rPr>
          <w:rFonts w:cs="Times New Roman"/>
          <w:i/>
          <w:iCs/>
          <w:szCs w:val="24"/>
        </w:rPr>
        <w:t>p</w:t>
      </w:r>
      <w:r w:rsidR="003A2D7C">
        <w:rPr>
          <w:rFonts w:cs="Times New Roman"/>
          <w:szCs w:val="24"/>
        </w:rPr>
        <w:t xml:space="preserve"> &lt; .05). </w:t>
      </w:r>
    </w:p>
    <w:bookmarkEnd w:id="13"/>
    <w:p w14:paraId="5D6C1416" w14:textId="37A78E84" w:rsidR="00C722D2" w:rsidRPr="0086443E" w:rsidRDefault="00295600" w:rsidP="00053D29">
      <w:pPr>
        <w:tabs>
          <w:tab w:val="left" w:pos="3480"/>
        </w:tabs>
        <w:spacing w:line="480" w:lineRule="auto"/>
        <w:contextualSpacing/>
        <w:jc w:val="center"/>
        <w:rPr>
          <w:rFonts w:eastAsia="Times New Roman" w:cs="Times New Roman"/>
          <w:b/>
          <w:bCs/>
          <w:color w:val="000000" w:themeColor="text1"/>
          <w:szCs w:val="24"/>
        </w:rPr>
      </w:pPr>
      <w:r>
        <w:rPr>
          <w:rFonts w:eastAsia="Times New Roman" w:cs="Times New Roman"/>
          <w:b/>
          <w:bCs/>
          <w:color w:val="000000" w:themeColor="text1"/>
          <w:szCs w:val="24"/>
        </w:rPr>
        <w:t>Discussion</w:t>
      </w:r>
    </w:p>
    <w:p w14:paraId="69DF573E" w14:textId="54D9E8C4" w:rsidR="00C722D2" w:rsidRDefault="00C722D2" w:rsidP="005445EA">
      <w:pPr>
        <w:spacing w:line="480" w:lineRule="auto"/>
        <w:contextualSpacing/>
        <w:rPr>
          <w:rFonts w:cs="Times New Roman"/>
          <w:szCs w:val="24"/>
        </w:rPr>
      </w:pPr>
      <w:r w:rsidRPr="0086443E">
        <w:rPr>
          <w:rFonts w:eastAsia="Times New Roman" w:cs="Times New Roman"/>
          <w:color w:val="000000" w:themeColor="text1"/>
          <w:szCs w:val="24"/>
        </w:rPr>
        <w:tab/>
      </w:r>
      <w:r>
        <w:rPr>
          <w:rFonts w:cs="Times New Roman"/>
          <w:szCs w:val="24"/>
        </w:rPr>
        <w:t xml:space="preserve">This study assessed the efficacy of undergraduate delivered peer-support coaching as an aide to </w:t>
      </w:r>
      <w:r w:rsidR="000C499C">
        <w:rPr>
          <w:rFonts w:cs="Times New Roman"/>
          <w:szCs w:val="24"/>
        </w:rPr>
        <w:t xml:space="preserve">increase adherence (and improve outcomes) when using </w:t>
      </w:r>
      <w:r w:rsidR="00B25DC1">
        <w:rPr>
          <w:rFonts w:cs="Times New Roman"/>
          <w:szCs w:val="24"/>
        </w:rPr>
        <w:t>an</w:t>
      </w:r>
      <w:r>
        <w:rPr>
          <w:rFonts w:cs="Times New Roman"/>
          <w:szCs w:val="24"/>
        </w:rPr>
        <w:t xml:space="preserve"> online ACT self-help program, ACT Guide. </w:t>
      </w:r>
      <w:r w:rsidR="00827AB3">
        <w:rPr>
          <w:rFonts w:cs="Times New Roman"/>
          <w:szCs w:val="24"/>
        </w:rPr>
        <w:t>C</w:t>
      </w:r>
      <w:r>
        <w:rPr>
          <w:rFonts w:cs="Times New Roman"/>
          <w:szCs w:val="24"/>
        </w:rPr>
        <w:t xml:space="preserve">oaching via phone calls </w:t>
      </w:r>
      <w:r w:rsidR="00827AB3">
        <w:rPr>
          <w:rFonts w:cs="Times New Roman"/>
          <w:szCs w:val="24"/>
        </w:rPr>
        <w:t>and</w:t>
      </w:r>
      <w:r>
        <w:rPr>
          <w:rFonts w:cs="Times New Roman"/>
          <w:szCs w:val="24"/>
        </w:rPr>
        <w:t xml:space="preserve"> </w:t>
      </w:r>
      <w:r w:rsidR="00827AB3">
        <w:rPr>
          <w:rFonts w:cs="Times New Roman"/>
          <w:szCs w:val="24"/>
        </w:rPr>
        <w:t xml:space="preserve">via </w:t>
      </w:r>
      <w:r>
        <w:rPr>
          <w:rFonts w:cs="Times New Roman"/>
          <w:szCs w:val="24"/>
        </w:rPr>
        <w:t xml:space="preserve">text messaging were tested against a control condition which received no coaching, with participants </w:t>
      </w:r>
      <w:r w:rsidR="00827AB3">
        <w:rPr>
          <w:rFonts w:cs="Times New Roman"/>
          <w:szCs w:val="24"/>
        </w:rPr>
        <w:t>in</w:t>
      </w:r>
      <w:r>
        <w:rPr>
          <w:rFonts w:cs="Times New Roman"/>
          <w:szCs w:val="24"/>
        </w:rPr>
        <w:t xml:space="preserve"> all three conditions being given 10 weeks to use ACT Guide. Phone and text coaching were effective interventions for increasing adherence to ACT Guide as compared to </w:t>
      </w:r>
      <w:r w:rsidR="00B25DC1">
        <w:rPr>
          <w:rFonts w:cs="Times New Roman"/>
          <w:szCs w:val="24"/>
        </w:rPr>
        <w:t>standard ACT Guide without coaching</w:t>
      </w:r>
      <w:r>
        <w:rPr>
          <w:rFonts w:cs="Times New Roman"/>
          <w:szCs w:val="24"/>
        </w:rPr>
        <w:t xml:space="preserve">. Both phone and text coaching </w:t>
      </w:r>
      <w:r w:rsidR="00B25DC1">
        <w:rPr>
          <w:rFonts w:cs="Times New Roman"/>
          <w:szCs w:val="24"/>
        </w:rPr>
        <w:t>improved key psychological flexibility processes of change</w:t>
      </w:r>
      <w:r>
        <w:rPr>
          <w:rFonts w:cs="Times New Roman"/>
          <w:szCs w:val="24"/>
        </w:rPr>
        <w:t xml:space="preserve">, however </w:t>
      </w:r>
      <w:r w:rsidR="00B25DC1">
        <w:rPr>
          <w:rFonts w:cs="Times New Roman"/>
          <w:szCs w:val="24"/>
        </w:rPr>
        <w:t xml:space="preserve">only </w:t>
      </w:r>
      <w:r>
        <w:rPr>
          <w:rFonts w:cs="Times New Roman"/>
          <w:szCs w:val="24"/>
        </w:rPr>
        <w:t xml:space="preserve">phone coaching </w:t>
      </w:r>
      <w:r w:rsidR="00B25DC1">
        <w:rPr>
          <w:rFonts w:cs="Times New Roman"/>
          <w:szCs w:val="24"/>
        </w:rPr>
        <w:t>improved mental health outcomes relative to ACT Guide without coaching</w:t>
      </w:r>
      <w:r>
        <w:rPr>
          <w:rFonts w:cs="Times New Roman"/>
          <w:szCs w:val="24"/>
        </w:rPr>
        <w:t>.</w:t>
      </w:r>
    </w:p>
    <w:p w14:paraId="088D2C6F" w14:textId="1E580DD4" w:rsidR="00C722D2" w:rsidRDefault="00C722D2" w:rsidP="00C722D2">
      <w:pPr>
        <w:spacing w:line="480" w:lineRule="auto"/>
        <w:ind w:firstLine="720"/>
        <w:contextualSpacing/>
        <w:rPr>
          <w:rFonts w:cs="Times New Roman"/>
          <w:szCs w:val="24"/>
        </w:rPr>
      </w:pPr>
      <w:r>
        <w:rPr>
          <w:rFonts w:cs="Times New Roman"/>
          <w:szCs w:val="24"/>
        </w:rPr>
        <w:t>Phone and text coaching both appeared to be effective interventions</w:t>
      </w:r>
      <w:r w:rsidR="000E26CB">
        <w:rPr>
          <w:rFonts w:cs="Times New Roman"/>
          <w:szCs w:val="24"/>
        </w:rPr>
        <w:t xml:space="preserve"> for increasing</w:t>
      </w:r>
      <w:r>
        <w:rPr>
          <w:rFonts w:cs="Times New Roman"/>
          <w:szCs w:val="24"/>
        </w:rPr>
        <w:t xml:space="preserve"> ACT Guide program adherence</w:t>
      </w:r>
      <w:r w:rsidR="00954754">
        <w:rPr>
          <w:rFonts w:cs="Times New Roman"/>
          <w:szCs w:val="24"/>
        </w:rPr>
        <w:t>. However, the effects of text coaching may be more limited for those of older age</w:t>
      </w:r>
      <w:r>
        <w:rPr>
          <w:rFonts w:cs="Times New Roman"/>
          <w:szCs w:val="24"/>
        </w:rPr>
        <w:t xml:space="preserve">. We found peer-support coaching to have a stronger effect on program adherence </w:t>
      </w:r>
      <w:r>
        <w:rPr>
          <w:rFonts w:cs="Times New Roman"/>
          <w:szCs w:val="24"/>
        </w:rPr>
        <w:lastRenderedPageBreak/>
        <w:t>than the small effect</w:t>
      </w:r>
      <w:r w:rsidR="006F7765">
        <w:rPr>
          <w:rFonts w:cs="Times New Roman"/>
          <w:szCs w:val="24"/>
        </w:rPr>
        <w:t xml:space="preserve"> size</w:t>
      </w:r>
      <w:r>
        <w:rPr>
          <w:rFonts w:cs="Times New Roman"/>
          <w:szCs w:val="24"/>
        </w:rPr>
        <w:t xml:space="preserve"> suggested by a prior meta-analysis</w:t>
      </w:r>
      <w:r w:rsidR="00B6392E">
        <w:rPr>
          <w:rFonts w:cs="Times New Roman"/>
          <w:szCs w:val="24"/>
        </w:rPr>
        <w:t xml:space="preserve"> </w:t>
      </w:r>
      <w:r w:rsidR="00B6392E" w:rsidRPr="00B6392E">
        <w:rPr>
          <w:rFonts w:cs="Times New Roman"/>
        </w:rPr>
        <w:t>(Musiat et al., 2021)</w:t>
      </w:r>
      <w:r>
        <w:rPr>
          <w:rFonts w:cs="Times New Roman"/>
          <w:szCs w:val="24"/>
        </w:rPr>
        <w:t xml:space="preserve">. The program adherence rates exhibited by </w:t>
      </w:r>
      <w:r w:rsidR="006F7765">
        <w:rPr>
          <w:rFonts w:cs="Times New Roman"/>
          <w:szCs w:val="24"/>
        </w:rPr>
        <w:t xml:space="preserve">the </w:t>
      </w:r>
      <w:r>
        <w:rPr>
          <w:rFonts w:cs="Times New Roman"/>
          <w:szCs w:val="24"/>
        </w:rPr>
        <w:t>control group</w:t>
      </w:r>
      <w:r w:rsidR="006F7765">
        <w:rPr>
          <w:rFonts w:cs="Times New Roman"/>
          <w:szCs w:val="24"/>
        </w:rPr>
        <w:t xml:space="preserve"> (ACT Guide without coaching)</w:t>
      </w:r>
      <w:r>
        <w:rPr>
          <w:rFonts w:cs="Times New Roman"/>
          <w:szCs w:val="24"/>
        </w:rPr>
        <w:t xml:space="preserve"> </w:t>
      </w:r>
      <w:r w:rsidR="006F7765">
        <w:rPr>
          <w:rFonts w:cs="Times New Roman"/>
          <w:szCs w:val="24"/>
        </w:rPr>
        <w:t>approximated</w:t>
      </w:r>
      <w:r>
        <w:rPr>
          <w:rFonts w:cs="Times New Roman"/>
          <w:szCs w:val="24"/>
        </w:rPr>
        <w:t xml:space="preserve"> the low rates found in naturalistic </w:t>
      </w:r>
      <w:r w:rsidR="006F7765">
        <w:rPr>
          <w:rFonts w:cs="Times New Roman"/>
          <w:szCs w:val="24"/>
        </w:rPr>
        <w:t xml:space="preserve">use of online mental health </w:t>
      </w:r>
      <w:r>
        <w:rPr>
          <w:rFonts w:cs="Times New Roman"/>
          <w:szCs w:val="24"/>
        </w:rPr>
        <w:t>outside of studies</w:t>
      </w:r>
      <w:r w:rsidR="00B6392E">
        <w:rPr>
          <w:rFonts w:cs="Times New Roman"/>
          <w:szCs w:val="24"/>
        </w:rPr>
        <w:t xml:space="preserve"> </w:t>
      </w:r>
      <w:r w:rsidR="00197D5B" w:rsidRPr="00197D5B">
        <w:rPr>
          <w:rFonts w:cs="Times New Roman"/>
        </w:rPr>
        <w:t>(Baumel et al., 2019)</w:t>
      </w:r>
      <w:r w:rsidR="006F7765">
        <w:rPr>
          <w:rFonts w:cs="Times New Roman"/>
          <w:szCs w:val="24"/>
        </w:rPr>
        <w:t>. This is consistent with the focus of the study on evaluating methods to increase adherence to a naturalistically deployed online mental health program on a college campus and with key design features such as the broad inclusion criteria (any student interested in using the program) and automated enrollment process (the process from learning of the study through randomization did not involve contact with study staff).</w:t>
      </w:r>
      <w:r>
        <w:rPr>
          <w:rFonts w:cs="Times New Roman"/>
          <w:szCs w:val="24"/>
        </w:rPr>
        <w:t xml:space="preserve"> </w:t>
      </w:r>
      <w:r w:rsidR="008B05E5">
        <w:rPr>
          <w:rFonts w:cs="Times New Roman"/>
          <w:szCs w:val="24"/>
        </w:rPr>
        <w:t>This</w:t>
      </w:r>
      <w:r>
        <w:rPr>
          <w:rFonts w:cs="Times New Roman"/>
          <w:szCs w:val="24"/>
        </w:rPr>
        <w:t xml:space="preserve"> study </w:t>
      </w:r>
      <w:r w:rsidR="008B05E5">
        <w:rPr>
          <w:rFonts w:cs="Times New Roman"/>
          <w:szCs w:val="24"/>
        </w:rPr>
        <w:t xml:space="preserve">may </w:t>
      </w:r>
      <w:r>
        <w:rPr>
          <w:rFonts w:cs="Times New Roman"/>
          <w:szCs w:val="24"/>
        </w:rPr>
        <w:t xml:space="preserve">offer </w:t>
      </w:r>
      <w:r w:rsidR="008B05E5">
        <w:rPr>
          <w:rFonts w:cs="Times New Roman"/>
          <w:szCs w:val="24"/>
        </w:rPr>
        <w:t xml:space="preserve">relatively </w:t>
      </w:r>
      <w:r>
        <w:rPr>
          <w:rFonts w:cs="Times New Roman"/>
          <w:szCs w:val="24"/>
        </w:rPr>
        <w:t xml:space="preserve">high external validity </w:t>
      </w:r>
      <w:r w:rsidR="0017272D">
        <w:rPr>
          <w:rFonts w:cs="Times New Roman"/>
          <w:szCs w:val="24"/>
        </w:rPr>
        <w:t xml:space="preserve">that affords </w:t>
      </w:r>
      <w:r>
        <w:rPr>
          <w:rFonts w:cs="Times New Roman"/>
          <w:szCs w:val="24"/>
        </w:rPr>
        <w:t>a</w:t>
      </w:r>
      <w:r w:rsidR="008B05E5">
        <w:rPr>
          <w:rFonts w:cs="Times New Roman"/>
          <w:szCs w:val="24"/>
        </w:rPr>
        <w:t xml:space="preserve"> fairly</w:t>
      </w:r>
      <w:r>
        <w:rPr>
          <w:rFonts w:cs="Times New Roman"/>
          <w:szCs w:val="24"/>
        </w:rPr>
        <w:t xml:space="preserve"> realistic view of program use. It is likely the low adherence rates found within the control group are responsible for the minimal treatment response found within this group. </w:t>
      </w:r>
    </w:p>
    <w:p w14:paraId="64BD11EE" w14:textId="1562FA65" w:rsidR="00FE390D" w:rsidRDefault="008B05E5" w:rsidP="005445EA">
      <w:pPr>
        <w:spacing w:line="480" w:lineRule="auto"/>
        <w:ind w:firstLine="720"/>
        <w:contextualSpacing/>
        <w:rPr>
          <w:rFonts w:cs="Times New Roman"/>
          <w:szCs w:val="24"/>
        </w:rPr>
      </w:pPr>
      <w:r>
        <w:rPr>
          <w:rFonts w:cs="Times New Roman"/>
          <w:szCs w:val="24"/>
        </w:rPr>
        <w:t>The addition of either phone or text</w:t>
      </w:r>
      <w:r w:rsidR="001E6591">
        <w:rPr>
          <w:rFonts w:cs="Times New Roman"/>
          <w:szCs w:val="24"/>
        </w:rPr>
        <w:t xml:space="preserve"> </w:t>
      </w:r>
      <w:r w:rsidR="00C722D2">
        <w:rPr>
          <w:rFonts w:cs="Times New Roman"/>
          <w:szCs w:val="24"/>
        </w:rPr>
        <w:t xml:space="preserve">coaching </w:t>
      </w:r>
      <w:r w:rsidR="00F76625">
        <w:rPr>
          <w:rFonts w:cs="Times New Roman"/>
          <w:szCs w:val="24"/>
        </w:rPr>
        <w:t xml:space="preserve">statistically, </w:t>
      </w:r>
      <w:r>
        <w:rPr>
          <w:rFonts w:cs="Times New Roman"/>
          <w:szCs w:val="24"/>
        </w:rPr>
        <w:t>significantly improved psychological flexibility processes targeted in ACT.</w:t>
      </w:r>
      <w:r w:rsidR="00CA029D">
        <w:rPr>
          <w:rFonts w:cs="Times New Roman"/>
          <w:szCs w:val="24"/>
        </w:rPr>
        <w:t xml:space="preserve"> Additionally, the phone coaching group experienced a significantly higher rate of clinically significant improvement in psychological flexibility, with 10% of the phone coaching group </w:t>
      </w:r>
      <w:r w:rsidR="00B907CF">
        <w:rPr>
          <w:rFonts w:cs="Times New Roman"/>
          <w:szCs w:val="24"/>
        </w:rPr>
        <w:t xml:space="preserve">clinically </w:t>
      </w:r>
      <w:r w:rsidR="00CA029D">
        <w:rPr>
          <w:rFonts w:cs="Times New Roman"/>
          <w:szCs w:val="24"/>
        </w:rPr>
        <w:t>improving compared to 0</w:t>
      </w:r>
      <w:r w:rsidR="0060178C">
        <w:rPr>
          <w:rFonts w:cs="Times New Roman"/>
          <w:szCs w:val="24"/>
        </w:rPr>
        <w:t xml:space="preserve">% or </w:t>
      </w:r>
      <w:r w:rsidR="00CA029D">
        <w:rPr>
          <w:rFonts w:cs="Times New Roman"/>
          <w:szCs w:val="24"/>
        </w:rPr>
        <w:t>2% of the control and text coaching group</w:t>
      </w:r>
      <w:r w:rsidR="0060178C">
        <w:rPr>
          <w:rFonts w:cs="Times New Roman"/>
          <w:szCs w:val="24"/>
        </w:rPr>
        <w:t>s resp</w:t>
      </w:r>
      <w:r w:rsidR="00366286">
        <w:rPr>
          <w:rFonts w:cs="Times New Roman"/>
          <w:szCs w:val="24"/>
        </w:rPr>
        <w:t>ectively</w:t>
      </w:r>
      <w:r w:rsidR="00CA029D">
        <w:rPr>
          <w:rFonts w:cs="Times New Roman"/>
          <w:szCs w:val="24"/>
        </w:rPr>
        <w:t xml:space="preserve">. </w:t>
      </w:r>
      <w:r w:rsidR="00FE390D">
        <w:rPr>
          <w:rFonts w:cs="Times New Roman"/>
          <w:szCs w:val="24"/>
        </w:rPr>
        <w:t>It is possible that</w:t>
      </w:r>
      <w:r w:rsidR="00542A60">
        <w:rPr>
          <w:rFonts w:cs="Times New Roman"/>
          <w:szCs w:val="24"/>
        </w:rPr>
        <w:t xml:space="preserve"> </w:t>
      </w:r>
      <w:r w:rsidR="00FE390D">
        <w:rPr>
          <w:rFonts w:cs="Times New Roman"/>
          <w:szCs w:val="24"/>
        </w:rPr>
        <w:t>greater adherence to ACT Guide on account of coaching increases the effectiveness of the intervention, promoting retention and practice of psychological flexibility related skills</w:t>
      </w:r>
      <w:r w:rsidR="00B907CF">
        <w:rPr>
          <w:rFonts w:cs="Times New Roman"/>
          <w:szCs w:val="24"/>
        </w:rPr>
        <w:t>, particularly in the case of phone coaching</w:t>
      </w:r>
      <w:r w:rsidR="00FE390D">
        <w:rPr>
          <w:rFonts w:cs="Times New Roman"/>
          <w:szCs w:val="24"/>
        </w:rPr>
        <w:t xml:space="preserve">. However, another explanation may be that the ACT-based elements of the coaching protocol (e.g., coach using ACT consistent language, discussion of ACT Guide content, </w:t>
      </w:r>
      <w:r w:rsidR="006B6DB7">
        <w:rPr>
          <w:rFonts w:cs="Times New Roman"/>
          <w:szCs w:val="24"/>
        </w:rPr>
        <w:t>use of the Choice Point for non-adherence)</w:t>
      </w:r>
      <w:r w:rsidR="00FE390D">
        <w:rPr>
          <w:rFonts w:cs="Times New Roman"/>
          <w:szCs w:val="24"/>
        </w:rPr>
        <w:t xml:space="preserve"> are what promote these </w:t>
      </w:r>
      <w:r w:rsidR="006B6DB7">
        <w:rPr>
          <w:rFonts w:cs="Times New Roman"/>
          <w:szCs w:val="24"/>
        </w:rPr>
        <w:t>psychological flexibility skills within coached participants. Interestingly, the</w:t>
      </w:r>
      <w:r w:rsidR="00B907CF">
        <w:rPr>
          <w:rFonts w:cs="Times New Roman"/>
          <w:szCs w:val="24"/>
        </w:rPr>
        <w:t xml:space="preserve"> phone coaching but not</w:t>
      </w:r>
      <w:r w:rsidR="006B6DB7">
        <w:rPr>
          <w:rFonts w:cs="Times New Roman"/>
          <w:szCs w:val="24"/>
        </w:rPr>
        <w:t xml:space="preserve"> text coaching condition </w:t>
      </w:r>
      <w:r w:rsidR="00B907CF">
        <w:rPr>
          <w:rFonts w:cs="Times New Roman"/>
          <w:szCs w:val="24"/>
        </w:rPr>
        <w:t>had</w:t>
      </w:r>
      <w:r w:rsidR="006B6DB7">
        <w:rPr>
          <w:rFonts w:cs="Times New Roman"/>
          <w:szCs w:val="24"/>
        </w:rPr>
        <w:t xml:space="preserve"> </w:t>
      </w:r>
      <w:r w:rsidR="00B907CF">
        <w:rPr>
          <w:rFonts w:cs="Times New Roman"/>
          <w:szCs w:val="24"/>
        </w:rPr>
        <w:t xml:space="preserve">a statistically </w:t>
      </w:r>
      <w:r w:rsidR="006B6DB7">
        <w:rPr>
          <w:rFonts w:cs="Times New Roman"/>
          <w:szCs w:val="24"/>
        </w:rPr>
        <w:t>significant effect on psychological inflexibility, the inverse of psychological flexibility</w:t>
      </w:r>
      <w:r w:rsidR="00B907CF">
        <w:rPr>
          <w:rFonts w:cs="Times New Roman"/>
          <w:szCs w:val="24"/>
        </w:rPr>
        <w:t>.</w:t>
      </w:r>
      <w:r w:rsidR="006B6DB7">
        <w:rPr>
          <w:rFonts w:cs="Times New Roman"/>
          <w:szCs w:val="24"/>
        </w:rPr>
        <w:t xml:space="preserve"> </w:t>
      </w:r>
      <w:r w:rsidR="00B907CF">
        <w:rPr>
          <w:rFonts w:cs="Times New Roman"/>
          <w:szCs w:val="24"/>
        </w:rPr>
        <w:t xml:space="preserve">Neither </w:t>
      </w:r>
      <w:r w:rsidR="00B907CF">
        <w:rPr>
          <w:rFonts w:cs="Times New Roman"/>
          <w:szCs w:val="24"/>
        </w:rPr>
        <w:lastRenderedPageBreak/>
        <w:t xml:space="preserve">coaching group were more likely to experience clinically significant improvement in psychological inflexibility as compared to the control. </w:t>
      </w:r>
      <w:r w:rsidR="006B6DB7">
        <w:rPr>
          <w:rFonts w:cs="Times New Roman"/>
          <w:szCs w:val="24"/>
        </w:rPr>
        <w:t xml:space="preserve">This may be a reflection of limitations within the AAQ-II as compared to the </w:t>
      </w:r>
      <w:proofErr w:type="spellStart"/>
      <w:r w:rsidR="006B6DB7">
        <w:rPr>
          <w:rFonts w:cs="Times New Roman"/>
          <w:szCs w:val="24"/>
        </w:rPr>
        <w:t>CompACT</w:t>
      </w:r>
      <w:proofErr w:type="spellEnd"/>
      <w:r w:rsidR="006B6DB7">
        <w:rPr>
          <w:rFonts w:cs="Times New Roman"/>
          <w:szCs w:val="24"/>
        </w:rPr>
        <w:t xml:space="preserve"> </w:t>
      </w:r>
      <w:r w:rsidR="006B6DB7" w:rsidRPr="006B6DB7">
        <w:rPr>
          <w:rFonts w:cs="Times New Roman"/>
        </w:rPr>
        <w:t>(Ong et al., 2020)</w:t>
      </w:r>
      <w:r w:rsidR="006B6DB7">
        <w:rPr>
          <w:rFonts w:cs="Times New Roman"/>
          <w:szCs w:val="24"/>
        </w:rPr>
        <w:t>, or demonstrate weaknesses within text coaching as compared to phone coaching. Given that psychological flexibility is the driving process of change within ACT, understanding how ACT-based interventions influence psychological flexibility is critical</w:t>
      </w:r>
      <w:r w:rsidR="001C2088">
        <w:rPr>
          <w:rFonts w:cs="Times New Roman"/>
          <w:szCs w:val="24"/>
        </w:rPr>
        <w:t>. Future research utilizing mediation analysis may shed light on whether increased adherence, or use of an ACT-based coaching protocol, better explain effects on psychological flexibility.</w:t>
      </w:r>
    </w:p>
    <w:p w14:paraId="11525357" w14:textId="251DFE36" w:rsidR="00C722D2" w:rsidRDefault="008B05E5" w:rsidP="005445EA">
      <w:pPr>
        <w:spacing w:line="480" w:lineRule="auto"/>
        <w:ind w:firstLine="720"/>
        <w:contextualSpacing/>
        <w:rPr>
          <w:rFonts w:cs="Times New Roman"/>
          <w:szCs w:val="24"/>
        </w:rPr>
      </w:pPr>
      <w:r>
        <w:rPr>
          <w:rFonts w:cs="Times New Roman"/>
          <w:szCs w:val="24"/>
        </w:rPr>
        <w:t>I</w:t>
      </w:r>
      <w:r w:rsidR="00C722D2">
        <w:rPr>
          <w:rFonts w:cs="Times New Roman"/>
          <w:szCs w:val="24"/>
        </w:rPr>
        <w:t xml:space="preserve">t is noteworthy that </w:t>
      </w:r>
      <w:r w:rsidR="0005071E">
        <w:rPr>
          <w:rFonts w:cs="Times New Roman"/>
          <w:szCs w:val="24"/>
        </w:rPr>
        <w:t xml:space="preserve">only </w:t>
      </w:r>
      <w:r w:rsidR="00C722D2">
        <w:rPr>
          <w:rFonts w:cs="Times New Roman"/>
          <w:szCs w:val="24"/>
        </w:rPr>
        <w:t xml:space="preserve">phone coaching </w:t>
      </w:r>
      <w:r w:rsidR="0005071E">
        <w:rPr>
          <w:rFonts w:cs="Times New Roman"/>
          <w:szCs w:val="24"/>
        </w:rPr>
        <w:t xml:space="preserve">significantly improved mental health </w:t>
      </w:r>
      <w:r w:rsidR="00C722D2">
        <w:rPr>
          <w:rFonts w:cs="Times New Roman"/>
          <w:szCs w:val="24"/>
        </w:rPr>
        <w:t>outcomes</w:t>
      </w:r>
      <w:r w:rsidR="0005071E">
        <w:rPr>
          <w:rFonts w:cs="Times New Roman"/>
          <w:szCs w:val="24"/>
        </w:rPr>
        <w:t xml:space="preserve"> relative to standard ACT Guide</w:t>
      </w:r>
      <w:r w:rsidR="0060178C">
        <w:rPr>
          <w:rFonts w:cs="Times New Roman"/>
          <w:szCs w:val="24"/>
        </w:rPr>
        <w:t xml:space="preserve">. These outcomes include </w:t>
      </w:r>
      <w:r w:rsidR="00533187">
        <w:rPr>
          <w:rFonts w:cs="Times New Roman"/>
          <w:szCs w:val="24"/>
        </w:rPr>
        <w:t xml:space="preserve">psychological distress and positive mental health regarding statistical significance, but only the </w:t>
      </w:r>
      <w:r w:rsidR="00366286">
        <w:rPr>
          <w:rFonts w:cs="Times New Roman"/>
          <w:szCs w:val="24"/>
        </w:rPr>
        <w:t xml:space="preserve">psychological distress </w:t>
      </w:r>
      <w:r w:rsidR="00533187">
        <w:rPr>
          <w:rFonts w:cs="Times New Roman"/>
          <w:szCs w:val="24"/>
        </w:rPr>
        <w:t>in the regards to clinically significant rates of improvement</w:t>
      </w:r>
      <w:r w:rsidR="0060178C">
        <w:rPr>
          <w:rFonts w:cs="Times New Roman"/>
          <w:szCs w:val="24"/>
        </w:rPr>
        <w:t>, with 25% of the phone coaching group significantly improving as compared to 4% and 16% of the control and text coaching groups respectively</w:t>
      </w:r>
      <w:r w:rsidR="00C722D2">
        <w:rPr>
          <w:rFonts w:cs="Times New Roman"/>
          <w:szCs w:val="24"/>
        </w:rPr>
        <w:t>. This may suggest that synchronous phone coaching is an effective intervention, but the effectiveness of text coaching is weaker</w:t>
      </w:r>
      <w:r w:rsidR="005D67CA">
        <w:rPr>
          <w:rFonts w:cs="Times New Roman"/>
          <w:szCs w:val="24"/>
        </w:rPr>
        <w:t xml:space="preserve"> or impacts a more limited set of variables (e.g., adherence, processes of change). This is</w:t>
      </w:r>
      <w:r w:rsidR="00C722D2">
        <w:rPr>
          <w:rFonts w:cs="Times New Roman"/>
          <w:szCs w:val="24"/>
        </w:rPr>
        <w:t xml:space="preserve"> congruent with previous literature in which findings on the effectiveness of coaching overall across multiple formats is mixed </w:t>
      </w:r>
      <w:r w:rsidR="00537C78" w:rsidRPr="00537C78">
        <w:rPr>
          <w:rFonts w:cs="Times New Roman"/>
        </w:rPr>
        <w:t>(Shim et al., 2017)</w:t>
      </w:r>
      <w:r w:rsidR="00C722D2">
        <w:rPr>
          <w:rFonts w:cs="Times New Roman"/>
          <w:szCs w:val="24"/>
        </w:rPr>
        <w:t>. Prior reviews and meta-analyses have not parsed out differences in outcomes between differing formats of coaching</w:t>
      </w:r>
      <w:r w:rsidR="00197D5B">
        <w:rPr>
          <w:rFonts w:cs="Times New Roman"/>
          <w:szCs w:val="24"/>
        </w:rPr>
        <w:t xml:space="preserve"> </w:t>
      </w:r>
      <w:r w:rsidR="00197D5B" w:rsidRPr="00197D5B">
        <w:rPr>
          <w:rFonts w:cs="Times New Roman"/>
        </w:rPr>
        <w:t>(Baumeister et al., 2014; Shim et al., 2017)</w:t>
      </w:r>
      <w:r w:rsidR="00C722D2">
        <w:rPr>
          <w:rFonts w:cs="Times New Roman"/>
          <w:szCs w:val="24"/>
        </w:rPr>
        <w:t>, and trials that have directly compared synchronous versus asynchronous modes of coaching have not found significant differences in outcomes</w:t>
      </w:r>
      <w:r w:rsidR="00197D5B">
        <w:rPr>
          <w:rFonts w:cs="Times New Roman"/>
          <w:szCs w:val="24"/>
        </w:rPr>
        <w:t xml:space="preserve"> </w:t>
      </w:r>
      <w:r w:rsidR="005F440C" w:rsidRPr="005F440C">
        <w:rPr>
          <w:rFonts w:cs="Times New Roman"/>
        </w:rPr>
        <w:t>(Renfrew et al., 2021)</w:t>
      </w:r>
      <w:r w:rsidR="00C722D2">
        <w:rPr>
          <w:rFonts w:cs="Times New Roman"/>
          <w:szCs w:val="24"/>
        </w:rPr>
        <w:t xml:space="preserve">. </w:t>
      </w:r>
      <w:r w:rsidR="00BB52AE">
        <w:rPr>
          <w:rFonts w:cs="Times New Roman"/>
          <w:szCs w:val="24"/>
        </w:rPr>
        <w:t xml:space="preserve">There are several possibilities for why text coaching may be less effective, including less time spent discussing ACT Guide as compared to phone coaching, weaker relationship with the coach, </w:t>
      </w:r>
      <w:r w:rsidR="00423F2A">
        <w:rPr>
          <w:rFonts w:cs="Times New Roman"/>
          <w:szCs w:val="24"/>
        </w:rPr>
        <w:t xml:space="preserve">being less acceptable to older students, </w:t>
      </w:r>
      <w:r w:rsidR="00BB52AE">
        <w:rPr>
          <w:rFonts w:cs="Times New Roman"/>
          <w:szCs w:val="24"/>
        </w:rPr>
        <w:t xml:space="preserve">or </w:t>
      </w:r>
      <w:r w:rsidR="00BB52AE">
        <w:rPr>
          <w:rFonts w:cs="Times New Roman"/>
          <w:szCs w:val="24"/>
        </w:rPr>
        <w:lastRenderedPageBreak/>
        <w:t xml:space="preserve">cognitive attention </w:t>
      </w:r>
      <w:r w:rsidR="00246F85">
        <w:rPr>
          <w:rFonts w:cs="Times New Roman"/>
          <w:szCs w:val="24"/>
        </w:rPr>
        <w:t xml:space="preserve">on the conversation </w:t>
      </w:r>
      <w:r w:rsidR="00BB52AE">
        <w:rPr>
          <w:rFonts w:cs="Times New Roman"/>
          <w:szCs w:val="24"/>
        </w:rPr>
        <w:t>being more focused</w:t>
      </w:r>
      <w:r w:rsidR="00246F85">
        <w:rPr>
          <w:rFonts w:cs="Times New Roman"/>
          <w:szCs w:val="24"/>
        </w:rPr>
        <w:t xml:space="preserve"> in the case of phone calls. </w:t>
      </w:r>
      <w:r w:rsidR="00C722D2">
        <w:rPr>
          <w:rFonts w:cs="Times New Roman"/>
          <w:szCs w:val="24"/>
        </w:rPr>
        <w:t xml:space="preserve">However, it is possible that a more complex relationship exists between format of coaching and effect on outcomes, and that further investigation regarding under which circumstances (e.g., when format is self-selected, if there are moderation effects) different formats are effective is warranted </w:t>
      </w:r>
      <w:r w:rsidR="00197D5B" w:rsidRPr="00197D5B">
        <w:rPr>
          <w:rFonts w:cs="Times New Roman"/>
        </w:rPr>
        <w:t>(Renfrew et al., 2021)</w:t>
      </w:r>
      <w:r w:rsidR="00197D5B">
        <w:rPr>
          <w:rFonts w:cs="Times New Roman"/>
          <w:szCs w:val="24"/>
        </w:rPr>
        <w:t>.</w:t>
      </w:r>
    </w:p>
    <w:p w14:paraId="3AE1E4FD" w14:textId="5A5F670F" w:rsidR="00C722D2" w:rsidRDefault="00C722D2">
      <w:pPr>
        <w:spacing w:line="480" w:lineRule="auto"/>
        <w:ind w:firstLine="720"/>
        <w:contextualSpacing/>
        <w:rPr>
          <w:rFonts w:cs="Times New Roman"/>
          <w:szCs w:val="24"/>
        </w:rPr>
      </w:pPr>
      <w:r>
        <w:rPr>
          <w:rFonts w:cs="Times New Roman"/>
          <w:szCs w:val="24"/>
        </w:rPr>
        <w:t xml:space="preserve">The present study offers important implications regarding coaching as a supplement to online self-help programs, and its effects on program adherence and program effectiveness. Given the efficacy of implementing undergraduate students as peer-support coaches, this could be very practical intervention to offer to college students alongside online self-help. </w:t>
      </w:r>
      <w:bookmarkStart w:id="14" w:name="_Hlk110292786"/>
      <w:r>
        <w:rPr>
          <w:rFonts w:cs="Times New Roman"/>
          <w:szCs w:val="24"/>
        </w:rPr>
        <w:t xml:space="preserve">Relevant training and implementation materials could be readily disseminated for use by universities seeking to implement this service alongside ACT Guide or a similar program, given the only required personnel </w:t>
      </w:r>
      <w:r w:rsidR="00827AB3">
        <w:rPr>
          <w:rFonts w:cs="Times New Roman"/>
          <w:szCs w:val="24"/>
        </w:rPr>
        <w:t xml:space="preserve">needing </w:t>
      </w:r>
      <w:r>
        <w:rPr>
          <w:rFonts w:cs="Times New Roman"/>
          <w:szCs w:val="24"/>
        </w:rPr>
        <w:t>a professional training background (i.e., a graduate student or mental health professional) is a coordinator</w:t>
      </w:r>
      <w:r w:rsidR="00827AB3">
        <w:rPr>
          <w:rFonts w:cs="Times New Roman"/>
          <w:szCs w:val="24"/>
        </w:rPr>
        <w:t xml:space="preserve"> to </w:t>
      </w:r>
      <w:r w:rsidR="003901F1">
        <w:rPr>
          <w:rFonts w:cs="Times New Roman"/>
          <w:szCs w:val="24"/>
        </w:rPr>
        <w:t xml:space="preserve">recruit, train, and </w:t>
      </w:r>
      <w:r w:rsidR="00827AB3">
        <w:rPr>
          <w:rFonts w:cs="Times New Roman"/>
          <w:szCs w:val="24"/>
        </w:rPr>
        <w:t xml:space="preserve">oversee the </w:t>
      </w:r>
      <w:r w:rsidR="003901F1">
        <w:rPr>
          <w:rFonts w:cs="Times New Roman"/>
          <w:szCs w:val="24"/>
        </w:rPr>
        <w:t xml:space="preserve">volunteer </w:t>
      </w:r>
      <w:r w:rsidR="00827AB3">
        <w:rPr>
          <w:rFonts w:cs="Times New Roman"/>
          <w:szCs w:val="24"/>
        </w:rPr>
        <w:t>coaches</w:t>
      </w:r>
      <w:r>
        <w:rPr>
          <w:rFonts w:cs="Times New Roman"/>
          <w:szCs w:val="24"/>
        </w:rPr>
        <w:t>.</w:t>
      </w:r>
      <w:r w:rsidR="003901F1">
        <w:rPr>
          <w:rFonts w:cs="Times New Roman"/>
          <w:szCs w:val="24"/>
        </w:rPr>
        <w:t xml:space="preserve"> While some financial costs are</w:t>
      </w:r>
      <w:r w:rsidR="00890060">
        <w:rPr>
          <w:rFonts w:cs="Times New Roman"/>
          <w:szCs w:val="24"/>
        </w:rPr>
        <w:t xml:space="preserve"> potentially</w:t>
      </w:r>
      <w:r w:rsidR="003901F1">
        <w:rPr>
          <w:rFonts w:cs="Times New Roman"/>
          <w:szCs w:val="24"/>
        </w:rPr>
        <w:t xml:space="preserve"> associated with this model, given </w:t>
      </w:r>
      <w:r w:rsidR="00154B93">
        <w:rPr>
          <w:rFonts w:cs="Times New Roman"/>
          <w:szCs w:val="24"/>
        </w:rPr>
        <w:t>any pay</w:t>
      </w:r>
      <w:r w:rsidR="003901F1">
        <w:rPr>
          <w:rFonts w:cs="Times New Roman"/>
          <w:szCs w:val="24"/>
        </w:rPr>
        <w:t xml:space="preserve"> that would be allocated to a </w:t>
      </w:r>
      <w:r w:rsidR="00154B93">
        <w:rPr>
          <w:rFonts w:cs="Times New Roman"/>
          <w:szCs w:val="24"/>
        </w:rPr>
        <w:t>peer-support coaching</w:t>
      </w:r>
      <w:r w:rsidR="003901F1">
        <w:rPr>
          <w:rFonts w:cs="Times New Roman"/>
          <w:szCs w:val="24"/>
        </w:rPr>
        <w:t xml:space="preserve"> coordinator, c</w:t>
      </w:r>
      <w:r>
        <w:rPr>
          <w:rFonts w:cs="Times New Roman"/>
          <w:szCs w:val="24"/>
        </w:rPr>
        <w:t xml:space="preserve">ollege campuses may </w:t>
      </w:r>
      <w:r w:rsidR="003901F1">
        <w:rPr>
          <w:rFonts w:cs="Times New Roman"/>
          <w:szCs w:val="24"/>
        </w:rPr>
        <w:t xml:space="preserve">still </w:t>
      </w:r>
      <w:r>
        <w:rPr>
          <w:rFonts w:cs="Times New Roman"/>
          <w:szCs w:val="24"/>
        </w:rPr>
        <w:t>be incentivized to implement such a program</w:t>
      </w:r>
      <w:r w:rsidR="003901F1">
        <w:rPr>
          <w:rFonts w:cs="Times New Roman"/>
          <w:szCs w:val="24"/>
        </w:rPr>
        <w:t>.</w:t>
      </w:r>
      <w:r>
        <w:rPr>
          <w:rFonts w:cs="Times New Roman"/>
          <w:szCs w:val="24"/>
        </w:rPr>
        <w:t xml:space="preserve"> </w:t>
      </w:r>
      <w:r w:rsidR="00154B93">
        <w:rPr>
          <w:rFonts w:cs="Times New Roman"/>
          <w:szCs w:val="24"/>
        </w:rPr>
        <w:t xml:space="preserve">For example, these coordinating responsibilities fit well with already existing positions, such as college counseling center coordinators, </w:t>
      </w:r>
      <w:r w:rsidR="00890060">
        <w:rPr>
          <w:rFonts w:cs="Times New Roman"/>
          <w:szCs w:val="24"/>
        </w:rPr>
        <w:t>predoctoral interns, or clinical graduate student assistantships</w:t>
      </w:r>
      <w:r w:rsidR="008F2068">
        <w:rPr>
          <w:rFonts w:cs="Times New Roman"/>
          <w:szCs w:val="24"/>
        </w:rPr>
        <w:t xml:space="preserve">. </w:t>
      </w:r>
      <w:r w:rsidR="00890060">
        <w:rPr>
          <w:rFonts w:cs="Times New Roman"/>
          <w:szCs w:val="24"/>
        </w:rPr>
        <w:t>Additionally, p</w:t>
      </w:r>
      <w:r w:rsidR="003901F1">
        <w:rPr>
          <w:rFonts w:cs="Times New Roman"/>
          <w:szCs w:val="24"/>
        </w:rPr>
        <w:t>rior</w:t>
      </w:r>
      <w:r>
        <w:rPr>
          <w:rFonts w:cs="Times New Roman"/>
          <w:szCs w:val="24"/>
        </w:rPr>
        <w:t xml:space="preserve"> economic analyses have found online interventions to be a cost-effective resource</w:t>
      </w:r>
      <w:r w:rsidR="0027223A">
        <w:rPr>
          <w:rFonts w:cs="Times New Roman"/>
          <w:szCs w:val="24"/>
        </w:rPr>
        <w:t xml:space="preserve"> </w:t>
      </w:r>
      <w:r w:rsidR="0027223A" w:rsidRPr="0027223A">
        <w:rPr>
          <w:rFonts w:cs="Times New Roman"/>
        </w:rPr>
        <w:t>(Mitchell et al., 2021)</w:t>
      </w:r>
      <w:r>
        <w:rPr>
          <w:rFonts w:cs="Times New Roman"/>
          <w:szCs w:val="24"/>
        </w:rPr>
        <w:t xml:space="preserve"> with one study supporting guided online interventions to be particularly efficient</w:t>
      </w:r>
      <w:r w:rsidR="0027223A">
        <w:rPr>
          <w:rFonts w:cs="Times New Roman"/>
          <w:szCs w:val="24"/>
        </w:rPr>
        <w:t xml:space="preserve"> </w:t>
      </w:r>
      <w:r w:rsidR="0027223A" w:rsidRPr="0027223A">
        <w:rPr>
          <w:rFonts w:cs="Times New Roman"/>
        </w:rPr>
        <w:t>(Buntrock et al., 2021)</w:t>
      </w:r>
      <w:r>
        <w:rPr>
          <w:rFonts w:cs="Times New Roman"/>
          <w:szCs w:val="24"/>
        </w:rPr>
        <w:t xml:space="preserve">. </w:t>
      </w:r>
      <w:bookmarkEnd w:id="14"/>
      <w:r>
        <w:rPr>
          <w:rFonts w:cs="Times New Roman"/>
          <w:szCs w:val="24"/>
        </w:rPr>
        <w:t>At present, distinctions between phone and text coaching are somewhat unclear, but our results appear to provide greater support for the former</w:t>
      </w:r>
      <w:r w:rsidR="003D35B8">
        <w:rPr>
          <w:rFonts w:cs="Times New Roman"/>
          <w:szCs w:val="24"/>
        </w:rPr>
        <w:t>.</w:t>
      </w:r>
    </w:p>
    <w:p w14:paraId="071A7E6D" w14:textId="77777777" w:rsidR="00C722D2" w:rsidRDefault="00C722D2" w:rsidP="00295600">
      <w:pPr>
        <w:spacing w:line="480" w:lineRule="auto"/>
        <w:contextualSpacing/>
        <w:rPr>
          <w:rFonts w:cs="Times New Roman"/>
          <w:b/>
          <w:bCs/>
          <w:szCs w:val="24"/>
        </w:rPr>
      </w:pPr>
      <w:r>
        <w:rPr>
          <w:rFonts w:cs="Times New Roman"/>
          <w:b/>
          <w:bCs/>
          <w:szCs w:val="24"/>
        </w:rPr>
        <w:t>Limitations</w:t>
      </w:r>
    </w:p>
    <w:p w14:paraId="33114769" w14:textId="77777777" w:rsidR="007531E4" w:rsidRDefault="00C722D2" w:rsidP="001C600B">
      <w:pPr>
        <w:spacing w:line="480" w:lineRule="auto"/>
        <w:contextualSpacing/>
        <w:rPr>
          <w:rFonts w:cs="Times New Roman"/>
          <w:szCs w:val="24"/>
        </w:rPr>
      </w:pPr>
      <w:r>
        <w:rPr>
          <w:rFonts w:cs="Times New Roman"/>
          <w:szCs w:val="24"/>
        </w:rPr>
        <w:lastRenderedPageBreak/>
        <w:tab/>
        <w:t>Several limitations should be taken into consideration when evaluating the results of the present study. Completion rates for post-treatment assessment were not ideal, with 76% of participants completing this step of the study. Given that participants who</w:t>
      </w:r>
      <w:r w:rsidR="001C600B">
        <w:rPr>
          <w:rFonts w:cs="Times New Roman"/>
          <w:szCs w:val="24"/>
        </w:rPr>
        <w:t xml:space="preserve"> completed</w:t>
      </w:r>
      <w:r>
        <w:rPr>
          <w:rFonts w:cs="Times New Roman"/>
          <w:szCs w:val="24"/>
        </w:rPr>
        <w:t xml:space="preserve"> </w:t>
      </w:r>
      <w:r w:rsidR="00E9722A">
        <w:rPr>
          <w:rFonts w:cs="Times New Roman"/>
          <w:szCs w:val="24"/>
        </w:rPr>
        <w:t>fewer</w:t>
      </w:r>
      <w:r>
        <w:rPr>
          <w:rFonts w:cs="Times New Roman"/>
          <w:szCs w:val="24"/>
        </w:rPr>
        <w:t xml:space="preserve"> modules of ACT Guide were significantly less likely to complete the post-treatment assessment, non-adherers may be underrepresented within our results.</w:t>
      </w:r>
      <w:r w:rsidR="00012AD2">
        <w:rPr>
          <w:rFonts w:cs="Times New Roman"/>
          <w:szCs w:val="24"/>
        </w:rPr>
        <w:t xml:space="preserve"> </w:t>
      </w:r>
      <w:bookmarkStart w:id="15" w:name="_Hlk110292225"/>
      <w:r w:rsidR="00296EF0">
        <w:rPr>
          <w:rFonts w:cs="Times New Roman"/>
          <w:szCs w:val="24"/>
        </w:rPr>
        <w:t>Reasons for drop-out (e.g., failure to complete the post-treatment assessment) are also unknown, making it unclear as to whether data is missing at random.</w:t>
      </w:r>
      <w:r w:rsidR="0093764E">
        <w:rPr>
          <w:rFonts w:cs="Times New Roman"/>
          <w:szCs w:val="24"/>
        </w:rPr>
        <w:t xml:space="preserve"> </w:t>
      </w:r>
      <w:bookmarkEnd w:id="15"/>
    </w:p>
    <w:p w14:paraId="4D55A03A" w14:textId="67D10BA7" w:rsidR="004C3025" w:rsidRDefault="00C722D2" w:rsidP="00F4785F">
      <w:pPr>
        <w:spacing w:line="480" w:lineRule="auto"/>
        <w:ind w:firstLine="720"/>
        <w:contextualSpacing/>
        <w:rPr>
          <w:rFonts w:cs="Times New Roman"/>
          <w:szCs w:val="24"/>
        </w:rPr>
      </w:pPr>
      <w:r>
        <w:rPr>
          <w:rFonts w:cs="Times New Roman"/>
          <w:szCs w:val="24"/>
        </w:rPr>
        <w:t>Our sample also disproportionality represents those identifying as female (75%) as well as White (90%). This was expected given that women are more likely to engage in help-seeking behaviors than men</w:t>
      </w:r>
      <w:r w:rsidR="0027223A">
        <w:rPr>
          <w:rFonts w:cs="Times New Roman"/>
          <w:szCs w:val="24"/>
        </w:rPr>
        <w:t xml:space="preserve"> </w:t>
      </w:r>
      <w:r w:rsidR="0027223A" w:rsidRPr="0027223A">
        <w:rPr>
          <w:rFonts w:cs="Times New Roman"/>
        </w:rPr>
        <w:t>(Seidler et al., 2017)</w:t>
      </w:r>
      <w:r>
        <w:rPr>
          <w:rFonts w:cs="Times New Roman"/>
          <w:szCs w:val="24"/>
        </w:rPr>
        <w:t xml:space="preserve">, and that </w:t>
      </w:r>
      <w:r w:rsidR="00D23C63">
        <w:rPr>
          <w:rFonts w:cs="Times New Roman"/>
          <w:szCs w:val="24"/>
        </w:rPr>
        <w:t>the recruitment source was a predominantly White institution</w:t>
      </w:r>
      <w:r w:rsidR="00AD564F">
        <w:rPr>
          <w:rFonts w:cs="Times New Roman"/>
          <w:szCs w:val="24"/>
        </w:rPr>
        <w:t xml:space="preserve"> with 84% of the student body </w:t>
      </w:r>
      <w:r w:rsidR="008E1024">
        <w:rPr>
          <w:rFonts w:cs="Times New Roman"/>
          <w:szCs w:val="24"/>
        </w:rPr>
        <w:t xml:space="preserve">identifying as </w:t>
      </w:r>
      <w:r w:rsidR="00AD564F">
        <w:rPr>
          <w:rFonts w:cs="Times New Roman"/>
          <w:szCs w:val="24"/>
        </w:rPr>
        <w:t>White</w:t>
      </w:r>
      <w:r>
        <w:rPr>
          <w:rFonts w:cs="Times New Roman"/>
          <w:szCs w:val="24"/>
        </w:rPr>
        <w:t>. Thus, further research is warranted regarding the efficacy of peer-support coaching with more diverse samples</w:t>
      </w:r>
      <w:r w:rsidR="00527C1A">
        <w:rPr>
          <w:rFonts w:cs="Times New Roman"/>
          <w:szCs w:val="24"/>
        </w:rPr>
        <w:t>. This is critical so that analyses can test whether treatment effects are consistent or differ across subgroups</w:t>
      </w:r>
      <w:r>
        <w:rPr>
          <w:rFonts w:cs="Times New Roman"/>
          <w:szCs w:val="24"/>
        </w:rPr>
        <w:t>.</w:t>
      </w:r>
      <w:r w:rsidR="00423F2A">
        <w:rPr>
          <w:rFonts w:cs="Times New Roman"/>
          <w:szCs w:val="24"/>
        </w:rPr>
        <w:t xml:space="preserve"> </w:t>
      </w:r>
      <w:r w:rsidR="00527C1A">
        <w:rPr>
          <w:rFonts w:cs="Times New Roman"/>
          <w:szCs w:val="24"/>
        </w:rPr>
        <w:t>To help address this, w</w:t>
      </w:r>
      <w:r w:rsidR="00423F2A">
        <w:rPr>
          <w:rFonts w:cs="Times New Roman"/>
          <w:szCs w:val="24"/>
        </w:rPr>
        <w:t>e conducted exploratory moderation analyses to examine the potential generalizability of results</w:t>
      </w:r>
      <w:r w:rsidR="007531E4">
        <w:rPr>
          <w:rFonts w:cs="Times New Roman"/>
          <w:szCs w:val="24"/>
        </w:rPr>
        <w:t xml:space="preserve"> on key variables that had adequate representation to reasonably conduct these analyses. Interestingly, </w:t>
      </w:r>
      <w:r w:rsidR="00527C1A">
        <w:rPr>
          <w:rFonts w:cs="Times New Roman"/>
          <w:szCs w:val="24"/>
        </w:rPr>
        <w:t>findings</w:t>
      </w:r>
      <w:r w:rsidR="007531E4">
        <w:rPr>
          <w:rFonts w:cs="Times New Roman"/>
          <w:szCs w:val="24"/>
        </w:rPr>
        <w:t xml:space="preserve"> suggested the effects of text coaching on adherence may be weaker among older students while the effects of </w:t>
      </w:r>
      <w:r w:rsidR="00500F73">
        <w:rPr>
          <w:rFonts w:cs="Times New Roman"/>
          <w:szCs w:val="24"/>
        </w:rPr>
        <w:t xml:space="preserve">phone </w:t>
      </w:r>
      <w:r w:rsidR="007531E4">
        <w:rPr>
          <w:rFonts w:cs="Times New Roman"/>
          <w:szCs w:val="24"/>
        </w:rPr>
        <w:t xml:space="preserve">coaching on psychological distress may be weaker among students who begin the program in higher distress. However, these were not planned analyses and the sample distribution and size was not recruited to power these analyses, so these results are preliminary and limited. Future research designed to test whether effects are moderated by key demographic variables is needed to further examine the generalizability of results to specific populations, particularly minoritized and underserved students. </w:t>
      </w:r>
      <w:r w:rsidR="00423F2A">
        <w:rPr>
          <w:rFonts w:cs="Times New Roman"/>
          <w:szCs w:val="24"/>
        </w:rPr>
        <w:t xml:space="preserve"> </w:t>
      </w:r>
    </w:p>
    <w:p w14:paraId="55EFD98B" w14:textId="4845B8F0" w:rsidR="00875DAB" w:rsidRDefault="001C600B" w:rsidP="00C67233">
      <w:pPr>
        <w:spacing w:line="480" w:lineRule="auto"/>
        <w:ind w:firstLine="720"/>
        <w:contextualSpacing/>
        <w:rPr>
          <w:rFonts w:cs="Times New Roman"/>
          <w:szCs w:val="24"/>
        </w:rPr>
      </w:pPr>
      <w:r>
        <w:rPr>
          <w:rFonts w:cs="Times New Roman"/>
          <w:szCs w:val="24"/>
        </w:rPr>
        <w:lastRenderedPageBreak/>
        <w:t xml:space="preserve">The very low adherence rates to ACT Guide without coaching may suggest issues with the program and its deployment, or with the study sample, that reduce generalizability to other programs. That said, these low rates are consistent with the focus on evaluating a widely deployed, publicly available program and rates found in other naturalistic deployments of online mental health programs </w:t>
      </w:r>
      <w:r w:rsidR="00D94237" w:rsidRPr="00D94237">
        <w:rPr>
          <w:rFonts w:cs="Times New Roman"/>
        </w:rPr>
        <w:t>(Baumel et al., 2019)</w:t>
      </w:r>
      <w:r>
        <w:rPr>
          <w:rFonts w:cs="Times New Roman"/>
          <w:szCs w:val="24"/>
        </w:rPr>
        <w:t xml:space="preserve">. Thus, this study may provide a more accurate representation of adherence rates and more generalizable findings for interventions seeking to increase adherence. </w:t>
      </w:r>
      <w:r w:rsidR="00875DAB">
        <w:rPr>
          <w:rFonts w:cs="Times New Roman"/>
          <w:szCs w:val="24"/>
        </w:rPr>
        <w:t xml:space="preserve">It is also important to consider that </w:t>
      </w:r>
      <w:r>
        <w:rPr>
          <w:rFonts w:cs="Times New Roman"/>
          <w:szCs w:val="24"/>
        </w:rPr>
        <w:t>the study included a combination of participants who signed up for ACT Guide as part of standard marketing for the service, and participants who</w:t>
      </w:r>
      <w:r w:rsidR="004C3025">
        <w:rPr>
          <w:rFonts w:cs="Times New Roman"/>
          <w:szCs w:val="24"/>
        </w:rPr>
        <w:t xml:space="preserve"> may have</w:t>
      </w:r>
      <w:r>
        <w:rPr>
          <w:rFonts w:cs="Times New Roman"/>
          <w:szCs w:val="24"/>
        </w:rPr>
        <w:t xml:space="preserve"> signed up </w:t>
      </w:r>
      <w:r w:rsidR="004C3025">
        <w:rPr>
          <w:rFonts w:cs="Times New Roman"/>
          <w:szCs w:val="24"/>
        </w:rPr>
        <w:t xml:space="preserve">primarily </w:t>
      </w:r>
      <w:r>
        <w:rPr>
          <w:rFonts w:cs="Times New Roman"/>
          <w:szCs w:val="24"/>
        </w:rPr>
        <w:t>for course credits or monetary incentives</w:t>
      </w:r>
      <w:r w:rsidR="00AE175E">
        <w:rPr>
          <w:rFonts w:cs="Times New Roman"/>
          <w:szCs w:val="24"/>
        </w:rPr>
        <w:t>.</w:t>
      </w:r>
    </w:p>
    <w:p w14:paraId="433D2EBD" w14:textId="5B24C1EC" w:rsidR="00C86C2B" w:rsidRDefault="004C3025" w:rsidP="00C67233">
      <w:pPr>
        <w:spacing w:line="480" w:lineRule="auto"/>
        <w:ind w:firstLine="720"/>
        <w:contextualSpacing/>
        <w:rPr>
          <w:rFonts w:cs="Times New Roman"/>
          <w:szCs w:val="24"/>
        </w:rPr>
      </w:pPr>
      <w:r>
        <w:rPr>
          <w:rFonts w:cs="Times New Roman"/>
          <w:szCs w:val="24"/>
        </w:rPr>
        <w:t xml:space="preserve">Future research would benefit from more precise evaluation of strategies to increase adherence solely in the context of “real world” users of a publicly deployed online mental health service, ideally without any incentives for participation. </w:t>
      </w:r>
      <w:bookmarkStart w:id="16" w:name="_Hlk110292135"/>
      <w:r w:rsidR="00F06B32">
        <w:rPr>
          <w:rFonts w:cs="Times New Roman"/>
          <w:szCs w:val="24"/>
        </w:rPr>
        <w:t>Additionally, future research regarding treatment mediators</w:t>
      </w:r>
      <w:r w:rsidR="00296EF0">
        <w:rPr>
          <w:rFonts w:cs="Times New Roman"/>
          <w:szCs w:val="24"/>
        </w:rPr>
        <w:t xml:space="preserve"> and mechanisms</w:t>
      </w:r>
      <w:r w:rsidR="00F06B32">
        <w:rPr>
          <w:rFonts w:cs="Times New Roman"/>
          <w:szCs w:val="24"/>
        </w:rPr>
        <w:t>, as well as mid-treatment variables for greater intervention tailoring, is warranted.</w:t>
      </w:r>
      <w:r w:rsidR="00C86C2B">
        <w:rPr>
          <w:rFonts w:cs="Times New Roman"/>
          <w:szCs w:val="24"/>
        </w:rPr>
        <w:t xml:space="preserve"> </w:t>
      </w:r>
      <w:bookmarkEnd w:id="16"/>
      <w:r w:rsidR="00C86C2B">
        <w:rPr>
          <w:rFonts w:cs="Times New Roman"/>
          <w:szCs w:val="24"/>
        </w:rPr>
        <w:t xml:space="preserve">While a thorough examination of the acceptability of coaching options to college students is outside the scope of this effectiveness trial, it is noteworthy that we were unable to secure our target sample size of 300, instead recruiting 237 participants. </w:t>
      </w:r>
      <w:r w:rsidR="00534D87">
        <w:rPr>
          <w:rFonts w:cs="Times New Roman"/>
          <w:szCs w:val="24"/>
        </w:rPr>
        <w:t>Given that 32% of</w:t>
      </w:r>
      <w:r w:rsidR="00144A41">
        <w:rPr>
          <w:rFonts w:cs="Times New Roman"/>
          <w:szCs w:val="24"/>
        </w:rPr>
        <w:t xml:space="preserve"> the 228 </w:t>
      </w:r>
      <w:r w:rsidR="00534D87">
        <w:rPr>
          <w:rFonts w:cs="Times New Roman"/>
          <w:szCs w:val="24"/>
        </w:rPr>
        <w:t>students who signed up for ACT Guide</w:t>
      </w:r>
      <w:r w:rsidR="00144A41">
        <w:rPr>
          <w:rFonts w:cs="Times New Roman"/>
          <w:szCs w:val="24"/>
        </w:rPr>
        <w:t xml:space="preserve"> during the recruitment period</w:t>
      </w:r>
      <w:r w:rsidR="006F4976">
        <w:rPr>
          <w:rFonts w:cs="Times New Roman"/>
          <w:szCs w:val="24"/>
        </w:rPr>
        <w:t xml:space="preserve"> </w:t>
      </w:r>
      <w:r w:rsidR="00144A41">
        <w:rPr>
          <w:rFonts w:cs="Times New Roman"/>
          <w:szCs w:val="24"/>
        </w:rPr>
        <w:t xml:space="preserve">enrolled in </w:t>
      </w:r>
      <w:r w:rsidR="006F4976">
        <w:rPr>
          <w:rFonts w:cs="Times New Roman"/>
          <w:szCs w:val="24"/>
        </w:rPr>
        <w:t xml:space="preserve">in the study when invited to, there appears to be </w:t>
      </w:r>
      <w:r w:rsidR="006A3E8B">
        <w:rPr>
          <w:rFonts w:cs="Times New Roman"/>
          <w:szCs w:val="24"/>
        </w:rPr>
        <w:t xml:space="preserve">some </w:t>
      </w:r>
      <w:r w:rsidR="006F4976">
        <w:rPr>
          <w:rFonts w:cs="Times New Roman"/>
          <w:szCs w:val="24"/>
        </w:rPr>
        <w:t>interest in coaching services from ACT Guide student users</w:t>
      </w:r>
      <w:r w:rsidR="006A3E8B">
        <w:rPr>
          <w:rFonts w:cs="Times New Roman"/>
          <w:szCs w:val="24"/>
        </w:rPr>
        <w:t xml:space="preserve">. However, the majority of ACT Guide registrants still chose not to sign up for coaching, even when compensation (i.e., course credits or up to $15 in gift cards) that may have artificially inflated interest was offered. </w:t>
      </w:r>
      <w:r w:rsidR="003817B3">
        <w:rPr>
          <w:rFonts w:cs="Times New Roman"/>
          <w:szCs w:val="24"/>
        </w:rPr>
        <w:t>One prior study</w:t>
      </w:r>
      <w:r w:rsidR="005820EF">
        <w:rPr>
          <w:rFonts w:cs="Times New Roman"/>
          <w:szCs w:val="24"/>
        </w:rPr>
        <w:t xml:space="preserve"> </w:t>
      </w:r>
      <w:r w:rsidR="003817B3">
        <w:rPr>
          <w:rFonts w:cs="Times New Roman"/>
          <w:szCs w:val="24"/>
        </w:rPr>
        <w:t>demonstrated that</w:t>
      </w:r>
      <w:r w:rsidR="006A3E8B">
        <w:rPr>
          <w:rFonts w:cs="Times New Roman"/>
          <w:szCs w:val="24"/>
        </w:rPr>
        <w:t xml:space="preserve"> </w:t>
      </w:r>
      <w:r w:rsidR="003817B3">
        <w:rPr>
          <w:rFonts w:cs="Times New Roman"/>
          <w:szCs w:val="24"/>
        </w:rPr>
        <w:t>not all users of mental health programs are interested in talking to a coach, either due to discomfort</w:t>
      </w:r>
      <w:r w:rsidR="00C3630B">
        <w:rPr>
          <w:rFonts w:cs="Times New Roman"/>
          <w:szCs w:val="24"/>
        </w:rPr>
        <w:t xml:space="preserve"> or preferred anonymity</w:t>
      </w:r>
      <w:r w:rsidR="003817B3">
        <w:rPr>
          <w:rFonts w:cs="Times New Roman"/>
          <w:szCs w:val="24"/>
        </w:rPr>
        <w:t xml:space="preserve">, lack of time, or the perception that they will do </w:t>
      </w:r>
      <w:r w:rsidR="00C3630B">
        <w:rPr>
          <w:rFonts w:cs="Times New Roman"/>
          <w:szCs w:val="24"/>
        </w:rPr>
        <w:t xml:space="preserve">well </w:t>
      </w:r>
      <w:r w:rsidR="003817B3">
        <w:rPr>
          <w:rFonts w:cs="Times New Roman"/>
          <w:szCs w:val="24"/>
        </w:rPr>
        <w:t xml:space="preserve">in the program without a coach </w:t>
      </w:r>
      <w:r w:rsidR="003817B3">
        <w:rPr>
          <w:rFonts w:cs="Times New Roman"/>
          <w:szCs w:val="24"/>
        </w:rPr>
        <w:lastRenderedPageBreak/>
        <w:fldChar w:fldCharType="begin"/>
      </w:r>
      <w:r w:rsidR="003817B3">
        <w:rPr>
          <w:rFonts w:cs="Times New Roman"/>
          <w:szCs w:val="24"/>
        </w:rPr>
        <w:instrText xml:space="preserve"> ADDIN ZOTERO_ITEM CSL_CITATION {"citationID":"aM2r3s18","properties":{"formattedCitation":"(Werntz et al., 2022)","plainCitation":"(Werntz et al., 2022)","noteIndex":0},"citationItems":[{"id":408,"uris":["http://zotero.org/users/8345996/items/WNYF5U7A"],"itemData":{"id":408,"type":"article-journal","container-title":"Behavior Therapy","DOI":"10.1016/j.beth.2021.12.002","ISSN":"00057894","issue":"3","journalAbbreviation":"Behavior Therapy","language":"en","page":"492-507","source":"DOI.org (Crossref)","title":"Lessons Learned: Providing Supportive Accountability in an Online Anxiety Intervention","title-short":"Lessons Learned","volume":"53","author":[{"family":"Werntz","given":"Alexandra"},{"family":"Silverman","given":"Alexandra L."},{"family":"Behan","given":"Henry"},{"family":"Patel","given":"Suraj K."},{"family":"Beltzer","given":"Miranda"},{"family":"Boukhechba","given":"Mehdi O."},{"family":"Barnes","given":"Laura"},{"family":"Teachman","given":"Bethany A."}],"issued":{"date-parts":[["2022",5]]}}}],"schema":"https://github.com/citation-style-language/schema/raw/master/csl-citation.json"} </w:instrText>
      </w:r>
      <w:r w:rsidR="003817B3">
        <w:rPr>
          <w:rFonts w:cs="Times New Roman"/>
          <w:szCs w:val="24"/>
        </w:rPr>
        <w:fldChar w:fldCharType="separate"/>
      </w:r>
      <w:r w:rsidR="003817B3" w:rsidRPr="003817B3">
        <w:rPr>
          <w:rFonts w:cs="Times New Roman"/>
        </w:rPr>
        <w:t>(Werntz et al., 2022)</w:t>
      </w:r>
      <w:r w:rsidR="003817B3">
        <w:rPr>
          <w:rFonts w:cs="Times New Roman"/>
          <w:szCs w:val="24"/>
        </w:rPr>
        <w:fldChar w:fldCharType="end"/>
      </w:r>
      <w:r w:rsidR="00C3630B">
        <w:rPr>
          <w:rFonts w:cs="Times New Roman"/>
          <w:szCs w:val="24"/>
        </w:rPr>
        <w:t>.</w:t>
      </w:r>
      <w:r w:rsidR="005820EF">
        <w:rPr>
          <w:rFonts w:cs="Times New Roman"/>
          <w:szCs w:val="24"/>
        </w:rPr>
        <w:t xml:space="preserve"> Similar reasons for opting to not sign-up for coaching may apply to the participants of our own study.</w:t>
      </w:r>
      <w:r w:rsidR="00C3630B">
        <w:rPr>
          <w:rFonts w:cs="Times New Roman"/>
          <w:szCs w:val="24"/>
        </w:rPr>
        <w:t xml:space="preserve"> Further research on who is less likely to be receptive to coaching and how to increase initial interest in coaching is warranted</w:t>
      </w:r>
      <w:r w:rsidR="005820EF">
        <w:rPr>
          <w:rFonts w:cs="Times New Roman"/>
          <w:szCs w:val="24"/>
        </w:rPr>
        <w:t>, so that the promising benefits of the service may be extended to a larger audience.</w:t>
      </w:r>
    </w:p>
    <w:p w14:paraId="7F8BDFAF" w14:textId="7D05F30B" w:rsidR="00E748E9" w:rsidRDefault="004C3025" w:rsidP="00C67233">
      <w:pPr>
        <w:spacing w:line="480" w:lineRule="auto"/>
        <w:ind w:firstLine="720"/>
        <w:contextualSpacing/>
        <w:rPr>
          <w:rFonts w:cs="Times New Roman"/>
          <w:szCs w:val="24"/>
        </w:rPr>
      </w:pPr>
      <w:r>
        <w:rPr>
          <w:rFonts w:cs="Times New Roman"/>
          <w:szCs w:val="24"/>
        </w:rPr>
        <w:t>Finally, it is unclear how many of the 12 ACT Guide sessions users need</w:t>
      </w:r>
      <w:r w:rsidR="00A96AD7">
        <w:rPr>
          <w:rFonts w:cs="Times New Roman"/>
          <w:szCs w:val="24"/>
        </w:rPr>
        <w:t>ed</w:t>
      </w:r>
      <w:r>
        <w:rPr>
          <w:rFonts w:cs="Times New Roman"/>
          <w:szCs w:val="24"/>
        </w:rPr>
        <w:t xml:space="preserve"> to complete in order to receive any, or complete, benefits. Likely 12 sessions is longer then the program needs to be given there are multiple sessions focused on each component of ACT, and this number exceeds many other online mental health programs. </w:t>
      </w:r>
      <w:r w:rsidR="00E748E9">
        <w:rPr>
          <w:rFonts w:cs="Times New Roman"/>
          <w:szCs w:val="24"/>
        </w:rPr>
        <w:t xml:space="preserve">Thus, the relatively long length of the ACT Guide program may explain why few participants in the coaching condition completed all 12 sessions, particularly within the 10 week intervention period (originally conceived as completing 2 sessions each week). </w:t>
      </w:r>
    </w:p>
    <w:p w14:paraId="6F5F8CB1" w14:textId="11FC1CDB" w:rsidR="007672C1" w:rsidRDefault="00CB4FE6" w:rsidP="00D65C76">
      <w:pPr>
        <w:spacing w:line="480" w:lineRule="auto"/>
        <w:ind w:firstLine="720"/>
        <w:contextualSpacing/>
        <w:rPr>
          <w:rFonts w:cs="Times New Roman"/>
          <w:szCs w:val="24"/>
        </w:rPr>
      </w:pPr>
      <w:bookmarkStart w:id="17" w:name="_Hlk110299906"/>
      <w:r>
        <w:rPr>
          <w:rFonts w:cs="Times New Roman"/>
          <w:szCs w:val="24"/>
        </w:rPr>
        <w:t>There has even been evidence supporting the efficacy single-session online interventions, particularly with adolescent populations</w:t>
      </w:r>
      <w:r w:rsidR="00C712E7">
        <w:rPr>
          <w:rFonts w:cs="Times New Roman"/>
          <w:szCs w:val="24"/>
        </w:rPr>
        <w:t>.</w:t>
      </w:r>
      <w:r w:rsidR="00102DDD">
        <w:rPr>
          <w:rFonts w:cs="Times New Roman"/>
          <w:szCs w:val="24"/>
        </w:rPr>
        <w:t xml:space="preserve"> </w:t>
      </w:r>
      <w:r w:rsidR="00E748E9" w:rsidRPr="00E748E9">
        <w:rPr>
          <w:rFonts w:cs="Times New Roman"/>
        </w:rPr>
        <w:t>(Schleider et al., 2022)</w:t>
      </w:r>
      <w:r>
        <w:rPr>
          <w:rFonts w:cs="Times New Roman"/>
          <w:szCs w:val="24"/>
        </w:rPr>
        <w:t xml:space="preserve">. </w:t>
      </w:r>
      <w:r w:rsidR="00C712E7">
        <w:rPr>
          <w:rFonts w:cs="Times New Roman"/>
          <w:szCs w:val="24"/>
        </w:rPr>
        <w:t>Given that these online single-session interventions have demonstrated effect sizes approximately equivalent to those produced by therapist-delivered single-session interventions</w:t>
      </w:r>
      <w:r w:rsidR="00E748E9">
        <w:rPr>
          <w:rFonts w:cs="Times New Roman"/>
          <w:szCs w:val="24"/>
        </w:rPr>
        <w:t xml:space="preserve"> </w:t>
      </w:r>
      <w:r w:rsidR="00E748E9" w:rsidRPr="00E748E9">
        <w:rPr>
          <w:rFonts w:cs="Times New Roman"/>
        </w:rPr>
        <w:t>(Schleider &amp; Weisz, 2017)</w:t>
      </w:r>
      <w:r w:rsidR="00C712E7">
        <w:rPr>
          <w:rFonts w:cs="Times New Roman"/>
          <w:szCs w:val="24"/>
        </w:rPr>
        <w:t xml:space="preserve">, </w:t>
      </w:r>
      <w:r w:rsidR="00830379">
        <w:rPr>
          <w:rFonts w:cs="Times New Roman"/>
          <w:szCs w:val="24"/>
        </w:rPr>
        <w:t>but online multi-session interventions tend to produce smaller effect sizes compared to therapist-delivered multi-session interventions</w:t>
      </w:r>
      <w:r w:rsidR="00E748E9">
        <w:rPr>
          <w:rFonts w:cs="Times New Roman"/>
          <w:szCs w:val="24"/>
        </w:rPr>
        <w:t xml:space="preserve"> </w:t>
      </w:r>
      <w:r w:rsidR="00E748E9" w:rsidRPr="00E748E9">
        <w:rPr>
          <w:rFonts w:cs="Times New Roman"/>
        </w:rPr>
        <w:t>(Thompson et al., 2021)</w:t>
      </w:r>
      <w:r w:rsidR="00830379">
        <w:rPr>
          <w:rFonts w:cs="Times New Roman"/>
          <w:szCs w:val="24"/>
        </w:rPr>
        <w:t xml:space="preserve">, </w:t>
      </w:r>
      <w:r w:rsidR="00C712E7">
        <w:rPr>
          <w:rFonts w:cs="Times New Roman"/>
          <w:szCs w:val="24"/>
        </w:rPr>
        <w:t>it is possible that differences between online and therapist-delivered program</w:t>
      </w:r>
      <w:r w:rsidR="00A87E59">
        <w:rPr>
          <w:rFonts w:cs="Times New Roman"/>
          <w:szCs w:val="24"/>
        </w:rPr>
        <w:t xml:space="preserve">s becomes more apparent with longer treatments. </w:t>
      </w:r>
      <w:r w:rsidR="00E748E9">
        <w:rPr>
          <w:rFonts w:cs="Times New Roman"/>
          <w:szCs w:val="24"/>
        </w:rPr>
        <w:t xml:space="preserve">Poorer adherence </w:t>
      </w:r>
      <w:r w:rsidR="00A82F06">
        <w:rPr>
          <w:rFonts w:cs="Times New Roman"/>
          <w:szCs w:val="24"/>
        </w:rPr>
        <w:t>witnessed within</w:t>
      </w:r>
      <w:r w:rsidR="00E748E9">
        <w:rPr>
          <w:rFonts w:cs="Times New Roman"/>
          <w:szCs w:val="24"/>
        </w:rPr>
        <w:t xml:space="preserve"> online programs are one way these difference manifest, and thus coaching may help bridge the gap between these two formats</w:t>
      </w:r>
      <w:r w:rsidR="00A82F06">
        <w:rPr>
          <w:rFonts w:cs="Times New Roman"/>
          <w:szCs w:val="24"/>
        </w:rPr>
        <w:t xml:space="preserve"> by compensating for the human element present in therapist-delivered treatment to promote greater adherence</w:t>
      </w:r>
      <w:r w:rsidR="00E748E9">
        <w:rPr>
          <w:rFonts w:cs="Times New Roman"/>
          <w:szCs w:val="24"/>
        </w:rPr>
        <w:t xml:space="preserve">. </w:t>
      </w:r>
      <w:r w:rsidR="00A82F06">
        <w:rPr>
          <w:rFonts w:cs="Times New Roman"/>
          <w:szCs w:val="24"/>
        </w:rPr>
        <w:t>These issues raise questions to the broader field regarding the relationship between dose and response, optimal program length and adherence</w:t>
      </w:r>
      <w:r w:rsidR="007672C1">
        <w:rPr>
          <w:rFonts w:cs="Times New Roman"/>
          <w:szCs w:val="24"/>
        </w:rPr>
        <w:t>, as well as treatment mechanisms, calling for further research.</w:t>
      </w:r>
      <w:bookmarkEnd w:id="17"/>
    </w:p>
    <w:p w14:paraId="2AA1D971" w14:textId="463A2985" w:rsidR="00C722D2" w:rsidRPr="00696634" w:rsidRDefault="00295600" w:rsidP="00696634">
      <w:pPr>
        <w:spacing w:line="480" w:lineRule="auto"/>
        <w:rPr>
          <w:rFonts w:eastAsia="Times New Roman" w:cs="Times New Roman"/>
          <w:b/>
          <w:bCs/>
          <w:color w:val="000000" w:themeColor="text1"/>
          <w:szCs w:val="24"/>
        </w:rPr>
      </w:pPr>
      <w:r>
        <w:rPr>
          <w:rFonts w:eastAsia="Times New Roman" w:cs="Times New Roman"/>
          <w:b/>
          <w:bCs/>
          <w:szCs w:val="24"/>
        </w:rPr>
        <w:lastRenderedPageBreak/>
        <w:t>Conclusion</w:t>
      </w:r>
    </w:p>
    <w:p w14:paraId="669D00F0" w14:textId="559D5AE4" w:rsidR="00C722D2" w:rsidRDefault="00C722D2" w:rsidP="00053D29">
      <w:pPr>
        <w:spacing w:line="480" w:lineRule="auto"/>
        <w:ind w:firstLine="720"/>
        <w:contextualSpacing/>
        <w:rPr>
          <w:rFonts w:eastAsia="Times New Roman" w:cs="Times New Roman"/>
          <w:b/>
          <w:bCs/>
          <w:color w:val="000000" w:themeColor="text1"/>
          <w:szCs w:val="24"/>
        </w:rPr>
      </w:pPr>
      <w:r>
        <w:rPr>
          <w:rFonts w:cs="Times New Roman"/>
          <w:szCs w:val="24"/>
        </w:rPr>
        <w:t xml:space="preserve">The results of the present study support peer-support coaching as a viable intervention to increase the adherence and effectiveness of online self-help programs in a college student sample. Peer-support coaching </w:t>
      </w:r>
      <w:r w:rsidR="00E9722A">
        <w:rPr>
          <w:rFonts w:cs="Times New Roman"/>
          <w:szCs w:val="24"/>
        </w:rPr>
        <w:t xml:space="preserve">via </w:t>
      </w:r>
      <w:r>
        <w:rPr>
          <w:rFonts w:cs="Times New Roman"/>
          <w:szCs w:val="24"/>
        </w:rPr>
        <w:t xml:space="preserve">weekly phone calls </w:t>
      </w:r>
      <w:r w:rsidR="00E9722A">
        <w:rPr>
          <w:rFonts w:cs="Times New Roman"/>
          <w:szCs w:val="24"/>
        </w:rPr>
        <w:t>was</w:t>
      </w:r>
      <w:r>
        <w:rPr>
          <w:rFonts w:cs="Times New Roman"/>
          <w:szCs w:val="24"/>
        </w:rPr>
        <w:t xml:space="preserve"> particularly promising, given that higher program adherence rates and improvements among mental health variables were observed as compared to coaching delivered over text messaging. Online self-help programs in combination with peer-support coaching is thus a promising intervention to integrate into the resources offered by college counseling centers. Implementing this type of intervention is feasible to scale-up</w:t>
      </w:r>
      <w:r w:rsidR="00A96AD7">
        <w:rPr>
          <w:rFonts w:cs="Times New Roman"/>
          <w:szCs w:val="24"/>
        </w:rPr>
        <w:t xml:space="preserve"> relative to coaching delivered by staff or mental health professionals</w:t>
      </w:r>
      <w:r>
        <w:rPr>
          <w:rFonts w:cs="Times New Roman"/>
          <w:szCs w:val="24"/>
        </w:rPr>
        <w:t xml:space="preserve">. Future research should continue to investigate mechanisms </w:t>
      </w:r>
      <w:r w:rsidR="00A96AD7">
        <w:rPr>
          <w:rFonts w:cs="Times New Roman"/>
          <w:szCs w:val="24"/>
        </w:rPr>
        <w:t xml:space="preserve">through which </w:t>
      </w:r>
      <w:r>
        <w:rPr>
          <w:rFonts w:cs="Times New Roman"/>
          <w:szCs w:val="24"/>
        </w:rPr>
        <w:t>coaching</w:t>
      </w:r>
      <w:r w:rsidR="00A96AD7">
        <w:rPr>
          <w:rFonts w:cs="Times New Roman"/>
          <w:szCs w:val="24"/>
        </w:rPr>
        <w:t xml:space="preserve"> has its effects</w:t>
      </w:r>
      <w:r>
        <w:rPr>
          <w:rFonts w:cs="Times New Roman"/>
          <w:szCs w:val="24"/>
        </w:rPr>
        <w:t xml:space="preserve">, as well as potential avenues for improving coaching such </w:t>
      </w:r>
      <w:r w:rsidR="00A96AD7">
        <w:rPr>
          <w:rFonts w:cs="Times New Roman"/>
          <w:szCs w:val="24"/>
        </w:rPr>
        <w:t>as matching users to or</w:t>
      </w:r>
      <w:r>
        <w:rPr>
          <w:rFonts w:cs="Times New Roman"/>
          <w:szCs w:val="24"/>
        </w:rPr>
        <w:t xml:space="preserve"> allowing user</w:t>
      </w:r>
      <w:r w:rsidR="00D94237">
        <w:rPr>
          <w:rFonts w:cs="Times New Roman"/>
          <w:szCs w:val="24"/>
        </w:rPr>
        <w:t>’</w:t>
      </w:r>
      <w:r>
        <w:rPr>
          <w:rFonts w:cs="Times New Roman"/>
          <w:szCs w:val="24"/>
        </w:rPr>
        <w:t xml:space="preserve">s choice between coaching formats. </w:t>
      </w:r>
    </w:p>
    <w:p w14:paraId="4BD418D8" w14:textId="77777777" w:rsidR="00C722D2" w:rsidRDefault="00C722D2">
      <w:pPr>
        <w:widowControl/>
        <w:spacing w:after="160" w:line="259" w:lineRule="auto"/>
        <w:rPr>
          <w:rFonts w:eastAsia="Times New Roman" w:cs="Times New Roman"/>
          <w:b/>
          <w:bCs/>
          <w:color w:val="000000" w:themeColor="text1"/>
          <w:szCs w:val="24"/>
        </w:rPr>
      </w:pPr>
      <w:r>
        <w:rPr>
          <w:rFonts w:eastAsia="Times New Roman" w:cs="Times New Roman"/>
          <w:b/>
          <w:bCs/>
          <w:color w:val="000000" w:themeColor="text1"/>
          <w:szCs w:val="24"/>
        </w:rPr>
        <w:br w:type="page"/>
      </w:r>
    </w:p>
    <w:p w14:paraId="2CA77D90" w14:textId="7C3D7CC7" w:rsidR="007815A5" w:rsidRDefault="007815A5" w:rsidP="00053D29">
      <w:pPr>
        <w:pStyle w:val="Bibliography"/>
        <w:jc w:val="center"/>
        <w:rPr>
          <w:b/>
          <w:bCs/>
        </w:rPr>
      </w:pPr>
      <w:r>
        <w:rPr>
          <w:b/>
          <w:bCs/>
        </w:rPr>
        <w:lastRenderedPageBreak/>
        <w:t>References</w:t>
      </w:r>
    </w:p>
    <w:p w14:paraId="509AC9DA" w14:textId="77777777" w:rsidR="00E748E9" w:rsidRDefault="00E748E9" w:rsidP="00E748E9">
      <w:pPr>
        <w:pStyle w:val="Bibliography"/>
      </w:pPr>
      <w:r>
        <w:t xml:space="preserve">Andersson, G., Bergström, J., Buhrman, M., Carlbring, P., Holländare, F., Kaldo, V., Nilsson-Ihrfelt, E., Paxling, B., Ström, L., &amp; Waara, J. (2008). Development of a new approach to guided self-help via the internet: The swedish experience. </w:t>
      </w:r>
      <w:r>
        <w:rPr>
          <w:i/>
          <w:iCs/>
        </w:rPr>
        <w:t>Journal of Technology in Human Services</w:t>
      </w:r>
      <w:r>
        <w:t xml:space="preserve">, </w:t>
      </w:r>
      <w:r>
        <w:rPr>
          <w:i/>
          <w:iCs/>
        </w:rPr>
        <w:t>26</w:t>
      </w:r>
      <w:r>
        <w:t>(2–4), 161–181. https://doi.org/10.1080/15228830802094627</w:t>
      </w:r>
    </w:p>
    <w:p w14:paraId="5D3E993E" w14:textId="77777777" w:rsidR="00E748E9" w:rsidRDefault="00E748E9" w:rsidP="00E748E9">
      <w:pPr>
        <w:pStyle w:val="Bibliography"/>
      </w:pPr>
      <w:r>
        <w:t xml:space="preserve">Andrews, G., Cuijpers, P., Craske, M. G., McEvoy, P., &amp; Titov, N. (2010). Computer therapy for the anxiety and depressive disorders is effective, acceptable and practical health care: A meta-analysis. </w:t>
      </w:r>
      <w:r>
        <w:rPr>
          <w:i/>
          <w:iCs/>
        </w:rPr>
        <w:t>PLoS ONE</w:t>
      </w:r>
      <w:r>
        <w:t xml:space="preserve">, </w:t>
      </w:r>
      <w:r>
        <w:rPr>
          <w:i/>
          <w:iCs/>
        </w:rPr>
        <w:t>5</w:t>
      </w:r>
      <w:r>
        <w:t>(10), e13196. https://doi.org/10.1371/journal.pone.0013196</w:t>
      </w:r>
    </w:p>
    <w:p w14:paraId="4589D2B0" w14:textId="77777777" w:rsidR="00E748E9" w:rsidRDefault="00E748E9" w:rsidP="00E748E9">
      <w:pPr>
        <w:pStyle w:val="Bibliography"/>
      </w:pPr>
      <w:r>
        <w:t xml:space="preserve">A-Tjak, J. G. L., Davis, M. L., Morina, N., Powers, M. B., Smits, J. A. J., &amp; Emmelkamp, P. M. G. (2015). A meta-analysis of the efficacy of acceptance and commitment therapy for clinically relevant mental and physical health problems. </w:t>
      </w:r>
      <w:r>
        <w:rPr>
          <w:i/>
          <w:iCs/>
        </w:rPr>
        <w:t>Psychotherapy and Psychosomatics</w:t>
      </w:r>
      <w:r>
        <w:t xml:space="preserve">, </w:t>
      </w:r>
      <w:r>
        <w:rPr>
          <w:i/>
          <w:iCs/>
        </w:rPr>
        <w:t>84</w:t>
      </w:r>
      <w:r>
        <w:t>(1), 30–36. https://doi.org/10.1159/000365764</w:t>
      </w:r>
    </w:p>
    <w:p w14:paraId="53648ABE" w14:textId="77777777" w:rsidR="00E748E9" w:rsidRDefault="00E748E9" w:rsidP="00E748E9">
      <w:pPr>
        <w:pStyle w:val="Bibliography"/>
      </w:pPr>
      <w:r>
        <w:t xml:space="preserve">Baumeister, H., Reichler, L., Munzinger, M., &amp; Lin, J. (2014). The impact of guidance on Internet-based mental health interventions—A systematic review. </w:t>
      </w:r>
      <w:r>
        <w:rPr>
          <w:i/>
          <w:iCs/>
        </w:rPr>
        <w:t>Internet Interventions</w:t>
      </w:r>
      <w:r>
        <w:t xml:space="preserve">, </w:t>
      </w:r>
      <w:r>
        <w:rPr>
          <w:i/>
          <w:iCs/>
        </w:rPr>
        <w:t>1</w:t>
      </w:r>
      <w:r>
        <w:t>(4), 205–215. https://doi.org/10.1016/j.invent.2014.08.003</w:t>
      </w:r>
    </w:p>
    <w:p w14:paraId="532B8EF0" w14:textId="77777777" w:rsidR="00E748E9" w:rsidRDefault="00E748E9" w:rsidP="00E748E9">
      <w:pPr>
        <w:pStyle w:val="Bibliography"/>
      </w:pPr>
      <w:r>
        <w:t xml:space="preserve">Baumel, A., Edan, S., &amp; Kane, J. M. (2019). Is there a trial bias impacting user engagement with unguided e-mental health interventions? A systematic comparison of published reports and real-world usage of the same programs. </w:t>
      </w:r>
      <w:r>
        <w:rPr>
          <w:i/>
          <w:iCs/>
        </w:rPr>
        <w:t>Translational Behavioral Medicine</w:t>
      </w:r>
      <w:r>
        <w:t>, ibz147. https://doi.org/10.1093/tbm/ibz147</w:t>
      </w:r>
    </w:p>
    <w:p w14:paraId="491766F4" w14:textId="77777777" w:rsidR="00E748E9" w:rsidRDefault="00E748E9" w:rsidP="00E748E9">
      <w:pPr>
        <w:pStyle w:val="Bibliography"/>
      </w:pPr>
      <w:r>
        <w:t xml:space="preserve">Benoy, C., Knitter, B., Schumann, I., Bader, K., Walter, M., &amp; Gloster, A. T. (2019). Treatment sensitivity: Its importance in the measurement of psychological flexibility. </w:t>
      </w:r>
      <w:r>
        <w:rPr>
          <w:i/>
          <w:iCs/>
        </w:rPr>
        <w:t>Journal of Contextual Behavioral Science</w:t>
      </w:r>
      <w:r>
        <w:t xml:space="preserve">, </w:t>
      </w:r>
      <w:r>
        <w:rPr>
          <w:i/>
          <w:iCs/>
        </w:rPr>
        <w:t>13</w:t>
      </w:r>
      <w:r>
        <w:t>, 121–125. https://doi.org/10.1016/j.jcbs.2019.07.005</w:t>
      </w:r>
    </w:p>
    <w:p w14:paraId="21D56959" w14:textId="77777777" w:rsidR="00E748E9" w:rsidRDefault="00E748E9" w:rsidP="00E748E9">
      <w:pPr>
        <w:pStyle w:val="Bibliography"/>
      </w:pPr>
      <w:r>
        <w:t xml:space="preserve">Bond, F. W., Hayes, S. C., Baer, R. A., Carpenter, K. M., Guenole, N., Orcutt, H. K., Waltz, T., </w:t>
      </w:r>
      <w:r>
        <w:lastRenderedPageBreak/>
        <w:t xml:space="preserve">&amp; Zettle, R. D. (2011). Preliminary psychometric properties of the Acceptance and Action Questionnaire–II: A revised measure of psychological inflexibility and experiential avoidance. </w:t>
      </w:r>
      <w:r>
        <w:rPr>
          <w:i/>
          <w:iCs/>
        </w:rPr>
        <w:t>Behavior Therapy</w:t>
      </w:r>
      <w:r>
        <w:t xml:space="preserve">, </w:t>
      </w:r>
      <w:r>
        <w:rPr>
          <w:i/>
          <w:iCs/>
        </w:rPr>
        <w:t>42</w:t>
      </w:r>
      <w:r>
        <w:t>(4), 676–688. https://doi.org/10.1016/j.beth.2011.03.007</w:t>
      </w:r>
    </w:p>
    <w:p w14:paraId="1337327B" w14:textId="77777777" w:rsidR="00E748E9" w:rsidRDefault="00E748E9" w:rsidP="00E748E9">
      <w:pPr>
        <w:pStyle w:val="Bibliography"/>
      </w:pPr>
      <w:r>
        <w:t xml:space="preserve">Bottesi, G., Ghisi, M., Altoè, G., Conforti, E., Melli, G., &amp; Sica, C. (2015). The Italian version of the Depression Anxiety Stress Scales-21: Factor structure and psychometric properties on community and clinical samples. </w:t>
      </w:r>
      <w:r>
        <w:rPr>
          <w:i/>
          <w:iCs/>
        </w:rPr>
        <w:t>Comprehensive Psychiatry</w:t>
      </w:r>
      <w:r>
        <w:t xml:space="preserve">, </w:t>
      </w:r>
      <w:r>
        <w:rPr>
          <w:i/>
          <w:iCs/>
        </w:rPr>
        <w:t>60</w:t>
      </w:r>
      <w:r>
        <w:t>, 170–181. https://doi.org/10.1016/j.comppsych.2015.04.005</w:t>
      </w:r>
    </w:p>
    <w:p w14:paraId="47986689" w14:textId="77777777" w:rsidR="00E748E9" w:rsidRDefault="00E748E9" w:rsidP="00E748E9">
      <w:pPr>
        <w:pStyle w:val="Bibliography"/>
      </w:pPr>
      <w:r>
        <w:t xml:space="preserve">Buntrock, C., Freund, J., Smit, F., Riper, H., Lehr, D., Boß, L., Berking, M., &amp; Ebert, D. D. (2021). Reducing problematic alcohol use in employees: Economic evaluation of guided and unguided web‐based interventions alongside a three‐arm randomized controlled trial. </w:t>
      </w:r>
      <w:r>
        <w:rPr>
          <w:i/>
          <w:iCs/>
        </w:rPr>
        <w:t>Addiction</w:t>
      </w:r>
      <w:r>
        <w:t xml:space="preserve">, </w:t>
      </w:r>
      <w:r>
        <w:rPr>
          <w:i/>
          <w:iCs/>
        </w:rPr>
        <w:t>117</w:t>
      </w:r>
      <w:r>
        <w:t>(3), 611–622. https://doi.org/10.1111/add.15718</w:t>
      </w:r>
    </w:p>
    <w:p w14:paraId="3CA2650B" w14:textId="77777777" w:rsidR="00E748E9" w:rsidRDefault="00E748E9" w:rsidP="00E748E9">
      <w:pPr>
        <w:pStyle w:val="Bibliography"/>
      </w:pPr>
      <w:r>
        <w:t xml:space="preserve">Conley, C. S., Durlak, J. A., Shapiro, J. B., Kirsch, A. C., &amp; Zahniser, E. (2016). A meta-analysis of the impact of universal and indicated preventive technology-delivered interventions for higher education students. </w:t>
      </w:r>
      <w:r>
        <w:rPr>
          <w:i/>
          <w:iCs/>
        </w:rPr>
        <w:t>Prevention Science</w:t>
      </w:r>
      <w:r>
        <w:t xml:space="preserve">, </w:t>
      </w:r>
      <w:r>
        <w:rPr>
          <w:i/>
          <w:iCs/>
        </w:rPr>
        <w:t>17</w:t>
      </w:r>
      <w:r>
        <w:t>(6), 659–678. https://doi.org/10.1007/s11121-016-0662-3</w:t>
      </w:r>
    </w:p>
    <w:p w14:paraId="3D0B3794" w14:textId="77777777" w:rsidR="00E748E9" w:rsidRDefault="00E748E9" w:rsidP="00E748E9">
      <w:pPr>
        <w:pStyle w:val="Bibliography"/>
      </w:pPr>
      <w:r>
        <w:t xml:space="preserve">Crawford, J. R., &amp; Henry, J. D. (2003). The Depression Anxiety Stress Scales (DASS): Normative data and latent structure in a large non-clinical sample. </w:t>
      </w:r>
      <w:r>
        <w:rPr>
          <w:i/>
          <w:iCs/>
        </w:rPr>
        <w:t>British Journal of Clinical Psychology</w:t>
      </w:r>
      <w:r>
        <w:t xml:space="preserve">, </w:t>
      </w:r>
      <w:r>
        <w:rPr>
          <w:i/>
          <w:iCs/>
        </w:rPr>
        <w:t>42</w:t>
      </w:r>
      <w:r>
        <w:t>(2), 111–131. https://doi.org/10.1348/014466503321903544</w:t>
      </w:r>
    </w:p>
    <w:p w14:paraId="726007C6" w14:textId="77777777" w:rsidR="00E748E9" w:rsidRDefault="00E748E9" w:rsidP="00E748E9">
      <w:pPr>
        <w:pStyle w:val="Bibliography"/>
      </w:pPr>
      <w:r>
        <w:t xml:space="preserve">Donkin, L., Christensen, H., Naismith, S. L., Neal, B., Hickie, I. B., &amp; Glozier, N. (2011). A systematic review of the impact of adherence on the effectiveness of e-therapies. </w:t>
      </w:r>
      <w:r>
        <w:rPr>
          <w:i/>
          <w:iCs/>
        </w:rPr>
        <w:t>Journal of Medical Internet Research</w:t>
      </w:r>
      <w:r>
        <w:t xml:space="preserve">, </w:t>
      </w:r>
      <w:r>
        <w:rPr>
          <w:i/>
          <w:iCs/>
        </w:rPr>
        <w:t>13</w:t>
      </w:r>
      <w:r>
        <w:t>(3), e52. https://doi.org/10.2196/jmir.1772</w:t>
      </w:r>
    </w:p>
    <w:p w14:paraId="69171D0E" w14:textId="77777777" w:rsidR="00E748E9" w:rsidRDefault="00E748E9" w:rsidP="00E748E9">
      <w:pPr>
        <w:pStyle w:val="Bibliography"/>
      </w:pPr>
      <w:r>
        <w:t xml:space="preserve">Feng, C., Wang, H., Lu, N., Chen, T., He, H., Lu, Y., &amp; Tu, X. M. (2014). Log-transformation </w:t>
      </w:r>
      <w:r>
        <w:lastRenderedPageBreak/>
        <w:t xml:space="preserve">and its implications for data analysis. </w:t>
      </w:r>
      <w:r>
        <w:rPr>
          <w:i/>
          <w:iCs/>
        </w:rPr>
        <w:t>Shanghai Archives of Psychiatry</w:t>
      </w:r>
      <w:r>
        <w:t xml:space="preserve">, </w:t>
      </w:r>
      <w:r>
        <w:rPr>
          <w:i/>
          <w:iCs/>
        </w:rPr>
        <w:t>26</w:t>
      </w:r>
      <w:r>
        <w:t>(2), 105–109. https://doi.org/10.3969/j.issn.1002-0829.2014.02.009</w:t>
      </w:r>
    </w:p>
    <w:p w14:paraId="36C2921B" w14:textId="77777777" w:rsidR="00E748E9" w:rsidRDefault="00E748E9" w:rsidP="00E748E9">
      <w:pPr>
        <w:pStyle w:val="Bibliography"/>
      </w:pPr>
      <w:r>
        <w:t xml:space="preserve">Fleming, T., Bavin, L., Lucassen, M., Stasiak, K., Hopkins, S., &amp; Merry, S. (2018). Beyond the trial: Systematic review of real-world uptake and engagement with digital self-help interventions for depression, low mood, or anxiety. </w:t>
      </w:r>
      <w:r>
        <w:rPr>
          <w:i/>
          <w:iCs/>
        </w:rPr>
        <w:t>Journal of Medical Internet Research</w:t>
      </w:r>
      <w:r>
        <w:t xml:space="preserve">, </w:t>
      </w:r>
      <w:r>
        <w:rPr>
          <w:i/>
          <w:iCs/>
        </w:rPr>
        <w:t>20</w:t>
      </w:r>
      <w:r>
        <w:t>(6), e199. https://doi.org/10.2196/jmir.9275</w:t>
      </w:r>
    </w:p>
    <w:p w14:paraId="616BDE7D" w14:textId="77777777" w:rsidR="00E748E9" w:rsidRDefault="00E748E9" w:rsidP="00E748E9">
      <w:pPr>
        <w:pStyle w:val="Bibliography"/>
      </w:pPr>
      <w:r>
        <w:t xml:space="preserve">Fortuna, K. L., Venegas, M., Umucu, E., Mois, G., Walker, R., &amp; Brooks, J. M. (2019). The future of peer support in digital psychiatry: Promise, progress, and opportunities. </w:t>
      </w:r>
      <w:r>
        <w:rPr>
          <w:i/>
          <w:iCs/>
        </w:rPr>
        <w:t>Current Treatment Options in Psychiatry</w:t>
      </w:r>
      <w:r>
        <w:t xml:space="preserve">, </w:t>
      </w:r>
      <w:r>
        <w:rPr>
          <w:i/>
          <w:iCs/>
        </w:rPr>
        <w:t>6</w:t>
      </w:r>
      <w:r>
        <w:t>(3), 221–231. https://doi.org/10.1007/s40501-019-00179-7</w:t>
      </w:r>
    </w:p>
    <w:p w14:paraId="02434299" w14:textId="77777777" w:rsidR="00E748E9" w:rsidRDefault="00E748E9" w:rsidP="00E748E9">
      <w:pPr>
        <w:pStyle w:val="Bibliography"/>
      </w:pPr>
      <w:r>
        <w:t xml:space="preserve">Francis, A. W., Dawson, D. L., &amp; Golijani-Moghaddam, N. (2016). The development and validation of the Comprehensive assessment of Acceptance and Commitment Therapy processes (CompACT). </w:t>
      </w:r>
      <w:r>
        <w:rPr>
          <w:i/>
          <w:iCs/>
        </w:rPr>
        <w:t>Journal of Contextual Behavioral Science</w:t>
      </w:r>
      <w:r>
        <w:t xml:space="preserve">, </w:t>
      </w:r>
      <w:r>
        <w:rPr>
          <w:i/>
          <w:iCs/>
        </w:rPr>
        <w:t>5</w:t>
      </w:r>
      <w:r>
        <w:t>(3), 134–145. https://doi.org/10.1016/j.jcbs.2016.05.003</w:t>
      </w:r>
    </w:p>
    <w:p w14:paraId="695E8B3F" w14:textId="77777777" w:rsidR="00E748E9" w:rsidRDefault="00E748E9" w:rsidP="00E748E9">
      <w:pPr>
        <w:pStyle w:val="Bibliography"/>
      </w:pPr>
      <w:r>
        <w:t xml:space="preserve">Gloster, A. T., Klotsche, J., Chaker, S., Hummel, K. V., &amp; Hoyer, J. (2011). Assessing psychological flexibility: What does it add above and beyond existing constructs? </w:t>
      </w:r>
      <w:r>
        <w:rPr>
          <w:i/>
          <w:iCs/>
        </w:rPr>
        <w:t>Psychological Assessment</w:t>
      </w:r>
      <w:r>
        <w:t xml:space="preserve">, </w:t>
      </w:r>
      <w:r>
        <w:rPr>
          <w:i/>
          <w:iCs/>
        </w:rPr>
        <w:t>23</w:t>
      </w:r>
      <w:r>
        <w:t>(4), 970–982. https://doi.org/10.1037/a0024135</w:t>
      </w:r>
    </w:p>
    <w:p w14:paraId="6B10DB69" w14:textId="77777777" w:rsidR="00E748E9" w:rsidRDefault="00E748E9" w:rsidP="00E748E9">
      <w:pPr>
        <w:pStyle w:val="Bibliography"/>
      </w:pPr>
      <w:r>
        <w:t xml:space="preserve">Harrer, M., Adam, S. H., Baumeister, H., Cuijpers, P., Karyotaki, E., Auerbach, R. P., Kessler, R. C., Bruffaerts, R., Berking, M., &amp; Ebert, D. D. (2019). Internet interventions for mental health in university students: A systematic review and meta‐analysis. </w:t>
      </w:r>
      <w:r>
        <w:rPr>
          <w:i/>
          <w:iCs/>
        </w:rPr>
        <w:t>International Journal of Methods in Psychiatric Research</w:t>
      </w:r>
      <w:r>
        <w:t xml:space="preserve">, </w:t>
      </w:r>
      <w:r>
        <w:rPr>
          <w:i/>
          <w:iCs/>
        </w:rPr>
        <w:t>28</w:t>
      </w:r>
      <w:r>
        <w:t>(2), e1759. https://doi.org/10.1002/mpr.1759</w:t>
      </w:r>
    </w:p>
    <w:p w14:paraId="00BE2EBA" w14:textId="77777777" w:rsidR="00E748E9" w:rsidRDefault="00E748E9" w:rsidP="00E748E9">
      <w:pPr>
        <w:pStyle w:val="Bibliography"/>
      </w:pPr>
      <w:r>
        <w:t xml:space="preserve">Harris, R. (2018). </w:t>
      </w:r>
      <w:r>
        <w:rPr>
          <w:i/>
          <w:iCs/>
        </w:rPr>
        <w:t>The Choice Point 2.0: A brief overview</w:t>
      </w:r>
      <w:r>
        <w:t>. https://www.actmindfully.com.au/wp-</w:t>
      </w:r>
      <w:r>
        <w:lastRenderedPageBreak/>
        <w:t>content/uploads/2018/10/Choice-Point-2.0-An-Overview-Russ-Harris-Updated-October-2018.pdf</w:t>
      </w:r>
    </w:p>
    <w:p w14:paraId="1B13587C" w14:textId="77777777" w:rsidR="00E748E9" w:rsidRDefault="00E748E9" w:rsidP="00E748E9">
      <w:pPr>
        <w:pStyle w:val="Bibliography"/>
      </w:pPr>
      <w:r>
        <w:t xml:space="preserve">Keyes, C. L. M. (2005). Mental illness and/or mental health? Investigating axioms of the complete state model of health. </w:t>
      </w:r>
      <w:r>
        <w:rPr>
          <w:i/>
          <w:iCs/>
        </w:rPr>
        <w:t>Journal of Consulting and Clinical Psychology</w:t>
      </w:r>
      <w:r>
        <w:t xml:space="preserve">, </w:t>
      </w:r>
      <w:r>
        <w:rPr>
          <w:i/>
          <w:iCs/>
        </w:rPr>
        <w:t>73</w:t>
      </w:r>
      <w:r>
        <w:t>(3), 539–548. https://doi.org/10.1037/0022-006X.73.3.539</w:t>
      </w:r>
    </w:p>
    <w:p w14:paraId="50364864" w14:textId="77777777" w:rsidR="00E748E9" w:rsidRDefault="00E748E9" w:rsidP="00E748E9">
      <w:pPr>
        <w:pStyle w:val="Bibliography"/>
      </w:pPr>
      <w:r>
        <w:t xml:space="preserve">Kobak, K. A., Greist, R., Jacobi, D. M., Levy-Mack, H., &amp; Greist, J. H. (2015). Computer-assisted cognitive behavior therapy for obsessive-compulsive disorder: A randomized trial on the impact of lay vs. professional coaching. </w:t>
      </w:r>
      <w:r>
        <w:rPr>
          <w:i/>
          <w:iCs/>
        </w:rPr>
        <w:t>Annals of General Psychiatry</w:t>
      </w:r>
      <w:r>
        <w:t xml:space="preserve">, </w:t>
      </w:r>
      <w:r>
        <w:rPr>
          <w:i/>
          <w:iCs/>
        </w:rPr>
        <w:t>14</w:t>
      </w:r>
      <w:r>
        <w:t>(1), 10. https://doi.org/10.1186/s12991-015-0048-0</w:t>
      </w:r>
    </w:p>
    <w:p w14:paraId="4D840446" w14:textId="77777777" w:rsidR="00E748E9" w:rsidRDefault="00E748E9" w:rsidP="00E748E9">
      <w:pPr>
        <w:pStyle w:val="Bibliography"/>
      </w:pPr>
      <w:r>
        <w:t xml:space="preserve">Kuznetsova, A., Brockhoff, P. B., &amp; Christensen, R. H. B. (2017). </w:t>
      </w:r>
      <w:r>
        <w:rPr>
          <w:b/>
          <w:bCs/>
        </w:rPr>
        <w:t>lmerTest</w:t>
      </w:r>
      <w:r>
        <w:t xml:space="preserve"> Package: Tests in Linear Mixed Effects Models. </w:t>
      </w:r>
      <w:r>
        <w:rPr>
          <w:i/>
          <w:iCs/>
        </w:rPr>
        <w:t>Journal of Statistical Software</w:t>
      </w:r>
      <w:r>
        <w:t xml:space="preserve">, </w:t>
      </w:r>
      <w:r>
        <w:rPr>
          <w:i/>
          <w:iCs/>
        </w:rPr>
        <w:t>82</w:t>
      </w:r>
      <w:r>
        <w:t>(13). https://doi.org/10.18637/jss.v082.i13</w:t>
      </w:r>
    </w:p>
    <w:p w14:paraId="5CA4CECA" w14:textId="77777777" w:rsidR="00E748E9" w:rsidRDefault="00E748E9" w:rsidP="00E748E9">
      <w:pPr>
        <w:pStyle w:val="Bibliography"/>
      </w:pPr>
      <w:r>
        <w:t xml:space="preserve">Lamers, S. M. A., Westerhof, G. J., Bohlmeijer, E. T., ten Klooster, P. M., &amp; Keyes, C. L. M. (2011). Evaluating the psychometric properties of the mental health Continuum-Short Form (MHC-SF). </w:t>
      </w:r>
      <w:r>
        <w:rPr>
          <w:i/>
          <w:iCs/>
        </w:rPr>
        <w:t>Journal of Clinical Psychology</w:t>
      </w:r>
      <w:r>
        <w:t xml:space="preserve">, </w:t>
      </w:r>
      <w:r>
        <w:rPr>
          <w:i/>
          <w:iCs/>
        </w:rPr>
        <w:t>67</w:t>
      </w:r>
      <w:r>
        <w:t>(1), 99–110. https://doi.org/10.1002/jclp.20741</w:t>
      </w:r>
    </w:p>
    <w:p w14:paraId="399E01A9" w14:textId="77777777" w:rsidR="00E748E9" w:rsidRDefault="00E748E9" w:rsidP="00E748E9">
      <w:pPr>
        <w:pStyle w:val="Bibliography"/>
      </w:pPr>
      <w:r>
        <w:t xml:space="preserve">Lattie, E. G., Lipson, S. K., &amp; Eisenberg, D. (2019). Technology and college student mental health: Challenges and opportunities. </w:t>
      </w:r>
      <w:r>
        <w:rPr>
          <w:i/>
          <w:iCs/>
        </w:rPr>
        <w:t>Frontiers in Psychiatry</w:t>
      </w:r>
      <w:r>
        <w:t xml:space="preserve">, </w:t>
      </w:r>
      <w:r>
        <w:rPr>
          <w:i/>
          <w:iCs/>
        </w:rPr>
        <w:t>10</w:t>
      </w:r>
      <w:r>
        <w:t>, 246. https://doi.org/10.3389/fpsyt.2019.00246</w:t>
      </w:r>
    </w:p>
    <w:p w14:paraId="7DB287E8" w14:textId="77777777" w:rsidR="00E748E9" w:rsidRDefault="00E748E9" w:rsidP="00E748E9">
      <w:pPr>
        <w:pStyle w:val="Bibliography"/>
      </w:pPr>
      <w:r>
        <w:t xml:space="preserve">Lenth, R. V., Buerkner, P., Herve, M., Love, J., Miguez, F., Riebl, H., &amp; Singmann, H. (2022). </w:t>
      </w:r>
      <w:r>
        <w:rPr>
          <w:i/>
          <w:iCs/>
        </w:rPr>
        <w:t>emmeans: Estimated Marginal Means, aka Least-Squares Means</w:t>
      </w:r>
      <w:r>
        <w:t xml:space="preserve"> (1.7.3). https://CRAN.R-project.org/package=emmeans</w:t>
      </w:r>
    </w:p>
    <w:p w14:paraId="4514D57A" w14:textId="77777777" w:rsidR="00E748E9" w:rsidRDefault="00E748E9" w:rsidP="00E748E9">
      <w:pPr>
        <w:pStyle w:val="Bibliography"/>
      </w:pPr>
      <w:r>
        <w:t xml:space="preserve">Levin, M. E., Hicks, E. T., &amp; Krafft, J. (2020). Pilot evaluation of the stop, breathe &amp; think </w:t>
      </w:r>
      <w:r>
        <w:lastRenderedPageBreak/>
        <w:t xml:space="preserve">mindfulness app for student clients on a college counseling center waitlist. </w:t>
      </w:r>
      <w:r>
        <w:rPr>
          <w:i/>
          <w:iCs/>
        </w:rPr>
        <w:t>Journal of American College Health</w:t>
      </w:r>
      <w:r>
        <w:t xml:space="preserve">, </w:t>
      </w:r>
      <w:r>
        <w:rPr>
          <w:i/>
          <w:iCs/>
        </w:rPr>
        <w:t>70</w:t>
      </w:r>
      <w:r>
        <w:t>(1), 165–173. https://doi.org/10.1080/07448481.2020.1728281</w:t>
      </w:r>
    </w:p>
    <w:p w14:paraId="4B4E8F72" w14:textId="77777777" w:rsidR="00E748E9" w:rsidRDefault="00E748E9" w:rsidP="00E748E9">
      <w:pPr>
        <w:pStyle w:val="Bibliography"/>
      </w:pPr>
      <w:r>
        <w:t xml:space="preserve">Levin, M. E., Krafft, J., Hicks, E. T., Pierce, B., &amp; Twohig, M. P. (2020). A randomized dismantling trial of the open and engaged components of acceptance and commitment therapy in an online intervention for distressed college students. </w:t>
      </w:r>
      <w:r>
        <w:rPr>
          <w:i/>
          <w:iCs/>
        </w:rPr>
        <w:t>Behaviour Research and Therapy</w:t>
      </w:r>
      <w:r>
        <w:t xml:space="preserve">, </w:t>
      </w:r>
      <w:r>
        <w:rPr>
          <w:i/>
          <w:iCs/>
        </w:rPr>
        <w:t>126</w:t>
      </w:r>
      <w:r>
        <w:t>, 103557. https://doi.org/10.1016/j.brat.2020.103557</w:t>
      </w:r>
    </w:p>
    <w:p w14:paraId="1FE1F85C" w14:textId="77777777" w:rsidR="00E748E9" w:rsidRDefault="00E748E9" w:rsidP="00E748E9">
      <w:pPr>
        <w:pStyle w:val="Bibliography"/>
      </w:pPr>
      <w:r>
        <w:t xml:space="preserve">Levin, M. E., Pistorello, J., Hayes, S. C., Seeley, J. R., &amp; Levin, C. (2015). Feasibility of an acceptance and commitment therapy adjunctive web-based program for counseling centers. </w:t>
      </w:r>
      <w:r>
        <w:rPr>
          <w:i/>
          <w:iCs/>
        </w:rPr>
        <w:t>Journal of Counseling Psychology</w:t>
      </w:r>
      <w:r>
        <w:t xml:space="preserve">, </w:t>
      </w:r>
      <w:r>
        <w:rPr>
          <w:i/>
          <w:iCs/>
        </w:rPr>
        <w:t>62</w:t>
      </w:r>
      <w:r>
        <w:t>(3), 529–536. https://doi.org/10.1037/cou0000083</w:t>
      </w:r>
    </w:p>
    <w:p w14:paraId="3B01A322" w14:textId="77777777" w:rsidR="00E748E9" w:rsidRDefault="00E748E9" w:rsidP="00E748E9">
      <w:pPr>
        <w:pStyle w:val="Bibliography"/>
      </w:pPr>
      <w:r>
        <w:t xml:space="preserve">Levin, M. E., Stocke, K., Pierce, B., &amp; Levin, C. (2017). Do college students use online self-help? A survey of intentions and use of mental health resources. </w:t>
      </w:r>
      <w:r>
        <w:rPr>
          <w:i/>
          <w:iCs/>
        </w:rPr>
        <w:t>Journal of College Student Psychotherapy</w:t>
      </w:r>
      <w:r>
        <w:t xml:space="preserve">, </w:t>
      </w:r>
      <w:r>
        <w:rPr>
          <w:i/>
          <w:iCs/>
        </w:rPr>
        <w:t>32</w:t>
      </w:r>
      <w:r>
        <w:t>(3), 181–198. https://doi.org/10.1080/87568225.2017.1366283</w:t>
      </w:r>
    </w:p>
    <w:p w14:paraId="48DC34A8" w14:textId="77777777" w:rsidR="00E748E9" w:rsidRDefault="00E748E9" w:rsidP="00E748E9">
      <w:pPr>
        <w:pStyle w:val="Bibliography"/>
      </w:pPr>
      <w:r>
        <w:t xml:space="preserve">Lipson, S. K., Lattie, E. G., &amp; Eisenberg, D. (2019). Increased rates of mental health service utilization by U.S. college students: 10-year population-level trends (2007–2017). </w:t>
      </w:r>
      <w:r>
        <w:rPr>
          <w:i/>
          <w:iCs/>
        </w:rPr>
        <w:t>Psychiatric Services</w:t>
      </w:r>
      <w:r>
        <w:t xml:space="preserve">, </w:t>
      </w:r>
      <w:r>
        <w:rPr>
          <w:i/>
          <w:iCs/>
        </w:rPr>
        <w:t>70</w:t>
      </w:r>
      <w:r>
        <w:t>(1), 60–63. https://doi.org/10.1176/appi.ps.201800332</w:t>
      </w:r>
    </w:p>
    <w:p w14:paraId="42DCDAB0" w14:textId="77777777" w:rsidR="00E748E9" w:rsidRDefault="00E748E9" w:rsidP="00E748E9">
      <w:pPr>
        <w:pStyle w:val="Bibliography"/>
      </w:pPr>
      <w:r>
        <w:t xml:space="preserve">Lovibond, S. H., &amp; Lovibond, P. F. (1995). </w:t>
      </w:r>
      <w:r>
        <w:rPr>
          <w:i/>
          <w:iCs/>
        </w:rPr>
        <w:t>Manual for the depression anxiety stress scales</w:t>
      </w:r>
      <w:r>
        <w:t>. Psychology Foundation of Australia.</w:t>
      </w:r>
    </w:p>
    <w:p w14:paraId="2DBE5A9F" w14:textId="77777777" w:rsidR="00E748E9" w:rsidRDefault="00E748E9" w:rsidP="00E748E9">
      <w:pPr>
        <w:pStyle w:val="Bibliography"/>
      </w:pPr>
      <w:r>
        <w:t xml:space="preserve">Melcher, J., Camacho, E., Lagan, S., &amp; Torous, J. (2020). College student engagement with mental health apps: Analysis of barriers to sustained use. </w:t>
      </w:r>
      <w:r>
        <w:rPr>
          <w:i/>
          <w:iCs/>
        </w:rPr>
        <w:t>Journal of American College Health</w:t>
      </w:r>
      <w:r>
        <w:t>, 1–7. https://doi.org/10.1080/07448481.2020.1825225</w:t>
      </w:r>
    </w:p>
    <w:p w14:paraId="7AA74094" w14:textId="77777777" w:rsidR="00E748E9" w:rsidRDefault="00E748E9" w:rsidP="00E748E9">
      <w:pPr>
        <w:pStyle w:val="Bibliography"/>
      </w:pPr>
      <w:r>
        <w:t xml:space="preserve">Mitchell, L. M., Joshi, U., Patel, V., Lu, C., &amp; Naslund, J. A. (2021). Economic evaluations of </w:t>
      </w:r>
      <w:r>
        <w:lastRenderedPageBreak/>
        <w:t xml:space="preserve">internet-based psychological interventions for anxiety disorders and depression: A systematic review. </w:t>
      </w:r>
      <w:r>
        <w:rPr>
          <w:i/>
          <w:iCs/>
        </w:rPr>
        <w:t>Journal of Affective Disorders</w:t>
      </w:r>
      <w:r>
        <w:t xml:space="preserve">, </w:t>
      </w:r>
      <w:r>
        <w:rPr>
          <w:i/>
          <w:iCs/>
        </w:rPr>
        <w:t>284</w:t>
      </w:r>
      <w:r>
        <w:t>, 157–182. https://doi.org/10.1016/j.jad.2021.01.092</w:t>
      </w:r>
    </w:p>
    <w:p w14:paraId="7D655E28" w14:textId="77777777" w:rsidR="00E748E9" w:rsidRDefault="00E748E9" w:rsidP="00E748E9">
      <w:pPr>
        <w:pStyle w:val="Bibliography"/>
      </w:pPr>
      <w:r>
        <w:t xml:space="preserve">Mohr, D. C., Cuijpers, P., &amp; Lehman, K. (2011). Supportive accountability: A model for providing human support to enhance adherence to ehealth interventions. </w:t>
      </w:r>
      <w:r>
        <w:rPr>
          <w:i/>
          <w:iCs/>
        </w:rPr>
        <w:t>Journal of Medical Internet Research</w:t>
      </w:r>
      <w:r>
        <w:t xml:space="preserve">, </w:t>
      </w:r>
      <w:r>
        <w:rPr>
          <w:i/>
          <w:iCs/>
        </w:rPr>
        <w:t>13</w:t>
      </w:r>
      <w:r>
        <w:t>(1), e30. https://doi.org/10.2196/jmir.1602</w:t>
      </w:r>
    </w:p>
    <w:p w14:paraId="34DA100E" w14:textId="77777777" w:rsidR="00E748E9" w:rsidRDefault="00E748E9" w:rsidP="00E748E9">
      <w:pPr>
        <w:pStyle w:val="Bibliography"/>
      </w:pPr>
      <w:r>
        <w:t xml:space="preserve">Moitra, E., &amp; Gaudiano, B. A. (2016). A psychological flexibility model of medication adherence in psychotic-spectrum disorders. </w:t>
      </w:r>
      <w:r>
        <w:rPr>
          <w:i/>
          <w:iCs/>
        </w:rPr>
        <w:t>Journal of Contextual Behavioral Science</w:t>
      </w:r>
      <w:r>
        <w:t xml:space="preserve">, </w:t>
      </w:r>
      <w:r>
        <w:rPr>
          <w:i/>
          <w:iCs/>
        </w:rPr>
        <w:t>5</w:t>
      </w:r>
      <w:r>
        <w:t>(4), 252–257. https://doi.org/10.1016/j.jcbs.2016.10.003</w:t>
      </w:r>
    </w:p>
    <w:p w14:paraId="2CA6B5BD" w14:textId="77777777" w:rsidR="00E748E9" w:rsidRDefault="00E748E9" w:rsidP="00E748E9">
      <w:pPr>
        <w:pStyle w:val="Bibliography"/>
      </w:pPr>
      <w:r>
        <w:t xml:space="preserve">Musiat, P., Johnson, C., Atkinson, M., Wilksch, S., &amp; Wade, T. (2021). Impact of guidance on intervention adherence in computerised interventions for mental health problems: A meta-analysis. </w:t>
      </w:r>
      <w:r>
        <w:rPr>
          <w:i/>
          <w:iCs/>
        </w:rPr>
        <w:t>Psychological Medicine</w:t>
      </w:r>
      <w:r>
        <w:t xml:space="preserve">, </w:t>
      </w:r>
      <w:r>
        <w:rPr>
          <w:i/>
          <w:iCs/>
        </w:rPr>
        <w:t>52</w:t>
      </w:r>
      <w:r>
        <w:t>(2), 229–240. https://doi.org/10.1017/S0033291721004621</w:t>
      </w:r>
    </w:p>
    <w:p w14:paraId="1296E689" w14:textId="77777777" w:rsidR="00E748E9" w:rsidRDefault="00E748E9" w:rsidP="00E748E9">
      <w:pPr>
        <w:pStyle w:val="Bibliography"/>
      </w:pPr>
      <w:r>
        <w:t xml:space="preserve">Ong, C. W., Pierce, B. G., Petersen, J. M., Barney, J. L., Fruge, J. E., Levin, M. E., &amp; Twohig, M. P. (2020). A psychometric comparison of psychological inflexibility measures: Discriminant validity and item performance. </w:t>
      </w:r>
      <w:r>
        <w:rPr>
          <w:i/>
          <w:iCs/>
        </w:rPr>
        <w:t>Journal of Contextual Behavioral Science</w:t>
      </w:r>
      <w:r>
        <w:t xml:space="preserve">, </w:t>
      </w:r>
      <w:r>
        <w:rPr>
          <w:i/>
          <w:iCs/>
        </w:rPr>
        <w:t>18</w:t>
      </w:r>
      <w:r>
        <w:t>, 34–47. https://doi.org/10.1016/j.jcbs.2020.08.007</w:t>
      </w:r>
    </w:p>
    <w:p w14:paraId="4216C533" w14:textId="77777777" w:rsidR="00E748E9" w:rsidRDefault="00E748E9" w:rsidP="00E748E9">
      <w:pPr>
        <w:pStyle w:val="Bibliography"/>
      </w:pPr>
      <w:r>
        <w:t xml:space="preserve">Osman, A., Wong, J. L., Bagge, C. L., Freedenthal, S., Gutierrez, P. M., &amp; Lozano, G. (2012). The Depression Anxiety Stress Scales-21 (DASS-21): Further examination of dimensions, scale reliability, and correlates: Depression Anxiety Stress. </w:t>
      </w:r>
      <w:r>
        <w:rPr>
          <w:i/>
          <w:iCs/>
        </w:rPr>
        <w:t>Journal of Clinical Psychology</w:t>
      </w:r>
      <w:r>
        <w:t xml:space="preserve">, </w:t>
      </w:r>
      <w:r>
        <w:rPr>
          <w:i/>
          <w:iCs/>
        </w:rPr>
        <w:t>68</w:t>
      </w:r>
      <w:r>
        <w:t>(12), 1322–1338. https://doi.org/10.1002/jclp.21908</w:t>
      </w:r>
    </w:p>
    <w:p w14:paraId="7E980E8A" w14:textId="77777777" w:rsidR="00E748E9" w:rsidRDefault="00E748E9" w:rsidP="00E748E9">
      <w:pPr>
        <w:pStyle w:val="Bibliography"/>
      </w:pPr>
      <w:r>
        <w:t>Oswalt, S. B., Lederer, A. M., Chestnut-Steich, K., Day, C., Halbritter, A., &amp; Ortiz, D. (2020). Trends in college students’ mental health diagnoses and utilization of services, 2009–</w:t>
      </w:r>
      <w:r>
        <w:lastRenderedPageBreak/>
        <w:t xml:space="preserve">2015. </w:t>
      </w:r>
      <w:r>
        <w:rPr>
          <w:i/>
          <w:iCs/>
        </w:rPr>
        <w:t>Journal of American College Health</w:t>
      </w:r>
      <w:r>
        <w:t xml:space="preserve">, </w:t>
      </w:r>
      <w:r>
        <w:rPr>
          <w:i/>
          <w:iCs/>
        </w:rPr>
        <w:t>68</w:t>
      </w:r>
      <w:r>
        <w:t>(1), 41–51. https://doi.org/10.1080/07448481.2018.1515748</w:t>
      </w:r>
    </w:p>
    <w:p w14:paraId="2A72BC3F" w14:textId="77777777" w:rsidR="00E748E9" w:rsidRDefault="00E748E9" w:rsidP="00E748E9">
      <w:pPr>
        <w:pStyle w:val="Bibliography"/>
      </w:pPr>
      <w:r>
        <w:t xml:space="preserve">Petersen, J. M., Krafft, J., Twohig, M. P., &amp; Levin, M. E. (2021). Evaluating the open and engaged components of Acceptance and Commitment Therapy in an online self-guided website: Results from a pilot trial. </w:t>
      </w:r>
      <w:r>
        <w:rPr>
          <w:i/>
          <w:iCs/>
        </w:rPr>
        <w:t>Behavior Modification</w:t>
      </w:r>
      <w:r>
        <w:t xml:space="preserve">, </w:t>
      </w:r>
      <w:r>
        <w:rPr>
          <w:i/>
          <w:iCs/>
        </w:rPr>
        <w:t>45</w:t>
      </w:r>
      <w:r>
        <w:t>(3), 480–501. https://doi.org/10.1177/0145445519878668</w:t>
      </w:r>
    </w:p>
    <w:p w14:paraId="0EAC76F6" w14:textId="77777777" w:rsidR="00E748E9" w:rsidRDefault="00E748E9" w:rsidP="00E748E9">
      <w:pPr>
        <w:pStyle w:val="Bibliography"/>
      </w:pPr>
      <w:r>
        <w:t xml:space="preserve">R Core Team. (2021). </w:t>
      </w:r>
      <w:r>
        <w:rPr>
          <w:i/>
          <w:iCs/>
        </w:rPr>
        <w:t>R: A language and environment for statistical computing</w:t>
      </w:r>
      <w:r>
        <w:t>. R Foundation for Statistical Computing. https://www.R-project.org/</w:t>
      </w:r>
    </w:p>
    <w:p w14:paraId="095C6614" w14:textId="77777777" w:rsidR="00E748E9" w:rsidRDefault="00E748E9" w:rsidP="00E748E9">
      <w:pPr>
        <w:pStyle w:val="Bibliography"/>
      </w:pPr>
      <w:r>
        <w:t xml:space="preserve">Renfrew, M. E., Morton, D. P., Morton, J. K., Hinze, J. S., Przybylko, G., &amp; Craig, B. A. (2020). The influence of three modes of human support on attrition and adherence to a web- and mobile app–based mental health promotion intervention in a nonclinical cohort: Randomized comparative study. </w:t>
      </w:r>
      <w:r>
        <w:rPr>
          <w:i/>
          <w:iCs/>
        </w:rPr>
        <w:t>Journal of Medical Internet Research</w:t>
      </w:r>
      <w:r>
        <w:t xml:space="preserve">, </w:t>
      </w:r>
      <w:r>
        <w:rPr>
          <w:i/>
          <w:iCs/>
        </w:rPr>
        <w:t>22</w:t>
      </w:r>
      <w:r>
        <w:t>(9), e19945. https://doi.org/10.2196/19945</w:t>
      </w:r>
    </w:p>
    <w:p w14:paraId="38C4D546" w14:textId="77777777" w:rsidR="00E748E9" w:rsidRDefault="00E748E9" w:rsidP="00E748E9">
      <w:pPr>
        <w:pStyle w:val="Bibliography"/>
      </w:pPr>
      <w:r>
        <w:t xml:space="preserve">Renfrew, M. E., Morton, D. P., Morton, J. K., &amp; Przybylko, G. (2021). The influence of human support on the effectiveness of digital mental health promotion interventions for the general population. </w:t>
      </w:r>
      <w:r>
        <w:rPr>
          <w:i/>
          <w:iCs/>
        </w:rPr>
        <w:t>Frontiers in Psychology</w:t>
      </w:r>
      <w:r>
        <w:t xml:space="preserve">, </w:t>
      </w:r>
      <w:r>
        <w:rPr>
          <w:i/>
          <w:iCs/>
        </w:rPr>
        <w:t>12</w:t>
      </w:r>
      <w:r>
        <w:t>, 716106. https://doi.org/10.3389/fpsyg.2021.716106</w:t>
      </w:r>
    </w:p>
    <w:p w14:paraId="7236A742" w14:textId="77777777" w:rsidR="00E748E9" w:rsidRDefault="00E748E9" w:rsidP="00E748E9">
      <w:pPr>
        <w:pStyle w:val="Bibliography"/>
      </w:pPr>
      <w:r>
        <w:t xml:space="preserve">Rogge, R. D., Daks, J. S., Dubler, B. A., &amp; Saint, K. J. (2019). It’s all about the process: Examining the convergent validity, conceptual coverage, unique predictive validity, and clinical utility of ACT process measures. </w:t>
      </w:r>
      <w:r>
        <w:rPr>
          <w:i/>
          <w:iCs/>
        </w:rPr>
        <w:t>Journal of Contextual Behavioral Science</w:t>
      </w:r>
      <w:r>
        <w:t xml:space="preserve">, </w:t>
      </w:r>
      <w:r>
        <w:rPr>
          <w:i/>
          <w:iCs/>
        </w:rPr>
        <w:t>14</w:t>
      </w:r>
      <w:r>
        <w:t>, 90–102. https://doi.org/10.1016/j.jcbs.2019.10.001</w:t>
      </w:r>
    </w:p>
    <w:p w14:paraId="35BB7E19" w14:textId="77777777" w:rsidR="00E748E9" w:rsidRDefault="00E748E9" w:rsidP="00E748E9">
      <w:pPr>
        <w:pStyle w:val="Bibliography"/>
      </w:pPr>
      <w:r>
        <w:t xml:space="preserve">RStudio Team. (2021). </w:t>
      </w:r>
      <w:r>
        <w:rPr>
          <w:i/>
          <w:iCs/>
        </w:rPr>
        <w:t>RStudio: Integrated Development for R</w:t>
      </w:r>
      <w:r>
        <w:t>. RStudio, Inc. http://www.rstudio.com/</w:t>
      </w:r>
    </w:p>
    <w:p w14:paraId="74E146F1" w14:textId="77777777" w:rsidR="00E748E9" w:rsidRDefault="00E748E9" w:rsidP="00E748E9">
      <w:pPr>
        <w:pStyle w:val="Bibliography"/>
      </w:pPr>
      <w:r>
        <w:lastRenderedPageBreak/>
        <w:t xml:space="preserve">Schleider, J. L., Mullarkey, M. C., Fox, K. R., Dobias, M. L., Shroff, A., Hart, E. A., &amp; Roulston, C. A. (2022). A randomized trial of online single-session interventions for adolescent depression during COVID-19. </w:t>
      </w:r>
      <w:r>
        <w:rPr>
          <w:i/>
          <w:iCs/>
        </w:rPr>
        <w:t>Nature Human Behaviour</w:t>
      </w:r>
      <w:r>
        <w:t xml:space="preserve">, </w:t>
      </w:r>
      <w:r>
        <w:rPr>
          <w:i/>
          <w:iCs/>
        </w:rPr>
        <w:t>6</w:t>
      </w:r>
      <w:r>
        <w:t>(2), 258–268. https://doi.org/10.1038/s41562-021-01235-0</w:t>
      </w:r>
    </w:p>
    <w:p w14:paraId="016B7ECB" w14:textId="77777777" w:rsidR="00E748E9" w:rsidRDefault="00E748E9" w:rsidP="00E748E9">
      <w:pPr>
        <w:pStyle w:val="Bibliography"/>
      </w:pPr>
      <w:r>
        <w:t xml:space="preserve">Schleider, J. L., &amp; Weisz, J. R. (2017). Little Treatments, Promising Effects? Meta-Analysis of Single-Session Interventions for Youth Psychiatric Problems. </w:t>
      </w:r>
      <w:r>
        <w:rPr>
          <w:i/>
          <w:iCs/>
        </w:rPr>
        <w:t>Journal of the American Academy of Child &amp; Adolescent Psychiatry</w:t>
      </w:r>
      <w:r>
        <w:t xml:space="preserve">, </w:t>
      </w:r>
      <w:r>
        <w:rPr>
          <w:i/>
          <w:iCs/>
        </w:rPr>
        <w:t>56</w:t>
      </w:r>
      <w:r>
        <w:t>(2), 107–115. https://doi.org/10.1016/j.jaac.2016.11.007</w:t>
      </w:r>
    </w:p>
    <w:p w14:paraId="13EBF350" w14:textId="77777777" w:rsidR="00E748E9" w:rsidRDefault="00E748E9" w:rsidP="00E748E9">
      <w:pPr>
        <w:pStyle w:val="Bibliography"/>
      </w:pPr>
      <w:r>
        <w:t xml:space="preserve">Seidler, Z. E., Rice, S. M., River, J., Oliffe, J. L., &amp; Dhillon, H. M. (2017). Men’s mental health services: The case for a masculinities model. </w:t>
      </w:r>
      <w:r>
        <w:rPr>
          <w:i/>
          <w:iCs/>
        </w:rPr>
        <w:t>The Journal of Men’s Studies</w:t>
      </w:r>
      <w:r>
        <w:t xml:space="preserve">, </w:t>
      </w:r>
      <w:r>
        <w:rPr>
          <w:i/>
          <w:iCs/>
        </w:rPr>
        <w:t>26</w:t>
      </w:r>
      <w:r>
        <w:t>(1), 92–104. https://doi.org/10.1177/1060826517729406</w:t>
      </w:r>
    </w:p>
    <w:p w14:paraId="5DE1F511" w14:textId="77777777" w:rsidR="00E748E9" w:rsidRDefault="00E748E9" w:rsidP="00E748E9">
      <w:pPr>
        <w:pStyle w:val="Bibliography"/>
      </w:pPr>
      <w:r>
        <w:t xml:space="preserve">Shim, M., Mahaffey, B., Bleidistel, M., &amp; Gonzalez, A. (2017). A scoping review of human-support factors in the context of Internet-based psychological interventions (IPIs) for depression and anxiety disorders. </w:t>
      </w:r>
      <w:r>
        <w:rPr>
          <w:i/>
          <w:iCs/>
        </w:rPr>
        <w:t>Clinical Psychology Review</w:t>
      </w:r>
      <w:r>
        <w:t xml:space="preserve">, </w:t>
      </w:r>
      <w:r>
        <w:rPr>
          <w:i/>
          <w:iCs/>
        </w:rPr>
        <w:t>57</w:t>
      </w:r>
      <w:r>
        <w:t>, 129–140. https://doi.org/10.1016/j.cpr.2017.09.003</w:t>
      </w:r>
    </w:p>
    <w:p w14:paraId="40836A93" w14:textId="77777777" w:rsidR="00E748E9" w:rsidRDefault="00E748E9" w:rsidP="00E748E9">
      <w:pPr>
        <w:pStyle w:val="Bibliography"/>
      </w:pPr>
      <w:r>
        <w:t xml:space="preserve">soleimani, Z., Shairi, M. R., Fesharaki, M. G., &amp; Gomian, S. (2022). Examination of psychometric properties of the Comprehensive Assessment of Acceptance and Commitment Therapy Processes (CompACT) scale in Iranian nonclinical samples. </w:t>
      </w:r>
      <w:r>
        <w:rPr>
          <w:i/>
          <w:iCs/>
        </w:rPr>
        <w:t>Journal of Clinical Psychology &amp; Personality</w:t>
      </w:r>
      <w:r>
        <w:t xml:space="preserve">, </w:t>
      </w:r>
      <w:r>
        <w:rPr>
          <w:i/>
          <w:iCs/>
        </w:rPr>
        <w:t>19</w:t>
      </w:r>
      <w:r>
        <w:t>(2), 121–137. https://doi.org/10.22070/cpap.2021.3077</w:t>
      </w:r>
    </w:p>
    <w:p w14:paraId="0C9C6006" w14:textId="77777777" w:rsidR="00E748E9" w:rsidRDefault="00E748E9" w:rsidP="00E748E9">
      <w:pPr>
        <w:pStyle w:val="Bibliography"/>
      </w:pPr>
      <w:r>
        <w:t xml:space="preserve">Thompson, E. M., Destree, L., Albertella, L., &amp; Fontenelle, L. F. (2021). Internet-based acceptance and commitment therapy: A transdiagnostic systematic review and meta-analysis for mental health outcomes. </w:t>
      </w:r>
      <w:r>
        <w:rPr>
          <w:i/>
          <w:iCs/>
        </w:rPr>
        <w:t>Behavior Therapy</w:t>
      </w:r>
      <w:r>
        <w:t xml:space="preserve">, </w:t>
      </w:r>
      <w:r>
        <w:rPr>
          <w:i/>
          <w:iCs/>
        </w:rPr>
        <w:t>52</w:t>
      </w:r>
      <w:r>
        <w:t xml:space="preserve">(2), 492–507. </w:t>
      </w:r>
      <w:r>
        <w:lastRenderedPageBreak/>
        <w:t>https://doi.org/10.1016/j.beth.2020.07.002</w:t>
      </w:r>
    </w:p>
    <w:p w14:paraId="661C78C1" w14:textId="77777777" w:rsidR="00E748E9" w:rsidRDefault="00E748E9" w:rsidP="00E748E9">
      <w:pPr>
        <w:pStyle w:val="Bibliography"/>
      </w:pPr>
      <w:r>
        <w:t xml:space="preserve">Titov, N., Dear, B. F., Staples, L. G., Bennett-Levy, J., Klein, B., Rapee, R. M., Andersson, G., Purtell, C., Bezuidenhout, G., &amp; Nielssen, O. B. (2017). The first 30 months of the MindSpot Clinic: Evaluation of a national e-mental health service against project objectives. </w:t>
      </w:r>
      <w:r>
        <w:rPr>
          <w:i/>
          <w:iCs/>
        </w:rPr>
        <w:t>Australian &amp; New Zealand Journal of Psychiatry</w:t>
      </w:r>
      <w:r>
        <w:t xml:space="preserve">, </w:t>
      </w:r>
      <w:r>
        <w:rPr>
          <w:i/>
          <w:iCs/>
        </w:rPr>
        <w:t>51</w:t>
      </w:r>
      <w:r>
        <w:t>(12), 1227–1239. https://doi.org/10.1177/0004867416671598</w:t>
      </w:r>
    </w:p>
    <w:p w14:paraId="6D517541" w14:textId="77777777" w:rsidR="00E748E9" w:rsidRDefault="00E748E9" w:rsidP="00E748E9">
      <w:pPr>
        <w:pStyle w:val="Bibliography"/>
      </w:pPr>
      <w:r>
        <w:t xml:space="preserve">Trindade, I. A., Ferreira, N. B., Mendes, A. L., Ferreira, C., Dawson, D., &amp; Golijani-Moghaddam, N. (2021). Comprehensive assessment of Acceptance and Commitment Therapy processes (CompACT): Measure refinement and study of measurement invariance across Portuguese and UK samples. </w:t>
      </w:r>
      <w:r>
        <w:rPr>
          <w:i/>
          <w:iCs/>
        </w:rPr>
        <w:t>Journal of Contextual Behavioral Science</w:t>
      </w:r>
      <w:r>
        <w:t xml:space="preserve">, </w:t>
      </w:r>
      <w:r>
        <w:rPr>
          <w:i/>
          <w:iCs/>
        </w:rPr>
        <w:t>21</w:t>
      </w:r>
      <w:r>
        <w:t>, 30–36. https://doi.org/10.1016/j.jcbs.2021.05.002</w:t>
      </w:r>
    </w:p>
    <w:p w14:paraId="690C2317" w14:textId="77777777" w:rsidR="00E748E9" w:rsidRDefault="00E748E9" w:rsidP="00E748E9">
      <w:pPr>
        <w:pStyle w:val="Bibliography"/>
      </w:pPr>
      <w:r>
        <w:t xml:space="preserve">Wangberg, S. C., Bergmo, T. S., &amp; Johnsen, J.-A. K. (2008). Adherence in Internet-based interventions. </w:t>
      </w:r>
      <w:r>
        <w:rPr>
          <w:i/>
          <w:iCs/>
        </w:rPr>
        <w:t>Patient Preference and Adherence</w:t>
      </w:r>
      <w:r>
        <w:t xml:space="preserve">, </w:t>
      </w:r>
      <w:r>
        <w:rPr>
          <w:i/>
          <w:iCs/>
        </w:rPr>
        <w:t>2</w:t>
      </w:r>
      <w:r>
        <w:t>, 57–65.</w:t>
      </w:r>
    </w:p>
    <w:p w14:paraId="11AB1987" w14:textId="77777777" w:rsidR="00E748E9" w:rsidRDefault="00E748E9" w:rsidP="00E748E9">
      <w:pPr>
        <w:pStyle w:val="Bibliography"/>
      </w:pPr>
      <w:r>
        <w:t xml:space="preserve">Wise, E. A. (2004). Methods for analyzing psychotherapy outcomes: A review of clinical significance, reliable change, and recommendations for future directions. </w:t>
      </w:r>
      <w:r>
        <w:rPr>
          <w:i/>
          <w:iCs/>
        </w:rPr>
        <w:t>Journal of Personality Assessment</w:t>
      </w:r>
      <w:r>
        <w:t xml:space="preserve">, </w:t>
      </w:r>
      <w:r>
        <w:rPr>
          <w:i/>
          <w:iCs/>
        </w:rPr>
        <w:t>82</w:t>
      </w:r>
      <w:r>
        <w:t>(1), 50–59. https://doi.org/10.1207/s15327752jpa8201_10</w:t>
      </w:r>
    </w:p>
    <w:p w14:paraId="6BFF004B" w14:textId="77777777" w:rsidR="00E748E9" w:rsidRDefault="00E748E9" w:rsidP="00E748E9">
      <w:pPr>
        <w:pStyle w:val="Bibliography"/>
      </w:pPr>
      <w:r>
        <w:t xml:space="preserve">Xiao, H., Carney, D. M., Youn, S. J., Janis, R. A., Castonguay, L. G., Hayes, J. A., &amp; Locke, B. D. (2017). Are we in crisis? National mental health and treatment trends in college counseling centers. </w:t>
      </w:r>
      <w:r>
        <w:rPr>
          <w:i/>
          <w:iCs/>
        </w:rPr>
        <w:t>Psychological Services</w:t>
      </w:r>
      <w:r>
        <w:t xml:space="preserve">, </w:t>
      </w:r>
      <w:r>
        <w:rPr>
          <w:i/>
          <w:iCs/>
        </w:rPr>
        <w:t>14</w:t>
      </w:r>
      <w:r>
        <w:t>(4), 407–415. https://doi.org/10.1037/ser0000130</w:t>
      </w:r>
    </w:p>
    <w:p w14:paraId="30BB3C8D" w14:textId="77777777" w:rsidR="00E748E9" w:rsidRDefault="00E748E9" w:rsidP="00E748E9">
      <w:pPr>
        <w:pStyle w:val="Bibliography"/>
      </w:pPr>
      <w:r>
        <w:t xml:space="preserve">Ziegler, M. (2016). </w:t>
      </w:r>
      <w:r>
        <w:rPr>
          <w:i/>
          <w:iCs/>
        </w:rPr>
        <w:t>ClinicalSig: Contains several functions helpful for assessing clinical significance</w:t>
      </w:r>
      <w:r>
        <w:t xml:space="preserve"> (R package version 0.1.). https://rdrr.io/github/zieglema/ClinicalSig/</w:t>
      </w:r>
    </w:p>
    <w:p w14:paraId="1A879470" w14:textId="6252EE4D" w:rsidR="007815A5" w:rsidRDefault="007815A5" w:rsidP="0027223A">
      <w:pPr>
        <w:pStyle w:val="EndNoteBibliography"/>
        <w:spacing w:after="240"/>
        <w:jc w:val="center"/>
        <w:rPr>
          <w:b/>
          <w:bCs/>
        </w:rPr>
      </w:pPr>
    </w:p>
    <w:p w14:paraId="3E634119" w14:textId="77777777" w:rsidR="007815A5" w:rsidRDefault="007815A5">
      <w:pPr>
        <w:widowControl/>
        <w:spacing w:after="160" w:line="259" w:lineRule="auto"/>
        <w:rPr>
          <w:b/>
          <w:bCs/>
        </w:rPr>
      </w:pPr>
      <w:r>
        <w:rPr>
          <w:b/>
          <w:bCs/>
        </w:rPr>
        <w:br w:type="page"/>
      </w:r>
    </w:p>
    <w:p w14:paraId="2F917FDE" w14:textId="793F2850" w:rsidR="00C67233" w:rsidRDefault="00382C41" w:rsidP="00382C41">
      <w:pPr>
        <w:pStyle w:val="Bibliography"/>
        <w:ind w:left="0" w:firstLine="0"/>
        <w:jc w:val="center"/>
        <w:rPr>
          <w:b/>
          <w:bCs/>
        </w:rPr>
      </w:pPr>
      <w:r>
        <w:rPr>
          <w:b/>
          <w:bCs/>
        </w:rPr>
        <w:lastRenderedPageBreak/>
        <w:t>Tables</w:t>
      </w:r>
    </w:p>
    <w:p w14:paraId="6B41F184" w14:textId="77777777" w:rsidR="00382C41" w:rsidRPr="00A61161" w:rsidRDefault="00382C41" w:rsidP="00382C41">
      <w:pPr>
        <w:contextualSpacing/>
        <w:rPr>
          <w:rFonts w:cs="Times New Roman"/>
          <w:szCs w:val="24"/>
        </w:rPr>
      </w:pPr>
      <w:r w:rsidRPr="00A61161">
        <w:rPr>
          <w:rFonts w:cs="Times New Roman"/>
          <w:szCs w:val="24"/>
        </w:rPr>
        <w:t>Table 1</w:t>
      </w:r>
    </w:p>
    <w:p w14:paraId="5BDB499D" w14:textId="77777777" w:rsidR="00382C41" w:rsidRPr="00A61161" w:rsidRDefault="00382C41" w:rsidP="00382C41">
      <w:pPr>
        <w:contextualSpacing/>
        <w:rPr>
          <w:rFonts w:cs="Times New Roman"/>
          <w:b/>
          <w:bCs/>
          <w:szCs w:val="24"/>
        </w:rPr>
      </w:pPr>
    </w:p>
    <w:p w14:paraId="06A40533" w14:textId="77777777" w:rsidR="00382C41" w:rsidRPr="00A61161" w:rsidRDefault="00382C41" w:rsidP="00382C41">
      <w:pPr>
        <w:contextualSpacing/>
        <w:rPr>
          <w:rFonts w:cs="Times New Roman"/>
          <w:i/>
          <w:iCs/>
          <w:szCs w:val="24"/>
        </w:rPr>
      </w:pPr>
      <w:r w:rsidRPr="00A61161">
        <w:rPr>
          <w:rFonts w:cs="Times New Roman"/>
          <w:i/>
          <w:iCs/>
          <w:szCs w:val="24"/>
        </w:rPr>
        <w:t>Baseline demographics by condition</w:t>
      </w:r>
    </w:p>
    <w:tbl>
      <w:tblPr>
        <w:tblStyle w:val="TableGrid"/>
        <w:tblpPr w:leftFromText="180" w:rightFromText="180" w:vertAnchor="text" w:horzAnchor="margin" w:tblpY="546"/>
        <w:tblW w:w="8953" w:type="dxa"/>
        <w:tblLook w:val="04A0" w:firstRow="1" w:lastRow="0" w:firstColumn="1" w:lastColumn="0" w:noHBand="0" w:noVBand="1"/>
      </w:tblPr>
      <w:tblGrid>
        <w:gridCol w:w="3708"/>
        <w:gridCol w:w="1628"/>
        <w:gridCol w:w="1718"/>
        <w:gridCol w:w="1899"/>
      </w:tblGrid>
      <w:tr w:rsidR="00382C41" w:rsidRPr="00A61161" w14:paraId="5F88E2C9" w14:textId="77777777" w:rsidTr="003D35B8">
        <w:trPr>
          <w:trHeight w:val="479"/>
        </w:trPr>
        <w:tc>
          <w:tcPr>
            <w:tcW w:w="3708" w:type="dxa"/>
            <w:tcBorders>
              <w:top w:val="single" w:sz="4" w:space="0" w:color="auto"/>
              <w:left w:val="nil"/>
              <w:bottom w:val="single" w:sz="4" w:space="0" w:color="auto"/>
              <w:right w:val="nil"/>
            </w:tcBorders>
            <w:vAlign w:val="center"/>
          </w:tcPr>
          <w:p w14:paraId="5D681DFD" w14:textId="77777777" w:rsidR="00382C41" w:rsidRPr="00A61161" w:rsidRDefault="00382C41" w:rsidP="009E3B14">
            <w:pPr>
              <w:contextualSpacing/>
              <w:jc w:val="center"/>
              <w:rPr>
                <w:rFonts w:cs="Times New Roman"/>
              </w:rPr>
            </w:pPr>
          </w:p>
        </w:tc>
        <w:tc>
          <w:tcPr>
            <w:tcW w:w="1628" w:type="dxa"/>
            <w:tcBorders>
              <w:top w:val="single" w:sz="4" w:space="0" w:color="auto"/>
              <w:left w:val="nil"/>
              <w:bottom w:val="single" w:sz="4" w:space="0" w:color="auto"/>
              <w:right w:val="nil"/>
            </w:tcBorders>
            <w:vAlign w:val="center"/>
          </w:tcPr>
          <w:p w14:paraId="7E53500B" w14:textId="77777777" w:rsidR="00382C41" w:rsidRPr="00A61161" w:rsidRDefault="00382C41" w:rsidP="009E3B14">
            <w:pPr>
              <w:contextualSpacing/>
              <w:jc w:val="center"/>
              <w:rPr>
                <w:rFonts w:cs="Times New Roman"/>
                <w:sz w:val="20"/>
                <w:szCs w:val="20"/>
              </w:rPr>
            </w:pPr>
            <w:r w:rsidRPr="00A61161">
              <w:rPr>
                <w:rFonts w:cs="Times New Roman"/>
                <w:sz w:val="20"/>
                <w:szCs w:val="20"/>
              </w:rPr>
              <w:t>Control (n = 78)</w:t>
            </w:r>
          </w:p>
        </w:tc>
        <w:tc>
          <w:tcPr>
            <w:tcW w:w="1718" w:type="dxa"/>
            <w:tcBorders>
              <w:top w:val="single" w:sz="4" w:space="0" w:color="auto"/>
              <w:left w:val="nil"/>
              <w:bottom w:val="single" w:sz="4" w:space="0" w:color="auto"/>
              <w:right w:val="nil"/>
            </w:tcBorders>
            <w:vAlign w:val="center"/>
          </w:tcPr>
          <w:p w14:paraId="5D32ADBB" w14:textId="77777777" w:rsidR="00382C41" w:rsidRPr="00A61161" w:rsidRDefault="00382C41" w:rsidP="009E3B14">
            <w:pPr>
              <w:contextualSpacing/>
              <w:jc w:val="center"/>
              <w:rPr>
                <w:rFonts w:cs="Times New Roman"/>
                <w:sz w:val="20"/>
                <w:szCs w:val="20"/>
              </w:rPr>
            </w:pPr>
            <w:r w:rsidRPr="00A61161">
              <w:rPr>
                <w:rFonts w:cs="Times New Roman"/>
                <w:sz w:val="20"/>
                <w:szCs w:val="20"/>
              </w:rPr>
              <w:t xml:space="preserve">Phone coaching </w:t>
            </w:r>
          </w:p>
          <w:p w14:paraId="7C3FC2F6" w14:textId="77777777" w:rsidR="00382C41" w:rsidRPr="00A61161" w:rsidRDefault="00382C41" w:rsidP="009E3B14">
            <w:pPr>
              <w:contextualSpacing/>
              <w:jc w:val="center"/>
              <w:rPr>
                <w:rFonts w:cs="Times New Roman"/>
                <w:sz w:val="20"/>
                <w:szCs w:val="20"/>
              </w:rPr>
            </w:pPr>
            <w:r w:rsidRPr="00A61161">
              <w:rPr>
                <w:rFonts w:cs="Times New Roman"/>
                <w:sz w:val="20"/>
                <w:szCs w:val="20"/>
              </w:rPr>
              <w:t>(n = 77)</w:t>
            </w:r>
          </w:p>
        </w:tc>
        <w:tc>
          <w:tcPr>
            <w:tcW w:w="1899" w:type="dxa"/>
            <w:tcBorders>
              <w:top w:val="single" w:sz="4" w:space="0" w:color="auto"/>
              <w:left w:val="nil"/>
              <w:bottom w:val="single" w:sz="4" w:space="0" w:color="auto"/>
              <w:right w:val="nil"/>
            </w:tcBorders>
            <w:vAlign w:val="center"/>
          </w:tcPr>
          <w:p w14:paraId="35274404" w14:textId="77777777" w:rsidR="00382C41" w:rsidRPr="00A61161" w:rsidRDefault="00382C41" w:rsidP="009E3B14">
            <w:pPr>
              <w:contextualSpacing/>
              <w:jc w:val="center"/>
              <w:rPr>
                <w:rFonts w:cs="Times New Roman"/>
                <w:sz w:val="20"/>
                <w:szCs w:val="20"/>
              </w:rPr>
            </w:pPr>
            <w:r w:rsidRPr="00A61161">
              <w:rPr>
                <w:rFonts w:cs="Times New Roman"/>
                <w:sz w:val="20"/>
                <w:szCs w:val="20"/>
              </w:rPr>
              <w:t xml:space="preserve">Text coaching </w:t>
            </w:r>
          </w:p>
          <w:p w14:paraId="3E690F9D" w14:textId="77777777" w:rsidR="00382C41" w:rsidRPr="00A61161" w:rsidRDefault="00382C41" w:rsidP="009E3B14">
            <w:pPr>
              <w:contextualSpacing/>
              <w:jc w:val="center"/>
              <w:rPr>
                <w:rFonts w:cs="Times New Roman"/>
                <w:sz w:val="20"/>
                <w:szCs w:val="20"/>
              </w:rPr>
            </w:pPr>
            <w:r w:rsidRPr="00A61161">
              <w:rPr>
                <w:rFonts w:cs="Times New Roman"/>
                <w:sz w:val="20"/>
                <w:szCs w:val="20"/>
              </w:rPr>
              <w:t>(n = 75)</w:t>
            </w:r>
          </w:p>
        </w:tc>
      </w:tr>
      <w:tr w:rsidR="00382C41" w:rsidRPr="00A61161" w14:paraId="745E9DC2" w14:textId="77777777" w:rsidTr="003D35B8">
        <w:trPr>
          <w:trHeight w:val="302"/>
        </w:trPr>
        <w:tc>
          <w:tcPr>
            <w:tcW w:w="3708" w:type="dxa"/>
            <w:tcBorders>
              <w:top w:val="single" w:sz="4" w:space="0" w:color="auto"/>
              <w:left w:val="nil"/>
              <w:bottom w:val="nil"/>
              <w:right w:val="nil"/>
            </w:tcBorders>
            <w:vAlign w:val="center"/>
          </w:tcPr>
          <w:p w14:paraId="21711050" w14:textId="77777777" w:rsidR="00382C41" w:rsidRPr="00A61161" w:rsidRDefault="00382C41" w:rsidP="009E3B14">
            <w:pPr>
              <w:contextualSpacing/>
              <w:rPr>
                <w:rFonts w:cs="Times New Roman"/>
                <w:sz w:val="20"/>
                <w:szCs w:val="20"/>
              </w:rPr>
            </w:pPr>
            <w:r w:rsidRPr="00A61161">
              <w:rPr>
                <w:rFonts w:cs="Times New Roman"/>
                <w:sz w:val="20"/>
                <w:szCs w:val="20"/>
              </w:rPr>
              <w:t>Age (</w:t>
            </w:r>
            <w:r w:rsidRPr="00A61161">
              <w:rPr>
                <w:rFonts w:cs="Times New Roman"/>
                <w:i/>
                <w:iCs/>
                <w:sz w:val="20"/>
                <w:szCs w:val="20"/>
              </w:rPr>
              <w:t>M</w:t>
            </w:r>
            <w:r w:rsidRPr="00A61161">
              <w:rPr>
                <w:rFonts w:cs="Times New Roman"/>
                <w:sz w:val="20"/>
                <w:szCs w:val="20"/>
              </w:rPr>
              <w:t xml:space="preserve"> (</w:t>
            </w:r>
            <w:r w:rsidRPr="00A61161">
              <w:rPr>
                <w:rFonts w:cs="Times New Roman"/>
                <w:i/>
                <w:iCs/>
                <w:sz w:val="20"/>
                <w:szCs w:val="20"/>
              </w:rPr>
              <w:t>SD</w:t>
            </w:r>
            <w:r w:rsidRPr="00A61161">
              <w:rPr>
                <w:rFonts w:cs="Times New Roman"/>
                <w:sz w:val="20"/>
                <w:szCs w:val="20"/>
              </w:rPr>
              <w:t>))</w:t>
            </w:r>
          </w:p>
        </w:tc>
        <w:tc>
          <w:tcPr>
            <w:tcW w:w="1628" w:type="dxa"/>
            <w:tcBorders>
              <w:top w:val="single" w:sz="4" w:space="0" w:color="auto"/>
              <w:left w:val="nil"/>
              <w:bottom w:val="nil"/>
              <w:right w:val="nil"/>
            </w:tcBorders>
            <w:vAlign w:val="center"/>
          </w:tcPr>
          <w:p w14:paraId="098B97FF" w14:textId="77777777" w:rsidR="00382C41" w:rsidRPr="00A61161" w:rsidRDefault="00382C41" w:rsidP="009E3B14">
            <w:pPr>
              <w:contextualSpacing/>
              <w:jc w:val="center"/>
              <w:rPr>
                <w:rFonts w:cs="Times New Roman"/>
                <w:sz w:val="20"/>
                <w:szCs w:val="20"/>
              </w:rPr>
            </w:pPr>
            <w:r w:rsidRPr="00A61161">
              <w:rPr>
                <w:rFonts w:cs="Times New Roman"/>
                <w:sz w:val="20"/>
                <w:szCs w:val="20"/>
              </w:rPr>
              <w:t>23.9 (7.4)</w:t>
            </w:r>
          </w:p>
        </w:tc>
        <w:tc>
          <w:tcPr>
            <w:tcW w:w="1718" w:type="dxa"/>
            <w:tcBorders>
              <w:top w:val="single" w:sz="4" w:space="0" w:color="auto"/>
              <w:left w:val="nil"/>
              <w:bottom w:val="nil"/>
              <w:right w:val="nil"/>
            </w:tcBorders>
            <w:vAlign w:val="center"/>
          </w:tcPr>
          <w:p w14:paraId="4B52B753" w14:textId="77777777" w:rsidR="00382C41" w:rsidRPr="00A61161" w:rsidRDefault="00382C41" w:rsidP="009E3B14">
            <w:pPr>
              <w:contextualSpacing/>
              <w:jc w:val="center"/>
              <w:rPr>
                <w:rFonts w:cs="Times New Roman"/>
                <w:sz w:val="20"/>
                <w:szCs w:val="20"/>
              </w:rPr>
            </w:pPr>
            <w:r w:rsidRPr="00A61161">
              <w:rPr>
                <w:rFonts w:cs="Times New Roman"/>
                <w:sz w:val="20"/>
                <w:szCs w:val="20"/>
              </w:rPr>
              <w:t>22 (4.9)</w:t>
            </w:r>
          </w:p>
        </w:tc>
        <w:tc>
          <w:tcPr>
            <w:tcW w:w="1899" w:type="dxa"/>
            <w:tcBorders>
              <w:top w:val="single" w:sz="4" w:space="0" w:color="auto"/>
              <w:left w:val="nil"/>
              <w:bottom w:val="nil"/>
              <w:right w:val="nil"/>
            </w:tcBorders>
            <w:vAlign w:val="center"/>
          </w:tcPr>
          <w:p w14:paraId="3F4FD301" w14:textId="77777777" w:rsidR="00382C41" w:rsidRPr="00A61161" w:rsidRDefault="00382C41" w:rsidP="009E3B14">
            <w:pPr>
              <w:contextualSpacing/>
              <w:jc w:val="center"/>
              <w:rPr>
                <w:rFonts w:cs="Times New Roman"/>
                <w:sz w:val="20"/>
                <w:szCs w:val="20"/>
              </w:rPr>
            </w:pPr>
            <w:r w:rsidRPr="00A61161">
              <w:rPr>
                <w:rFonts w:cs="Times New Roman"/>
                <w:sz w:val="20"/>
                <w:szCs w:val="20"/>
              </w:rPr>
              <w:t>21.7 (5.2)</w:t>
            </w:r>
          </w:p>
        </w:tc>
      </w:tr>
      <w:tr w:rsidR="00382C41" w:rsidRPr="00A61161" w14:paraId="41106BD3" w14:textId="77777777" w:rsidTr="003D35B8">
        <w:trPr>
          <w:trHeight w:val="302"/>
        </w:trPr>
        <w:tc>
          <w:tcPr>
            <w:tcW w:w="3708" w:type="dxa"/>
            <w:tcBorders>
              <w:top w:val="nil"/>
              <w:left w:val="nil"/>
              <w:bottom w:val="nil"/>
              <w:right w:val="nil"/>
            </w:tcBorders>
            <w:vAlign w:val="center"/>
          </w:tcPr>
          <w:p w14:paraId="6CD717DB" w14:textId="77777777" w:rsidR="00382C41" w:rsidRPr="00A61161" w:rsidRDefault="00382C41" w:rsidP="009E3B14">
            <w:pPr>
              <w:contextualSpacing/>
              <w:rPr>
                <w:rFonts w:cs="Times New Roman"/>
                <w:sz w:val="20"/>
                <w:szCs w:val="20"/>
              </w:rPr>
            </w:pPr>
            <w:r w:rsidRPr="00A61161">
              <w:rPr>
                <w:rFonts w:cs="Times New Roman"/>
                <w:sz w:val="20"/>
                <w:szCs w:val="20"/>
              </w:rPr>
              <w:t>Gender (%)</w:t>
            </w:r>
          </w:p>
        </w:tc>
        <w:tc>
          <w:tcPr>
            <w:tcW w:w="1628" w:type="dxa"/>
            <w:tcBorders>
              <w:top w:val="nil"/>
              <w:left w:val="nil"/>
              <w:bottom w:val="nil"/>
              <w:right w:val="nil"/>
            </w:tcBorders>
            <w:vAlign w:val="center"/>
          </w:tcPr>
          <w:p w14:paraId="12BB1A7B" w14:textId="77777777" w:rsidR="00382C41" w:rsidRPr="00A61161" w:rsidRDefault="00382C41" w:rsidP="009E3B14">
            <w:pPr>
              <w:contextualSpacing/>
              <w:jc w:val="center"/>
              <w:rPr>
                <w:rFonts w:cs="Times New Roman"/>
                <w:sz w:val="20"/>
                <w:szCs w:val="20"/>
              </w:rPr>
            </w:pPr>
          </w:p>
        </w:tc>
        <w:tc>
          <w:tcPr>
            <w:tcW w:w="1718" w:type="dxa"/>
            <w:tcBorders>
              <w:top w:val="nil"/>
              <w:left w:val="nil"/>
              <w:bottom w:val="nil"/>
              <w:right w:val="nil"/>
            </w:tcBorders>
            <w:vAlign w:val="center"/>
          </w:tcPr>
          <w:p w14:paraId="2EF3A625" w14:textId="77777777" w:rsidR="00382C41" w:rsidRPr="00A61161" w:rsidRDefault="00382C41" w:rsidP="009E3B14">
            <w:pPr>
              <w:contextualSpacing/>
              <w:jc w:val="center"/>
              <w:rPr>
                <w:rFonts w:cs="Times New Roman"/>
                <w:sz w:val="20"/>
                <w:szCs w:val="20"/>
              </w:rPr>
            </w:pPr>
          </w:p>
        </w:tc>
        <w:tc>
          <w:tcPr>
            <w:tcW w:w="1899" w:type="dxa"/>
            <w:tcBorders>
              <w:top w:val="nil"/>
              <w:left w:val="nil"/>
              <w:bottom w:val="nil"/>
              <w:right w:val="nil"/>
            </w:tcBorders>
            <w:vAlign w:val="center"/>
          </w:tcPr>
          <w:p w14:paraId="54399B87" w14:textId="77777777" w:rsidR="00382C41" w:rsidRPr="00A61161" w:rsidRDefault="00382C41" w:rsidP="009E3B14">
            <w:pPr>
              <w:contextualSpacing/>
              <w:jc w:val="center"/>
              <w:rPr>
                <w:rFonts w:cs="Times New Roman"/>
                <w:sz w:val="20"/>
                <w:szCs w:val="20"/>
              </w:rPr>
            </w:pPr>
          </w:p>
        </w:tc>
      </w:tr>
      <w:tr w:rsidR="00382C41" w:rsidRPr="00A61161" w14:paraId="62D61950" w14:textId="77777777" w:rsidTr="003D35B8">
        <w:trPr>
          <w:trHeight w:val="302"/>
        </w:trPr>
        <w:tc>
          <w:tcPr>
            <w:tcW w:w="3708" w:type="dxa"/>
            <w:tcBorders>
              <w:top w:val="nil"/>
              <w:left w:val="nil"/>
              <w:bottom w:val="nil"/>
              <w:right w:val="nil"/>
            </w:tcBorders>
            <w:vAlign w:val="center"/>
          </w:tcPr>
          <w:p w14:paraId="2E055911"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Female</w:t>
            </w:r>
          </w:p>
        </w:tc>
        <w:tc>
          <w:tcPr>
            <w:tcW w:w="1628" w:type="dxa"/>
            <w:tcBorders>
              <w:top w:val="nil"/>
              <w:left w:val="nil"/>
              <w:bottom w:val="nil"/>
              <w:right w:val="nil"/>
            </w:tcBorders>
            <w:vAlign w:val="center"/>
          </w:tcPr>
          <w:p w14:paraId="1E36ABBB" w14:textId="77777777" w:rsidR="00382C41" w:rsidRPr="00A61161" w:rsidRDefault="00382C41" w:rsidP="009E3B14">
            <w:pPr>
              <w:contextualSpacing/>
              <w:jc w:val="center"/>
              <w:rPr>
                <w:rFonts w:cs="Times New Roman"/>
                <w:sz w:val="20"/>
                <w:szCs w:val="20"/>
              </w:rPr>
            </w:pPr>
            <w:r w:rsidRPr="00A61161">
              <w:rPr>
                <w:rFonts w:cs="Times New Roman"/>
                <w:sz w:val="20"/>
                <w:szCs w:val="20"/>
              </w:rPr>
              <w:t>74.4</w:t>
            </w:r>
          </w:p>
        </w:tc>
        <w:tc>
          <w:tcPr>
            <w:tcW w:w="1718" w:type="dxa"/>
            <w:tcBorders>
              <w:top w:val="nil"/>
              <w:left w:val="nil"/>
              <w:bottom w:val="nil"/>
              <w:right w:val="nil"/>
            </w:tcBorders>
            <w:vAlign w:val="center"/>
          </w:tcPr>
          <w:p w14:paraId="3266F482" w14:textId="77777777" w:rsidR="00382C41" w:rsidRPr="00A61161" w:rsidRDefault="00382C41" w:rsidP="009E3B14">
            <w:pPr>
              <w:contextualSpacing/>
              <w:jc w:val="center"/>
              <w:rPr>
                <w:rFonts w:cs="Times New Roman"/>
                <w:sz w:val="20"/>
                <w:szCs w:val="20"/>
              </w:rPr>
            </w:pPr>
            <w:r w:rsidRPr="00A61161">
              <w:rPr>
                <w:rFonts w:cs="Times New Roman"/>
                <w:sz w:val="20"/>
                <w:szCs w:val="20"/>
              </w:rPr>
              <w:t>74</w:t>
            </w:r>
          </w:p>
        </w:tc>
        <w:tc>
          <w:tcPr>
            <w:tcW w:w="1899" w:type="dxa"/>
            <w:tcBorders>
              <w:top w:val="nil"/>
              <w:left w:val="nil"/>
              <w:bottom w:val="nil"/>
              <w:right w:val="nil"/>
            </w:tcBorders>
            <w:vAlign w:val="center"/>
          </w:tcPr>
          <w:p w14:paraId="32BEF552" w14:textId="77777777" w:rsidR="00382C41" w:rsidRPr="00A61161" w:rsidRDefault="00382C41" w:rsidP="009E3B14">
            <w:pPr>
              <w:contextualSpacing/>
              <w:jc w:val="center"/>
              <w:rPr>
                <w:rFonts w:cs="Times New Roman"/>
                <w:sz w:val="20"/>
                <w:szCs w:val="20"/>
              </w:rPr>
            </w:pPr>
            <w:r w:rsidRPr="00A61161">
              <w:rPr>
                <w:rFonts w:cs="Times New Roman"/>
                <w:sz w:val="20"/>
                <w:szCs w:val="20"/>
              </w:rPr>
              <w:t>76</w:t>
            </w:r>
          </w:p>
        </w:tc>
      </w:tr>
      <w:tr w:rsidR="00382C41" w:rsidRPr="00A61161" w14:paraId="32A1830E" w14:textId="77777777" w:rsidTr="003D35B8">
        <w:trPr>
          <w:trHeight w:val="302"/>
        </w:trPr>
        <w:tc>
          <w:tcPr>
            <w:tcW w:w="3708" w:type="dxa"/>
            <w:tcBorders>
              <w:top w:val="nil"/>
              <w:left w:val="nil"/>
              <w:bottom w:val="nil"/>
              <w:right w:val="nil"/>
            </w:tcBorders>
            <w:vAlign w:val="center"/>
          </w:tcPr>
          <w:p w14:paraId="4A95F9B0"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Male</w:t>
            </w:r>
          </w:p>
        </w:tc>
        <w:tc>
          <w:tcPr>
            <w:tcW w:w="1628" w:type="dxa"/>
            <w:tcBorders>
              <w:top w:val="nil"/>
              <w:left w:val="nil"/>
              <w:bottom w:val="nil"/>
              <w:right w:val="nil"/>
            </w:tcBorders>
            <w:vAlign w:val="center"/>
          </w:tcPr>
          <w:p w14:paraId="7698B6CA" w14:textId="77777777" w:rsidR="00382C41" w:rsidRPr="00A61161" w:rsidRDefault="00382C41" w:rsidP="009E3B14">
            <w:pPr>
              <w:contextualSpacing/>
              <w:jc w:val="center"/>
              <w:rPr>
                <w:rFonts w:cs="Times New Roman"/>
                <w:sz w:val="20"/>
                <w:szCs w:val="20"/>
              </w:rPr>
            </w:pPr>
            <w:r w:rsidRPr="00A61161">
              <w:rPr>
                <w:rFonts w:cs="Times New Roman"/>
                <w:sz w:val="20"/>
                <w:szCs w:val="20"/>
              </w:rPr>
              <w:t>23.1</w:t>
            </w:r>
          </w:p>
        </w:tc>
        <w:tc>
          <w:tcPr>
            <w:tcW w:w="1718" w:type="dxa"/>
            <w:tcBorders>
              <w:top w:val="nil"/>
              <w:left w:val="nil"/>
              <w:bottom w:val="nil"/>
              <w:right w:val="nil"/>
            </w:tcBorders>
            <w:vAlign w:val="center"/>
          </w:tcPr>
          <w:p w14:paraId="5BA96C20" w14:textId="77777777" w:rsidR="00382C41" w:rsidRPr="00A61161" w:rsidRDefault="00382C41" w:rsidP="009E3B14">
            <w:pPr>
              <w:contextualSpacing/>
              <w:jc w:val="center"/>
              <w:rPr>
                <w:rFonts w:cs="Times New Roman"/>
                <w:sz w:val="20"/>
                <w:szCs w:val="20"/>
              </w:rPr>
            </w:pPr>
            <w:r w:rsidRPr="00A61161">
              <w:rPr>
                <w:rFonts w:cs="Times New Roman"/>
                <w:sz w:val="20"/>
                <w:szCs w:val="20"/>
              </w:rPr>
              <w:t>24.7</w:t>
            </w:r>
          </w:p>
        </w:tc>
        <w:tc>
          <w:tcPr>
            <w:tcW w:w="1899" w:type="dxa"/>
            <w:tcBorders>
              <w:top w:val="nil"/>
              <w:left w:val="nil"/>
              <w:bottom w:val="nil"/>
              <w:right w:val="nil"/>
            </w:tcBorders>
            <w:vAlign w:val="center"/>
          </w:tcPr>
          <w:p w14:paraId="0DA5F480" w14:textId="77777777" w:rsidR="00382C41" w:rsidRPr="00A61161" w:rsidRDefault="00382C41" w:rsidP="009E3B14">
            <w:pPr>
              <w:contextualSpacing/>
              <w:jc w:val="center"/>
              <w:rPr>
                <w:rFonts w:cs="Times New Roman"/>
                <w:sz w:val="20"/>
                <w:szCs w:val="20"/>
              </w:rPr>
            </w:pPr>
            <w:r w:rsidRPr="00A61161">
              <w:rPr>
                <w:rFonts w:cs="Times New Roman"/>
                <w:sz w:val="20"/>
                <w:szCs w:val="20"/>
              </w:rPr>
              <w:t>22.7</w:t>
            </w:r>
          </w:p>
        </w:tc>
      </w:tr>
      <w:tr w:rsidR="00382C41" w:rsidRPr="00A61161" w14:paraId="3A2D37E1" w14:textId="77777777" w:rsidTr="003D35B8">
        <w:trPr>
          <w:trHeight w:val="302"/>
        </w:trPr>
        <w:tc>
          <w:tcPr>
            <w:tcW w:w="3708" w:type="dxa"/>
            <w:tcBorders>
              <w:top w:val="nil"/>
              <w:left w:val="nil"/>
              <w:bottom w:val="nil"/>
              <w:right w:val="nil"/>
            </w:tcBorders>
            <w:vAlign w:val="center"/>
          </w:tcPr>
          <w:p w14:paraId="792D7E88"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Other</w:t>
            </w:r>
          </w:p>
        </w:tc>
        <w:tc>
          <w:tcPr>
            <w:tcW w:w="1628" w:type="dxa"/>
            <w:tcBorders>
              <w:top w:val="nil"/>
              <w:left w:val="nil"/>
              <w:bottom w:val="nil"/>
              <w:right w:val="nil"/>
            </w:tcBorders>
            <w:vAlign w:val="center"/>
          </w:tcPr>
          <w:p w14:paraId="615C2E6D" w14:textId="77777777" w:rsidR="00382C41" w:rsidRPr="00A61161" w:rsidRDefault="00382C41" w:rsidP="009E3B14">
            <w:pPr>
              <w:contextualSpacing/>
              <w:jc w:val="center"/>
              <w:rPr>
                <w:rFonts w:cs="Times New Roman"/>
                <w:sz w:val="20"/>
                <w:szCs w:val="20"/>
              </w:rPr>
            </w:pPr>
            <w:r w:rsidRPr="00A61161">
              <w:rPr>
                <w:rFonts w:cs="Times New Roman"/>
                <w:sz w:val="20"/>
                <w:szCs w:val="20"/>
              </w:rPr>
              <w:t>2.6</w:t>
            </w:r>
          </w:p>
        </w:tc>
        <w:tc>
          <w:tcPr>
            <w:tcW w:w="1718" w:type="dxa"/>
            <w:tcBorders>
              <w:top w:val="nil"/>
              <w:left w:val="nil"/>
              <w:bottom w:val="nil"/>
              <w:right w:val="nil"/>
            </w:tcBorders>
            <w:vAlign w:val="center"/>
          </w:tcPr>
          <w:p w14:paraId="286DF1BA" w14:textId="77777777" w:rsidR="00382C41" w:rsidRPr="00A61161" w:rsidRDefault="00382C41" w:rsidP="009E3B14">
            <w:pPr>
              <w:contextualSpacing/>
              <w:jc w:val="center"/>
              <w:rPr>
                <w:rFonts w:cs="Times New Roman"/>
                <w:sz w:val="20"/>
                <w:szCs w:val="20"/>
              </w:rPr>
            </w:pPr>
            <w:r w:rsidRPr="00A61161">
              <w:rPr>
                <w:rFonts w:cs="Times New Roman"/>
                <w:sz w:val="20"/>
                <w:szCs w:val="20"/>
              </w:rPr>
              <w:t>1.3</w:t>
            </w:r>
          </w:p>
        </w:tc>
        <w:tc>
          <w:tcPr>
            <w:tcW w:w="1899" w:type="dxa"/>
            <w:tcBorders>
              <w:top w:val="nil"/>
              <w:left w:val="nil"/>
              <w:bottom w:val="nil"/>
              <w:right w:val="nil"/>
            </w:tcBorders>
            <w:vAlign w:val="center"/>
          </w:tcPr>
          <w:p w14:paraId="1CDF3627" w14:textId="77777777" w:rsidR="00382C41" w:rsidRPr="00A61161" w:rsidRDefault="00382C41" w:rsidP="009E3B14">
            <w:pPr>
              <w:contextualSpacing/>
              <w:jc w:val="center"/>
              <w:rPr>
                <w:rFonts w:cs="Times New Roman"/>
                <w:sz w:val="20"/>
                <w:szCs w:val="20"/>
              </w:rPr>
            </w:pPr>
            <w:r w:rsidRPr="00A61161">
              <w:rPr>
                <w:rFonts w:cs="Times New Roman"/>
                <w:sz w:val="20"/>
                <w:szCs w:val="20"/>
              </w:rPr>
              <w:t>1.3</w:t>
            </w:r>
          </w:p>
        </w:tc>
      </w:tr>
      <w:tr w:rsidR="00382C41" w:rsidRPr="00A61161" w14:paraId="4115A0BE" w14:textId="77777777" w:rsidTr="003D35B8">
        <w:trPr>
          <w:trHeight w:val="302"/>
        </w:trPr>
        <w:tc>
          <w:tcPr>
            <w:tcW w:w="3708" w:type="dxa"/>
            <w:tcBorders>
              <w:top w:val="nil"/>
              <w:left w:val="nil"/>
              <w:bottom w:val="nil"/>
              <w:right w:val="nil"/>
            </w:tcBorders>
            <w:vAlign w:val="center"/>
          </w:tcPr>
          <w:p w14:paraId="73C5980A" w14:textId="77777777" w:rsidR="00382C41" w:rsidRPr="00A61161" w:rsidRDefault="00382C41" w:rsidP="009E3B14">
            <w:pPr>
              <w:contextualSpacing/>
              <w:rPr>
                <w:rFonts w:cs="Times New Roman"/>
                <w:sz w:val="20"/>
                <w:szCs w:val="20"/>
              </w:rPr>
            </w:pPr>
            <w:r w:rsidRPr="00A61161">
              <w:rPr>
                <w:rFonts w:cs="Times New Roman"/>
                <w:sz w:val="20"/>
                <w:szCs w:val="20"/>
              </w:rPr>
              <w:t>Race/Ethnicity (%)</w:t>
            </w:r>
          </w:p>
        </w:tc>
        <w:tc>
          <w:tcPr>
            <w:tcW w:w="1628" w:type="dxa"/>
            <w:tcBorders>
              <w:top w:val="nil"/>
              <w:left w:val="nil"/>
              <w:bottom w:val="nil"/>
              <w:right w:val="nil"/>
            </w:tcBorders>
            <w:vAlign w:val="center"/>
          </w:tcPr>
          <w:p w14:paraId="7E66A7A6" w14:textId="77777777" w:rsidR="00382C41" w:rsidRPr="00A61161" w:rsidRDefault="00382C41" w:rsidP="009E3B14">
            <w:pPr>
              <w:contextualSpacing/>
              <w:jc w:val="center"/>
              <w:rPr>
                <w:rFonts w:cs="Times New Roman"/>
                <w:sz w:val="20"/>
                <w:szCs w:val="20"/>
              </w:rPr>
            </w:pPr>
          </w:p>
        </w:tc>
        <w:tc>
          <w:tcPr>
            <w:tcW w:w="1718" w:type="dxa"/>
            <w:tcBorders>
              <w:top w:val="nil"/>
              <w:left w:val="nil"/>
              <w:bottom w:val="nil"/>
              <w:right w:val="nil"/>
            </w:tcBorders>
            <w:vAlign w:val="center"/>
          </w:tcPr>
          <w:p w14:paraId="433A7A6C" w14:textId="77777777" w:rsidR="00382C41" w:rsidRPr="00A61161" w:rsidRDefault="00382C41" w:rsidP="009E3B14">
            <w:pPr>
              <w:contextualSpacing/>
              <w:jc w:val="center"/>
              <w:rPr>
                <w:rFonts w:cs="Times New Roman"/>
                <w:sz w:val="20"/>
                <w:szCs w:val="20"/>
              </w:rPr>
            </w:pPr>
          </w:p>
        </w:tc>
        <w:tc>
          <w:tcPr>
            <w:tcW w:w="1899" w:type="dxa"/>
            <w:tcBorders>
              <w:top w:val="nil"/>
              <w:left w:val="nil"/>
              <w:bottom w:val="nil"/>
              <w:right w:val="nil"/>
            </w:tcBorders>
            <w:vAlign w:val="center"/>
          </w:tcPr>
          <w:p w14:paraId="35776976" w14:textId="77777777" w:rsidR="00382C41" w:rsidRPr="00A61161" w:rsidRDefault="00382C41" w:rsidP="009E3B14">
            <w:pPr>
              <w:contextualSpacing/>
              <w:jc w:val="center"/>
              <w:rPr>
                <w:rFonts w:cs="Times New Roman"/>
                <w:sz w:val="20"/>
                <w:szCs w:val="20"/>
              </w:rPr>
            </w:pPr>
          </w:p>
        </w:tc>
      </w:tr>
      <w:tr w:rsidR="00382C41" w:rsidRPr="00A61161" w14:paraId="22E97AE9" w14:textId="77777777" w:rsidTr="003D35B8">
        <w:trPr>
          <w:trHeight w:val="302"/>
        </w:trPr>
        <w:tc>
          <w:tcPr>
            <w:tcW w:w="3708" w:type="dxa"/>
            <w:tcBorders>
              <w:top w:val="nil"/>
              <w:left w:val="nil"/>
              <w:bottom w:val="nil"/>
              <w:right w:val="nil"/>
            </w:tcBorders>
            <w:vAlign w:val="center"/>
          </w:tcPr>
          <w:p w14:paraId="75C480CC"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White</w:t>
            </w:r>
          </w:p>
        </w:tc>
        <w:tc>
          <w:tcPr>
            <w:tcW w:w="1628" w:type="dxa"/>
            <w:tcBorders>
              <w:top w:val="nil"/>
              <w:left w:val="nil"/>
              <w:bottom w:val="nil"/>
              <w:right w:val="nil"/>
            </w:tcBorders>
            <w:vAlign w:val="center"/>
          </w:tcPr>
          <w:p w14:paraId="0E8E01E8" w14:textId="77777777" w:rsidR="00382C41" w:rsidRPr="00A61161" w:rsidRDefault="00382C41" w:rsidP="009E3B14">
            <w:pPr>
              <w:contextualSpacing/>
              <w:jc w:val="center"/>
              <w:rPr>
                <w:rFonts w:cs="Times New Roman"/>
                <w:sz w:val="20"/>
                <w:szCs w:val="20"/>
              </w:rPr>
            </w:pPr>
            <w:r w:rsidRPr="00A61161">
              <w:rPr>
                <w:rFonts w:cs="Times New Roman"/>
                <w:sz w:val="20"/>
                <w:szCs w:val="20"/>
              </w:rPr>
              <w:t>92.3</w:t>
            </w:r>
          </w:p>
        </w:tc>
        <w:tc>
          <w:tcPr>
            <w:tcW w:w="1718" w:type="dxa"/>
            <w:tcBorders>
              <w:top w:val="nil"/>
              <w:left w:val="nil"/>
              <w:bottom w:val="nil"/>
              <w:right w:val="nil"/>
            </w:tcBorders>
            <w:vAlign w:val="center"/>
          </w:tcPr>
          <w:p w14:paraId="78EBD50E" w14:textId="77777777" w:rsidR="00382C41" w:rsidRPr="00A61161" w:rsidRDefault="00382C41" w:rsidP="009E3B14">
            <w:pPr>
              <w:contextualSpacing/>
              <w:jc w:val="center"/>
              <w:rPr>
                <w:rFonts w:cs="Times New Roman"/>
                <w:sz w:val="20"/>
                <w:szCs w:val="20"/>
              </w:rPr>
            </w:pPr>
            <w:r w:rsidRPr="00A61161">
              <w:rPr>
                <w:rFonts w:cs="Times New Roman"/>
                <w:sz w:val="20"/>
                <w:szCs w:val="20"/>
              </w:rPr>
              <w:t>87</w:t>
            </w:r>
          </w:p>
        </w:tc>
        <w:tc>
          <w:tcPr>
            <w:tcW w:w="1899" w:type="dxa"/>
            <w:tcBorders>
              <w:top w:val="nil"/>
              <w:left w:val="nil"/>
              <w:bottom w:val="nil"/>
              <w:right w:val="nil"/>
            </w:tcBorders>
            <w:vAlign w:val="center"/>
          </w:tcPr>
          <w:p w14:paraId="0A5967A2" w14:textId="77777777" w:rsidR="00382C41" w:rsidRPr="00A61161" w:rsidRDefault="00382C41" w:rsidP="009E3B14">
            <w:pPr>
              <w:contextualSpacing/>
              <w:jc w:val="center"/>
              <w:rPr>
                <w:rFonts w:cs="Times New Roman"/>
                <w:sz w:val="20"/>
                <w:szCs w:val="20"/>
              </w:rPr>
            </w:pPr>
            <w:r w:rsidRPr="00A61161">
              <w:rPr>
                <w:rFonts w:cs="Times New Roman"/>
                <w:sz w:val="20"/>
                <w:szCs w:val="20"/>
              </w:rPr>
              <w:t>89.3</w:t>
            </w:r>
          </w:p>
        </w:tc>
      </w:tr>
      <w:tr w:rsidR="00382C41" w:rsidRPr="00A61161" w14:paraId="2A4222B8" w14:textId="77777777" w:rsidTr="003D35B8">
        <w:trPr>
          <w:trHeight w:val="302"/>
        </w:trPr>
        <w:tc>
          <w:tcPr>
            <w:tcW w:w="3708" w:type="dxa"/>
            <w:tcBorders>
              <w:top w:val="nil"/>
              <w:left w:val="nil"/>
              <w:bottom w:val="nil"/>
              <w:right w:val="nil"/>
            </w:tcBorders>
            <w:vAlign w:val="center"/>
          </w:tcPr>
          <w:p w14:paraId="721CF3F0"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Hispanic/Latinx</w:t>
            </w:r>
          </w:p>
        </w:tc>
        <w:tc>
          <w:tcPr>
            <w:tcW w:w="1628" w:type="dxa"/>
            <w:tcBorders>
              <w:top w:val="nil"/>
              <w:left w:val="nil"/>
              <w:bottom w:val="nil"/>
              <w:right w:val="nil"/>
            </w:tcBorders>
            <w:vAlign w:val="center"/>
          </w:tcPr>
          <w:p w14:paraId="5BC74056" w14:textId="77777777" w:rsidR="00382C41" w:rsidRPr="00A61161" w:rsidRDefault="00382C41" w:rsidP="009E3B14">
            <w:pPr>
              <w:contextualSpacing/>
              <w:jc w:val="center"/>
              <w:rPr>
                <w:rFonts w:cs="Times New Roman"/>
                <w:sz w:val="20"/>
                <w:szCs w:val="20"/>
              </w:rPr>
            </w:pPr>
            <w:r w:rsidRPr="00A61161">
              <w:rPr>
                <w:rFonts w:cs="Times New Roman"/>
                <w:sz w:val="20"/>
                <w:szCs w:val="20"/>
              </w:rPr>
              <w:t>2.6</w:t>
            </w:r>
          </w:p>
        </w:tc>
        <w:tc>
          <w:tcPr>
            <w:tcW w:w="1718" w:type="dxa"/>
            <w:tcBorders>
              <w:top w:val="nil"/>
              <w:left w:val="nil"/>
              <w:bottom w:val="nil"/>
              <w:right w:val="nil"/>
            </w:tcBorders>
            <w:vAlign w:val="center"/>
          </w:tcPr>
          <w:p w14:paraId="05FC10B7" w14:textId="77777777" w:rsidR="00382C41" w:rsidRPr="00A61161" w:rsidRDefault="00382C41" w:rsidP="009E3B14">
            <w:pPr>
              <w:contextualSpacing/>
              <w:jc w:val="center"/>
              <w:rPr>
                <w:rFonts w:cs="Times New Roman"/>
                <w:sz w:val="20"/>
                <w:szCs w:val="20"/>
              </w:rPr>
            </w:pPr>
            <w:r w:rsidRPr="00A61161">
              <w:rPr>
                <w:rFonts w:cs="Times New Roman"/>
                <w:sz w:val="20"/>
                <w:szCs w:val="20"/>
              </w:rPr>
              <w:t>2.6</w:t>
            </w:r>
          </w:p>
        </w:tc>
        <w:tc>
          <w:tcPr>
            <w:tcW w:w="1899" w:type="dxa"/>
            <w:tcBorders>
              <w:top w:val="nil"/>
              <w:left w:val="nil"/>
              <w:bottom w:val="nil"/>
              <w:right w:val="nil"/>
            </w:tcBorders>
            <w:vAlign w:val="center"/>
          </w:tcPr>
          <w:p w14:paraId="3219FE6B" w14:textId="77777777" w:rsidR="00382C41" w:rsidRPr="00A61161" w:rsidRDefault="00382C41" w:rsidP="009E3B14">
            <w:pPr>
              <w:contextualSpacing/>
              <w:jc w:val="center"/>
              <w:rPr>
                <w:rFonts w:cs="Times New Roman"/>
                <w:sz w:val="20"/>
                <w:szCs w:val="20"/>
              </w:rPr>
            </w:pPr>
            <w:r w:rsidRPr="00A61161">
              <w:rPr>
                <w:rFonts w:cs="Times New Roman"/>
                <w:sz w:val="20"/>
                <w:szCs w:val="20"/>
              </w:rPr>
              <w:t>1.3</w:t>
            </w:r>
          </w:p>
        </w:tc>
      </w:tr>
      <w:tr w:rsidR="00382C41" w:rsidRPr="00A61161" w14:paraId="544064FB" w14:textId="77777777" w:rsidTr="003D35B8">
        <w:trPr>
          <w:trHeight w:val="302"/>
        </w:trPr>
        <w:tc>
          <w:tcPr>
            <w:tcW w:w="3708" w:type="dxa"/>
            <w:tcBorders>
              <w:top w:val="nil"/>
              <w:left w:val="nil"/>
              <w:bottom w:val="nil"/>
              <w:right w:val="nil"/>
            </w:tcBorders>
            <w:vAlign w:val="center"/>
          </w:tcPr>
          <w:p w14:paraId="463AAA23"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Asian</w:t>
            </w:r>
          </w:p>
        </w:tc>
        <w:tc>
          <w:tcPr>
            <w:tcW w:w="1628" w:type="dxa"/>
            <w:tcBorders>
              <w:top w:val="nil"/>
              <w:left w:val="nil"/>
              <w:bottom w:val="nil"/>
              <w:right w:val="nil"/>
            </w:tcBorders>
            <w:vAlign w:val="center"/>
          </w:tcPr>
          <w:p w14:paraId="539DCA85" w14:textId="77777777" w:rsidR="00382C41" w:rsidRPr="00A61161" w:rsidRDefault="00382C41" w:rsidP="009E3B14">
            <w:pPr>
              <w:contextualSpacing/>
              <w:jc w:val="center"/>
              <w:rPr>
                <w:rFonts w:cs="Times New Roman"/>
                <w:sz w:val="20"/>
                <w:szCs w:val="20"/>
              </w:rPr>
            </w:pPr>
            <w:r w:rsidRPr="00A61161">
              <w:rPr>
                <w:rFonts w:cs="Times New Roman"/>
                <w:sz w:val="20"/>
                <w:szCs w:val="20"/>
              </w:rPr>
              <w:t>0</w:t>
            </w:r>
          </w:p>
        </w:tc>
        <w:tc>
          <w:tcPr>
            <w:tcW w:w="1718" w:type="dxa"/>
            <w:tcBorders>
              <w:top w:val="nil"/>
              <w:left w:val="nil"/>
              <w:bottom w:val="nil"/>
              <w:right w:val="nil"/>
            </w:tcBorders>
            <w:vAlign w:val="center"/>
          </w:tcPr>
          <w:p w14:paraId="676F26EE" w14:textId="77777777" w:rsidR="00382C41" w:rsidRPr="00A61161" w:rsidRDefault="00382C41" w:rsidP="009E3B14">
            <w:pPr>
              <w:contextualSpacing/>
              <w:jc w:val="center"/>
              <w:rPr>
                <w:rFonts w:cs="Times New Roman"/>
                <w:sz w:val="20"/>
                <w:szCs w:val="20"/>
              </w:rPr>
            </w:pPr>
            <w:r w:rsidRPr="00A61161">
              <w:rPr>
                <w:rFonts w:cs="Times New Roman"/>
                <w:sz w:val="20"/>
                <w:szCs w:val="20"/>
              </w:rPr>
              <w:t>0</w:t>
            </w:r>
          </w:p>
        </w:tc>
        <w:tc>
          <w:tcPr>
            <w:tcW w:w="1899" w:type="dxa"/>
            <w:tcBorders>
              <w:top w:val="nil"/>
              <w:left w:val="nil"/>
              <w:bottom w:val="nil"/>
              <w:right w:val="nil"/>
            </w:tcBorders>
            <w:vAlign w:val="center"/>
          </w:tcPr>
          <w:p w14:paraId="2E3577C4" w14:textId="77777777" w:rsidR="00382C41" w:rsidRPr="00A61161" w:rsidRDefault="00382C41" w:rsidP="009E3B14">
            <w:pPr>
              <w:contextualSpacing/>
              <w:jc w:val="center"/>
              <w:rPr>
                <w:rFonts w:cs="Times New Roman"/>
                <w:sz w:val="20"/>
                <w:szCs w:val="20"/>
              </w:rPr>
            </w:pPr>
            <w:r w:rsidRPr="00A61161">
              <w:rPr>
                <w:rFonts w:cs="Times New Roman"/>
                <w:sz w:val="20"/>
                <w:szCs w:val="20"/>
              </w:rPr>
              <w:t>2.7</w:t>
            </w:r>
          </w:p>
        </w:tc>
      </w:tr>
      <w:tr w:rsidR="00382C41" w:rsidRPr="00A61161" w14:paraId="046EEEFF" w14:textId="77777777" w:rsidTr="003D35B8">
        <w:trPr>
          <w:trHeight w:val="302"/>
        </w:trPr>
        <w:tc>
          <w:tcPr>
            <w:tcW w:w="3708" w:type="dxa"/>
            <w:tcBorders>
              <w:top w:val="nil"/>
              <w:left w:val="nil"/>
              <w:bottom w:val="nil"/>
              <w:right w:val="nil"/>
            </w:tcBorders>
            <w:vAlign w:val="center"/>
          </w:tcPr>
          <w:p w14:paraId="456ED5AA"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Black/African American</w:t>
            </w:r>
          </w:p>
        </w:tc>
        <w:tc>
          <w:tcPr>
            <w:tcW w:w="1628" w:type="dxa"/>
            <w:tcBorders>
              <w:top w:val="nil"/>
              <w:left w:val="nil"/>
              <w:bottom w:val="nil"/>
              <w:right w:val="nil"/>
            </w:tcBorders>
            <w:vAlign w:val="center"/>
          </w:tcPr>
          <w:p w14:paraId="4807A47D" w14:textId="77777777" w:rsidR="00382C41" w:rsidRPr="00A61161" w:rsidRDefault="00382C41" w:rsidP="009E3B14">
            <w:pPr>
              <w:contextualSpacing/>
              <w:jc w:val="center"/>
              <w:rPr>
                <w:rFonts w:cs="Times New Roman"/>
                <w:sz w:val="20"/>
                <w:szCs w:val="20"/>
              </w:rPr>
            </w:pPr>
            <w:r w:rsidRPr="00A61161">
              <w:rPr>
                <w:rFonts w:cs="Times New Roman"/>
                <w:sz w:val="20"/>
                <w:szCs w:val="20"/>
              </w:rPr>
              <w:t>1.3</w:t>
            </w:r>
          </w:p>
        </w:tc>
        <w:tc>
          <w:tcPr>
            <w:tcW w:w="1718" w:type="dxa"/>
            <w:tcBorders>
              <w:top w:val="nil"/>
              <w:left w:val="nil"/>
              <w:bottom w:val="nil"/>
              <w:right w:val="nil"/>
            </w:tcBorders>
            <w:vAlign w:val="center"/>
          </w:tcPr>
          <w:p w14:paraId="683E1F0F" w14:textId="77777777" w:rsidR="00382C41" w:rsidRPr="00A61161" w:rsidRDefault="00382C41" w:rsidP="009E3B14">
            <w:pPr>
              <w:contextualSpacing/>
              <w:jc w:val="center"/>
              <w:rPr>
                <w:rFonts w:cs="Times New Roman"/>
                <w:sz w:val="20"/>
                <w:szCs w:val="20"/>
              </w:rPr>
            </w:pPr>
            <w:r w:rsidRPr="00A61161">
              <w:rPr>
                <w:rFonts w:cs="Times New Roman"/>
                <w:sz w:val="20"/>
                <w:szCs w:val="20"/>
              </w:rPr>
              <w:t>2.6</w:t>
            </w:r>
          </w:p>
        </w:tc>
        <w:tc>
          <w:tcPr>
            <w:tcW w:w="1899" w:type="dxa"/>
            <w:tcBorders>
              <w:top w:val="nil"/>
              <w:left w:val="nil"/>
              <w:bottom w:val="nil"/>
              <w:right w:val="nil"/>
            </w:tcBorders>
            <w:vAlign w:val="center"/>
          </w:tcPr>
          <w:p w14:paraId="323A5F83" w14:textId="77777777" w:rsidR="00382C41" w:rsidRPr="00A61161" w:rsidRDefault="00382C41" w:rsidP="009E3B14">
            <w:pPr>
              <w:contextualSpacing/>
              <w:jc w:val="center"/>
              <w:rPr>
                <w:rFonts w:cs="Times New Roman"/>
                <w:sz w:val="20"/>
                <w:szCs w:val="20"/>
              </w:rPr>
            </w:pPr>
            <w:r w:rsidRPr="00A61161">
              <w:rPr>
                <w:rFonts w:cs="Times New Roman"/>
                <w:sz w:val="20"/>
                <w:szCs w:val="20"/>
              </w:rPr>
              <w:t>0</w:t>
            </w:r>
          </w:p>
        </w:tc>
      </w:tr>
      <w:tr w:rsidR="00382C41" w:rsidRPr="00A61161" w14:paraId="15708081" w14:textId="77777777" w:rsidTr="003D35B8">
        <w:trPr>
          <w:trHeight w:val="302"/>
        </w:trPr>
        <w:tc>
          <w:tcPr>
            <w:tcW w:w="3708" w:type="dxa"/>
            <w:tcBorders>
              <w:top w:val="nil"/>
              <w:left w:val="nil"/>
              <w:bottom w:val="nil"/>
              <w:right w:val="nil"/>
            </w:tcBorders>
            <w:vAlign w:val="center"/>
          </w:tcPr>
          <w:p w14:paraId="2ED36E46"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Native Hawaiian/Pacific Islander</w:t>
            </w:r>
          </w:p>
        </w:tc>
        <w:tc>
          <w:tcPr>
            <w:tcW w:w="1628" w:type="dxa"/>
            <w:tcBorders>
              <w:top w:val="nil"/>
              <w:left w:val="nil"/>
              <w:bottom w:val="nil"/>
              <w:right w:val="nil"/>
            </w:tcBorders>
            <w:vAlign w:val="center"/>
          </w:tcPr>
          <w:p w14:paraId="003A51C5" w14:textId="77777777" w:rsidR="00382C41" w:rsidRPr="00A61161" w:rsidRDefault="00382C41" w:rsidP="009E3B14">
            <w:pPr>
              <w:contextualSpacing/>
              <w:jc w:val="center"/>
              <w:rPr>
                <w:rFonts w:cs="Times New Roman"/>
                <w:sz w:val="20"/>
                <w:szCs w:val="20"/>
              </w:rPr>
            </w:pPr>
            <w:r w:rsidRPr="00A61161">
              <w:rPr>
                <w:rFonts w:cs="Times New Roman"/>
                <w:sz w:val="20"/>
                <w:szCs w:val="20"/>
              </w:rPr>
              <w:t>0</w:t>
            </w:r>
          </w:p>
        </w:tc>
        <w:tc>
          <w:tcPr>
            <w:tcW w:w="1718" w:type="dxa"/>
            <w:tcBorders>
              <w:top w:val="nil"/>
              <w:left w:val="nil"/>
              <w:bottom w:val="nil"/>
              <w:right w:val="nil"/>
            </w:tcBorders>
            <w:vAlign w:val="center"/>
          </w:tcPr>
          <w:p w14:paraId="585F99FA" w14:textId="77777777" w:rsidR="00382C41" w:rsidRPr="00A61161" w:rsidRDefault="00382C41" w:rsidP="009E3B14">
            <w:pPr>
              <w:contextualSpacing/>
              <w:jc w:val="center"/>
              <w:rPr>
                <w:rFonts w:cs="Times New Roman"/>
                <w:sz w:val="20"/>
                <w:szCs w:val="20"/>
              </w:rPr>
            </w:pPr>
            <w:r w:rsidRPr="00A61161">
              <w:rPr>
                <w:rFonts w:cs="Times New Roman"/>
                <w:sz w:val="20"/>
                <w:szCs w:val="20"/>
              </w:rPr>
              <w:t>1.3</w:t>
            </w:r>
          </w:p>
        </w:tc>
        <w:tc>
          <w:tcPr>
            <w:tcW w:w="1899" w:type="dxa"/>
            <w:tcBorders>
              <w:top w:val="nil"/>
              <w:left w:val="nil"/>
              <w:bottom w:val="nil"/>
              <w:right w:val="nil"/>
            </w:tcBorders>
            <w:vAlign w:val="center"/>
          </w:tcPr>
          <w:p w14:paraId="66A2FA7D" w14:textId="77777777" w:rsidR="00382C41" w:rsidRPr="00A61161" w:rsidRDefault="00382C41" w:rsidP="009E3B14">
            <w:pPr>
              <w:contextualSpacing/>
              <w:jc w:val="center"/>
              <w:rPr>
                <w:rFonts w:cs="Times New Roman"/>
                <w:sz w:val="20"/>
                <w:szCs w:val="20"/>
              </w:rPr>
            </w:pPr>
            <w:r w:rsidRPr="00A61161">
              <w:rPr>
                <w:rFonts w:cs="Times New Roman"/>
                <w:sz w:val="20"/>
                <w:szCs w:val="20"/>
              </w:rPr>
              <w:t>1.3</w:t>
            </w:r>
          </w:p>
        </w:tc>
      </w:tr>
      <w:tr w:rsidR="00382C41" w:rsidRPr="00A61161" w14:paraId="7E5C9EB9" w14:textId="77777777" w:rsidTr="003D35B8">
        <w:trPr>
          <w:trHeight w:val="302"/>
        </w:trPr>
        <w:tc>
          <w:tcPr>
            <w:tcW w:w="3708" w:type="dxa"/>
            <w:tcBorders>
              <w:top w:val="nil"/>
              <w:left w:val="nil"/>
              <w:bottom w:val="nil"/>
              <w:right w:val="nil"/>
            </w:tcBorders>
            <w:vAlign w:val="center"/>
          </w:tcPr>
          <w:p w14:paraId="17FE8857"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Multiracial</w:t>
            </w:r>
          </w:p>
        </w:tc>
        <w:tc>
          <w:tcPr>
            <w:tcW w:w="1628" w:type="dxa"/>
            <w:tcBorders>
              <w:top w:val="nil"/>
              <w:left w:val="nil"/>
              <w:bottom w:val="nil"/>
              <w:right w:val="nil"/>
            </w:tcBorders>
            <w:vAlign w:val="center"/>
          </w:tcPr>
          <w:p w14:paraId="1AC14348" w14:textId="77777777" w:rsidR="00382C41" w:rsidRPr="00A61161" w:rsidRDefault="00382C41" w:rsidP="009E3B14">
            <w:pPr>
              <w:contextualSpacing/>
              <w:jc w:val="center"/>
              <w:rPr>
                <w:rFonts w:cs="Times New Roman"/>
                <w:sz w:val="20"/>
                <w:szCs w:val="20"/>
              </w:rPr>
            </w:pPr>
            <w:r w:rsidRPr="00A61161">
              <w:rPr>
                <w:rFonts w:cs="Times New Roman"/>
                <w:sz w:val="20"/>
                <w:szCs w:val="20"/>
              </w:rPr>
              <w:t>3.8</w:t>
            </w:r>
          </w:p>
        </w:tc>
        <w:tc>
          <w:tcPr>
            <w:tcW w:w="1718" w:type="dxa"/>
            <w:tcBorders>
              <w:top w:val="nil"/>
              <w:left w:val="nil"/>
              <w:bottom w:val="nil"/>
              <w:right w:val="nil"/>
            </w:tcBorders>
            <w:vAlign w:val="center"/>
          </w:tcPr>
          <w:p w14:paraId="033ED430" w14:textId="77777777" w:rsidR="00382C41" w:rsidRPr="00A61161" w:rsidRDefault="00382C41" w:rsidP="009E3B14">
            <w:pPr>
              <w:contextualSpacing/>
              <w:jc w:val="center"/>
              <w:rPr>
                <w:rFonts w:cs="Times New Roman"/>
                <w:sz w:val="20"/>
                <w:szCs w:val="20"/>
              </w:rPr>
            </w:pPr>
            <w:r w:rsidRPr="00A61161">
              <w:rPr>
                <w:rFonts w:cs="Times New Roman"/>
                <w:sz w:val="20"/>
                <w:szCs w:val="20"/>
              </w:rPr>
              <w:t>5.2</w:t>
            </w:r>
          </w:p>
        </w:tc>
        <w:tc>
          <w:tcPr>
            <w:tcW w:w="1899" w:type="dxa"/>
            <w:tcBorders>
              <w:top w:val="nil"/>
              <w:left w:val="nil"/>
              <w:bottom w:val="nil"/>
              <w:right w:val="nil"/>
            </w:tcBorders>
            <w:vAlign w:val="center"/>
          </w:tcPr>
          <w:p w14:paraId="1C5EDD4D" w14:textId="77777777" w:rsidR="00382C41" w:rsidRPr="00A61161" w:rsidRDefault="00382C41" w:rsidP="009E3B14">
            <w:pPr>
              <w:contextualSpacing/>
              <w:jc w:val="center"/>
              <w:rPr>
                <w:rFonts w:cs="Times New Roman"/>
                <w:sz w:val="20"/>
                <w:szCs w:val="20"/>
              </w:rPr>
            </w:pPr>
            <w:r w:rsidRPr="00A61161">
              <w:rPr>
                <w:rFonts w:cs="Times New Roman"/>
                <w:sz w:val="20"/>
                <w:szCs w:val="20"/>
              </w:rPr>
              <w:t>5.3</w:t>
            </w:r>
          </w:p>
        </w:tc>
      </w:tr>
      <w:tr w:rsidR="00382C41" w:rsidRPr="00A61161" w14:paraId="788625A3" w14:textId="77777777" w:rsidTr="003D35B8">
        <w:trPr>
          <w:trHeight w:val="302"/>
        </w:trPr>
        <w:tc>
          <w:tcPr>
            <w:tcW w:w="3708" w:type="dxa"/>
            <w:tcBorders>
              <w:top w:val="nil"/>
              <w:left w:val="nil"/>
              <w:bottom w:val="nil"/>
              <w:right w:val="nil"/>
            </w:tcBorders>
            <w:vAlign w:val="center"/>
          </w:tcPr>
          <w:p w14:paraId="4242288D"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Preferred not to share</w:t>
            </w:r>
          </w:p>
        </w:tc>
        <w:tc>
          <w:tcPr>
            <w:tcW w:w="1628" w:type="dxa"/>
            <w:tcBorders>
              <w:top w:val="nil"/>
              <w:left w:val="nil"/>
              <w:bottom w:val="nil"/>
              <w:right w:val="nil"/>
            </w:tcBorders>
            <w:vAlign w:val="center"/>
          </w:tcPr>
          <w:p w14:paraId="7F1A811C" w14:textId="77777777" w:rsidR="00382C41" w:rsidRPr="00A61161" w:rsidRDefault="00382C41" w:rsidP="009E3B14">
            <w:pPr>
              <w:contextualSpacing/>
              <w:jc w:val="center"/>
              <w:rPr>
                <w:rFonts w:cs="Times New Roman"/>
                <w:sz w:val="20"/>
                <w:szCs w:val="20"/>
              </w:rPr>
            </w:pPr>
            <w:r w:rsidRPr="00A61161">
              <w:rPr>
                <w:rFonts w:cs="Times New Roman"/>
                <w:sz w:val="20"/>
                <w:szCs w:val="20"/>
              </w:rPr>
              <w:t>0</w:t>
            </w:r>
          </w:p>
        </w:tc>
        <w:tc>
          <w:tcPr>
            <w:tcW w:w="1718" w:type="dxa"/>
            <w:tcBorders>
              <w:top w:val="nil"/>
              <w:left w:val="nil"/>
              <w:bottom w:val="nil"/>
              <w:right w:val="nil"/>
            </w:tcBorders>
            <w:vAlign w:val="center"/>
          </w:tcPr>
          <w:p w14:paraId="36D811D9" w14:textId="77777777" w:rsidR="00382C41" w:rsidRPr="00A61161" w:rsidRDefault="00382C41" w:rsidP="009E3B14">
            <w:pPr>
              <w:contextualSpacing/>
              <w:jc w:val="center"/>
              <w:rPr>
                <w:rFonts w:cs="Times New Roman"/>
                <w:sz w:val="20"/>
                <w:szCs w:val="20"/>
              </w:rPr>
            </w:pPr>
            <w:r w:rsidRPr="00A61161">
              <w:rPr>
                <w:rFonts w:cs="Times New Roman"/>
                <w:sz w:val="20"/>
                <w:szCs w:val="20"/>
              </w:rPr>
              <w:t>1.3</w:t>
            </w:r>
          </w:p>
        </w:tc>
        <w:tc>
          <w:tcPr>
            <w:tcW w:w="1899" w:type="dxa"/>
            <w:tcBorders>
              <w:top w:val="nil"/>
              <w:left w:val="nil"/>
              <w:bottom w:val="nil"/>
              <w:right w:val="nil"/>
            </w:tcBorders>
            <w:vAlign w:val="center"/>
          </w:tcPr>
          <w:p w14:paraId="1A318348" w14:textId="77777777" w:rsidR="00382C41" w:rsidRPr="00A61161" w:rsidRDefault="00382C41" w:rsidP="009E3B14">
            <w:pPr>
              <w:contextualSpacing/>
              <w:jc w:val="center"/>
              <w:rPr>
                <w:rFonts w:cs="Times New Roman"/>
                <w:sz w:val="20"/>
                <w:szCs w:val="20"/>
              </w:rPr>
            </w:pPr>
            <w:r w:rsidRPr="00A61161">
              <w:rPr>
                <w:rFonts w:cs="Times New Roman"/>
                <w:sz w:val="20"/>
                <w:szCs w:val="20"/>
              </w:rPr>
              <w:t>0</w:t>
            </w:r>
          </w:p>
        </w:tc>
      </w:tr>
      <w:tr w:rsidR="00382C41" w:rsidRPr="00A61161" w14:paraId="46B9AB05" w14:textId="77777777" w:rsidTr="003D35B8">
        <w:trPr>
          <w:trHeight w:val="302"/>
        </w:trPr>
        <w:tc>
          <w:tcPr>
            <w:tcW w:w="3708" w:type="dxa"/>
            <w:tcBorders>
              <w:top w:val="nil"/>
              <w:left w:val="nil"/>
              <w:bottom w:val="nil"/>
              <w:right w:val="nil"/>
            </w:tcBorders>
            <w:vAlign w:val="center"/>
          </w:tcPr>
          <w:p w14:paraId="4D5EDF2A" w14:textId="77777777" w:rsidR="00382C41" w:rsidRPr="00A61161" w:rsidRDefault="00382C41" w:rsidP="009E3B14">
            <w:pPr>
              <w:contextualSpacing/>
              <w:rPr>
                <w:rFonts w:cs="Times New Roman"/>
                <w:sz w:val="20"/>
                <w:szCs w:val="20"/>
              </w:rPr>
            </w:pPr>
            <w:r w:rsidRPr="00A61161">
              <w:rPr>
                <w:rFonts w:cs="Times New Roman"/>
                <w:sz w:val="20"/>
                <w:szCs w:val="20"/>
              </w:rPr>
              <w:t>Employment status (%)</w:t>
            </w:r>
          </w:p>
        </w:tc>
        <w:tc>
          <w:tcPr>
            <w:tcW w:w="1628" w:type="dxa"/>
            <w:tcBorders>
              <w:top w:val="nil"/>
              <w:left w:val="nil"/>
              <w:bottom w:val="nil"/>
              <w:right w:val="nil"/>
            </w:tcBorders>
            <w:vAlign w:val="center"/>
          </w:tcPr>
          <w:p w14:paraId="4BA43F53" w14:textId="77777777" w:rsidR="00382C41" w:rsidRPr="00A61161" w:rsidRDefault="00382C41" w:rsidP="009E3B14">
            <w:pPr>
              <w:contextualSpacing/>
              <w:jc w:val="center"/>
              <w:rPr>
                <w:rFonts w:cs="Times New Roman"/>
                <w:sz w:val="20"/>
                <w:szCs w:val="20"/>
              </w:rPr>
            </w:pPr>
          </w:p>
        </w:tc>
        <w:tc>
          <w:tcPr>
            <w:tcW w:w="1718" w:type="dxa"/>
            <w:tcBorders>
              <w:top w:val="nil"/>
              <w:left w:val="nil"/>
              <w:bottom w:val="nil"/>
              <w:right w:val="nil"/>
            </w:tcBorders>
            <w:vAlign w:val="center"/>
          </w:tcPr>
          <w:p w14:paraId="771E30A9" w14:textId="77777777" w:rsidR="00382C41" w:rsidRPr="00A61161" w:rsidRDefault="00382C41" w:rsidP="009E3B14">
            <w:pPr>
              <w:contextualSpacing/>
              <w:jc w:val="center"/>
              <w:rPr>
                <w:rFonts w:cs="Times New Roman"/>
                <w:sz w:val="20"/>
                <w:szCs w:val="20"/>
              </w:rPr>
            </w:pPr>
          </w:p>
        </w:tc>
        <w:tc>
          <w:tcPr>
            <w:tcW w:w="1899" w:type="dxa"/>
            <w:tcBorders>
              <w:top w:val="nil"/>
              <w:left w:val="nil"/>
              <w:bottom w:val="nil"/>
              <w:right w:val="nil"/>
            </w:tcBorders>
            <w:vAlign w:val="center"/>
          </w:tcPr>
          <w:p w14:paraId="5C3DB79B" w14:textId="77777777" w:rsidR="00382C41" w:rsidRPr="00A61161" w:rsidRDefault="00382C41" w:rsidP="009E3B14">
            <w:pPr>
              <w:contextualSpacing/>
              <w:jc w:val="center"/>
              <w:rPr>
                <w:rFonts w:cs="Times New Roman"/>
                <w:sz w:val="20"/>
                <w:szCs w:val="20"/>
              </w:rPr>
            </w:pPr>
          </w:p>
        </w:tc>
      </w:tr>
      <w:tr w:rsidR="00382C41" w:rsidRPr="00A61161" w14:paraId="42B29C61" w14:textId="77777777" w:rsidTr="003D35B8">
        <w:trPr>
          <w:trHeight w:val="302"/>
        </w:trPr>
        <w:tc>
          <w:tcPr>
            <w:tcW w:w="3708" w:type="dxa"/>
            <w:tcBorders>
              <w:top w:val="nil"/>
              <w:left w:val="nil"/>
              <w:bottom w:val="nil"/>
              <w:right w:val="nil"/>
            </w:tcBorders>
            <w:vAlign w:val="center"/>
          </w:tcPr>
          <w:p w14:paraId="5BE2C65E"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Full-time</w:t>
            </w:r>
          </w:p>
        </w:tc>
        <w:tc>
          <w:tcPr>
            <w:tcW w:w="1628" w:type="dxa"/>
            <w:tcBorders>
              <w:top w:val="nil"/>
              <w:left w:val="nil"/>
              <w:bottom w:val="nil"/>
              <w:right w:val="nil"/>
            </w:tcBorders>
            <w:vAlign w:val="center"/>
          </w:tcPr>
          <w:p w14:paraId="25E0DF0A" w14:textId="77777777" w:rsidR="00382C41" w:rsidRPr="00A61161" w:rsidRDefault="00382C41" w:rsidP="009E3B14">
            <w:pPr>
              <w:contextualSpacing/>
              <w:jc w:val="center"/>
              <w:rPr>
                <w:rFonts w:cs="Times New Roman"/>
                <w:sz w:val="20"/>
                <w:szCs w:val="20"/>
              </w:rPr>
            </w:pPr>
            <w:r w:rsidRPr="00A61161">
              <w:rPr>
                <w:rFonts w:cs="Times New Roman"/>
                <w:sz w:val="20"/>
                <w:szCs w:val="20"/>
              </w:rPr>
              <w:t>12.8</w:t>
            </w:r>
          </w:p>
        </w:tc>
        <w:tc>
          <w:tcPr>
            <w:tcW w:w="1718" w:type="dxa"/>
            <w:tcBorders>
              <w:top w:val="nil"/>
              <w:left w:val="nil"/>
              <w:bottom w:val="nil"/>
              <w:right w:val="nil"/>
            </w:tcBorders>
            <w:vAlign w:val="center"/>
          </w:tcPr>
          <w:p w14:paraId="3ED942C6" w14:textId="77777777" w:rsidR="00382C41" w:rsidRPr="00A61161" w:rsidRDefault="00382C41" w:rsidP="009E3B14">
            <w:pPr>
              <w:contextualSpacing/>
              <w:jc w:val="center"/>
              <w:rPr>
                <w:rFonts w:cs="Times New Roman"/>
                <w:sz w:val="20"/>
                <w:szCs w:val="20"/>
              </w:rPr>
            </w:pPr>
            <w:r w:rsidRPr="00A61161">
              <w:rPr>
                <w:rFonts w:cs="Times New Roman"/>
                <w:sz w:val="20"/>
                <w:szCs w:val="20"/>
              </w:rPr>
              <w:t>22.1</w:t>
            </w:r>
          </w:p>
        </w:tc>
        <w:tc>
          <w:tcPr>
            <w:tcW w:w="1899" w:type="dxa"/>
            <w:tcBorders>
              <w:top w:val="nil"/>
              <w:left w:val="nil"/>
              <w:bottom w:val="nil"/>
              <w:right w:val="nil"/>
            </w:tcBorders>
            <w:vAlign w:val="center"/>
          </w:tcPr>
          <w:p w14:paraId="2FE36BFD" w14:textId="77777777" w:rsidR="00382C41" w:rsidRPr="00A61161" w:rsidRDefault="00382C41" w:rsidP="009E3B14">
            <w:pPr>
              <w:contextualSpacing/>
              <w:jc w:val="center"/>
              <w:rPr>
                <w:rFonts w:cs="Times New Roman"/>
                <w:sz w:val="20"/>
                <w:szCs w:val="20"/>
              </w:rPr>
            </w:pPr>
            <w:r w:rsidRPr="00A61161">
              <w:rPr>
                <w:rFonts w:cs="Times New Roman"/>
                <w:sz w:val="20"/>
                <w:szCs w:val="20"/>
              </w:rPr>
              <w:t>9.3</w:t>
            </w:r>
          </w:p>
        </w:tc>
      </w:tr>
      <w:tr w:rsidR="00382C41" w:rsidRPr="00A61161" w14:paraId="20CD69B6" w14:textId="77777777" w:rsidTr="003D35B8">
        <w:trPr>
          <w:trHeight w:val="302"/>
        </w:trPr>
        <w:tc>
          <w:tcPr>
            <w:tcW w:w="3708" w:type="dxa"/>
            <w:tcBorders>
              <w:top w:val="nil"/>
              <w:left w:val="nil"/>
              <w:bottom w:val="nil"/>
              <w:right w:val="nil"/>
            </w:tcBorders>
            <w:vAlign w:val="center"/>
          </w:tcPr>
          <w:p w14:paraId="59261C6A"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Part-time</w:t>
            </w:r>
          </w:p>
        </w:tc>
        <w:tc>
          <w:tcPr>
            <w:tcW w:w="1628" w:type="dxa"/>
            <w:tcBorders>
              <w:top w:val="nil"/>
              <w:left w:val="nil"/>
              <w:bottom w:val="nil"/>
              <w:right w:val="nil"/>
            </w:tcBorders>
            <w:vAlign w:val="center"/>
          </w:tcPr>
          <w:p w14:paraId="261CECEB" w14:textId="77777777" w:rsidR="00382C41" w:rsidRPr="00A61161" w:rsidRDefault="00382C41" w:rsidP="009E3B14">
            <w:pPr>
              <w:contextualSpacing/>
              <w:jc w:val="center"/>
              <w:rPr>
                <w:rFonts w:cs="Times New Roman"/>
                <w:sz w:val="20"/>
                <w:szCs w:val="20"/>
              </w:rPr>
            </w:pPr>
            <w:r w:rsidRPr="00A61161">
              <w:rPr>
                <w:rFonts w:cs="Times New Roman"/>
                <w:sz w:val="20"/>
                <w:szCs w:val="20"/>
              </w:rPr>
              <w:t>59</w:t>
            </w:r>
          </w:p>
        </w:tc>
        <w:tc>
          <w:tcPr>
            <w:tcW w:w="1718" w:type="dxa"/>
            <w:tcBorders>
              <w:top w:val="nil"/>
              <w:left w:val="nil"/>
              <w:bottom w:val="nil"/>
              <w:right w:val="nil"/>
            </w:tcBorders>
            <w:vAlign w:val="center"/>
          </w:tcPr>
          <w:p w14:paraId="3EB9C81E" w14:textId="77777777" w:rsidR="00382C41" w:rsidRPr="00A61161" w:rsidRDefault="00382C41" w:rsidP="009E3B14">
            <w:pPr>
              <w:contextualSpacing/>
              <w:jc w:val="center"/>
              <w:rPr>
                <w:rFonts w:cs="Times New Roman"/>
                <w:sz w:val="20"/>
                <w:szCs w:val="20"/>
              </w:rPr>
            </w:pPr>
            <w:r w:rsidRPr="00A61161">
              <w:rPr>
                <w:rFonts w:cs="Times New Roman"/>
                <w:sz w:val="20"/>
                <w:szCs w:val="20"/>
              </w:rPr>
              <w:t>54.5</w:t>
            </w:r>
          </w:p>
        </w:tc>
        <w:tc>
          <w:tcPr>
            <w:tcW w:w="1899" w:type="dxa"/>
            <w:tcBorders>
              <w:top w:val="nil"/>
              <w:left w:val="nil"/>
              <w:bottom w:val="nil"/>
              <w:right w:val="nil"/>
            </w:tcBorders>
            <w:vAlign w:val="center"/>
          </w:tcPr>
          <w:p w14:paraId="783EEB15" w14:textId="77777777" w:rsidR="00382C41" w:rsidRPr="00A61161" w:rsidRDefault="00382C41" w:rsidP="009E3B14">
            <w:pPr>
              <w:contextualSpacing/>
              <w:jc w:val="center"/>
              <w:rPr>
                <w:rFonts w:cs="Times New Roman"/>
                <w:sz w:val="20"/>
                <w:szCs w:val="20"/>
              </w:rPr>
            </w:pPr>
            <w:r w:rsidRPr="00A61161">
              <w:rPr>
                <w:rFonts w:cs="Times New Roman"/>
                <w:sz w:val="20"/>
                <w:szCs w:val="20"/>
              </w:rPr>
              <w:t>62.7</w:t>
            </w:r>
          </w:p>
        </w:tc>
      </w:tr>
      <w:tr w:rsidR="00382C41" w:rsidRPr="00A61161" w14:paraId="2CF8956F" w14:textId="77777777" w:rsidTr="003D35B8">
        <w:trPr>
          <w:trHeight w:val="302"/>
        </w:trPr>
        <w:tc>
          <w:tcPr>
            <w:tcW w:w="3708" w:type="dxa"/>
            <w:tcBorders>
              <w:top w:val="nil"/>
              <w:left w:val="nil"/>
              <w:bottom w:val="nil"/>
              <w:right w:val="nil"/>
            </w:tcBorders>
            <w:vAlign w:val="center"/>
          </w:tcPr>
          <w:p w14:paraId="035D1FF2"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Unemployed</w:t>
            </w:r>
          </w:p>
        </w:tc>
        <w:tc>
          <w:tcPr>
            <w:tcW w:w="1628" w:type="dxa"/>
            <w:tcBorders>
              <w:top w:val="nil"/>
              <w:left w:val="nil"/>
              <w:bottom w:val="nil"/>
              <w:right w:val="nil"/>
            </w:tcBorders>
            <w:vAlign w:val="center"/>
          </w:tcPr>
          <w:p w14:paraId="269F3C91" w14:textId="77777777" w:rsidR="00382C41" w:rsidRPr="00A61161" w:rsidRDefault="00382C41" w:rsidP="009E3B14">
            <w:pPr>
              <w:contextualSpacing/>
              <w:jc w:val="center"/>
              <w:rPr>
                <w:rFonts w:cs="Times New Roman"/>
                <w:sz w:val="20"/>
                <w:szCs w:val="20"/>
              </w:rPr>
            </w:pPr>
            <w:r w:rsidRPr="00A61161">
              <w:rPr>
                <w:rFonts w:cs="Times New Roman"/>
                <w:sz w:val="20"/>
                <w:szCs w:val="20"/>
              </w:rPr>
              <w:t>28.2</w:t>
            </w:r>
          </w:p>
        </w:tc>
        <w:tc>
          <w:tcPr>
            <w:tcW w:w="1718" w:type="dxa"/>
            <w:tcBorders>
              <w:top w:val="nil"/>
              <w:left w:val="nil"/>
              <w:bottom w:val="nil"/>
              <w:right w:val="nil"/>
            </w:tcBorders>
            <w:vAlign w:val="center"/>
          </w:tcPr>
          <w:p w14:paraId="45E33C40" w14:textId="77777777" w:rsidR="00382C41" w:rsidRPr="00A61161" w:rsidRDefault="00382C41" w:rsidP="009E3B14">
            <w:pPr>
              <w:contextualSpacing/>
              <w:jc w:val="center"/>
              <w:rPr>
                <w:rFonts w:cs="Times New Roman"/>
                <w:sz w:val="20"/>
                <w:szCs w:val="20"/>
              </w:rPr>
            </w:pPr>
            <w:r w:rsidRPr="00A61161">
              <w:rPr>
                <w:rFonts w:cs="Times New Roman"/>
                <w:sz w:val="20"/>
                <w:szCs w:val="20"/>
              </w:rPr>
              <w:t>23.4</w:t>
            </w:r>
          </w:p>
        </w:tc>
        <w:tc>
          <w:tcPr>
            <w:tcW w:w="1899" w:type="dxa"/>
            <w:tcBorders>
              <w:top w:val="nil"/>
              <w:left w:val="nil"/>
              <w:bottom w:val="nil"/>
              <w:right w:val="nil"/>
            </w:tcBorders>
            <w:vAlign w:val="center"/>
          </w:tcPr>
          <w:p w14:paraId="398B3838" w14:textId="77777777" w:rsidR="00382C41" w:rsidRPr="00A61161" w:rsidRDefault="00382C41" w:rsidP="009E3B14">
            <w:pPr>
              <w:contextualSpacing/>
              <w:jc w:val="center"/>
              <w:rPr>
                <w:rFonts w:cs="Times New Roman"/>
                <w:sz w:val="20"/>
                <w:szCs w:val="20"/>
              </w:rPr>
            </w:pPr>
            <w:r w:rsidRPr="00A61161">
              <w:rPr>
                <w:rFonts w:cs="Times New Roman"/>
                <w:sz w:val="20"/>
                <w:szCs w:val="20"/>
              </w:rPr>
              <w:t>28</w:t>
            </w:r>
          </w:p>
        </w:tc>
      </w:tr>
      <w:tr w:rsidR="00382C41" w:rsidRPr="00A61161" w14:paraId="3CBCE574" w14:textId="77777777" w:rsidTr="003D35B8">
        <w:trPr>
          <w:trHeight w:val="302"/>
        </w:trPr>
        <w:tc>
          <w:tcPr>
            <w:tcW w:w="3708" w:type="dxa"/>
            <w:tcBorders>
              <w:top w:val="nil"/>
              <w:left w:val="nil"/>
              <w:bottom w:val="nil"/>
              <w:right w:val="nil"/>
            </w:tcBorders>
            <w:vAlign w:val="center"/>
          </w:tcPr>
          <w:p w14:paraId="57899C0A" w14:textId="77777777" w:rsidR="00382C41" w:rsidRPr="00A61161" w:rsidRDefault="00382C41" w:rsidP="009E3B14">
            <w:pPr>
              <w:contextualSpacing/>
              <w:rPr>
                <w:rFonts w:cs="Times New Roman"/>
                <w:sz w:val="20"/>
                <w:szCs w:val="20"/>
              </w:rPr>
            </w:pPr>
            <w:r w:rsidRPr="00A61161">
              <w:rPr>
                <w:rFonts w:cs="Times New Roman"/>
                <w:sz w:val="20"/>
                <w:szCs w:val="20"/>
              </w:rPr>
              <w:t>Student enrollment status (%)</w:t>
            </w:r>
          </w:p>
        </w:tc>
        <w:tc>
          <w:tcPr>
            <w:tcW w:w="1628" w:type="dxa"/>
            <w:tcBorders>
              <w:top w:val="nil"/>
              <w:left w:val="nil"/>
              <w:bottom w:val="nil"/>
              <w:right w:val="nil"/>
            </w:tcBorders>
            <w:vAlign w:val="center"/>
          </w:tcPr>
          <w:p w14:paraId="553407DE" w14:textId="77777777" w:rsidR="00382C41" w:rsidRPr="00A61161" w:rsidRDefault="00382C41" w:rsidP="009E3B14">
            <w:pPr>
              <w:contextualSpacing/>
              <w:jc w:val="center"/>
              <w:rPr>
                <w:rFonts w:cs="Times New Roman"/>
                <w:sz w:val="20"/>
                <w:szCs w:val="20"/>
              </w:rPr>
            </w:pPr>
          </w:p>
        </w:tc>
        <w:tc>
          <w:tcPr>
            <w:tcW w:w="1718" w:type="dxa"/>
            <w:tcBorders>
              <w:top w:val="nil"/>
              <w:left w:val="nil"/>
              <w:bottom w:val="nil"/>
              <w:right w:val="nil"/>
            </w:tcBorders>
            <w:vAlign w:val="center"/>
          </w:tcPr>
          <w:p w14:paraId="481EC07E" w14:textId="77777777" w:rsidR="00382C41" w:rsidRPr="00A61161" w:rsidRDefault="00382C41" w:rsidP="009E3B14">
            <w:pPr>
              <w:contextualSpacing/>
              <w:jc w:val="center"/>
              <w:rPr>
                <w:rFonts w:cs="Times New Roman"/>
                <w:sz w:val="20"/>
                <w:szCs w:val="20"/>
              </w:rPr>
            </w:pPr>
          </w:p>
        </w:tc>
        <w:tc>
          <w:tcPr>
            <w:tcW w:w="1899" w:type="dxa"/>
            <w:tcBorders>
              <w:top w:val="nil"/>
              <w:left w:val="nil"/>
              <w:bottom w:val="nil"/>
              <w:right w:val="nil"/>
            </w:tcBorders>
            <w:vAlign w:val="center"/>
          </w:tcPr>
          <w:p w14:paraId="5ECB6A61" w14:textId="77777777" w:rsidR="00382C41" w:rsidRPr="00A61161" w:rsidRDefault="00382C41" w:rsidP="009E3B14">
            <w:pPr>
              <w:contextualSpacing/>
              <w:jc w:val="center"/>
              <w:rPr>
                <w:rFonts w:cs="Times New Roman"/>
                <w:sz w:val="20"/>
                <w:szCs w:val="20"/>
              </w:rPr>
            </w:pPr>
          </w:p>
        </w:tc>
      </w:tr>
      <w:tr w:rsidR="00382C41" w:rsidRPr="00A61161" w14:paraId="0210E6ED" w14:textId="77777777" w:rsidTr="003D35B8">
        <w:trPr>
          <w:trHeight w:val="302"/>
        </w:trPr>
        <w:tc>
          <w:tcPr>
            <w:tcW w:w="3708" w:type="dxa"/>
            <w:tcBorders>
              <w:top w:val="nil"/>
              <w:left w:val="nil"/>
              <w:bottom w:val="nil"/>
              <w:right w:val="nil"/>
            </w:tcBorders>
            <w:vAlign w:val="center"/>
          </w:tcPr>
          <w:p w14:paraId="35BB614B" w14:textId="77777777" w:rsidR="00382C41" w:rsidRPr="00A61161" w:rsidRDefault="00382C41" w:rsidP="009E3B14">
            <w:pPr>
              <w:contextualSpacing/>
              <w:rPr>
                <w:rFonts w:cs="Times New Roman"/>
                <w:sz w:val="20"/>
                <w:szCs w:val="20"/>
              </w:rPr>
            </w:pPr>
            <w:r w:rsidRPr="00A61161">
              <w:rPr>
                <w:rFonts w:cs="Times New Roman"/>
                <w:i/>
                <w:iCs/>
                <w:sz w:val="20"/>
                <w:szCs w:val="20"/>
              </w:rPr>
              <w:t xml:space="preserve">     Full-time</w:t>
            </w:r>
          </w:p>
        </w:tc>
        <w:tc>
          <w:tcPr>
            <w:tcW w:w="1628" w:type="dxa"/>
            <w:tcBorders>
              <w:top w:val="nil"/>
              <w:left w:val="nil"/>
              <w:bottom w:val="nil"/>
              <w:right w:val="nil"/>
            </w:tcBorders>
            <w:vAlign w:val="center"/>
          </w:tcPr>
          <w:p w14:paraId="70903F07" w14:textId="77777777" w:rsidR="00382C41" w:rsidRPr="00A61161" w:rsidRDefault="00382C41" w:rsidP="009E3B14">
            <w:pPr>
              <w:contextualSpacing/>
              <w:jc w:val="center"/>
              <w:rPr>
                <w:rFonts w:cs="Times New Roman"/>
                <w:sz w:val="20"/>
                <w:szCs w:val="20"/>
              </w:rPr>
            </w:pPr>
            <w:r w:rsidRPr="00A61161">
              <w:rPr>
                <w:rFonts w:cs="Times New Roman"/>
                <w:sz w:val="20"/>
                <w:szCs w:val="20"/>
              </w:rPr>
              <w:t>92.3</w:t>
            </w:r>
          </w:p>
        </w:tc>
        <w:tc>
          <w:tcPr>
            <w:tcW w:w="1718" w:type="dxa"/>
            <w:tcBorders>
              <w:top w:val="nil"/>
              <w:left w:val="nil"/>
              <w:bottom w:val="nil"/>
              <w:right w:val="nil"/>
            </w:tcBorders>
            <w:vAlign w:val="center"/>
          </w:tcPr>
          <w:p w14:paraId="68CEE601" w14:textId="77777777" w:rsidR="00382C41" w:rsidRPr="00A61161" w:rsidRDefault="00382C41" w:rsidP="009E3B14">
            <w:pPr>
              <w:contextualSpacing/>
              <w:jc w:val="center"/>
              <w:rPr>
                <w:rFonts w:cs="Times New Roman"/>
                <w:sz w:val="20"/>
                <w:szCs w:val="20"/>
              </w:rPr>
            </w:pPr>
            <w:r w:rsidRPr="00A61161">
              <w:rPr>
                <w:rFonts w:cs="Times New Roman"/>
                <w:sz w:val="20"/>
                <w:szCs w:val="20"/>
              </w:rPr>
              <w:t>84.4</w:t>
            </w:r>
          </w:p>
        </w:tc>
        <w:tc>
          <w:tcPr>
            <w:tcW w:w="1899" w:type="dxa"/>
            <w:tcBorders>
              <w:top w:val="nil"/>
              <w:left w:val="nil"/>
              <w:bottom w:val="nil"/>
              <w:right w:val="nil"/>
            </w:tcBorders>
            <w:vAlign w:val="center"/>
          </w:tcPr>
          <w:p w14:paraId="645A94F2" w14:textId="77777777" w:rsidR="00382C41" w:rsidRPr="00A61161" w:rsidRDefault="00382C41" w:rsidP="009E3B14">
            <w:pPr>
              <w:contextualSpacing/>
              <w:jc w:val="center"/>
              <w:rPr>
                <w:rFonts w:cs="Times New Roman"/>
                <w:sz w:val="20"/>
                <w:szCs w:val="20"/>
              </w:rPr>
            </w:pPr>
            <w:r w:rsidRPr="00A61161">
              <w:rPr>
                <w:rFonts w:cs="Times New Roman"/>
                <w:sz w:val="20"/>
                <w:szCs w:val="20"/>
              </w:rPr>
              <w:t>85.3</w:t>
            </w:r>
          </w:p>
        </w:tc>
      </w:tr>
      <w:tr w:rsidR="00382C41" w:rsidRPr="00A61161" w14:paraId="60F5B5A8" w14:textId="77777777" w:rsidTr="003D35B8">
        <w:trPr>
          <w:trHeight w:val="302"/>
        </w:trPr>
        <w:tc>
          <w:tcPr>
            <w:tcW w:w="3708" w:type="dxa"/>
            <w:tcBorders>
              <w:top w:val="nil"/>
              <w:left w:val="nil"/>
              <w:bottom w:val="nil"/>
              <w:right w:val="nil"/>
            </w:tcBorders>
            <w:vAlign w:val="center"/>
          </w:tcPr>
          <w:p w14:paraId="5D77D1DC" w14:textId="77777777" w:rsidR="00382C41" w:rsidRPr="00A61161" w:rsidRDefault="00382C41" w:rsidP="009E3B14">
            <w:pPr>
              <w:contextualSpacing/>
              <w:rPr>
                <w:rFonts w:cs="Times New Roman"/>
                <w:sz w:val="20"/>
                <w:szCs w:val="20"/>
              </w:rPr>
            </w:pPr>
            <w:r w:rsidRPr="00A61161">
              <w:rPr>
                <w:rFonts w:cs="Times New Roman"/>
                <w:i/>
                <w:iCs/>
                <w:sz w:val="20"/>
                <w:szCs w:val="20"/>
              </w:rPr>
              <w:t xml:space="preserve">     Part-time</w:t>
            </w:r>
          </w:p>
        </w:tc>
        <w:tc>
          <w:tcPr>
            <w:tcW w:w="1628" w:type="dxa"/>
            <w:tcBorders>
              <w:top w:val="nil"/>
              <w:left w:val="nil"/>
              <w:bottom w:val="nil"/>
              <w:right w:val="nil"/>
            </w:tcBorders>
            <w:vAlign w:val="center"/>
          </w:tcPr>
          <w:p w14:paraId="58BAD4DE" w14:textId="77777777" w:rsidR="00382C41" w:rsidRPr="00A61161" w:rsidRDefault="00382C41" w:rsidP="009E3B14">
            <w:pPr>
              <w:contextualSpacing/>
              <w:jc w:val="center"/>
              <w:rPr>
                <w:rFonts w:cs="Times New Roman"/>
                <w:sz w:val="20"/>
                <w:szCs w:val="20"/>
              </w:rPr>
            </w:pPr>
            <w:r w:rsidRPr="00A61161">
              <w:rPr>
                <w:rFonts w:cs="Times New Roman"/>
                <w:sz w:val="20"/>
                <w:szCs w:val="20"/>
              </w:rPr>
              <w:t>7.7</w:t>
            </w:r>
          </w:p>
        </w:tc>
        <w:tc>
          <w:tcPr>
            <w:tcW w:w="1718" w:type="dxa"/>
            <w:tcBorders>
              <w:top w:val="nil"/>
              <w:left w:val="nil"/>
              <w:bottom w:val="nil"/>
              <w:right w:val="nil"/>
            </w:tcBorders>
            <w:vAlign w:val="center"/>
          </w:tcPr>
          <w:p w14:paraId="1285215E" w14:textId="77777777" w:rsidR="00382C41" w:rsidRPr="00A61161" w:rsidRDefault="00382C41" w:rsidP="009E3B14">
            <w:pPr>
              <w:contextualSpacing/>
              <w:jc w:val="center"/>
              <w:rPr>
                <w:rFonts w:cs="Times New Roman"/>
                <w:sz w:val="20"/>
                <w:szCs w:val="20"/>
              </w:rPr>
            </w:pPr>
            <w:r w:rsidRPr="00A61161">
              <w:rPr>
                <w:rFonts w:cs="Times New Roman"/>
                <w:sz w:val="20"/>
                <w:szCs w:val="20"/>
              </w:rPr>
              <w:t>15.6</w:t>
            </w:r>
          </w:p>
        </w:tc>
        <w:tc>
          <w:tcPr>
            <w:tcW w:w="1899" w:type="dxa"/>
            <w:tcBorders>
              <w:top w:val="nil"/>
              <w:left w:val="nil"/>
              <w:bottom w:val="nil"/>
              <w:right w:val="nil"/>
            </w:tcBorders>
            <w:vAlign w:val="center"/>
          </w:tcPr>
          <w:p w14:paraId="185DC906" w14:textId="77777777" w:rsidR="00382C41" w:rsidRPr="00A61161" w:rsidRDefault="00382C41" w:rsidP="009E3B14">
            <w:pPr>
              <w:contextualSpacing/>
              <w:jc w:val="center"/>
              <w:rPr>
                <w:rFonts w:cs="Times New Roman"/>
                <w:sz w:val="20"/>
                <w:szCs w:val="20"/>
              </w:rPr>
            </w:pPr>
            <w:r w:rsidRPr="00A61161">
              <w:rPr>
                <w:rFonts w:cs="Times New Roman"/>
                <w:sz w:val="20"/>
                <w:szCs w:val="20"/>
              </w:rPr>
              <w:t>13.3</w:t>
            </w:r>
          </w:p>
        </w:tc>
      </w:tr>
      <w:tr w:rsidR="00382C41" w:rsidRPr="00A61161" w14:paraId="521572D0" w14:textId="77777777" w:rsidTr="003D35B8">
        <w:trPr>
          <w:trHeight w:val="302"/>
        </w:trPr>
        <w:tc>
          <w:tcPr>
            <w:tcW w:w="3708" w:type="dxa"/>
            <w:tcBorders>
              <w:top w:val="nil"/>
              <w:left w:val="nil"/>
              <w:bottom w:val="nil"/>
              <w:right w:val="nil"/>
            </w:tcBorders>
            <w:vAlign w:val="center"/>
          </w:tcPr>
          <w:p w14:paraId="4D46DD00"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Not enrolled in classes</w:t>
            </w:r>
          </w:p>
        </w:tc>
        <w:tc>
          <w:tcPr>
            <w:tcW w:w="1628" w:type="dxa"/>
            <w:tcBorders>
              <w:top w:val="nil"/>
              <w:left w:val="nil"/>
              <w:bottom w:val="nil"/>
              <w:right w:val="nil"/>
            </w:tcBorders>
            <w:vAlign w:val="center"/>
          </w:tcPr>
          <w:p w14:paraId="32992337" w14:textId="77777777" w:rsidR="00382C41" w:rsidRPr="00A61161" w:rsidRDefault="00382C41" w:rsidP="009E3B14">
            <w:pPr>
              <w:contextualSpacing/>
              <w:jc w:val="center"/>
              <w:rPr>
                <w:rFonts w:cs="Times New Roman"/>
                <w:sz w:val="20"/>
                <w:szCs w:val="20"/>
              </w:rPr>
            </w:pPr>
            <w:r w:rsidRPr="00A61161">
              <w:rPr>
                <w:rFonts w:cs="Times New Roman"/>
                <w:sz w:val="20"/>
                <w:szCs w:val="20"/>
              </w:rPr>
              <w:t>0</w:t>
            </w:r>
          </w:p>
        </w:tc>
        <w:tc>
          <w:tcPr>
            <w:tcW w:w="1718" w:type="dxa"/>
            <w:tcBorders>
              <w:top w:val="nil"/>
              <w:left w:val="nil"/>
              <w:bottom w:val="nil"/>
              <w:right w:val="nil"/>
            </w:tcBorders>
            <w:vAlign w:val="center"/>
          </w:tcPr>
          <w:p w14:paraId="37E8C322" w14:textId="77777777" w:rsidR="00382C41" w:rsidRPr="00A61161" w:rsidRDefault="00382C41" w:rsidP="009E3B14">
            <w:pPr>
              <w:contextualSpacing/>
              <w:jc w:val="center"/>
              <w:rPr>
                <w:rFonts w:cs="Times New Roman"/>
                <w:sz w:val="20"/>
                <w:szCs w:val="20"/>
              </w:rPr>
            </w:pPr>
            <w:r w:rsidRPr="00A61161">
              <w:rPr>
                <w:rFonts w:cs="Times New Roman"/>
                <w:sz w:val="20"/>
                <w:szCs w:val="20"/>
              </w:rPr>
              <w:t>0</w:t>
            </w:r>
          </w:p>
        </w:tc>
        <w:tc>
          <w:tcPr>
            <w:tcW w:w="1899" w:type="dxa"/>
            <w:tcBorders>
              <w:top w:val="nil"/>
              <w:left w:val="nil"/>
              <w:bottom w:val="nil"/>
              <w:right w:val="nil"/>
            </w:tcBorders>
            <w:vAlign w:val="center"/>
          </w:tcPr>
          <w:p w14:paraId="7792B422" w14:textId="77777777" w:rsidR="00382C41" w:rsidRPr="00A61161" w:rsidRDefault="00382C41" w:rsidP="009E3B14">
            <w:pPr>
              <w:contextualSpacing/>
              <w:jc w:val="center"/>
              <w:rPr>
                <w:rFonts w:cs="Times New Roman"/>
                <w:sz w:val="20"/>
                <w:szCs w:val="20"/>
              </w:rPr>
            </w:pPr>
            <w:r w:rsidRPr="00A61161">
              <w:rPr>
                <w:rFonts w:cs="Times New Roman"/>
                <w:sz w:val="20"/>
                <w:szCs w:val="20"/>
              </w:rPr>
              <w:t>1.3</w:t>
            </w:r>
          </w:p>
        </w:tc>
      </w:tr>
      <w:tr w:rsidR="00382C41" w:rsidRPr="00A61161" w14:paraId="1BEF6A00" w14:textId="77777777" w:rsidTr="003D35B8">
        <w:trPr>
          <w:trHeight w:val="302"/>
        </w:trPr>
        <w:tc>
          <w:tcPr>
            <w:tcW w:w="3708" w:type="dxa"/>
            <w:tcBorders>
              <w:top w:val="nil"/>
              <w:left w:val="nil"/>
              <w:bottom w:val="nil"/>
              <w:right w:val="nil"/>
            </w:tcBorders>
            <w:vAlign w:val="center"/>
          </w:tcPr>
          <w:p w14:paraId="1BE27626" w14:textId="77777777" w:rsidR="00382C41" w:rsidRPr="00A61161" w:rsidRDefault="00382C41" w:rsidP="009E3B14">
            <w:pPr>
              <w:contextualSpacing/>
              <w:rPr>
                <w:rFonts w:cs="Times New Roman"/>
                <w:sz w:val="20"/>
                <w:szCs w:val="20"/>
              </w:rPr>
            </w:pPr>
            <w:r w:rsidRPr="00A61161">
              <w:rPr>
                <w:rFonts w:cs="Times New Roman"/>
                <w:sz w:val="20"/>
                <w:szCs w:val="20"/>
              </w:rPr>
              <w:t>Academic year (%)</w:t>
            </w:r>
          </w:p>
        </w:tc>
        <w:tc>
          <w:tcPr>
            <w:tcW w:w="1628" w:type="dxa"/>
            <w:tcBorders>
              <w:top w:val="nil"/>
              <w:left w:val="nil"/>
              <w:bottom w:val="nil"/>
              <w:right w:val="nil"/>
            </w:tcBorders>
            <w:vAlign w:val="center"/>
          </w:tcPr>
          <w:p w14:paraId="59DB4873" w14:textId="77777777" w:rsidR="00382C41" w:rsidRPr="00A61161" w:rsidRDefault="00382C41" w:rsidP="009E3B14">
            <w:pPr>
              <w:contextualSpacing/>
              <w:jc w:val="center"/>
              <w:rPr>
                <w:rFonts w:cs="Times New Roman"/>
                <w:sz w:val="20"/>
                <w:szCs w:val="20"/>
              </w:rPr>
            </w:pPr>
          </w:p>
        </w:tc>
        <w:tc>
          <w:tcPr>
            <w:tcW w:w="1718" w:type="dxa"/>
            <w:tcBorders>
              <w:top w:val="nil"/>
              <w:left w:val="nil"/>
              <w:bottom w:val="nil"/>
              <w:right w:val="nil"/>
            </w:tcBorders>
            <w:vAlign w:val="center"/>
          </w:tcPr>
          <w:p w14:paraId="4C7749E7" w14:textId="77777777" w:rsidR="00382C41" w:rsidRPr="00A61161" w:rsidRDefault="00382C41" w:rsidP="009E3B14">
            <w:pPr>
              <w:contextualSpacing/>
              <w:jc w:val="center"/>
              <w:rPr>
                <w:rFonts w:cs="Times New Roman"/>
                <w:sz w:val="20"/>
                <w:szCs w:val="20"/>
              </w:rPr>
            </w:pPr>
          </w:p>
        </w:tc>
        <w:tc>
          <w:tcPr>
            <w:tcW w:w="1899" w:type="dxa"/>
            <w:tcBorders>
              <w:top w:val="nil"/>
              <w:left w:val="nil"/>
              <w:bottom w:val="nil"/>
              <w:right w:val="nil"/>
            </w:tcBorders>
            <w:vAlign w:val="center"/>
          </w:tcPr>
          <w:p w14:paraId="175B12DD" w14:textId="77777777" w:rsidR="00382C41" w:rsidRPr="00A61161" w:rsidRDefault="00382C41" w:rsidP="009E3B14">
            <w:pPr>
              <w:contextualSpacing/>
              <w:jc w:val="center"/>
              <w:rPr>
                <w:rFonts w:cs="Times New Roman"/>
                <w:sz w:val="20"/>
                <w:szCs w:val="20"/>
              </w:rPr>
            </w:pPr>
          </w:p>
        </w:tc>
      </w:tr>
      <w:tr w:rsidR="00382C41" w:rsidRPr="00A61161" w14:paraId="1EC6C4C2" w14:textId="77777777" w:rsidTr="003D35B8">
        <w:trPr>
          <w:trHeight w:val="302"/>
        </w:trPr>
        <w:tc>
          <w:tcPr>
            <w:tcW w:w="3708" w:type="dxa"/>
            <w:tcBorders>
              <w:top w:val="nil"/>
              <w:left w:val="nil"/>
              <w:bottom w:val="nil"/>
              <w:right w:val="nil"/>
            </w:tcBorders>
            <w:vAlign w:val="center"/>
          </w:tcPr>
          <w:p w14:paraId="4AC240F0"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First year</w:t>
            </w:r>
          </w:p>
        </w:tc>
        <w:tc>
          <w:tcPr>
            <w:tcW w:w="1628" w:type="dxa"/>
            <w:tcBorders>
              <w:top w:val="nil"/>
              <w:left w:val="nil"/>
              <w:bottom w:val="nil"/>
              <w:right w:val="nil"/>
            </w:tcBorders>
            <w:vAlign w:val="center"/>
          </w:tcPr>
          <w:p w14:paraId="19422735" w14:textId="77777777" w:rsidR="00382C41" w:rsidRPr="00A61161" w:rsidRDefault="00382C41" w:rsidP="009E3B14">
            <w:pPr>
              <w:contextualSpacing/>
              <w:jc w:val="center"/>
              <w:rPr>
                <w:rFonts w:cs="Times New Roman"/>
                <w:sz w:val="20"/>
                <w:szCs w:val="20"/>
              </w:rPr>
            </w:pPr>
            <w:r w:rsidRPr="00A61161">
              <w:rPr>
                <w:rFonts w:cs="Times New Roman"/>
                <w:sz w:val="20"/>
                <w:szCs w:val="20"/>
              </w:rPr>
              <w:t>23.1</w:t>
            </w:r>
          </w:p>
        </w:tc>
        <w:tc>
          <w:tcPr>
            <w:tcW w:w="1718" w:type="dxa"/>
            <w:tcBorders>
              <w:top w:val="nil"/>
              <w:left w:val="nil"/>
              <w:bottom w:val="nil"/>
              <w:right w:val="nil"/>
            </w:tcBorders>
            <w:vAlign w:val="center"/>
          </w:tcPr>
          <w:p w14:paraId="19E6E4F0" w14:textId="77777777" w:rsidR="00382C41" w:rsidRPr="00A61161" w:rsidRDefault="00382C41" w:rsidP="009E3B14">
            <w:pPr>
              <w:contextualSpacing/>
              <w:jc w:val="center"/>
              <w:rPr>
                <w:rFonts w:cs="Times New Roman"/>
                <w:sz w:val="20"/>
                <w:szCs w:val="20"/>
              </w:rPr>
            </w:pPr>
            <w:r w:rsidRPr="00A61161">
              <w:rPr>
                <w:rFonts w:cs="Times New Roman"/>
                <w:sz w:val="20"/>
                <w:szCs w:val="20"/>
              </w:rPr>
              <w:t>32.5</w:t>
            </w:r>
          </w:p>
        </w:tc>
        <w:tc>
          <w:tcPr>
            <w:tcW w:w="1899" w:type="dxa"/>
            <w:tcBorders>
              <w:top w:val="nil"/>
              <w:left w:val="nil"/>
              <w:bottom w:val="nil"/>
              <w:right w:val="nil"/>
            </w:tcBorders>
            <w:vAlign w:val="center"/>
          </w:tcPr>
          <w:p w14:paraId="49E98602" w14:textId="77777777" w:rsidR="00382C41" w:rsidRPr="00A61161" w:rsidRDefault="00382C41" w:rsidP="009E3B14">
            <w:pPr>
              <w:contextualSpacing/>
              <w:jc w:val="center"/>
              <w:rPr>
                <w:rFonts w:cs="Times New Roman"/>
                <w:sz w:val="20"/>
                <w:szCs w:val="20"/>
              </w:rPr>
            </w:pPr>
            <w:r w:rsidRPr="00A61161">
              <w:rPr>
                <w:rFonts w:cs="Times New Roman"/>
                <w:sz w:val="20"/>
                <w:szCs w:val="20"/>
              </w:rPr>
              <w:t>29.3</w:t>
            </w:r>
          </w:p>
        </w:tc>
      </w:tr>
      <w:tr w:rsidR="00382C41" w:rsidRPr="00A61161" w14:paraId="7ECE15FB" w14:textId="77777777" w:rsidTr="003D35B8">
        <w:trPr>
          <w:trHeight w:val="302"/>
        </w:trPr>
        <w:tc>
          <w:tcPr>
            <w:tcW w:w="3708" w:type="dxa"/>
            <w:tcBorders>
              <w:top w:val="nil"/>
              <w:left w:val="nil"/>
              <w:bottom w:val="nil"/>
              <w:right w:val="nil"/>
            </w:tcBorders>
            <w:vAlign w:val="center"/>
          </w:tcPr>
          <w:p w14:paraId="4A770BA3"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Second year</w:t>
            </w:r>
          </w:p>
        </w:tc>
        <w:tc>
          <w:tcPr>
            <w:tcW w:w="1628" w:type="dxa"/>
            <w:tcBorders>
              <w:top w:val="nil"/>
              <w:left w:val="nil"/>
              <w:bottom w:val="nil"/>
              <w:right w:val="nil"/>
            </w:tcBorders>
            <w:vAlign w:val="center"/>
          </w:tcPr>
          <w:p w14:paraId="540638CA" w14:textId="77777777" w:rsidR="00382C41" w:rsidRPr="00A61161" w:rsidRDefault="00382C41" w:rsidP="009E3B14">
            <w:pPr>
              <w:contextualSpacing/>
              <w:jc w:val="center"/>
              <w:rPr>
                <w:rFonts w:cs="Times New Roman"/>
                <w:sz w:val="20"/>
                <w:szCs w:val="20"/>
              </w:rPr>
            </w:pPr>
            <w:r w:rsidRPr="00A61161">
              <w:rPr>
                <w:rFonts w:cs="Times New Roman"/>
                <w:sz w:val="20"/>
                <w:szCs w:val="20"/>
              </w:rPr>
              <w:t>32.1</w:t>
            </w:r>
          </w:p>
        </w:tc>
        <w:tc>
          <w:tcPr>
            <w:tcW w:w="1718" w:type="dxa"/>
            <w:tcBorders>
              <w:top w:val="nil"/>
              <w:left w:val="nil"/>
              <w:bottom w:val="nil"/>
              <w:right w:val="nil"/>
            </w:tcBorders>
            <w:vAlign w:val="center"/>
          </w:tcPr>
          <w:p w14:paraId="0DBD8FA7" w14:textId="77777777" w:rsidR="00382C41" w:rsidRPr="00A61161" w:rsidRDefault="00382C41" w:rsidP="009E3B14">
            <w:pPr>
              <w:contextualSpacing/>
              <w:jc w:val="center"/>
              <w:rPr>
                <w:rFonts w:cs="Times New Roman"/>
                <w:sz w:val="20"/>
                <w:szCs w:val="20"/>
              </w:rPr>
            </w:pPr>
            <w:r w:rsidRPr="00A61161">
              <w:rPr>
                <w:rFonts w:cs="Times New Roman"/>
                <w:sz w:val="20"/>
                <w:szCs w:val="20"/>
              </w:rPr>
              <w:t>22.1</w:t>
            </w:r>
          </w:p>
        </w:tc>
        <w:tc>
          <w:tcPr>
            <w:tcW w:w="1899" w:type="dxa"/>
            <w:tcBorders>
              <w:top w:val="nil"/>
              <w:left w:val="nil"/>
              <w:bottom w:val="nil"/>
              <w:right w:val="nil"/>
            </w:tcBorders>
            <w:vAlign w:val="center"/>
          </w:tcPr>
          <w:p w14:paraId="3C3CAD38" w14:textId="77777777" w:rsidR="00382C41" w:rsidRPr="00A61161" w:rsidRDefault="00382C41" w:rsidP="009E3B14">
            <w:pPr>
              <w:contextualSpacing/>
              <w:jc w:val="center"/>
              <w:rPr>
                <w:rFonts w:cs="Times New Roman"/>
                <w:sz w:val="20"/>
                <w:szCs w:val="20"/>
              </w:rPr>
            </w:pPr>
            <w:r w:rsidRPr="00A61161">
              <w:rPr>
                <w:rFonts w:cs="Times New Roman"/>
                <w:sz w:val="20"/>
                <w:szCs w:val="20"/>
              </w:rPr>
              <w:t>26.7</w:t>
            </w:r>
          </w:p>
        </w:tc>
      </w:tr>
      <w:tr w:rsidR="00382C41" w:rsidRPr="00A61161" w14:paraId="4C54617E" w14:textId="77777777" w:rsidTr="003D35B8">
        <w:trPr>
          <w:trHeight w:val="302"/>
        </w:trPr>
        <w:tc>
          <w:tcPr>
            <w:tcW w:w="3708" w:type="dxa"/>
            <w:tcBorders>
              <w:top w:val="nil"/>
              <w:left w:val="nil"/>
              <w:bottom w:val="nil"/>
              <w:right w:val="nil"/>
            </w:tcBorders>
            <w:vAlign w:val="center"/>
          </w:tcPr>
          <w:p w14:paraId="432E39D1"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Third year</w:t>
            </w:r>
          </w:p>
        </w:tc>
        <w:tc>
          <w:tcPr>
            <w:tcW w:w="1628" w:type="dxa"/>
            <w:tcBorders>
              <w:top w:val="nil"/>
              <w:left w:val="nil"/>
              <w:bottom w:val="nil"/>
              <w:right w:val="nil"/>
            </w:tcBorders>
            <w:vAlign w:val="center"/>
          </w:tcPr>
          <w:p w14:paraId="5F6CD5AC" w14:textId="77777777" w:rsidR="00382C41" w:rsidRPr="00A61161" w:rsidRDefault="00382C41" w:rsidP="009E3B14">
            <w:pPr>
              <w:contextualSpacing/>
              <w:jc w:val="center"/>
              <w:rPr>
                <w:rFonts w:cs="Times New Roman"/>
                <w:sz w:val="20"/>
                <w:szCs w:val="20"/>
              </w:rPr>
            </w:pPr>
            <w:r w:rsidRPr="00A61161">
              <w:rPr>
                <w:rFonts w:cs="Times New Roman"/>
                <w:sz w:val="20"/>
                <w:szCs w:val="20"/>
              </w:rPr>
              <w:t>19.2</w:t>
            </w:r>
          </w:p>
        </w:tc>
        <w:tc>
          <w:tcPr>
            <w:tcW w:w="1718" w:type="dxa"/>
            <w:tcBorders>
              <w:top w:val="nil"/>
              <w:left w:val="nil"/>
              <w:bottom w:val="nil"/>
              <w:right w:val="nil"/>
            </w:tcBorders>
            <w:vAlign w:val="center"/>
          </w:tcPr>
          <w:p w14:paraId="6D4E2403" w14:textId="77777777" w:rsidR="00382C41" w:rsidRPr="00A61161" w:rsidRDefault="00382C41" w:rsidP="009E3B14">
            <w:pPr>
              <w:contextualSpacing/>
              <w:jc w:val="center"/>
              <w:rPr>
                <w:rFonts w:cs="Times New Roman"/>
                <w:sz w:val="20"/>
                <w:szCs w:val="20"/>
              </w:rPr>
            </w:pPr>
            <w:r w:rsidRPr="00A61161">
              <w:rPr>
                <w:rFonts w:cs="Times New Roman"/>
                <w:sz w:val="20"/>
                <w:szCs w:val="20"/>
              </w:rPr>
              <w:t>23.4</w:t>
            </w:r>
          </w:p>
        </w:tc>
        <w:tc>
          <w:tcPr>
            <w:tcW w:w="1899" w:type="dxa"/>
            <w:tcBorders>
              <w:top w:val="nil"/>
              <w:left w:val="nil"/>
              <w:bottom w:val="nil"/>
              <w:right w:val="nil"/>
            </w:tcBorders>
            <w:vAlign w:val="center"/>
          </w:tcPr>
          <w:p w14:paraId="69C882F2" w14:textId="77777777" w:rsidR="00382C41" w:rsidRPr="00A61161" w:rsidRDefault="00382C41" w:rsidP="009E3B14">
            <w:pPr>
              <w:contextualSpacing/>
              <w:jc w:val="center"/>
              <w:rPr>
                <w:rFonts w:cs="Times New Roman"/>
                <w:sz w:val="20"/>
                <w:szCs w:val="20"/>
              </w:rPr>
            </w:pPr>
            <w:r w:rsidRPr="00A61161">
              <w:rPr>
                <w:rFonts w:cs="Times New Roman"/>
                <w:sz w:val="20"/>
                <w:szCs w:val="20"/>
              </w:rPr>
              <w:t>22.7</w:t>
            </w:r>
          </w:p>
        </w:tc>
      </w:tr>
      <w:tr w:rsidR="00382C41" w:rsidRPr="00A61161" w14:paraId="61FEE884" w14:textId="77777777" w:rsidTr="003D35B8">
        <w:trPr>
          <w:trHeight w:val="302"/>
        </w:trPr>
        <w:tc>
          <w:tcPr>
            <w:tcW w:w="3708" w:type="dxa"/>
            <w:tcBorders>
              <w:top w:val="nil"/>
              <w:left w:val="nil"/>
              <w:bottom w:val="nil"/>
              <w:right w:val="nil"/>
            </w:tcBorders>
            <w:vAlign w:val="center"/>
          </w:tcPr>
          <w:p w14:paraId="5C2D07F9"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Fourth year</w:t>
            </w:r>
          </w:p>
        </w:tc>
        <w:tc>
          <w:tcPr>
            <w:tcW w:w="1628" w:type="dxa"/>
            <w:tcBorders>
              <w:top w:val="nil"/>
              <w:left w:val="nil"/>
              <w:bottom w:val="nil"/>
              <w:right w:val="nil"/>
            </w:tcBorders>
            <w:vAlign w:val="center"/>
          </w:tcPr>
          <w:p w14:paraId="4697B632" w14:textId="77777777" w:rsidR="00382C41" w:rsidRPr="00A61161" w:rsidRDefault="00382C41" w:rsidP="009E3B14">
            <w:pPr>
              <w:contextualSpacing/>
              <w:jc w:val="center"/>
              <w:rPr>
                <w:rFonts w:cs="Times New Roman"/>
                <w:sz w:val="20"/>
                <w:szCs w:val="20"/>
              </w:rPr>
            </w:pPr>
            <w:r w:rsidRPr="00A61161">
              <w:rPr>
                <w:rFonts w:cs="Times New Roman"/>
                <w:sz w:val="20"/>
                <w:szCs w:val="20"/>
              </w:rPr>
              <w:t>15.4</w:t>
            </w:r>
          </w:p>
        </w:tc>
        <w:tc>
          <w:tcPr>
            <w:tcW w:w="1718" w:type="dxa"/>
            <w:tcBorders>
              <w:top w:val="nil"/>
              <w:left w:val="nil"/>
              <w:bottom w:val="nil"/>
              <w:right w:val="nil"/>
            </w:tcBorders>
            <w:vAlign w:val="center"/>
          </w:tcPr>
          <w:p w14:paraId="453574BB" w14:textId="77777777" w:rsidR="00382C41" w:rsidRPr="00A61161" w:rsidRDefault="00382C41" w:rsidP="009E3B14">
            <w:pPr>
              <w:contextualSpacing/>
              <w:jc w:val="center"/>
              <w:rPr>
                <w:rFonts w:cs="Times New Roman"/>
                <w:sz w:val="20"/>
                <w:szCs w:val="20"/>
              </w:rPr>
            </w:pPr>
            <w:r w:rsidRPr="00A61161">
              <w:rPr>
                <w:rFonts w:cs="Times New Roman"/>
                <w:sz w:val="20"/>
                <w:szCs w:val="20"/>
              </w:rPr>
              <w:t>15.6</w:t>
            </w:r>
          </w:p>
        </w:tc>
        <w:tc>
          <w:tcPr>
            <w:tcW w:w="1899" w:type="dxa"/>
            <w:tcBorders>
              <w:top w:val="nil"/>
              <w:left w:val="nil"/>
              <w:bottom w:val="nil"/>
              <w:right w:val="nil"/>
            </w:tcBorders>
            <w:vAlign w:val="center"/>
          </w:tcPr>
          <w:p w14:paraId="2ECBF83C" w14:textId="77777777" w:rsidR="00382C41" w:rsidRPr="00A61161" w:rsidRDefault="00382C41" w:rsidP="009E3B14">
            <w:pPr>
              <w:contextualSpacing/>
              <w:jc w:val="center"/>
              <w:rPr>
                <w:rFonts w:cs="Times New Roman"/>
                <w:sz w:val="20"/>
                <w:szCs w:val="20"/>
              </w:rPr>
            </w:pPr>
            <w:r w:rsidRPr="00A61161">
              <w:rPr>
                <w:rFonts w:cs="Times New Roman"/>
                <w:sz w:val="20"/>
                <w:szCs w:val="20"/>
              </w:rPr>
              <w:t>14.7</w:t>
            </w:r>
          </w:p>
        </w:tc>
      </w:tr>
      <w:tr w:rsidR="00382C41" w:rsidRPr="00A61161" w14:paraId="3432AECC" w14:textId="77777777" w:rsidTr="003D35B8">
        <w:trPr>
          <w:trHeight w:val="302"/>
        </w:trPr>
        <w:tc>
          <w:tcPr>
            <w:tcW w:w="3708" w:type="dxa"/>
            <w:tcBorders>
              <w:top w:val="nil"/>
              <w:left w:val="nil"/>
              <w:bottom w:val="nil"/>
              <w:right w:val="nil"/>
            </w:tcBorders>
            <w:vAlign w:val="center"/>
          </w:tcPr>
          <w:p w14:paraId="0B2AFE2D"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Fifth year or higher</w:t>
            </w:r>
          </w:p>
        </w:tc>
        <w:tc>
          <w:tcPr>
            <w:tcW w:w="1628" w:type="dxa"/>
            <w:tcBorders>
              <w:top w:val="nil"/>
              <w:left w:val="nil"/>
              <w:bottom w:val="nil"/>
              <w:right w:val="nil"/>
            </w:tcBorders>
            <w:vAlign w:val="center"/>
          </w:tcPr>
          <w:p w14:paraId="0B65BF3F" w14:textId="77777777" w:rsidR="00382C41" w:rsidRPr="00A61161" w:rsidRDefault="00382C41" w:rsidP="009E3B14">
            <w:pPr>
              <w:contextualSpacing/>
              <w:jc w:val="center"/>
              <w:rPr>
                <w:rFonts w:cs="Times New Roman"/>
                <w:sz w:val="20"/>
                <w:szCs w:val="20"/>
              </w:rPr>
            </w:pPr>
            <w:r w:rsidRPr="00A61161">
              <w:rPr>
                <w:rFonts w:cs="Times New Roman"/>
                <w:sz w:val="20"/>
                <w:szCs w:val="20"/>
              </w:rPr>
              <w:t>6.4</w:t>
            </w:r>
          </w:p>
        </w:tc>
        <w:tc>
          <w:tcPr>
            <w:tcW w:w="1718" w:type="dxa"/>
            <w:tcBorders>
              <w:top w:val="nil"/>
              <w:left w:val="nil"/>
              <w:bottom w:val="nil"/>
              <w:right w:val="nil"/>
            </w:tcBorders>
            <w:vAlign w:val="center"/>
          </w:tcPr>
          <w:p w14:paraId="59667E85" w14:textId="77777777" w:rsidR="00382C41" w:rsidRPr="00A61161" w:rsidRDefault="00382C41" w:rsidP="009E3B14">
            <w:pPr>
              <w:contextualSpacing/>
              <w:jc w:val="center"/>
              <w:rPr>
                <w:rFonts w:cs="Times New Roman"/>
                <w:sz w:val="20"/>
                <w:szCs w:val="20"/>
              </w:rPr>
            </w:pPr>
            <w:r w:rsidRPr="00A61161">
              <w:rPr>
                <w:rFonts w:cs="Times New Roman"/>
                <w:sz w:val="20"/>
                <w:szCs w:val="20"/>
              </w:rPr>
              <w:t>2.6</w:t>
            </w:r>
          </w:p>
        </w:tc>
        <w:tc>
          <w:tcPr>
            <w:tcW w:w="1899" w:type="dxa"/>
            <w:tcBorders>
              <w:top w:val="nil"/>
              <w:left w:val="nil"/>
              <w:bottom w:val="nil"/>
              <w:right w:val="nil"/>
            </w:tcBorders>
            <w:vAlign w:val="center"/>
          </w:tcPr>
          <w:p w14:paraId="4C109BB8" w14:textId="77777777" w:rsidR="00382C41" w:rsidRPr="00A61161" w:rsidRDefault="00382C41" w:rsidP="009E3B14">
            <w:pPr>
              <w:contextualSpacing/>
              <w:jc w:val="center"/>
              <w:rPr>
                <w:rFonts w:cs="Times New Roman"/>
                <w:sz w:val="20"/>
                <w:szCs w:val="20"/>
              </w:rPr>
            </w:pPr>
            <w:r w:rsidRPr="00A61161">
              <w:rPr>
                <w:rFonts w:cs="Times New Roman"/>
                <w:sz w:val="20"/>
                <w:szCs w:val="20"/>
              </w:rPr>
              <w:t>4</w:t>
            </w:r>
          </w:p>
        </w:tc>
      </w:tr>
      <w:tr w:rsidR="00382C41" w:rsidRPr="00A61161" w14:paraId="4D65461C" w14:textId="77777777" w:rsidTr="003D35B8">
        <w:trPr>
          <w:trHeight w:val="302"/>
        </w:trPr>
        <w:tc>
          <w:tcPr>
            <w:tcW w:w="3708" w:type="dxa"/>
            <w:tcBorders>
              <w:top w:val="nil"/>
              <w:left w:val="nil"/>
              <w:bottom w:val="nil"/>
              <w:right w:val="nil"/>
            </w:tcBorders>
            <w:vAlign w:val="center"/>
          </w:tcPr>
          <w:p w14:paraId="1768907E" w14:textId="77777777" w:rsidR="00382C41" w:rsidRPr="00A61161" w:rsidRDefault="00382C41" w:rsidP="009E3B14">
            <w:pPr>
              <w:contextualSpacing/>
              <w:rPr>
                <w:rFonts w:cs="Times New Roman"/>
                <w:i/>
                <w:iCs/>
                <w:sz w:val="20"/>
                <w:szCs w:val="20"/>
              </w:rPr>
            </w:pPr>
            <w:r w:rsidRPr="00A61161">
              <w:rPr>
                <w:rFonts w:cs="Times New Roman"/>
                <w:i/>
                <w:iCs/>
                <w:sz w:val="20"/>
                <w:szCs w:val="20"/>
              </w:rPr>
              <w:t xml:space="preserve">      Graduate student</w:t>
            </w:r>
          </w:p>
        </w:tc>
        <w:tc>
          <w:tcPr>
            <w:tcW w:w="1628" w:type="dxa"/>
            <w:tcBorders>
              <w:top w:val="nil"/>
              <w:left w:val="nil"/>
              <w:bottom w:val="nil"/>
              <w:right w:val="nil"/>
            </w:tcBorders>
            <w:vAlign w:val="center"/>
          </w:tcPr>
          <w:p w14:paraId="217BF716" w14:textId="77777777" w:rsidR="00382C41" w:rsidRPr="00A61161" w:rsidRDefault="00382C41" w:rsidP="009E3B14">
            <w:pPr>
              <w:contextualSpacing/>
              <w:jc w:val="center"/>
              <w:rPr>
                <w:rFonts w:cs="Times New Roman"/>
                <w:sz w:val="20"/>
                <w:szCs w:val="20"/>
              </w:rPr>
            </w:pPr>
            <w:r w:rsidRPr="00A61161">
              <w:rPr>
                <w:rFonts w:cs="Times New Roman"/>
                <w:sz w:val="20"/>
                <w:szCs w:val="20"/>
              </w:rPr>
              <w:t>3.8</w:t>
            </w:r>
          </w:p>
        </w:tc>
        <w:tc>
          <w:tcPr>
            <w:tcW w:w="1718" w:type="dxa"/>
            <w:tcBorders>
              <w:top w:val="nil"/>
              <w:left w:val="nil"/>
              <w:bottom w:val="nil"/>
              <w:right w:val="nil"/>
            </w:tcBorders>
            <w:vAlign w:val="center"/>
          </w:tcPr>
          <w:p w14:paraId="2BC2BB25" w14:textId="77777777" w:rsidR="00382C41" w:rsidRPr="00A61161" w:rsidRDefault="00382C41" w:rsidP="009E3B14">
            <w:pPr>
              <w:contextualSpacing/>
              <w:jc w:val="center"/>
              <w:rPr>
                <w:rFonts w:cs="Times New Roman"/>
                <w:sz w:val="20"/>
                <w:szCs w:val="20"/>
              </w:rPr>
            </w:pPr>
            <w:r w:rsidRPr="00A61161">
              <w:rPr>
                <w:rFonts w:cs="Times New Roman"/>
                <w:sz w:val="20"/>
                <w:szCs w:val="20"/>
              </w:rPr>
              <w:t>3.9</w:t>
            </w:r>
          </w:p>
        </w:tc>
        <w:tc>
          <w:tcPr>
            <w:tcW w:w="1899" w:type="dxa"/>
            <w:tcBorders>
              <w:top w:val="nil"/>
              <w:left w:val="nil"/>
              <w:bottom w:val="nil"/>
              <w:right w:val="nil"/>
            </w:tcBorders>
            <w:vAlign w:val="center"/>
          </w:tcPr>
          <w:p w14:paraId="68923E19" w14:textId="77777777" w:rsidR="00382C41" w:rsidRPr="00A61161" w:rsidRDefault="00382C41" w:rsidP="009E3B14">
            <w:pPr>
              <w:contextualSpacing/>
              <w:jc w:val="center"/>
              <w:rPr>
                <w:rFonts w:cs="Times New Roman"/>
                <w:sz w:val="20"/>
                <w:szCs w:val="20"/>
              </w:rPr>
            </w:pPr>
            <w:r w:rsidRPr="00A61161">
              <w:rPr>
                <w:rFonts w:cs="Times New Roman"/>
                <w:sz w:val="20"/>
                <w:szCs w:val="20"/>
              </w:rPr>
              <w:t>2.7</w:t>
            </w:r>
          </w:p>
        </w:tc>
      </w:tr>
      <w:tr w:rsidR="00382C41" w:rsidRPr="00A61161" w14:paraId="77A2AF68" w14:textId="77777777" w:rsidTr="003D35B8">
        <w:trPr>
          <w:trHeight w:val="302"/>
        </w:trPr>
        <w:tc>
          <w:tcPr>
            <w:tcW w:w="3708" w:type="dxa"/>
            <w:tcBorders>
              <w:top w:val="nil"/>
              <w:left w:val="nil"/>
              <w:bottom w:val="nil"/>
              <w:right w:val="nil"/>
            </w:tcBorders>
            <w:vAlign w:val="center"/>
          </w:tcPr>
          <w:p w14:paraId="38633C2B" w14:textId="77777777" w:rsidR="00382C41" w:rsidRPr="00A61161" w:rsidRDefault="00382C41" w:rsidP="009E3B14">
            <w:pPr>
              <w:contextualSpacing/>
              <w:rPr>
                <w:rFonts w:cs="Times New Roman"/>
                <w:sz w:val="20"/>
                <w:szCs w:val="20"/>
              </w:rPr>
            </w:pPr>
            <w:r w:rsidRPr="00A61161">
              <w:rPr>
                <w:rFonts w:cs="Times New Roman"/>
                <w:sz w:val="20"/>
                <w:szCs w:val="20"/>
              </w:rPr>
              <w:t>Treatment seeking status* (%)</w:t>
            </w:r>
          </w:p>
        </w:tc>
        <w:tc>
          <w:tcPr>
            <w:tcW w:w="1628" w:type="dxa"/>
            <w:tcBorders>
              <w:top w:val="nil"/>
              <w:left w:val="nil"/>
              <w:bottom w:val="nil"/>
              <w:right w:val="nil"/>
            </w:tcBorders>
            <w:vAlign w:val="center"/>
          </w:tcPr>
          <w:p w14:paraId="5207FF42" w14:textId="77777777" w:rsidR="00382C41" w:rsidRPr="00A61161" w:rsidRDefault="00382C41" w:rsidP="009E3B14">
            <w:pPr>
              <w:contextualSpacing/>
              <w:jc w:val="center"/>
              <w:rPr>
                <w:rFonts w:cs="Times New Roman"/>
                <w:sz w:val="20"/>
                <w:szCs w:val="20"/>
              </w:rPr>
            </w:pPr>
          </w:p>
        </w:tc>
        <w:tc>
          <w:tcPr>
            <w:tcW w:w="1718" w:type="dxa"/>
            <w:tcBorders>
              <w:top w:val="nil"/>
              <w:left w:val="nil"/>
              <w:bottom w:val="nil"/>
              <w:right w:val="nil"/>
            </w:tcBorders>
            <w:vAlign w:val="center"/>
          </w:tcPr>
          <w:p w14:paraId="17D86550" w14:textId="77777777" w:rsidR="00382C41" w:rsidRPr="00A61161" w:rsidRDefault="00382C41" w:rsidP="009E3B14">
            <w:pPr>
              <w:contextualSpacing/>
              <w:jc w:val="center"/>
              <w:rPr>
                <w:rFonts w:cs="Times New Roman"/>
                <w:sz w:val="20"/>
                <w:szCs w:val="20"/>
              </w:rPr>
            </w:pPr>
          </w:p>
        </w:tc>
        <w:tc>
          <w:tcPr>
            <w:tcW w:w="1899" w:type="dxa"/>
            <w:tcBorders>
              <w:top w:val="nil"/>
              <w:left w:val="nil"/>
              <w:bottom w:val="nil"/>
              <w:right w:val="nil"/>
            </w:tcBorders>
            <w:vAlign w:val="center"/>
          </w:tcPr>
          <w:p w14:paraId="63B37BD6" w14:textId="77777777" w:rsidR="00382C41" w:rsidRPr="00A61161" w:rsidRDefault="00382C41" w:rsidP="009E3B14">
            <w:pPr>
              <w:contextualSpacing/>
              <w:jc w:val="center"/>
              <w:rPr>
                <w:rFonts w:cs="Times New Roman"/>
                <w:sz w:val="20"/>
                <w:szCs w:val="20"/>
              </w:rPr>
            </w:pPr>
          </w:p>
        </w:tc>
      </w:tr>
      <w:tr w:rsidR="00382C41" w:rsidRPr="00A61161" w14:paraId="0DBD24F1" w14:textId="77777777" w:rsidTr="003D35B8">
        <w:trPr>
          <w:trHeight w:val="302"/>
        </w:trPr>
        <w:tc>
          <w:tcPr>
            <w:tcW w:w="3708" w:type="dxa"/>
            <w:tcBorders>
              <w:top w:val="nil"/>
              <w:left w:val="nil"/>
              <w:bottom w:val="nil"/>
              <w:right w:val="nil"/>
            </w:tcBorders>
            <w:vAlign w:val="center"/>
          </w:tcPr>
          <w:p w14:paraId="373033D9" w14:textId="77777777" w:rsidR="00382C41" w:rsidRPr="00A61161" w:rsidRDefault="00382C41" w:rsidP="009E3B14">
            <w:pPr>
              <w:contextualSpacing/>
              <w:rPr>
                <w:rFonts w:cs="Times New Roman"/>
                <w:i/>
                <w:iCs/>
                <w:sz w:val="20"/>
                <w:szCs w:val="20"/>
              </w:rPr>
            </w:pPr>
            <w:r w:rsidRPr="00A61161">
              <w:rPr>
                <w:rFonts w:cs="Times New Roman"/>
                <w:sz w:val="20"/>
                <w:szCs w:val="20"/>
              </w:rPr>
              <w:t xml:space="preserve">      </w:t>
            </w:r>
            <w:r w:rsidRPr="00A61161">
              <w:rPr>
                <w:rFonts w:cs="Times New Roman"/>
                <w:i/>
                <w:iCs/>
                <w:sz w:val="20"/>
                <w:szCs w:val="20"/>
              </w:rPr>
              <w:t>Currently working with a MHP</w:t>
            </w:r>
          </w:p>
        </w:tc>
        <w:tc>
          <w:tcPr>
            <w:tcW w:w="1628" w:type="dxa"/>
            <w:tcBorders>
              <w:top w:val="nil"/>
              <w:left w:val="nil"/>
              <w:bottom w:val="nil"/>
              <w:right w:val="nil"/>
            </w:tcBorders>
            <w:vAlign w:val="center"/>
          </w:tcPr>
          <w:p w14:paraId="4F41EA77" w14:textId="77777777" w:rsidR="00382C41" w:rsidRPr="00A61161" w:rsidRDefault="00382C41" w:rsidP="009E3B14">
            <w:pPr>
              <w:contextualSpacing/>
              <w:jc w:val="center"/>
              <w:rPr>
                <w:rFonts w:cs="Times New Roman"/>
                <w:sz w:val="20"/>
                <w:szCs w:val="20"/>
              </w:rPr>
            </w:pPr>
            <w:r w:rsidRPr="00A61161">
              <w:rPr>
                <w:rFonts w:cs="Times New Roman"/>
                <w:sz w:val="20"/>
                <w:szCs w:val="20"/>
              </w:rPr>
              <w:t>23.1</w:t>
            </w:r>
          </w:p>
        </w:tc>
        <w:tc>
          <w:tcPr>
            <w:tcW w:w="1718" w:type="dxa"/>
            <w:tcBorders>
              <w:top w:val="nil"/>
              <w:left w:val="nil"/>
              <w:bottom w:val="nil"/>
              <w:right w:val="nil"/>
            </w:tcBorders>
            <w:vAlign w:val="center"/>
          </w:tcPr>
          <w:p w14:paraId="2ECCC0E1" w14:textId="77777777" w:rsidR="00382C41" w:rsidRPr="00A61161" w:rsidRDefault="00382C41" w:rsidP="009E3B14">
            <w:pPr>
              <w:contextualSpacing/>
              <w:jc w:val="center"/>
              <w:rPr>
                <w:rFonts w:cs="Times New Roman"/>
                <w:sz w:val="20"/>
                <w:szCs w:val="20"/>
              </w:rPr>
            </w:pPr>
            <w:r w:rsidRPr="00A61161">
              <w:rPr>
                <w:rFonts w:cs="Times New Roman"/>
                <w:sz w:val="20"/>
                <w:szCs w:val="20"/>
              </w:rPr>
              <w:t>19.5</w:t>
            </w:r>
          </w:p>
        </w:tc>
        <w:tc>
          <w:tcPr>
            <w:tcW w:w="1899" w:type="dxa"/>
            <w:tcBorders>
              <w:top w:val="nil"/>
              <w:left w:val="nil"/>
              <w:bottom w:val="nil"/>
              <w:right w:val="nil"/>
            </w:tcBorders>
            <w:vAlign w:val="center"/>
          </w:tcPr>
          <w:p w14:paraId="001055ED" w14:textId="77777777" w:rsidR="00382C41" w:rsidRPr="00A61161" w:rsidRDefault="00382C41" w:rsidP="009E3B14">
            <w:pPr>
              <w:contextualSpacing/>
              <w:jc w:val="center"/>
              <w:rPr>
                <w:rFonts w:cs="Times New Roman"/>
                <w:sz w:val="20"/>
                <w:szCs w:val="20"/>
              </w:rPr>
            </w:pPr>
            <w:r w:rsidRPr="00A61161">
              <w:rPr>
                <w:rFonts w:cs="Times New Roman"/>
                <w:sz w:val="20"/>
                <w:szCs w:val="20"/>
              </w:rPr>
              <w:t>18.7</w:t>
            </w:r>
          </w:p>
        </w:tc>
      </w:tr>
      <w:tr w:rsidR="00382C41" w:rsidRPr="00A61161" w14:paraId="01CD5E25" w14:textId="77777777" w:rsidTr="003D35B8">
        <w:trPr>
          <w:trHeight w:val="302"/>
        </w:trPr>
        <w:tc>
          <w:tcPr>
            <w:tcW w:w="3708" w:type="dxa"/>
            <w:tcBorders>
              <w:top w:val="nil"/>
              <w:left w:val="nil"/>
              <w:bottom w:val="nil"/>
              <w:right w:val="nil"/>
            </w:tcBorders>
            <w:vAlign w:val="center"/>
          </w:tcPr>
          <w:p w14:paraId="2C3EDBBD" w14:textId="77777777" w:rsidR="00382C41" w:rsidRPr="00A61161" w:rsidRDefault="00382C41" w:rsidP="009E3B14">
            <w:pPr>
              <w:contextualSpacing/>
              <w:rPr>
                <w:rFonts w:cs="Times New Roman"/>
                <w:i/>
                <w:iCs/>
                <w:sz w:val="20"/>
                <w:szCs w:val="20"/>
              </w:rPr>
            </w:pPr>
            <w:r w:rsidRPr="00A61161">
              <w:rPr>
                <w:rFonts w:cs="Times New Roman"/>
                <w:sz w:val="20"/>
                <w:szCs w:val="20"/>
              </w:rPr>
              <w:t xml:space="preserve">      </w:t>
            </w:r>
            <w:r w:rsidRPr="00A61161">
              <w:rPr>
                <w:rFonts w:cs="Times New Roman"/>
                <w:i/>
                <w:iCs/>
                <w:sz w:val="20"/>
                <w:szCs w:val="20"/>
              </w:rPr>
              <w:t>Have worked with a MHP in the past</w:t>
            </w:r>
          </w:p>
        </w:tc>
        <w:tc>
          <w:tcPr>
            <w:tcW w:w="1628" w:type="dxa"/>
            <w:tcBorders>
              <w:top w:val="nil"/>
              <w:left w:val="nil"/>
              <w:bottom w:val="nil"/>
              <w:right w:val="nil"/>
            </w:tcBorders>
            <w:vAlign w:val="center"/>
          </w:tcPr>
          <w:p w14:paraId="0280ACE9" w14:textId="77777777" w:rsidR="00382C41" w:rsidRPr="00A61161" w:rsidRDefault="00382C41" w:rsidP="009E3B14">
            <w:pPr>
              <w:contextualSpacing/>
              <w:jc w:val="center"/>
              <w:rPr>
                <w:rFonts w:cs="Times New Roman"/>
                <w:sz w:val="20"/>
                <w:szCs w:val="20"/>
              </w:rPr>
            </w:pPr>
            <w:r w:rsidRPr="00A61161">
              <w:rPr>
                <w:rFonts w:cs="Times New Roman"/>
                <w:sz w:val="20"/>
                <w:szCs w:val="20"/>
              </w:rPr>
              <w:t>35.9</w:t>
            </w:r>
          </w:p>
        </w:tc>
        <w:tc>
          <w:tcPr>
            <w:tcW w:w="1718" w:type="dxa"/>
            <w:tcBorders>
              <w:top w:val="nil"/>
              <w:left w:val="nil"/>
              <w:bottom w:val="nil"/>
              <w:right w:val="nil"/>
            </w:tcBorders>
            <w:vAlign w:val="center"/>
          </w:tcPr>
          <w:p w14:paraId="1D762057" w14:textId="77777777" w:rsidR="00382C41" w:rsidRPr="00A61161" w:rsidRDefault="00382C41" w:rsidP="009E3B14">
            <w:pPr>
              <w:contextualSpacing/>
              <w:jc w:val="center"/>
              <w:rPr>
                <w:rFonts w:cs="Times New Roman"/>
                <w:sz w:val="20"/>
                <w:szCs w:val="20"/>
              </w:rPr>
            </w:pPr>
            <w:r w:rsidRPr="00A61161">
              <w:rPr>
                <w:rFonts w:cs="Times New Roman"/>
                <w:sz w:val="20"/>
                <w:szCs w:val="20"/>
              </w:rPr>
              <w:t>42.9</w:t>
            </w:r>
          </w:p>
        </w:tc>
        <w:tc>
          <w:tcPr>
            <w:tcW w:w="1899" w:type="dxa"/>
            <w:tcBorders>
              <w:top w:val="nil"/>
              <w:left w:val="nil"/>
              <w:bottom w:val="nil"/>
              <w:right w:val="nil"/>
            </w:tcBorders>
            <w:vAlign w:val="center"/>
          </w:tcPr>
          <w:p w14:paraId="57C37E33" w14:textId="77777777" w:rsidR="00382C41" w:rsidRPr="00A61161" w:rsidRDefault="00382C41" w:rsidP="009E3B14">
            <w:pPr>
              <w:contextualSpacing/>
              <w:jc w:val="center"/>
              <w:rPr>
                <w:rFonts w:cs="Times New Roman"/>
                <w:sz w:val="20"/>
                <w:szCs w:val="20"/>
              </w:rPr>
            </w:pPr>
            <w:r w:rsidRPr="00A61161">
              <w:rPr>
                <w:rFonts w:cs="Times New Roman"/>
                <w:sz w:val="20"/>
                <w:szCs w:val="20"/>
              </w:rPr>
              <w:t>41.3</w:t>
            </w:r>
          </w:p>
        </w:tc>
      </w:tr>
      <w:tr w:rsidR="00382C41" w:rsidRPr="00A61161" w14:paraId="24582C6E" w14:textId="77777777" w:rsidTr="003D35B8">
        <w:trPr>
          <w:trHeight w:val="302"/>
        </w:trPr>
        <w:tc>
          <w:tcPr>
            <w:tcW w:w="3708" w:type="dxa"/>
            <w:tcBorders>
              <w:top w:val="nil"/>
              <w:left w:val="nil"/>
              <w:bottom w:val="single" w:sz="4" w:space="0" w:color="auto"/>
              <w:right w:val="nil"/>
            </w:tcBorders>
            <w:vAlign w:val="center"/>
          </w:tcPr>
          <w:p w14:paraId="3EA16F55" w14:textId="77777777" w:rsidR="00382C41" w:rsidRPr="00A61161" w:rsidRDefault="00382C41" w:rsidP="009E3B14">
            <w:pPr>
              <w:contextualSpacing/>
              <w:rPr>
                <w:rFonts w:cs="Times New Roman"/>
                <w:i/>
                <w:iCs/>
                <w:sz w:val="20"/>
                <w:szCs w:val="20"/>
              </w:rPr>
            </w:pPr>
            <w:r w:rsidRPr="00A61161">
              <w:rPr>
                <w:rFonts w:cs="Times New Roman"/>
                <w:sz w:val="20"/>
                <w:szCs w:val="20"/>
              </w:rPr>
              <w:t xml:space="preserve">      </w:t>
            </w:r>
            <w:r w:rsidRPr="00A61161">
              <w:rPr>
                <w:rFonts w:cs="Times New Roman"/>
                <w:i/>
                <w:iCs/>
                <w:sz w:val="20"/>
                <w:szCs w:val="20"/>
              </w:rPr>
              <w:t>Have never worked with a MHP</w:t>
            </w:r>
          </w:p>
        </w:tc>
        <w:tc>
          <w:tcPr>
            <w:tcW w:w="1628" w:type="dxa"/>
            <w:tcBorders>
              <w:top w:val="nil"/>
              <w:left w:val="nil"/>
              <w:bottom w:val="single" w:sz="4" w:space="0" w:color="auto"/>
              <w:right w:val="nil"/>
            </w:tcBorders>
            <w:vAlign w:val="center"/>
          </w:tcPr>
          <w:p w14:paraId="5238EB11" w14:textId="77777777" w:rsidR="00382C41" w:rsidRPr="00A61161" w:rsidRDefault="00382C41" w:rsidP="009E3B14">
            <w:pPr>
              <w:contextualSpacing/>
              <w:jc w:val="center"/>
              <w:rPr>
                <w:rFonts w:cs="Times New Roman"/>
                <w:sz w:val="20"/>
                <w:szCs w:val="20"/>
              </w:rPr>
            </w:pPr>
            <w:r w:rsidRPr="00A61161">
              <w:rPr>
                <w:rFonts w:cs="Times New Roman"/>
                <w:sz w:val="20"/>
                <w:szCs w:val="20"/>
              </w:rPr>
              <w:t>41</w:t>
            </w:r>
          </w:p>
        </w:tc>
        <w:tc>
          <w:tcPr>
            <w:tcW w:w="1718" w:type="dxa"/>
            <w:tcBorders>
              <w:top w:val="nil"/>
              <w:left w:val="nil"/>
              <w:bottom w:val="single" w:sz="4" w:space="0" w:color="auto"/>
              <w:right w:val="nil"/>
            </w:tcBorders>
            <w:vAlign w:val="center"/>
          </w:tcPr>
          <w:p w14:paraId="6C9EDE30" w14:textId="77777777" w:rsidR="00382C41" w:rsidRPr="00A61161" w:rsidRDefault="00382C41" w:rsidP="009E3B14">
            <w:pPr>
              <w:contextualSpacing/>
              <w:jc w:val="center"/>
              <w:rPr>
                <w:rFonts w:cs="Times New Roman"/>
                <w:sz w:val="20"/>
                <w:szCs w:val="20"/>
              </w:rPr>
            </w:pPr>
            <w:r w:rsidRPr="00A61161">
              <w:rPr>
                <w:rFonts w:cs="Times New Roman"/>
                <w:sz w:val="20"/>
                <w:szCs w:val="20"/>
              </w:rPr>
              <w:t>41.6</w:t>
            </w:r>
          </w:p>
        </w:tc>
        <w:tc>
          <w:tcPr>
            <w:tcW w:w="1899" w:type="dxa"/>
            <w:tcBorders>
              <w:top w:val="nil"/>
              <w:left w:val="nil"/>
              <w:bottom w:val="single" w:sz="4" w:space="0" w:color="auto"/>
              <w:right w:val="nil"/>
            </w:tcBorders>
            <w:vAlign w:val="center"/>
          </w:tcPr>
          <w:p w14:paraId="25BED0AC" w14:textId="77777777" w:rsidR="00382C41" w:rsidRPr="00A61161" w:rsidRDefault="00382C41" w:rsidP="009E3B14">
            <w:pPr>
              <w:contextualSpacing/>
              <w:jc w:val="center"/>
              <w:rPr>
                <w:rFonts w:cs="Times New Roman"/>
                <w:sz w:val="20"/>
                <w:szCs w:val="20"/>
              </w:rPr>
            </w:pPr>
            <w:r w:rsidRPr="00A61161">
              <w:rPr>
                <w:rFonts w:cs="Times New Roman"/>
                <w:sz w:val="20"/>
                <w:szCs w:val="20"/>
              </w:rPr>
              <w:t>38.7</w:t>
            </w:r>
          </w:p>
        </w:tc>
      </w:tr>
    </w:tbl>
    <w:p w14:paraId="65AD388C" w14:textId="77777777" w:rsidR="00382C41" w:rsidRPr="00A61161" w:rsidRDefault="00382C41" w:rsidP="00382C41">
      <w:pPr>
        <w:contextualSpacing/>
        <w:rPr>
          <w:rFonts w:cs="Times New Roman"/>
          <w:i/>
          <w:iCs/>
          <w:szCs w:val="24"/>
        </w:rPr>
      </w:pPr>
    </w:p>
    <w:p w14:paraId="415F42BA" w14:textId="77777777" w:rsidR="00382C41" w:rsidRPr="00A61161" w:rsidRDefault="00382C41" w:rsidP="00382C41">
      <w:pPr>
        <w:spacing w:line="480" w:lineRule="auto"/>
        <w:contextualSpacing/>
        <w:rPr>
          <w:rFonts w:cs="Times New Roman"/>
          <w:szCs w:val="24"/>
        </w:rPr>
      </w:pPr>
      <w:r w:rsidRPr="00A61161">
        <w:rPr>
          <w:rFonts w:cs="Times New Roman"/>
          <w:szCs w:val="24"/>
        </w:rPr>
        <w:t xml:space="preserve">*Participants could select more than one option </w:t>
      </w:r>
    </w:p>
    <w:p w14:paraId="5383F746" w14:textId="77777777" w:rsidR="00382C41" w:rsidRDefault="00382C41" w:rsidP="00382C41">
      <w:pPr>
        <w:spacing w:line="480" w:lineRule="auto"/>
        <w:contextualSpacing/>
        <w:rPr>
          <w:rFonts w:cs="Times New Roman"/>
          <w:szCs w:val="24"/>
        </w:rPr>
        <w:sectPr w:rsidR="00382C41" w:rsidSect="00AE2B5C">
          <w:headerReference w:type="default" r:id="rId9"/>
          <w:footerReference w:type="default" r:id="rId10"/>
          <w:headerReference w:type="first" r:id="rId11"/>
          <w:pgSz w:w="12240" w:h="15840"/>
          <w:pgMar w:top="1440" w:right="1440" w:bottom="1440" w:left="1440" w:header="720" w:footer="720" w:gutter="0"/>
          <w:cols w:space="720"/>
          <w:docGrid w:linePitch="360"/>
        </w:sectPr>
      </w:pPr>
      <w:r w:rsidRPr="00A61161">
        <w:rPr>
          <w:rFonts w:cs="Times New Roman"/>
          <w:i/>
          <w:iCs/>
          <w:szCs w:val="24"/>
        </w:rPr>
        <w:t>Note.</w:t>
      </w:r>
      <w:r w:rsidRPr="00A61161">
        <w:rPr>
          <w:rFonts w:cs="Times New Roman"/>
          <w:szCs w:val="24"/>
        </w:rPr>
        <w:t xml:space="preserve"> MH = mental health professional</w:t>
      </w:r>
    </w:p>
    <w:p w14:paraId="2BBBAAF1" w14:textId="77777777" w:rsidR="00A35DDB" w:rsidRDefault="00A35DDB" w:rsidP="00382C41">
      <w:pPr>
        <w:spacing w:line="480" w:lineRule="auto"/>
        <w:contextualSpacing/>
        <w:rPr>
          <w:rFonts w:cs="Times New Roman"/>
          <w:sz w:val="16"/>
          <w:szCs w:val="16"/>
        </w:rPr>
      </w:pPr>
    </w:p>
    <w:p w14:paraId="5999AF20" w14:textId="77777777" w:rsidR="00A35DDB" w:rsidRPr="00A61161" w:rsidRDefault="00A35DDB" w:rsidP="00A35DDB">
      <w:pPr>
        <w:contextualSpacing/>
        <w:rPr>
          <w:rFonts w:cs="Times New Roman"/>
          <w:szCs w:val="24"/>
        </w:rPr>
      </w:pPr>
      <w:r w:rsidRPr="00A61161">
        <w:rPr>
          <w:rFonts w:cs="Times New Roman"/>
          <w:szCs w:val="24"/>
        </w:rPr>
        <w:t>Table 2</w:t>
      </w:r>
    </w:p>
    <w:p w14:paraId="77E034B7" w14:textId="77777777" w:rsidR="00A35DDB" w:rsidRPr="00A61161" w:rsidRDefault="00A35DDB" w:rsidP="00A35DDB">
      <w:pPr>
        <w:contextualSpacing/>
        <w:rPr>
          <w:rFonts w:cs="Times New Roman"/>
          <w:i/>
          <w:iCs/>
          <w:szCs w:val="24"/>
        </w:rPr>
      </w:pPr>
    </w:p>
    <w:p w14:paraId="6F53455E" w14:textId="77777777" w:rsidR="00A35DDB" w:rsidRPr="00A61161" w:rsidRDefault="00A35DDB" w:rsidP="00A35DDB">
      <w:pPr>
        <w:contextualSpacing/>
        <w:rPr>
          <w:rFonts w:cs="Times New Roman"/>
          <w:i/>
          <w:iCs/>
          <w:szCs w:val="24"/>
        </w:rPr>
      </w:pPr>
      <w:r w:rsidRPr="00A61161">
        <w:rPr>
          <w:rFonts w:cs="Times New Roman"/>
          <w:i/>
          <w:iCs/>
          <w:szCs w:val="24"/>
        </w:rPr>
        <w:t>Descriptive statistics of outcome variables by condition</w:t>
      </w:r>
    </w:p>
    <w:p w14:paraId="68990EC6" w14:textId="77777777" w:rsidR="00A35DDB" w:rsidRPr="00A61161" w:rsidRDefault="00A35DDB" w:rsidP="00A35DDB">
      <w:pPr>
        <w:contextualSpacing/>
        <w:rPr>
          <w:rFonts w:cs="Times New Roman"/>
          <w:szCs w:val="24"/>
        </w:rPr>
      </w:pPr>
    </w:p>
    <w:tbl>
      <w:tblPr>
        <w:tblStyle w:val="TableGrid1"/>
        <w:tblW w:w="10525" w:type="dxa"/>
        <w:tblCellMar>
          <w:top w:w="58" w:type="dxa"/>
          <w:bottom w:w="58" w:type="dxa"/>
        </w:tblCellMar>
        <w:tblLook w:val="04A0" w:firstRow="1" w:lastRow="0" w:firstColumn="1" w:lastColumn="0" w:noHBand="0" w:noVBand="1"/>
      </w:tblPr>
      <w:tblGrid>
        <w:gridCol w:w="2520"/>
        <w:gridCol w:w="1448"/>
        <w:gridCol w:w="1311"/>
        <w:gridCol w:w="1312"/>
        <w:gridCol w:w="1311"/>
        <w:gridCol w:w="1311"/>
        <w:gridCol w:w="1312"/>
      </w:tblGrid>
      <w:tr w:rsidR="00A35DDB" w:rsidRPr="00A61161" w14:paraId="17E3B344" w14:textId="77777777" w:rsidTr="003C2F5A">
        <w:trPr>
          <w:trHeight w:val="304"/>
        </w:trPr>
        <w:tc>
          <w:tcPr>
            <w:tcW w:w="2520" w:type="dxa"/>
            <w:tcBorders>
              <w:left w:val="nil"/>
              <w:bottom w:val="nil"/>
              <w:right w:val="nil"/>
            </w:tcBorders>
            <w:vAlign w:val="center"/>
          </w:tcPr>
          <w:p w14:paraId="52D8A3DC" w14:textId="77777777" w:rsidR="00A35DDB" w:rsidRPr="00053D29" w:rsidRDefault="00A35DDB" w:rsidP="003C2F5A">
            <w:pPr>
              <w:contextualSpacing/>
              <w:jc w:val="center"/>
              <w:rPr>
                <w:rFonts w:cs="Times New Roman"/>
                <w:sz w:val="20"/>
                <w:szCs w:val="20"/>
              </w:rPr>
            </w:pPr>
            <w:r w:rsidRPr="00053D29">
              <w:rPr>
                <w:rFonts w:cs="Times New Roman"/>
                <w:sz w:val="20"/>
                <w:szCs w:val="20"/>
              </w:rPr>
              <w:t>Measure</w:t>
            </w:r>
          </w:p>
        </w:tc>
        <w:tc>
          <w:tcPr>
            <w:tcW w:w="2759" w:type="dxa"/>
            <w:gridSpan w:val="2"/>
            <w:tcBorders>
              <w:left w:val="nil"/>
              <w:bottom w:val="single" w:sz="4" w:space="0" w:color="auto"/>
              <w:right w:val="nil"/>
            </w:tcBorders>
            <w:vAlign w:val="center"/>
          </w:tcPr>
          <w:p w14:paraId="5C131845" w14:textId="77777777" w:rsidR="00A35DDB" w:rsidRPr="00053D29" w:rsidRDefault="00A35DDB" w:rsidP="003C2F5A">
            <w:pPr>
              <w:contextualSpacing/>
              <w:jc w:val="center"/>
              <w:rPr>
                <w:rFonts w:cs="Times New Roman"/>
                <w:sz w:val="20"/>
                <w:szCs w:val="20"/>
              </w:rPr>
            </w:pPr>
            <w:r w:rsidRPr="00053D29">
              <w:rPr>
                <w:rFonts w:cs="Times New Roman"/>
                <w:sz w:val="20"/>
                <w:szCs w:val="20"/>
              </w:rPr>
              <w:t>Control (n = 78)</w:t>
            </w:r>
          </w:p>
          <w:p w14:paraId="6396F7BD" w14:textId="77777777" w:rsidR="00A35DDB" w:rsidRPr="00053D29" w:rsidRDefault="00A35DDB" w:rsidP="003C2F5A">
            <w:pPr>
              <w:contextualSpacing/>
              <w:jc w:val="center"/>
              <w:rPr>
                <w:rFonts w:cs="Times New Roman"/>
                <w:sz w:val="20"/>
                <w:szCs w:val="20"/>
              </w:rPr>
            </w:pPr>
            <w:r w:rsidRPr="00053D29">
              <w:rPr>
                <w:rFonts w:cs="Times New Roman"/>
                <w:i/>
                <w:iCs/>
                <w:sz w:val="20"/>
                <w:szCs w:val="20"/>
              </w:rPr>
              <w:t>M</w:t>
            </w:r>
            <w:r w:rsidRPr="00053D29">
              <w:rPr>
                <w:rFonts w:cs="Times New Roman"/>
                <w:sz w:val="20"/>
                <w:szCs w:val="20"/>
              </w:rPr>
              <w:t xml:space="preserve"> (</w:t>
            </w:r>
            <w:r w:rsidRPr="00053D29">
              <w:rPr>
                <w:rFonts w:cs="Times New Roman"/>
                <w:i/>
                <w:iCs/>
                <w:sz w:val="20"/>
                <w:szCs w:val="20"/>
              </w:rPr>
              <w:t>SD</w:t>
            </w:r>
            <w:r w:rsidRPr="00053D29">
              <w:rPr>
                <w:rFonts w:cs="Times New Roman"/>
                <w:sz w:val="20"/>
                <w:szCs w:val="20"/>
              </w:rPr>
              <w:t>)</w:t>
            </w:r>
          </w:p>
        </w:tc>
        <w:tc>
          <w:tcPr>
            <w:tcW w:w="2623" w:type="dxa"/>
            <w:gridSpan w:val="2"/>
            <w:tcBorders>
              <w:left w:val="nil"/>
              <w:bottom w:val="single" w:sz="4" w:space="0" w:color="auto"/>
              <w:right w:val="nil"/>
            </w:tcBorders>
            <w:vAlign w:val="center"/>
          </w:tcPr>
          <w:p w14:paraId="31AB0459" w14:textId="77777777" w:rsidR="00A35DDB" w:rsidRPr="00053D29" w:rsidRDefault="00A35DDB" w:rsidP="003C2F5A">
            <w:pPr>
              <w:contextualSpacing/>
              <w:jc w:val="center"/>
              <w:rPr>
                <w:rFonts w:cs="Times New Roman"/>
                <w:sz w:val="20"/>
                <w:szCs w:val="20"/>
              </w:rPr>
            </w:pPr>
            <w:r w:rsidRPr="00053D29">
              <w:rPr>
                <w:rFonts w:cs="Times New Roman"/>
                <w:sz w:val="20"/>
                <w:szCs w:val="20"/>
              </w:rPr>
              <w:t>Phone coaching (n = 77)</w:t>
            </w:r>
          </w:p>
          <w:p w14:paraId="08D29963" w14:textId="77777777" w:rsidR="00A35DDB" w:rsidRPr="00053D29" w:rsidRDefault="00A35DDB" w:rsidP="003C2F5A">
            <w:pPr>
              <w:contextualSpacing/>
              <w:jc w:val="center"/>
              <w:rPr>
                <w:rFonts w:cs="Times New Roman"/>
                <w:sz w:val="20"/>
                <w:szCs w:val="20"/>
              </w:rPr>
            </w:pPr>
            <w:r w:rsidRPr="00053D29">
              <w:rPr>
                <w:rFonts w:cs="Times New Roman"/>
                <w:i/>
                <w:iCs/>
                <w:sz w:val="20"/>
                <w:szCs w:val="20"/>
              </w:rPr>
              <w:t>M</w:t>
            </w:r>
            <w:r w:rsidRPr="00053D29">
              <w:rPr>
                <w:rFonts w:cs="Times New Roman"/>
                <w:sz w:val="20"/>
                <w:szCs w:val="20"/>
              </w:rPr>
              <w:t xml:space="preserve"> (</w:t>
            </w:r>
            <w:r w:rsidRPr="00053D29">
              <w:rPr>
                <w:rFonts w:cs="Times New Roman"/>
                <w:i/>
                <w:iCs/>
                <w:sz w:val="20"/>
                <w:szCs w:val="20"/>
              </w:rPr>
              <w:t>SD</w:t>
            </w:r>
            <w:r w:rsidRPr="00053D29">
              <w:rPr>
                <w:rFonts w:cs="Times New Roman"/>
                <w:sz w:val="20"/>
                <w:szCs w:val="20"/>
              </w:rPr>
              <w:t>)</w:t>
            </w:r>
          </w:p>
        </w:tc>
        <w:tc>
          <w:tcPr>
            <w:tcW w:w="2623" w:type="dxa"/>
            <w:gridSpan w:val="2"/>
            <w:tcBorders>
              <w:left w:val="nil"/>
              <w:bottom w:val="single" w:sz="4" w:space="0" w:color="auto"/>
              <w:right w:val="nil"/>
            </w:tcBorders>
            <w:vAlign w:val="center"/>
          </w:tcPr>
          <w:p w14:paraId="12531048" w14:textId="77777777" w:rsidR="00A35DDB" w:rsidRPr="00053D29" w:rsidRDefault="00A35DDB" w:rsidP="003C2F5A">
            <w:pPr>
              <w:contextualSpacing/>
              <w:jc w:val="center"/>
              <w:rPr>
                <w:rFonts w:cs="Times New Roman"/>
                <w:sz w:val="20"/>
                <w:szCs w:val="20"/>
              </w:rPr>
            </w:pPr>
            <w:r w:rsidRPr="00053D29">
              <w:rPr>
                <w:rFonts w:cs="Times New Roman"/>
                <w:sz w:val="20"/>
                <w:szCs w:val="20"/>
              </w:rPr>
              <w:t>Text coaching (n = 75)</w:t>
            </w:r>
          </w:p>
          <w:p w14:paraId="17A45F2B" w14:textId="77777777" w:rsidR="00A35DDB" w:rsidRPr="00053D29" w:rsidRDefault="00A35DDB" w:rsidP="003C2F5A">
            <w:pPr>
              <w:contextualSpacing/>
              <w:jc w:val="center"/>
              <w:rPr>
                <w:rFonts w:cs="Times New Roman"/>
                <w:sz w:val="20"/>
                <w:szCs w:val="20"/>
              </w:rPr>
            </w:pPr>
            <w:r w:rsidRPr="00053D29">
              <w:rPr>
                <w:rFonts w:cs="Times New Roman"/>
                <w:i/>
                <w:iCs/>
                <w:sz w:val="20"/>
                <w:szCs w:val="20"/>
              </w:rPr>
              <w:t>M</w:t>
            </w:r>
            <w:r w:rsidRPr="00053D29">
              <w:rPr>
                <w:rFonts w:cs="Times New Roman"/>
                <w:sz w:val="20"/>
                <w:szCs w:val="20"/>
              </w:rPr>
              <w:t xml:space="preserve"> (</w:t>
            </w:r>
            <w:r w:rsidRPr="00053D29">
              <w:rPr>
                <w:rFonts w:cs="Times New Roman"/>
                <w:i/>
                <w:iCs/>
                <w:sz w:val="20"/>
                <w:szCs w:val="20"/>
              </w:rPr>
              <w:t>SD</w:t>
            </w:r>
            <w:r w:rsidRPr="00053D29">
              <w:rPr>
                <w:rFonts w:cs="Times New Roman"/>
                <w:sz w:val="20"/>
                <w:szCs w:val="20"/>
              </w:rPr>
              <w:t>)</w:t>
            </w:r>
          </w:p>
        </w:tc>
      </w:tr>
      <w:tr w:rsidR="00A35DDB" w:rsidRPr="00A61161" w14:paraId="1E15BDEB" w14:textId="77777777" w:rsidTr="003C2F5A">
        <w:trPr>
          <w:trHeight w:val="304"/>
        </w:trPr>
        <w:tc>
          <w:tcPr>
            <w:tcW w:w="2520" w:type="dxa"/>
            <w:tcBorders>
              <w:top w:val="nil"/>
              <w:left w:val="nil"/>
              <w:bottom w:val="single" w:sz="4" w:space="0" w:color="auto"/>
              <w:right w:val="nil"/>
            </w:tcBorders>
            <w:vAlign w:val="center"/>
          </w:tcPr>
          <w:p w14:paraId="1560E57D" w14:textId="77777777" w:rsidR="00A35DDB" w:rsidRPr="00053D29" w:rsidRDefault="00A35DDB" w:rsidP="003C2F5A">
            <w:pPr>
              <w:contextualSpacing/>
              <w:jc w:val="center"/>
              <w:rPr>
                <w:rFonts w:cs="Times New Roman"/>
                <w:sz w:val="20"/>
                <w:szCs w:val="20"/>
              </w:rPr>
            </w:pPr>
          </w:p>
        </w:tc>
        <w:tc>
          <w:tcPr>
            <w:tcW w:w="1448" w:type="dxa"/>
            <w:tcBorders>
              <w:left w:val="nil"/>
              <w:bottom w:val="single" w:sz="4" w:space="0" w:color="auto"/>
              <w:right w:val="nil"/>
            </w:tcBorders>
            <w:vAlign w:val="center"/>
          </w:tcPr>
          <w:p w14:paraId="41509F36" w14:textId="77777777" w:rsidR="00A35DDB" w:rsidRPr="00053D29" w:rsidRDefault="00A35DDB" w:rsidP="003C2F5A">
            <w:pPr>
              <w:contextualSpacing/>
              <w:jc w:val="center"/>
              <w:rPr>
                <w:rFonts w:cs="Times New Roman"/>
                <w:sz w:val="20"/>
                <w:szCs w:val="20"/>
              </w:rPr>
            </w:pPr>
            <w:r w:rsidRPr="00053D29">
              <w:rPr>
                <w:rFonts w:cs="Times New Roman"/>
                <w:sz w:val="20"/>
                <w:szCs w:val="20"/>
              </w:rPr>
              <w:t>BL</w:t>
            </w:r>
          </w:p>
        </w:tc>
        <w:tc>
          <w:tcPr>
            <w:tcW w:w="1311" w:type="dxa"/>
            <w:tcBorders>
              <w:left w:val="nil"/>
              <w:bottom w:val="single" w:sz="4" w:space="0" w:color="auto"/>
              <w:right w:val="nil"/>
            </w:tcBorders>
            <w:vAlign w:val="center"/>
          </w:tcPr>
          <w:p w14:paraId="4CF8BA4D" w14:textId="77777777" w:rsidR="00A35DDB" w:rsidRPr="00053D29" w:rsidRDefault="00A35DDB" w:rsidP="003C2F5A">
            <w:pPr>
              <w:contextualSpacing/>
              <w:jc w:val="center"/>
              <w:rPr>
                <w:rFonts w:cs="Times New Roman"/>
                <w:sz w:val="20"/>
                <w:szCs w:val="20"/>
              </w:rPr>
            </w:pPr>
            <w:r w:rsidRPr="00053D29">
              <w:rPr>
                <w:rFonts w:cs="Times New Roman"/>
                <w:sz w:val="20"/>
                <w:szCs w:val="20"/>
              </w:rPr>
              <w:t>PT</w:t>
            </w:r>
          </w:p>
        </w:tc>
        <w:tc>
          <w:tcPr>
            <w:tcW w:w="1312" w:type="dxa"/>
            <w:tcBorders>
              <w:left w:val="nil"/>
              <w:bottom w:val="single" w:sz="4" w:space="0" w:color="auto"/>
              <w:right w:val="nil"/>
            </w:tcBorders>
            <w:vAlign w:val="center"/>
          </w:tcPr>
          <w:p w14:paraId="7D0FF416" w14:textId="77777777" w:rsidR="00A35DDB" w:rsidRPr="00053D29" w:rsidRDefault="00A35DDB" w:rsidP="003C2F5A">
            <w:pPr>
              <w:contextualSpacing/>
              <w:jc w:val="center"/>
              <w:rPr>
                <w:rFonts w:cs="Times New Roman"/>
                <w:sz w:val="20"/>
                <w:szCs w:val="20"/>
              </w:rPr>
            </w:pPr>
            <w:r w:rsidRPr="00053D29">
              <w:rPr>
                <w:rFonts w:cs="Times New Roman"/>
                <w:sz w:val="20"/>
                <w:szCs w:val="20"/>
              </w:rPr>
              <w:t>BL</w:t>
            </w:r>
          </w:p>
        </w:tc>
        <w:tc>
          <w:tcPr>
            <w:tcW w:w="1311" w:type="dxa"/>
            <w:tcBorders>
              <w:left w:val="nil"/>
              <w:bottom w:val="single" w:sz="4" w:space="0" w:color="auto"/>
              <w:right w:val="nil"/>
            </w:tcBorders>
            <w:vAlign w:val="center"/>
          </w:tcPr>
          <w:p w14:paraId="6813E135" w14:textId="77777777" w:rsidR="00A35DDB" w:rsidRPr="00053D29" w:rsidRDefault="00A35DDB" w:rsidP="003C2F5A">
            <w:pPr>
              <w:contextualSpacing/>
              <w:jc w:val="center"/>
              <w:rPr>
                <w:rFonts w:cs="Times New Roman"/>
                <w:sz w:val="20"/>
                <w:szCs w:val="20"/>
              </w:rPr>
            </w:pPr>
            <w:r w:rsidRPr="00053D29">
              <w:rPr>
                <w:rFonts w:cs="Times New Roman"/>
                <w:sz w:val="20"/>
                <w:szCs w:val="20"/>
              </w:rPr>
              <w:t>PT</w:t>
            </w:r>
          </w:p>
        </w:tc>
        <w:tc>
          <w:tcPr>
            <w:tcW w:w="1311" w:type="dxa"/>
            <w:tcBorders>
              <w:left w:val="nil"/>
              <w:bottom w:val="single" w:sz="4" w:space="0" w:color="auto"/>
              <w:right w:val="nil"/>
            </w:tcBorders>
            <w:vAlign w:val="center"/>
          </w:tcPr>
          <w:p w14:paraId="5DB399C6" w14:textId="77777777" w:rsidR="00A35DDB" w:rsidRPr="00053D29" w:rsidRDefault="00A35DDB" w:rsidP="003C2F5A">
            <w:pPr>
              <w:contextualSpacing/>
              <w:jc w:val="center"/>
              <w:rPr>
                <w:rFonts w:cs="Times New Roman"/>
                <w:sz w:val="20"/>
                <w:szCs w:val="20"/>
              </w:rPr>
            </w:pPr>
            <w:r w:rsidRPr="00053D29">
              <w:rPr>
                <w:rFonts w:cs="Times New Roman"/>
                <w:sz w:val="20"/>
                <w:szCs w:val="20"/>
              </w:rPr>
              <w:t>BL</w:t>
            </w:r>
          </w:p>
        </w:tc>
        <w:tc>
          <w:tcPr>
            <w:tcW w:w="1312" w:type="dxa"/>
            <w:tcBorders>
              <w:left w:val="nil"/>
              <w:bottom w:val="single" w:sz="4" w:space="0" w:color="auto"/>
              <w:right w:val="nil"/>
            </w:tcBorders>
            <w:vAlign w:val="center"/>
          </w:tcPr>
          <w:p w14:paraId="4E1F33DF" w14:textId="77777777" w:rsidR="00A35DDB" w:rsidRPr="00053D29" w:rsidRDefault="00A35DDB" w:rsidP="003C2F5A">
            <w:pPr>
              <w:contextualSpacing/>
              <w:jc w:val="center"/>
              <w:rPr>
                <w:rFonts w:cs="Times New Roman"/>
                <w:sz w:val="20"/>
                <w:szCs w:val="20"/>
              </w:rPr>
            </w:pPr>
            <w:r w:rsidRPr="00053D29">
              <w:rPr>
                <w:rFonts w:cs="Times New Roman"/>
                <w:sz w:val="20"/>
                <w:szCs w:val="20"/>
              </w:rPr>
              <w:t>PT</w:t>
            </w:r>
          </w:p>
        </w:tc>
      </w:tr>
      <w:tr w:rsidR="00A35DDB" w:rsidRPr="00A61161" w14:paraId="4F0AF221" w14:textId="77777777" w:rsidTr="003C2F5A">
        <w:trPr>
          <w:trHeight w:val="110"/>
        </w:trPr>
        <w:tc>
          <w:tcPr>
            <w:tcW w:w="2520" w:type="dxa"/>
            <w:tcBorders>
              <w:top w:val="nil"/>
              <w:left w:val="nil"/>
              <w:bottom w:val="nil"/>
              <w:right w:val="nil"/>
            </w:tcBorders>
            <w:vAlign w:val="center"/>
          </w:tcPr>
          <w:p w14:paraId="432393EC" w14:textId="77777777" w:rsidR="00A35DDB" w:rsidRPr="00053D29" w:rsidRDefault="00A35DDB" w:rsidP="003C2F5A">
            <w:pPr>
              <w:contextualSpacing/>
              <w:jc w:val="center"/>
              <w:rPr>
                <w:rFonts w:cs="Times New Roman"/>
                <w:i/>
                <w:iCs/>
                <w:sz w:val="20"/>
                <w:szCs w:val="20"/>
              </w:rPr>
            </w:pPr>
            <w:r w:rsidRPr="00053D29">
              <w:rPr>
                <w:rFonts w:cs="Times New Roman"/>
                <w:i/>
                <w:iCs/>
                <w:sz w:val="20"/>
                <w:szCs w:val="20"/>
              </w:rPr>
              <w:t>Outcome Measures</w:t>
            </w:r>
          </w:p>
        </w:tc>
        <w:tc>
          <w:tcPr>
            <w:tcW w:w="1448" w:type="dxa"/>
            <w:tcBorders>
              <w:top w:val="nil"/>
              <w:left w:val="nil"/>
              <w:bottom w:val="nil"/>
              <w:right w:val="nil"/>
            </w:tcBorders>
            <w:vAlign w:val="center"/>
          </w:tcPr>
          <w:p w14:paraId="46EE9D60" w14:textId="77777777" w:rsidR="00A35DDB" w:rsidRPr="00053D29" w:rsidRDefault="00A35DDB" w:rsidP="003C2F5A">
            <w:pPr>
              <w:contextualSpacing/>
              <w:jc w:val="center"/>
              <w:rPr>
                <w:rFonts w:cs="Times New Roman"/>
                <w:sz w:val="20"/>
                <w:szCs w:val="20"/>
              </w:rPr>
            </w:pPr>
          </w:p>
        </w:tc>
        <w:tc>
          <w:tcPr>
            <w:tcW w:w="1311" w:type="dxa"/>
            <w:tcBorders>
              <w:top w:val="nil"/>
              <w:left w:val="nil"/>
              <w:bottom w:val="nil"/>
              <w:right w:val="nil"/>
            </w:tcBorders>
            <w:vAlign w:val="center"/>
          </w:tcPr>
          <w:p w14:paraId="4B184125" w14:textId="77777777" w:rsidR="00A35DDB" w:rsidRPr="00053D29" w:rsidRDefault="00A35DDB" w:rsidP="003C2F5A">
            <w:pPr>
              <w:contextualSpacing/>
              <w:jc w:val="center"/>
              <w:rPr>
                <w:rFonts w:cs="Times New Roman"/>
                <w:sz w:val="20"/>
                <w:szCs w:val="20"/>
              </w:rPr>
            </w:pPr>
          </w:p>
        </w:tc>
        <w:tc>
          <w:tcPr>
            <w:tcW w:w="1312" w:type="dxa"/>
            <w:tcBorders>
              <w:top w:val="nil"/>
              <w:left w:val="nil"/>
              <w:bottom w:val="nil"/>
              <w:right w:val="nil"/>
            </w:tcBorders>
            <w:vAlign w:val="center"/>
          </w:tcPr>
          <w:p w14:paraId="7C87F70A" w14:textId="77777777" w:rsidR="00A35DDB" w:rsidRPr="00053D29" w:rsidRDefault="00A35DDB" w:rsidP="003C2F5A">
            <w:pPr>
              <w:contextualSpacing/>
              <w:jc w:val="center"/>
              <w:rPr>
                <w:rFonts w:cs="Times New Roman"/>
                <w:sz w:val="20"/>
                <w:szCs w:val="20"/>
              </w:rPr>
            </w:pPr>
          </w:p>
        </w:tc>
        <w:tc>
          <w:tcPr>
            <w:tcW w:w="1311" w:type="dxa"/>
            <w:tcBorders>
              <w:top w:val="nil"/>
              <w:left w:val="nil"/>
              <w:bottom w:val="nil"/>
              <w:right w:val="nil"/>
            </w:tcBorders>
            <w:vAlign w:val="center"/>
          </w:tcPr>
          <w:p w14:paraId="071D293B" w14:textId="77777777" w:rsidR="00A35DDB" w:rsidRPr="00053D29" w:rsidRDefault="00A35DDB" w:rsidP="003C2F5A">
            <w:pPr>
              <w:contextualSpacing/>
              <w:jc w:val="center"/>
              <w:rPr>
                <w:rFonts w:cs="Times New Roman"/>
                <w:sz w:val="20"/>
                <w:szCs w:val="20"/>
              </w:rPr>
            </w:pPr>
          </w:p>
        </w:tc>
        <w:tc>
          <w:tcPr>
            <w:tcW w:w="1311" w:type="dxa"/>
            <w:tcBorders>
              <w:top w:val="nil"/>
              <w:left w:val="nil"/>
              <w:bottom w:val="nil"/>
              <w:right w:val="nil"/>
            </w:tcBorders>
            <w:vAlign w:val="center"/>
          </w:tcPr>
          <w:p w14:paraId="04C373CF" w14:textId="77777777" w:rsidR="00A35DDB" w:rsidRPr="00053D29" w:rsidRDefault="00A35DDB" w:rsidP="003C2F5A">
            <w:pPr>
              <w:contextualSpacing/>
              <w:jc w:val="center"/>
              <w:rPr>
                <w:rFonts w:cs="Times New Roman"/>
                <w:sz w:val="20"/>
                <w:szCs w:val="20"/>
              </w:rPr>
            </w:pPr>
          </w:p>
        </w:tc>
        <w:tc>
          <w:tcPr>
            <w:tcW w:w="1312" w:type="dxa"/>
            <w:tcBorders>
              <w:top w:val="nil"/>
              <w:left w:val="nil"/>
              <w:bottom w:val="nil"/>
              <w:right w:val="nil"/>
            </w:tcBorders>
            <w:vAlign w:val="center"/>
          </w:tcPr>
          <w:p w14:paraId="593E8897" w14:textId="77777777" w:rsidR="00A35DDB" w:rsidRPr="00053D29" w:rsidRDefault="00A35DDB" w:rsidP="003C2F5A">
            <w:pPr>
              <w:contextualSpacing/>
              <w:jc w:val="center"/>
              <w:rPr>
                <w:rFonts w:cs="Times New Roman"/>
                <w:sz w:val="20"/>
                <w:szCs w:val="20"/>
              </w:rPr>
            </w:pPr>
          </w:p>
        </w:tc>
      </w:tr>
      <w:tr w:rsidR="00A35DDB" w:rsidRPr="00A61161" w14:paraId="1432BF19" w14:textId="77777777" w:rsidTr="003C2F5A">
        <w:trPr>
          <w:trHeight w:val="110"/>
        </w:trPr>
        <w:tc>
          <w:tcPr>
            <w:tcW w:w="2520" w:type="dxa"/>
            <w:tcBorders>
              <w:top w:val="nil"/>
              <w:left w:val="nil"/>
              <w:bottom w:val="nil"/>
              <w:right w:val="nil"/>
            </w:tcBorders>
            <w:vAlign w:val="center"/>
          </w:tcPr>
          <w:p w14:paraId="71F7BDB1" w14:textId="77777777" w:rsidR="00A35DDB" w:rsidRPr="00053D29" w:rsidRDefault="00A35DDB" w:rsidP="003C2F5A">
            <w:pPr>
              <w:contextualSpacing/>
              <w:jc w:val="center"/>
              <w:rPr>
                <w:rFonts w:cs="Times New Roman"/>
                <w:sz w:val="20"/>
                <w:szCs w:val="20"/>
              </w:rPr>
            </w:pPr>
            <w:r w:rsidRPr="00053D29">
              <w:rPr>
                <w:rFonts w:cs="Times New Roman"/>
                <w:sz w:val="20"/>
                <w:szCs w:val="20"/>
              </w:rPr>
              <w:t>DASS-21</w:t>
            </w:r>
          </w:p>
        </w:tc>
        <w:tc>
          <w:tcPr>
            <w:tcW w:w="1448" w:type="dxa"/>
            <w:tcBorders>
              <w:top w:val="nil"/>
              <w:left w:val="nil"/>
              <w:bottom w:val="nil"/>
              <w:right w:val="nil"/>
            </w:tcBorders>
            <w:vAlign w:val="center"/>
          </w:tcPr>
          <w:p w14:paraId="48352A1C" w14:textId="77777777" w:rsidR="00A35DDB" w:rsidRPr="00053D29" w:rsidRDefault="00A35DDB" w:rsidP="003C2F5A">
            <w:pPr>
              <w:contextualSpacing/>
              <w:jc w:val="center"/>
              <w:rPr>
                <w:rFonts w:cs="Times New Roman"/>
                <w:sz w:val="20"/>
                <w:szCs w:val="20"/>
              </w:rPr>
            </w:pPr>
            <w:r w:rsidRPr="00053D29">
              <w:rPr>
                <w:rFonts w:cs="Times New Roman"/>
                <w:sz w:val="20"/>
                <w:szCs w:val="20"/>
              </w:rPr>
              <w:t>50.8 (27)</w:t>
            </w:r>
          </w:p>
        </w:tc>
        <w:tc>
          <w:tcPr>
            <w:tcW w:w="1311" w:type="dxa"/>
            <w:tcBorders>
              <w:top w:val="nil"/>
              <w:left w:val="nil"/>
              <w:bottom w:val="nil"/>
              <w:right w:val="nil"/>
            </w:tcBorders>
            <w:vAlign w:val="center"/>
          </w:tcPr>
          <w:p w14:paraId="3A9D42EC" w14:textId="77777777" w:rsidR="00A35DDB" w:rsidRPr="00053D29" w:rsidRDefault="00A35DDB" w:rsidP="003C2F5A">
            <w:pPr>
              <w:contextualSpacing/>
              <w:jc w:val="center"/>
              <w:rPr>
                <w:rFonts w:cs="Times New Roman"/>
                <w:sz w:val="20"/>
                <w:szCs w:val="20"/>
              </w:rPr>
            </w:pPr>
            <w:r w:rsidRPr="00053D29">
              <w:rPr>
                <w:rFonts w:cs="Times New Roman"/>
                <w:sz w:val="20"/>
                <w:szCs w:val="20"/>
              </w:rPr>
              <w:t>45.4</w:t>
            </w:r>
          </w:p>
        </w:tc>
        <w:tc>
          <w:tcPr>
            <w:tcW w:w="1312" w:type="dxa"/>
            <w:tcBorders>
              <w:top w:val="nil"/>
              <w:left w:val="nil"/>
              <w:bottom w:val="nil"/>
              <w:right w:val="nil"/>
            </w:tcBorders>
            <w:vAlign w:val="center"/>
          </w:tcPr>
          <w:p w14:paraId="3E1D2DE7" w14:textId="77777777" w:rsidR="00A35DDB" w:rsidRPr="00053D29" w:rsidRDefault="00A35DDB" w:rsidP="003C2F5A">
            <w:pPr>
              <w:contextualSpacing/>
              <w:jc w:val="center"/>
              <w:rPr>
                <w:rFonts w:cs="Times New Roman"/>
                <w:sz w:val="20"/>
                <w:szCs w:val="20"/>
              </w:rPr>
            </w:pPr>
            <w:r w:rsidRPr="00053D29">
              <w:rPr>
                <w:rFonts w:cs="Times New Roman"/>
                <w:sz w:val="20"/>
                <w:szCs w:val="20"/>
              </w:rPr>
              <w:t>49 (25.1)</w:t>
            </w:r>
          </w:p>
        </w:tc>
        <w:tc>
          <w:tcPr>
            <w:tcW w:w="1311" w:type="dxa"/>
            <w:tcBorders>
              <w:top w:val="nil"/>
              <w:left w:val="nil"/>
              <w:bottom w:val="nil"/>
              <w:right w:val="nil"/>
            </w:tcBorders>
            <w:vAlign w:val="center"/>
          </w:tcPr>
          <w:p w14:paraId="0076CC6A" w14:textId="77777777" w:rsidR="00A35DDB" w:rsidRPr="00053D29" w:rsidRDefault="00A35DDB" w:rsidP="003C2F5A">
            <w:pPr>
              <w:contextualSpacing/>
              <w:jc w:val="center"/>
              <w:rPr>
                <w:rFonts w:cs="Times New Roman"/>
                <w:sz w:val="20"/>
                <w:szCs w:val="20"/>
              </w:rPr>
            </w:pPr>
            <w:r w:rsidRPr="00053D29">
              <w:rPr>
                <w:rFonts w:cs="Times New Roman"/>
                <w:sz w:val="20"/>
                <w:szCs w:val="20"/>
              </w:rPr>
              <w:t>33.6 (22.2)</w:t>
            </w:r>
          </w:p>
        </w:tc>
        <w:tc>
          <w:tcPr>
            <w:tcW w:w="1311" w:type="dxa"/>
            <w:tcBorders>
              <w:top w:val="nil"/>
              <w:left w:val="nil"/>
              <w:bottom w:val="nil"/>
              <w:right w:val="nil"/>
            </w:tcBorders>
            <w:vAlign w:val="center"/>
          </w:tcPr>
          <w:p w14:paraId="688CBBA6" w14:textId="77777777" w:rsidR="00A35DDB" w:rsidRPr="00053D29" w:rsidRDefault="00A35DDB" w:rsidP="003C2F5A">
            <w:pPr>
              <w:contextualSpacing/>
              <w:jc w:val="center"/>
              <w:rPr>
                <w:rFonts w:cs="Times New Roman"/>
                <w:sz w:val="20"/>
                <w:szCs w:val="20"/>
              </w:rPr>
            </w:pPr>
            <w:r w:rsidRPr="00053D29">
              <w:rPr>
                <w:rFonts w:cs="Times New Roman"/>
                <w:sz w:val="20"/>
                <w:szCs w:val="20"/>
              </w:rPr>
              <w:t>45.8 (28.4)</w:t>
            </w:r>
          </w:p>
        </w:tc>
        <w:tc>
          <w:tcPr>
            <w:tcW w:w="1312" w:type="dxa"/>
            <w:tcBorders>
              <w:top w:val="nil"/>
              <w:left w:val="nil"/>
              <w:bottom w:val="nil"/>
              <w:right w:val="nil"/>
            </w:tcBorders>
            <w:vAlign w:val="center"/>
          </w:tcPr>
          <w:p w14:paraId="7A07B189" w14:textId="77777777" w:rsidR="00A35DDB" w:rsidRPr="00053D29" w:rsidRDefault="00A35DDB" w:rsidP="003C2F5A">
            <w:pPr>
              <w:contextualSpacing/>
              <w:jc w:val="center"/>
              <w:rPr>
                <w:rFonts w:cs="Times New Roman"/>
                <w:sz w:val="20"/>
                <w:szCs w:val="20"/>
              </w:rPr>
            </w:pPr>
            <w:r w:rsidRPr="00053D29">
              <w:rPr>
                <w:rFonts w:cs="Times New Roman"/>
                <w:sz w:val="20"/>
                <w:szCs w:val="20"/>
              </w:rPr>
              <w:t>33.8 (24.4)</w:t>
            </w:r>
          </w:p>
        </w:tc>
      </w:tr>
      <w:tr w:rsidR="00A35DDB" w:rsidRPr="00A61161" w14:paraId="37724CAF" w14:textId="77777777" w:rsidTr="003C2F5A">
        <w:trPr>
          <w:trHeight w:val="110"/>
        </w:trPr>
        <w:tc>
          <w:tcPr>
            <w:tcW w:w="2520" w:type="dxa"/>
            <w:tcBorders>
              <w:top w:val="nil"/>
              <w:left w:val="nil"/>
              <w:bottom w:val="nil"/>
              <w:right w:val="nil"/>
            </w:tcBorders>
            <w:vAlign w:val="center"/>
          </w:tcPr>
          <w:p w14:paraId="79D9CBF7" w14:textId="77777777" w:rsidR="00A35DDB" w:rsidRPr="00053D29" w:rsidRDefault="00A35DDB" w:rsidP="003C2F5A">
            <w:pPr>
              <w:contextualSpacing/>
              <w:jc w:val="center"/>
              <w:rPr>
                <w:rFonts w:cs="Times New Roman"/>
                <w:sz w:val="20"/>
                <w:szCs w:val="20"/>
              </w:rPr>
            </w:pPr>
            <w:r w:rsidRPr="00053D29">
              <w:rPr>
                <w:rFonts w:cs="Times New Roman"/>
                <w:sz w:val="20"/>
                <w:szCs w:val="20"/>
              </w:rPr>
              <w:t>MHC-SF</w:t>
            </w:r>
          </w:p>
        </w:tc>
        <w:tc>
          <w:tcPr>
            <w:tcW w:w="1448" w:type="dxa"/>
            <w:tcBorders>
              <w:top w:val="nil"/>
              <w:left w:val="nil"/>
              <w:bottom w:val="nil"/>
              <w:right w:val="nil"/>
            </w:tcBorders>
            <w:vAlign w:val="center"/>
          </w:tcPr>
          <w:p w14:paraId="3372B12D" w14:textId="77777777" w:rsidR="00A35DDB" w:rsidRPr="00053D29" w:rsidRDefault="00A35DDB" w:rsidP="003C2F5A">
            <w:pPr>
              <w:contextualSpacing/>
              <w:jc w:val="center"/>
              <w:rPr>
                <w:rFonts w:cs="Times New Roman"/>
                <w:sz w:val="20"/>
                <w:szCs w:val="20"/>
              </w:rPr>
            </w:pPr>
            <w:r w:rsidRPr="00053D29">
              <w:rPr>
                <w:rFonts w:cs="Times New Roman"/>
                <w:sz w:val="20"/>
                <w:szCs w:val="20"/>
              </w:rPr>
              <w:t>40.5 (13.1)</w:t>
            </w:r>
          </w:p>
        </w:tc>
        <w:tc>
          <w:tcPr>
            <w:tcW w:w="1311" w:type="dxa"/>
            <w:tcBorders>
              <w:top w:val="nil"/>
              <w:left w:val="nil"/>
              <w:bottom w:val="nil"/>
              <w:right w:val="nil"/>
            </w:tcBorders>
            <w:vAlign w:val="center"/>
          </w:tcPr>
          <w:p w14:paraId="5203DB4C" w14:textId="77777777" w:rsidR="00A35DDB" w:rsidRPr="00053D29" w:rsidRDefault="00A35DDB" w:rsidP="003C2F5A">
            <w:pPr>
              <w:contextualSpacing/>
              <w:jc w:val="center"/>
              <w:rPr>
                <w:rFonts w:cs="Times New Roman"/>
                <w:sz w:val="20"/>
                <w:szCs w:val="20"/>
              </w:rPr>
            </w:pPr>
            <w:r w:rsidRPr="00053D29">
              <w:rPr>
                <w:rFonts w:cs="Times New Roman"/>
                <w:sz w:val="20"/>
                <w:szCs w:val="20"/>
              </w:rPr>
              <w:t>44 (13.2)</w:t>
            </w:r>
          </w:p>
        </w:tc>
        <w:tc>
          <w:tcPr>
            <w:tcW w:w="1312" w:type="dxa"/>
            <w:tcBorders>
              <w:top w:val="nil"/>
              <w:left w:val="nil"/>
              <w:bottom w:val="nil"/>
              <w:right w:val="nil"/>
            </w:tcBorders>
            <w:vAlign w:val="center"/>
          </w:tcPr>
          <w:p w14:paraId="7900C52D" w14:textId="77777777" w:rsidR="00A35DDB" w:rsidRPr="00053D29" w:rsidRDefault="00A35DDB" w:rsidP="003C2F5A">
            <w:pPr>
              <w:contextualSpacing/>
              <w:jc w:val="center"/>
              <w:rPr>
                <w:rFonts w:cs="Times New Roman"/>
                <w:sz w:val="20"/>
                <w:szCs w:val="20"/>
              </w:rPr>
            </w:pPr>
            <w:r w:rsidRPr="00053D29">
              <w:rPr>
                <w:rFonts w:cs="Times New Roman"/>
                <w:sz w:val="20"/>
                <w:szCs w:val="20"/>
              </w:rPr>
              <w:t>41.3 (12.9)</w:t>
            </w:r>
          </w:p>
        </w:tc>
        <w:tc>
          <w:tcPr>
            <w:tcW w:w="1311" w:type="dxa"/>
            <w:tcBorders>
              <w:top w:val="nil"/>
              <w:left w:val="nil"/>
              <w:bottom w:val="nil"/>
              <w:right w:val="nil"/>
            </w:tcBorders>
            <w:vAlign w:val="center"/>
          </w:tcPr>
          <w:p w14:paraId="2D9955FF" w14:textId="77777777" w:rsidR="00A35DDB" w:rsidRPr="00053D29" w:rsidRDefault="00A35DDB" w:rsidP="003C2F5A">
            <w:pPr>
              <w:contextualSpacing/>
              <w:jc w:val="center"/>
              <w:rPr>
                <w:rFonts w:cs="Times New Roman"/>
                <w:sz w:val="20"/>
                <w:szCs w:val="20"/>
              </w:rPr>
            </w:pPr>
            <w:r w:rsidRPr="00053D29">
              <w:rPr>
                <w:rFonts w:cs="Times New Roman"/>
                <w:sz w:val="20"/>
                <w:szCs w:val="20"/>
              </w:rPr>
              <w:t>48.4 (13)</w:t>
            </w:r>
          </w:p>
        </w:tc>
        <w:tc>
          <w:tcPr>
            <w:tcW w:w="1311" w:type="dxa"/>
            <w:tcBorders>
              <w:top w:val="nil"/>
              <w:left w:val="nil"/>
              <w:bottom w:val="nil"/>
              <w:right w:val="nil"/>
            </w:tcBorders>
            <w:vAlign w:val="center"/>
          </w:tcPr>
          <w:p w14:paraId="6E84DAD8" w14:textId="77777777" w:rsidR="00A35DDB" w:rsidRPr="00053D29" w:rsidRDefault="00A35DDB" w:rsidP="003C2F5A">
            <w:pPr>
              <w:contextualSpacing/>
              <w:jc w:val="center"/>
              <w:rPr>
                <w:rFonts w:cs="Times New Roman"/>
                <w:sz w:val="20"/>
                <w:szCs w:val="20"/>
              </w:rPr>
            </w:pPr>
            <w:r w:rsidRPr="00053D29">
              <w:rPr>
                <w:rFonts w:cs="Times New Roman"/>
                <w:sz w:val="20"/>
                <w:szCs w:val="20"/>
              </w:rPr>
              <w:t>40.4 (13.2)</w:t>
            </w:r>
          </w:p>
        </w:tc>
        <w:tc>
          <w:tcPr>
            <w:tcW w:w="1312" w:type="dxa"/>
            <w:tcBorders>
              <w:top w:val="nil"/>
              <w:left w:val="nil"/>
              <w:bottom w:val="nil"/>
              <w:right w:val="nil"/>
            </w:tcBorders>
            <w:vAlign w:val="center"/>
          </w:tcPr>
          <w:p w14:paraId="79CC8E0C" w14:textId="77777777" w:rsidR="00A35DDB" w:rsidRPr="00053D29" w:rsidRDefault="00A35DDB" w:rsidP="003C2F5A">
            <w:pPr>
              <w:contextualSpacing/>
              <w:jc w:val="center"/>
              <w:rPr>
                <w:rFonts w:cs="Times New Roman"/>
                <w:sz w:val="20"/>
                <w:szCs w:val="20"/>
              </w:rPr>
            </w:pPr>
            <w:r w:rsidRPr="00053D29">
              <w:rPr>
                <w:rFonts w:cs="Times New Roman"/>
                <w:sz w:val="20"/>
                <w:szCs w:val="20"/>
              </w:rPr>
              <w:t>44.8 (13.4)</w:t>
            </w:r>
          </w:p>
        </w:tc>
      </w:tr>
      <w:tr w:rsidR="00A35DDB" w:rsidRPr="00A61161" w14:paraId="73943AD5" w14:textId="77777777" w:rsidTr="003C2F5A">
        <w:trPr>
          <w:trHeight w:val="110"/>
        </w:trPr>
        <w:tc>
          <w:tcPr>
            <w:tcW w:w="2520" w:type="dxa"/>
            <w:tcBorders>
              <w:top w:val="nil"/>
              <w:left w:val="nil"/>
              <w:bottom w:val="nil"/>
              <w:right w:val="nil"/>
            </w:tcBorders>
            <w:vAlign w:val="center"/>
          </w:tcPr>
          <w:p w14:paraId="36F4A5D3" w14:textId="77777777" w:rsidR="00A35DDB" w:rsidRPr="00053D29" w:rsidRDefault="00A35DDB" w:rsidP="003C2F5A">
            <w:pPr>
              <w:contextualSpacing/>
              <w:jc w:val="center"/>
              <w:rPr>
                <w:rFonts w:cs="Times New Roman"/>
                <w:i/>
                <w:iCs/>
                <w:sz w:val="20"/>
                <w:szCs w:val="20"/>
              </w:rPr>
            </w:pPr>
            <w:r w:rsidRPr="00053D29">
              <w:rPr>
                <w:rFonts w:cs="Times New Roman"/>
                <w:i/>
                <w:iCs/>
                <w:sz w:val="20"/>
                <w:szCs w:val="20"/>
              </w:rPr>
              <w:t>Process Measures</w:t>
            </w:r>
          </w:p>
        </w:tc>
        <w:tc>
          <w:tcPr>
            <w:tcW w:w="1448" w:type="dxa"/>
            <w:tcBorders>
              <w:top w:val="nil"/>
              <w:left w:val="nil"/>
              <w:bottom w:val="nil"/>
              <w:right w:val="nil"/>
            </w:tcBorders>
            <w:vAlign w:val="center"/>
          </w:tcPr>
          <w:p w14:paraId="628A57BB" w14:textId="77777777" w:rsidR="00A35DDB" w:rsidRPr="00053D29" w:rsidRDefault="00A35DDB" w:rsidP="003C2F5A">
            <w:pPr>
              <w:contextualSpacing/>
              <w:jc w:val="center"/>
              <w:rPr>
                <w:rFonts w:cs="Times New Roman"/>
                <w:sz w:val="20"/>
                <w:szCs w:val="20"/>
              </w:rPr>
            </w:pPr>
          </w:p>
        </w:tc>
        <w:tc>
          <w:tcPr>
            <w:tcW w:w="1311" w:type="dxa"/>
            <w:tcBorders>
              <w:top w:val="nil"/>
              <w:left w:val="nil"/>
              <w:bottom w:val="nil"/>
              <w:right w:val="nil"/>
            </w:tcBorders>
            <w:vAlign w:val="center"/>
          </w:tcPr>
          <w:p w14:paraId="70549718" w14:textId="77777777" w:rsidR="00A35DDB" w:rsidRPr="00053D29" w:rsidRDefault="00A35DDB" w:rsidP="003C2F5A">
            <w:pPr>
              <w:contextualSpacing/>
              <w:jc w:val="center"/>
              <w:rPr>
                <w:rFonts w:cs="Times New Roman"/>
                <w:sz w:val="20"/>
                <w:szCs w:val="20"/>
              </w:rPr>
            </w:pPr>
          </w:p>
        </w:tc>
        <w:tc>
          <w:tcPr>
            <w:tcW w:w="1312" w:type="dxa"/>
            <w:tcBorders>
              <w:top w:val="nil"/>
              <w:left w:val="nil"/>
              <w:bottom w:val="nil"/>
              <w:right w:val="nil"/>
            </w:tcBorders>
            <w:vAlign w:val="center"/>
          </w:tcPr>
          <w:p w14:paraId="78355EB7" w14:textId="77777777" w:rsidR="00A35DDB" w:rsidRPr="00053D29" w:rsidRDefault="00A35DDB" w:rsidP="003C2F5A">
            <w:pPr>
              <w:contextualSpacing/>
              <w:jc w:val="center"/>
              <w:rPr>
                <w:rFonts w:cs="Times New Roman"/>
                <w:sz w:val="20"/>
                <w:szCs w:val="20"/>
              </w:rPr>
            </w:pPr>
          </w:p>
        </w:tc>
        <w:tc>
          <w:tcPr>
            <w:tcW w:w="1311" w:type="dxa"/>
            <w:tcBorders>
              <w:top w:val="nil"/>
              <w:left w:val="nil"/>
              <w:bottom w:val="nil"/>
              <w:right w:val="nil"/>
            </w:tcBorders>
            <w:vAlign w:val="center"/>
          </w:tcPr>
          <w:p w14:paraId="327F7B02" w14:textId="77777777" w:rsidR="00A35DDB" w:rsidRPr="00053D29" w:rsidRDefault="00A35DDB" w:rsidP="003C2F5A">
            <w:pPr>
              <w:contextualSpacing/>
              <w:jc w:val="center"/>
              <w:rPr>
                <w:rFonts w:cs="Times New Roman"/>
                <w:sz w:val="20"/>
                <w:szCs w:val="20"/>
              </w:rPr>
            </w:pPr>
          </w:p>
        </w:tc>
        <w:tc>
          <w:tcPr>
            <w:tcW w:w="1311" w:type="dxa"/>
            <w:tcBorders>
              <w:top w:val="nil"/>
              <w:left w:val="nil"/>
              <w:bottom w:val="nil"/>
              <w:right w:val="nil"/>
            </w:tcBorders>
            <w:vAlign w:val="center"/>
          </w:tcPr>
          <w:p w14:paraId="5F9EBE30" w14:textId="77777777" w:rsidR="00A35DDB" w:rsidRPr="00053D29" w:rsidRDefault="00A35DDB" w:rsidP="003C2F5A">
            <w:pPr>
              <w:contextualSpacing/>
              <w:jc w:val="center"/>
              <w:rPr>
                <w:rFonts w:cs="Times New Roman"/>
                <w:sz w:val="20"/>
                <w:szCs w:val="20"/>
              </w:rPr>
            </w:pPr>
          </w:p>
        </w:tc>
        <w:tc>
          <w:tcPr>
            <w:tcW w:w="1312" w:type="dxa"/>
            <w:tcBorders>
              <w:top w:val="nil"/>
              <w:left w:val="nil"/>
              <w:bottom w:val="nil"/>
              <w:right w:val="nil"/>
            </w:tcBorders>
            <w:vAlign w:val="center"/>
          </w:tcPr>
          <w:p w14:paraId="67F315B2" w14:textId="77777777" w:rsidR="00A35DDB" w:rsidRPr="00053D29" w:rsidRDefault="00A35DDB" w:rsidP="003C2F5A">
            <w:pPr>
              <w:contextualSpacing/>
              <w:jc w:val="center"/>
              <w:rPr>
                <w:rFonts w:cs="Times New Roman"/>
                <w:sz w:val="20"/>
                <w:szCs w:val="20"/>
              </w:rPr>
            </w:pPr>
          </w:p>
        </w:tc>
      </w:tr>
      <w:tr w:rsidR="00A35DDB" w:rsidRPr="00A61161" w14:paraId="08050C66" w14:textId="77777777" w:rsidTr="003C2F5A">
        <w:trPr>
          <w:trHeight w:val="110"/>
        </w:trPr>
        <w:tc>
          <w:tcPr>
            <w:tcW w:w="2520" w:type="dxa"/>
            <w:tcBorders>
              <w:top w:val="nil"/>
              <w:left w:val="nil"/>
              <w:bottom w:val="nil"/>
              <w:right w:val="nil"/>
            </w:tcBorders>
            <w:vAlign w:val="center"/>
          </w:tcPr>
          <w:p w14:paraId="18A1F02C" w14:textId="77777777" w:rsidR="00A35DDB" w:rsidRPr="00053D29" w:rsidRDefault="00A35DDB" w:rsidP="003C2F5A">
            <w:pPr>
              <w:contextualSpacing/>
              <w:jc w:val="center"/>
              <w:rPr>
                <w:rFonts w:cs="Times New Roman"/>
                <w:sz w:val="20"/>
                <w:szCs w:val="20"/>
              </w:rPr>
            </w:pPr>
            <w:r w:rsidRPr="00053D29">
              <w:rPr>
                <w:rFonts w:cs="Times New Roman"/>
                <w:sz w:val="20"/>
                <w:szCs w:val="20"/>
              </w:rPr>
              <w:t>AAQ-II</w:t>
            </w:r>
          </w:p>
        </w:tc>
        <w:tc>
          <w:tcPr>
            <w:tcW w:w="1448" w:type="dxa"/>
            <w:tcBorders>
              <w:top w:val="nil"/>
              <w:left w:val="nil"/>
              <w:bottom w:val="nil"/>
              <w:right w:val="nil"/>
            </w:tcBorders>
            <w:vAlign w:val="center"/>
          </w:tcPr>
          <w:p w14:paraId="178785F4" w14:textId="77777777" w:rsidR="00A35DDB" w:rsidRPr="00053D29" w:rsidRDefault="00A35DDB" w:rsidP="003C2F5A">
            <w:pPr>
              <w:contextualSpacing/>
              <w:jc w:val="center"/>
              <w:rPr>
                <w:rFonts w:cs="Times New Roman"/>
                <w:sz w:val="20"/>
                <w:szCs w:val="20"/>
              </w:rPr>
            </w:pPr>
            <w:r w:rsidRPr="00053D29">
              <w:rPr>
                <w:rFonts w:cs="Times New Roman"/>
                <w:sz w:val="20"/>
                <w:szCs w:val="20"/>
              </w:rPr>
              <w:t>28.2 (8.8)</w:t>
            </w:r>
          </w:p>
        </w:tc>
        <w:tc>
          <w:tcPr>
            <w:tcW w:w="1311" w:type="dxa"/>
            <w:tcBorders>
              <w:top w:val="nil"/>
              <w:left w:val="nil"/>
              <w:bottom w:val="nil"/>
              <w:right w:val="nil"/>
            </w:tcBorders>
            <w:vAlign w:val="center"/>
          </w:tcPr>
          <w:p w14:paraId="452A9D6F" w14:textId="77777777" w:rsidR="00A35DDB" w:rsidRPr="00053D29" w:rsidRDefault="00A35DDB" w:rsidP="003C2F5A">
            <w:pPr>
              <w:contextualSpacing/>
              <w:jc w:val="center"/>
              <w:rPr>
                <w:rFonts w:cs="Times New Roman"/>
                <w:sz w:val="20"/>
                <w:szCs w:val="20"/>
              </w:rPr>
            </w:pPr>
            <w:r w:rsidRPr="00053D29">
              <w:rPr>
                <w:rFonts w:cs="Times New Roman"/>
                <w:sz w:val="20"/>
                <w:szCs w:val="20"/>
              </w:rPr>
              <w:t>25 (8.7)</w:t>
            </w:r>
          </w:p>
        </w:tc>
        <w:tc>
          <w:tcPr>
            <w:tcW w:w="1312" w:type="dxa"/>
            <w:tcBorders>
              <w:top w:val="nil"/>
              <w:left w:val="nil"/>
              <w:bottom w:val="nil"/>
              <w:right w:val="nil"/>
            </w:tcBorders>
            <w:vAlign w:val="center"/>
          </w:tcPr>
          <w:p w14:paraId="0EE68338" w14:textId="77777777" w:rsidR="00A35DDB" w:rsidRPr="00053D29" w:rsidRDefault="00A35DDB" w:rsidP="003C2F5A">
            <w:pPr>
              <w:contextualSpacing/>
              <w:jc w:val="center"/>
              <w:rPr>
                <w:rFonts w:cs="Times New Roman"/>
                <w:sz w:val="20"/>
                <w:szCs w:val="20"/>
              </w:rPr>
            </w:pPr>
            <w:r w:rsidRPr="00053D29">
              <w:rPr>
                <w:rFonts w:cs="Times New Roman"/>
                <w:sz w:val="20"/>
                <w:szCs w:val="20"/>
              </w:rPr>
              <w:t>27.3 (8.9)</w:t>
            </w:r>
          </w:p>
        </w:tc>
        <w:tc>
          <w:tcPr>
            <w:tcW w:w="1311" w:type="dxa"/>
            <w:tcBorders>
              <w:top w:val="nil"/>
              <w:left w:val="nil"/>
              <w:bottom w:val="nil"/>
              <w:right w:val="nil"/>
            </w:tcBorders>
            <w:vAlign w:val="center"/>
          </w:tcPr>
          <w:p w14:paraId="3C44B14B" w14:textId="77777777" w:rsidR="00A35DDB" w:rsidRPr="00053D29" w:rsidRDefault="00A35DDB" w:rsidP="003C2F5A">
            <w:pPr>
              <w:contextualSpacing/>
              <w:jc w:val="center"/>
              <w:rPr>
                <w:rFonts w:cs="Times New Roman"/>
                <w:sz w:val="20"/>
                <w:szCs w:val="20"/>
              </w:rPr>
            </w:pPr>
            <w:r w:rsidRPr="00053D29">
              <w:rPr>
                <w:rFonts w:cs="Times New Roman"/>
                <w:sz w:val="20"/>
                <w:szCs w:val="20"/>
              </w:rPr>
              <w:t>22.3 (7.4)</w:t>
            </w:r>
          </w:p>
        </w:tc>
        <w:tc>
          <w:tcPr>
            <w:tcW w:w="1311" w:type="dxa"/>
            <w:tcBorders>
              <w:top w:val="nil"/>
              <w:left w:val="nil"/>
              <w:bottom w:val="nil"/>
              <w:right w:val="nil"/>
            </w:tcBorders>
            <w:vAlign w:val="center"/>
          </w:tcPr>
          <w:p w14:paraId="32525BB2" w14:textId="77777777" w:rsidR="00A35DDB" w:rsidRPr="00053D29" w:rsidRDefault="00A35DDB" w:rsidP="003C2F5A">
            <w:pPr>
              <w:contextualSpacing/>
              <w:jc w:val="center"/>
              <w:rPr>
                <w:rFonts w:cs="Times New Roman"/>
                <w:sz w:val="20"/>
                <w:szCs w:val="20"/>
              </w:rPr>
            </w:pPr>
            <w:r w:rsidRPr="00053D29">
              <w:rPr>
                <w:rFonts w:cs="Times New Roman"/>
                <w:sz w:val="20"/>
                <w:szCs w:val="20"/>
              </w:rPr>
              <w:t>25.9 (10)</w:t>
            </w:r>
          </w:p>
        </w:tc>
        <w:tc>
          <w:tcPr>
            <w:tcW w:w="1312" w:type="dxa"/>
            <w:tcBorders>
              <w:top w:val="nil"/>
              <w:left w:val="nil"/>
              <w:bottom w:val="nil"/>
              <w:right w:val="nil"/>
            </w:tcBorders>
            <w:vAlign w:val="center"/>
          </w:tcPr>
          <w:p w14:paraId="1C948027" w14:textId="77777777" w:rsidR="00A35DDB" w:rsidRPr="00053D29" w:rsidRDefault="00A35DDB" w:rsidP="003C2F5A">
            <w:pPr>
              <w:contextualSpacing/>
              <w:jc w:val="center"/>
              <w:rPr>
                <w:rFonts w:cs="Times New Roman"/>
                <w:sz w:val="20"/>
                <w:szCs w:val="20"/>
              </w:rPr>
            </w:pPr>
            <w:r w:rsidRPr="00053D29">
              <w:rPr>
                <w:rFonts w:cs="Times New Roman"/>
                <w:sz w:val="20"/>
                <w:szCs w:val="20"/>
              </w:rPr>
              <w:t>23.3 (9)</w:t>
            </w:r>
          </w:p>
        </w:tc>
      </w:tr>
      <w:tr w:rsidR="00A35DDB" w:rsidRPr="00A61161" w14:paraId="3608492C" w14:textId="77777777" w:rsidTr="003C2F5A">
        <w:trPr>
          <w:trHeight w:val="110"/>
        </w:trPr>
        <w:tc>
          <w:tcPr>
            <w:tcW w:w="2520" w:type="dxa"/>
            <w:tcBorders>
              <w:top w:val="nil"/>
              <w:left w:val="nil"/>
              <w:bottom w:val="single" w:sz="4" w:space="0" w:color="auto"/>
              <w:right w:val="nil"/>
            </w:tcBorders>
            <w:vAlign w:val="center"/>
          </w:tcPr>
          <w:p w14:paraId="44B94952" w14:textId="77777777" w:rsidR="00A35DDB" w:rsidRPr="00053D29" w:rsidRDefault="00A35DDB" w:rsidP="003C2F5A">
            <w:pPr>
              <w:contextualSpacing/>
              <w:jc w:val="center"/>
              <w:rPr>
                <w:rFonts w:cs="Times New Roman"/>
                <w:sz w:val="20"/>
                <w:szCs w:val="20"/>
              </w:rPr>
            </w:pPr>
            <w:proofErr w:type="spellStart"/>
            <w:r w:rsidRPr="00053D29">
              <w:rPr>
                <w:rFonts w:cs="Times New Roman"/>
                <w:sz w:val="20"/>
                <w:szCs w:val="20"/>
              </w:rPr>
              <w:t>CompACT</w:t>
            </w:r>
            <w:proofErr w:type="spellEnd"/>
          </w:p>
        </w:tc>
        <w:tc>
          <w:tcPr>
            <w:tcW w:w="1448" w:type="dxa"/>
            <w:tcBorders>
              <w:top w:val="nil"/>
              <w:left w:val="nil"/>
              <w:bottom w:val="single" w:sz="4" w:space="0" w:color="auto"/>
              <w:right w:val="nil"/>
            </w:tcBorders>
            <w:vAlign w:val="center"/>
          </w:tcPr>
          <w:p w14:paraId="133EA556" w14:textId="77777777" w:rsidR="00A35DDB" w:rsidRPr="00053D29" w:rsidRDefault="00A35DDB" w:rsidP="003C2F5A">
            <w:pPr>
              <w:contextualSpacing/>
              <w:jc w:val="center"/>
              <w:rPr>
                <w:rFonts w:cs="Times New Roman"/>
                <w:sz w:val="20"/>
                <w:szCs w:val="20"/>
              </w:rPr>
            </w:pPr>
            <w:r w:rsidRPr="00053D29">
              <w:rPr>
                <w:rFonts w:cs="Times New Roman"/>
                <w:sz w:val="20"/>
                <w:szCs w:val="20"/>
              </w:rPr>
              <w:t>71.6 (16.5)</w:t>
            </w:r>
          </w:p>
        </w:tc>
        <w:tc>
          <w:tcPr>
            <w:tcW w:w="1311" w:type="dxa"/>
            <w:tcBorders>
              <w:top w:val="nil"/>
              <w:left w:val="nil"/>
              <w:bottom w:val="single" w:sz="4" w:space="0" w:color="auto"/>
              <w:right w:val="nil"/>
            </w:tcBorders>
            <w:vAlign w:val="center"/>
          </w:tcPr>
          <w:p w14:paraId="65597FD9" w14:textId="77777777" w:rsidR="00A35DDB" w:rsidRPr="00053D29" w:rsidRDefault="00A35DDB" w:rsidP="003C2F5A">
            <w:pPr>
              <w:contextualSpacing/>
              <w:jc w:val="center"/>
              <w:rPr>
                <w:rFonts w:cs="Times New Roman"/>
                <w:sz w:val="20"/>
                <w:szCs w:val="20"/>
              </w:rPr>
            </w:pPr>
            <w:r w:rsidRPr="00053D29">
              <w:rPr>
                <w:rFonts w:cs="Times New Roman"/>
                <w:sz w:val="20"/>
                <w:szCs w:val="20"/>
              </w:rPr>
              <w:t>76.5 (18.4)</w:t>
            </w:r>
          </w:p>
        </w:tc>
        <w:tc>
          <w:tcPr>
            <w:tcW w:w="1312" w:type="dxa"/>
            <w:tcBorders>
              <w:top w:val="nil"/>
              <w:left w:val="nil"/>
              <w:bottom w:val="single" w:sz="4" w:space="0" w:color="auto"/>
              <w:right w:val="nil"/>
            </w:tcBorders>
            <w:vAlign w:val="center"/>
          </w:tcPr>
          <w:p w14:paraId="358A9D19" w14:textId="77777777" w:rsidR="00A35DDB" w:rsidRPr="00053D29" w:rsidRDefault="00A35DDB" w:rsidP="003C2F5A">
            <w:pPr>
              <w:contextualSpacing/>
              <w:jc w:val="center"/>
              <w:rPr>
                <w:rFonts w:cs="Times New Roman"/>
                <w:sz w:val="20"/>
                <w:szCs w:val="20"/>
              </w:rPr>
            </w:pPr>
            <w:r w:rsidRPr="00053D29">
              <w:rPr>
                <w:rFonts w:cs="Times New Roman"/>
                <w:sz w:val="20"/>
                <w:szCs w:val="20"/>
              </w:rPr>
              <w:t>71 (16.9)</w:t>
            </w:r>
          </w:p>
        </w:tc>
        <w:tc>
          <w:tcPr>
            <w:tcW w:w="1311" w:type="dxa"/>
            <w:tcBorders>
              <w:top w:val="nil"/>
              <w:left w:val="nil"/>
              <w:bottom w:val="single" w:sz="4" w:space="0" w:color="auto"/>
              <w:right w:val="nil"/>
            </w:tcBorders>
            <w:vAlign w:val="center"/>
          </w:tcPr>
          <w:p w14:paraId="21B985D3" w14:textId="77777777" w:rsidR="00A35DDB" w:rsidRPr="00053D29" w:rsidRDefault="00A35DDB" w:rsidP="003C2F5A">
            <w:pPr>
              <w:contextualSpacing/>
              <w:jc w:val="center"/>
              <w:rPr>
                <w:rFonts w:cs="Times New Roman"/>
                <w:sz w:val="20"/>
                <w:szCs w:val="20"/>
              </w:rPr>
            </w:pPr>
            <w:r w:rsidRPr="00053D29">
              <w:rPr>
                <w:rFonts w:cs="Times New Roman"/>
                <w:sz w:val="20"/>
                <w:szCs w:val="20"/>
              </w:rPr>
              <w:t>86.1 (15.9)</w:t>
            </w:r>
          </w:p>
        </w:tc>
        <w:tc>
          <w:tcPr>
            <w:tcW w:w="1311" w:type="dxa"/>
            <w:tcBorders>
              <w:top w:val="nil"/>
              <w:left w:val="nil"/>
              <w:bottom w:val="single" w:sz="4" w:space="0" w:color="auto"/>
              <w:right w:val="nil"/>
            </w:tcBorders>
            <w:vAlign w:val="center"/>
          </w:tcPr>
          <w:p w14:paraId="654FBCE7" w14:textId="77777777" w:rsidR="00A35DDB" w:rsidRPr="00053D29" w:rsidRDefault="00A35DDB" w:rsidP="003C2F5A">
            <w:pPr>
              <w:contextualSpacing/>
              <w:jc w:val="center"/>
              <w:rPr>
                <w:rFonts w:cs="Times New Roman"/>
                <w:sz w:val="20"/>
                <w:szCs w:val="20"/>
              </w:rPr>
            </w:pPr>
            <w:r w:rsidRPr="00053D29">
              <w:rPr>
                <w:rFonts w:cs="Times New Roman"/>
                <w:sz w:val="20"/>
                <w:szCs w:val="20"/>
              </w:rPr>
              <w:t>73.9 (17.8)</w:t>
            </w:r>
          </w:p>
        </w:tc>
        <w:tc>
          <w:tcPr>
            <w:tcW w:w="1312" w:type="dxa"/>
            <w:tcBorders>
              <w:top w:val="nil"/>
              <w:left w:val="nil"/>
              <w:bottom w:val="single" w:sz="4" w:space="0" w:color="auto"/>
              <w:right w:val="nil"/>
            </w:tcBorders>
            <w:vAlign w:val="center"/>
          </w:tcPr>
          <w:p w14:paraId="3F0ECE2C" w14:textId="77777777" w:rsidR="00A35DDB" w:rsidRPr="00053D29" w:rsidRDefault="00A35DDB" w:rsidP="003C2F5A">
            <w:pPr>
              <w:contextualSpacing/>
              <w:jc w:val="center"/>
              <w:rPr>
                <w:rFonts w:cs="Times New Roman"/>
                <w:sz w:val="20"/>
                <w:szCs w:val="20"/>
              </w:rPr>
            </w:pPr>
            <w:r w:rsidRPr="00053D29">
              <w:rPr>
                <w:rFonts w:cs="Times New Roman"/>
                <w:sz w:val="20"/>
                <w:szCs w:val="20"/>
              </w:rPr>
              <w:t>83.9 (21.1)</w:t>
            </w:r>
          </w:p>
        </w:tc>
      </w:tr>
    </w:tbl>
    <w:p w14:paraId="17E3B42B" w14:textId="77777777" w:rsidR="00A35DDB" w:rsidRDefault="00A35DDB" w:rsidP="00A35DDB">
      <w:pPr>
        <w:spacing w:line="480" w:lineRule="auto"/>
        <w:contextualSpacing/>
        <w:rPr>
          <w:rFonts w:cs="Times New Roman"/>
          <w:sz w:val="20"/>
          <w:szCs w:val="20"/>
        </w:rPr>
      </w:pPr>
      <w:r w:rsidRPr="00A61161">
        <w:rPr>
          <w:rFonts w:cs="Times New Roman"/>
          <w:i/>
          <w:iCs/>
          <w:sz w:val="20"/>
          <w:szCs w:val="20"/>
        </w:rPr>
        <w:t xml:space="preserve">Note. </w:t>
      </w:r>
      <w:r w:rsidRPr="00A61161">
        <w:rPr>
          <w:rFonts w:cs="Times New Roman"/>
          <w:sz w:val="20"/>
          <w:szCs w:val="20"/>
        </w:rPr>
        <w:t xml:space="preserve">BL = baseline; PT = post-treatment; DASS-21 = Depression/Anxiety/Stress Scale; MHC = Mental Health Continuum Short Form; AAQ-II = Acceptance and Action Questionnaire; </w:t>
      </w:r>
      <w:proofErr w:type="spellStart"/>
      <w:r w:rsidRPr="00A61161">
        <w:rPr>
          <w:rFonts w:cs="Times New Roman"/>
          <w:sz w:val="20"/>
          <w:szCs w:val="20"/>
        </w:rPr>
        <w:t>CompACT</w:t>
      </w:r>
      <w:proofErr w:type="spellEnd"/>
      <w:r w:rsidRPr="00A61161">
        <w:rPr>
          <w:rFonts w:cs="Times New Roman"/>
          <w:sz w:val="20"/>
          <w:szCs w:val="20"/>
        </w:rPr>
        <w:t xml:space="preserve"> = Comprehensive Assessment of Acceptance and Commitment Therapy Processe</w:t>
      </w:r>
      <w:r>
        <w:rPr>
          <w:rFonts w:cs="Times New Roman"/>
          <w:sz w:val="20"/>
          <w:szCs w:val="20"/>
        </w:rPr>
        <w:t>s</w:t>
      </w:r>
    </w:p>
    <w:p w14:paraId="714F36D7" w14:textId="77777777" w:rsidR="00A35DDB" w:rsidRDefault="00A35DDB" w:rsidP="00A35DDB">
      <w:pPr>
        <w:spacing w:line="480" w:lineRule="auto"/>
        <w:contextualSpacing/>
        <w:rPr>
          <w:rFonts w:cs="Times New Roman"/>
          <w:sz w:val="20"/>
          <w:szCs w:val="20"/>
        </w:rPr>
      </w:pPr>
    </w:p>
    <w:p w14:paraId="6DA5FDDB" w14:textId="77777777" w:rsidR="00A35DDB" w:rsidRDefault="00A35DDB" w:rsidP="00A35DDB">
      <w:pPr>
        <w:spacing w:line="480" w:lineRule="auto"/>
        <w:contextualSpacing/>
        <w:rPr>
          <w:rFonts w:cs="Times New Roman"/>
          <w:sz w:val="20"/>
          <w:szCs w:val="20"/>
        </w:rPr>
      </w:pPr>
    </w:p>
    <w:p w14:paraId="743706AC" w14:textId="77777777" w:rsidR="00A35DDB" w:rsidRDefault="00A35DDB">
      <w:pPr>
        <w:widowControl/>
        <w:spacing w:after="160" w:line="259" w:lineRule="auto"/>
        <w:rPr>
          <w:rFonts w:cs="Times New Roman"/>
          <w:szCs w:val="24"/>
        </w:rPr>
      </w:pPr>
      <w:r>
        <w:rPr>
          <w:rFonts w:cs="Times New Roman"/>
          <w:szCs w:val="24"/>
        </w:rPr>
        <w:br w:type="page"/>
      </w:r>
    </w:p>
    <w:p w14:paraId="14089A52" w14:textId="4A0D1DA4" w:rsidR="00A35DDB" w:rsidRPr="000342C7" w:rsidRDefault="00A35DDB" w:rsidP="00A35DDB">
      <w:pPr>
        <w:spacing w:after="160" w:line="259" w:lineRule="auto"/>
        <w:rPr>
          <w:rFonts w:cs="Times New Roman"/>
          <w:szCs w:val="24"/>
        </w:rPr>
      </w:pPr>
      <w:r w:rsidRPr="000342C7">
        <w:rPr>
          <w:rFonts w:cs="Times New Roman"/>
          <w:szCs w:val="24"/>
        </w:rPr>
        <w:lastRenderedPageBreak/>
        <w:t xml:space="preserve">Table </w:t>
      </w:r>
      <w:r>
        <w:rPr>
          <w:rFonts w:cs="Times New Roman"/>
          <w:szCs w:val="24"/>
        </w:rPr>
        <w:t>3</w:t>
      </w:r>
    </w:p>
    <w:p w14:paraId="2914F4A9" w14:textId="77777777" w:rsidR="00A35DDB" w:rsidRDefault="00A35DDB" w:rsidP="00A35DDB">
      <w:pPr>
        <w:spacing w:after="160" w:line="259" w:lineRule="auto"/>
        <w:rPr>
          <w:rFonts w:cs="Times New Roman"/>
          <w:i/>
          <w:iCs/>
          <w:szCs w:val="24"/>
        </w:rPr>
      </w:pPr>
      <w:r>
        <w:rPr>
          <w:rFonts w:cs="Times New Roman"/>
          <w:i/>
          <w:iCs/>
          <w:szCs w:val="24"/>
        </w:rPr>
        <w:t>Time by condition multilevel models for mental health outcomes</w:t>
      </w:r>
    </w:p>
    <w:tbl>
      <w:tblPr>
        <w:tblStyle w:val="TableGrid"/>
        <w:tblW w:w="0" w:type="auto"/>
        <w:tblLayout w:type="fixed"/>
        <w:tblCellMar>
          <w:top w:w="58" w:type="dxa"/>
          <w:bottom w:w="58" w:type="dxa"/>
        </w:tblCellMar>
        <w:tblLook w:val="04A0" w:firstRow="1" w:lastRow="0" w:firstColumn="1" w:lastColumn="0" w:noHBand="0" w:noVBand="1"/>
      </w:tblPr>
      <w:tblGrid>
        <w:gridCol w:w="1846"/>
        <w:gridCol w:w="854"/>
        <w:gridCol w:w="1530"/>
        <w:gridCol w:w="1170"/>
        <w:gridCol w:w="810"/>
        <w:gridCol w:w="1530"/>
        <w:gridCol w:w="1170"/>
        <w:gridCol w:w="810"/>
        <w:gridCol w:w="1530"/>
        <w:gridCol w:w="1170"/>
      </w:tblGrid>
      <w:tr w:rsidR="00A35DDB" w:rsidRPr="007E3B3D" w14:paraId="066E383A" w14:textId="77777777" w:rsidTr="003C2F5A">
        <w:trPr>
          <w:trHeight w:val="304"/>
        </w:trPr>
        <w:tc>
          <w:tcPr>
            <w:tcW w:w="1846" w:type="dxa"/>
            <w:tcBorders>
              <w:left w:val="nil"/>
              <w:bottom w:val="nil"/>
              <w:right w:val="nil"/>
            </w:tcBorders>
            <w:vAlign w:val="center"/>
          </w:tcPr>
          <w:p w14:paraId="23FACC11"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Measure</w:t>
            </w:r>
          </w:p>
        </w:tc>
        <w:tc>
          <w:tcPr>
            <w:tcW w:w="3554" w:type="dxa"/>
            <w:gridSpan w:val="3"/>
            <w:tcBorders>
              <w:left w:val="nil"/>
              <w:bottom w:val="single" w:sz="4" w:space="0" w:color="auto"/>
              <w:right w:val="nil"/>
            </w:tcBorders>
          </w:tcPr>
          <w:p w14:paraId="67736564"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Control vs. Phone coaching</w:t>
            </w:r>
          </w:p>
        </w:tc>
        <w:tc>
          <w:tcPr>
            <w:tcW w:w="3510" w:type="dxa"/>
            <w:gridSpan w:val="3"/>
            <w:tcBorders>
              <w:left w:val="nil"/>
              <w:bottom w:val="single" w:sz="4" w:space="0" w:color="auto"/>
              <w:right w:val="nil"/>
            </w:tcBorders>
          </w:tcPr>
          <w:p w14:paraId="51059687"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Control vs. Text coaching</w:t>
            </w:r>
          </w:p>
        </w:tc>
        <w:tc>
          <w:tcPr>
            <w:tcW w:w="3510" w:type="dxa"/>
            <w:gridSpan w:val="3"/>
            <w:tcBorders>
              <w:left w:val="nil"/>
              <w:bottom w:val="single" w:sz="4" w:space="0" w:color="auto"/>
              <w:right w:val="nil"/>
            </w:tcBorders>
          </w:tcPr>
          <w:p w14:paraId="5E6C93C8"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Phone coaching vs. Text coaching</w:t>
            </w:r>
          </w:p>
        </w:tc>
      </w:tr>
      <w:tr w:rsidR="00A35DDB" w:rsidRPr="007E3B3D" w14:paraId="1C01DBDA" w14:textId="77777777" w:rsidTr="003C2F5A">
        <w:trPr>
          <w:trHeight w:val="697"/>
        </w:trPr>
        <w:tc>
          <w:tcPr>
            <w:tcW w:w="1846" w:type="dxa"/>
            <w:tcBorders>
              <w:top w:val="nil"/>
              <w:left w:val="nil"/>
              <w:bottom w:val="single" w:sz="4" w:space="0" w:color="auto"/>
              <w:right w:val="nil"/>
            </w:tcBorders>
            <w:vAlign w:val="center"/>
          </w:tcPr>
          <w:p w14:paraId="4D6FB102" w14:textId="77777777" w:rsidR="00A35DDB" w:rsidRPr="007E3B3D" w:rsidRDefault="00A35DDB" w:rsidP="003C2F5A">
            <w:pPr>
              <w:spacing w:after="160"/>
              <w:contextualSpacing/>
              <w:jc w:val="center"/>
              <w:rPr>
                <w:rFonts w:cs="Times New Roman"/>
                <w:sz w:val="20"/>
                <w:szCs w:val="20"/>
              </w:rPr>
            </w:pPr>
          </w:p>
        </w:tc>
        <w:tc>
          <w:tcPr>
            <w:tcW w:w="854" w:type="dxa"/>
            <w:tcBorders>
              <w:left w:val="nil"/>
              <w:bottom w:val="single" w:sz="4" w:space="0" w:color="auto"/>
              <w:right w:val="nil"/>
            </w:tcBorders>
            <w:vAlign w:val="center"/>
          </w:tcPr>
          <w:p w14:paraId="50E66C72" w14:textId="77777777" w:rsidR="00A35DDB" w:rsidRPr="007E3B3D" w:rsidRDefault="00A35DDB" w:rsidP="003C2F5A">
            <w:pPr>
              <w:spacing w:after="160"/>
              <w:contextualSpacing/>
              <w:jc w:val="center"/>
              <w:rPr>
                <w:rFonts w:cs="Times New Roman"/>
                <w:sz w:val="20"/>
                <w:szCs w:val="20"/>
              </w:rPr>
            </w:pPr>
            <w:r w:rsidRPr="007E3B3D">
              <w:rPr>
                <w:rFonts w:cs="Times New Roman"/>
                <w:i/>
                <w:iCs/>
                <w:sz w:val="20"/>
                <w:szCs w:val="20"/>
              </w:rPr>
              <w:t>β</w:t>
            </w:r>
          </w:p>
        </w:tc>
        <w:tc>
          <w:tcPr>
            <w:tcW w:w="1530" w:type="dxa"/>
            <w:tcBorders>
              <w:left w:val="nil"/>
              <w:bottom w:val="single" w:sz="4" w:space="0" w:color="auto"/>
              <w:right w:val="nil"/>
            </w:tcBorders>
            <w:vAlign w:val="center"/>
          </w:tcPr>
          <w:p w14:paraId="32DB3FA2"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 xml:space="preserve">Standardized </w:t>
            </w:r>
            <w:r w:rsidRPr="007E3B3D">
              <w:rPr>
                <w:rFonts w:cs="Times New Roman"/>
                <w:i/>
                <w:iCs/>
                <w:sz w:val="20"/>
                <w:szCs w:val="20"/>
              </w:rPr>
              <w:t>β</w:t>
            </w:r>
          </w:p>
        </w:tc>
        <w:tc>
          <w:tcPr>
            <w:tcW w:w="1170" w:type="dxa"/>
            <w:tcBorders>
              <w:left w:val="nil"/>
              <w:bottom w:val="single" w:sz="4" w:space="0" w:color="auto"/>
              <w:right w:val="nil"/>
            </w:tcBorders>
            <w:vAlign w:val="center"/>
          </w:tcPr>
          <w:p w14:paraId="20250B1C"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 xml:space="preserve">Corrected </w:t>
            </w:r>
            <w:r w:rsidRPr="007E3B3D">
              <w:rPr>
                <w:rFonts w:cs="Times New Roman"/>
                <w:i/>
                <w:iCs/>
                <w:sz w:val="20"/>
                <w:szCs w:val="20"/>
              </w:rPr>
              <w:t>p</w:t>
            </w:r>
            <w:r w:rsidRPr="007E3B3D">
              <w:rPr>
                <w:rFonts w:cs="Times New Roman"/>
                <w:sz w:val="20"/>
                <w:szCs w:val="20"/>
              </w:rPr>
              <w:t>-value</w:t>
            </w:r>
          </w:p>
        </w:tc>
        <w:tc>
          <w:tcPr>
            <w:tcW w:w="810" w:type="dxa"/>
            <w:tcBorders>
              <w:left w:val="nil"/>
              <w:bottom w:val="single" w:sz="4" w:space="0" w:color="auto"/>
              <w:right w:val="nil"/>
            </w:tcBorders>
            <w:vAlign w:val="center"/>
          </w:tcPr>
          <w:p w14:paraId="4828022B" w14:textId="77777777" w:rsidR="00A35DDB" w:rsidRPr="007E3B3D" w:rsidRDefault="00A35DDB" w:rsidP="003C2F5A">
            <w:pPr>
              <w:spacing w:after="160"/>
              <w:contextualSpacing/>
              <w:jc w:val="center"/>
              <w:rPr>
                <w:rFonts w:cs="Times New Roman"/>
                <w:sz w:val="20"/>
                <w:szCs w:val="20"/>
              </w:rPr>
            </w:pPr>
            <w:r w:rsidRPr="007E3B3D">
              <w:rPr>
                <w:rFonts w:cs="Times New Roman"/>
                <w:i/>
                <w:iCs/>
                <w:sz w:val="20"/>
                <w:szCs w:val="20"/>
              </w:rPr>
              <w:t>β</w:t>
            </w:r>
          </w:p>
        </w:tc>
        <w:tc>
          <w:tcPr>
            <w:tcW w:w="1530" w:type="dxa"/>
            <w:tcBorders>
              <w:left w:val="nil"/>
              <w:bottom w:val="single" w:sz="4" w:space="0" w:color="auto"/>
              <w:right w:val="nil"/>
            </w:tcBorders>
            <w:vAlign w:val="center"/>
          </w:tcPr>
          <w:p w14:paraId="41E81306"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 xml:space="preserve">Standardized </w:t>
            </w:r>
            <w:r w:rsidRPr="007E3B3D">
              <w:rPr>
                <w:rFonts w:cs="Times New Roman"/>
                <w:i/>
                <w:iCs/>
                <w:sz w:val="20"/>
                <w:szCs w:val="20"/>
              </w:rPr>
              <w:t>β</w:t>
            </w:r>
          </w:p>
        </w:tc>
        <w:tc>
          <w:tcPr>
            <w:tcW w:w="1170" w:type="dxa"/>
            <w:tcBorders>
              <w:left w:val="nil"/>
              <w:bottom w:val="single" w:sz="4" w:space="0" w:color="auto"/>
              <w:right w:val="nil"/>
            </w:tcBorders>
            <w:vAlign w:val="center"/>
          </w:tcPr>
          <w:p w14:paraId="7F2E9A21" w14:textId="77777777" w:rsidR="00A35DDB" w:rsidRPr="007E3B3D" w:rsidRDefault="00A35DDB" w:rsidP="003C2F5A">
            <w:pPr>
              <w:spacing w:after="160"/>
              <w:contextualSpacing/>
              <w:jc w:val="center"/>
              <w:rPr>
                <w:rFonts w:cs="Times New Roman"/>
                <w:i/>
                <w:iCs/>
                <w:sz w:val="20"/>
                <w:szCs w:val="20"/>
              </w:rPr>
            </w:pPr>
            <w:r w:rsidRPr="007E3B3D">
              <w:rPr>
                <w:rFonts w:cs="Times New Roman"/>
                <w:sz w:val="20"/>
                <w:szCs w:val="20"/>
              </w:rPr>
              <w:t>Corrected</w:t>
            </w:r>
          </w:p>
          <w:p w14:paraId="39DBD2BC" w14:textId="77777777" w:rsidR="00A35DDB" w:rsidRPr="007E3B3D" w:rsidRDefault="00A35DDB" w:rsidP="003C2F5A">
            <w:pPr>
              <w:spacing w:after="160"/>
              <w:contextualSpacing/>
              <w:jc w:val="center"/>
              <w:rPr>
                <w:rFonts w:cs="Times New Roman"/>
                <w:sz w:val="20"/>
                <w:szCs w:val="20"/>
              </w:rPr>
            </w:pPr>
            <w:r w:rsidRPr="007E3B3D">
              <w:rPr>
                <w:rFonts w:cs="Times New Roman"/>
                <w:i/>
                <w:iCs/>
                <w:sz w:val="20"/>
                <w:szCs w:val="20"/>
              </w:rPr>
              <w:t>p</w:t>
            </w:r>
            <w:r w:rsidRPr="007E3B3D">
              <w:rPr>
                <w:rFonts w:cs="Times New Roman"/>
                <w:sz w:val="20"/>
                <w:szCs w:val="20"/>
              </w:rPr>
              <w:t>-value</w:t>
            </w:r>
          </w:p>
        </w:tc>
        <w:tc>
          <w:tcPr>
            <w:tcW w:w="810" w:type="dxa"/>
            <w:tcBorders>
              <w:left w:val="nil"/>
              <w:bottom w:val="single" w:sz="4" w:space="0" w:color="auto"/>
              <w:right w:val="nil"/>
            </w:tcBorders>
            <w:vAlign w:val="center"/>
          </w:tcPr>
          <w:p w14:paraId="41303BC1" w14:textId="77777777" w:rsidR="00A35DDB" w:rsidRPr="007E3B3D" w:rsidRDefault="00A35DDB" w:rsidP="003C2F5A">
            <w:pPr>
              <w:spacing w:after="160"/>
              <w:contextualSpacing/>
              <w:jc w:val="center"/>
              <w:rPr>
                <w:rFonts w:cs="Times New Roman"/>
                <w:sz w:val="20"/>
                <w:szCs w:val="20"/>
              </w:rPr>
            </w:pPr>
            <w:r w:rsidRPr="007E3B3D">
              <w:rPr>
                <w:rFonts w:cs="Times New Roman"/>
                <w:i/>
                <w:iCs/>
                <w:sz w:val="20"/>
                <w:szCs w:val="20"/>
              </w:rPr>
              <w:t>β</w:t>
            </w:r>
          </w:p>
        </w:tc>
        <w:tc>
          <w:tcPr>
            <w:tcW w:w="1530" w:type="dxa"/>
            <w:tcBorders>
              <w:left w:val="nil"/>
              <w:bottom w:val="single" w:sz="4" w:space="0" w:color="auto"/>
              <w:right w:val="nil"/>
            </w:tcBorders>
            <w:vAlign w:val="center"/>
          </w:tcPr>
          <w:p w14:paraId="72714390"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 xml:space="preserve">Standardized </w:t>
            </w:r>
            <w:r w:rsidRPr="007E3B3D">
              <w:rPr>
                <w:rFonts w:cs="Times New Roman"/>
                <w:i/>
                <w:iCs/>
                <w:sz w:val="20"/>
                <w:szCs w:val="20"/>
              </w:rPr>
              <w:t>β</w:t>
            </w:r>
          </w:p>
        </w:tc>
        <w:tc>
          <w:tcPr>
            <w:tcW w:w="1170" w:type="dxa"/>
            <w:tcBorders>
              <w:left w:val="nil"/>
              <w:bottom w:val="single" w:sz="4" w:space="0" w:color="auto"/>
              <w:right w:val="nil"/>
            </w:tcBorders>
            <w:vAlign w:val="center"/>
          </w:tcPr>
          <w:p w14:paraId="7E39CD17" w14:textId="77777777" w:rsidR="00A35DDB" w:rsidRPr="007E3B3D" w:rsidRDefault="00A35DDB" w:rsidP="003C2F5A">
            <w:pPr>
              <w:spacing w:after="160"/>
              <w:contextualSpacing/>
              <w:jc w:val="center"/>
              <w:rPr>
                <w:rFonts w:cs="Times New Roman"/>
                <w:i/>
                <w:iCs/>
                <w:sz w:val="20"/>
                <w:szCs w:val="20"/>
              </w:rPr>
            </w:pPr>
            <w:r w:rsidRPr="007E3B3D">
              <w:rPr>
                <w:rFonts w:cs="Times New Roman"/>
                <w:sz w:val="20"/>
                <w:szCs w:val="20"/>
              </w:rPr>
              <w:t>Corrected</w:t>
            </w:r>
          </w:p>
          <w:p w14:paraId="0A7DED36" w14:textId="77777777" w:rsidR="00A35DDB" w:rsidRPr="007E3B3D" w:rsidRDefault="00A35DDB" w:rsidP="003C2F5A">
            <w:pPr>
              <w:spacing w:after="160"/>
              <w:contextualSpacing/>
              <w:jc w:val="center"/>
              <w:rPr>
                <w:rFonts w:cs="Times New Roman"/>
                <w:sz w:val="20"/>
                <w:szCs w:val="20"/>
              </w:rPr>
            </w:pPr>
            <w:r w:rsidRPr="007E3B3D">
              <w:rPr>
                <w:rFonts w:cs="Times New Roman"/>
                <w:i/>
                <w:iCs/>
                <w:sz w:val="20"/>
                <w:szCs w:val="20"/>
              </w:rPr>
              <w:t>p</w:t>
            </w:r>
            <w:r w:rsidRPr="007E3B3D">
              <w:rPr>
                <w:rFonts w:cs="Times New Roman"/>
                <w:sz w:val="20"/>
                <w:szCs w:val="20"/>
              </w:rPr>
              <w:t>-value</w:t>
            </w:r>
          </w:p>
        </w:tc>
      </w:tr>
      <w:tr w:rsidR="00A35DDB" w:rsidRPr="007E3B3D" w14:paraId="690DBB81" w14:textId="77777777" w:rsidTr="003C2F5A">
        <w:trPr>
          <w:trHeight w:val="110"/>
        </w:trPr>
        <w:tc>
          <w:tcPr>
            <w:tcW w:w="1846" w:type="dxa"/>
            <w:tcBorders>
              <w:top w:val="nil"/>
              <w:left w:val="nil"/>
              <w:bottom w:val="nil"/>
              <w:right w:val="nil"/>
            </w:tcBorders>
            <w:vAlign w:val="center"/>
          </w:tcPr>
          <w:p w14:paraId="0E5C0C9F" w14:textId="77777777" w:rsidR="00A35DDB" w:rsidRPr="00053D29" w:rsidRDefault="00A35DDB" w:rsidP="003C2F5A">
            <w:pPr>
              <w:spacing w:after="160"/>
              <w:contextualSpacing/>
              <w:jc w:val="center"/>
              <w:rPr>
                <w:rFonts w:cs="Times New Roman"/>
                <w:i/>
                <w:iCs/>
                <w:sz w:val="20"/>
                <w:szCs w:val="20"/>
              </w:rPr>
            </w:pPr>
            <w:r w:rsidRPr="00053D29">
              <w:rPr>
                <w:rFonts w:cs="Times New Roman"/>
                <w:i/>
                <w:iCs/>
                <w:sz w:val="20"/>
                <w:szCs w:val="20"/>
              </w:rPr>
              <w:t>Outcome Measures</w:t>
            </w:r>
          </w:p>
        </w:tc>
        <w:tc>
          <w:tcPr>
            <w:tcW w:w="854" w:type="dxa"/>
            <w:tcBorders>
              <w:top w:val="nil"/>
              <w:left w:val="nil"/>
              <w:bottom w:val="nil"/>
              <w:right w:val="nil"/>
            </w:tcBorders>
            <w:vAlign w:val="center"/>
          </w:tcPr>
          <w:p w14:paraId="7C5CDBBE" w14:textId="77777777" w:rsidR="00A35DDB" w:rsidRPr="007E3B3D" w:rsidRDefault="00A35DDB" w:rsidP="003C2F5A">
            <w:pPr>
              <w:spacing w:after="160"/>
              <w:contextualSpacing/>
              <w:jc w:val="center"/>
              <w:rPr>
                <w:rFonts w:cs="Times New Roman"/>
                <w:sz w:val="20"/>
                <w:szCs w:val="20"/>
              </w:rPr>
            </w:pPr>
          </w:p>
        </w:tc>
        <w:tc>
          <w:tcPr>
            <w:tcW w:w="1530" w:type="dxa"/>
            <w:tcBorders>
              <w:top w:val="nil"/>
              <w:left w:val="nil"/>
              <w:bottom w:val="nil"/>
              <w:right w:val="nil"/>
            </w:tcBorders>
            <w:vAlign w:val="center"/>
          </w:tcPr>
          <w:p w14:paraId="1166F9C5" w14:textId="77777777" w:rsidR="00A35DDB" w:rsidRPr="007E3B3D" w:rsidRDefault="00A35DDB" w:rsidP="003C2F5A">
            <w:pPr>
              <w:spacing w:after="160"/>
              <w:contextualSpacing/>
              <w:jc w:val="center"/>
              <w:rPr>
                <w:rFonts w:cs="Times New Roman"/>
                <w:sz w:val="20"/>
                <w:szCs w:val="20"/>
              </w:rPr>
            </w:pPr>
          </w:p>
        </w:tc>
        <w:tc>
          <w:tcPr>
            <w:tcW w:w="1170" w:type="dxa"/>
            <w:tcBorders>
              <w:top w:val="nil"/>
              <w:left w:val="nil"/>
              <w:bottom w:val="nil"/>
              <w:right w:val="nil"/>
            </w:tcBorders>
            <w:vAlign w:val="center"/>
          </w:tcPr>
          <w:p w14:paraId="3688A3DA" w14:textId="77777777" w:rsidR="00A35DDB" w:rsidRDefault="00A35DDB" w:rsidP="003C2F5A">
            <w:pPr>
              <w:spacing w:after="160"/>
              <w:contextualSpacing/>
              <w:jc w:val="center"/>
              <w:rPr>
                <w:rFonts w:cs="Times New Roman"/>
                <w:sz w:val="20"/>
                <w:szCs w:val="20"/>
              </w:rPr>
            </w:pPr>
          </w:p>
        </w:tc>
        <w:tc>
          <w:tcPr>
            <w:tcW w:w="810" w:type="dxa"/>
            <w:tcBorders>
              <w:top w:val="nil"/>
              <w:left w:val="nil"/>
              <w:bottom w:val="nil"/>
              <w:right w:val="nil"/>
            </w:tcBorders>
            <w:vAlign w:val="center"/>
          </w:tcPr>
          <w:p w14:paraId="3302BF42" w14:textId="77777777" w:rsidR="00A35DDB" w:rsidRPr="007E3B3D" w:rsidRDefault="00A35DDB" w:rsidP="003C2F5A">
            <w:pPr>
              <w:spacing w:after="160"/>
              <w:contextualSpacing/>
              <w:jc w:val="center"/>
              <w:rPr>
                <w:rFonts w:cs="Times New Roman"/>
                <w:sz w:val="20"/>
                <w:szCs w:val="20"/>
              </w:rPr>
            </w:pPr>
          </w:p>
        </w:tc>
        <w:tc>
          <w:tcPr>
            <w:tcW w:w="1530" w:type="dxa"/>
            <w:tcBorders>
              <w:top w:val="nil"/>
              <w:left w:val="nil"/>
              <w:bottom w:val="nil"/>
              <w:right w:val="nil"/>
            </w:tcBorders>
            <w:vAlign w:val="center"/>
          </w:tcPr>
          <w:p w14:paraId="0B701162" w14:textId="77777777" w:rsidR="00A35DDB" w:rsidRPr="007E3B3D" w:rsidRDefault="00A35DDB" w:rsidP="003C2F5A">
            <w:pPr>
              <w:spacing w:after="160"/>
              <w:contextualSpacing/>
              <w:jc w:val="center"/>
              <w:rPr>
                <w:rFonts w:cs="Times New Roman"/>
                <w:sz w:val="20"/>
                <w:szCs w:val="20"/>
              </w:rPr>
            </w:pPr>
          </w:p>
        </w:tc>
        <w:tc>
          <w:tcPr>
            <w:tcW w:w="1170" w:type="dxa"/>
            <w:tcBorders>
              <w:top w:val="nil"/>
              <w:left w:val="nil"/>
              <w:bottom w:val="nil"/>
              <w:right w:val="nil"/>
            </w:tcBorders>
            <w:vAlign w:val="center"/>
          </w:tcPr>
          <w:p w14:paraId="65579E3D" w14:textId="77777777" w:rsidR="00A35DDB" w:rsidRDefault="00A35DDB" w:rsidP="003C2F5A">
            <w:pPr>
              <w:spacing w:after="160"/>
              <w:contextualSpacing/>
              <w:jc w:val="center"/>
              <w:rPr>
                <w:rFonts w:cs="Times New Roman"/>
                <w:sz w:val="20"/>
                <w:szCs w:val="20"/>
              </w:rPr>
            </w:pPr>
          </w:p>
        </w:tc>
        <w:tc>
          <w:tcPr>
            <w:tcW w:w="810" w:type="dxa"/>
            <w:tcBorders>
              <w:top w:val="nil"/>
              <w:left w:val="nil"/>
              <w:bottom w:val="nil"/>
              <w:right w:val="nil"/>
            </w:tcBorders>
            <w:vAlign w:val="center"/>
          </w:tcPr>
          <w:p w14:paraId="6D5E687E" w14:textId="77777777" w:rsidR="00A35DDB" w:rsidRPr="007E3B3D" w:rsidRDefault="00A35DDB" w:rsidP="003C2F5A">
            <w:pPr>
              <w:spacing w:after="160"/>
              <w:contextualSpacing/>
              <w:jc w:val="center"/>
              <w:rPr>
                <w:rFonts w:cs="Times New Roman"/>
                <w:sz w:val="20"/>
                <w:szCs w:val="20"/>
              </w:rPr>
            </w:pPr>
          </w:p>
        </w:tc>
        <w:tc>
          <w:tcPr>
            <w:tcW w:w="1530" w:type="dxa"/>
            <w:tcBorders>
              <w:top w:val="nil"/>
              <w:left w:val="nil"/>
              <w:bottom w:val="nil"/>
              <w:right w:val="nil"/>
            </w:tcBorders>
            <w:vAlign w:val="center"/>
          </w:tcPr>
          <w:p w14:paraId="59DB9DE9" w14:textId="77777777" w:rsidR="00A35DDB" w:rsidRPr="007E3B3D" w:rsidRDefault="00A35DDB" w:rsidP="003C2F5A">
            <w:pPr>
              <w:spacing w:after="160"/>
              <w:contextualSpacing/>
              <w:jc w:val="center"/>
              <w:rPr>
                <w:rFonts w:cs="Times New Roman"/>
                <w:sz w:val="20"/>
                <w:szCs w:val="20"/>
              </w:rPr>
            </w:pPr>
          </w:p>
        </w:tc>
        <w:tc>
          <w:tcPr>
            <w:tcW w:w="1170" w:type="dxa"/>
            <w:tcBorders>
              <w:top w:val="nil"/>
              <w:left w:val="nil"/>
              <w:bottom w:val="nil"/>
              <w:right w:val="nil"/>
            </w:tcBorders>
            <w:vAlign w:val="center"/>
          </w:tcPr>
          <w:p w14:paraId="5945E276" w14:textId="77777777" w:rsidR="00A35DDB" w:rsidRDefault="00A35DDB" w:rsidP="003C2F5A">
            <w:pPr>
              <w:spacing w:after="160"/>
              <w:contextualSpacing/>
              <w:jc w:val="center"/>
              <w:rPr>
                <w:rFonts w:cs="Times New Roman"/>
                <w:sz w:val="20"/>
                <w:szCs w:val="20"/>
              </w:rPr>
            </w:pPr>
          </w:p>
        </w:tc>
      </w:tr>
      <w:tr w:rsidR="00A35DDB" w:rsidRPr="007E3B3D" w14:paraId="29B33A66" w14:textId="77777777" w:rsidTr="003C2F5A">
        <w:trPr>
          <w:trHeight w:val="110"/>
        </w:trPr>
        <w:tc>
          <w:tcPr>
            <w:tcW w:w="1846" w:type="dxa"/>
            <w:tcBorders>
              <w:top w:val="nil"/>
              <w:left w:val="nil"/>
              <w:bottom w:val="nil"/>
              <w:right w:val="nil"/>
            </w:tcBorders>
            <w:vAlign w:val="center"/>
          </w:tcPr>
          <w:p w14:paraId="4EDF409E"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DASS-21</w:t>
            </w:r>
          </w:p>
        </w:tc>
        <w:tc>
          <w:tcPr>
            <w:tcW w:w="854" w:type="dxa"/>
            <w:tcBorders>
              <w:top w:val="nil"/>
              <w:left w:val="nil"/>
              <w:bottom w:val="nil"/>
              <w:right w:val="nil"/>
            </w:tcBorders>
            <w:vAlign w:val="center"/>
          </w:tcPr>
          <w:p w14:paraId="65BED7CB"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-11.81</w:t>
            </w:r>
          </w:p>
        </w:tc>
        <w:tc>
          <w:tcPr>
            <w:tcW w:w="1530" w:type="dxa"/>
            <w:tcBorders>
              <w:top w:val="nil"/>
              <w:left w:val="nil"/>
              <w:bottom w:val="nil"/>
              <w:right w:val="nil"/>
            </w:tcBorders>
            <w:vAlign w:val="center"/>
          </w:tcPr>
          <w:p w14:paraId="65698440"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-0.4</w:t>
            </w:r>
            <w:r>
              <w:rPr>
                <w:rFonts w:cs="Times New Roman"/>
                <w:sz w:val="20"/>
                <w:szCs w:val="20"/>
              </w:rPr>
              <w:t>5</w:t>
            </w:r>
          </w:p>
        </w:tc>
        <w:tc>
          <w:tcPr>
            <w:tcW w:w="1170" w:type="dxa"/>
            <w:tcBorders>
              <w:top w:val="nil"/>
              <w:left w:val="nil"/>
              <w:bottom w:val="nil"/>
              <w:right w:val="nil"/>
            </w:tcBorders>
            <w:vAlign w:val="center"/>
          </w:tcPr>
          <w:p w14:paraId="1C036E9C" w14:textId="77777777" w:rsidR="00A35DDB" w:rsidRPr="007E3B3D" w:rsidRDefault="00A35DDB" w:rsidP="003C2F5A">
            <w:pPr>
              <w:spacing w:after="160"/>
              <w:contextualSpacing/>
              <w:jc w:val="center"/>
              <w:rPr>
                <w:rFonts w:cs="Times New Roman"/>
                <w:sz w:val="20"/>
                <w:szCs w:val="20"/>
              </w:rPr>
            </w:pPr>
            <w:r>
              <w:rPr>
                <w:rFonts w:cs="Times New Roman"/>
                <w:sz w:val="20"/>
                <w:szCs w:val="20"/>
              </w:rPr>
              <w:t>.007**</w:t>
            </w:r>
          </w:p>
        </w:tc>
        <w:tc>
          <w:tcPr>
            <w:tcW w:w="810" w:type="dxa"/>
            <w:tcBorders>
              <w:top w:val="nil"/>
              <w:left w:val="nil"/>
              <w:bottom w:val="nil"/>
              <w:right w:val="nil"/>
            </w:tcBorders>
            <w:vAlign w:val="center"/>
          </w:tcPr>
          <w:p w14:paraId="4AB7049A"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-8.45</w:t>
            </w:r>
          </w:p>
        </w:tc>
        <w:tc>
          <w:tcPr>
            <w:tcW w:w="1530" w:type="dxa"/>
            <w:tcBorders>
              <w:top w:val="nil"/>
              <w:left w:val="nil"/>
              <w:bottom w:val="nil"/>
              <w:right w:val="nil"/>
            </w:tcBorders>
            <w:vAlign w:val="center"/>
          </w:tcPr>
          <w:p w14:paraId="6A386F0B"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-0.32</w:t>
            </w:r>
          </w:p>
        </w:tc>
        <w:tc>
          <w:tcPr>
            <w:tcW w:w="1170" w:type="dxa"/>
            <w:tcBorders>
              <w:top w:val="nil"/>
              <w:left w:val="nil"/>
              <w:bottom w:val="nil"/>
              <w:right w:val="nil"/>
            </w:tcBorders>
            <w:vAlign w:val="center"/>
          </w:tcPr>
          <w:p w14:paraId="1208F6CE" w14:textId="77777777" w:rsidR="00A35DDB" w:rsidRPr="007E3B3D" w:rsidRDefault="00A35DDB" w:rsidP="003C2F5A">
            <w:pPr>
              <w:spacing w:after="160"/>
              <w:contextualSpacing/>
              <w:jc w:val="center"/>
              <w:rPr>
                <w:rFonts w:cs="Times New Roman"/>
                <w:sz w:val="20"/>
                <w:szCs w:val="20"/>
              </w:rPr>
            </w:pPr>
            <w:r>
              <w:rPr>
                <w:rFonts w:cs="Times New Roman"/>
                <w:sz w:val="20"/>
                <w:szCs w:val="20"/>
              </w:rPr>
              <w:t>.051</w:t>
            </w:r>
          </w:p>
        </w:tc>
        <w:tc>
          <w:tcPr>
            <w:tcW w:w="810" w:type="dxa"/>
            <w:tcBorders>
              <w:top w:val="nil"/>
              <w:left w:val="nil"/>
              <w:bottom w:val="nil"/>
              <w:right w:val="nil"/>
            </w:tcBorders>
            <w:vAlign w:val="center"/>
          </w:tcPr>
          <w:p w14:paraId="7CF0EF56"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3.36</w:t>
            </w:r>
          </w:p>
        </w:tc>
        <w:tc>
          <w:tcPr>
            <w:tcW w:w="1530" w:type="dxa"/>
            <w:tcBorders>
              <w:top w:val="nil"/>
              <w:left w:val="nil"/>
              <w:bottom w:val="nil"/>
              <w:right w:val="nil"/>
            </w:tcBorders>
            <w:vAlign w:val="center"/>
          </w:tcPr>
          <w:p w14:paraId="421AA06A"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0.13</w:t>
            </w:r>
          </w:p>
        </w:tc>
        <w:tc>
          <w:tcPr>
            <w:tcW w:w="1170" w:type="dxa"/>
            <w:tcBorders>
              <w:top w:val="nil"/>
              <w:left w:val="nil"/>
              <w:bottom w:val="nil"/>
              <w:right w:val="nil"/>
            </w:tcBorders>
            <w:vAlign w:val="center"/>
          </w:tcPr>
          <w:p w14:paraId="1288EB30" w14:textId="77777777" w:rsidR="00A35DDB" w:rsidRPr="007E3B3D" w:rsidRDefault="00A35DDB" w:rsidP="003C2F5A">
            <w:pPr>
              <w:spacing w:after="160"/>
              <w:contextualSpacing/>
              <w:jc w:val="center"/>
              <w:rPr>
                <w:rFonts w:cs="Times New Roman"/>
                <w:sz w:val="20"/>
                <w:szCs w:val="20"/>
              </w:rPr>
            </w:pPr>
            <w:r>
              <w:rPr>
                <w:rFonts w:cs="Times New Roman"/>
                <w:sz w:val="20"/>
                <w:szCs w:val="20"/>
              </w:rPr>
              <w:t>.399</w:t>
            </w:r>
          </w:p>
        </w:tc>
      </w:tr>
      <w:tr w:rsidR="00A35DDB" w:rsidRPr="007E3B3D" w14:paraId="20AA3415" w14:textId="77777777" w:rsidTr="003C2F5A">
        <w:trPr>
          <w:trHeight w:val="110"/>
        </w:trPr>
        <w:tc>
          <w:tcPr>
            <w:tcW w:w="1846" w:type="dxa"/>
            <w:tcBorders>
              <w:top w:val="nil"/>
              <w:left w:val="nil"/>
              <w:bottom w:val="nil"/>
              <w:right w:val="nil"/>
            </w:tcBorders>
            <w:vAlign w:val="center"/>
          </w:tcPr>
          <w:p w14:paraId="5BD42A1A"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MHC-SF</w:t>
            </w:r>
          </w:p>
        </w:tc>
        <w:tc>
          <w:tcPr>
            <w:tcW w:w="854" w:type="dxa"/>
            <w:tcBorders>
              <w:top w:val="nil"/>
              <w:left w:val="nil"/>
              <w:bottom w:val="nil"/>
              <w:right w:val="nil"/>
            </w:tcBorders>
            <w:vAlign w:val="center"/>
          </w:tcPr>
          <w:p w14:paraId="7560197C"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5.41</w:t>
            </w:r>
          </w:p>
        </w:tc>
        <w:tc>
          <w:tcPr>
            <w:tcW w:w="1530" w:type="dxa"/>
            <w:tcBorders>
              <w:top w:val="nil"/>
              <w:left w:val="nil"/>
              <w:bottom w:val="nil"/>
              <w:right w:val="nil"/>
            </w:tcBorders>
            <w:vAlign w:val="center"/>
          </w:tcPr>
          <w:p w14:paraId="02BE956C"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0.41</w:t>
            </w:r>
          </w:p>
        </w:tc>
        <w:tc>
          <w:tcPr>
            <w:tcW w:w="1170" w:type="dxa"/>
            <w:tcBorders>
              <w:top w:val="nil"/>
              <w:left w:val="nil"/>
              <w:bottom w:val="nil"/>
              <w:right w:val="nil"/>
            </w:tcBorders>
            <w:vAlign w:val="center"/>
          </w:tcPr>
          <w:p w14:paraId="64770EF3" w14:textId="77777777" w:rsidR="00A35DDB" w:rsidRPr="007E3B3D" w:rsidRDefault="00A35DDB" w:rsidP="003C2F5A">
            <w:pPr>
              <w:spacing w:after="160"/>
              <w:contextualSpacing/>
              <w:jc w:val="center"/>
              <w:rPr>
                <w:rFonts w:cs="Times New Roman"/>
                <w:sz w:val="20"/>
                <w:szCs w:val="20"/>
              </w:rPr>
            </w:pPr>
            <w:r>
              <w:rPr>
                <w:rFonts w:cs="Times New Roman"/>
                <w:sz w:val="20"/>
                <w:szCs w:val="20"/>
              </w:rPr>
              <w:t>.006**</w:t>
            </w:r>
          </w:p>
        </w:tc>
        <w:tc>
          <w:tcPr>
            <w:tcW w:w="810" w:type="dxa"/>
            <w:tcBorders>
              <w:top w:val="nil"/>
              <w:left w:val="nil"/>
              <w:bottom w:val="nil"/>
              <w:right w:val="nil"/>
            </w:tcBorders>
            <w:vAlign w:val="center"/>
          </w:tcPr>
          <w:p w14:paraId="46855B64"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2.51</w:t>
            </w:r>
          </w:p>
        </w:tc>
        <w:tc>
          <w:tcPr>
            <w:tcW w:w="1530" w:type="dxa"/>
            <w:tcBorders>
              <w:top w:val="nil"/>
              <w:left w:val="nil"/>
              <w:bottom w:val="nil"/>
              <w:right w:val="nil"/>
            </w:tcBorders>
            <w:vAlign w:val="center"/>
          </w:tcPr>
          <w:p w14:paraId="050FF761"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0.19</w:t>
            </w:r>
          </w:p>
        </w:tc>
        <w:tc>
          <w:tcPr>
            <w:tcW w:w="1170" w:type="dxa"/>
            <w:tcBorders>
              <w:top w:val="nil"/>
              <w:left w:val="nil"/>
              <w:bottom w:val="nil"/>
              <w:right w:val="nil"/>
            </w:tcBorders>
            <w:vAlign w:val="center"/>
          </w:tcPr>
          <w:p w14:paraId="5091F4DE" w14:textId="77777777" w:rsidR="00A35DDB" w:rsidRPr="007E3B3D" w:rsidRDefault="00A35DDB" w:rsidP="003C2F5A">
            <w:pPr>
              <w:spacing w:after="160"/>
              <w:contextualSpacing/>
              <w:jc w:val="center"/>
              <w:rPr>
                <w:rFonts w:cs="Times New Roman"/>
                <w:sz w:val="20"/>
                <w:szCs w:val="20"/>
              </w:rPr>
            </w:pPr>
            <w:r>
              <w:rPr>
                <w:rFonts w:cs="Times New Roman"/>
                <w:sz w:val="20"/>
                <w:szCs w:val="20"/>
              </w:rPr>
              <w:t>.151</w:t>
            </w:r>
          </w:p>
        </w:tc>
        <w:tc>
          <w:tcPr>
            <w:tcW w:w="810" w:type="dxa"/>
            <w:tcBorders>
              <w:top w:val="nil"/>
              <w:left w:val="nil"/>
              <w:bottom w:val="nil"/>
              <w:right w:val="nil"/>
            </w:tcBorders>
            <w:vAlign w:val="center"/>
          </w:tcPr>
          <w:p w14:paraId="0A6BBE12"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-2.90</w:t>
            </w:r>
          </w:p>
        </w:tc>
        <w:tc>
          <w:tcPr>
            <w:tcW w:w="1530" w:type="dxa"/>
            <w:tcBorders>
              <w:top w:val="nil"/>
              <w:left w:val="nil"/>
              <w:bottom w:val="nil"/>
              <w:right w:val="nil"/>
            </w:tcBorders>
            <w:vAlign w:val="center"/>
          </w:tcPr>
          <w:p w14:paraId="62676EB6"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-0.22</w:t>
            </w:r>
          </w:p>
        </w:tc>
        <w:tc>
          <w:tcPr>
            <w:tcW w:w="1170" w:type="dxa"/>
            <w:tcBorders>
              <w:top w:val="nil"/>
              <w:left w:val="nil"/>
              <w:bottom w:val="nil"/>
              <w:right w:val="nil"/>
            </w:tcBorders>
            <w:vAlign w:val="center"/>
          </w:tcPr>
          <w:p w14:paraId="350F2278" w14:textId="77777777" w:rsidR="00A35DDB" w:rsidRPr="007E3B3D" w:rsidRDefault="00A35DDB" w:rsidP="003C2F5A">
            <w:pPr>
              <w:spacing w:after="160"/>
              <w:contextualSpacing/>
              <w:jc w:val="center"/>
              <w:rPr>
                <w:rFonts w:cs="Times New Roman"/>
                <w:sz w:val="20"/>
                <w:szCs w:val="20"/>
              </w:rPr>
            </w:pPr>
            <w:r>
              <w:rPr>
                <w:rFonts w:cs="Times New Roman"/>
                <w:sz w:val="20"/>
                <w:szCs w:val="20"/>
              </w:rPr>
              <w:t>.096</w:t>
            </w:r>
          </w:p>
        </w:tc>
      </w:tr>
      <w:tr w:rsidR="00A35DDB" w:rsidRPr="007E3B3D" w14:paraId="69792D10" w14:textId="77777777" w:rsidTr="003C2F5A">
        <w:trPr>
          <w:trHeight w:val="110"/>
        </w:trPr>
        <w:tc>
          <w:tcPr>
            <w:tcW w:w="1846" w:type="dxa"/>
            <w:tcBorders>
              <w:top w:val="nil"/>
              <w:left w:val="nil"/>
              <w:bottom w:val="nil"/>
              <w:right w:val="nil"/>
            </w:tcBorders>
            <w:vAlign w:val="center"/>
          </w:tcPr>
          <w:p w14:paraId="3C9CBEFA" w14:textId="77777777" w:rsidR="00A35DDB" w:rsidRPr="00053D29" w:rsidRDefault="00A35DDB" w:rsidP="003C2F5A">
            <w:pPr>
              <w:spacing w:after="160"/>
              <w:contextualSpacing/>
              <w:jc w:val="center"/>
              <w:rPr>
                <w:rFonts w:cs="Times New Roman"/>
                <w:i/>
                <w:iCs/>
                <w:sz w:val="20"/>
                <w:szCs w:val="20"/>
              </w:rPr>
            </w:pPr>
            <w:r w:rsidRPr="00053D29">
              <w:rPr>
                <w:rFonts w:cs="Times New Roman"/>
                <w:i/>
                <w:iCs/>
                <w:sz w:val="20"/>
                <w:szCs w:val="20"/>
              </w:rPr>
              <w:t>Process Measures</w:t>
            </w:r>
          </w:p>
        </w:tc>
        <w:tc>
          <w:tcPr>
            <w:tcW w:w="854" w:type="dxa"/>
            <w:tcBorders>
              <w:top w:val="nil"/>
              <w:left w:val="nil"/>
              <w:bottom w:val="nil"/>
              <w:right w:val="nil"/>
            </w:tcBorders>
            <w:vAlign w:val="center"/>
          </w:tcPr>
          <w:p w14:paraId="6457633F" w14:textId="77777777" w:rsidR="00A35DDB" w:rsidRPr="007E3B3D" w:rsidRDefault="00A35DDB" w:rsidP="003C2F5A">
            <w:pPr>
              <w:spacing w:after="160"/>
              <w:contextualSpacing/>
              <w:jc w:val="center"/>
              <w:rPr>
                <w:rFonts w:cs="Times New Roman"/>
                <w:sz w:val="20"/>
                <w:szCs w:val="20"/>
              </w:rPr>
            </w:pPr>
          </w:p>
        </w:tc>
        <w:tc>
          <w:tcPr>
            <w:tcW w:w="1530" w:type="dxa"/>
            <w:tcBorders>
              <w:top w:val="nil"/>
              <w:left w:val="nil"/>
              <w:bottom w:val="nil"/>
              <w:right w:val="nil"/>
            </w:tcBorders>
            <w:vAlign w:val="center"/>
          </w:tcPr>
          <w:p w14:paraId="07874D58" w14:textId="77777777" w:rsidR="00A35DDB" w:rsidRPr="007E3B3D" w:rsidRDefault="00A35DDB" w:rsidP="003C2F5A">
            <w:pPr>
              <w:spacing w:after="160"/>
              <w:contextualSpacing/>
              <w:jc w:val="center"/>
              <w:rPr>
                <w:rFonts w:cs="Times New Roman"/>
                <w:sz w:val="20"/>
                <w:szCs w:val="20"/>
              </w:rPr>
            </w:pPr>
          </w:p>
        </w:tc>
        <w:tc>
          <w:tcPr>
            <w:tcW w:w="1170" w:type="dxa"/>
            <w:tcBorders>
              <w:top w:val="nil"/>
              <w:left w:val="nil"/>
              <w:bottom w:val="nil"/>
              <w:right w:val="nil"/>
            </w:tcBorders>
            <w:vAlign w:val="center"/>
          </w:tcPr>
          <w:p w14:paraId="6CAEDA32" w14:textId="77777777" w:rsidR="00A35DDB" w:rsidRDefault="00A35DDB" w:rsidP="003C2F5A">
            <w:pPr>
              <w:spacing w:after="160"/>
              <w:contextualSpacing/>
              <w:jc w:val="center"/>
              <w:rPr>
                <w:rFonts w:cs="Times New Roman"/>
                <w:sz w:val="20"/>
                <w:szCs w:val="20"/>
              </w:rPr>
            </w:pPr>
          </w:p>
        </w:tc>
        <w:tc>
          <w:tcPr>
            <w:tcW w:w="810" w:type="dxa"/>
            <w:tcBorders>
              <w:top w:val="nil"/>
              <w:left w:val="nil"/>
              <w:bottom w:val="nil"/>
              <w:right w:val="nil"/>
            </w:tcBorders>
            <w:vAlign w:val="center"/>
          </w:tcPr>
          <w:p w14:paraId="0AF596F8" w14:textId="77777777" w:rsidR="00A35DDB" w:rsidRPr="007E3B3D" w:rsidRDefault="00A35DDB" w:rsidP="003C2F5A">
            <w:pPr>
              <w:spacing w:after="160"/>
              <w:contextualSpacing/>
              <w:jc w:val="center"/>
              <w:rPr>
                <w:rFonts w:cs="Times New Roman"/>
                <w:sz w:val="20"/>
                <w:szCs w:val="20"/>
              </w:rPr>
            </w:pPr>
          </w:p>
        </w:tc>
        <w:tc>
          <w:tcPr>
            <w:tcW w:w="1530" w:type="dxa"/>
            <w:tcBorders>
              <w:top w:val="nil"/>
              <w:left w:val="nil"/>
              <w:bottom w:val="nil"/>
              <w:right w:val="nil"/>
            </w:tcBorders>
            <w:vAlign w:val="center"/>
          </w:tcPr>
          <w:p w14:paraId="0AAD63AA" w14:textId="77777777" w:rsidR="00A35DDB" w:rsidRPr="007E3B3D" w:rsidRDefault="00A35DDB" w:rsidP="003C2F5A">
            <w:pPr>
              <w:spacing w:after="160"/>
              <w:contextualSpacing/>
              <w:jc w:val="center"/>
              <w:rPr>
                <w:rFonts w:cs="Times New Roman"/>
                <w:sz w:val="20"/>
                <w:szCs w:val="20"/>
              </w:rPr>
            </w:pPr>
          </w:p>
        </w:tc>
        <w:tc>
          <w:tcPr>
            <w:tcW w:w="1170" w:type="dxa"/>
            <w:tcBorders>
              <w:top w:val="nil"/>
              <w:left w:val="nil"/>
              <w:bottom w:val="nil"/>
              <w:right w:val="nil"/>
            </w:tcBorders>
            <w:vAlign w:val="center"/>
          </w:tcPr>
          <w:p w14:paraId="38D533BF" w14:textId="77777777" w:rsidR="00A35DDB" w:rsidRDefault="00A35DDB" w:rsidP="003C2F5A">
            <w:pPr>
              <w:spacing w:after="160"/>
              <w:contextualSpacing/>
              <w:jc w:val="center"/>
              <w:rPr>
                <w:rFonts w:cs="Times New Roman"/>
                <w:sz w:val="20"/>
                <w:szCs w:val="20"/>
              </w:rPr>
            </w:pPr>
          </w:p>
        </w:tc>
        <w:tc>
          <w:tcPr>
            <w:tcW w:w="810" w:type="dxa"/>
            <w:tcBorders>
              <w:top w:val="nil"/>
              <w:left w:val="nil"/>
              <w:bottom w:val="nil"/>
              <w:right w:val="nil"/>
            </w:tcBorders>
            <w:vAlign w:val="center"/>
          </w:tcPr>
          <w:p w14:paraId="662EE8B2" w14:textId="77777777" w:rsidR="00A35DDB" w:rsidRPr="007E3B3D" w:rsidRDefault="00A35DDB" w:rsidP="003C2F5A">
            <w:pPr>
              <w:spacing w:after="160"/>
              <w:contextualSpacing/>
              <w:jc w:val="center"/>
              <w:rPr>
                <w:rFonts w:cs="Times New Roman"/>
                <w:sz w:val="20"/>
                <w:szCs w:val="20"/>
              </w:rPr>
            </w:pPr>
          </w:p>
        </w:tc>
        <w:tc>
          <w:tcPr>
            <w:tcW w:w="1530" w:type="dxa"/>
            <w:tcBorders>
              <w:top w:val="nil"/>
              <w:left w:val="nil"/>
              <w:bottom w:val="nil"/>
              <w:right w:val="nil"/>
            </w:tcBorders>
            <w:vAlign w:val="center"/>
          </w:tcPr>
          <w:p w14:paraId="30A1EB5A" w14:textId="77777777" w:rsidR="00A35DDB" w:rsidRPr="007E3B3D" w:rsidRDefault="00A35DDB" w:rsidP="003C2F5A">
            <w:pPr>
              <w:spacing w:after="160"/>
              <w:contextualSpacing/>
              <w:jc w:val="center"/>
              <w:rPr>
                <w:rFonts w:cs="Times New Roman"/>
                <w:sz w:val="20"/>
                <w:szCs w:val="20"/>
              </w:rPr>
            </w:pPr>
          </w:p>
        </w:tc>
        <w:tc>
          <w:tcPr>
            <w:tcW w:w="1170" w:type="dxa"/>
            <w:tcBorders>
              <w:top w:val="nil"/>
              <w:left w:val="nil"/>
              <w:bottom w:val="nil"/>
              <w:right w:val="nil"/>
            </w:tcBorders>
            <w:vAlign w:val="center"/>
          </w:tcPr>
          <w:p w14:paraId="4ECEAABE" w14:textId="77777777" w:rsidR="00A35DDB" w:rsidRDefault="00A35DDB" w:rsidP="003C2F5A">
            <w:pPr>
              <w:spacing w:after="160"/>
              <w:contextualSpacing/>
              <w:jc w:val="center"/>
              <w:rPr>
                <w:rFonts w:cs="Times New Roman"/>
                <w:sz w:val="20"/>
                <w:szCs w:val="20"/>
              </w:rPr>
            </w:pPr>
          </w:p>
        </w:tc>
      </w:tr>
      <w:tr w:rsidR="00A35DDB" w:rsidRPr="007E3B3D" w14:paraId="6471C7C5" w14:textId="77777777" w:rsidTr="003C2F5A">
        <w:trPr>
          <w:trHeight w:val="110"/>
        </w:trPr>
        <w:tc>
          <w:tcPr>
            <w:tcW w:w="1846" w:type="dxa"/>
            <w:tcBorders>
              <w:top w:val="nil"/>
              <w:left w:val="nil"/>
              <w:bottom w:val="nil"/>
              <w:right w:val="nil"/>
            </w:tcBorders>
            <w:vAlign w:val="center"/>
          </w:tcPr>
          <w:p w14:paraId="68C2AA2F"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AAQ-II</w:t>
            </w:r>
          </w:p>
        </w:tc>
        <w:tc>
          <w:tcPr>
            <w:tcW w:w="854" w:type="dxa"/>
            <w:tcBorders>
              <w:top w:val="nil"/>
              <w:left w:val="nil"/>
              <w:bottom w:val="nil"/>
              <w:right w:val="nil"/>
            </w:tcBorders>
            <w:vAlign w:val="center"/>
          </w:tcPr>
          <w:p w14:paraId="0F07B215"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-3.02</w:t>
            </w:r>
          </w:p>
        </w:tc>
        <w:tc>
          <w:tcPr>
            <w:tcW w:w="1530" w:type="dxa"/>
            <w:tcBorders>
              <w:top w:val="nil"/>
              <w:left w:val="nil"/>
              <w:bottom w:val="nil"/>
              <w:right w:val="nil"/>
            </w:tcBorders>
            <w:vAlign w:val="center"/>
          </w:tcPr>
          <w:p w14:paraId="35477D69"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-0.33</w:t>
            </w:r>
          </w:p>
        </w:tc>
        <w:tc>
          <w:tcPr>
            <w:tcW w:w="1170" w:type="dxa"/>
            <w:tcBorders>
              <w:top w:val="nil"/>
              <w:left w:val="nil"/>
              <w:bottom w:val="nil"/>
              <w:right w:val="nil"/>
            </w:tcBorders>
            <w:vAlign w:val="center"/>
          </w:tcPr>
          <w:p w14:paraId="12A2FE50" w14:textId="77777777" w:rsidR="00A35DDB" w:rsidRPr="007E3B3D" w:rsidRDefault="00A35DDB" w:rsidP="003C2F5A">
            <w:pPr>
              <w:spacing w:after="160"/>
              <w:contextualSpacing/>
              <w:jc w:val="center"/>
              <w:rPr>
                <w:rFonts w:cs="Times New Roman"/>
                <w:sz w:val="20"/>
                <w:szCs w:val="20"/>
              </w:rPr>
            </w:pPr>
            <w:r>
              <w:rPr>
                <w:rFonts w:cs="Times New Roman"/>
                <w:sz w:val="20"/>
                <w:szCs w:val="20"/>
              </w:rPr>
              <w:t>.032*</w:t>
            </w:r>
          </w:p>
        </w:tc>
        <w:tc>
          <w:tcPr>
            <w:tcW w:w="810" w:type="dxa"/>
            <w:tcBorders>
              <w:top w:val="nil"/>
              <w:left w:val="nil"/>
              <w:bottom w:val="nil"/>
              <w:right w:val="nil"/>
            </w:tcBorders>
            <w:vAlign w:val="center"/>
          </w:tcPr>
          <w:p w14:paraId="1202FC63"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-0.67</w:t>
            </w:r>
          </w:p>
        </w:tc>
        <w:tc>
          <w:tcPr>
            <w:tcW w:w="1530" w:type="dxa"/>
            <w:tcBorders>
              <w:top w:val="nil"/>
              <w:left w:val="nil"/>
              <w:bottom w:val="nil"/>
              <w:right w:val="nil"/>
            </w:tcBorders>
            <w:vAlign w:val="center"/>
          </w:tcPr>
          <w:p w14:paraId="179913B8"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-0.07</w:t>
            </w:r>
          </w:p>
        </w:tc>
        <w:tc>
          <w:tcPr>
            <w:tcW w:w="1170" w:type="dxa"/>
            <w:tcBorders>
              <w:top w:val="nil"/>
              <w:left w:val="nil"/>
              <w:bottom w:val="nil"/>
              <w:right w:val="nil"/>
            </w:tcBorders>
            <w:vAlign w:val="center"/>
          </w:tcPr>
          <w:p w14:paraId="669644B2" w14:textId="77777777" w:rsidR="00A35DDB" w:rsidRPr="007E3B3D" w:rsidRDefault="00A35DDB" w:rsidP="003C2F5A">
            <w:pPr>
              <w:spacing w:after="160"/>
              <w:contextualSpacing/>
              <w:jc w:val="center"/>
              <w:rPr>
                <w:rFonts w:cs="Times New Roman"/>
                <w:sz w:val="20"/>
                <w:szCs w:val="20"/>
              </w:rPr>
            </w:pPr>
            <w:r>
              <w:rPr>
                <w:rFonts w:cs="Times New Roman"/>
                <w:sz w:val="20"/>
                <w:szCs w:val="20"/>
              </w:rPr>
              <w:t>.582</w:t>
            </w:r>
          </w:p>
        </w:tc>
        <w:tc>
          <w:tcPr>
            <w:tcW w:w="810" w:type="dxa"/>
            <w:tcBorders>
              <w:top w:val="nil"/>
              <w:left w:val="nil"/>
              <w:bottom w:val="nil"/>
              <w:right w:val="nil"/>
            </w:tcBorders>
            <w:vAlign w:val="center"/>
          </w:tcPr>
          <w:p w14:paraId="2DD64C1D"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2.35</w:t>
            </w:r>
          </w:p>
        </w:tc>
        <w:tc>
          <w:tcPr>
            <w:tcW w:w="1530" w:type="dxa"/>
            <w:tcBorders>
              <w:top w:val="nil"/>
              <w:left w:val="nil"/>
              <w:bottom w:val="nil"/>
              <w:right w:val="nil"/>
            </w:tcBorders>
            <w:vAlign w:val="center"/>
          </w:tcPr>
          <w:p w14:paraId="1132BA26"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0.26</w:t>
            </w:r>
          </w:p>
        </w:tc>
        <w:tc>
          <w:tcPr>
            <w:tcW w:w="1170" w:type="dxa"/>
            <w:tcBorders>
              <w:top w:val="nil"/>
              <w:left w:val="nil"/>
              <w:bottom w:val="nil"/>
              <w:right w:val="nil"/>
            </w:tcBorders>
            <w:vAlign w:val="center"/>
          </w:tcPr>
          <w:p w14:paraId="621BED77" w14:textId="77777777" w:rsidR="00A35DDB" w:rsidRPr="007E3B3D" w:rsidRDefault="00A35DDB" w:rsidP="003C2F5A">
            <w:pPr>
              <w:spacing w:after="160"/>
              <w:contextualSpacing/>
              <w:jc w:val="center"/>
              <w:rPr>
                <w:rFonts w:cs="Times New Roman"/>
                <w:sz w:val="20"/>
                <w:szCs w:val="20"/>
              </w:rPr>
            </w:pPr>
            <w:r>
              <w:rPr>
                <w:rFonts w:cs="Times New Roman"/>
                <w:sz w:val="20"/>
                <w:szCs w:val="20"/>
              </w:rPr>
              <w:t>.078</w:t>
            </w:r>
          </w:p>
        </w:tc>
      </w:tr>
      <w:tr w:rsidR="00A35DDB" w:rsidRPr="007E3B3D" w14:paraId="46AF947B" w14:textId="77777777" w:rsidTr="003C2F5A">
        <w:trPr>
          <w:trHeight w:val="110"/>
        </w:trPr>
        <w:tc>
          <w:tcPr>
            <w:tcW w:w="1846" w:type="dxa"/>
            <w:tcBorders>
              <w:top w:val="nil"/>
              <w:left w:val="nil"/>
              <w:bottom w:val="single" w:sz="4" w:space="0" w:color="auto"/>
              <w:right w:val="nil"/>
            </w:tcBorders>
            <w:vAlign w:val="center"/>
          </w:tcPr>
          <w:p w14:paraId="7C09ACBA" w14:textId="77777777" w:rsidR="00A35DDB" w:rsidRPr="007E3B3D" w:rsidRDefault="00A35DDB" w:rsidP="003C2F5A">
            <w:pPr>
              <w:spacing w:after="160"/>
              <w:contextualSpacing/>
              <w:jc w:val="center"/>
              <w:rPr>
                <w:rFonts w:cs="Times New Roman"/>
                <w:sz w:val="20"/>
                <w:szCs w:val="20"/>
              </w:rPr>
            </w:pPr>
            <w:proofErr w:type="spellStart"/>
            <w:r>
              <w:rPr>
                <w:rFonts w:cs="Times New Roman"/>
                <w:sz w:val="20"/>
                <w:szCs w:val="20"/>
              </w:rPr>
              <w:t>C</w:t>
            </w:r>
            <w:r w:rsidRPr="007E3B3D">
              <w:rPr>
                <w:rFonts w:cs="Times New Roman"/>
                <w:sz w:val="20"/>
                <w:szCs w:val="20"/>
              </w:rPr>
              <w:t>ompACT</w:t>
            </w:r>
            <w:proofErr w:type="spellEnd"/>
          </w:p>
        </w:tc>
        <w:tc>
          <w:tcPr>
            <w:tcW w:w="854" w:type="dxa"/>
            <w:tcBorders>
              <w:top w:val="nil"/>
              <w:left w:val="nil"/>
              <w:bottom w:val="single" w:sz="4" w:space="0" w:color="auto"/>
              <w:right w:val="nil"/>
            </w:tcBorders>
            <w:vAlign w:val="center"/>
          </w:tcPr>
          <w:p w14:paraId="1A344572"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12.31</w:t>
            </w:r>
          </w:p>
        </w:tc>
        <w:tc>
          <w:tcPr>
            <w:tcW w:w="1530" w:type="dxa"/>
            <w:tcBorders>
              <w:top w:val="nil"/>
              <w:left w:val="nil"/>
              <w:bottom w:val="single" w:sz="4" w:space="0" w:color="auto"/>
              <w:right w:val="nil"/>
            </w:tcBorders>
            <w:vAlign w:val="center"/>
          </w:tcPr>
          <w:p w14:paraId="6258F337"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0.66</w:t>
            </w:r>
          </w:p>
        </w:tc>
        <w:tc>
          <w:tcPr>
            <w:tcW w:w="1170" w:type="dxa"/>
            <w:tcBorders>
              <w:top w:val="nil"/>
              <w:left w:val="nil"/>
              <w:bottom w:val="single" w:sz="4" w:space="0" w:color="auto"/>
              <w:right w:val="nil"/>
            </w:tcBorders>
            <w:vAlign w:val="center"/>
          </w:tcPr>
          <w:p w14:paraId="097765CB" w14:textId="77777777" w:rsidR="00A35DDB" w:rsidRPr="007E3B3D" w:rsidRDefault="00A35DDB" w:rsidP="003C2F5A">
            <w:pPr>
              <w:spacing w:after="160"/>
              <w:contextualSpacing/>
              <w:jc w:val="center"/>
              <w:rPr>
                <w:rFonts w:cs="Times New Roman"/>
                <w:sz w:val="20"/>
                <w:szCs w:val="20"/>
              </w:rPr>
            </w:pPr>
            <w:r>
              <w:rPr>
                <w:rFonts w:cs="Times New Roman"/>
                <w:sz w:val="20"/>
                <w:szCs w:val="20"/>
              </w:rPr>
              <w:t>&lt; .001***</w:t>
            </w:r>
          </w:p>
        </w:tc>
        <w:tc>
          <w:tcPr>
            <w:tcW w:w="810" w:type="dxa"/>
            <w:tcBorders>
              <w:top w:val="nil"/>
              <w:left w:val="nil"/>
              <w:bottom w:val="single" w:sz="4" w:space="0" w:color="auto"/>
              <w:right w:val="nil"/>
            </w:tcBorders>
            <w:vAlign w:val="center"/>
          </w:tcPr>
          <w:p w14:paraId="4488C3EF"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6.88</w:t>
            </w:r>
          </w:p>
        </w:tc>
        <w:tc>
          <w:tcPr>
            <w:tcW w:w="1530" w:type="dxa"/>
            <w:tcBorders>
              <w:top w:val="nil"/>
              <w:left w:val="nil"/>
              <w:bottom w:val="single" w:sz="4" w:space="0" w:color="auto"/>
              <w:right w:val="nil"/>
            </w:tcBorders>
            <w:vAlign w:val="center"/>
          </w:tcPr>
          <w:p w14:paraId="4DD18196"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0.37</w:t>
            </w:r>
          </w:p>
        </w:tc>
        <w:tc>
          <w:tcPr>
            <w:tcW w:w="1170" w:type="dxa"/>
            <w:tcBorders>
              <w:top w:val="nil"/>
              <w:left w:val="nil"/>
              <w:bottom w:val="single" w:sz="4" w:space="0" w:color="auto"/>
              <w:right w:val="nil"/>
            </w:tcBorders>
            <w:vAlign w:val="center"/>
          </w:tcPr>
          <w:p w14:paraId="7965488E" w14:textId="77777777" w:rsidR="00A35DDB" w:rsidRPr="007E3B3D" w:rsidRDefault="00A35DDB" w:rsidP="003C2F5A">
            <w:pPr>
              <w:spacing w:after="160"/>
              <w:contextualSpacing/>
              <w:jc w:val="center"/>
              <w:rPr>
                <w:rFonts w:cs="Times New Roman"/>
                <w:sz w:val="20"/>
                <w:szCs w:val="20"/>
              </w:rPr>
            </w:pPr>
            <w:r>
              <w:rPr>
                <w:rFonts w:cs="Times New Roman"/>
                <w:sz w:val="20"/>
                <w:szCs w:val="20"/>
              </w:rPr>
              <w:t>.032*</w:t>
            </w:r>
          </w:p>
        </w:tc>
        <w:tc>
          <w:tcPr>
            <w:tcW w:w="810" w:type="dxa"/>
            <w:tcBorders>
              <w:top w:val="nil"/>
              <w:left w:val="nil"/>
              <w:bottom w:val="single" w:sz="4" w:space="0" w:color="auto"/>
              <w:right w:val="nil"/>
            </w:tcBorders>
            <w:vAlign w:val="center"/>
          </w:tcPr>
          <w:p w14:paraId="3D9D7376"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-5.44</w:t>
            </w:r>
          </w:p>
        </w:tc>
        <w:tc>
          <w:tcPr>
            <w:tcW w:w="1530" w:type="dxa"/>
            <w:tcBorders>
              <w:top w:val="nil"/>
              <w:left w:val="nil"/>
              <w:bottom w:val="single" w:sz="4" w:space="0" w:color="auto"/>
              <w:right w:val="nil"/>
            </w:tcBorders>
            <w:vAlign w:val="center"/>
          </w:tcPr>
          <w:p w14:paraId="5C6343B7" w14:textId="77777777" w:rsidR="00A35DDB" w:rsidRPr="007E3B3D" w:rsidRDefault="00A35DDB" w:rsidP="003C2F5A">
            <w:pPr>
              <w:spacing w:after="160"/>
              <w:contextualSpacing/>
              <w:jc w:val="center"/>
              <w:rPr>
                <w:rFonts w:cs="Times New Roman"/>
                <w:sz w:val="20"/>
                <w:szCs w:val="20"/>
              </w:rPr>
            </w:pPr>
            <w:r w:rsidRPr="007E3B3D">
              <w:rPr>
                <w:rFonts w:cs="Times New Roman"/>
                <w:sz w:val="20"/>
                <w:szCs w:val="20"/>
              </w:rPr>
              <w:t>-0.29</w:t>
            </w:r>
          </w:p>
        </w:tc>
        <w:tc>
          <w:tcPr>
            <w:tcW w:w="1170" w:type="dxa"/>
            <w:tcBorders>
              <w:top w:val="nil"/>
              <w:left w:val="nil"/>
              <w:bottom w:val="single" w:sz="4" w:space="0" w:color="auto"/>
              <w:right w:val="nil"/>
            </w:tcBorders>
            <w:vAlign w:val="center"/>
          </w:tcPr>
          <w:p w14:paraId="6729B91E" w14:textId="77777777" w:rsidR="00A35DDB" w:rsidRPr="007E3B3D" w:rsidRDefault="00A35DDB" w:rsidP="003C2F5A">
            <w:pPr>
              <w:spacing w:after="160"/>
              <w:contextualSpacing/>
              <w:jc w:val="center"/>
              <w:rPr>
                <w:rFonts w:cs="Times New Roman"/>
                <w:sz w:val="20"/>
                <w:szCs w:val="20"/>
              </w:rPr>
            </w:pPr>
            <w:r>
              <w:rPr>
                <w:rFonts w:cs="Times New Roman"/>
                <w:sz w:val="20"/>
                <w:szCs w:val="20"/>
              </w:rPr>
              <w:t>.075</w:t>
            </w:r>
          </w:p>
        </w:tc>
      </w:tr>
    </w:tbl>
    <w:p w14:paraId="58E011B1" w14:textId="77777777" w:rsidR="00A35DDB" w:rsidRPr="007E3B3D" w:rsidRDefault="00A35DDB" w:rsidP="00A35DDB">
      <w:pPr>
        <w:spacing w:after="160" w:line="480" w:lineRule="auto"/>
        <w:contextualSpacing/>
        <w:rPr>
          <w:rFonts w:cs="Times New Roman"/>
          <w:sz w:val="20"/>
          <w:szCs w:val="20"/>
        </w:rPr>
      </w:pPr>
      <w:r w:rsidRPr="007E3B3D">
        <w:rPr>
          <w:rFonts w:cs="Times New Roman"/>
          <w:i/>
          <w:iCs/>
          <w:sz w:val="20"/>
          <w:szCs w:val="20"/>
        </w:rPr>
        <w:t>Note.</w:t>
      </w:r>
      <w:r w:rsidRPr="007E3B3D">
        <w:rPr>
          <w:rFonts w:cs="Times New Roman"/>
          <w:sz w:val="20"/>
          <w:szCs w:val="20"/>
        </w:rPr>
        <w:t xml:space="preserve"> *</w:t>
      </w:r>
      <w:r w:rsidRPr="007E3B3D">
        <w:rPr>
          <w:rFonts w:cs="Times New Roman"/>
          <w:i/>
          <w:iCs/>
          <w:sz w:val="20"/>
          <w:szCs w:val="20"/>
        </w:rPr>
        <w:t xml:space="preserve">p </w:t>
      </w:r>
      <w:r w:rsidRPr="007E3B3D">
        <w:rPr>
          <w:rFonts w:cs="Times New Roman"/>
          <w:sz w:val="20"/>
          <w:szCs w:val="20"/>
        </w:rPr>
        <w:t>&lt; .05; **</w:t>
      </w:r>
      <w:r w:rsidRPr="007E3B3D">
        <w:rPr>
          <w:rFonts w:cs="Times New Roman"/>
          <w:i/>
          <w:iCs/>
          <w:sz w:val="20"/>
          <w:szCs w:val="20"/>
        </w:rPr>
        <w:t xml:space="preserve">p </w:t>
      </w:r>
      <w:r w:rsidRPr="007E3B3D">
        <w:rPr>
          <w:rFonts w:cs="Times New Roman"/>
          <w:sz w:val="20"/>
          <w:szCs w:val="20"/>
        </w:rPr>
        <w:t>&lt; .01; ***</w:t>
      </w:r>
      <w:r w:rsidRPr="007E3B3D">
        <w:rPr>
          <w:rFonts w:cs="Times New Roman"/>
          <w:i/>
          <w:iCs/>
          <w:sz w:val="20"/>
          <w:szCs w:val="20"/>
        </w:rPr>
        <w:t xml:space="preserve">p </w:t>
      </w:r>
      <w:r w:rsidRPr="007E3B3D">
        <w:rPr>
          <w:rFonts w:cs="Times New Roman"/>
          <w:sz w:val="20"/>
          <w:szCs w:val="20"/>
        </w:rPr>
        <w:t>&lt; .001.</w:t>
      </w:r>
      <w:r w:rsidRPr="007E3B3D">
        <w:rPr>
          <w:rFonts w:cs="Times New Roman"/>
          <w:i/>
          <w:iCs/>
          <w:sz w:val="20"/>
          <w:szCs w:val="20"/>
        </w:rPr>
        <w:t xml:space="preserve"> </w:t>
      </w:r>
      <w:r w:rsidRPr="007E3B3D">
        <w:rPr>
          <w:rFonts w:cs="Times New Roman"/>
          <w:sz w:val="20"/>
          <w:szCs w:val="20"/>
        </w:rPr>
        <w:t xml:space="preserve">BL = baseline; PT = post-treatment; DASS-21 = Depression/Anxiety/Stress Scale; MHC = Mental Health Continuum Short Form; AAQ-II = Acceptance and Action Questionnaire; </w:t>
      </w:r>
      <w:proofErr w:type="spellStart"/>
      <w:r>
        <w:rPr>
          <w:rFonts w:cs="Times New Roman"/>
          <w:sz w:val="20"/>
          <w:szCs w:val="20"/>
        </w:rPr>
        <w:t>C</w:t>
      </w:r>
      <w:r w:rsidRPr="007E3B3D">
        <w:rPr>
          <w:rFonts w:cs="Times New Roman"/>
          <w:sz w:val="20"/>
          <w:szCs w:val="20"/>
        </w:rPr>
        <w:t>ompACT</w:t>
      </w:r>
      <w:proofErr w:type="spellEnd"/>
      <w:r w:rsidRPr="007E3B3D">
        <w:rPr>
          <w:rFonts w:cs="Times New Roman"/>
          <w:sz w:val="20"/>
          <w:szCs w:val="20"/>
        </w:rPr>
        <w:t xml:space="preserve"> = Comprehensive Assessment of Acceptance and Commitment Therapy Processes</w:t>
      </w:r>
    </w:p>
    <w:p w14:paraId="76EBF8FE" w14:textId="06F7DB55" w:rsidR="00A35DDB" w:rsidRDefault="00A35DDB" w:rsidP="00A35DDB">
      <w:pPr>
        <w:spacing w:line="480" w:lineRule="auto"/>
        <w:contextualSpacing/>
        <w:rPr>
          <w:rFonts w:cs="Times New Roman"/>
          <w:sz w:val="20"/>
          <w:szCs w:val="20"/>
        </w:rPr>
        <w:sectPr w:rsidR="00A35DDB" w:rsidSect="00053D29">
          <w:headerReference w:type="default" r:id="rId12"/>
          <w:headerReference w:type="first" r:id="rId13"/>
          <w:pgSz w:w="15840" w:h="12240" w:orient="landscape" w:code="1"/>
          <w:pgMar w:top="1440" w:right="1440" w:bottom="1440" w:left="1440" w:header="720" w:footer="720" w:gutter="0"/>
          <w:cols w:space="720"/>
          <w:titlePg/>
          <w:docGrid w:linePitch="326"/>
        </w:sectPr>
      </w:pPr>
    </w:p>
    <w:p w14:paraId="5D2A87CC" w14:textId="5588D186" w:rsidR="00382C41" w:rsidRPr="000342C7" w:rsidRDefault="00382C41" w:rsidP="00382C41">
      <w:pPr>
        <w:spacing w:after="160" w:line="259" w:lineRule="auto"/>
        <w:rPr>
          <w:rFonts w:cs="Times New Roman"/>
          <w:szCs w:val="24"/>
        </w:rPr>
      </w:pPr>
      <w:bookmarkStart w:id="18" w:name="_Hlk110359570"/>
      <w:r w:rsidRPr="000342C7">
        <w:rPr>
          <w:rFonts w:cs="Times New Roman"/>
          <w:szCs w:val="24"/>
        </w:rPr>
        <w:lastRenderedPageBreak/>
        <w:t xml:space="preserve">Table </w:t>
      </w:r>
      <w:r w:rsidR="00A35DDB">
        <w:rPr>
          <w:rFonts w:cs="Times New Roman"/>
          <w:szCs w:val="24"/>
        </w:rPr>
        <w:t>4</w:t>
      </w:r>
    </w:p>
    <w:p w14:paraId="43A884CF" w14:textId="77777777" w:rsidR="00382C41" w:rsidRDefault="00382C41" w:rsidP="00382C41">
      <w:pPr>
        <w:spacing w:after="160" w:line="259" w:lineRule="auto"/>
        <w:rPr>
          <w:rFonts w:cs="Times New Roman"/>
          <w:i/>
          <w:iCs/>
          <w:szCs w:val="24"/>
        </w:rPr>
      </w:pPr>
      <w:r>
        <w:rPr>
          <w:rFonts w:cs="Times New Roman"/>
          <w:i/>
          <w:iCs/>
          <w:szCs w:val="24"/>
        </w:rPr>
        <w:t>Frequency of reliable change by condition</w:t>
      </w:r>
    </w:p>
    <w:tbl>
      <w:tblPr>
        <w:tblStyle w:val="TableGrid"/>
        <w:tblW w:w="13320" w:type="dxa"/>
        <w:tblCellMar>
          <w:top w:w="58" w:type="dxa"/>
          <w:bottom w:w="58" w:type="dxa"/>
        </w:tblCellMar>
        <w:tblLook w:val="04A0" w:firstRow="1" w:lastRow="0" w:firstColumn="1" w:lastColumn="0" w:noHBand="0" w:noVBand="1"/>
      </w:tblPr>
      <w:tblGrid>
        <w:gridCol w:w="2395"/>
        <w:gridCol w:w="1213"/>
        <w:gridCol w:w="1214"/>
        <w:gridCol w:w="1214"/>
        <w:gridCol w:w="1214"/>
        <w:gridCol w:w="1214"/>
        <w:gridCol w:w="1214"/>
        <w:gridCol w:w="1214"/>
        <w:gridCol w:w="1214"/>
        <w:gridCol w:w="1214"/>
      </w:tblGrid>
      <w:tr w:rsidR="00382C41" w:rsidRPr="00422D41" w14:paraId="01F7ABDA" w14:textId="77777777" w:rsidTr="00053D29">
        <w:trPr>
          <w:trHeight w:val="580"/>
        </w:trPr>
        <w:tc>
          <w:tcPr>
            <w:tcW w:w="2395" w:type="dxa"/>
            <w:tcBorders>
              <w:left w:val="nil"/>
              <w:bottom w:val="nil"/>
              <w:right w:val="nil"/>
            </w:tcBorders>
            <w:vAlign w:val="center"/>
          </w:tcPr>
          <w:p w14:paraId="32FBE206" w14:textId="77777777" w:rsidR="00382C41" w:rsidRPr="00422D41" w:rsidRDefault="00382C41" w:rsidP="009E3B14">
            <w:pPr>
              <w:spacing w:after="160"/>
              <w:contextualSpacing/>
              <w:jc w:val="center"/>
              <w:rPr>
                <w:rFonts w:cs="Times New Roman"/>
                <w:szCs w:val="24"/>
              </w:rPr>
            </w:pPr>
            <w:r>
              <w:rPr>
                <w:rFonts w:cs="Times New Roman"/>
                <w:szCs w:val="24"/>
              </w:rPr>
              <w:t>Measure</w:t>
            </w:r>
          </w:p>
        </w:tc>
        <w:tc>
          <w:tcPr>
            <w:tcW w:w="3641" w:type="dxa"/>
            <w:gridSpan w:val="3"/>
            <w:tcBorders>
              <w:left w:val="nil"/>
              <w:bottom w:val="single" w:sz="4" w:space="0" w:color="auto"/>
              <w:right w:val="nil"/>
            </w:tcBorders>
            <w:vAlign w:val="center"/>
          </w:tcPr>
          <w:p w14:paraId="041ADE72" w14:textId="77777777" w:rsidR="00382C41" w:rsidRDefault="00382C41" w:rsidP="009E3B14">
            <w:pPr>
              <w:spacing w:after="160"/>
              <w:contextualSpacing/>
              <w:jc w:val="center"/>
              <w:rPr>
                <w:rFonts w:cs="Times New Roman"/>
                <w:szCs w:val="24"/>
              </w:rPr>
            </w:pPr>
            <w:r>
              <w:rPr>
                <w:rFonts w:cs="Times New Roman"/>
                <w:szCs w:val="24"/>
              </w:rPr>
              <w:t>Control (n = 56)</w:t>
            </w:r>
          </w:p>
          <w:p w14:paraId="15D45BDC" w14:textId="77777777" w:rsidR="00382C41" w:rsidRDefault="00382C41" w:rsidP="009E3B14">
            <w:pPr>
              <w:spacing w:after="160"/>
              <w:contextualSpacing/>
              <w:jc w:val="center"/>
              <w:rPr>
                <w:rFonts w:cs="Times New Roman"/>
                <w:szCs w:val="24"/>
              </w:rPr>
            </w:pPr>
            <w:r>
              <w:rPr>
                <w:rFonts w:cs="Times New Roman"/>
                <w:i/>
                <w:iCs/>
                <w:szCs w:val="24"/>
              </w:rPr>
              <w:t>N</w:t>
            </w:r>
            <w:r>
              <w:rPr>
                <w:rFonts w:cs="Times New Roman"/>
                <w:szCs w:val="24"/>
              </w:rPr>
              <w:t xml:space="preserve"> (%)</w:t>
            </w:r>
          </w:p>
        </w:tc>
        <w:tc>
          <w:tcPr>
            <w:tcW w:w="3642" w:type="dxa"/>
            <w:gridSpan w:val="3"/>
            <w:tcBorders>
              <w:left w:val="nil"/>
              <w:bottom w:val="single" w:sz="4" w:space="0" w:color="auto"/>
              <w:right w:val="nil"/>
            </w:tcBorders>
            <w:vAlign w:val="center"/>
          </w:tcPr>
          <w:p w14:paraId="0ED4D35A" w14:textId="77777777" w:rsidR="00382C41" w:rsidRDefault="00382C41" w:rsidP="009E3B14">
            <w:pPr>
              <w:spacing w:after="160"/>
              <w:contextualSpacing/>
              <w:jc w:val="center"/>
              <w:rPr>
                <w:rFonts w:cs="Times New Roman"/>
                <w:szCs w:val="24"/>
              </w:rPr>
            </w:pPr>
            <w:r>
              <w:rPr>
                <w:rFonts w:cs="Times New Roman"/>
                <w:szCs w:val="24"/>
              </w:rPr>
              <w:t>Phone coaching (n = 60)</w:t>
            </w:r>
          </w:p>
          <w:p w14:paraId="15BCE1AA" w14:textId="77777777" w:rsidR="00382C41" w:rsidRDefault="00382C41" w:rsidP="009E3B14">
            <w:pPr>
              <w:spacing w:after="160"/>
              <w:contextualSpacing/>
              <w:jc w:val="center"/>
              <w:rPr>
                <w:rFonts w:cs="Times New Roman"/>
                <w:szCs w:val="24"/>
              </w:rPr>
            </w:pPr>
            <w:r>
              <w:rPr>
                <w:rFonts w:cs="Times New Roman"/>
                <w:i/>
                <w:iCs/>
                <w:szCs w:val="24"/>
              </w:rPr>
              <w:t>N</w:t>
            </w:r>
            <w:r>
              <w:rPr>
                <w:rFonts w:cs="Times New Roman"/>
                <w:szCs w:val="24"/>
              </w:rPr>
              <w:t xml:space="preserve"> (%)</w:t>
            </w:r>
          </w:p>
        </w:tc>
        <w:tc>
          <w:tcPr>
            <w:tcW w:w="3642" w:type="dxa"/>
            <w:gridSpan w:val="3"/>
            <w:tcBorders>
              <w:left w:val="nil"/>
              <w:bottom w:val="single" w:sz="4" w:space="0" w:color="auto"/>
              <w:right w:val="nil"/>
            </w:tcBorders>
            <w:vAlign w:val="center"/>
          </w:tcPr>
          <w:p w14:paraId="0A29F28E" w14:textId="77777777" w:rsidR="00382C41" w:rsidRDefault="00382C41" w:rsidP="009E3B14">
            <w:pPr>
              <w:spacing w:after="160"/>
              <w:contextualSpacing/>
              <w:jc w:val="center"/>
              <w:rPr>
                <w:rFonts w:cs="Times New Roman"/>
                <w:szCs w:val="24"/>
              </w:rPr>
            </w:pPr>
            <w:r>
              <w:rPr>
                <w:rFonts w:cs="Times New Roman"/>
                <w:szCs w:val="24"/>
              </w:rPr>
              <w:t>Text coaching (n = 58)</w:t>
            </w:r>
          </w:p>
          <w:p w14:paraId="064AE31E" w14:textId="77777777" w:rsidR="00382C41" w:rsidRDefault="00382C41" w:rsidP="009E3B14">
            <w:pPr>
              <w:spacing w:after="160"/>
              <w:contextualSpacing/>
              <w:jc w:val="center"/>
              <w:rPr>
                <w:rFonts w:cs="Times New Roman"/>
                <w:szCs w:val="24"/>
              </w:rPr>
            </w:pPr>
            <w:r>
              <w:rPr>
                <w:rFonts w:cs="Times New Roman"/>
                <w:i/>
                <w:iCs/>
                <w:szCs w:val="24"/>
              </w:rPr>
              <w:t>N</w:t>
            </w:r>
            <w:r>
              <w:rPr>
                <w:rFonts w:cs="Times New Roman"/>
                <w:szCs w:val="24"/>
              </w:rPr>
              <w:t xml:space="preserve"> (%)</w:t>
            </w:r>
          </w:p>
        </w:tc>
      </w:tr>
      <w:tr w:rsidR="00615171" w:rsidRPr="00422D41" w14:paraId="63F9BDA1" w14:textId="77777777" w:rsidTr="00615171">
        <w:trPr>
          <w:trHeight w:val="432"/>
        </w:trPr>
        <w:tc>
          <w:tcPr>
            <w:tcW w:w="2395" w:type="dxa"/>
            <w:tcBorders>
              <w:top w:val="nil"/>
              <w:left w:val="nil"/>
              <w:bottom w:val="single" w:sz="4" w:space="0" w:color="auto"/>
              <w:right w:val="nil"/>
            </w:tcBorders>
            <w:vAlign w:val="center"/>
          </w:tcPr>
          <w:p w14:paraId="15887548" w14:textId="77777777" w:rsidR="00382C41" w:rsidRPr="00422D41" w:rsidRDefault="00382C41" w:rsidP="009E3B14">
            <w:pPr>
              <w:spacing w:after="160"/>
              <w:contextualSpacing/>
              <w:jc w:val="center"/>
              <w:rPr>
                <w:rFonts w:cs="Times New Roman"/>
                <w:szCs w:val="24"/>
              </w:rPr>
            </w:pPr>
          </w:p>
        </w:tc>
        <w:tc>
          <w:tcPr>
            <w:tcW w:w="1213" w:type="dxa"/>
            <w:tcBorders>
              <w:left w:val="nil"/>
              <w:bottom w:val="single" w:sz="4" w:space="0" w:color="auto"/>
              <w:right w:val="nil"/>
            </w:tcBorders>
            <w:vAlign w:val="center"/>
          </w:tcPr>
          <w:p w14:paraId="2F080FA5" w14:textId="77777777" w:rsidR="00382C41" w:rsidRPr="00422D41" w:rsidRDefault="00382C41" w:rsidP="009E3B14">
            <w:pPr>
              <w:spacing w:after="160"/>
              <w:contextualSpacing/>
              <w:jc w:val="center"/>
              <w:rPr>
                <w:rFonts w:cs="Times New Roman"/>
                <w:szCs w:val="24"/>
              </w:rPr>
            </w:pPr>
            <w:r>
              <w:rPr>
                <w:rFonts w:cs="Times New Roman"/>
                <w:szCs w:val="24"/>
              </w:rPr>
              <w:t>RI (+)</w:t>
            </w:r>
          </w:p>
        </w:tc>
        <w:tc>
          <w:tcPr>
            <w:tcW w:w="1214" w:type="dxa"/>
            <w:tcBorders>
              <w:left w:val="nil"/>
              <w:bottom w:val="single" w:sz="4" w:space="0" w:color="auto"/>
              <w:right w:val="nil"/>
            </w:tcBorders>
            <w:vAlign w:val="center"/>
          </w:tcPr>
          <w:p w14:paraId="634CF82B" w14:textId="77777777" w:rsidR="00382C41" w:rsidRPr="00422D41" w:rsidRDefault="00382C41" w:rsidP="009E3B14">
            <w:pPr>
              <w:spacing w:after="160"/>
              <w:contextualSpacing/>
              <w:jc w:val="center"/>
              <w:rPr>
                <w:rFonts w:cs="Times New Roman"/>
                <w:szCs w:val="24"/>
              </w:rPr>
            </w:pPr>
            <w:r>
              <w:rPr>
                <w:rFonts w:cs="Times New Roman"/>
                <w:szCs w:val="24"/>
              </w:rPr>
              <w:t>RD (-)</w:t>
            </w:r>
          </w:p>
        </w:tc>
        <w:tc>
          <w:tcPr>
            <w:tcW w:w="1214" w:type="dxa"/>
            <w:tcBorders>
              <w:left w:val="nil"/>
              <w:bottom w:val="single" w:sz="4" w:space="0" w:color="auto"/>
              <w:right w:val="nil"/>
            </w:tcBorders>
            <w:vAlign w:val="center"/>
          </w:tcPr>
          <w:p w14:paraId="1AD9718D" w14:textId="77777777" w:rsidR="00382C41" w:rsidRDefault="00382C41" w:rsidP="009E3B14">
            <w:pPr>
              <w:spacing w:after="160"/>
              <w:contextualSpacing/>
              <w:jc w:val="center"/>
              <w:rPr>
                <w:rFonts w:cs="Times New Roman"/>
                <w:szCs w:val="24"/>
              </w:rPr>
            </w:pPr>
            <w:r>
              <w:rPr>
                <w:rFonts w:cs="Times New Roman"/>
                <w:szCs w:val="24"/>
              </w:rPr>
              <w:t>NC</w:t>
            </w:r>
          </w:p>
        </w:tc>
        <w:tc>
          <w:tcPr>
            <w:tcW w:w="1214" w:type="dxa"/>
            <w:tcBorders>
              <w:left w:val="nil"/>
              <w:bottom w:val="single" w:sz="4" w:space="0" w:color="auto"/>
              <w:right w:val="nil"/>
            </w:tcBorders>
            <w:vAlign w:val="center"/>
          </w:tcPr>
          <w:p w14:paraId="22E5DF3A" w14:textId="77777777" w:rsidR="00382C41" w:rsidRPr="00422D41" w:rsidRDefault="00382C41" w:rsidP="009E3B14">
            <w:pPr>
              <w:spacing w:after="160"/>
              <w:contextualSpacing/>
              <w:jc w:val="center"/>
              <w:rPr>
                <w:rFonts w:cs="Times New Roman"/>
                <w:szCs w:val="24"/>
              </w:rPr>
            </w:pPr>
            <w:r>
              <w:rPr>
                <w:rFonts w:cs="Times New Roman"/>
                <w:szCs w:val="24"/>
              </w:rPr>
              <w:t>RI (+)</w:t>
            </w:r>
          </w:p>
        </w:tc>
        <w:tc>
          <w:tcPr>
            <w:tcW w:w="1214" w:type="dxa"/>
            <w:tcBorders>
              <w:left w:val="nil"/>
              <w:bottom w:val="single" w:sz="4" w:space="0" w:color="auto"/>
              <w:right w:val="nil"/>
            </w:tcBorders>
            <w:vAlign w:val="center"/>
          </w:tcPr>
          <w:p w14:paraId="67B185F7" w14:textId="77777777" w:rsidR="00382C41" w:rsidRPr="00422D41" w:rsidRDefault="00382C41" w:rsidP="009E3B14">
            <w:pPr>
              <w:spacing w:after="160"/>
              <w:contextualSpacing/>
              <w:jc w:val="center"/>
              <w:rPr>
                <w:rFonts w:cs="Times New Roman"/>
                <w:szCs w:val="24"/>
              </w:rPr>
            </w:pPr>
            <w:r>
              <w:rPr>
                <w:rFonts w:cs="Times New Roman"/>
                <w:szCs w:val="24"/>
              </w:rPr>
              <w:t>RD (-)</w:t>
            </w:r>
          </w:p>
        </w:tc>
        <w:tc>
          <w:tcPr>
            <w:tcW w:w="1214" w:type="dxa"/>
            <w:tcBorders>
              <w:left w:val="nil"/>
              <w:bottom w:val="single" w:sz="4" w:space="0" w:color="auto"/>
              <w:right w:val="nil"/>
            </w:tcBorders>
            <w:vAlign w:val="center"/>
          </w:tcPr>
          <w:p w14:paraId="206D4307" w14:textId="77777777" w:rsidR="00382C41" w:rsidRDefault="00382C41" w:rsidP="009E3B14">
            <w:pPr>
              <w:spacing w:after="160"/>
              <w:contextualSpacing/>
              <w:jc w:val="center"/>
              <w:rPr>
                <w:rFonts w:cs="Times New Roman"/>
                <w:szCs w:val="24"/>
              </w:rPr>
            </w:pPr>
            <w:r>
              <w:rPr>
                <w:rFonts w:cs="Times New Roman"/>
                <w:szCs w:val="24"/>
              </w:rPr>
              <w:t>NC</w:t>
            </w:r>
          </w:p>
        </w:tc>
        <w:tc>
          <w:tcPr>
            <w:tcW w:w="1214" w:type="dxa"/>
            <w:tcBorders>
              <w:left w:val="nil"/>
              <w:bottom w:val="single" w:sz="4" w:space="0" w:color="auto"/>
              <w:right w:val="nil"/>
            </w:tcBorders>
            <w:vAlign w:val="center"/>
          </w:tcPr>
          <w:p w14:paraId="1AB12568" w14:textId="77777777" w:rsidR="00382C41" w:rsidRPr="00422D41" w:rsidRDefault="00382C41" w:rsidP="009E3B14">
            <w:pPr>
              <w:spacing w:after="160"/>
              <w:contextualSpacing/>
              <w:jc w:val="center"/>
              <w:rPr>
                <w:rFonts w:cs="Times New Roman"/>
                <w:szCs w:val="24"/>
              </w:rPr>
            </w:pPr>
            <w:r>
              <w:rPr>
                <w:rFonts w:cs="Times New Roman"/>
                <w:szCs w:val="24"/>
              </w:rPr>
              <w:t>RI (+)</w:t>
            </w:r>
          </w:p>
        </w:tc>
        <w:tc>
          <w:tcPr>
            <w:tcW w:w="1214" w:type="dxa"/>
            <w:tcBorders>
              <w:left w:val="nil"/>
              <w:bottom w:val="single" w:sz="4" w:space="0" w:color="auto"/>
              <w:right w:val="nil"/>
            </w:tcBorders>
            <w:vAlign w:val="center"/>
          </w:tcPr>
          <w:p w14:paraId="18F4D3A9" w14:textId="77777777" w:rsidR="00382C41" w:rsidRPr="00422D41" w:rsidRDefault="00382C41" w:rsidP="009E3B14">
            <w:pPr>
              <w:spacing w:after="160"/>
              <w:contextualSpacing/>
              <w:jc w:val="center"/>
              <w:rPr>
                <w:rFonts w:cs="Times New Roman"/>
                <w:szCs w:val="24"/>
              </w:rPr>
            </w:pPr>
            <w:r>
              <w:rPr>
                <w:rFonts w:cs="Times New Roman"/>
                <w:szCs w:val="24"/>
              </w:rPr>
              <w:t>RD (-)</w:t>
            </w:r>
          </w:p>
        </w:tc>
        <w:tc>
          <w:tcPr>
            <w:tcW w:w="1214" w:type="dxa"/>
            <w:tcBorders>
              <w:left w:val="nil"/>
              <w:bottom w:val="single" w:sz="4" w:space="0" w:color="auto"/>
              <w:right w:val="nil"/>
            </w:tcBorders>
            <w:vAlign w:val="center"/>
          </w:tcPr>
          <w:p w14:paraId="0368BBD0" w14:textId="77777777" w:rsidR="00382C41" w:rsidRDefault="00382C41" w:rsidP="009E3B14">
            <w:pPr>
              <w:spacing w:after="160"/>
              <w:contextualSpacing/>
              <w:jc w:val="center"/>
              <w:rPr>
                <w:rFonts w:cs="Times New Roman"/>
                <w:szCs w:val="24"/>
              </w:rPr>
            </w:pPr>
            <w:r>
              <w:rPr>
                <w:rFonts w:cs="Times New Roman"/>
                <w:szCs w:val="24"/>
              </w:rPr>
              <w:t>NC</w:t>
            </w:r>
          </w:p>
        </w:tc>
      </w:tr>
      <w:tr w:rsidR="00615171" w:rsidRPr="00422D41" w14:paraId="0732456A" w14:textId="77777777" w:rsidTr="00615171">
        <w:trPr>
          <w:trHeight w:val="583"/>
        </w:trPr>
        <w:tc>
          <w:tcPr>
            <w:tcW w:w="2395" w:type="dxa"/>
            <w:tcBorders>
              <w:top w:val="nil"/>
              <w:left w:val="nil"/>
              <w:bottom w:val="nil"/>
              <w:right w:val="nil"/>
            </w:tcBorders>
            <w:vAlign w:val="center"/>
          </w:tcPr>
          <w:p w14:paraId="3E01AF98" w14:textId="2B5D4461" w:rsidR="00615171" w:rsidRPr="00053D29" w:rsidRDefault="00615171" w:rsidP="009E3B14">
            <w:pPr>
              <w:spacing w:after="160"/>
              <w:contextualSpacing/>
              <w:jc w:val="center"/>
              <w:rPr>
                <w:rFonts w:cs="Times New Roman"/>
                <w:i/>
                <w:iCs/>
                <w:szCs w:val="24"/>
              </w:rPr>
            </w:pPr>
            <w:r w:rsidRPr="00053D29">
              <w:rPr>
                <w:rFonts w:cs="Times New Roman"/>
                <w:i/>
                <w:iCs/>
                <w:szCs w:val="24"/>
              </w:rPr>
              <w:t>Outcome Measures</w:t>
            </w:r>
          </w:p>
        </w:tc>
        <w:tc>
          <w:tcPr>
            <w:tcW w:w="1213" w:type="dxa"/>
            <w:tcBorders>
              <w:top w:val="nil"/>
              <w:left w:val="nil"/>
              <w:bottom w:val="nil"/>
              <w:right w:val="nil"/>
            </w:tcBorders>
            <w:vAlign w:val="center"/>
          </w:tcPr>
          <w:p w14:paraId="61BA3EFF"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410FA23D"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0FCFE3B1"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355EB57F"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0D65ABD2"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107D533C"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32EEE443"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11B7B26A"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4F443857" w14:textId="77777777" w:rsidR="00615171" w:rsidRDefault="00615171" w:rsidP="009E3B14">
            <w:pPr>
              <w:spacing w:after="160"/>
              <w:contextualSpacing/>
              <w:jc w:val="center"/>
              <w:rPr>
                <w:rFonts w:cs="Times New Roman"/>
                <w:szCs w:val="24"/>
              </w:rPr>
            </w:pPr>
          </w:p>
        </w:tc>
      </w:tr>
      <w:tr w:rsidR="00615171" w:rsidRPr="00422D41" w14:paraId="795F27D3" w14:textId="77777777" w:rsidTr="00615171">
        <w:trPr>
          <w:trHeight w:val="583"/>
        </w:trPr>
        <w:tc>
          <w:tcPr>
            <w:tcW w:w="2395" w:type="dxa"/>
            <w:tcBorders>
              <w:top w:val="nil"/>
              <w:left w:val="nil"/>
              <w:bottom w:val="nil"/>
              <w:right w:val="nil"/>
            </w:tcBorders>
            <w:vAlign w:val="center"/>
          </w:tcPr>
          <w:p w14:paraId="57966BCD" w14:textId="0B63F8E2" w:rsidR="00382C41" w:rsidRDefault="00382C41" w:rsidP="009E3B14">
            <w:pPr>
              <w:spacing w:after="160"/>
              <w:contextualSpacing/>
              <w:jc w:val="center"/>
              <w:rPr>
                <w:rFonts w:cs="Times New Roman"/>
                <w:szCs w:val="24"/>
              </w:rPr>
            </w:pPr>
            <w:r>
              <w:rPr>
                <w:rFonts w:cs="Times New Roman"/>
                <w:szCs w:val="24"/>
              </w:rPr>
              <w:t>DASS-21</w:t>
            </w:r>
          </w:p>
        </w:tc>
        <w:tc>
          <w:tcPr>
            <w:tcW w:w="1213" w:type="dxa"/>
            <w:tcBorders>
              <w:top w:val="nil"/>
              <w:left w:val="nil"/>
              <w:bottom w:val="nil"/>
              <w:right w:val="nil"/>
            </w:tcBorders>
            <w:vAlign w:val="center"/>
          </w:tcPr>
          <w:p w14:paraId="40B27296" w14:textId="2A5EFAE9" w:rsidR="00382C41" w:rsidRPr="00422D41" w:rsidRDefault="00BD7A5C" w:rsidP="009E3B14">
            <w:pPr>
              <w:spacing w:after="160"/>
              <w:contextualSpacing/>
              <w:jc w:val="center"/>
              <w:rPr>
                <w:rFonts w:cs="Times New Roman"/>
                <w:szCs w:val="24"/>
              </w:rPr>
            </w:pPr>
            <w:r>
              <w:rPr>
                <w:rFonts w:cs="Times New Roman"/>
                <w:szCs w:val="24"/>
              </w:rPr>
              <w:t>2</w:t>
            </w:r>
            <w:r w:rsidR="00382C41">
              <w:rPr>
                <w:rFonts w:cs="Times New Roman"/>
                <w:szCs w:val="24"/>
              </w:rPr>
              <w:t xml:space="preserve"> (</w:t>
            </w:r>
            <w:r>
              <w:rPr>
                <w:rFonts w:cs="Times New Roman"/>
                <w:szCs w:val="24"/>
              </w:rPr>
              <w:t>4</w:t>
            </w:r>
            <w:r w:rsidR="00382C41">
              <w:rPr>
                <w:rFonts w:cs="Times New Roman"/>
                <w:szCs w:val="24"/>
              </w:rPr>
              <w:t>%)</w:t>
            </w:r>
          </w:p>
        </w:tc>
        <w:tc>
          <w:tcPr>
            <w:tcW w:w="1214" w:type="dxa"/>
            <w:tcBorders>
              <w:top w:val="nil"/>
              <w:left w:val="nil"/>
              <w:bottom w:val="nil"/>
              <w:right w:val="nil"/>
            </w:tcBorders>
            <w:vAlign w:val="center"/>
          </w:tcPr>
          <w:p w14:paraId="18E2B98A" w14:textId="7C1A8030" w:rsidR="00382C41" w:rsidRPr="00422D41" w:rsidRDefault="00BD7A5C" w:rsidP="009E3B14">
            <w:pPr>
              <w:spacing w:after="160"/>
              <w:contextualSpacing/>
              <w:jc w:val="center"/>
              <w:rPr>
                <w:rFonts w:cs="Times New Roman"/>
                <w:szCs w:val="24"/>
              </w:rPr>
            </w:pPr>
            <w:r>
              <w:rPr>
                <w:rFonts w:cs="Times New Roman"/>
                <w:szCs w:val="24"/>
              </w:rPr>
              <w:t>3</w:t>
            </w:r>
            <w:r w:rsidR="00382C41">
              <w:rPr>
                <w:rFonts w:cs="Times New Roman"/>
                <w:szCs w:val="24"/>
              </w:rPr>
              <w:t xml:space="preserve"> (5%)</w:t>
            </w:r>
          </w:p>
        </w:tc>
        <w:tc>
          <w:tcPr>
            <w:tcW w:w="1214" w:type="dxa"/>
            <w:tcBorders>
              <w:top w:val="nil"/>
              <w:left w:val="nil"/>
              <w:bottom w:val="nil"/>
              <w:right w:val="nil"/>
            </w:tcBorders>
            <w:vAlign w:val="center"/>
          </w:tcPr>
          <w:p w14:paraId="4CF49CD4" w14:textId="7360031E" w:rsidR="00382C41" w:rsidRDefault="00BD7A5C" w:rsidP="009E3B14">
            <w:pPr>
              <w:spacing w:after="160"/>
              <w:contextualSpacing/>
              <w:jc w:val="center"/>
              <w:rPr>
                <w:rFonts w:cs="Times New Roman"/>
                <w:szCs w:val="24"/>
              </w:rPr>
            </w:pPr>
            <w:r>
              <w:rPr>
                <w:rFonts w:cs="Times New Roman"/>
                <w:szCs w:val="24"/>
              </w:rPr>
              <w:t>51</w:t>
            </w:r>
            <w:r w:rsidR="00382C41">
              <w:rPr>
                <w:rFonts w:cs="Times New Roman"/>
                <w:szCs w:val="24"/>
              </w:rPr>
              <w:t xml:space="preserve"> (</w:t>
            </w:r>
            <w:r>
              <w:rPr>
                <w:rFonts w:cs="Times New Roman"/>
                <w:szCs w:val="24"/>
              </w:rPr>
              <w:t>91</w:t>
            </w:r>
            <w:r w:rsidR="00382C41">
              <w:rPr>
                <w:rFonts w:cs="Times New Roman"/>
                <w:szCs w:val="24"/>
              </w:rPr>
              <w:t>%)</w:t>
            </w:r>
          </w:p>
        </w:tc>
        <w:tc>
          <w:tcPr>
            <w:tcW w:w="1214" w:type="dxa"/>
            <w:tcBorders>
              <w:top w:val="nil"/>
              <w:left w:val="nil"/>
              <w:bottom w:val="nil"/>
              <w:right w:val="nil"/>
            </w:tcBorders>
            <w:vAlign w:val="center"/>
          </w:tcPr>
          <w:p w14:paraId="5F31459C" w14:textId="3B897BAD" w:rsidR="00382C41" w:rsidRPr="00422D41" w:rsidRDefault="00BD7A5C" w:rsidP="009E3B14">
            <w:pPr>
              <w:spacing w:after="160"/>
              <w:contextualSpacing/>
              <w:jc w:val="center"/>
              <w:rPr>
                <w:rFonts w:cs="Times New Roman"/>
                <w:szCs w:val="24"/>
              </w:rPr>
            </w:pPr>
            <w:r>
              <w:rPr>
                <w:rFonts w:cs="Times New Roman"/>
                <w:szCs w:val="24"/>
              </w:rPr>
              <w:t>15</w:t>
            </w:r>
            <w:r w:rsidR="00382C41">
              <w:rPr>
                <w:rFonts w:cs="Times New Roman"/>
                <w:szCs w:val="24"/>
              </w:rPr>
              <w:t xml:space="preserve"> (</w:t>
            </w:r>
            <w:r>
              <w:rPr>
                <w:rFonts w:cs="Times New Roman"/>
                <w:szCs w:val="24"/>
              </w:rPr>
              <w:t>25</w:t>
            </w:r>
            <w:r w:rsidR="00382C41">
              <w:rPr>
                <w:rFonts w:cs="Times New Roman"/>
                <w:szCs w:val="24"/>
              </w:rPr>
              <w:t>%)</w:t>
            </w:r>
          </w:p>
        </w:tc>
        <w:tc>
          <w:tcPr>
            <w:tcW w:w="1214" w:type="dxa"/>
            <w:tcBorders>
              <w:top w:val="nil"/>
              <w:left w:val="nil"/>
              <w:bottom w:val="nil"/>
              <w:right w:val="nil"/>
            </w:tcBorders>
            <w:vAlign w:val="center"/>
          </w:tcPr>
          <w:p w14:paraId="00484E4A" w14:textId="3EDA41AB" w:rsidR="00382C41" w:rsidRPr="00422D41" w:rsidRDefault="00BD7A5C" w:rsidP="009E3B14">
            <w:pPr>
              <w:spacing w:after="160"/>
              <w:contextualSpacing/>
              <w:jc w:val="center"/>
              <w:rPr>
                <w:rFonts w:cs="Times New Roman"/>
                <w:szCs w:val="24"/>
              </w:rPr>
            </w:pPr>
            <w:r>
              <w:rPr>
                <w:rFonts w:cs="Times New Roman"/>
                <w:szCs w:val="24"/>
              </w:rPr>
              <w:t>2</w:t>
            </w:r>
            <w:r w:rsidR="00382C41">
              <w:rPr>
                <w:rFonts w:cs="Times New Roman"/>
                <w:szCs w:val="24"/>
              </w:rPr>
              <w:t xml:space="preserve"> (</w:t>
            </w:r>
            <w:r>
              <w:rPr>
                <w:rFonts w:cs="Times New Roman"/>
                <w:szCs w:val="24"/>
              </w:rPr>
              <w:t>3</w:t>
            </w:r>
            <w:r w:rsidR="00382C41">
              <w:rPr>
                <w:rFonts w:cs="Times New Roman"/>
                <w:szCs w:val="24"/>
              </w:rPr>
              <w:t>%)</w:t>
            </w:r>
          </w:p>
        </w:tc>
        <w:tc>
          <w:tcPr>
            <w:tcW w:w="1214" w:type="dxa"/>
            <w:tcBorders>
              <w:top w:val="nil"/>
              <w:left w:val="nil"/>
              <w:bottom w:val="nil"/>
              <w:right w:val="nil"/>
            </w:tcBorders>
            <w:vAlign w:val="center"/>
          </w:tcPr>
          <w:p w14:paraId="70F00D79" w14:textId="2800129A" w:rsidR="00382C41" w:rsidRDefault="00BD7A5C" w:rsidP="009E3B14">
            <w:pPr>
              <w:spacing w:after="160"/>
              <w:contextualSpacing/>
              <w:jc w:val="center"/>
              <w:rPr>
                <w:rFonts w:cs="Times New Roman"/>
                <w:szCs w:val="24"/>
              </w:rPr>
            </w:pPr>
            <w:r>
              <w:rPr>
                <w:rFonts w:cs="Times New Roman"/>
                <w:szCs w:val="24"/>
              </w:rPr>
              <w:t>43</w:t>
            </w:r>
            <w:r w:rsidR="00382C41">
              <w:rPr>
                <w:rFonts w:cs="Times New Roman"/>
                <w:szCs w:val="24"/>
              </w:rPr>
              <w:t xml:space="preserve"> (</w:t>
            </w:r>
            <w:r>
              <w:rPr>
                <w:rFonts w:cs="Times New Roman"/>
                <w:szCs w:val="24"/>
              </w:rPr>
              <w:t>72</w:t>
            </w:r>
            <w:r w:rsidR="00382C41">
              <w:rPr>
                <w:rFonts w:cs="Times New Roman"/>
                <w:szCs w:val="24"/>
              </w:rPr>
              <w:t>%)</w:t>
            </w:r>
          </w:p>
        </w:tc>
        <w:tc>
          <w:tcPr>
            <w:tcW w:w="1214" w:type="dxa"/>
            <w:tcBorders>
              <w:top w:val="nil"/>
              <w:left w:val="nil"/>
              <w:bottom w:val="nil"/>
              <w:right w:val="nil"/>
            </w:tcBorders>
            <w:vAlign w:val="center"/>
          </w:tcPr>
          <w:p w14:paraId="4441DBAF" w14:textId="2D7C65B0" w:rsidR="00382C41" w:rsidRPr="00422D41" w:rsidRDefault="00BD7A5C" w:rsidP="009E3B14">
            <w:pPr>
              <w:spacing w:after="160"/>
              <w:contextualSpacing/>
              <w:jc w:val="center"/>
              <w:rPr>
                <w:rFonts w:cs="Times New Roman"/>
                <w:szCs w:val="24"/>
              </w:rPr>
            </w:pPr>
            <w:r>
              <w:rPr>
                <w:rFonts w:cs="Times New Roman"/>
                <w:szCs w:val="24"/>
              </w:rPr>
              <w:t>9</w:t>
            </w:r>
            <w:r w:rsidR="00382C41">
              <w:rPr>
                <w:rFonts w:cs="Times New Roman"/>
                <w:szCs w:val="24"/>
              </w:rPr>
              <w:t xml:space="preserve"> (</w:t>
            </w:r>
            <w:r>
              <w:rPr>
                <w:rFonts w:cs="Times New Roman"/>
                <w:szCs w:val="24"/>
              </w:rPr>
              <w:t>16</w:t>
            </w:r>
            <w:r w:rsidR="00382C41">
              <w:rPr>
                <w:rFonts w:cs="Times New Roman"/>
                <w:szCs w:val="24"/>
              </w:rPr>
              <w:t>%)</w:t>
            </w:r>
          </w:p>
        </w:tc>
        <w:tc>
          <w:tcPr>
            <w:tcW w:w="1214" w:type="dxa"/>
            <w:tcBorders>
              <w:top w:val="nil"/>
              <w:left w:val="nil"/>
              <w:bottom w:val="nil"/>
              <w:right w:val="nil"/>
            </w:tcBorders>
            <w:vAlign w:val="center"/>
          </w:tcPr>
          <w:p w14:paraId="2D95B30C" w14:textId="30B2A1C5" w:rsidR="00382C41" w:rsidRPr="00422D41" w:rsidRDefault="00BD7A5C" w:rsidP="009E3B14">
            <w:pPr>
              <w:spacing w:after="160"/>
              <w:contextualSpacing/>
              <w:jc w:val="center"/>
              <w:rPr>
                <w:rFonts w:cs="Times New Roman"/>
                <w:szCs w:val="24"/>
              </w:rPr>
            </w:pPr>
            <w:r>
              <w:rPr>
                <w:rFonts w:cs="Times New Roman"/>
                <w:szCs w:val="24"/>
              </w:rPr>
              <w:t>0</w:t>
            </w:r>
            <w:r w:rsidR="00382C41">
              <w:rPr>
                <w:rFonts w:cs="Times New Roman"/>
                <w:szCs w:val="24"/>
              </w:rPr>
              <w:t xml:space="preserve"> (</w:t>
            </w:r>
            <w:r>
              <w:rPr>
                <w:rFonts w:cs="Times New Roman"/>
                <w:szCs w:val="24"/>
              </w:rPr>
              <w:t>0</w:t>
            </w:r>
            <w:r w:rsidR="00382C41">
              <w:rPr>
                <w:rFonts w:cs="Times New Roman"/>
                <w:szCs w:val="24"/>
              </w:rPr>
              <w:t>%)</w:t>
            </w:r>
          </w:p>
        </w:tc>
        <w:tc>
          <w:tcPr>
            <w:tcW w:w="1214" w:type="dxa"/>
            <w:tcBorders>
              <w:top w:val="nil"/>
              <w:left w:val="nil"/>
              <w:bottom w:val="nil"/>
              <w:right w:val="nil"/>
            </w:tcBorders>
            <w:vAlign w:val="center"/>
          </w:tcPr>
          <w:p w14:paraId="6302B178" w14:textId="0033EDE5" w:rsidR="00382C41" w:rsidRDefault="00BD7A5C" w:rsidP="009E3B14">
            <w:pPr>
              <w:spacing w:after="160"/>
              <w:contextualSpacing/>
              <w:jc w:val="center"/>
              <w:rPr>
                <w:rFonts w:cs="Times New Roman"/>
                <w:szCs w:val="24"/>
              </w:rPr>
            </w:pPr>
            <w:r>
              <w:rPr>
                <w:rFonts w:cs="Times New Roman"/>
                <w:szCs w:val="24"/>
              </w:rPr>
              <w:t>49</w:t>
            </w:r>
            <w:r w:rsidR="00382C41">
              <w:rPr>
                <w:rFonts w:cs="Times New Roman"/>
                <w:szCs w:val="24"/>
              </w:rPr>
              <w:t xml:space="preserve"> (</w:t>
            </w:r>
            <w:r>
              <w:rPr>
                <w:rFonts w:cs="Times New Roman"/>
                <w:szCs w:val="24"/>
              </w:rPr>
              <w:t>84</w:t>
            </w:r>
            <w:r w:rsidR="00382C41">
              <w:rPr>
                <w:rFonts w:cs="Times New Roman"/>
                <w:szCs w:val="24"/>
              </w:rPr>
              <w:t>%)</w:t>
            </w:r>
          </w:p>
        </w:tc>
      </w:tr>
      <w:tr w:rsidR="00615171" w:rsidRPr="00422D41" w14:paraId="38D89230" w14:textId="77777777" w:rsidTr="00615171">
        <w:trPr>
          <w:trHeight w:val="583"/>
        </w:trPr>
        <w:tc>
          <w:tcPr>
            <w:tcW w:w="2395" w:type="dxa"/>
            <w:tcBorders>
              <w:top w:val="nil"/>
              <w:left w:val="nil"/>
              <w:bottom w:val="nil"/>
              <w:right w:val="nil"/>
            </w:tcBorders>
            <w:vAlign w:val="center"/>
          </w:tcPr>
          <w:p w14:paraId="5287C4AF" w14:textId="77777777" w:rsidR="00382C41" w:rsidRDefault="00382C41" w:rsidP="009E3B14">
            <w:pPr>
              <w:spacing w:after="160"/>
              <w:contextualSpacing/>
              <w:jc w:val="center"/>
              <w:rPr>
                <w:rFonts w:cs="Times New Roman"/>
                <w:szCs w:val="24"/>
              </w:rPr>
            </w:pPr>
            <w:r>
              <w:rPr>
                <w:rFonts w:cs="Times New Roman"/>
                <w:szCs w:val="24"/>
              </w:rPr>
              <w:t>MHC-SF</w:t>
            </w:r>
          </w:p>
        </w:tc>
        <w:tc>
          <w:tcPr>
            <w:tcW w:w="1213" w:type="dxa"/>
            <w:tcBorders>
              <w:top w:val="nil"/>
              <w:left w:val="nil"/>
              <w:bottom w:val="nil"/>
              <w:right w:val="nil"/>
            </w:tcBorders>
            <w:vAlign w:val="center"/>
          </w:tcPr>
          <w:p w14:paraId="3D91514E" w14:textId="49B0425A" w:rsidR="00382C41" w:rsidRPr="00422D41" w:rsidRDefault="00BD7A5C" w:rsidP="009E3B14">
            <w:pPr>
              <w:spacing w:after="160"/>
              <w:contextualSpacing/>
              <w:jc w:val="center"/>
              <w:rPr>
                <w:rFonts w:cs="Times New Roman"/>
                <w:szCs w:val="24"/>
              </w:rPr>
            </w:pPr>
            <w:r>
              <w:rPr>
                <w:rFonts w:cs="Times New Roman"/>
                <w:szCs w:val="24"/>
              </w:rPr>
              <w:t>1</w:t>
            </w:r>
            <w:r w:rsidR="00382C41">
              <w:rPr>
                <w:rFonts w:cs="Times New Roman"/>
                <w:szCs w:val="24"/>
              </w:rPr>
              <w:t xml:space="preserve"> (</w:t>
            </w:r>
            <w:r>
              <w:rPr>
                <w:rFonts w:cs="Times New Roman"/>
                <w:szCs w:val="24"/>
              </w:rPr>
              <w:t>2</w:t>
            </w:r>
            <w:r w:rsidR="00382C41">
              <w:rPr>
                <w:rFonts w:cs="Times New Roman"/>
                <w:szCs w:val="24"/>
              </w:rPr>
              <w:t>%)</w:t>
            </w:r>
          </w:p>
        </w:tc>
        <w:tc>
          <w:tcPr>
            <w:tcW w:w="1214" w:type="dxa"/>
            <w:tcBorders>
              <w:top w:val="nil"/>
              <w:left w:val="nil"/>
              <w:bottom w:val="nil"/>
              <w:right w:val="nil"/>
            </w:tcBorders>
            <w:vAlign w:val="center"/>
          </w:tcPr>
          <w:p w14:paraId="0AE8EE1D" w14:textId="16ED856F" w:rsidR="00382C41" w:rsidRPr="00422D41" w:rsidRDefault="00BD7A5C" w:rsidP="009E3B14">
            <w:pPr>
              <w:spacing w:after="160"/>
              <w:contextualSpacing/>
              <w:jc w:val="center"/>
              <w:rPr>
                <w:rFonts w:cs="Times New Roman"/>
                <w:szCs w:val="24"/>
              </w:rPr>
            </w:pPr>
            <w:r>
              <w:rPr>
                <w:rFonts w:cs="Times New Roman"/>
                <w:szCs w:val="24"/>
              </w:rPr>
              <w:t>2</w:t>
            </w:r>
            <w:r w:rsidR="00382C41">
              <w:rPr>
                <w:rFonts w:cs="Times New Roman"/>
                <w:szCs w:val="24"/>
              </w:rPr>
              <w:t xml:space="preserve"> (</w:t>
            </w:r>
            <w:r>
              <w:rPr>
                <w:rFonts w:cs="Times New Roman"/>
                <w:szCs w:val="24"/>
              </w:rPr>
              <w:t>4</w:t>
            </w:r>
            <w:r w:rsidR="00382C41">
              <w:rPr>
                <w:rFonts w:cs="Times New Roman"/>
                <w:szCs w:val="24"/>
              </w:rPr>
              <w:t>%)</w:t>
            </w:r>
          </w:p>
        </w:tc>
        <w:tc>
          <w:tcPr>
            <w:tcW w:w="1214" w:type="dxa"/>
            <w:tcBorders>
              <w:top w:val="nil"/>
              <w:left w:val="nil"/>
              <w:bottom w:val="nil"/>
              <w:right w:val="nil"/>
            </w:tcBorders>
            <w:vAlign w:val="center"/>
          </w:tcPr>
          <w:p w14:paraId="25037AAB" w14:textId="69E88C8F" w:rsidR="00382C41" w:rsidRDefault="00BD7A5C" w:rsidP="009E3B14">
            <w:pPr>
              <w:spacing w:after="160"/>
              <w:contextualSpacing/>
              <w:jc w:val="center"/>
              <w:rPr>
                <w:rFonts w:cs="Times New Roman"/>
                <w:szCs w:val="24"/>
              </w:rPr>
            </w:pPr>
            <w:r>
              <w:rPr>
                <w:rFonts w:cs="Times New Roman"/>
                <w:szCs w:val="24"/>
              </w:rPr>
              <w:t>52</w:t>
            </w:r>
            <w:r w:rsidR="00382C41">
              <w:rPr>
                <w:rFonts w:cs="Times New Roman"/>
                <w:szCs w:val="24"/>
              </w:rPr>
              <w:t xml:space="preserve"> (</w:t>
            </w:r>
            <w:r>
              <w:rPr>
                <w:rFonts w:cs="Times New Roman"/>
                <w:szCs w:val="24"/>
              </w:rPr>
              <w:t>9</w:t>
            </w:r>
            <w:r w:rsidR="00860A22">
              <w:rPr>
                <w:rFonts w:cs="Times New Roman"/>
                <w:szCs w:val="24"/>
              </w:rPr>
              <w:t>4</w:t>
            </w:r>
            <w:r w:rsidR="00382C41">
              <w:rPr>
                <w:rFonts w:cs="Times New Roman"/>
                <w:szCs w:val="24"/>
              </w:rPr>
              <w:t>%)</w:t>
            </w:r>
          </w:p>
        </w:tc>
        <w:tc>
          <w:tcPr>
            <w:tcW w:w="1214" w:type="dxa"/>
            <w:tcBorders>
              <w:top w:val="nil"/>
              <w:left w:val="nil"/>
              <w:bottom w:val="nil"/>
              <w:right w:val="nil"/>
            </w:tcBorders>
            <w:vAlign w:val="center"/>
          </w:tcPr>
          <w:p w14:paraId="1185CB70" w14:textId="5CA139EF" w:rsidR="00382C41" w:rsidRPr="00422D41" w:rsidRDefault="00860A22" w:rsidP="009E3B14">
            <w:pPr>
              <w:spacing w:after="160"/>
              <w:contextualSpacing/>
              <w:jc w:val="center"/>
              <w:rPr>
                <w:rFonts w:cs="Times New Roman"/>
                <w:szCs w:val="24"/>
              </w:rPr>
            </w:pPr>
            <w:r>
              <w:rPr>
                <w:rFonts w:cs="Times New Roman"/>
                <w:szCs w:val="24"/>
              </w:rPr>
              <w:t>6</w:t>
            </w:r>
            <w:r w:rsidR="00382C41">
              <w:rPr>
                <w:rFonts w:cs="Times New Roman"/>
                <w:szCs w:val="24"/>
              </w:rPr>
              <w:t xml:space="preserve"> (</w:t>
            </w:r>
            <w:r>
              <w:rPr>
                <w:rFonts w:cs="Times New Roman"/>
                <w:szCs w:val="24"/>
              </w:rPr>
              <w:t>10</w:t>
            </w:r>
            <w:r w:rsidR="00382C41">
              <w:rPr>
                <w:rFonts w:cs="Times New Roman"/>
                <w:szCs w:val="24"/>
              </w:rPr>
              <w:t>%)</w:t>
            </w:r>
          </w:p>
        </w:tc>
        <w:tc>
          <w:tcPr>
            <w:tcW w:w="1214" w:type="dxa"/>
            <w:tcBorders>
              <w:top w:val="nil"/>
              <w:left w:val="nil"/>
              <w:bottom w:val="nil"/>
              <w:right w:val="nil"/>
            </w:tcBorders>
            <w:vAlign w:val="center"/>
          </w:tcPr>
          <w:p w14:paraId="54DA4EF2" w14:textId="01BD0044" w:rsidR="00382C41" w:rsidRPr="00422D41" w:rsidRDefault="00BD7A5C" w:rsidP="009E3B14">
            <w:pPr>
              <w:spacing w:after="160"/>
              <w:contextualSpacing/>
              <w:jc w:val="center"/>
              <w:rPr>
                <w:rFonts w:cs="Times New Roman"/>
                <w:szCs w:val="24"/>
              </w:rPr>
            </w:pPr>
            <w:r>
              <w:rPr>
                <w:rFonts w:cs="Times New Roman"/>
                <w:szCs w:val="24"/>
              </w:rPr>
              <w:t>0</w:t>
            </w:r>
            <w:r w:rsidR="00382C41">
              <w:rPr>
                <w:rFonts w:cs="Times New Roman"/>
                <w:szCs w:val="24"/>
              </w:rPr>
              <w:t xml:space="preserve"> (</w:t>
            </w:r>
            <w:r>
              <w:rPr>
                <w:rFonts w:cs="Times New Roman"/>
                <w:szCs w:val="24"/>
              </w:rPr>
              <w:t>0</w:t>
            </w:r>
            <w:r w:rsidR="00382C41">
              <w:rPr>
                <w:rFonts w:cs="Times New Roman"/>
                <w:szCs w:val="24"/>
              </w:rPr>
              <w:t>%)</w:t>
            </w:r>
          </w:p>
        </w:tc>
        <w:tc>
          <w:tcPr>
            <w:tcW w:w="1214" w:type="dxa"/>
            <w:tcBorders>
              <w:top w:val="nil"/>
              <w:left w:val="nil"/>
              <w:bottom w:val="nil"/>
              <w:right w:val="nil"/>
            </w:tcBorders>
            <w:vAlign w:val="center"/>
          </w:tcPr>
          <w:p w14:paraId="561369C9" w14:textId="3C8DC250" w:rsidR="00382C41" w:rsidRDefault="00860A22" w:rsidP="009E3B14">
            <w:pPr>
              <w:spacing w:after="160"/>
              <w:contextualSpacing/>
              <w:jc w:val="center"/>
              <w:rPr>
                <w:rFonts w:cs="Times New Roman"/>
                <w:szCs w:val="24"/>
              </w:rPr>
            </w:pPr>
            <w:r>
              <w:rPr>
                <w:rFonts w:cs="Times New Roman"/>
                <w:szCs w:val="24"/>
              </w:rPr>
              <w:t>54</w:t>
            </w:r>
            <w:r w:rsidR="00382C41">
              <w:rPr>
                <w:rFonts w:cs="Times New Roman"/>
                <w:szCs w:val="24"/>
              </w:rPr>
              <w:t xml:space="preserve"> (</w:t>
            </w:r>
            <w:r>
              <w:rPr>
                <w:rFonts w:cs="Times New Roman"/>
                <w:szCs w:val="24"/>
              </w:rPr>
              <w:t>90</w:t>
            </w:r>
            <w:r w:rsidR="00382C41">
              <w:rPr>
                <w:rFonts w:cs="Times New Roman"/>
                <w:szCs w:val="24"/>
              </w:rPr>
              <w:t>%)</w:t>
            </w:r>
          </w:p>
        </w:tc>
        <w:tc>
          <w:tcPr>
            <w:tcW w:w="1214" w:type="dxa"/>
            <w:tcBorders>
              <w:top w:val="nil"/>
              <w:left w:val="nil"/>
              <w:bottom w:val="nil"/>
              <w:right w:val="nil"/>
            </w:tcBorders>
            <w:vAlign w:val="center"/>
          </w:tcPr>
          <w:p w14:paraId="41CE35FC" w14:textId="11672349" w:rsidR="00382C41" w:rsidRPr="00422D41" w:rsidRDefault="00860A22" w:rsidP="009E3B14">
            <w:pPr>
              <w:spacing w:after="160"/>
              <w:contextualSpacing/>
              <w:jc w:val="center"/>
              <w:rPr>
                <w:rFonts w:cs="Times New Roman"/>
                <w:szCs w:val="24"/>
              </w:rPr>
            </w:pPr>
            <w:r>
              <w:rPr>
                <w:rFonts w:cs="Times New Roman"/>
                <w:szCs w:val="24"/>
              </w:rPr>
              <w:t>2</w:t>
            </w:r>
            <w:r w:rsidR="00382C41">
              <w:rPr>
                <w:rFonts w:cs="Times New Roman"/>
                <w:szCs w:val="24"/>
              </w:rPr>
              <w:t xml:space="preserve"> (</w:t>
            </w:r>
            <w:r>
              <w:rPr>
                <w:rFonts w:cs="Times New Roman"/>
                <w:szCs w:val="24"/>
              </w:rPr>
              <w:t>4</w:t>
            </w:r>
            <w:r w:rsidR="00382C41">
              <w:rPr>
                <w:rFonts w:cs="Times New Roman"/>
                <w:szCs w:val="24"/>
              </w:rPr>
              <w:t>%)</w:t>
            </w:r>
          </w:p>
        </w:tc>
        <w:tc>
          <w:tcPr>
            <w:tcW w:w="1214" w:type="dxa"/>
            <w:tcBorders>
              <w:top w:val="nil"/>
              <w:left w:val="nil"/>
              <w:bottom w:val="nil"/>
              <w:right w:val="nil"/>
            </w:tcBorders>
            <w:vAlign w:val="center"/>
          </w:tcPr>
          <w:p w14:paraId="1EF9E8F4" w14:textId="6475D025" w:rsidR="00382C41" w:rsidRPr="00422D41" w:rsidRDefault="00860A22" w:rsidP="009E3B14">
            <w:pPr>
              <w:spacing w:after="160"/>
              <w:contextualSpacing/>
              <w:jc w:val="center"/>
              <w:rPr>
                <w:rFonts w:cs="Times New Roman"/>
                <w:szCs w:val="24"/>
              </w:rPr>
            </w:pPr>
            <w:r>
              <w:rPr>
                <w:rFonts w:cs="Times New Roman"/>
                <w:szCs w:val="24"/>
              </w:rPr>
              <w:t>0</w:t>
            </w:r>
            <w:r w:rsidR="00382C41">
              <w:rPr>
                <w:rFonts w:cs="Times New Roman"/>
                <w:szCs w:val="24"/>
              </w:rPr>
              <w:t xml:space="preserve"> (</w:t>
            </w:r>
            <w:r>
              <w:rPr>
                <w:rFonts w:cs="Times New Roman"/>
                <w:szCs w:val="24"/>
              </w:rPr>
              <w:t>0</w:t>
            </w:r>
            <w:r w:rsidR="00382C41">
              <w:rPr>
                <w:rFonts w:cs="Times New Roman"/>
                <w:szCs w:val="24"/>
              </w:rPr>
              <w:t>%)</w:t>
            </w:r>
          </w:p>
        </w:tc>
        <w:tc>
          <w:tcPr>
            <w:tcW w:w="1214" w:type="dxa"/>
            <w:tcBorders>
              <w:top w:val="nil"/>
              <w:left w:val="nil"/>
              <w:bottom w:val="nil"/>
              <w:right w:val="nil"/>
            </w:tcBorders>
            <w:vAlign w:val="center"/>
          </w:tcPr>
          <w:p w14:paraId="746A9B66" w14:textId="3C665CAF" w:rsidR="00382C41" w:rsidRDefault="00860A22" w:rsidP="009E3B14">
            <w:pPr>
              <w:spacing w:after="160"/>
              <w:contextualSpacing/>
              <w:jc w:val="center"/>
              <w:rPr>
                <w:rFonts w:cs="Times New Roman"/>
                <w:szCs w:val="24"/>
              </w:rPr>
            </w:pPr>
            <w:r>
              <w:rPr>
                <w:rFonts w:cs="Times New Roman"/>
                <w:szCs w:val="24"/>
              </w:rPr>
              <w:t>55</w:t>
            </w:r>
            <w:r w:rsidR="00382C41">
              <w:rPr>
                <w:rFonts w:cs="Times New Roman"/>
                <w:szCs w:val="24"/>
              </w:rPr>
              <w:t xml:space="preserve"> (</w:t>
            </w:r>
            <w:r>
              <w:rPr>
                <w:rFonts w:cs="Times New Roman"/>
                <w:szCs w:val="24"/>
              </w:rPr>
              <w:t>96</w:t>
            </w:r>
            <w:r w:rsidR="00382C41">
              <w:rPr>
                <w:rFonts w:cs="Times New Roman"/>
                <w:szCs w:val="24"/>
              </w:rPr>
              <w:t>%)</w:t>
            </w:r>
          </w:p>
        </w:tc>
      </w:tr>
      <w:tr w:rsidR="00615171" w:rsidRPr="00422D41" w14:paraId="393FCB7C" w14:textId="77777777" w:rsidTr="00615171">
        <w:trPr>
          <w:trHeight w:val="583"/>
        </w:trPr>
        <w:tc>
          <w:tcPr>
            <w:tcW w:w="2395" w:type="dxa"/>
            <w:tcBorders>
              <w:top w:val="nil"/>
              <w:left w:val="nil"/>
              <w:bottom w:val="nil"/>
              <w:right w:val="nil"/>
            </w:tcBorders>
            <w:vAlign w:val="center"/>
          </w:tcPr>
          <w:p w14:paraId="1E1E21AF" w14:textId="5CAD4D09" w:rsidR="00615171" w:rsidRPr="00053D29" w:rsidRDefault="00615171" w:rsidP="009E3B14">
            <w:pPr>
              <w:spacing w:after="160"/>
              <w:contextualSpacing/>
              <w:jc w:val="center"/>
              <w:rPr>
                <w:rFonts w:cs="Times New Roman"/>
                <w:i/>
                <w:iCs/>
                <w:szCs w:val="24"/>
              </w:rPr>
            </w:pPr>
            <w:r w:rsidRPr="00053D29">
              <w:rPr>
                <w:rFonts w:cs="Times New Roman"/>
                <w:i/>
                <w:iCs/>
                <w:szCs w:val="24"/>
              </w:rPr>
              <w:t>Process Measures</w:t>
            </w:r>
          </w:p>
        </w:tc>
        <w:tc>
          <w:tcPr>
            <w:tcW w:w="1213" w:type="dxa"/>
            <w:tcBorders>
              <w:top w:val="nil"/>
              <w:left w:val="nil"/>
              <w:bottom w:val="nil"/>
              <w:right w:val="nil"/>
            </w:tcBorders>
            <w:vAlign w:val="center"/>
          </w:tcPr>
          <w:p w14:paraId="04FEFDFC"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456263FE"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6AA2F0FF"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08044BCB"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27DC6677"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4D53B427"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1F331C9A"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06DD1106" w14:textId="77777777" w:rsidR="00615171" w:rsidRDefault="00615171" w:rsidP="009E3B14">
            <w:pPr>
              <w:spacing w:after="160"/>
              <w:contextualSpacing/>
              <w:jc w:val="center"/>
              <w:rPr>
                <w:rFonts w:cs="Times New Roman"/>
                <w:szCs w:val="24"/>
              </w:rPr>
            </w:pPr>
          </w:p>
        </w:tc>
        <w:tc>
          <w:tcPr>
            <w:tcW w:w="1214" w:type="dxa"/>
            <w:tcBorders>
              <w:top w:val="nil"/>
              <w:left w:val="nil"/>
              <w:bottom w:val="nil"/>
              <w:right w:val="nil"/>
            </w:tcBorders>
            <w:vAlign w:val="center"/>
          </w:tcPr>
          <w:p w14:paraId="69E2B4D2" w14:textId="77777777" w:rsidR="00615171" w:rsidRDefault="00615171" w:rsidP="009E3B14">
            <w:pPr>
              <w:spacing w:after="160"/>
              <w:contextualSpacing/>
              <w:jc w:val="center"/>
              <w:rPr>
                <w:rFonts w:cs="Times New Roman"/>
                <w:szCs w:val="24"/>
              </w:rPr>
            </w:pPr>
          </w:p>
        </w:tc>
      </w:tr>
      <w:tr w:rsidR="00615171" w:rsidRPr="00422D41" w14:paraId="25C86C7B" w14:textId="77777777" w:rsidTr="00053D29">
        <w:trPr>
          <w:trHeight w:val="583"/>
        </w:trPr>
        <w:tc>
          <w:tcPr>
            <w:tcW w:w="2395" w:type="dxa"/>
            <w:tcBorders>
              <w:top w:val="nil"/>
              <w:left w:val="nil"/>
              <w:bottom w:val="nil"/>
              <w:right w:val="nil"/>
            </w:tcBorders>
            <w:vAlign w:val="center"/>
          </w:tcPr>
          <w:p w14:paraId="676D1846" w14:textId="77777777" w:rsidR="00382C41" w:rsidRDefault="00382C41" w:rsidP="009E3B14">
            <w:pPr>
              <w:spacing w:after="160"/>
              <w:contextualSpacing/>
              <w:jc w:val="center"/>
              <w:rPr>
                <w:rFonts w:cs="Times New Roman"/>
                <w:szCs w:val="24"/>
              </w:rPr>
            </w:pPr>
            <w:r>
              <w:rPr>
                <w:rFonts w:cs="Times New Roman"/>
                <w:szCs w:val="24"/>
              </w:rPr>
              <w:t>AAQ-II</w:t>
            </w:r>
          </w:p>
        </w:tc>
        <w:tc>
          <w:tcPr>
            <w:tcW w:w="1213" w:type="dxa"/>
            <w:tcBorders>
              <w:top w:val="nil"/>
              <w:left w:val="nil"/>
              <w:bottom w:val="nil"/>
              <w:right w:val="nil"/>
            </w:tcBorders>
            <w:vAlign w:val="center"/>
          </w:tcPr>
          <w:p w14:paraId="5F49114A" w14:textId="65BBAA94" w:rsidR="00382C41" w:rsidRPr="00422D41" w:rsidRDefault="00860A22" w:rsidP="009E3B14">
            <w:pPr>
              <w:spacing w:after="160"/>
              <w:contextualSpacing/>
              <w:jc w:val="center"/>
              <w:rPr>
                <w:rFonts w:cs="Times New Roman"/>
                <w:szCs w:val="24"/>
              </w:rPr>
            </w:pPr>
            <w:r>
              <w:rPr>
                <w:rFonts w:cs="Times New Roman"/>
                <w:szCs w:val="24"/>
              </w:rPr>
              <w:t>15</w:t>
            </w:r>
            <w:r w:rsidR="00382C41">
              <w:rPr>
                <w:rFonts w:cs="Times New Roman"/>
                <w:szCs w:val="24"/>
              </w:rPr>
              <w:t xml:space="preserve"> (</w:t>
            </w:r>
            <w:r>
              <w:rPr>
                <w:rFonts w:cs="Times New Roman"/>
                <w:szCs w:val="24"/>
              </w:rPr>
              <w:t>27</w:t>
            </w:r>
            <w:r w:rsidR="00382C41">
              <w:rPr>
                <w:rFonts w:cs="Times New Roman"/>
                <w:szCs w:val="24"/>
              </w:rPr>
              <w:t>%)</w:t>
            </w:r>
          </w:p>
        </w:tc>
        <w:tc>
          <w:tcPr>
            <w:tcW w:w="1214" w:type="dxa"/>
            <w:tcBorders>
              <w:top w:val="nil"/>
              <w:left w:val="nil"/>
              <w:bottom w:val="nil"/>
              <w:right w:val="nil"/>
            </w:tcBorders>
            <w:vAlign w:val="center"/>
          </w:tcPr>
          <w:p w14:paraId="11293840" w14:textId="6D578A41" w:rsidR="00382C41" w:rsidRPr="00422D41" w:rsidRDefault="00860A22" w:rsidP="009E3B14">
            <w:pPr>
              <w:spacing w:after="160"/>
              <w:contextualSpacing/>
              <w:jc w:val="center"/>
              <w:rPr>
                <w:rFonts w:cs="Times New Roman"/>
                <w:szCs w:val="24"/>
              </w:rPr>
            </w:pPr>
            <w:r>
              <w:rPr>
                <w:rFonts w:cs="Times New Roman"/>
                <w:szCs w:val="24"/>
              </w:rPr>
              <w:t>6</w:t>
            </w:r>
            <w:r w:rsidR="00382C41">
              <w:rPr>
                <w:rFonts w:cs="Times New Roman"/>
                <w:szCs w:val="24"/>
              </w:rPr>
              <w:t xml:space="preserve"> (</w:t>
            </w:r>
            <w:r>
              <w:rPr>
                <w:rFonts w:cs="Times New Roman"/>
                <w:szCs w:val="24"/>
              </w:rPr>
              <w:t>11</w:t>
            </w:r>
            <w:r w:rsidR="00382C41">
              <w:rPr>
                <w:rFonts w:cs="Times New Roman"/>
                <w:szCs w:val="24"/>
              </w:rPr>
              <w:t>%)</w:t>
            </w:r>
          </w:p>
        </w:tc>
        <w:tc>
          <w:tcPr>
            <w:tcW w:w="1214" w:type="dxa"/>
            <w:tcBorders>
              <w:top w:val="nil"/>
              <w:left w:val="nil"/>
              <w:bottom w:val="nil"/>
              <w:right w:val="nil"/>
            </w:tcBorders>
            <w:vAlign w:val="center"/>
          </w:tcPr>
          <w:p w14:paraId="755FA618" w14:textId="3FB04DFD" w:rsidR="00382C41" w:rsidRDefault="00860A22" w:rsidP="009E3B14">
            <w:pPr>
              <w:spacing w:after="160"/>
              <w:contextualSpacing/>
              <w:jc w:val="center"/>
              <w:rPr>
                <w:rFonts w:cs="Times New Roman"/>
                <w:szCs w:val="24"/>
              </w:rPr>
            </w:pPr>
            <w:r>
              <w:rPr>
                <w:rFonts w:cs="Times New Roman"/>
                <w:szCs w:val="24"/>
              </w:rPr>
              <w:t>35</w:t>
            </w:r>
            <w:r w:rsidR="00382C41">
              <w:rPr>
                <w:rFonts w:cs="Times New Roman"/>
                <w:szCs w:val="24"/>
              </w:rPr>
              <w:t xml:space="preserve"> (</w:t>
            </w:r>
            <w:r>
              <w:rPr>
                <w:rFonts w:cs="Times New Roman"/>
                <w:szCs w:val="24"/>
              </w:rPr>
              <w:t>62</w:t>
            </w:r>
            <w:r w:rsidR="00382C41">
              <w:rPr>
                <w:rFonts w:cs="Times New Roman"/>
                <w:szCs w:val="24"/>
              </w:rPr>
              <w:t>%)</w:t>
            </w:r>
          </w:p>
        </w:tc>
        <w:tc>
          <w:tcPr>
            <w:tcW w:w="1214" w:type="dxa"/>
            <w:tcBorders>
              <w:top w:val="nil"/>
              <w:left w:val="nil"/>
              <w:bottom w:val="nil"/>
              <w:right w:val="nil"/>
            </w:tcBorders>
            <w:vAlign w:val="center"/>
          </w:tcPr>
          <w:p w14:paraId="7173E56B" w14:textId="21D20EEF" w:rsidR="00382C41" w:rsidRPr="00422D41" w:rsidRDefault="002F2BBC" w:rsidP="009E3B14">
            <w:pPr>
              <w:spacing w:after="160"/>
              <w:contextualSpacing/>
              <w:jc w:val="center"/>
              <w:rPr>
                <w:rFonts w:cs="Times New Roman"/>
                <w:szCs w:val="24"/>
              </w:rPr>
            </w:pPr>
            <w:r>
              <w:rPr>
                <w:rFonts w:cs="Times New Roman"/>
                <w:szCs w:val="24"/>
              </w:rPr>
              <w:t>26</w:t>
            </w:r>
            <w:r w:rsidR="00382C41">
              <w:rPr>
                <w:rFonts w:cs="Times New Roman"/>
                <w:szCs w:val="24"/>
              </w:rPr>
              <w:t xml:space="preserve"> (</w:t>
            </w:r>
            <w:r>
              <w:rPr>
                <w:rFonts w:cs="Times New Roman"/>
                <w:szCs w:val="24"/>
              </w:rPr>
              <w:t>44</w:t>
            </w:r>
            <w:r w:rsidR="00382C41">
              <w:rPr>
                <w:rFonts w:cs="Times New Roman"/>
                <w:szCs w:val="24"/>
              </w:rPr>
              <w:t>%)</w:t>
            </w:r>
          </w:p>
        </w:tc>
        <w:tc>
          <w:tcPr>
            <w:tcW w:w="1214" w:type="dxa"/>
            <w:tcBorders>
              <w:top w:val="nil"/>
              <w:left w:val="nil"/>
              <w:bottom w:val="nil"/>
              <w:right w:val="nil"/>
            </w:tcBorders>
            <w:vAlign w:val="center"/>
          </w:tcPr>
          <w:p w14:paraId="06354012" w14:textId="46BB094E" w:rsidR="00382C41" w:rsidRPr="00422D41" w:rsidRDefault="002F2BBC" w:rsidP="009E3B14">
            <w:pPr>
              <w:spacing w:after="160"/>
              <w:contextualSpacing/>
              <w:jc w:val="center"/>
              <w:rPr>
                <w:rFonts w:cs="Times New Roman"/>
                <w:szCs w:val="24"/>
              </w:rPr>
            </w:pPr>
            <w:r>
              <w:rPr>
                <w:rFonts w:cs="Times New Roman"/>
                <w:szCs w:val="24"/>
              </w:rPr>
              <w:t xml:space="preserve">2 </w:t>
            </w:r>
            <w:r w:rsidR="00382C41">
              <w:rPr>
                <w:rFonts w:cs="Times New Roman"/>
                <w:szCs w:val="24"/>
              </w:rPr>
              <w:t>(</w:t>
            </w:r>
            <w:r>
              <w:rPr>
                <w:rFonts w:cs="Times New Roman"/>
                <w:szCs w:val="24"/>
              </w:rPr>
              <w:t>3</w:t>
            </w:r>
            <w:r w:rsidR="00382C41">
              <w:rPr>
                <w:rFonts w:cs="Times New Roman"/>
                <w:szCs w:val="24"/>
              </w:rPr>
              <w:t>%)</w:t>
            </w:r>
          </w:p>
        </w:tc>
        <w:tc>
          <w:tcPr>
            <w:tcW w:w="1214" w:type="dxa"/>
            <w:tcBorders>
              <w:top w:val="nil"/>
              <w:left w:val="nil"/>
              <w:bottom w:val="nil"/>
              <w:right w:val="nil"/>
            </w:tcBorders>
            <w:vAlign w:val="center"/>
          </w:tcPr>
          <w:p w14:paraId="43E7B24E" w14:textId="6BD67014" w:rsidR="00382C41" w:rsidRDefault="002F2BBC" w:rsidP="009E3B14">
            <w:pPr>
              <w:spacing w:after="160"/>
              <w:contextualSpacing/>
              <w:jc w:val="center"/>
              <w:rPr>
                <w:rFonts w:cs="Times New Roman"/>
                <w:szCs w:val="24"/>
              </w:rPr>
            </w:pPr>
            <w:r>
              <w:rPr>
                <w:rFonts w:cs="Times New Roman"/>
                <w:szCs w:val="24"/>
              </w:rPr>
              <w:t xml:space="preserve">31 </w:t>
            </w:r>
            <w:r w:rsidR="00382C41">
              <w:rPr>
                <w:rFonts w:cs="Times New Roman"/>
                <w:szCs w:val="24"/>
              </w:rPr>
              <w:t>(</w:t>
            </w:r>
            <w:r>
              <w:rPr>
                <w:rFonts w:cs="Times New Roman"/>
                <w:szCs w:val="24"/>
              </w:rPr>
              <w:t>53</w:t>
            </w:r>
            <w:r w:rsidR="00382C41">
              <w:rPr>
                <w:rFonts w:cs="Times New Roman"/>
                <w:szCs w:val="24"/>
              </w:rPr>
              <w:t>%)</w:t>
            </w:r>
          </w:p>
        </w:tc>
        <w:tc>
          <w:tcPr>
            <w:tcW w:w="1214" w:type="dxa"/>
            <w:tcBorders>
              <w:top w:val="nil"/>
              <w:left w:val="nil"/>
              <w:bottom w:val="nil"/>
              <w:right w:val="nil"/>
            </w:tcBorders>
            <w:vAlign w:val="center"/>
          </w:tcPr>
          <w:p w14:paraId="2AB023EB" w14:textId="5AE7CB00" w:rsidR="00382C41" w:rsidRPr="00422D41" w:rsidRDefault="002F2BBC" w:rsidP="009E3B14">
            <w:pPr>
              <w:spacing w:after="160"/>
              <w:contextualSpacing/>
              <w:jc w:val="center"/>
              <w:rPr>
                <w:rFonts w:cs="Times New Roman"/>
                <w:szCs w:val="24"/>
              </w:rPr>
            </w:pPr>
            <w:r>
              <w:rPr>
                <w:rFonts w:cs="Times New Roman"/>
                <w:szCs w:val="24"/>
              </w:rPr>
              <w:t>21</w:t>
            </w:r>
            <w:r w:rsidR="00382C41">
              <w:rPr>
                <w:rFonts w:cs="Times New Roman"/>
                <w:szCs w:val="24"/>
              </w:rPr>
              <w:t xml:space="preserve"> (</w:t>
            </w:r>
            <w:r>
              <w:rPr>
                <w:rFonts w:cs="Times New Roman"/>
                <w:szCs w:val="24"/>
              </w:rPr>
              <w:t>36</w:t>
            </w:r>
            <w:r w:rsidR="00382C41">
              <w:rPr>
                <w:rFonts w:cs="Times New Roman"/>
                <w:szCs w:val="24"/>
              </w:rPr>
              <w:t>%)</w:t>
            </w:r>
          </w:p>
        </w:tc>
        <w:tc>
          <w:tcPr>
            <w:tcW w:w="1214" w:type="dxa"/>
            <w:tcBorders>
              <w:top w:val="nil"/>
              <w:left w:val="nil"/>
              <w:bottom w:val="nil"/>
              <w:right w:val="nil"/>
            </w:tcBorders>
            <w:vAlign w:val="center"/>
          </w:tcPr>
          <w:p w14:paraId="425EB015" w14:textId="4C5E681D" w:rsidR="00382C41" w:rsidRPr="00422D41" w:rsidRDefault="002F2BBC" w:rsidP="009E3B14">
            <w:pPr>
              <w:spacing w:after="160"/>
              <w:contextualSpacing/>
              <w:jc w:val="center"/>
              <w:rPr>
                <w:rFonts w:cs="Times New Roman"/>
                <w:szCs w:val="24"/>
              </w:rPr>
            </w:pPr>
            <w:r>
              <w:rPr>
                <w:rFonts w:cs="Times New Roman"/>
                <w:szCs w:val="24"/>
              </w:rPr>
              <w:t>8</w:t>
            </w:r>
            <w:r w:rsidR="00382C41">
              <w:rPr>
                <w:rFonts w:cs="Times New Roman"/>
                <w:szCs w:val="24"/>
              </w:rPr>
              <w:t xml:space="preserve"> (</w:t>
            </w:r>
            <w:r>
              <w:rPr>
                <w:rFonts w:cs="Times New Roman"/>
                <w:szCs w:val="24"/>
              </w:rPr>
              <w:t>14</w:t>
            </w:r>
            <w:r w:rsidR="00382C41">
              <w:rPr>
                <w:rFonts w:cs="Times New Roman"/>
                <w:szCs w:val="24"/>
              </w:rPr>
              <w:t>%)</w:t>
            </w:r>
          </w:p>
        </w:tc>
        <w:tc>
          <w:tcPr>
            <w:tcW w:w="1214" w:type="dxa"/>
            <w:tcBorders>
              <w:top w:val="nil"/>
              <w:left w:val="nil"/>
              <w:bottom w:val="nil"/>
              <w:right w:val="nil"/>
            </w:tcBorders>
            <w:vAlign w:val="center"/>
          </w:tcPr>
          <w:p w14:paraId="4595FAEF" w14:textId="4020D5DD" w:rsidR="00382C41" w:rsidRDefault="002F2BBC" w:rsidP="009E3B14">
            <w:pPr>
              <w:spacing w:after="160"/>
              <w:contextualSpacing/>
              <w:jc w:val="center"/>
              <w:rPr>
                <w:rFonts w:cs="Times New Roman"/>
                <w:szCs w:val="24"/>
              </w:rPr>
            </w:pPr>
            <w:r>
              <w:rPr>
                <w:rFonts w:cs="Times New Roman"/>
                <w:szCs w:val="24"/>
              </w:rPr>
              <w:t>29</w:t>
            </w:r>
            <w:r w:rsidR="00382C41">
              <w:rPr>
                <w:rFonts w:cs="Times New Roman"/>
                <w:szCs w:val="24"/>
              </w:rPr>
              <w:t xml:space="preserve"> (</w:t>
            </w:r>
            <w:r>
              <w:rPr>
                <w:rFonts w:cs="Times New Roman"/>
                <w:szCs w:val="24"/>
              </w:rPr>
              <w:t>50</w:t>
            </w:r>
            <w:r w:rsidR="00382C41">
              <w:rPr>
                <w:rFonts w:cs="Times New Roman"/>
                <w:szCs w:val="24"/>
              </w:rPr>
              <w:t>%)</w:t>
            </w:r>
          </w:p>
        </w:tc>
      </w:tr>
      <w:tr w:rsidR="00615171" w:rsidRPr="00422D41" w14:paraId="5D0811B3" w14:textId="77777777" w:rsidTr="00615171">
        <w:trPr>
          <w:trHeight w:val="583"/>
        </w:trPr>
        <w:tc>
          <w:tcPr>
            <w:tcW w:w="2395" w:type="dxa"/>
            <w:tcBorders>
              <w:top w:val="nil"/>
              <w:left w:val="nil"/>
              <w:bottom w:val="single" w:sz="4" w:space="0" w:color="auto"/>
              <w:right w:val="nil"/>
            </w:tcBorders>
            <w:vAlign w:val="center"/>
          </w:tcPr>
          <w:p w14:paraId="1168F1BB" w14:textId="346C3881" w:rsidR="00B31DE7" w:rsidRDefault="00B31DE7" w:rsidP="009E3B14">
            <w:pPr>
              <w:spacing w:after="160"/>
              <w:contextualSpacing/>
              <w:jc w:val="center"/>
              <w:rPr>
                <w:rFonts w:cs="Times New Roman"/>
                <w:szCs w:val="24"/>
              </w:rPr>
            </w:pPr>
            <w:proofErr w:type="spellStart"/>
            <w:r>
              <w:rPr>
                <w:rFonts w:cs="Times New Roman"/>
                <w:szCs w:val="24"/>
              </w:rPr>
              <w:t>CompACT</w:t>
            </w:r>
            <w:proofErr w:type="spellEnd"/>
          </w:p>
        </w:tc>
        <w:tc>
          <w:tcPr>
            <w:tcW w:w="1213" w:type="dxa"/>
            <w:tcBorders>
              <w:top w:val="nil"/>
              <w:left w:val="nil"/>
              <w:bottom w:val="single" w:sz="4" w:space="0" w:color="auto"/>
              <w:right w:val="nil"/>
            </w:tcBorders>
            <w:vAlign w:val="center"/>
          </w:tcPr>
          <w:p w14:paraId="020E5087" w14:textId="724A2632" w:rsidR="00B31DE7" w:rsidRDefault="00B31DE7" w:rsidP="009E3B14">
            <w:pPr>
              <w:spacing w:after="160"/>
              <w:contextualSpacing/>
              <w:jc w:val="center"/>
              <w:rPr>
                <w:rFonts w:cs="Times New Roman"/>
                <w:szCs w:val="24"/>
              </w:rPr>
            </w:pPr>
            <w:r>
              <w:rPr>
                <w:rFonts w:cs="Times New Roman"/>
                <w:szCs w:val="24"/>
              </w:rPr>
              <w:t>0 (0%)</w:t>
            </w:r>
          </w:p>
        </w:tc>
        <w:tc>
          <w:tcPr>
            <w:tcW w:w="1214" w:type="dxa"/>
            <w:tcBorders>
              <w:top w:val="nil"/>
              <w:left w:val="nil"/>
              <w:bottom w:val="single" w:sz="4" w:space="0" w:color="auto"/>
              <w:right w:val="nil"/>
            </w:tcBorders>
            <w:vAlign w:val="center"/>
          </w:tcPr>
          <w:p w14:paraId="7A340A5B" w14:textId="67DF685A" w:rsidR="00B31DE7" w:rsidRDefault="00B31DE7" w:rsidP="009E3B14">
            <w:pPr>
              <w:spacing w:after="160"/>
              <w:contextualSpacing/>
              <w:jc w:val="center"/>
              <w:rPr>
                <w:rFonts w:cs="Times New Roman"/>
                <w:szCs w:val="24"/>
              </w:rPr>
            </w:pPr>
            <w:r>
              <w:rPr>
                <w:rFonts w:cs="Times New Roman"/>
                <w:szCs w:val="24"/>
              </w:rPr>
              <w:t>1 (2%)</w:t>
            </w:r>
          </w:p>
        </w:tc>
        <w:tc>
          <w:tcPr>
            <w:tcW w:w="1214" w:type="dxa"/>
            <w:tcBorders>
              <w:top w:val="nil"/>
              <w:left w:val="nil"/>
              <w:bottom w:val="single" w:sz="4" w:space="0" w:color="auto"/>
              <w:right w:val="nil"/>
            </w:tcBorders>
            <w:vAlign w:val="center"/>
          </w:tcPr>
          <w:p w14:paraId="397E318F" w14:textId="3BD82559" w:rsidR="00B31DE7" w:rsidRDefault="00B31DE7" w:rsidP="009E3B14">
            <w:pPr>
              <w:spacing w:after="160"/>
              <w:contextualSpacing/>
              <w:jc w:val="center"/>
              <w:rPr>
                <w:rFonts w:cs="Times New Roman"/>
                <w:szCs w:val="24"/>
              </w:rPr>
            </w:pPr>
            <w:r>
              <w:rPr>
                <w:rFonts w:cs="Times New Roman"/>
                <w:szCs w:val="24"/>
              </w:rPr>
              <w:t>55 (98%)</w:t>
            </w:r>
          </w:p>
        </w:tc>
        <w:tc>
          <w:tcPr>
            <w:tcW w:w="1214" w:type="dxa"/>
            <w:tcBorders>
              <w:top w:val="nil"/>
              <w:left w:val="nil"/>
              <w:bottom w:val="single" w:sz="4" w:space="0" w:color="auto"/>
              <w:right w:val="nil"/>
            </w:tcBorders>
            <w:vAlign w:val="center"/>
          </w:tcPr>
          <w:p w14:paraId="3940061A" w14:textId="757D5C69" w:rsidR="00B31DE7" w:rsidRDefault="00B31DE7" w:rsidP="009E3B14">
            <w:pPr>
              <w:spacing w:after="160"/>
              <w:contextualSpacing/>
              <w:jc w:val="center"/>
              <w:rPr>
                <w:rFonts w:cs="Times New Roman"/>
                <w:szCs w:val="24"/>
              </w:rPr>
            </w:pPr>
            <w:r>
              <w:rPr>
                <w:rFonts w:cs="Times New Roman"/>
                <w:szCs w:val="24"/>
              </w:rPr>
              <w:t>6 (10%)</w:t>
            </w:r>
          </w:p>
        </w:tc>
        <w:tc>
          <w:tcPr>
            <w:tcW w:w="1214" w:type="dxa"/>
            <w:tcBorders>
              <w:top w:val="nil"/>
              <w:left w:val="nil"/>
              <w:bottom w:val="single" w:sz="4" w:space="0" w:color="auto"/>
              <w:right w:val="nil"/>
            </w:tcBorders>
            <w:vAlign w:val="center"/>
          </w:tcPr>
          <w:p w14:paraId="6836F467" w14:textId="638D69C9" w:rsidR="00B31DE7" w:rsidRDefault="00B31DE7" w:rsidP="009E3B14">
            <w:pPr>
              <w:spacing w:after="160"/>
              <w:contextualSpacing/>
              <w:jc w:val="center"/>
              <w:rPr>
                <w:rFonts w:cs="Times New Roman"/>
                <w:szCs w:val="24"/>
              </w:rPr>
            </w:pPr>
            <w:r>
              <w:rPr>
                <w:rFonts w:cs="Times New Roman"/>
                <w:szCs w:val="24"/>
              </w:rPr>
              <w:t>0 (0%)</w:t>
            </w:r>
          </w:p>
        </w:tc>
        <w:tc>
          <w:tcPr>
            <w:tcW w:w="1214" w:type="dxa"/>
            <w:tcBorders>
              <w:top w:val="nil"/>
              <w:left w:val="nil"/>
              <w:bottom w:val="single" w:sz="4" w:space="0" w:color="auto"/>
              <w:right w:val="nil"/>
            </w:tcBorders>
            <w:vAlign w:val="center"/>
          </w:tcPr>
          <w:p w14:paraId="1F4AEEE8" w14:textId="19C3974F" w:rsidR="00B31DE7" w:rsidRDefault="00B31DE7" w:rsidP="009E3B14">
            <w:pPr>
              <w:spacing w:after="160"/>
              <w:contextualSpacing/>
              <w:jc w:val="center"/>
              <w:rPr>
                <w:rFonts w:cs="Times New Roman"/>
                <w:szCs w:val="24"/>
              </w:rPr>
            </w:pPr>
            <w:r>
              <w:rPr>
                <w:rFonts w:cs="Times New Roman"/>
                <w:szCs w:val="24"/>
              </w:rPr>
              <w:t>52 (90%)</w:t>
            </w:r>
          </w:p>
        </w:tc>
        <w:tc>
          <w:tcPr>
            <w:tcW w:w="1214" w:type="dxa"/>
            <w:tcBorders>
              <w:top w:val="nil"/>
              <w:left w:val="nil"/>
              <w:bottom w:val="single" w:sz="4" w:space="0" w:color="auto"/>
              <w:right w:val="nil"/>
            </w:tcBorders>
            <w:vAlign w:val="center"/>
          </w:tcPr>
          <w:p w14:paraId="18BC0BCE" w14:textId="28022E8F" w:rsidR="00B31DE7" w:rsidRDefault="00B31DE7" w:rsidP="009E3B14">
            <w:pPr>
              <w:spacing w:after="160"/>
              <w:contextualSpacing/>
              <w:jc w:val="center"/>
              <w:rPr>
                <w:rFonts w:cs="Times New Roman"/>
                <w:szCs w:val="24"/>
              </w:rPr>
            </w:pPr>
            <w:r>
              <w:rPr>
                <w:rFonts w:cs="Times New Roman"/>
                <w:szCs w:val="24"/>
              </w:rPr>
              <w:t>1 (2%)</w:t>
            </w:r>
          </w:p>
        </w:tc>
        <w:tc>
          <w:tcPr>
            <w:tcW w:w="1214" w:type="dxa"/>
            <w:tcBorders>
              <w:top w:val="nil"/>
              <w:left w:val="nil"/>
              <w:bottom w:val="single" w:sz="4" w:space="0" w:color="auto"/>
              <w:right w:val="nil"/>
            </w:tcBorders>
            <w:vAlign w:val="center"/>
          </w:tcPr>
          <w:p w14:paraId="011DA94B" w14:textId="50474384" w:rsidR="00B31DE7" w:rsidRDefault="00B31DE7" w:rsidP="009E3B14">
            <w:pPr>
              <w:spacing w:after="160"/>
              <w:contextualSpacing/>
              <w:jc w:val="center"/>
              <w:rPr>
                <w:rFonts w:cs="Times New Roman"/>
                <w:szCs w:val="24"/>
              </w:rPr>
            </w:pPr>
            <w:r>
              <w:rPr>
                <w:rFonts w:cs="Times New Roman"/>
                <w:szCs w:val="24"/>
              </w:rPr>
              <w:t>0</w:t>
            </w:r>
            <w:r w:rsidR="00941969">
              <w:rPr>
                <w:rFonts w:cs="Times New Roman"/>
                <w:szCs w:val="24"/>
              </w:rPr>
              <w:t xml:space="preserve"> (0%)</w:t>
            </w:r>
          </w:p>
        </w:tc>
        <w:tc>
          <w:tcPr>
            <w:tcW w:w="1214" w:type="dxa"/>
            <w:tcBorders>
              <w:top w:val="nil"/>
              <w:left w:val="nil"/>
              <w:bottom w:val="single" w:sz="4" w:space="0" w:color="auto"/>
              <w:right w:val="nil"/>
            </w:tcBorders>
            <w:vAlign w:val="center"/>
          </w:tcPr>
          <w:p w14:paraId="69F45259" w14:textId="77F4FDA0" w:rsidR="00B31DE7" w:rsidRDefault="00B31DE7" w:rsidP="009E3B14">
            <w:pPr>
              <w:spacing w:after="160"/>
              <w:contextualSpacing/>
              <w:jc w:val="center"/>
              <w:rPr>
                <w:rFonts w:cs="Times New Roman"/>
                <w:szCs w:val="24"/>
              </w:rPr>
            </w:pPr>
            <w:r>
              <w:rPr>
                <w:rFonts w:cs="Times New Roman"/>
                <w:szCs w:val="24"/>
              </w:rPr>
              <w:t>57 (98%)</w:t>
            </w:r>
          </w:p>
        </w:tc>
      </w:tr>
    </w:tbl>
    <w:p w14:paraId="16B776EF" w14:textId="77777777" w:rsidR="00E104BE" w:rsidRDefault="00382C41" w:rsidP="00382C41">
      <w:pPr>
        <w:spacing w:after="160" w:line="480" w:lineRule="auto"/>
        <w:contextualSpacing/>
        <w:rPr>
          <w:rFonts w:cs="Times New Roman"/>
          <w:sz w:val="20"/>
          <w:szCs w:val="20"/>
        </w:rPr>
        <w:sectPr w:rsidR="00E104BE" w:rsidSect="00382C41">
          <w:headerReference w:type="default" r:id="rId14"/>
          <w:headerReference w:type="first" r:id="rId15"/>
          <w:pgSz w:w="15840" w:h="12240" w:orient="landscape"/>
          <w:pgMar w:top="1440" w:right="1440" w:bottom="1440" w:left="1440" w:header="720" w:footer="720" w:gutter="0"/>
          <w:cols w:space="720"/>
          <w:docGrid w:linePitch="360"/>
        </w:sectPr>
      </w:pPr>
      <w:r w:rsidRPr="00E848A9">
        <w:rPr>
          <w:rFonts w:cs="Times New Roman"/>
          <w:i/>
          <w:iCs/>
          <w:sz w:val="20"/>
          <w:szCs w:val="20"/>
        </w:rPr>
        <w:t>Note</w:t>
      </w:r>
      <w:r>
        <w:rPr>
          <w:rFonts w:cs="Times New Roman"/>
          <w:i/>
          <w:iCs/>
          <w:sz w:val="20"/>
          <w:szCs w:val="20"/>
        </w:rPr>
        <w:t>.</w:t>
      </w:r>
      <w:r w:rsidRPr="001577D2">
        <w:rPr>
          <w:rFonts w:cs="Times New Roman"/>
          <w:sz w:val="20"/>
          <w:szCs w:val="20"/>
        </w:rPr>
        <w:t xml:space="preserve"> </w:t>
      </w:r>
      <w:r>
        <w:rPr>
          <w:rFonts w:cs="Times New Roman"/>
          <w:sz w:val="20"/>
          <w:szCs w:val="20"/>
        </w:rPr>
        <w:t>RI = reliable improvement; RD = reliable deterioration; NC = no change; DASS-21 = Depression/Anxiety/Stress Scale; MHC = Mental Health Continuum Short Form; AAQ-II = Acceptance and Action Questionnaire</w:t>
      </w:r>
    </w:p>
    <w:bookmarkEnd w:id="18"/>
    <w:p w14:paraId="14F6735E" w14:textId="1AA23C12" w:rsidR="00382C41" w:rsidRDefault="00E104BE" w:rsidP="00E104BE">
      <w:pPr>
        <w:spacing w:after="160" w:line="480" w:lineRule="auto"/>
        <w:contextualSpacing/>
        <w:jc w:val="center"/>
        <w:rPr>
          <w:rFonts w:cs="Times New Roman"/>
          <w:b/>
          <w:bCs/>
          <w:szCs w:val="24"/>
        </w:rPr>
      </w:pPr>
      <w:r>
        <w:rPr>
          <w:rFonts w:cs="Times New Roman"/>
          <w:b/>
          <w:bCs/>
          <w:szCs w:val="24"/>
        </w:rPr>
        <w:lastRenderedPageBreak/>
        <w:t>Figures</w:t>
      </w:r>
    </w:p>
    <w:p w14:paraId="3F7A0ADC" w14:textId="77777777" w:rsidR="00E104BE" w:rsidRPr="00736007" w:rsidRDefault="00E104BE" w:rsidP="00E104BE">
      <w:pPr>
        <w:spacing w:after="160"/>
        <w:contextualSpacing/>
        <w:rPr>
          <w:rFonts w:cs="Times New Roman"/>
          <w:szCs w:val="24"/>
        </w:rPr>
      </w:pPr>
      <w:r w:rsidRPr="00736007">
        <w:rPr>
          <w:rFonts w:cs="Times New Roman"/>
          <w:szCs w:val="24"/>
        </w:rPr>
        <w:t>Figure 1</w:t>
      </w:r>
    </w:p>
    <w:p w14:paraId="47FF5EEE" w14:textId="77777777" w:rsidR="00E104BE" w:rsidRDefault="00E104BE" w:rsidP="00E104BE">
      <w:pPr>
        <w:spacing w:after="160"/>
        <w:contextualSpacing/>
        <w:rPr>
          <w:rFonts w:cs="Times New Roman"/>
          <w:i/>
          <w:iCs/>
          <w:szCs w:val="24"/>
        </w:rPr>
      </w:pPr>
      <w:r>
        <w:rPr>
          <w:rFonts w:cs="Times New Roman"/>
          <w:i/>
          <w:iCs/>
          <w:szCs w:val="24"/>
        </w:rPr>
        <w:t>Flow of participants in study</w:t>
      </w:r>
    </w:p>
    <w:p w14:paraId="2AE9B577" w14:textId="77777777" w:rsidR="00E104BE" w:rsidRDefault="00E104BE" w:rsidP="00E104BE">
      <w:pPr>
        <w:spacing w:after="160"/>
        <w:contextualSpacing/>
        <w:rPr>
          <w:rFonts w:cs="Times New Roman"/>
          <w:i/>
          <w:iCs/>
          <w:szCs w:val="24"/>
        </w:rPr>
      </w:pPr>
    </w:p>
    <w:p w14:paraId="2D781195" w14:textId="10CC7BCF" w:rsidR="006B0B4D" w:rsidRDefault="00654E32" w:rsidP="00D94237">
      <w:r>
        <w:rPr>
          <w:rFonts w:cs="Times New Roman"/>
          <w:noProof/>
          <w:szCs w:val="24"/>
        </w:rPr>
        <w:drawing>
          <wp:inline distT="0" distB="0" distL="0" distR="0" wp14:anchorId="37019C0D" wp14:editId="5D131CC3">
            <wp:extent cx="6524625" cy="66919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9893" cy="6697326"/>
                    </a:xfrm>
                    <a:prstGeom prst="rect">
                      <a:avLst/>
                    </a:prstGeom>
                    <a:noFill/>
                    <a:ln>
                      <a:noFill/>
                    </a:ln>
                  </pic:spPr>
                </pic:pic>
              </a:graphicData>
            </a:graphic>
          </wp:inline>
        </w:drawing>
      </w:r>
    </w:p>
    <w:sectPr w:rsidR="006B0B4D" w:rsidSect="005445E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7C33" w14:textId="77777777" w:rsidR="002B3D5B" w:rsidRDefault="002B3D5B" w:rsidP="00D92DB7">
      <w:r>
        <w:separator/>
      </w:r>
    </w:p>
  </w:endnote>
  <w:endnote w:type="continuationSeparator" w:id="0">
    <w:p w14:paraId="50E75ED4" w14:textId="77777777" w:rsidR="002B3D5B" w:rsidRDefault="002B3D5B" w:rsidP="00D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4E35" w14:textId="74733B0B" w:rsidR="00D74C40" w:rsidRDefault="00D74C40">
    <w:pPr>
      <w:pStyle w:val="Footer"/>
    </w:pPr>
  </w:p>
  <w:p w14:paraId="0F04DE02" w14:textId="77777777" w:rsidR="00D74C40" w:rsidRDefault="00D74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D46F" w14:textId="77777777" w:rsidR="002B3D5B" w:rsidRDefault="002B3D5B" w:rsidP="00D92DB7">
      <w:r>
        <w:separator/>
      </w:r>
    </w:p>
  </w:footnote>
  <w:footnote w:type="continuationSeparator" w:id="0">
    <w:p w14:paraId="7AB25024" w14:textId="77777777" w:rsidR="002B3D5B" w:rsidRDefault="002B3D5B" w:rsidP="00D9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363547"/>
      <w:docPartObj>
        <w:docPartGallery w:val="Page Numbers (Top of Page)"/>
        <w:docPartUnique/>
      </w:docPartObj>
    </w:sdtPr>
    <w:sdtEndPr>
      <w:rPr>
        <w:noProof/>
      </w:rPr>
    </w:sdtEndPr>
    <w:sdtContent>
      <w:p w14:paraId="03AD00E6" w14:textId="793ACDFB" w:rsidR="00D74C40" w:rsidRDefault="00D74C40">
        <w:pPr>
          <w:pStyle w:val="Header"/>
        </w:pPr>
        <w:r>
          <w:t xml:space="preserve">PEER COACHING FOR ADHERENCE TO ONLINE SELF-HELP </w:t>
        </w:r>
        <w:r>
          <w:tab/>
        </w:r>
        <w:r>
          <w:fldChar w:fldCharType="begin"/>
        </w:r>
        <w:r>
          <w:instrText xml:space="preserve"> PAGE   \* MERGEFORMAT </w:instrText>
        </w:r>
        <w:r>
          <w:fldChar w:fldCharType="separate"/>
        </w:r>
        <w:r>
          <w:rPr>
            <w:noProof/>
          </w:rPr>
          <w:t>2</w:t>
        </w:r>
        <w:r>
          <w:rPr>
            <w:noProof/>
          </w:rPr>
          <w:fldChar w:fldCharType="end"/>
        </w:r>
      </w:p>
    </w:sdtContent>
  </w:sdt>
  <w:p w14:paraId="29AF2EAD" w14:textId="77777777" w:rsidR="00D74C40" w:rsidRDefault="00D74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13751"/>
      <w:docPartObj>
        <w:docPartGallery w:val="Page Numbers (Top of Page)"/>
        <w:docPartUnique/>
      </w:docPartObj>
    </w:sdtPr>
    <w:sdtEndPr>
      <w:rPr>
        <w:noProof/>
      </w:rPr>
    </w:sdtEndPr>
    <w:sdtContent>
      <w:p w14:paraId="17B4B706" w14:textId="28BA403A" w:rsidR="00C722D2" w:rsidRDefault="00AE2B5C" w:rsidP="00AE2B5C">
        <w:pPr>
          <w:pStyle w:val="Header"/>
        </w:pPr>
        <w:r>
          <w:t xml:space="preserve">PEER COACHING FOR ADHERENCE TO ONLINE SELF-HELP </w:t>
        </w:r>
        <w:r>
          <w:tab/>
        </w:r>
        <w:r>
          <w:tab/>
        </w:r>
        <w:r>
          <w:tab/>
        </w:r>
        <w:r>
          <w:tab/>
        </w:r>
        <w:r>
          <w:tab/>
        </w:r>
        <w:r w:rsidR="00C722D2">
          <w:fldChar w:fldCharType="begin"/>
        </w:r>
        <w:r w:rsidR="00C722D2">
          <w:instrText xml:space="preserve"> PAGE   \* MERGEFORMAT </w:instrText>
        </w:r>
        <w:r w:rsidR="00C722D2">
          <w:fldChar w:fldCharType="separate"/>
        </w:r>
        <w:r w:rsidR="00C722D2">
          <w:rPr>
            <w:noProof/>
          </w:rPr>
          <w:t>2</w:t>
        </w:r>
        <w:r w:rsidR="00C722D2">
          <w:rPr>
            <w:noProof/>
          </w:rPr>
          <w:fldChar w:fldCharType="end"/>
        </w:r>
      </w:p>
      <w:p w14:paraId="0ADE2225" w14:textId="77777777" w:rsidR="00C722D2" w:rsidRDefault="00000000" w:rsidP="009E3B14">
        <w:pPr>
          <w:pStyle w:val="Header"/>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40653"/>
      <w:docPartObj>
        <w:docPartGallery w:val="Page Numbers (Top of Page)"/>
        <w:docPartUnique/>
      </w:docPartObj>
    </w:sdtPr>
    <w:sdtEndPr>
      <w:rPr>
        <w:noProof/>
      </w:rPr>
    </w:sdtEndPr>
    <w:sdtContent>
      <w:p w14:paraId="4C5E4ED5" w14:textId="77777777" w:rsidR="00A35DDB" w:rsidRDefault="00A35DDB">
        <w:pPr>
          <w:pStyle w:val="Header"/>
        </w:pPr>
        <w:r>
          <w:t xml:space="preserve">PEER COACHING FOR ADHERENCE TO ONLINE SELF-HELP </w:t>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59032EB3" w14:textId="77777777" w:rsidR="00A35DDB" w:rsidRPr="009B1C5D" w:rsidRDefault="00A35DDB" w:rsidP="009E3B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529740"/>
      <w:docPartObj>
        <w:docPartGallery w:val="Page Numbers (Top of Page)"/>
        <w:docPartUnique/>
      </w:docPartObj>
    </w:sdtPr>
    <w:sdtEndPr>
      <w:rPr>
        <w:noProof/>
      </w:rPr>
    </w:sdtEndPr>
    <w:sdtContent>
      <w:p w14:paraId="6AA8CF6A" w14:textId="77777777" w:rsidR="00A35DDB" w:rsidRDefault="00A35DDB">
        <w:pPr>
          <w:pStyle w:val="Header"/>
        </w:pPr>
        <w:r>
          <w:t xml:space="preserve">PEER COACHING FOR ADHERENCE TO ONLINE SELF-HELP </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6929F869" w14:textId="77777777" w:rsidR="00A35DDB" w:rsidRPr="00231912" w:rsidRDefault="00A35DDB" w:rsidP="002319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05704"/>
      <w:docPartObj>
        <w:docPartGallery w:val="Page Numbers (Top of Page)"/>
        <w:docPartUnique/>
      </w:docPartObj>
    </w:sdtPr>
    <w:sdtEndPr>
      <w:rPr>
        <w:noProof/>
      </w:rPr>
    </w:sdtEndPr>
    <w:sdtContent>
      <w:p w14:paraId="34A6411C" w14:textId="7108BCB6" w:rsidR="00382C41" w:rsidRDefault="00382C41">
        <w:pPr>
          <w:pStyle w:val="Header"/>
        </w:pPr>
        <w:r>
          <w:t xml:space="preserve">PEER COACHING FOR ADHERENCE TO ONLINE SELF-HELP </w:t>
        </w:r>
        <w:r>
          <w:tab/>
        </w:r>
        <w:r w:rsidR="007771D7">
          <w:tab/>
        </w:r>
        <w:r w:rsidR="007771D7">
          <w:tab/>
        </w:r>
        <w:r w:rsidR="007771D7">
          <w:tab/>
        </w:r>
        <w:r>
          <w:fldChar w:fldCharType="begin"/>
        </w:r>
        <w:r>
          <w:instrText xml:space="preserve"> PAGE   \* MERGEFORMAT </w:instrText>
        </w:r>
        <w:r>
          <w:fldChar w:fldCharType="separate"/>
        </w:r>
        <w:r>
          <w:rPr>
            <w:noProof/>
          </w:rPr>
          <w:t>2</w:t>
        </w:r>
        <w:r>
          <w:rPr>
            <w:noProof/>
          </w:rPr>
          <w:fldChar w:fldCharType="end"/>
        </w:r>
      </w:p>
    </w:sdtContent>
  </w:sdt>
  <w:p w14:paraId="523AC02D" w14:textId="77777777" w:rsidR="00382C41" w:rsidRPr="009B1C5D" w:rsidRDefault="00382C41" w:rsidP="009E3B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572174"/>
      <w:docPartObj>
        <w:docPartGallery w:val="Page Numbers (Top of Page)"/>
        <w:docPartUnique/>
      </w:docPartObj>
    </w:sdtPr>
    <w:sdtEndPr>
      <w:rPr>
        <w:noProof/>
      </w:rPr>
    </w:sdtEndPr>
    <w:sdtContent>
      <w:p w14:paraId="4938F461" w14:textId="0C46934F" w:rsidR="007815A5" w:rsidRDefault="007815A5">
        <w:pPr>
          <w:pStyle w:val="Header"/>
        </w:pPr>
        <w:r>
          <w:t xml:space="preserve">PEER COACHING FOR ADHERENCE TO ONLINE SELF-HELP </w:t>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056D4A71" w14:textId="77777777" w:rsidR="00382C41" w:rsidRPr="00231912" w:rsidRDefault="00382C41" w:rsidP="002319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197086"/>
      <w:docPartObj>
        <w:docPartGallery w:val="Page Numbers (Top of Page)"/>
        <w:docPartUnique/>
      </w:docPartObj>
    </w:sdtPr>
    <w:sdtEndPr>
      <w:rPr>
        <w:noProof/>
      </w:rPr>
    </w:sdtEndPr>
    <w:sdtContent>
      <w:p w14:paraId="63807EA1" w14:textId="7E7293CD" w:rsidR="007771D7" w:rsidRDefault="007771D7">
        <w:pPr>
          <w:pStyle w:val="Header"/>
        </w:pPr>
        <w:r>
          <w:t xml:space="preserve">PEER COACHING FOR ADHERENCE TO ONLINE SELF-HELP </w:t>
        </w:r>
        <w:r>
          <w:tab/>
        </w:r>
        <w:r>
          <w:fldChar w:fldCharType="begin"/>
        </w:r>
        <w:r>
          <w:instrText xml:space="preserve"> PAGE   \* MERGEFORMAT </w:instrText>
        </w:r>
        <w:r>
          <w:fldChar w:fldCharType="separate"/>
        </w:r>
        <w:r>
          <w:rPr>
            <w:noProof/>
          </w:rPr>
          <w:t>2</w:t>
        </w:r>
        <w:r>
          <w:rPr>
            <w:noProof/>
          </w:rPr>
          <w:fldChar w:fldCharType="end"/>
        </w:r>
      </w:p>
    </w:sdtContent>
  </w:sdt>
  <w:p w14:paraId="4D4711A2" w14:textId="77777777" w:rsidR="007771D7" w:rsidRPr="009B1C5D" w:rsidRDefault="007771D7" w:rsidP="009E3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FAB"/>
    <w:multiLevelType w:val="hybridMultilevel"/>
    <w:tmpl w:val="EC8C7550"/>
    <w:lvl w:ilvl="0" w:tplc="CB92506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0E5B"/>
    <w:multiLevelType w:val="hybridMultilevel"/>
    <w:tmpl w:val="4950EA1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03D9"/>
    <w:multiLevelType w:val="hybridMultilevel"/>
    <w:tmpl w:val="8C8C8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5014"/>
    <w:multiLevelType w:val="multilevel"/>
    <w:tmpl w:val="A55AF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10C6"/>
    <w:multiLevelType w:val="hybridMultilevel"/>
    <w:tmpl w:val="706699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4C5E0F"/>
    <w:multiLevelType w:val="multilevel"/>
    <w:tmpl w:val="584A8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21620"/>
    <w:multiLevelType w:val="hybridMultilevel"/>
    <w:tmpl w:val="E5382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530F3"/>
    <w:multiLevelType w:val="multilevel"/>
    <w:tmpl w:val="4FD2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13ECA"/>
    <w:multiLevelType w:val="hybridMultilevel"/>
    <w:tmpl w:val="F2ECE5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7227CF"/>
    <w:multiLevelType w:val="hybridMultilevel"/>
    <w:tmpl w:val="2A2889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D4488"/>
    <w:multiLevelType w:val="hybridMultilevel"/>
    <w:tmpl w:val="D196E0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7917FA"/>
    <w:multiLevelType w:val="hybridMultilevel"/>
    <w:tmpl w:val="8F2E7E12"/>
    <w:lvl w:ilvl="0" w:tplc="61C40E8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E2A93"/>
    <w:multiLevelType w:val="hybridMultilevel"/>
    <w:tmpl w:val="4950EA1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0187C"/>
    <w:multiLevelType w:val="hybridMultilevel"/>
    <w:tmpl w:val="3674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06780"/>
    <w:multiLevelType w:val="hybridMultilevel"/>
    <w:tmpl w:val="2A2889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E2678"/>
    <w:multiLevelType w:val="hybridMultilevel"/>
    <w:tmpl w:val="E3E0884E"/>
    <w:lvl w:ilvl="0" w:tplc="C4B83E0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5642578C"/>
    <w:multiLevelType w:val="hybridMultilevel"/>
    <w:tmpl w:val="A3D827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435CD2"/>
    <w:multiLevelType w:val="multilevel"/>
    <w:tmpl w:val="ED44DCCC"/>
    <w:styleLink w:val="List0"/>
    <w:lvl w:ilvl="0">
      <w:start w:val="1"/>
      <w:numFmt w:val="decimal"/>
      <w:pStyle w:val="Achievement"/>
      <w:lvlText w:val="%1."/>
      <w:lvlJc w:val="left"/>
      <w:pPr>
        <w:tabs>
          <w:tab w:val="num" w:pos="720"/>
        </w:tabs>
        <w:ind w:left="720" w:hanging="72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18" w15:restartNumberingAfterBreak="0">
    <w:nsid w:val="58796528"/>
    <w:multiLevelType w:val="multilevel"/>
    <w:tmpl w:val="F8906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F401B1"/>
    <w:multiLevelType w:val="hybridMultilevel"/>
    <w:tmpl w:val="076039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F6AF5"/>
    <w:multiLevelType w:val="hybridMultilevel"/>
    <w:tmpl w:val="F2E87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6E26D6"/>
    <w:multiLevelType w:val="multilevel"/>
    <w:tmpl w:val="274AC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9A6A17"/>
    <w:multiLevelType w:val="hybridMultilevel"/>
    <w:tmpl w:val="ACE8E334"/>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12FBB"/>
    <w:multiLevelType w:val="hybridMultilevel"/>
    <w:tmpl w:val="A35815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136B6"/>
    <w:multiLevelType w:val="hybridMultilevel"/>
    <w:tmpl w:val="60480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984482">
    <w:abstractNumId w:val="18"/>
  </w:num>
  <w:num w:numId="2" w16cid:durableId="576525262">
    <w:abstractNumId w:val="21"/>
  </w:num>
  <w:num w:numId="3" w16cid:durableId="1957174090">
    <w:abstractNumId w:val="3"/>
  </w:num>
  <w:num w:numId="4" w16cid:durableId="161548281">
    <w:abstractNumId w:val="5"/>
  </w:num>
  <w:num w:numId="5" w16cid:durableId="1091586673">
    <w:abstractNumId w:val="17"/>
    <w:lvlOverride w:ilvl="0">
      <w:lvl w:ilvl="0">
        <w:start w:val="1"/>
        <w:numFmt w:val="decimal"/>
        <w:pStyle w:val="Achievement"/>
        <w:lvlText w:val="%1."/>
        <w:lvlJc w:val="left"/>
        <w:pPr>
          <w:tabs>
            <w:tab w:val="num" w:pos="720"/>
          </w:tabs>
          <w:ind w:left="720" w:hanging="720"/>
        </w:pPr>
        <w:rPr>
          <w:position w:val="0"/>
          <w:sz w:val="24"/>
          <w:szCs w:val="24"/>
        </w:rPr>
      </w:lvl>
    </w:lvlOverride>
    <w:lvlOverride w:ilvl="1">
      <w:lvl w:ilvl="1">
        <w:start w:val="1"/>
        <w:numFmt w:val="lowerLetter"/>
        <w:lvlText w:val="%2."/>
        <w:lvlJc w:val="left"/>
        <w:pPr>
          <w:tabs>
            <w:tab w:val="num" w:pos="1080"/>
          </w:tabs>
          <w:ind w:left="1080" w:hanging="360"/>
        </w:pPr>
        <w:rPr>
          <w:position w:val="0"/>
          <w:sz w:val="24"/>
          <w:szCs w:val="24"/>
        </w:rPr>
      </w:lvl>
    </w:lvlOverride>
    <w:lvlOverride w:ilvl="2">
      <w:lvl w:ilvl="2">
        <w:start w:val="1"/>
        <w:numFmt w:val="lowerRoman"/>
        <w:lvlText w:val="%3."/>
        <w:lvlJc w:val="left"/>
        <w:pPr>
          <w:tabs>
            <w:tab w:val="num" w:pos="1800"/>
          </w:tabs>
          <w:ind w:left="1800" w:hanging="296"/>
        </w:pPr>
        <w:rPr>
          <w:position w:val="0"/>
          <w:sz w:val="24"/>
          <w:szCs w:val="24"/>
        </w:rPr>
      </w:lvl>
    </w:lvlOverride>
    <w:lvlOverride w:ilvl="3">
      <w:lvl w:ilvl="3">
        <w:start w:val="1"/>
        <w:numFmt w:val="decimal"/>
        <w:lvlText w:val="%4."/>
        <w:lvlJc w:val="left"/>
        <w:pPr>
          <w:tabs>
            <w:tab w:val="num" w:pos="2520"/>
          </w:tabs>
          <w:ind w:left="2520" w:hanging="360"/>
        </w:pPr>
        <w:rPr>
          <w:position w:val="0"/>
          <w:sz w:val="24"/>
          <w:szCs w:val="24"/>
        </w:rPr>
      </w:lvl>
    </w:lvlOverride>
    <w:lvlOverride w:ilvl="4">
      <w:lvl w:ilvl="4">
        <w:start w:val="1"/>
        <w:numFmt w:val="lowerLetter"/>
        <w:lvlText w:val="%5."/>
        <w:lvlJc w:val="left"/>
        <w:pPr>
          <w:tabs>
            <w:tab w:val="num" w:pos="3240"/>
          </w:tabs>
          <w:ind w:left="3240" w:hanging="360"/>
        </w:pPr>
        <w:rPr>
          <w:position w:val="0"/>
          <w:sz w:val="24"/>
          <w:szCs w:val="24"/>
        </w:rPr>
      </w:lvl>
    </w:lvlOverride>
    <w:lvlOverride w:ilvl="5">
      <w:lvl w:ilvl="5">
        <w:start w:val="1"/>
        <w:numFmt w:val="lowerRoman"/>
        <w:lvlText w:val="%6."/>
        <w:lvlJc w:val="left"/>
        <w:pPr>
          <w:tabs>
            <w:tab w:val="num" w:pos="3960"/>
          </w:tabs>
          <w:ind w:left="3960" w:hanging="296"/>
        </w:pPr>
        <w:rPr>
          <w:position w:val="0"/>
          <w:sz w:val="24"/>
          <w:szCs w:val="24"/>
        </w:rPr>
      </w:lvl>
    </w:lvlOverride>
    <w:lvlOverride w:ilvl="6">
      <w:lvl w:ilvl="6">
        <w:start w:val="1"/>
        <w:numFmt w:val="decimal"/>
        <w:lvlText w:val="%7."/>
        <w:lvlJc w:val="left"/>
        <w:pPr>
          <w:tabs>
            <w:tab w:val="num" w:pos="4680"/>
          </w:tabs>
          <w:ind w:left="4680" w:hanging="360"/>
        </w:pPr>
        <w:rPr>
          <w:position w:val="0"/>
          <w:sz w:val="24"/>
          <w:szCs w:val="24"/>
        </w:rPr>
      </w:lvl>
    </w:lvlOverride>
    <w:lvlOverride w:ilvl="7">
      <w:lvl w:ilvl="7">
        <w:start w:val="1"/>
        <w:numFmt w:val="lowerLetter"/>
        <w:lvlText w:val="%8."/>
        <w:lvlJc w:val="left"/>
        <w:pPr>
          <w:tabs>
            <w:tab w:val="num" w:pos="5400"/>
          </w:tabs>
          <w:ind w:left="5400" w:hanging="360"/>
        </w:pPr>
        <w:rPr>
          <w:position w:val="0"/>
          <w:sz w:val="24"/>
          <w:szCs w:val="24"/>
        </w:rPr>
      </w:lvl>
    </w:lvlOverride>
    <w:lvlOverride w:ilvl="8">
      <w:lvl w:ilvl="8">
        <w:start w:val="1"/>
        <w:numFmt w:val="lowerRoman"/>
        <w:lvlText w:val="%9."/>
        <w:lvlJc w:val="left"/>
        <w:pPr>
          <w:tabs>
            <w:tab w:val="num" w:pos="6120"/>
          </w:tabs>
          <w:ind w:left="6120" w:hanging="296"/>
        </w:pPr>
        <w:rPr>
          <w:position w:val="0"/>
          <w:sz w:val="24"/>
          <w:szCs w:val="24"/>
        </w:rPr>
      </w:lvl>
    </w:lvlOverride>
  </w:num>
  <w:num w:numId="6" w16cid:durableId="1978680213">
    <w:abstractNumId w:val="17"/>
  </w:num>
  <w:num w:numId="7" w16cid:durableId="1530143963">
    <w:abstractNumId w:val="7"/>
  </w:num>
  <w:num w:numId="8" w16cid:durableId="750471882">
    <w:abstractNumId w:val="6"/>
  </w:num>
  <w:num w:numId="9" w16cid:durableId="1877110659">
    <w:abstractNumId w:val="0"/>
  </w:num>
  <w:num w:numId="10" w16cid:durableId="1270433307">
    <w:abstractNumId w:val="11"/>
  </w:num>
  <w:num w:numId="11" w16cid:durableId="859314244">
    <w:abstractNumId w:val="2"/>
  </w:num>
  <w:num w:numId="12" w16cid:durableId="383602015">
    <w:abstractNumId w:val="20"/>
  </w:num>
  <w:num w:numId="13" w16cid:durableId="1948348726">
    <w:abstractNumId w:val="9"/>
  </w:num>
  <w:num w:numId="14" w16cid:durableId="1816725749">
    <w:abstractNumId w:val="1"/>
  </w:num>
  <w:num w:numId="15" w16cid:durableId="1361930350">
    <w:abstractNumId w:val="4"/>
  </w:num>
  <w:num w:numId="16" w16cid:durableId="196550081">
    <w:abstractNumId w:val="8"/>
  </w:num>
  <w:num w:numId="17" w16cid:durableId="449860633">
    <w:abstractNumId w:val="23"/>
  </w:num>
  <w:num w:numId="18" w16cid:durableId="115881374">
    <w:abstractNumId w:val="19"/>
  </w:num>
  <w:num w:numId="19" w16cid:durableId="1034503536">
    <w:abstractNumId w:val="24"/>
  </w:num>
  <w:num w:numId="20" w16cid:durableId="544830973">
    <w:abstractNumId w:val="10"/>
  </w:num>
  <w:num w:numId="21" w16cid:durableId="901410650">
    <w:abstractNumId w:val="16"/>
  </w:num>
  <w:num w:numId="22" w16cid:durableId="650523623">
    <w:abstractNumId w:val="13"/>
  </w:num>
  <w:num w:numId="23" w16cid:durableId="1540780218">
    <w:abstractNumId w:val="22"/>
  </w:num>
  <w:num w:numId="24" w16cid:durableId="1748308686">
    <w:abstractNumId w:val="15"/>
  </w:num>
  <w:num w:numId="25" w16cid:durableId="794761675">
    <w:abstractNumId w:val="12"/>
  </w:num>
  <w:num w:numId="26" w16cid:durableId="10023976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E3"/>
    <w:rsid w:val="00000CB9"/>
    <w:rsid w:val="00012AD2"/>
    <w:rsid w:val="0002788B"/>
    <w:rsid w:val="00043269"/>
    <w:rsid w:val="00047411"/>
    <w:rsid w:val="00047FDF"/>
    <w:rsid w:val="0005071E"/>
    <w:rsid w:val="00051ECE"/>
    <w:rsid w:val="00053AD7"/>
    <w:rsid w:val="00053D29"/>
    <w:rsid w:val="0005744F"/>
    <w:rsid w:val="00060059"/>
    <w:rsid w:val="000659F0"/>
    <w:rsid w:val="00071F3E"/>
    <w:rsid w:val="0007260D"/>
    <w:rsid w:val="00082B00"/>
    <w:rsid w:val="00093CF3"/>
    <w:rsid w:val="000966E3"/>
    <w:rsid w:val="000A3463"/>
    <w:rsid w:val="000A6213"/>
    <w:rsid w:val="000B4A39"/>
    <w:rsid w:val="000C499C"/>
    <w:rsid w:val="000C6F31"/>
    <w:rsid w:val="000D2633"/>
    <w:rsid w:val="000E26CB"/>
    <w:rsid w:val="000E491B"/>
    <w:rsid w:val="000F2E3B"/>
    <w:rsid w:val="000F593D"/>
    <w:rsid w:val="00102DDD"/>
    <w:rsid w:val="00111325"/>
    <w:rsid w:val="001228E7"/>
    <w:rsid w:val="001257B4"/>
    <w:rsid w:val="00144A41"/>
    <w:rsid w:val="00150CA0"/>
    <w:rsid w:val="00154B93"/>
    <w:rsid w:val="00155273"/>
    <w:rsid w:val="00163AA8"/>
    <w:rsid w:val="00164070"/>
    <w:rsid w:val="0017272D"/>
    <w:rsid w:val="001752E8"/>
    <w:rsid w:val="001845CE"/>
    <w:rsid w:val="00190E06"/>
    <w:rsid w:val="001948F6"/>
    <w:rsid w:val="00197D5B"/>
    <w:rsid w:val="001A1912"/>
    <w:rsid w:val="001A2F66"/>
    <w:rsid w:val="001A516E"/>
    <w:rsid w:val="001A5CBF"/>
    <w:rsid w:val="001A5D5A"/>
    <w:rsid w:val="001B00A1"/>
    <w:rsid w:val="001B2FDA"/>
    <w:rsid w:val="001B4744"/>
    <w:rsid w:val="001C2088"/>
    <w:rsid w:val="001C600B"/>
    <w:rsid w:val="001D31A3"/>
    <w:rsid w:val="001E6591"/>
    <w:rsid w:val="001F0B2A"/>
    <w:rsid w:val="0021028C"/>
    <w:rsid w:val="00217355"/>
    <w:rsid w:val="00217B6D"/>
    <w:rsid w:val="00231912"/>
    <w:rsid w:val="002410BA"/>
    <w:rsid w:val="00246100"/>
    <w:rsid w:val="00246F85"/>
    <w:rsid w:val="00252C69"/>
    <w:rsid w:val="00257A79"/>
    <w:rsid w:val="00264004"/>
    <w:rsid w:val="00265528"/>
    <w:rsid w:val="002659FD"/>
    <w:rsid w:val="0027223A"/>
    <w:rsid w:val="002847EF"/>
    <w:rsid w:val="00295600"/>
    <w:rsid w:val="00296EF0"/>
    <w:rsid w:val="002A134C"/>
    <w:rsid w:val="002A6DB6"/>
    <w:rsid w:val="002B3D5B"/>
    <w:rsid w:val="002B7048"/>
    <w:rsid w:val="002F0DAB"/>
    <w:rsid w:val="002F2BBC"/>
    <w:rsid w:val="002F2CE8"/>
    <w:rsid w:val="002F5D20"/>
    <w:rsid w:val="0030108B"/>
    <w:rsid w:val="003073A2"/>
    <w:rsid w:val="00313050"/>
    <w:rsid w:val="0031501D"/>
    <w:rsid w:val="00315924"/>
    <w:rsid w:val="00323AB8"/>
    <w:rsid w:val="003245EB"/>
    <w:rsid w:val="003337A1"/>
    <w:rsid w:val="00340C7B"/>
    <w:rsid w:val="00361044"/>
    <w:rsid w:val="00365A52"/>
    <w:rsid w:val="00366286"/>
    <w:rsid w:val="00367F76"/>
    <w:rsid w:val="00372DB7"/>
    <w:rsid w:val="00374571"/>
    <w:rsid w:val="003817B3"/>
    <w:rsid w:val="00381C11"/>
    <w:rsid w:val="00382C41"/>
    <w:rsid w:val="0038752F"/>
    <w:rsid w:val="003901F1"/>
    <w:rsid w:val="00391D16"/>
    <w:rsid w:val="00393711"/>
    <w:rsid w:val="00394DA4"/>
    <w:rsid w:val="00395E7B"/>
    <w:rsid w:val="003A2D7C"/>
    <w:rsid w:val="003B0908"/>
    <w:rsid w:val="003C14CA"/>
    <w:rsid w:val="003D2C66"/>
    <w:rsid w:val="003D35B8"/>
    <w:rsid w:val="003E7072"/>
    <w:rsid w:val="003F4BEF"/>
    <w:rsid w:val="00410211"/>
    <w:rsid w:val="0041145E"/>
    <w:rsid w:val="00412248"/>
    <w:rsid w:val="00414BA3"/>
    <w:rsid w:val="004208A0"/>
    <w:rsid w:val="00423F2A"/>
    <w:rsid w:val="00424966"/>
    <w:rsid w:val="0042603B"/>
    <w:rsid w:val="00433E5D"/>
    <w:rsid w:val="00441D53"/>
    <w:rsid w:val="00450A50"/>
    <w:rsid w:val="00464128"/>
    <w:rsid w:val="00472E03"/>
    <w:rsid w:val="00484654"/>
    <w:rsid w:val="00486501"/>
    <w:rsid w:val="00495981"/>
    <w:rsid w:val="00497441"/>
    <w:rsid w:val="004A3395"/>
    <w:rsid w:val="004B68B7"/>
    <w:rsid w:val="004C3025"/>
    <w:rsid w:val="004E1696"/>
    <w:rsid w:val="004E44E4"/>
    <w:rsid w:val="004F21AA"/>
    <w:rsid w:val="005005C7"/>
    <w:rsid w:val="00500F73"/>
    <w:rsid w:val="005023C3"/>
    <w:rsid w:val="00507AB6"/>
    <w:rsid w:val="00520F54"/>
    <w:rsid w:val="0052486A"/>
    <w:rsid w:val="005264A2"/>
    <w:rsid w:val="00527C1A"/>
    <w:rsid w:val="00533187"/>
    <w:rsid w:val="00533EF7"/>
    <w:rsid w:val="00534D87"/>
    <w:rsid w:val="00537C78"/>
    <w:rsid w:val="00537CD0"/>
    <w:rsid w:val="00542A60"/>
    <w:rsid w:val="00543250"/>
    <w:rsid w:val="005445EA"/>
    <w:rsid w:val="00567C84"/>
    <w:rsid w:val="0057121F"/>
    <w:rsid w:val="00573498"/>
    <w:rsid w:val="005820EF"/>
    <w:rsid w:val="005947BF"/>
    <w:rsid w:val="0059781C"/>
    <w:rsid w:val="005A31F1"/>
    <w:rsid w:val="005B03F1"/>
    <w:rsid w:val="005B341D"/>
    <w:rsid w:val="005B6506"/>
    <w:rsid w:val="005B6EB6"/>
    <w:rsid w:val="005C233A"/>
    <w:rsid w:val="005C406D"/>
    <w:rsid w:val="005D67CA"/>
    <w:rsid w:val="005E6A60"/>
    <w:rsid w:val="005F3967"/>
    <w:rsid w:val="005F440C"/>
    <w:rsid w:val="005F552B"/>
    <w:rsid w:val="0060178C"/>
    <w:rsid w:val="0061293D"/>
    <w:rsid w:val="00615171"/>
    <w:rsid w:val="00616710"/>
    <w:rsid w:val="0064214A"/>
    <w:rsid w:val="00642C6E"/>
    <w:rsid w:val="00654E32"/>
    <w:rsid w:val="00675149"/>
    <w:rsid w:val="00684BCE"/>
    <w:rsid w:val="006961A4"/>
    <w:rsid w:val="00696634"/>
    <w:rsid w:val="006A06DE"/>
    <w:rsid w:val="006A0CF4"/>
    <w:rsid w:val="006A20B0"/>
    <w:rsid w:val="006A2528"/>
    <w:rsid w:val="006A2749"/>
    <w:rsid w:val="006A361F"/>
    <w:rsid w:val="006A3E8B"/>
    <w:rsid w:val="006B06FE"/>
    <w:rsid w:val="006B0B4D"/>
    <w:rsid w:val="006B4D9A"/>
    <w:rsid w:val="006B6DB7"/>
    <w:rsid w:val="006C53F0"/>
    <w:rsid w:val="006E2151"/>
    <w:rsid w:val="006F4976"/>
    <w:rsid w:val="006F7765"/>
    <w:rsid w:val="0070601B"/>
    <w:rsid w:val="00706475"/>
    <w:rsid w:val="00717BF5"/>
    <w:rsid w:val="0072623D"/>
    <w:rsid w:val="007531E4"/>
    <w:rsid w:val="007672C1"/>
    <w:rsid w:val="007771D7"/>
    <w:rsid w:val="00777410"/>
    <w:rsid w:val="00780F33"/>
    <w:rsid w:val="007815A5"/>
    <w:rsid w:val="007877BC"/>
    <w:rsid w:val="00793AD5"/>
    <w:rsid w:val="007B68AF"/>
    <w:rsid w:val="007D11CA"/>
    <w:rsid w:val="007E3117"/>
    <w:rsid w:val="007E3F31"/>
    <w:rsid w:val="007E64A5"/>
    <w:rsid w:val="00811FA0"/>
    <w:rsid w:val="008269A0"/>
    <w:rsid w:val="00827AB3"/>
    <w:rsid w:val="00827CEF"/>
    <w:rsid w:val="00830379"/>
    <w:rsid w:val="00832380"/>
    <w:rsid w:val="008405D3"/>
    <w:rsid w:val="008432F7"/>
    <w:rsid w:val="0084387D"/>
    <w:rsid w:val="00852FF8"/>
    <w:rsid w:val="00853784"/>
    <w:rsid w:val="00854E12"/>
    <w:rsid w:val="00855528"/>
    <w:rsid w:val="00860A22"/>
    <w:rsid w:val="00864141"/>
    <w:rsid w:val="00865E41"/>
    <w:rsid w:val="0086712E"/>
    <w:rsid w:val="008709D1"/>
    <w:rsid w:val="008735F3"/>
    <w:rsid w:val="00875DAB"/>
    <w:rsid w:val="00883A47"/>
    <w:rsid w:val="00885AC9"/>
    <w:rsid w:val="0088714B"/>
    <w:rsid w:val="00890060"/>
    <w:rsid w:val="008906DA"/>
    <w:rsid w:val="00892587"/>
    <w:rsid w:val="008929C2"/>
    <w:rsid w:val="008969AE"/>
    <w:rsid w:val="008A5AC5"/>
    <w:rsid w:val="008A6190"/>
    <w:rsid w:val="008B05E5"/>
    <w:rsid w:val="008E1024"/>
    <w:rsid w:val="008F2068"/>
    <w:rsid w:val="00901554"/>
    <w:rsid w:val="00910645"/>
    <w:rsid w:val="00914110"/>
    <w:rsid w:val="009367FF"/>
    <w:rsid w:val="0093764E"/>
    <w:rsid w:val="00940A43"/>
    <w:rsid w:val="00941969"/>
    <w:rsid w:val="00943914"/>
    <w:rsid w:val="00945BEA"/>
    <w:rsid w:val="0095056B"/>
    <w:rsid w:val="009520D7"/>
    <w:rsid w:val="00954754"/>
    <w:rsid w:val="00967DD4"/>
    <w:rsid w:val="00987029"/>
    <w:rsid w:val="009A3FFD"/>
    <w:rsid w:val="009A4289"/>
    <w:rsid w:val="009B1232"/>
    <w:rsid w:val="009B285E"/>
    <w:rsid w:val="009B599D"/>
    <w:rsid w:val="009C3543"/>
    <w:rsid w:val="009C6A10"/>
    <w:rsid w:val="009C74FE"/>
    <w:rsid w:val="009D0360"/>
    <w:rsid w:val="009D2061"/>
    <w:rsid w:val="009E286C"/>
    <w:rsid w:val="009E3B14"/>
    <w:rsid w:val="009E43B4"/>
    <w:rsid w:val="009F4283"/>
    <w:rsid w:val="00A0299D"/>
    <w:rsid w:val="00A13A3B"/>
    <w:rsid w:val="00A21183"/>
    <w:rsid w:val="00A252AA"/>
    <w:rsid w:val="00A2571C"/>
    <w:rsid w:val="00A31D31"/>
    <w:rsid w:val="00A35AAB"/>
    <w:rsid w:val="00A35DDB"/>
    <w:rsid w:val="00A421E7"/>
    <w:rsid w:val="00A4434B"/>
    <w:rsid w:val="00A45A15"/>
    <w:rsid w:val="00A828CF"/>
    <w:rsid w:val="00A82F06"/>
    <w:rsid w:val="00A83AA2"/>
    <w:rsid w:val="00A87E59"/>
    <w:rsid w:val="00A902DD"/>
    <w:rsid w:val="00A921EB"/>
    <w:rsid w:val="00A96AD7"/>
    <w:rsid w:val="00AA1331"/>
    <w:rsid w:val="00AA3703"/>
    <w:rsid w:val="00AA54E2"/>
    <w:rsid w:val="00AC0F3D"/>
    <w:rsid w:val="00AC26D3"/>
    <w:rsid w:val="00AC2A9D"/>
    <w:rsid w:val="00AC4155"/>
    <w:rsid w:val="00AC64FF"/>
    <w:rsid w:val="00AD564F"/>
    <w:rsid w:val="00AE175E"/>
    <w:rsid w:val="00AE2B5C"/>
    <w:rsid w:val="00B017FB"/>
    <w:rsid w:val="00B222BA"/>
    <w:rsid w:val="00B240B6"/>
    <w:rsid w:val="00B25DC1"/>
    <w:rsid w:val="00B31DE7"/>
    <w:rsid w:val="00B34498"/>
    <w:rsid w:val="00B35AFA"/>
    <w:rsid w:val="00B41846"/>
    <w:rsid w:val="00B50CC7"/>
    <w:rsid w:val="00B57D0E"/>
    <w:rsid w:val="00B62E7D"/>
    <w:rsid w:val="00B6392E"/>
    <w:rsid w:val="00B660F6"/>
    <w:rsid w:val="00B80A6E"/>
    <w:rsid w:val="00B907CF"/>
    <w:rsid w:val="00B91FE1"/>
    <w:rsid w:val="00B93452"/>
    <w:rsid w:val="00B96C2B"/>
    <w:rsid w:val="00BA214C"/>
    <w:rsid w:val="00BA26FF"/>
    <w:rsid w:val="00BB2A01"/>
    <w:rsid w:val="00BB52AE"/>
    <w:rsid w:val="00BC7DEB"/>
    <w:rsid w:val="00BD7A5C"/>
    <w:rsid w:val="00BE04FC"/>
    <w:rsid w:val="00BF19FD"/>
    <w:rsid w:val="00C3630B"/>
    <w:rsid w:val="00C43232"/>
    <w:rsid w:val="00C437CC"/>
    <w:rsid w:val="00C465F2"/>
    <w:rsid w:val="00C64612"/>
    <w:rsid w:val="00C64A8D"/>
    <w:rsid w:val="00C66801"/>
    <w:rsid w:val="00C67233"/>
    <w:rsid w:val="00C712E7"/>
    <w:rsid w:val="00C722D2"/>
    <w:rsid w:val="00C72C39"/>
    <w:rsid w:val="00C77E1A"/>
    <w:rsid w:val="00C86C2B"/>
    <w:rsid w:val="00CA029D"/>
    <w:rsid w:val="00CA0321"/>
    <w:rsid w:val="00CA03B5"/>
    <w:rsid w:val="00CA3690"/>
    <w:rsid w:val="00CA67C4"/>
    <w:rsid w:val="00CB23B4"/>
    <w:rsid w:val="00CB4FE6"/>
    <w:rsid w:val="00CB7FD1"/>
    <w:rsid w:val="00CC0CCD"/>
    <w:rsid w:val="00CC3DFC"/>
    <w:rsid w:val="00CD1B31"/>
    <w:rsid w:val="00CD2513"/>
    <w:rsid w:val="00CE7625"/>
    <w:rsid w:val="00CE7D1B"/>
    <w:rsid w:val="00CF5016"/>
    <w:rsid w:val="00CF5345"/>
    <w:rsid w:val="00CF60D5"/>
    <w:rsid w:val="00CF67FD"/>
    <w:rsid w:val="00D21235"/>
    <w:rsid w:val="00D23C63"/>
    <w:rsid w:val="00D31B92"/>
    <w:rsid w:val="00D355DC"/>
    <w:rsid w:val="00D365F2"/>
    <w:rsid w:val="00D4487A"/>
    <w:rsid w:val="00D54CC7"/>
    <w:rsid w:val="00D56016"/>
    <w:rsid w:val="00D635F5"/>
    <w:rsid w:val="00D65C76"/>
    <w:rsid w:val="00D74C40"/>
    <w:rsid w:val="00D84B1D"/>
    <w:rsid w:val="00D92DB7"/>
    <w:rsid w:val="00D94237"/>
    <w:rsid w:val="00DA1BBF"/>
    <w:rsid w:val="00DA2458"/>
    <w:rsid w:val="00DA3534"/>
    <w:rsid w:val="00DA6472"/>
    <w:rsid w:val="00DA7AE3"/>
    <w:rsid w:val="00DB31EB"/>
    <w:rsid w:val="00DD3A9B"/>
    <w:rsid w:val="00DD50A6"/>
    <w:rsid w:val="00DF2CA8"/>
    <w:rsid w:val="00DF71DC"/>
    <w:rsid w:val="00E05C66"/>
    <w:rsid w:val="00E104BE"/>
    <w:rsid w:val="00E13ADB"/>
    <w:rsid w:val="00E15A74"/>
    <w:rsid w:val="00E20F57"/>
    <w:rsid w:val="00E33611"/>
    <w:rsid w:val="00E42442"/>
    <w:rsid w:val="00E6464E"/>
    <w:rsid w:val="00E668BB"/>
    <w:rsid w:val="00E70378"/>
    <w:rsid w:val="00E72CCB"/>
    <w:rsid w:val="00E748DA"/>
    <w:rsid w:val="00E748E9"/>
    <w:rsid w:val="00E83BF9"/>
    <w:rsid w:val="00E9722A"/>
    <w:rsid w:val="00EA245E"/>
    <w:rsid w:val="00EB0BB7"/>
    <w:rsid w:val="00EC7EDF"/>
    <w:rsid w:val="00ED6517"/>
    <w:rsid w:val="00EE2AE6"/>
    <w:rsid w:val="00EE2C44"/>
    <w:rsid w:val="00EE5123"/>
    <w:rsid w:val="00EF1CD6"/>
    <w:rsid w:val="00EF24D0"/>
    <w:rsid w:val="00F06B32"/>
    <w:rsid w:val="00F07C33"/>
    <w:rsid w:val="00F12E26"/>
    <w:rsid w:val="00F161FC"/>
    <w:rsid w:val="00F16496"/>
    <w:rsid w:val="00F21348"/>
    <w:rsid w:val="00F23819"/>
    <w:rsid w:val="00F25E4A"/>
    <w:rsid w:val="00F3462F"/>
    <w:rsid w:val="00F44126"/>
    <w:rsid w:val="00F4785F"/>
    <w:rsid w:val="00F574ED"/>
    <w:rsid w:val="00F65BC2"/>
    <w:rsid w:val="00F66970"/>
    <w:rsid w:val="00F67DB3"/>
    <w:rsid w:val="00F755CE"/>
    <w:rsid w:val="00F76625"/>
    <w:rsid w:val="00F7670C"/>
    <w:rsid w:val="00F80FDC"/>
    <w:rsid w:val="00F810F0"/>
    <w:rsid w:val="00F84B51"/>
    <w:rsid w:val="00F86177"/>
    <w:rsid w:val="00F8640E"/>
    <w:rsid w:val="00F9136F"/>
    <w:rsid w:val="00F92BAA"/>
    <w:rsid w:val="00FA020D"/>
    <w:rsid w:val="00FA266D"/>
    <w:rsid w:val="00FA2944"/>
    <w:rsid w:val="00FA69B3"/>
    <w:rsid w:val="00FA6E4E"/>
    <w:rsid w:val="00FA72D7"/>
    <w:rsid w:val="00FB04AA"/>
    <w:rsid w:val="00FB76AE"/>
    <w:rsid w:val="00FC2B46"/>
    <w:rsid w:val="00FE061F"/>
    <w:rsid w:val="00FE16CE"/>
    <w:rsid w:val="00FE2D98"/>
    <w:rsid w:val="00FE390D"/>
    <w:rsid w:val="00FE5D3B"/>
    <w:rsid w:val="00FF1727"/>
    <w:rsid w:val="00FF5B3C"/>
    <w:rsid w:val="00FF66C3"/>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9199C"/>
  <w15:docId w15:val="{8CBB08FF-8E40-4D1F-A9A4-C597D74A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AE3"/>
    <w:pPr>
      <w:widowControl w:val="0"/>
      <w:spacing w:after="0" w:line="240" w:lineRule="auto"/>
    </w:pPr>
    <w:rPr>
      <w:rFonts w:ascii="Times New Roman" w:eastAsia="Arial" w:hAnsi="Times New Roman" w:cs="Arial"/>
      <w:sz w:val="24"/>
      <w:lang w:val="en"/>
    </w:rPr>
  </w:style>
  <w:style w:type="paragraph" w:styleId="Heading1">
    <w:name w:val="heading 1"/>
    <w:basedOn w:val="Normal"/>
    <w:next w:val="Normal"/>
    <w:link w:val="Heading1Char"/>
    <w:uiPriority w:val="9"/>
    <w:qFormat/>
    <w:rsid w:val="00C722D2"/>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C722D2"/>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C722D2"/>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C722D2"/>
    <w:pPr>
      <w:keepNext/>
      <w:keepLines/>
      <w:spacing w:before="280" w:after="80"/>
      <w:outlineLvl w:val="3"/>
    </w:pPr>
    <w:rPr>
      <w:color w:val="666666"/>
      <w:szCs w:val="24"/>
    </w:rPr>
  </w:style>
  <w:style w:type="paragraph" w:styleId="Heading5">
    <w:name w:val="heading 5"/>
    <w:basedOn w:val="Normal"/>
    <w:next w:val="Normal"/>
    <w:link w:val="Heading5Char"/>
    <w:uiPriority w:val="9"/>
    <w:semiHidden/>
    <w:unhideWhenUsed/>
    <w:qFormat/>
    <w:rsid w:val="00C722D2"/>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C722D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DB7"/>
    <w:pPr>
      <w:tabs>
        <w:tab w:val="center" w:pos="4680"/>
        <w:tab w:val="right" w:pos="9360"/>
      </w:tabs>
    </w:pPr>
  </w:style>
  <w:style w:type="character" w:customStyle="1" w:styleId="HeaderChar">
    <w:name w:val="Header Char"/>
    <w:basedOn w:val="DefaultParagraphFont"/>
    <w:link w:val="Header"/>
    <w:uiPriority w:val="99"/>
    <w:rsid w:val="00D92DB7"/>
    <w:rPr>
      <w:rFonts w:ascii="Times New Roman" w:eastAsia="Arial" w:hAnsi="Times New Roman" w:cs="Arial"/>
      <w:sz w:val="24"/>
      <w:lang w:val="en"/>
    </w:rPr>
  </w:style>
  <w:style w:type="paragraph" w:styleId="Footer">
    <w:name w:val="footer"/>
    <w:basedOn w:val="Normal"/>
    <w:link w:val="FooterChar"/>
    <w:uiPriority w:val="99"/>
    <w:unhideWhenUsed/>
    <w:rsid w:val="00D92DB7"/>
    <w:pPr>
      <w:tabs>
        <w:tab w:val="center" w:pos="4680"/>
        <w:tab w:val="right" w:pos="9360"/>
      </w:tabs>
    </w:pPr>
  </w:style>
  <w:style w:type="character" w:customStyle="1" w:styleId="FooterChar">
    <w:name w:val="Footer Char"/>
    <w:basedOn w:val="DefaultParagraphFont"/>
    <w:link w:val="Footer"/>
    <w:uiPriority w:val="99"/>
    <w:rsid w:val="00D92DB7"/>
    <w:rPr>
      <w:rFonts w:ascii="Times New Roman" w:eastAsia="Arial" w:hAnsi="Times New Roman" w:cs="Arial"/>
      <w:sz w:val="24"/>
      <w:lang w:val="en"/>
    </w:rPr>
  </w:style>
  <w:style w:type="character" w:styleId="Hyperlink">
    <w:name w:val="Hyperlink"/>
    <w:basedOn w:val="DefaultParagraphFont"/>
    <w:uiPriority w:val="99"/>
    <w:unhideWhenUsed/>
    <w:rsid w:val="00C722D2"/>
    <w:rPr>
      <w:color w:val="0563C1" w:themeColor="hyperlink"/>
      <w:u w:val="single"/>
    </w:rPr>
  </w:style>
  <w:style w:type="paragraph" w:customStyle="1" w:styleId="EndNoteBibliography">
    <w:name w:val="EndNote Bibliography"/>
    <w:basedOn w:val="Normal"/>
    <w:link w:val="EndNoteBibliographyChar"/>
    <w:rsid w:val="00C722D2"/>
    <w:pPr>
      <w:widowControl/>
      <w:spacing w:after="80"/>
    </w:pPr>
    <w:rPr>
      <w:rFonts w:eastAsiaTheme="minorHAnsi" w:cs="Times New Roman"/>
      <w:noProof/>
      <w:lang w:val="en-US"/>
    </w:rPr>
  </w:style>
  <w:style w:type="character" w:customStyle="1" w:styleId="EndNoteBibliographyChar">
    <w:name w:val="EndNote Bibliography Char"/>
    <w:basedOn w:val="DefaultParagraphFont"/>
    <w:link w:val="EndNoteBibliography"/>
    <w:rsid w:val="00C722D2"/>
    <w:rPr>
      <w:rFonts w:ascii="Times New Roman" w:hAnsi="Times New Roman" w:cs="Times New Roman"/>
      <w:noProof/>
      <w:sz w:val="24"/>
    </w:rPr>
  </w:style>
  <w:style w:type="character" w:customStyle="1" w:styleId="Heading1Char">
    <w:name w:val="Heading 1 Char"/>
    <w:basedOn w:val="DefaultParagraphFont"/>
    <w:link w:val="Heading1"/>
    <w:uiPriority w:val="9"/>
    <w:rsid w:val="00C722D2"/>
    <w:rPr>
      <w:rFonts w:ascii="Times New Roman" w:eastAsia="Arial" w:hAnsi="Times New Roman" w:cs="Arial"/>
      <w:sz w:val="40"/>
      <w:szCs w:val="40"/>
      <w:lang w:val="en"/>
    </w:rPr>
  </w:style>
  <w:style w:type="character" w:customStyle="1" w:styleId="Heading2Char">
    <w:name w:val="Heading 2 Char"/>
    <w:basedOn w:val="DefaultParagraphFont"/>
    <w:link w:val="Heading2"/>
    <w:uiPriority w:val="9"/>
    <w:semiHidden/>
    <w:rsid w:val="00C722D2"/>
    <w:rPr>
      <w:rFonts w:ascii="Times New Roman" w:eastAsia="Arial" w:hAnsi="Times New Roman" w:cs="Arial"/>
      <w:sz w:val="32"/>
      <w:szCs w:val="32"/>
      <w:lang w:val="en"/>
    </w:rPr>
  </w:style>
  <w:style w:type="character" w:customStyle="1" w:styleId="Heading3Char">
    <w:name w:val="Heading 3 Char"/>
    <w:basedOn w:val="DefaultParagraphFont"/>
    <w:link w:val="Heading3"/>
    <w:uiPriority w:val="9"/>
    <w:semiHidden/>
    <w:rsid w:val="00C722D2"/>
    <w:rPr>
      <w:rFonts w:ascii="Times New Roman" w:eastAsia="Arial" w:hAnsi="Times New Roman" w:cs="Arial"/>
      <w:color w:val="434343"/>
      <w:sz w:val="28"/>
      <w:szCs w:val="28"/>
      <w:lang w:val="en"/>
    </w:rPr>
  </w:style>
  <w:style w:type="character" w:customStyle="1" w:styleId="Heading4Char">
    <w:name w:val="Heading 4 Char"/>
    <w:basedOn w:val="DefaultParagraphFont"/>
    <w:link w:val="Heading4"/>
    <w:uiPriority w:val="9"/>
    <w:semiHidden/>
    <w:rsid w:val="00C722D2"/>
    <w:rPr>
      <w:rFonts w:ascii="Times New Roman" w:eastAsia="Arial" w:hAnsi="Times New Roman" w:cs="Arial"/>
      <w:color w:val="666666"/>
      <w:sz w:val="24"/>
      <w:szCs w:val="24"/>
      <w:lang w:val="en"/>
    </w:rPr>
  </w:style>
  <w:style w:type="character" w:customStyle="1" w:styleId="Heading5Char">
    <w:name w:val="Heading 5 Char"/>
    <w:basedOn w:val="DefaultParagraphFont"/>
    <w:link w:val="Heading5"/>
    <w:uiPriority w:val="9"/>
    <w:semiHidden/>
    <w:rsid w:val="00C722D2"/>
    <w:rPr>
      <w:rFonts w:ascii="Times New Roman" w:eastAsia="Arial" w:hAnsi="Times New Roman" w:cs="Arial"/>
      <w:color w:val="666666"/>
      <w:sz w:val="24"/>
      <w:lang w:val="en"/>
    </w:rPr>
  </w:style>
  <w:style w:type="character" w:customStyle="1" w:styleId="Heading6Char">
    <w:name w:val="Heading 6 Char"/>
    <w:basedOn w:val="DefaultParagraphFont"/>
    <w:link w:val="Heading6"/>
    <w:uiPriority w:val="9"/>
    <w:semiHidden/>
    <w:rsid w:val="00C722D2"/>
    <w:rPr>
      <w:rFonts w:ascii="Times New Roman" w:eastAsia="Arial" w:hAnsi="Times New Roman" w:cs="Arial"/>
      <w:i/>
      <w:color w:val="666666"/>
      <w:sz w:val="24"/>
      <w:lang w:val="en"/>
    </w:rPr>
  </w:style>
  <w:style w:type="paragraph" w:styleId="Title">
    <w:name w:val="Title"/>
    <w:basedOn w:val="Normal"/>
    <w:next w:val="Normal"/>
    <w:link w:val="TitleChar"/>
    <w:uiPriority w:val="10"/>
    <w:qFormat/>
    <w:rsid w:val="00C722D2"/>
    <w:pPr>
      <w:keepNext/>
      <w:keepLines/>
      <w:spacing w:after="60"/>
    </w:pPr>
    <w:rPr>
      <w:sz w:val="52"/>
      <w:szCs w:val="52"/>
    </w:rPr>
  </w:style>
  <w:style w:type="character" w:customStyle="1" w:styleId="TitleChar">
    <w:name w:val="Title Char"/>
    <w:basedOn w:val="DefaultParagraphFont"/>
    <w:link w:val="Title"/>
    <w:uiPriority w:val="10"/>
    <w:rsid w:val="00C722D2"/>
    <w:rPr>
      <w:rFonts w:ascii="Times New Roman" w:eastAsia="Arial" w:hAnsi="Times New Roman" w:cs="Arial"/>
      <w:sz w:val="52"/>
      <w:szCs w:val="52"/>
      <w:lang w:val="en"/>
    </w:rPr>
  </w:style>
  <w:style w:type="paragraph" w:styleId="Subtitle">
    <w:name w:val="Subtitle"/>
    <w:basedOn w:val="Normal"/>
    <w:next w:val="Normal"/>
    <w:link w:val="SubtitleChar"/>
    <w:uiPriority w:val="11"/>
    <w:qFormat/>
    <w:rsid w:val="00C722D2"/>
    <w:pPr>
      <w:keepNext/>
      <w:keepLines/>
      <w:spacing w:after="320"/>
    </w:pPr>
    <w:rPr>
      <w:color w:val="666666"/>
      <w:sz w:val="30"/>
      <w:szCs w:val="30"/>
    </w:rPr>
  </w:style>
  <w:style w:type="character" w:customStyle="1" w:styleId="SubtitleChar">
    <w:name w:val="Subtitle Char"/>
    <w:basedOn w:val="DefaultParagraphFont"/>
    <w:link w:val="Subtitle"/>
    <w:uiPriority w:val="11"/>
    <w:rsid w:val="00C722D2"/>
    <w:rPr>
      <w:rFonts w:ascii="Times New Roman" w:eastAsia="Arial" w:hAnsi="Times New Roman" w:cs="Arial"/>
      <w:color w:val="666666"/>
      <w:sz w:val="30"/>
      <w:szCs w:val="30"/>
      <w:lang w:val="en"/>
    </w:rPr>
  </w:style>
  <w:style w:type="paragraph" w:styleId="NormalWeb">
    <w:name w:val="Normal (Web)"/>
    <w:basedOn w:val="Normal"/>
    <w:uiPriority w:val="99"/>
    <w:unhideWhenUsed/>
    <w:rsid w:val="00C722D2"/>
    <w:rPr>
      <w:rFonts w:cs="Times New Roman"/>
      <w:szCs w:val="24"/>
    </w:rPr>
  </w:style>
  <w:style w:type="character" w:styleId="UnresolvedMention">
    <w:name w:val="Unresolved Mention"/>
    <w:basedOn w:val="DefaultParagraphFont"/>
    <w:uiPriority w:val="99"/>
    <w:semiHidden/>
    <w:unhideWhenUsed/>
    <w:rsid w:val="00C722D2"/>
    <w:rPr>
      <w:color w:val="605E5C"/>
      <w:shd w:val="clear" w:color="auto" w:fill="E1DFDD"/>
    </w:rPr>
  </w:style>
  <w:style w:type="character" w:styleId="FollowedHyperlink">
    <w:name w:val="FollowedHyperlink"/>
    <w:basedOn w:val="DefaultParagraphFont"/>
    <w:uiPriority w:val="99"/>
    <w:semiHidden/>
    <w:unhideWhenUsed/>
    <w:rsid w:val="00C722D2"/>
    <w:rPr>
      <w:color w:val="954F72" w:themeColor="followedHyperlink"/>
      <w:u w:val="single"/>
    </w:rPr>
  </w:style>
  <w:style w:type="character" w:customStyle="1" w:styleId="apple-tab-span">
    <w:name w:val="apple-tab-span"/>
    <w:basedOn w:val="DefaultParagraphFont"/>
    <w:rsid w:val="00C722D2"/>
  </w:style>
  <w:style w:type="paragraph" w:styleId="BalloonText">
    <w:name w:val="Balloon Text"/>
    <w:basedOn w:val="Normal"/>
    <w:link w:val="BalloonTextChar"/>
    <w:uiPriority w:val="99"/>
    <w:semiHidden/>
    <w:unhideWhenUsed/>
    <w:rsid w:val="00C722D2"/>
    <w:rPr>
      <w:rFonts w:cs="Times New Roman"/>
      <w:sz w:val="18"/>
      <w:szCs w:val="18"/>
    </w:rPr>
  </w:style>
  <w:style w:type="character" w:customStyle="1" w:styleId="BalloonTextChar">
    <w:name w:val="Balloon Text Char"/>
    <w:basedOn w:val="DefaultParagraphFont"/>
    <w:link w:val="BalloonText"/>
    <w:uiPriority w:val="99"/>
    <w:semiHidden/>
    <w:rsid w:val="00C722D2"/>
    <w:rPr>
      <w:rFonts w:ascii="Times New Roman" w:eastAsia="Arial" w:hAnsi="Times New Roman" w:cs="Times New Roman"/>
      <w:sz w:val="18"/>
      <w:szCs w:val="18"/>
      <w:lang w:val="en"/>
    </w:rPr>
  </w:style>
  <w:style w:type="character" w:styleId="CommentReference">
    <w:name w:val="annotation reference"/>
    <w:basedOn w:val="DefaultParagraphFont"/>
    <w:uiPriority w:val="99"/>
    <w:semiHidden/>
    <w:unhideWhenUsed/>
    <w:rsid w:val="00C722D2"/>
    <w:rPr>
      <w:sz w:val="16"/>
      <w:szCs w:val="16"/>
    </w:rPr>
  </w:style>
  <w:style w:type="paragraph" w:styleId="CommentText">
    <w:name w:val="annotation text"/>
    <w:basedOn w:val="Normal"/>
    <w:link w:val="CommentTextChar"/>
    <w:uiPriority w:val="99"/>
    <w:unhideWhenUsed/>
    <w:rsid w:val="00C722D2"/>
    <w:rPr>
      <w:sz w:val="20"/>
      <w:szCs w:val="20"/>
    </w:rPr>
  </w:style>
  <w:style w:type="character" w:customStyle="1" w:styleId="CommentTextChar">
    <w:name w:val="Comment Text Char"/>
    <w:basedOn w:val="DefaultParagraphFont"/>
    <w:link w:val="CommentText"/>
    <w:uiPriority w:val="99"/>
    <w:rsid w:val="00C722D2"/>
    <w:rPr>
      <w:rFonts w:ascii="Times New Roman" w:eastAsia="Arial" w:hAnsi="Times New Roman" w:cs="Arial"/>
      <w:sz w:val="20"/>
      <w:szCs w:val="20"/>
      <w:lang w:val="en"/>
    </w:rPr>
  </w:style>
  <w:style w:type="paragraph" w:styleId="CommentSubject">
    <w:name w:val="annotation subject"/>
    <w:basedOn w:val="CommentText"/>
    <w:next w:val="CommentText"/>
    <w:link w:val="CommentSubjectChar"/>
    <w:uiPriority w:val="99"/>
    <w:semiHidden/>
    <w:unhideWhenUsed/>
    <w:rsid w:val="00C722D2"/>
    <w:rPr>
      <w:b/>
      <w:bCs/>
    </w:rPr>
  </w:style>
  <w:style w:type="character" w:customStyle="1" w:styleId="CommentSubjectChar">
    <w:name w:val="Comment Subject Char"/>
    <w:basedOn w:val="CommentTextChar"/>
    <w:link w:val="CommentSubject"/>
    <w:uiPriority w:val="99"/>
    <w:semiHidden/>
    <w:rsid w:val="00C722D2"/>
    <w:rPr>
      <w:rFonts w:ascii="Times New Roman" w:eastAsia="Arial" w:hAnsi="Times New Roman" w:cs="Arial"/>
      <w:b/>
      <w:bCs/>
      <w:sz w:val="20"/>
      <w:szCs w:val="20"/>
      <w:lang w:val="en"/>
    </w:rPr>
  </w:style>
  <w:style w:type="paragraph" w:styleId="BodyText">
    <w:name w:val="Body Text"/>
    <w:basedOn w:val="Normal"/>
    <w:link w:val="BodyTextChar"/>
    <w:uiPriority w:val="1"/>
    <w:qFormat/>
    <w:rsid w:val="00C722D2"/>
    <w:pPr>
      <w:spacing w:line="480" w:lineRule="auto"/>
      <w:ind w:firstLine="720"/>
    </w:pPr>
    <w:rPr>
      <w:rFonts w:eastAsia="Times New Roman" w:cstheme="minorBidi"/>
      <w:szCs w:val="24"/>
      <w:lang w:val="en-US"/>
    </w:rPr>
  </w:style>
  <w:style w:type="character" w:customStyle="1" w:styleId="BodyTextChar">
    <w:name w:val="Body Text Char"/>
    <w:basedOn w:val="DefaultParagraphFont"/>
    <w:link w:val="BodyText"/>
    <w:uiPriority w:val="1"/>
    <w:rsid w:val="00C722D2"/>
    <w:rPr>
      <w:rFonts w:ascii="Times New Roman" w:eastAsia="Times New Roman" w:hAnsi="Times New Roman"/>
      <w:sz w:val="24"/>
      <w:szCs w:val="24"/>
    </w:rPr>
  </w:style>
  <w:style w:type="paragraph" w:customStyle="1" w:styleId="Covernames">
    <w:name w:val="Cover names"/>
    <w:basedOn w:val="BodyText"/>
    <w:link w:val="CovernamesChar"/>
    <w:uiPriority w:val="1"/>
    <w:qFormat/>
    <w:rsid w:val="00C722D2"/>
    <w:pPr>
      <w:tabs>
        <w:tab w:val="left" w:pos="4752"/>
      </w:tabs>
      <w:kinsoku w:val="0"/>
      <w:overflowPunct w:val="0"/>
      <w:spacing w:line="240" w:lineRule="auto"/>
      <w:ind w:left="288" w:firstLine="0"/>
    </w:pPr>
  </w:style>
  <w:style w:type="character" w:customStyle="1" w:styleId="CovernamesChar">
    <w:name w:val="Cover names Char"/>
    <w:basedOn w:val="BodyTextChar"/>
    <w:link w:val="Covernames"/>
    <w:uiPriority w:val="1"/>
    <w:rsid w:val="00C722D2"/>
    <w:rPr>
      <w:rFonts w:ascii="Times New Roman" w:eastAsia="Times New Roman" w:hAnsi="Times New Roman"/>
      <w:sz w:val="24"/>
      <w:szCs w:val="24"/>
    </w:rPr>
  </w:style>
  <w:style w:type="paragraph" w:customStyle="1" w:styleId="CoverInstitution">
    <w:name w:val="Cover Institution"/>
    <w:basedOn w:val="Covernames"/>
    <w:link w:val="CoverInstitutionChar"/>
    <w:uiPriority w:val="1"/>
    <w:qFormat/>
    <w:rsid w:val="00C722D2"/>
    <w:pPr>
      <w:ind w:left="0"/>
      <w:jc w:val="center"/>
    </w:pPr>
  </w:style>
  <w:style w:type="character" w:customStyle="1" w:styleId="CoverInstitutionChar">
    <w:name w:val="Cover Institution Char"/>
    <w:basedOn w:val="CovernamesChar"/>
    <w:link w:val="CoverInstitution"/>
    <w:uiPriority w:val="1"/>
    <w:rsid w:val="00C722D2"/>
    <w:rPr>
      <w:rFonts w:ascii="Times New Roman" w:eastAsia="Times New Roman" w:hAnsi="Times New Roman"/>
      <w:sz w:val="24"/>
      <w:szCs w:val="24"/>
    </w:rPr>
  </w:style>
  <w:style w:type="paragraph" w:customStyle="1" w:styleId="Covertext1">
    <w:name w:val="Cover text1"/>
    <w:basedOn w:val="BodyText"/>
    <w:link w:val="Covertext1Char"/>
    <w:uiPriority w:val="1"/>
    <w:qFormat/>
    <w:rsid w:val="00C722D2"/>
    <w:pPr>
      <w:kinsoku w:val="0"/>
      <w:overflowPunct w:val="0"/>
      <w:spacing w:line="240" w:lineRule="auto"/>
      <w:ind w:left="43"/>
      <w:jc w:val="center"/>
    </w:pPr>
  </w:style>
  <w:style w:type="character" w:customStyle="1" w:styleId="Covertext1Char">
    <w:name w:val="Cover text1 Char"/>
    <w:basedOn w:val="BodyTextChar"/>
    <w:link w:val="Covertext1"/>
    <w:uiPriority w:val="1"/>
    <w:rsid w:val="00C722D2"/>
    <w:rPr>
      <w:rFonts w:ascii="Times New Roman" w:eastAsia="Times New Roman" w:hAnsi="Times New Roman"/>
      <w:sz w:val="24"/>
      <w:szCs w:val="24"/>
    </w:rPr>
  </w:style>
  <w:style w:type="paragraph" w:customStyle="1" w:styleId="Covernamescentered">
    <w:name w:val="Cover names centered"/>
    <w:basedOn w:val="Covernames"/>
    <w:link w:val="CovernamescenteredChar"/>
    <w:uiPriority w:val="1"/>
    <w:qFormat/>
    <w:rsid w:val="00C722D2"/>
    <w:pPr>
      <w:jc w:val="center"/>
    </w:pPr>
  </w:style>
  <w:style w:type="character" w:customStyle="1" w:styleId="CovernamescenteredChar">
    <w:name w:val="Cover names centered Char"/>
    <w:basedOn w:val="CovernamesChar"/>
    <w:link w:val="Covernamescentered"/>
    <w:uiPriority w:val="1"/>
    <w:rsid w:val="00C722D2"/>
    <w:rPr>
      <w:rFonts w:ascii="Times New Roman" w:eastAsia="Times New Roman" w:hAnsi="Times New Roman"/>
      <w:sz w:val="24"/>
      <w:szCs w:val="24"/>
    </w:rPr>
  </w:style>
  <w:style w:type="paragraph" w:customStyle="1" w:styleId="COVERTITLE">
    <w:name w:val="COVER TITLE"/>
    <w:basedOn w:val="Normal"/>
    <w:link w:val="COVERTITLEChar"/>
    <w:uiPriority w:val="1"/>
    <w:qFormat/>
    <w:rsid w:val="00C722D2"/>
    <w:pPr>
      <w:keepNext/>
      <w:keepLines/>
      <w:pageBreakBefore/>
      <w:spacing w:line="480" w:lineRule="auto"/>
      <w:jc w:val="center"/>
      <w:outlineLvl w:val="0"/>
    </w:pPr>
    <w:rPr>
      <w:rFonts w:ascii="Times" w:eastAsiaTheme="majorEastAsia" w:hAnsi="Times" w:cstheme="majorBidi"/>
      <w:caps/>
      <w:color w:val="000000" w:themeColor="text1"/>
      <w:szCs w:val="24"/>
      <w:lang w:val="en-US"/>
    </w:rPr>
  </w:style>
  <w:style w:type="character" w:customStyle="1" w:styleId="COVERTITLEChar">
    <w:name w:val="COVER TITLE Char"/>
    <w:basedOn w:val="DefaultParagraphFont"/>
    <w:link w:val="COVERTITLE"/>
    <w:uiPriority w:val="1"/>
    <w:rsid w:val="00C722D2"/>
    <w:rPr>
      <w:rFonts w:ascii="Times" w:eastAsiaTheme="majorEastAsia" w:hAnsi="Times" w:cstheme="majorBidi"/>
      <w:caps/>
      <w:color w:val="000000" w:themeColor="text1"/>
      <w:sz w:val="24"/>
      <w:szCs w:val="24"/>
    </w:rPr>
  </w:style>
  <w:style w:type="paragraph" w:customStyle="1" w:styleId="Body">
    <w:name w:val="Body"/>
    <w:rsid w:val="00C722D2"/>
    <w:pPr>
      <w:pBdr>
        <w:top w:val="nil"/>
        <w:left w:val="nil"/>
        <w:bottom w:val="nil"/>
        <w:right w:val="nil"/>
        <w:between w:val="nil"/>
        <w:bar w:val="nil"/>
      </w:pBdr>
      <w:spacing w:after="0" w:line="240" w:lineRule="auto"/>
    </w:pPr>
    <w:rPr>
      <w:rFonts w:ascii="Courier" w:eastAsia="Arial Unicode MS" w:hAnsi="Arial Unicode MS" w:cs="Arial Unicode MS"/>
      <w:color w:val="000000"/>
      <w:sz w:val="20"/>
      <w:szCs w:val="20"/>
      <w:u w:color="000000"/>
      <w:bdr w:val="nil"/>
      <w:lang w:val="es-ES_tradnl"/>
    </w:rPr>
  </w:style>
  <w:style w:type="numbering" w:customStyle="1" w:styleId="List0">
    <w:name w:val="List 0"/>
    <w:basedOn w:val="NoList"/>
    <w:rsid w:val="00C722D2"/>
    <w:pPr>
      <w:numPr>
        <w:numId w:val="6"/>
      </w:numPr>
    </w:pPr>
  </w:style>
  <w:style w:type="paragraph" w:customStyle="1" w:styleId="Achievement">
    <w:name w:val="Achievement"/>
    <w:basedOn w:val="BodyText"/>
    <w:rsid w:val="00C722D2"/>
    <w:pPr>
      <w:widowControl/>
      <w:numPr>
        <w:numId w:val="5"/>
      </w:numPr>
      <w:tabs>
        <w:tab w:val="clear" w:pos="720"/>
      </w:tabs>
      <w:spacing w:after="60" w:line="240" w:lineRule="atLeast"/>
      <w:jc w:val="both"/>
    </w:pPr>
    <w:rPr>
      <w:rFonts w:ascii="Garamond" w:hAnsi="Garamond" w:cs="Times New Roman"/>
      <w:sz w:val="22"/>
      <w:szCs w:val="20"/>
      <w:u w:color="000000"/>
    </w:rPr>
  </w:style>
  <w:style w:type="paragraph" w:styleId="Revision">
    <w:name w:val="Revision"/>
    <w:hidden/>
    <w:uiPriority w:val="99"/>
    <w:semiHidden/>
    <w:rsid w:val="00C722D2"/>
    <w:pPr>
      <w:spacing w:after="0" w:line="240" w:lineRule="auto"/>
    </w:pPr>
    <w:rPr>
      <w:rFonts w:ascii="Arial" w:eastAsia="Arial" w:hAnsi="Arial" w:cs="Arial"/>
      <w:lang w:val="en"/>
    </w:rPr>
  </w:style>
  <w:style w:type="paragraph" w:styleId="ListParagraph">
    <w:name w:val="List Paragraph"/>
    <w:basedOn w:val="Normal"/>
    <w:uiPriority w:val="34"/>
    <w:qFormat/>
    <w:rsid w:val="00C722D2"/>
    <w:pPr>
      <w:ind w:left="720"/>
      <w:contextualSpacing/>
    </w:pPr>
  </w:style>
  <w:style w:type="paragraph" w:styleId="FootnoteText">
    <w:name w:val="footnote text"/>
    <w:basedOn w:val="Normal"/>
    <w:link w:val="FootnoteTextChar"/>
    <w:uiPriority w:val="99"/>
    <w:semiHidden/>
    <w:unhideWhenUsed/>
    <w:rsid w:val="00C722D2"/>
    <w:rPr>
      <w:sz w:val="20"/>
      <w:szCs w:val="20"/>
    </w:rPr>
  </w:style>
  <w:style w:type="character" w:customStyle="1" w:styleId="FootnoteTextChar">
    <w:name w:val="Footnote Text Char"/>
    <w:basedOn w:val="DefaultParagraphFont"/>
    <w:link w:val="FootnoteText"/>
    <w:uiPriority w:val="99"/>
    <w:semiHidden/>
    <w:rsid w:val="00C722D2"/>
    <w:rPr>
      <w:rFonts w:ascii="Times New Roman" w:eastAsia="Arial" w:hAnsi="Times New Roman" w:cs="Arial"/>
      <w:sz w:val="20"/>
      <w:szCs w:val="20"/>
      <w:lang w:val="en"/>
    </w:rPr>
  </w:style>
  <w:style w:type="character" w:styleId="FootnoteReference">
    <w:name w:val="footnote reference"/>
    <w:basedOn w:val="DefaultParagraphFont"/>
    <w:uiPriority w:val="99"/>
    <w:semiHidden/>
    <w:unhideWhenUsed/>
    <w:rsid w:val="00C722D2"/>
    <w:rPr>
      <w:vertAlign w:val="superscript"/>
    </w:rPr>
  </w:style>
  <w:style w:type="paragraph" w:styleId="TOCHeading">
    <w:name w:val="TOC Heading"/>
    <w:basedOn w:val="Heading1"/>
    <w:next w:val="Normal"/>
    <w:uiPriority w:val="39"/>
    <w:unhideWhenUsed/>
    <w:qFormat/>
    <w:rsid w:val="00C722D2"/>
    <w:pPr>
      <w:spacing w:before="480" w:after="0"/>
      <w:outlineLvl w:val="9"/>
    </w:pPr>
    <w:rPr>
      <w:rFonts w:asciiTheme="majorHAnsi" w:eastAsiaTheme="majorEastAsia" w:hAnsiTheme="majorHAnsi" w:cstheme="majorBidi"/>
      <w:b/>
      <w:bCs/>
      <w:color w:val="2F5496" w:themeColor="accent1" w:themeShade="BF"/>
      <w:sz w:val="28"/>
      <w:szCs w:val="28"/>
      <w:lang w:val="en-US"/>
    </w:rPr>
  </w:style>
  <w:style w:type="paragraph" w:styleId="TOC1">
    <w:name w:val="toc 1"/>
    <w:basedOn w:val="Normal"/>
    <w:next w:val="Normal"/>
    <w:autoRedefine/>
    <w:uiPriority w:val="39"/>
    <w:unhideWhenUsed/>
    <w:rsid w:val="00C722D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722D2"/>
    <w:pPr>
      <w:spacing w:line="480" w:lineRule="auto"/>
    </w:pPr>
    <w:rPr>
      <w:rFonts w:cs="Times New Roman"/>
      <w:bCs/>
      <w:iCs/>
      <w:smallCaps/>
      <w:color w:val="000000" w:themeColor="text1"/>
      <w:szCs w:val="24"/>
    </w:rPr>
  </w:style>
  <w:style w:type="paragraph" w:styleId="TOC3">
    <w:name w:val="toc 3"/>
    <w:basedOn w:val="Normal"/>
    <w:next w:val="Normal"/>
    <w:autoRedefine/>
    <w:uiPriority w:val="39"/>
    <w:unhideWhenUsed/>
    <w:rsid w:val="00C722D2"/>
    <w:pPr>
      <w:ind w:left="44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C722D2"/>
    <w:pPr>
      <w:ind w:left="66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C722D2"/>
    <w:pPr>
      <w:ind w:left="88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C722D2"/>
    <w:pPr>
      <w:ind w:left="11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C722D2"/>
    <w:pPr>
      <w:ind w:left="132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C722D2"/>
    <w:pPr>
      <w:ind w:left="154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C722D2"/>
    <w:pPr>
      <w:ind w:left="1760"/>
    </w:pPr>
    <w:rPr>
      <w:rFonts w:asciiTheme="minorHAnsi" w:hAnsiTheme="minorHAnsi" w:cstheme="minorHAnsi"/>
      <w:sz w:val="18"/>
      <w:szCs w:val="18"/>
    </w:rPr>
  </w:style>
  <w:style w:type="table" w:styleId="TableGrid">
    <w:name w:val="Table Grid"/>
    <w:basedOn w:val="TableNormal"/>
    <w:uiPriority w:val="39"/>
    <w:rsid w:val="00C7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2D2"/>
    <w:pPr>
      <w:spacing w:after="0" w:line="240" w:lineRule="auto"/>
      <w:contextualSpacing/>
    </w:pPr>
    <w:rPr>
      <w:rFonts w:ascii="Times New Roman" w:hAnsi="Times New Roman"/>
      <w:sz w:val="24"/>
    </w:rPr>
  </w:style>
  <w:style w:type="paragraph" w:styleId="Bibliography">
    <w:name w:val="Bibliography"/>
    <w:basedOn w:val="Normal"/>
    <w:next w:val="Normal"/>
    <w:uiPriority w:val="37"/>
    <w:unhideWhenUsed/>
    <w:rsid w:val="0027223A"/>
    <w:pPr>
      <w:spacing w:line="480" w:lineRule="auto"/>
      <w:ind w:left="720" w:hanging="720"/>
    </w:pPr>
  </w:style>
  <w:style w:type="table" w:customStyle="1" w:styleId="TableGrid1">
    <w:name w:val="Table Grid1"/>
    <w:basedOn w:val="TableNormal"/>
    <w:next w:val="TableGrid"/>
    <w:uiPriority w:val="39"/>
    <w:rsid w:val="00382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52FF8"/>
    <w:rPr>
      <w:sz w:val="20"/>
      <w:szCs w:val="20"/>
    </w:rPr>
  </w:style>
  <w:style w:type="character" w:customStyle="1" w:styleId="EndnoteTextChar">
    <w:name w:val="Endnote Text Char"/>
    <w:basedOn w:val="DefaultParagraphFont"/>
    <w:link w:val="EndnoteText"/>
    <w:uiPriority w:val="99"/>
    <w:semiHidden/>
    <w:rsid w:val="00852FF8"/>
    <w:rPr>
      <w:rFonts w:ascii="Times New Roman" w:eastAsia="Arial" w:hAnsi="Times New Roman" w:cs="Arial"/>
      <w:sz w:val="20"/>
      <w:szCs w:val="20"/>
      <w:lang w:val="en"/>
    </w:rPr>
  </w:style>
  <w:style w:type="character" w:styleId="EndnoteReference">
    <w:name w:val="endnote reference"/>
    <w:basedOn w:val="DefaultParagraphFont"/>
    <w:uiPriority w:val="99"/>
    <w:semiHidden/>
    <w:unhideWhenUsed/>
    <w:rsid w:val="00852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C6E18-848B-44E3-A534-2EEE5C01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10537</Words>
  <Characters>60067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Klimczak</dc:creator>
  <cp:keywords/>
  <dc:description/>
  <cp:lastModifiedBy>Korena Klimczak</cp:lastModifiedBy>
  <cp:revision>3</cp:revision>
  <dcterms:created xsi:type="dcterms:W3CDTF">2022-10-23T18:13:00Z</dcterms:created>
  <dcterms:modified xsi:type="dcterms:W3CDTF">2022-10-23T18:17:00Z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id="TMoBz7g6"/&gt;&lt;style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