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377" w14:textId="77777777" w:rsidR="0089571E" w:rsidRDefault="0089571E" w:rsidP="005D67B7">
      <w:pPr>
        <w:spacing w:line="480" w:lineRule="auto"/>
        <w:jc w:val="center"/>
        <w:rPr>
          <w:b/>
          <w:bCs/>
        </w:rPr>
      </w:pPr>
    </w:p>
    <w:p w14:paraId="070A9511" w14:textId="77777777" w:rsidR="0089571E" w:rsidRDefault="0089571E" w:rsidP="0089571E">
      <w:pPr>
        <w:spacing w:line="480" w:lineRule="auto"/>
        <w:jc w:val="center"/>
      </w:pPr>
      <w:r>
        <w:t>The efficacy and feasibility of a fully automated, web-based acceptance-enhanced behavioral treatment for trichotillomania in adults: A randomized waitlist-controlled trial</w:t>
      </w:r>
    </w:p>
    <w:p w14:paraId="3C054F92" w14:textId="77777777" w:rsidR="0089571E" w:rsidRDefault="0089571E" w:rsidP="0089571E">
      <w:pPr>
        <w:spacing w:line="480" w:lineRule="auto"/>
        <w:jc w:val="center"/>
      </w:pPr>
    </w:p>
    <w:p w14:paraId="32CA55D4" w14:textId="77777777" w:rsidR="0089571E" w:rsidRDefault="0089571E" w:rsidP="0089571E">
      <w:pPr>
        <w:spacing w:line="480" w:lineRule="auto"/>
        <w:jc w:val="center"/>
      </w:pPr>
      <w:r>
        <w:t>Leila K. Capel, Julie M. Petersen, McKenzie R. Becker, Michael E. Levin, Michael P. Twohig</w:t>
      </w:r>
    </w:p>
    <w:p w14:paraId="174B6BED" w14:textId="77777777" w:rsidR="0089571E" w:rsidRDefault="0089571E" w:rsidP="0089571E">
      <w:pPr>
        <w:spacing w:line="480" w:lineRule="auto"/>
        <w:jc w:val="center"/>
      </w:pPr>
      <w:r>
        <w:t>Utah State University</w:t>
      </w:r>
    </w:p>
    <w:p w14:paraId="437828A2" w14:textId="77777777" w:rsidR="0089571E" w:rsidRDefault="0089571E" w:rsidP="0089571E">
      <w:pPr>
        <w:spacing w:line="480" w:lineRule="auto"/>
        <w:jc w:val="center"/>
      </w:pPr>
    </w:p>
    <w:p w14:paraId="73BB97E7" w14:textId="77777777" w:rsidR="0089571E" w:rsidRDefault="0089571E" w:rsidP="0089571E">
      <w:pPr>
        <w:spacing w:line="480" w:lineRule="auto"/>
        <w:jc w:val="center"/>
      </w:pPr>
    </w:p>
    <w:p w14:paraId="7EBF7CF0" w14:textId="77777777" w:rsidR="0089571E" w:rsidRPr="00D77F18" w:rsidRDefault="0089571E" w:rsidP="0089571E">
      <w:pPr>
        <w:spacing w:line="480" w:lineRule="auto"/>
        <w:jc w:val="center"/>
      </w:pPr>
    </w:p>
    <w:p w14:paraId="1329057E" w14:textId="77777777" w:rsidR="0089571E" w:rsidRDefault="0089571E" w:rsidP="0089571E">
      <w:pPr>
        <w:spacing w:line="480" w:lineRule="auto"/>
        <w:jc w:val="center"/>
        <w:rPr>
          <w:b/>
          <w:bCs/>
        </w:rPr>
      </w:pPr>
    </w:p>
    <w:p w14:paraId="27C46175" w14:textId="77777777" w:rsidR="0089571E" w:rsidRDefault="0089571E" w:rsidP="0089571E">
      <w:pPr>
        <w:spacing w:line="480" w:lineRule="auto"/>
        <w:jc w:val="center"/>
        <w:rPr>
          <w:b/>
          <w:bCs/>
        </w:rPr>
      </w:pPr>
    </w:p>
    <w:p w14:paraId="33DB7F33" w14:textId="77777777" w:rsidR="0089571E" w:rsidRDefault="0089571E" w:rsidP="0089571E">
      <w:pPr>
        <w:spacing w:line="480" w:lineRule="auto"/>
        <w:jc w:val="center"/>
        <w:rPr>
          <w:b/>
          <w:bCs/>
        </w:rPr>
      </w:pPr>
    </w:p>
    <w:p w14:paraId="06AB9C20" w14:textId="77777777" w:rsidR="0089571E" w:rsidRDefault="0089571E" w:rsidP="0089571E">
      <w:pPr>
        <w:spacing w:line="480" w:lineRule="auto"/>
        <w:jc w:val="center"/>
        <w:rPr>
          <w:b/>
          <w:bCs/>
        </w:rPr>
      </w:pPr>
    </w:p>
    <w:p w14:paraId="00912DE1" w14:textId="77777777" w:rsidR="0089571E" w:rsidRDefault="0089571E" w:rsidP="0089571E">
      <w:pPr>
        <w:spacing w:line="480" w:lineRule="auto"/>
        <w:jc w:val="center"/>
        <w:rPr>
          <w:b/>
          <w:bCs/>
        </w:rPr>
      </w:pPr>
    </w:p>
    <w:p w14:paraId="5C99B155" w14:textId="77777777" w:rsidR="0089571E" w:rsidRPr="000B6620" w:rsidRDefault="0089571E" w:rsidP="0089571E">
      <w:pPr>
        <w:spacing w:line="480" w:lineRule="auto"/>
      </w:pPr>
      <w:r w:rsidRPr="000B6620">
        <w:t xml:space="preserve">Author Note: </w:t>
      </w:r>
    </w:p>
    <w:p w14:paraId="0F34E43F" w14:textId="77777777" w:rsidR="0089571E" w:rsidRPr="000B6620" w:rsidRDefault="0089571E" w:rsidP="0089571E">
      <w:pPr>
        <w:spacing w:line="480" w:lineRule="auto"/>
      </w:pPr>
      <w:r w:rsidRPr="000B6620">
        <w:t xml:space="preserve">This study was supported by funding from the Huntsman Foundation. Please address correspondence to Leila Capel at </w:t>
      </w:r>
      <w:hyperlink r:id="rId8" w:history="1">
        <w:r w:rsidRPr="000B6620">
          <w:rPr>
            <w:rStyle w:val="Hyperlink"/>
          </w:rPr>
          <w:t>leila.capel@usu.edu</w:t>
        </w:r>
      </w:hyperlink>
      <w:r w:rsidRPr="000B6620">
        <w:t xml:space="preserve">. </w:t>
      </w:r>
    </w:p>
    <w:p w14:paraId="5690AA02" w14:textId="77777777" w:rsidR="0089571E" w:rsidRDefault="0089571E" w:rsidP="005D67B7">
      <w:pPr>
        <w:spacing w:line="480" w:lineRule="auto"/>
        <w:jc w:val="center"/>
        <w:rPr>
          <w:b/>
          <w:bCs/>
        </w:rPr>
      </w:pPr>
    </w:p>
    <w:p w14:paraId="7FA47D53" w14:textId="77777777" w:rsidR="0089571E" w:rsidRDefault="0089571E" w:rsidP="005D67B7">
      <w:pPr>
        <w:spacing w:line="480" w:lineRule="auto"/>
        <w:jc w:val="center"/>
        <w:rPr>
          <w:b/>
          <w:bCs/>
        </w:rPr>
      </w:pPr>
    </w:p>
    <w:p w14:paraId="24A3D29A" w14:textId="77777777" w:rsidR="0089571E" w:rsidRDefault="0089571E" w:rsidP="005D67B7">
      <w:pPr>
        <w:spacing w:line="480" w:lineRule="auto"/>
        <w:jc w:val="center"/>
        <w:rPr>
          <w:b/>
          <w:bCs/>
        </w:rPr>
      </w:pPr>
    </w:p>
    <w:p w14:paraId="2E0AAE7B" w14:textId="77777777" w:rsidR="0089571E" w:rsidRDefault="0089571E" w:rsidP="005D67B7">
      <w:pPr>
        <w:spacing w:line="480" w:lineRule="auto"/>
        <w:jc w:val="center"/>
        <w:rPr>
          <w:b/>
          <w:bCs/>
        </w:rPr>
      </w:pPr>
    </w:p>
    <w:p w14:paraId="745D13FB" w14:textId="77777777" w:rsidR="0089571E" w:rsidRDefault="0089571E" w:rsidP="005D67B7">
      <w:pPr>
        <w:spacing w:line="480" w:lineRule="auto"/>
        <w:jc w:val="center"/>
        <w:rPr>
          <w:b/>
          <w:bCs/>
        </w:rPr>
      </w:pPr>
    </w:p>
    <w:p w14:paraId="3D0AC833" w14:textId="77777777" w:rsidR="0089571E" w:rsidRDefault="0089571E" w:rsidP="005D67B7">
      <w:pPr>
        <w:spacing w:line="480" w:lineRule="auto"/>
        <w:jc w:val="center"/>
        <w:rPr>
          <w:b/>
          <w:bCs/>
        </w:rPr>
      </w:pPr>
    </w:p>
    <w:p w14:paraId="3444189F" w14:textId="31D46A9D" w:rsidR="00DD592C" w:rsidRDefault="00906397" w:rsidP="005D67B7">
      <w:pPr>
        <w:spacing w:line="480" w:lineRule="auto"/>
        <w:jc w:val="center"/>
        <w:rPr>
          <w:b/>
          <w:bCs/>
        </w:rPr>
      </w:pPr>
      <w:r>
        <w:rPr>
          <w:b/>
          <w:bCs/>
        </w:rPr>
        <w:lastRenderedPageBreak/>
        <w:t>Abstract</w:t>
      </w:r>
    </w:p>
    <w:p w14:paraId="3371605B" w14:textId="44AA3DE6" w:rsidR="00DD592C" w:rsidRDefault="00DD592C" w:rsidP="00DD592C">
      <w:pPr>
        <w:shd w:val="clear" w:color="auto" w:fill="FFFFFF"/>
        <w:spacing w:line="480" w:lineRule="auto"/>
        <w:ind w:firstLine="720"/>
        <w:textAlignment w:val="baseline"/>
      </w:pPr>
      <w:r>
        <w:rPr>
          <w:color w:val="000000"/>
        </w:rPr>
        <w:t>T</w:t>
      </w:r>
      <w:r w:rsidRPr="007D360B">
        <w:rPr>
          <w:color w:val="000000"/>
        </w:rPr>
        <w:t xml:space="preserve">reatment access </w:t>
      </w:r>
      <w:r>
        <w:rPr>
          <w:color w:val="000000"/>
        </w:rPr>
        <w:t xml:space="preserve">for those with trichotillomania is </w:t>
      </w:r>
      <w:r w:rsidRPr="007D360B">
        <w:rPr>
          <w:color w:val="000000"/>
        </w:rPr>
        <w:t>limited by</w:t>
      </w:r>
      <w:r>
        <w:rPr>
          <w:color w:val="000000"/>
        </w:rPr>
        <w:t xml:space="preserve"> several</w:t>
      </w:r>
      <w:r w:rsidRPr="007D360B">
        <w:rPr>
          <w:color w:val="000000"/>
        </w:rPr>
        <w:t xml:space="preserve"> issues including pro</w:t>
      </w:r>
      <w:r>
        <w:rPr>
          <w:color w:val="000000"/>
        </w:rPr>
        <w:t>f</w:t>
      </w:r>
      <w:r w:rsidRPr="007D360B">
        <w:rPr>
          <w:color w:val="000000"/>
        </w:rPr>
        <w:t>essionals’ lack of knowledge of the disorder</w:t>
      </w:r>
      <w:r>
        <w:rPr>
          <w:color w:val="000000"/>
        </w:rPr>
        <w:t>, proximity to providers, and financial constraints</w:t>
      </w:r>
      <w:r w:rsidR="00264B48">
        <w:rPr>
          <w:color w:val="000000"/>
        </w:rPr>
        <w:t>. A</w:t>
      </w:r>
      <w:r>
        <w:t>cceptance-enhanced behavioral therapy (AEBT</w:t>
      </w:r>
      <w:r w:rsidR="00AE79CC">
        <w:t xml:space="preserve">) </w:t>
      </w:r>
      <w:r w:rsidRPr="007D360B">
        <w:t xml:space="preserve">has been implemented </w:t>
      </w:r>
      <w:r w:rsidR="008066EF">
        <w:t xml:space="preserve">in groups and </w:t>
      </w:r>
      <w:r w:rsidRPr="007D360B">
        <w:t>using telehealth to reach a larger populatio</w:t>
      </w:r>
      <w:r>
        <w:t>n</w:t>
      </w:r>
      <w:r w:rsidR="00AE79CC">
        <w:t>. However,</w:t>
      </w:r>
      <w:r w:rsidRPr="007D360B">
        <w:t xml:space="preserve"> </w:t>
      </w:r>
      <w:r w:rsidR="008066EF">
        <w:t xml:space="preserve">these methods </w:t>
      </w:r>
      <w:r w:rsidRPr="007D360B">
        <w:t>still require therapist time and incur notable costs</w:t>
      </w:r>
      <w:r w:rsidR="00AE79CC">
        <w:t xml:space="preserve">. </w:t>
      </w:r>
      <w:r w:rsidRPr="007D360B">
        <w:rPr>
          <w:color w:val="000000"/>
        </w:rPr>
        <w:t>This study aim</w:t>
      </w:r>
      <w:r>
        <w:rPr>
          <w:color w:val="000000"/>
        </w:rPr>
        <w:t>ed</w:t>
      </w:r>
      <w:r w:rsidRPr="007D360B">
        <w:rPr>
          <w:color w:val="000000"/>
        </w:rPr>
        <w:t xml:space="preserve"> </w:t>
      </w:r>
      <w:r w:rsidRPr="007D360B">
        <w:t xml:space="preserve">to address the gap in trichotillomania treatment accessibility by examining the feasibility and efficacy of a </w:t>
      </w:r>
      <w:r w:rsidR="005E31DC">
        <w:t>self-guided</w:t>
      </w:r>
      <w:r w:rsidR="00F95ABE">
        <w:t>,</w:t>
      </w:r>
      <w:r w:rsidR="005E31DC">
        <w:t xml:space="preserve"> </w:t>
      </w:r>
      <w:r w:rsidRPr="007D360B">
        <w:t xml:space="preserve">web-based </w:t>
      </w:r>
      <w:r>
        <w:t>AEBT</w:t>
      </w:r>
      <w:r w:rsidRPr="007D360B">
        <w:t xml:space="preserve"> treatment for adults with trichotillomania across the United States.</w:t>
      </w:r>
      <w:r>
        <w:t xml:space="preserve"> </w:t>
      </w:r>
      <w:r w:rsidR="008066EF">
        <w:t>Participants completed</w:t>
      </w:r>
      <w:r>
        <w:t xml:space="preserve"> an eight-module asynchronous program over eight weeks. The effects of the website were</w:t>
      </w:r>
      <w:r w:rsidR="000B0ED4">
        <w:t xml:space="preserve"> tested with 81 adults with trichotillomania randomized into a treatment and waitlist condition.</w:t>
      </w:r>
      <w:r>
        <w:t xml:space="preserve"> Results demonstrated</w:t>
      </w:r>
      <w:r w:rsidR="00AE79CC">
        <w:t xml:space="preserve"> statistically stronger decreases in the treatment condition over the waitlist condition across outcomes including trichotillomania symptoms severity,</w:t>
      </w:r>
      <w:r w:rsidR="000B0ED4">
        <w:t xml:space="preserve"> trichotillomania-related psychological flexibility, well-being, </w:t>
      </w:r>
      <w:r w:rsidR="00AE79CC">
        <w:t xml:space="preserve">total distress, depression, and stress. </w:t>
      </w:r>
      <w:r w:rsidR="005E31DC">
        <w:t>Treatment effects were maintained</w:t>
      </w:r>
      <w:r w:rsidR="008066EF">
        <w:t xml:space="preserve"> at </w:t>
      </w:r>
      <w:r w:rsidR="004F4EBB">
        <w:t xml:space="preserve">one month </w:t>
      </w:r>
      <w:r w:rsidR="00AE79CC">
        <w:t xml:space="preserve">follow-up. </w:t>
      </w:r>
      <w:r w:rsidR="00FC6F1E">
        <w:t>A</w:t>
      </w:r>
      <w:r>
        <w:t>nxiety did not significantly decrease between conditions</w:t>
      </w:r>
      <w:r w:rsidR="004E3838">
        <w:t>,</w:t>
      </w:r>
      <w:r>
        <w:t xml:space="preserve"> but </w:t>
      </w:r>
      <w:r w:rsidR="006424A6">
        <w:t xml:space="preserve">a </w:t>
      </w:r>
      <w:r>
        <w:t xml:space="preserve">significant decrease </w:t>
      </w:r>
      <w:r w:rsidR="00FC6F1E">
        <w:t>w</w:t>
      </w:r>
      <w:r w:rsidR="006424A6">
        <w:t>as</w:t>
      </w:r>
      <w:r w:rsidR="00FC6F1E">
        <w:t xml:space="preserve"> found </w:t>
      </w:r>
      <w:r>
        <w:t>across time. Of participants in the treatment condition, 52.</w:t>
      </w:r>
      <w:r w:rsidR="004F4EBB">
        <w:t>8</w:t>
      </w:r>
      <w:r>
        <w:t xml:space="preserve">% </w:t>
      </w:r>
      <w:r w:rsidR="004E3838">
        <w:t>(</w:t>
      </w:r>
      <w:r w:rsidR="00FC6F1E">
        <w:t xml:space="preserve">vs </w:t>
      </w:r>
      <w:r w:rsidR="006424A6">
        <w:t>15%</w:t>
      </w:r>
      <w:r w:rsidR="00FC6F1E">
        <w:t xml:space="preserve"> for waitlist</w:t>
      </w:r>
      <w:r w:rsidR="004E3838">
        <w:t>)</w:t>
      </w:r>
      <w:r w:rsidR="00FC6F1E">
        <w:t xml:space="preserve"> </w:t>
      </w:r>
      <w:r>
        <w:t xml:space="preserve">met treatment responder status from pre- to post-treatment and 30.5% </w:t>
      </w:r>
      <w:r w:rsidR="004E3838">
        <w:t>(</w:t>
      </w:r>
      <w:r w:rsidR="00FC6F1E">
        <w:t xml:space="preserve">vs </w:t>
      </w:r>
      <w:r w:rsidR="00B40CA0">
        <w:t xml:space="preserve">10% </w:t>
      </w:r>
      <w:r w:rsidR="00FC6F1E">
        <w:t>for waitlist</w:t>
      </w:r>
      <w:r w:rsidR="004E3838">
        <w:t>)</w:t>
      </w:r>
      <w:r w:rsidR="00FC6F1E">
        <w:t xml:space="preserve"> </w:t>
      </w:r>
      <w:r>
        <w:t>met responder status from pre-treatment to follow-up. Implications of these</w:t>
      </w:r>
      <w:r w:rsidR="00EE29E0">
        <w:t xml:space="preserve"> preliminary</w:t>
      </w:r>
      <w:r>
        <w:t xml:space="preserve"> findings are discussed. </w:t>
      </w:r>
    </w:p>
    <w:p w14:paraId="1F8A5FAC" w14:textId="370263D4" w:rsidR="00DD592C" w:rsidRDefault="00906397" w:rsidP="006144EE">
      <w:pPr>
        <w:shd w:val="clear" w:color="auto" w:fill="FFFFFF"/>
        <w:spacing w:line="480" w:lineRule="auto"/>
        <w:textAlignment w:val="baseline"/>
      </w:pPr>
      <w:r>
        <w:rPr>
          <w:i/>
          <w:iCs/>
        </w:rPr>
        <w:t xml:space="preserve">Keywords: </w:t>
      </w:r>
      <w:r w:rsidR="006144EE">
        <w:t>a</w:t>
      </w:r>
      <w:r>
        <w:t xml:space="preserve">cceptance and </w:t>
      </w:r>
      <w:r w:rsidR="006144EE">
        <w:t>c</w:t>
      </w:r>
      <w:r>
        <w:t xml:space="preserve">ommitment </w:t>
      </w:r>
      <w:r w:rsidR="006144EE">
        <w:t>t</w:t>
      </w:r>
      <w:r>
        <w:t xml:space="preserve">herapy, </w:t>
      </w:r>
      <w:r w:rsidR="00663B6F">
        <w:t>AEBT</w:t>
      </w:r>
      <w:r>
        <w:t xml:space="preserve">, </w:t>
      </w:r>
      <w:r w:rsidR="00061606">
        <w:t>treatment</w:t>
      </w:r>
      <w:r>
        <w:t>, website, adults, trichotillomania</w:t>
      </w:r>
    </w:p>
    <w:p w14:paraId="515E56DD" w14:textId="77777777" w:rsidR="00B40CA0" w:rsidRDefault="00B40CA0" w:rsidP="00DD592C">
      <w:pPr>
        <w:shd w:val="clear" w:color="auto" w:fill="FFFFFF"/>
        <w:spacing w:line="480" w:lineRule="auto"/>
        <w:jc w:val="center"/>
        <w:textAlignment w:val="baseline"/>
        <w:rPr>
          <w:b/>
          <w:bCs/>
          <w:color w:val="000000"/>
        </w:rPr>
      </w:pPr>
    </w:p>
    <w:p w14:paraId="6F466F4F" w14:textId="77777777" w:rsidR="00264B48" w:rsidRDefault="00264B48" w:rsidP="00DD592C">
      <w:pPr>
        <w:shd w:val="clear" w:color="auto" w:fill="FFFFFF"/>
        <w:spacing w:line="480" w:lineRule="auto"/>
        <w:jc w:val="center"/>
        <w:textAlignment w:val="baseline"/>
        <w:rPr>
          <w:b/>
          <w:bCs/>
          <w:color w:val="000000"/>
        </w:rPr>
      </w:pPr>
    </w:p>
    <w:p w14:paraId="68AF1B37" w14:textId="77777777" w:rsidR="00B010D9" w:rsidRDefault="00B010D9" w:rsidP="00DD592C">
      <w:pPr>
        <w:shd w:val="clear" w:color="auto" w:fill="FFFFFF"/>
        <w:spacing w:line="480" w:lineRule="auto"/>
        <w:jc w:val="center"/>
        <w:textAlignment w:val="baseline"/>
        <w:rPr>
          <w:b/>
          <w:bCs/>
          <w:color w:val="000000"/>
        </w:rPr>
      </w:pPr>
    </w:p>
    <w:p w14:paraId="1A851072" w14:textId="128DE5A1" w:rsidR="00DD592C" w:rsidRPr="007D360B" w:rsidRDefault="006144EE" w:rsidP="00DD592C">
      <w:pPr>
        <w:shd w:val="clear" w:color="auto" w:fill="FFFFFF"/>
        <w:spacing w:line="480" w:lineRule="auto"/>
        <w:jc w:val="center"/>
        <w:textAlignment w:val="baseline"/>
        <w:rPr>
          <w:b/>
          <w:bCs/>
          <w:color w:val="000000"/>
        </w:rPr>
      </w:pPr>
      <w:r>
        <w:rPr>
          <w:b/>
          <w:bCs/>
          <w:color w:val="000000"/>
        </w:rPr>
        <w:lastRenderedPageBreak/>
        <w:t>Introduction</w:t>
      </w:r>
    </w:p>
    <w:p w14:paraId="7DD49969" w14:textId="24515EC4" w:rsidR="008508F7" w:rsidRDefault="00DD592C" w:rsidP="008508F7">
      <w:pPr>
        <w:shd w:val="clear" w:color="auto" w:fill="FFFFFF"/>
        <w:spacing w:line="480" w:lineRule="auto"/>
        <w:ind w:firstLine="720"/>
        <w:textAlignment w:val="baseline"/>
        <w:rPr>
          <w:bCs/>
          <w:color w:val="000000"/>
        </w:rPr>
      </w:pPr>
      <w:r w:rsidRPr="007D360B">
        <w:rPr>
          <w:color w:val="000000"/>
        </w:rPr>
        <w:t xml:space="preserve">Trichotillomania is characterized by hair pulling that is </w:t>
      </w:r>
      <w:r w:rsidR="00EB6E8B">
        <w:rPr>
          <w:color w:val="000000"/>
        </w:rPr>
        <w:t xml:space="preserve">repetitive, </w:t>
      </w:r>
      <w:r w:rsidRPr="007D360B">
        <w:rPr>
          <w:color w:val="000000"/>
        </w:rPr>
        <w:t>leads to notable hair loss</w:t>
      </w:r>
      <w:r w:rsidR="00EB6E8B">
        <w:rPr>
          <w:color w:val="000000"/>
        </w:rPr>
        <w:t>,</w:t>
      </w:r>
      <w:r>
        <w:rPr>
          <w:color w:val="000000"/>
        </w:rPr>
        <w:t xml:space="preserve"> </w:t>
      </w:r>
      <w:r w:rsidR="00EB6E8B">
        <w:rPr>
          <w:color w:val="000000"/>
        </w:rPr>
        <w:t xml:space="preserve">and </w:t>
      </w:r>
      <w:r w:rsidRPr="007D360B">
        <w:rPr>
          <w:color w:val="000000"/>
        </w:rPr>
        <w:t xml:space="preserve">causes clinically significant distress and impairments across social and functional domains </w:t>
      </w:r>
      <w:r w:rsidRPr="007D360B">
        <w:rPr>
          <w:noProof/>
          <w:color w:val="000000"/>
        </w:rPr>
        <w:t>(A</w:t>
      </w:r>
      <w:r w:rsidR="004F4EBB">
        <w:rPr>
          <w:noProof/>
          <w:color w:val="000000"/>
        </w:rPr>
        <w:t>merican Psychiatric Association [APA]</w:t>
      </w:r>
      <w:r w:rsidRPr="007D360B">
        <w:rPr>
          <w:noProof/>
          <w:color w:val="000000"/>
        </w:rPr>
        <w:t>, 2013)</w:t>
      </w:r>
      <w:r w:rsidRPr="007D360B">
        <w:rPr>
          <w:color w:val="000000"/>
        </w:rPr>
        <w:t xml:space="preserve">. The social impairment </w:t>
      </w:r>
      <w:r w:rsidR="00F05115">
        <w:rPr>
          <w:color w:val="000000"/>
        </w:rPr>
        <w:t xml:space="preserve">caused by </w:t>
      </w:r>
      <w:r w:rsidRPr="007D360B">
        <w:rPr>
          <w:color w:val="000000"/>
        </w:rPr>
        <w:t xml:space="preserve">trichotillomania includes </w:t>
      </w:r>
      <w:r>
        <w:rPr>
          <w:color w:val="000000"/>
        </w:rPr>
        <w:t>negative impact on</w:t>
      </w:r>
      <w:r w:rsidRPr="007D360B">
        <w:rPr>
          <w:color w:val="000000"/>
        </w:rPr>
        <w:t xml:space="preserve"> close relationships, </w:t>
      </w:r>
      <w:r>
        <w:rPr>
          <w:color w:val="000000"/>
        </w:rPr>
        <w:t xml:space="preserve">reduced likelihood of </w:t>
      </w:r>
      <w:r w:rsidRPr="007D360B">
        <w:rPr>
          <w:color w:val="000000"/>
        </w:rPr>
        <w:t xml:space="preserve">pursuing occupational changes or advancement, </w:t>
      </w:r>
      <w:r>
        <w:rPr>
          <w:color w:val="000000"/>
        </w:rPr>
        <w:t>and</w:t>
      </w:r>
      <w:r w:rsidRPr="007D360B">
        <w:rPr>
          <w:color w:val="000000"/>
        </w:rPr>
        <w:t xml:space="preserve"> interfer</w:t>
      </w:r>
      <w:r>
        <w:rPr>
          <w:color w:val="000000"/>
        </w:rPr>
        <w:t>ence</w:t>
      </w:r>
      <w:r w:rsidRPr="007D360B">
        <w:rPr>
          <w:color w:val="000000"/>
        </w:rPr>
        <w:t xml:space="preserve"> with schooling </w:t>
      </w:r>
      <w:r w:rsidRPr="007D360B">
        <w:rPr>
          <w:noProof/>
          <w:color w:val="000000"/>
        </w:rPr>
        <w:t>(Grant et al., 2017; Woods</w:t>
      </w:r>
      <w:r w:rsidR="00404B7E">
        <w:rPr>
          <w:noProof/>
          <w:color w:val="000000"/>
        </w:rPr>
        <w:t xml:space="preserve">, </w:t>
      </w:r>
      <w:r w:rsidRPr="007D360B">
        <w:rPr>
          <w:noProof/>
          <w:color w:val="000000"/>
        </w:rPr>
        <w:t>et al., 2006)</w:t>
      </w:r>
      <w:r w:rsidRPr="007D360B">
        <w:rPr>
          <w:color w:val="000000"/>
        </w:rPr>
        <w:t xml:space="preserve">. Despite prevalence rates </w:t>
      </w:r>
      <w:r w:rsidR="007314A0">
        <w:rPr>
          <w:color w:val="000000"/>
        </w:rPr>
        <w:t xml:space="preserve">between 1-2% of the population in the United States (Duke et al., 2010) </w:t>
      </w:r>
      <w:r w:rsidRPr="007D360B">
        <w:rPr>
          <w:color w:val="000000"/>
        </w:rPr>
        <w:t>and associated impacts across physical, social and functional domains, treatment is not widely available or understood</w:t>
      </w:r>
      <w:r w:rsidR="00F95ABE">
        <w:rPr>
          <w:color w:val="000000"/>
        </w:rPr>
        <w:t>. There also is a lack of</w:t>
      </w:r>
      <w:r w:rsidRPr="007D360B">
        <w:rPr>
          <w:color w:val="000000"/>
        </w:rPr>
        <w:t xml:space="preserve"> widespread knowledge of resources for referral if needed </w:t>
      </w:r>
      <w:r>
        <w:rPr>
          <w:noProof/>
          <w:color w:val="000000"/>
        </w:rPr>
        <w:t>(Marcks et al., 2006)</w:t>
      </w:r>
      <w:r w:rsidRPr="007D360B">
        <w:rPr>
          <w:color w:val="000000"/>
        </w:rPr>
        <w:t>.</w:t>
      </w:r>
      <w:r w:rsidR="00714E9D">
        <w:rPr>
          <w:color w:val="000000"/>
        </w:rPr>
        <w:t xml:space="preserve"> </w:t>
      </w:r>
      <w:r w:rsidR="00794703">
        <w:rPr>
          <w:bCs/>
          <w:color w:val="000000"/>
        </w:rPr>
        <w:t>As such, research on</w:t>
      </w:r>
      <w:r w:rsidR="002E3AA3">
        <w:rPr>
          <w:bCs/>
          <w:color w:val="000000"/>
        </w:rPr>
        <w:t xml:space="preserve"> efficacious treatments is vital. </w:t>
      </w:r>
    </w:p>
    <w:p w14:paraId="6F952A4F" w14:textId="47BB08C6" w:rsidR="00DD592C" w:rsidRDefault="00B40CA0" w:rsidP="00700993">
      <w:pPr>
        <w:shd w:val="clear" w:color="auto" w:fill="FFFFFF"/>
        <w:spacing w:line="480" w:lineRule="auto"/>
        <w:ind w:firstLine="720"/>
        <w:textAlignment w:val="baseline"/>
      </w:pPr>
      <w:r>
        <w:rPr>
          <w:bCs/>
          <w:color w:val="000000"/>
        </w:rPr>
        <w:t>A combined treatment of acceptance and commitment therapy (ACT) and habit reversal training (HRT)</w:t>
      </w:r>
      <w:r w:rsidR="00FF2A7F">
        <w:rPr>
          <w:bCs/>
          <w:color w:val="000000"/>
        </w:rPr>
        <w:t>,</w:t>
      </w:r>
      <w:r>
        <w:rPr>
          <w:bCs/>
          <w:color w:val="000000"/>
        </w:rPr>
        <w:t xml:space="preserve"> also know</w:t>
      </w:r>
      <w:r w:rsidR="004116E7">
        <w:rPr>
          <w:bCs/>
          <w:color w:val="000000"/>
        </w:rPr>
        <w:t>n</w:t>
      </w:r>
      <w:r>
        <w:rPr>
          <w:bCs/>
          <w:color w:val="000000"/>
        </w:rPr>
        <w:t xml:space="preserve"> as acceptance-enhanced behavior therapy (AEBT)</w:t>
      </w:r>
      <w:r w:rsidR="00FF2A7F">
        <w:rPr>
          <w:bCs/>
          <w:color w:val="000000"/>
        </w:rPr>
        <w:t>,</w:t>
      </w:r>
      <w:r>
        <w:rPr>
          <w:bCs/>
          <w:color w:val="000000"/>
        </w:rPr>
        <w:t xml:space="preserve"> is gaining empirical support</w:t>
      </w:r>
      <w:r w:rsidR="0003206F">
        <w:rPr>
          <w:bCs/>
          <w:color w:val="000000"/>
        </w:rPr>
        <w:t xml:space="preserve"> (e.g., </w:t>
      </w:r>
      <w:r w:rsidR="00800112">
        <w:rPr>
          <w:bCs/>
          <w:color w:val="000000"/>
        </w:rPr>
        <w:t xml:space="preserve">Woods, Ely, Bauer, et al., </w:t>
      </w:r>
      <w:proofErr w:type="gramStart"/>
      <w:r w:rsidR="00800112">
        <w:rPr>
          <w:bCs/>
          <w:color w:val="000000"/>
        </w:rPr>
        <w:t>2022;</w:t>
      </w:r>
      <w:r w:rsidR="0003206F">
        <w:rPr>
          <w:bCs/>
          <w:color w:val="000000"/>
        </w:rPr>
        <w:t>Twohig</w:t>
      </w:r>
      <w:proofErr w:type="gramEnd"/>
      <w:r w:rsidR="0003206F">
        <w:rPr>
          <w:bCs/>
          <w:color w:val="000000"/>
        </w:rPr>
        <w:t xml:space="preserve"> et al., 2021; Lee, </w:t>
      </w:r>
      <w:proofErr w:type="spellStart"/>
      <w:r w:rsidR="0003206F">
        <w:rPr>
          <w:bCs/>
          <w:color w:val="000000"/>
        </w:rPr>
        <w:t>Haeger</w:t>
      </w:r>
      <w:proofErr w:type="spellEnd"/>
      <w:r w:rsidR="0003206F">
        <w:rPr>
          <w:bCs/>
          <w:color w:val="000000"/>
        </w:rPr>
        <w:t>, et al., 2018, Lee, Homan, et al, 2018)</w:t>
      </w:r>
      <w:r>
        <w:rPr>
          <w:bCs/>
          <w:color w:val="000000"/>
        </w:rPr>
        <w:t>. A key component of AEBT</w:t>
      </w:r>
      <w:r w:rsidR="007314A0">
        <w:rPr>
          <w:bCs/>
          <w:color w:val="000000"/>
        </w:rPr>
        <w:t>,</w:t>
      </w:r>
      <w:r>
        <w:rPr>
          <w:bCs/>
          <w:color w:val="000000"/>
        </w:rPr>
        <w:t xml:space="preserve"> that is not included in HRT alone</w:t>
      </w:r>
      <w:r w:rsidR="007314A0">
        <w:rPr>
          <w:bCs/>
          <w:color w:val="000000"/>
        </w:rPr>
        <w:t>,</w:t>
      </w:r>
      <w:r>
        <w:rPr>
          <w:bCs/>
          <w:color w:val="000000"/>
        </w:rPr>
        <w:t xml:space="preserve"> is a focus on psychological inflexibility. Psychological inflexibility refers to when thoughts</w:t>
      </w:r>
      <w:r w:rsidR="00FF2A7F">
        <w:rPr>
          <w:bCs/>
          <w:color w:val="000000"/>
        </w:rPr>
        <w:t>, urges</w:t>
      </w:r>
      <w:r>
        <w:rPr>
          <w:bCs/>
          <w:color w:val="000000"/>
        </w:rPr>
        <w:t xml:space="preserve"> and </w:t>
      </w:r>
      <w:r w:rsidR="00FF2A7F">
        <w:rPr>
          <w:bCs/>
          <w:color w:val="000000"/>
        </w:rPr>
        <w:t xml:space="preserve">other </w:t>
      </w:r>
      <w:r>
        <w:rPr>
          <w:bCs/>
          <w:color w:val="000000"/>
        </w:rPr>
        <w:t xml:space="preserve">internal </w:t>
      </w:r>
      <w:r w:rsidR="00DE64C5">
        <w:rPr>
          <w:bCs/>
          <w:color w:val="000000"/>
        </w:rPr>
        <w:t xml:space="preserve">experiences </w:t>
      </w:r>
      <w:r w:rsidR="00FF2A7F">
        <w:rPr>
          <w:bCs/>
          <w:color w:val="000000"/>
        </w:rPr>
        <w:t>excessively govern an individuals’ behavior, rather than one’s values</w:t>
      </w:r>
      <w:r w:rsidR="0003206F">
        <w:rPr>
          <w:bCs/>
          <w:color w:val="000000"/>
        </w:rPr>
        <w:t xml:space="preserve"> (Hayes et al.</w:t>
      </w:r>
      <w:proofErr w:type="gramStart"/>
      <w:r w:rsidR="0003206F">
        <w:rPr>
          <w:bCs/>
          <w:color w:val="000000"/>
        </w:rPr>
        <w:t>,  2006</w:t>
      </w:r>
      <w:proofErr w:type="gramEnd"/>
      <w:r w:rsidR="0003206F">
        <w:rPr>
          <w:bCs/>
          <w:color w:val="000000"/>
        </w:rPr>
        <w:t>)</w:t>
      </w:r>
      <w:r w:rsidR="00DE64C5">
        <w:rPr>
          <w:bCs/>
          <w:color w:val="000000"/>
        </w:rPr>
        <w:t xml:space="preserve">. </w:t>
      </w:r>
      <w:r w:rsidR="00FB7D45">
        <w:rPr>
          <w:bCs/>
          <w:color w:val="000000"/>
        </w:rPr>
        <w:t>Higher trichotillomania symptom severity</w:t>
      </w:r>
      <w:r w:rsidR="0054633A">
        <w:rPr>
          <w:bCs/>
          <w:color w:val="000000"/>
        </w:rPr>
        <w:t xml:space="preserve"> is related to greater </w:t>
      </w:r>
      <w:r w:rsidR="00DD592C" w:rsidRPr="007D360B">
        <w:rPr>
          <w:color w:val="000000"/>
        </w:rPr>
        <w:t xml:space="preserve">psychological inflexibility </w:t>
      </w:r>
      <w:r w:rsidR="00DD592C">
        <w:rPr>
          <w:noProof/>
          <w:color w:val="000000"/>
        </w:rPr>
        <w:t>(Begotka et al., 2004; Houghton et al., 2014</w:t>
      </w:r>
      <w:r w:rsidR="00DE64C5">
        <w:rPr>
          <w:color w:val="000000"/>
        </w:rPr>
        <w:t>)</w:t>
      </w:r>
      <w:r w:rsidR="006A1BE6">
        <w:rPr>
          <w:color w:val="000000"/>
        </w:rPr>
        <w:t>,</w:t>
      </w:r>
      <w:r w:rsidR="00DE64C5">
        <w:rPr>
          <w:color w:val="000000"/>
        </w:rPr>
        <w:t xml:space="preserve"> may be a risk factor for higher levels of impairment (Alexander et al., 2017; Houghton et al., 2014)</w:t>
      </w:r>
      <w:r w:rsidR="006A1BE6">
        <w:rPr>
          <w:color w:val="000000"/>
        </w:rPr>
        <w:t>, and is correlated with treatment outcomes (Houghton et al., 2017)</w:t>
      </w:r>
      <w:r w:rsidR="00DE64C5">
        <w:rPr>
          <w:color w:val="000000"/>
        </w:rPr>
        <w:t>.</w:t>
      </w:r>
      <w:r w:rsidR="009E6ED1">
        <w:rPr>
          <w:color w:val="000000"/>
        </w:rPr>
        <w:t xml:space="preserve"> </w:t>
      </w:r>
      <w:r w:rsidR="00A16762">
        <w:rPr>
          <w:color w:val="000000"/>
        </w:rPr>
        <w:t>P</w:t>
      </w:r>
      <w:r w:rsidR="005362A6">
        <w:rPr>
          <w:color w:val="000000"/>
        </w:rPr>
        <w:t xml:space="preserve">sychological </w:t>
      </w:r>
      <w:r w:rsidR="00FB7D45">
        <w:rPr>
          <w:color w:val="000000"/>
        </w:rPr>
        <w:t>in</w:t>
      </w:r>
      <w:r w:rsidR="005362A6">
        <w:rPr>
          <w:color w:val="000000"/>
        </w:rPr>
        <w:t xml:space="preserve">flexibility </w:t>
      </w:r>
      <w:r w:rsidR="00FB7D45">
        <w:rPr>
          <w:color w:val="000000"/>
        </w:rPr>
        <w:t>may</w:t>
      </w:r>
      <w:r w:rsidR="00A16762">
        <w:rPr>
          <w:color w:val="000000"/>
        </w:rPr>
        <w:t xml:space="preserve"> also</w:t>
      </w:r>
      <w:r w:rsidR="00FB7D45">
        <w:rPr>
          <w:color w:val="000000"/>
        </w:rPr>
        <w:t xml:space="preserve"> mediate </w:t>
      </w:r>
      <w:r w:rsidR="005362A6">
        <w:rPr>
          <w:color w:val="000000"/>
        </w:rPr>
        <w:t>the relationship between hair pulling severity</w:t>
      </w:r>
      <w:r w:rsidR="00130ED9">
        <w:rPr>
          <w:color w:val="000000"/>
        </w:rPr>
        <w:t xml:space="preserve"> and affect</w:t>
      </w:r>
      <w:r w:rsidR="0037106A">
        <w:rPr>
          <w:color w:val="000000"/>
        </w:rPr>
        <w:t xml:space="preserve"> (e.g., anxiety and depression; Houghton et al., 2014). </w:t>
      </w:r>
      <w:r w:rsidR="00130ED9">
        <w:rPr>
          <w:color w:val="000000"/>
        </w:rPr>
        <w:t xml:space="preserve">As psychological </w:t>
      </w:r>
      <w:r w:rsidR="009E6ED1">
        <w:rPr>
          <w:color w:val="000000"/>
        </w:rPr>
        <w:t>in</w:t>
      </w:r>
      <w:r w:rsidR="00130ED9">
        <w:rPr>
          <w:color w:val="000000"/>
        </w:rPr>
        <w:t xml:space="preserve">flexibility is a primary focus of AEBT, these findings </w:t>
      </w:r>
      <w:r w:rsidR="00C66669">
        <w:rPr>
          <w:color w:val="000000"/>
        </w:rPr>
        <w:t xml:space="preserve">suggest </w:t>
      </w:r>
      <w:r w:rsidR="00C66669">
        <w:rPr>
          <w:color w:val="000000"/>
        </w:rPr>
        <w:lastRenderedPageBreak/>
        <w:t xml:space="preserve">that </w:t>
      </w:r>
      <w:r w:rsidR="00130ED9">
        <w:rPr>
          <w:color w:val="000000"/>
        </w:rPr>
        <w:t xml:space="preserve">AEBT </w:t>
      </w:r>
      <w:r w:rsidR="00C66669">
        <w:rPr>
          <w:color w:val="000000"/>
        </w:rPr>
        <w:t xml:space="preserve">may be </w:t>
      </w:r>
      <w:r w:rsidR="00130ED9">
        <w:rPr>
          <w:color w:val="000000"/>
        </w:rPr>
        <w:t xml:space="preserve">a logical treatment </w:t>
      </w:r>
      <w:r w:rsidR="008A4067">
        <w:rPr>
          <w:color w:val="000000"/>
        </w:rPr>
        <w:t xml:space="preserve">focus </w:t>
      </w:r>
      <w:r w:rsidR="00130ED9">
        <w:rPr>
          <w:color w:val="000000"/>
        </w:rPr>
        <w:t xml:space="preserve">for individuals with trichotillomania. </w:t>
      </w:r>
      <w:r w:rsidR="00DD592C" w:rsidRPr="007D360B">
        <w:rPr>
          <w:color w:val="000000"/>
        </w:rPr>
        <w:t>Th</w:t>
      </w:r>
      <w:r w:rsidR="00DD592C">
        <w:rPr>
          <w:color w:val="000000"/>
        </w:rPr>
        <w:t>e</w:t>
      </w:r>
      <w:r w:rsidR="00DD592C" w:rsidRPr="007D360B">
        <w:rPr>
          <w:color w:val="000000"/>
        </w:rPr>
        <w:t xml:space="preserve"> </w:t>
      </w:r>
      <w:r w:rsidR="00822602">
        <w:rPr>
          <w:color w:val="000000"/>
        </w:rPr>
        <w:t>standard course of AEBT is 10 sessions and</w:t>
      </w:r>
      <w:r w:rsidR="00DD592C" w:rsidRPr="007D360B">
        <w:rPr>
          <w:color w:val="000000"/>
        </w:rPr>
        <w:t xml:space="preserve"> begins with HRT</w:t>
      </w:r>
      <w:r w:rsidR="000A7D22">
        <w:rPr>
          <w:color w:val="000000"/>
        </w:rPr>
        <w:t xml:space="preserve"> and general stimulus control procedures</w:t>
      </w:r>
      <w:r w:rsidR="00822602">
        <w:rPr>
          <w:color w:val="000000"/>
        </w:rPr>
        <w:t xml:space="preserve"> before transitioning </w:t>
      </w:r>
      <w:r w:rsidR="00DD592C" w:rsidRPr="007D360B">
        <w:rPr>
          <w:color w:val="000000"/>
        </w:rPr>
        <w:t xml:space="preserve">to ACT-focused sessions. This treatment is equipped to target automatic pulling </w:t>
      </w:r>
      <w:r w:rsidR="000A7D22">
        <w:rPr>
          <w:color w:val="000000"/>
        </w:rPr>
        <w:t xml:space="preserve">using HRT and stimulus control, </w:t>
      </w:r>
      <w:r w:rsidR="00DD592C" w:rsidRPr="007D360B">
        <w:rPr>
          <w:color w:val="000000"/>
        </w:rPr>
        <w:t xml:space="preserve">and ACT targets focused pulling by </w:t>
      </w:r>
      <w:r w:rsidR="00A46098">
        <w:rPr>
          <w:color w:val="000000"/>
        </w:rPr>
        <w:t xml:space="preserve">reducing psychological inflexibility and </w:t>
      </w:r>
      <w:r w:rsidR="00DD592C" w:rsidRPr="007D360B">
        <w:rPr>
          <w:color w:val="000000"/>
        </w:rPr>
        <w:t xml:space="preserve">increasing valued living </w:t>
      </w:r>
      <w:r w:rsidR="00DD592C" w:rsidRPr="007D360B">
        <w:rPr>
          <w:noProof/>
          <w:color w:val="000000"/>
        </w:rPr>
        <w:t>(Woods &amp; Twohig, 2008)</w:t>
      </w:r>
      <w:r w:rsidR="00DD592C" w:rsidRPr="007D360B">
        <w:rPr>
          <w:color w:val="000000"/>
        </w:rPr>
        <w:t>.</w:t>
      </w:r>
      <w:r w:rsidR="00E0139D">
        <w:rPr>
          <w:color w:val="000000"/>
        </w:rPr>
        <w:t xml:space="preserve"> Valued living refers to engaging in activities that are moving toward the individuals’ values (Hayes et al., 2006).</w:t>
      </w:r>
      <w:r w:rsidR="00DD592C" w:rsidRPr="007D360B">
        <w:rPr>
          <w:color w:val="000000"/>
        </w:rPr>
        <w:t xml:space="preserve"> </w:t>
      </w:r>
      <w:proofErr w:type="gramStart"/>
      <w:r w:rsidR="00DD592C" w:rsidRPr="007D360B">
        <w:t>At this time</w:t>
      </w:r>
      <w:proofErr w:type="gramEnd"/>
      <w:r w:rsidR="00DD592C" w:rsidRPr="007D360B">
        <w:t xml:space="preserve">, there are </w:t>
      </w:r>
      <w:r w:rsidR="008A4067">
        <w:t>nine</w:t>
      </w:r>
      <w:r w:rsidR="008A4067" w:rsidRPr="007D360B">
        <w:t xml:space="preserve"> </w:t>
      </w:r>
      <w:r w:rsidR="00DD592C">
        <w:t>studie</w:t>
      </w:r>
      <w:r w:rsidR="00DD592C" w:rsidRPr="007D360B">
        <w:t xml:space="preserve">s examining </w:t>
      </w:r>
      <w:r w:rsidR="00DD592C">
        <w:t>AEBT</w:t>
      </w:r>
      <w:r w:rsidR="00DD592C" w:rsidRPr="007D360B">
        <w:t xml:space="preserve"> and one </w:t>
      </w:r>
      <w:r w:rsidR="002E3AA3">
        <w:t>study</w:t>
      </w:r>
      <w:r w:rsidR="004D7231">
        <w:t xml:space="preserve"> </w:t>
      </w:r>
      <w:r w:rsidR="00DD592C" w:rsidRPr="007D360B">
        <w:t xml:space="preserve">examining ACT as a standalone treatment for trichotillomania. </w:t>
      </w:r>
    </w:p>
    <w:p w14:paraId="727D393F" w14:textId="60781BFB" w:rsidR="00130ED9" w:rsidRPr="007D360B" w:rsidRDefault="00224E3F" w:rsidP="00646315">
      <w:pPr>
        <w:shd w:val="clear" w:color="auto" w:fill="FFFFFF"/>
        <w:spacing w:line="480" w:lineRule="auto"/>
        <w:ind w:firstLine="720"/>
        <w:textAlignment w:val="baseline"/>
      </w:pPr>
      <w:r>
        <w:rPr>
          <w:color w:val="000000"/>
        </w:rPr>
        <w:t xml:space="preserve">The effectiveness of AEBT was first shown in a multiple baseline design with six participants </w:t>
      </w:r>
      <w:r w:rsidRPr="007D360B">
        <w:rPr>
          <w:noProof/>
        </w:rPr>
        <w:t>(Twohig &amp; Woods, 2004</w:t>
      </w:r>
      <w:r>
        <w:rPr>
          <w:noProof/>
        </w:rPr>
        <w:t>)</w:t>
      </w:r>
      <w:r>
        <w:rPr>
          <w:color w:val="000000"/>
        </w:rPr>
        <w:t xml:space="preserve">. Four were treatment responders at posttreatment and three were responders at follow-up. This study was followed by a small randomized clinical trial (RCT) where AEBT was compared to a waitlist with </w:t>
      </w:r>
      <w:r w:rsidR="00C66669">
        <w:rPr>
          <w:color w:val="000000"/>
        </w:rPr>
        <w:t>25</w:t>
      </w:r>
      <w:r w:rsidR="00DD592C">
        <w:rPr>
          <w:color w:val="000000"/>
        </w:rPr>
        <w:t xml:space="preserve"> participants with trichotillomania</w:t>
      </w:r>
      <w:r>
        <w:rPr>
          <w:color w:val="000000"/>
        </w:rPr>
        <w:t xml:space="preserve"> </w:t>
      </w:r>
      <w:r>
        <w:rPr>
          <w:noProof/>
          <w:color w:val="000000"/>
        </w:rPr>
        <w:t>(Woods</w:t>
      </w:r>
      <w:r w:rsidR="00C66669">
        <w:rPr>
          <w:noProof/>
          <w:color w:val="000000"/>
        </w:rPr>
        <w:t xml:space="preserve"> </w:t>
      </w:r>
      <w:r>
        <w:rPr>
          <w:noProof/>
          <w:color w:val="000000"/>
        </w:rPr>
        <w:t>et al., 2006)</w:t>
      </w:r>
      <w:r>
        <w:rPr>
          <w:color w:val="000000"/>
        </w:rPr>
        <w:t>.</w:t>
      </w:r>
      <w:r w:rsidR="00DD592C">
        <w:rPr>
          <w:color w:val="000000"/>
        </w:rPr>
        <w:t xml:space="preserve"> Results of this 10 session in-person study </w:t>
      </w:r>
      <w:r w:rsidR="00646315">
        <w:rPr>
          <w:color w:val="000000"/>
        </w:rPr>
        <w:t xml:space="preserve">showed that 66% of those in AEBT </w:t>
      </w:r>
      <w:r w:rsidR="00E20A41">
        <w:rPr>
          <w:color w:val="000000"/>
        </w:rPr>
        <w:t xml:space="preserve">condition </w:t>
      </w:r>
      <w:r w:rsidR="00646315">
        <w:rPr>
          <w:color w:val="000000"/>
        </w:rPr>
        <w:t xml:space="preserve">were considered treatment responders versus 6% in the waitlist. </w:t>
      </w:r>
      <w:r w:rsidR="00646315" w:rsidRPr="007D360B">
        <w:t xml:space="preserve">One </w:t>
      </w:r>
      <w:r w:rsidR="00646315">
        <w:t xml:space="preserve">effectiveness </w:t>
      </w:r>
      <w:r w:rsidR="00646315" w:rsidRPr="007D360B">
        <w:t xml:space="preserve">study examined </w:t>
      </w:r>
      <w:r w:rsidR="00646315">
        <w:t xml:space="preserve">10 sessions of </w:t>
      </w:r>
      <w:r w:rsidR="00646315" w:rsidRPr="007D360B">
        <w:t>ACT without combined behavioral treatment</w:t>
      </w:r>
      <w:r w:rsidR="00646315">
        <w:t xml:space="preserve"> for mixed adolescents and adults (N=39; </w:t>
      </w:r>
      <w:r w:rsidR="00646315" w:rsidRPr="007D360B">
        <w:rPr>
          <w:noProof/>
        </w:rPr>
        <w:t>Lee</w:t>
      </w:r>
      <w:r w:rsidR="00362BA5">
        <w:rPr>
          <w:noProof/>
        </w:rPr>
        <w:t xml:space="preserve"> </w:t>
      </w:r>
      <w:r w:rsidR="00646315" w:rsidRPr="007D360B">
        <w:rPr>
          <w:noProof/>
        </w:rPr>
        <w:t>et al., 2018</w:t>
      </w:r>
      <w:r w:rsidR="00646315">
        <w:rPr>
          <w:noProof/>
        </w:rPr>
        <w:t>)</w:t>
      </w:r>
      <w:r w:rsidR="00646315" w:rsidRPr="007D360B">
        <w:t xml:space="preserve">. </w:t>
      </w:r>
      <w:r w:rsidR="005C1A63">
        <w:t>It was found that the treatment group saw a 47% decrease in pulling versus no change in the waitlist</w:t>
      </w:r>
      <w:r w:rsidR="00366271">
        <w:t xml:space="preserve"> (Cohen’s </w:t>
      </w:r>
      <w:r w:rsidR="00366271">
        <w:rPr>
          <w:i/>
          <w:iCs/>
        </w:rPr>
        <w:t xml:space="preserve">d = 0.92; </w:t>
      </w:r>
      <w:r w:rsidR="00366271">
        <w:t>Lee et al., 2018)</w:t>
      </w:r>
      <w:r w:rsidR="005C1A63">
        <w:t xml:space="preserve">. </w:t>
      </w:r>
      <w:r w:rsidR="007951DD">
        <w:t xml:space="preserve">In a Finnish study, </w:t>
      </w:r>
      <w:r w:rsidR="002347A2" w:rsidRPr="007D360B">
        <w:t xml:space="preserve">53 participants with trichotillomania </w:t>
      </w:r>
      <w:r w:rsidR="007951DD">
        <w:t xml:space="preserve">were </w:t>
      </w:r>
      <w:r w:rsidR="002347A2" w:rsidRPr="007D360B">
        <w:t xml:space="preserve">placed into </w:t>
      </w:r>
      <w:r w:rsidR="007951DD">
        <w:t xml:space="preserve">AEBT </w:t>
      </w:r>
      <w:r w:rsidR="002347A2" w:rsidRPr="007D360B">
        <w:t xml:space="preserve">groups of 3-7 </w:t>
      </w:r>
      <w:r w:rsidR="002347A2">
        <w:t xml:space="preserve">that met for </w:t>
      </w:r>
      <w:r w:rsidR="002347A2" w:rsidRPr="007D360B">
        <w:t xml:space="preserve">three hours weekly over the course of 10 weeks. Results showed clinically significant reduction in symptom severity, </w:t>
      </w:r>
      <w:r w:rsidR="009B4E54">
        <w:t xml:space="preserve">with </w:t>
      </w:r>
      <w:r w:rsidR="002347A2" w:rsidRPr="007D360B">
        <w:t>87.5% of participants no longer me</w:t>
      </w:r>
      <w:r w:rsidR="009B4E54">
        <w:t xml:space="preserve">eting </w:t>
      </w:r>
      <w:r w:rsidR="002347A2" w:rsidRPr="007D360B">
        <w:t>criteria for trichotillomania</w:t>
      </w:r>
      <w:r w:rsidR="009B4E54">
        <w:t xml:space="preserve"> </w:t>
      </w:r>
      <w:r w:rsidR="009B4E54" w:rsidRPr="007D360B">
        <w:t>after treatment</w:t>
      </w:r>
      <w:r w:rsidR="009B4E54">
        <w:t>.</w:t>
      </w:r>
      <w:r w:rsidR="002347A2" w:rsidRPr="007D360B">
        <w:t xml:space="preserve"> </w:t>
      </w:r>
      <w:r w:rsidR="009B4E54">
        <w:t>These results</w:t>
      </w:r>
      <w:r w:rsidR="002347A2" w:rsidRPr="007D360B">
        <w:t xml:space="preserve"> w</w:t>
      </w:r>
      <w:r w:rsidR="009B4E54">
        <w:t>ere</w:t>
      </w:r>
      <w:r w:rsidR="002347A2" w:rsidRPr="007D360B">
        <w:t xml:space="preserve"> maintained by 60% of participants at one year follow-up </w:t>
      </w:r>
      <w:r w:rsidR="002347A2" w:rsidRPr="007D360B">
        <w:rPr>
          <w:noProof/>
        </w:rPr>
        <w:t>(</w:t>
      </w:r>
      <w:r w:rsidR="00366271">
        <w:rPr>
          <w:noProof/>
        </w:rPr>
        <w:t xml:space="preserve">Cohen’s </w:t>
      </w:r>
      <w:r w:rsidR="00366271">
        <w:rPr>
          <w:i/>
          <w:iCs/>
          <w:noProof/>
        </w:rPr>
        <w:t xml:space="preserve">d= </w:t>
      </w:r>
      <w:r w:rsidR="00366271">
        <w:rPr>
          <w:noProof/>
        </w:rPr>
        <w:t xml:space="preserve">1.03- 1.43; </w:t>
      </w:r>
      <w:r w:rsidR="002347A2" w:rsidRPr="007D360B">
        <w:rPr>
          <w:noProof/>
        </w:rPr>
        <w:t>Haaland, 2017)</w:t>
      </w:r>
      <w:r w:rsidR="002347A2" w:rsidRPr="007D360B">
        <w:t xml:space="preserve">. </w:t>
      </w:r>
      <w:r w:rsidR="008A4067">
        <w:t xml:space="preserve">The largest AEBT study do date was recently published with 78 adults with trichotillomania. The study compared AEBT to </w:t>
      </w:r>
      <w:r w:rsidR="008A4067">
        <w:lastRenderedPageBreak/>
        <w:t>psychoeducation and supportive therapy. AEBT showed moderate effect size differences from the control condition on trichotillomania severity</w:t>
      </w:r>
      <w:r w:rsidR="009F4BB3">
        <w:t xml:space="preserve"> (Woods et </w:t>
      </w:r>
      <w:proofErr w:type="gramStart"/>
      <w:r w:rsidR="009F4BB3">
        <w:t>al,.</w:t>
      </w:r>
      <w:proofErr w:type="gramEnd"/>
      <w:r w:rsidR="009F4BB3">
        <w:t xml:space="preserve"> 2022)</w:t>
      </w:r>
      <w:r w:rsidR="008A4067">
        <w:t xml:space="preserve">. </w:t>
      </w:r>
    </w:p>
    <w:p w14:paraId="21818513" w14:textId="37C0537C" w:rsidR="00DD592C" w:rsidRDefault="00130ED9" w:rsidP="00130ED9">
      <w:pPr>
        <w:shd w:val="clear" w:color="auto" w:fill="FFFFFF"/>
        <w:spacing w:line="480" w:lineRule="auto"/>
        <w:ind w:firstLine="720"/>
        <w:textAlignment w:val="baseline"/>
      </w:pPr>
      <w:r>
        <w:rPr>
          <w:color w:val="000000"/>
        </w:rPr>
        <w:t>T</w:t>
      </w:r>
      <w:r w:rsidR="002347A2">
        <w:t>o help address the concerns related to treatment access, two studies assessed AEBT over telehealth (</w:t>
      </w:r>
      <w:r w:rsidR="002347A2" w:rsidRPr="007D360B">
        <w:rPr>
          <w:noProof/>
        </w:rPr>
        <w:t>Lee</w:t>
      </w:r>
      <w:r w:rsidR="00636E18">
        <w:rPr>
          <w:noProof/>
        </w:rPr>
        <w:t xml:space="preserve"> </w:t>
      </w:r>
      <w:r w:rsidR="002347A2" w:rsidRPr="007D360B">
        <w:rPr>
          <w:noProof/>
        </w:rPr>
        <w:t>et al., 2018</w:t>
      </w:r>
      <w:r w:rsidR="002347A2">
        <w:rPr>
          <w:noProof/>
        </w:rPr>
        <w:t xml:space="preserve">; </w:t>
      </w:r>
      <w:r w:rsidR="002347A2" w:rsidRPr="007D360B">
        <w:rPr>
          <w:noProof/>
        </w:rPr>
        <w:t>Twohig et al., 2021)</w:t>
      </w:r>
      <w:r w:rsidR="002347A2">
        <w:rPr>
          <w:noProof/>
        </w:rPr>
        <w:t xml:space="preserve">. In the first study, </w:t>
      </w:r>
      <w:r w:rsidR="002347A2">
        <w:t xml:space="preserve">22 adults were randomized to </w:t>
      </w:r>
      <w:r w:rsidR="00953E63">
        <w:t>waitlist</w:t>
      </w:r>
      <w:r w:rsidR="002347A2">
        <w:t xml:space="preserve"> or AEBT </w:t>
      </w:r>
      <w:r w:rsidR="007D54F1">
        <w:t>via telehealth</w:t>
      </w:r>
      <w:r w:rsidR="002347A2">
        <w:t xml:space="preserve">. </w:t>
      </w:r>
      <w:r w:rsidR="00DD592C" w:rsidRPr="007D360B">
        <w:t xml:space="preserve">The results showed </w:t>
      </w:r>
      <w:r w:rsidR="00A402D5">
        <w:t xml:space="preserve">a </w:t>
      </w:r>
      <w:r w:rsidR="00DD592C" w:rsidRPr="007D360B">
        <w:t>significant decrease in hair pulling severity from pre-to post treatment (42.2% decrease)</w:t>
      </w:r>
      <w:r w:rsidR="007C4E5B">
        <w:t xml:space="preserve"> in the treatment condition and </w:t>
      </w:r>
      <w:r w:rsidR="00A402D5">
        <w:t xml:space="preserve">an </w:t>
      </w:r>
      <w:r w:rsidR="007C4E5B">
        <w:t>increase in the waitlist condition (17.7%</w:t>
      </w:r>
      <w:r w:rsidR="00DB2784">
        <w:t>; Lee et al., 2018</w:t>
      </w:r>
      <w:r w:rsidR="007C4E5B">
        <w:t>). Psychological</w:t>
      </w:r>
      <w:r w:rsidR="00DD592C" w:rsidRPr="007D360B">
        <w:t xml:space="preserve"> </w:t>
      </w:r>
      <w:r w:rsidR="00E20A41">
        <w:t>in</w:t>
      </w:r>
      <w:r w:rsidR="00DD592C" w:rsidRPr="007D360B">
        <w:t xml:space="preserve">flexibility </w:t>
      </w:r>
      <w:r w:rsidR="00A402D5">
        <w:t xml:space="preserve">also </w:t>
      </w:r>
      <w:r w:rsidR="00DD592C" w:rsidRPr="007D360B">
        <w:t xml:space="preserve">significantly </w:t>
      </w:r>
      <w:r w:rsidR="00E20A41">
        <w:t>de</w:t>
      </w:r>
      <w:r w:rsidR="00DD592C" w:rsidRPr="007D360B">
        <w:t xml:space="preserve">creased </w:t>
      </w:r>
      <w:r>
        <w:t>in the treatment condition</w:t>
      </w:r>
      <w:r w:rsidR="004D7231">
        <w:t xml:space="preserve"> </w:t>
      </w:r>
      <w:r w:rsidR="00DD592C" w:rsidRPr="007D360B">
        <w:t>(71.9%</w:t>
      </w:r>
      <w:r>
        <w:t xml:space="preserve">) compared to the waitlist condition </w:t>
      </w:r>
      <w:r w:rsidR="007C4E5B">
        <w:t xml:space="preserve">which </w:t>
      </w:r>
      <w:r w:rsidR="00911B28">
        <w:t xml:space="preserve">showed a </w:t>
      </w:r>
      <w:r w:rsidR="007C4E5B">
        <w:t>decrease (3.4%</w:t>
      </w:r>
      <w:r w:rsidR="003E1969">
        <w:t xml:space="preserve">; </w:t>
      </w:r>
      <w:r w:rsidR="00DD592C" w:rsidRPr="007D360B">
        <w:rPr>
          <w:noProof/>
        </w:rPr>
        <w:t>Lee</w:t>
      </w:r>
      <w:r w:rsidR="00911B28">
        <w:rPr>
          <w:noProof/>
        </w:rPr>
        <w:t xml:space="preserve"> </w:t>
      </w:r>
      <w:r w:rsidR="00DD592C" w:rsidRPr="007D360B">
        <w:rPr>
          <w:noProof/>
        </w:rPr>
        <w:t>et al., 2018)</w:t>
      </w:r>
      <w:r w:rsidR="002347A2">
        <w:rPr>
          <w:noProof/>
        </w:rPr>
        <w:t>.</w:t>
      </w:r>
      <w:r w:rsidR="00282CB2">
        <w:rPr>
          <w:noProof/>
        </w:rPr>
        <w:t xml:space="preserve"> </w:t>
      </w:r>
      <w:r w:rsidR="00DD592C" w:rsidRPr="007D360B">
        <w:t xml:space="preserve">In the most recent study of </w:t>
      </w:r>
      <w:r w:rsidR="00DD592C">
        <w:t xml:space="preserve">AEBT </w:t>
      </w:r>
      <w:r w:rsidR="00DD592C" w:rsidRPr="007D360B">
        <w:t>delivered through telehealth, 28 adolescents with trichotillomania were randomized into treatment and waitlist condition</w:t>
      </w:r>
      <w:r w:rsidR="00DD592C">
        <w:t>s</w:t>
      </w:r>
      <w:r w:rsidR="00DD592C" w:rsidRPr="007D360B">
        <w:t xml:space="preserve">. </w:t>
      </w:r>
      <w:r w:rsidR="004F2B89">
        <w:t>P</w:t>
      </w:r>
      <w:r w:rsidR="00DD592C" w:rsidRPr="007D360B">
        <w:t xml:space="preserve">ulling severity decreased significantly through treatment (Hedge’s </w:t>
      </w:r>
      <w:r w:rsidR="00DD592C" w:rsidRPr="000B0ED4">
        <w:rPr>
          <w:i/>
          <w:iCs/>
        </w:rPr>
        <w:t>g</w:t>
      </w:r>
      <w:r w:rsidR="00E84AD3">
        <w:rPr>
          <w:i/>
          <w:iCs/>
        </w:rPr>
        <w:t xml:space="preserve"> </w:t>
      </w:r>
      <w:r w:rsidR="00DD592C" w:rsidRPr="007D360B">
        <w:t>=</w:t>
      </w:r>
      <w:r w:rsidR="00E84AD3">
        <w:t xml:space="preserve"> </w:t>
      </w:r>
      <w:r w:rsidR="00DD592C" w:rsidRPr="007D360B">
        <w:t xml:space="preserve">.85) </w:t>
      </w:r>
      <w:r w:rsidR="00DD592C">
        <w:t xml:space="preserve">accompanied by </w:t>
      </w:r>
      <w:r w:rsidR="00DD592C" w:rsidRPr="007D360B">
        <w:t xml:space="preserve">a </w:t>
      </w:r>
      <w:r w:rsidR="00DD592C">
        <w:t>moderate</w:t>
      </w:r>
      <w:r w:rsidR="00DD592C" w:rsidRPr="007D360B">
        <w:t xml:space="preserve"> </w:t>
      </w:r>
      <w:r w:rsidR="00E20A41">
        <w:t>decrease</w:t>
      </w:r>
      <w:r w:rsidR="00DD592C" w:rsidRPr="007D360B">
        <w:t xml:space="preserve"> in psychological </w:t>
      </w:r>
      <w:r w:rsidR="00E20A41">
        <w:t>in</w:t>
      </w:r>
      <w:r w:rsidR="00DD592C" w:rsidRPr="007D360B">
        <w:t xml:space="preserve">flexibility from pre-to post-treatment (Hedge’s </w:t>
      </w:r>
      <w:r w:rsidR="00DD592C" w:rsidRPr="000B0ED4">
        <w:rPr>
          <w:i/>
          <w:iCs/>
        </w:rPr>
        <w:t>g</w:t>
      </w:r>
      <w:r w:rsidR="00E84AD3">
        <w:t xml:space="preserve"> </w:t>
      </w:r>
      <w:r w:rsidR="00DD592C" w:rsidRPr="007D360B">
        <w:t>=</w:t>
      </w:r>
      <w:r w:rsidR="00E84AD3">
        <w:t xml:space="preserve"> </w:t>
      </w:r>
      <w:r w:rsidR="00DD592C" w:rsidRPr="007D360B">
        <w:t>-.53</w:t>
      </w:r>
      <w:r w:rsidR="003E1969">
        <w:t xml:space="preserve">; </w:t>
      </w:r>
      <w:r w:rsidR="00DD592C" w:rsidRPr="007D360B">
        <w:rPr>
          <w:noProof/>
        </w:rPr>
        <w:t>Twohig et al., 2021)</w:t>
      </w:r>
      <w:r w:rsidR="00DD592C" w:rsidRPr="007D360B">
        <w:t xml:space="preserve">. </w:t>
      </w:r>
    </w:p>
    <w:p w14:paraId="4ABE6178" w14:textId="35FD11A5" w:rsidR="00A46098" w:rsidRDefault="00DD592C" w:rsidP="004D7231">
      <w:pPr>
        <w:shd w:val="clear" w:color="auto" w:fill="FFFFFF"/>
        <w:spacing w:line="480" w:lineRule="auto"/>
        <w:ind w:firstLine="720"/>
        <w:textAlignment w:val="baseline"/>
        <w:rPr>
          <w:color w:val="000000"/>
        </w:rPr>
      </w:pPr>
      <w:r>
        <w:rPr>
          <w:color w:val="000000"/>
        </w:rPr>
        <w:t xml:space="preserve">In summary, AEBT </w:t>
      </w:r>
      <w:r w:rsidRPr="007D360B">
        <w:rPr>
          <w:color w:val="000000"/>
        </w:rPr>
        <w:t>ha</w:t>
      </w:r>
      <w:r>
        <w:rPr>
          <w:color w:val="000000"/>
        </w:rPr>
        <w:t>s</w:t>
      </w:r>
      <w:r w:rsidRPr="007D360B">
        <w:rPr>
          <w:color w:val="000000"/>
        </w:rPr>
        <w:t xml:space="preserve"> shown efficacy in a variety of formats, group and individual</w:t>
      </w:r>
      <w:r w:rsidR="008A4067">
        <w:rPr>
          <w:color w:val="000000"/>
        </w:rPr>
        <w:t>, in the USA and internationally,</w:t>
      </w:r>
      <w:r w:rsidRPr="007D360B">
        <w:rPr>
          <w:color w:val="000000"/>
        </w:rPr>
        <w:t xml:space="preserve"> as well as delivered in-person and through telehealth</w:t>
      </w:r>
      <w:r w:rsidR="004F2B89">
        <w:rPr>
          <w:color w:val="000000"/>
        </w:rPr>
        <w:t xml:space="preserve"> for adults and adolescents</w:t>
      </w:r>
      <w:r w:rsidR="001E3A3B">
        <w:rPr>
          <w:color w:val="000000"/>
        </w:rPr>
        <w:t>. Furthermore,</w:t>
      </w:r>
      <w:r w:rsidR="004F2B89">
        <w:rPr>
          <w:color w:val="000000"/>
        </w:rPr>
        <w:t xml:space="preserve"> psychological </w:t>
      </w:r>
      <w:r w:rsidR="00E20A41">
        <w:rPr>
          <w:color w:val="000000"/>
        </w:rPr>
        <w:t>in</w:t>
      </w:r>
      <w:r w:rsidR="004F2B89">
        <w:rPr>
          <w:color w:val="000000"/>
        </w:rPr>
        <w:t xml:space="preserve">flexibility </w:t>
      </w:r>
      <w:r w:rsidR="00174256">
        <w:rPr>
          <w:color w:val="000000"/>
        </w:rPr>
        <w:t>has preliminary support as a</w:t>
      </w:r>
      <w:r w:rsidR="004F2B89">
        <w:rPr>
          <w:color w:val="000000"/>
        </w:rPr>
        <w:t xml:space="preserve"> process of change</w:t>
      </w:r>
      <w:r w:rsidR="003E1969">
        <w:rPr>
          <w:color w:val="000000"/>
        </w:rPr>
        <w:t>.</w:t>
      </w:r>
      <w:r w:rsidR="00AB6927">
        <w:rPr>
          <w:color w:val="000000"/>
        </w:rPr>
        <w:t xml:space="preserve"> </w:t>
      </w:r>
      <w:r>
        <w:rPr>
          <w:color w:val="000000"/>
        </w:rPr>
        <w:t>However, treatment accessibility through these formats can be difficult</w:t>
      </w:r>
      <w:r w:rsidR="00C96376">
        <w:rPr>
          <w:color w:val="000000"/>
        </w:rPr>
        <w:t>, particularly given</w:t>
      </w:r>
      <w:r w:rsidR="001E3A3B">
        <w:rPr>
          <w:color w:val="000000"/>
        </w:rPr>
        <w:t xml:space="preserve"> that</w:t>
      </w:r>
      <w:r w:rsidR="00C96376">
        <w:rPr>
          <w:color w:val="000000"/>
        </w:rPr>
        <w:t xml:space="preserve"> AEBT is a specialized treatment and clinicians generally report limited knowledge of </w:t>
      </w:r>
      <w:r w:rsidR="00CE7591">
        <w:rPr>
          <w:color w:val="000000"/>
        </w:rPr>
        <w:t>trichotillomania</w:t>
      </w:r>
      <w:r w:rsidR="00C96376">
        <w:rPr>
          <w:color w:val="000000"/>
        </w:rPr>
        <w:t xml:space="preserve"> </w:t>
      </w:r>
      <w:r w:rsidR="00137133">
        <w:rPr>
          <w:color w:val="000000"/>
        </w:rPr>
        <w:t xml:space="preserve">and its treatment </w:t>
      </w:r>
      <w:r w:rsidR="00C96376">
        <w:rPr>
          <w:color w:val="000000"/>
        </w:rPr>
        <w:t>(</w:t>
      </w:r>
      <w:proofErr w:type="spellStart"/>
      <w:r w:rsidR="00C96376">
        <w:rPr>
          <w:color w:val="000000"/>
        </w:rPr>
        <w:t>Marcks</w:t>
      </w:r>
      <w:proofErr w:type="spellEnd"/>
      <w:r w:rsidR="00C96376">
        <w:rPr>
          <w:color w:val="000000"/>
        </w:rPr>
        <w:t xml:space="preserve"> et al., 2006)</w:t>
      </w:r>
      <w:r w:rsidR="004F2B89">
        <w:t>.</w:t>
      </w:r>
      <w:r w:rsidRPr="007D360B">
        <w:t xml:space="preserve"> </w:t>
      </w:r>
      <w:r w:rsidRPr="007D360B">
        <w:rPr>
          <w:color w:val="000000"/>
        </w:rPr>
        <w:t xml:space="preserve">ACT </w:t>
      </w:r>
      <w:r w:rsidR="00A46098">
        <w:rPr>
          <w:color w:val="000000"/>
        </w:rPr>
        <w:t xml:space="preserve">has been found to be acceptable and effective when delivered in a self-guided </w:t>
      </w:r>
      <w:r w:rsidR="00331C7E">
        <w:rPr>
          <w:color w:val="000000"/>
        </w:rPr>
        <w:t xml:space="preserve">(i.e., automated, asynchronous) </w:t>
      </w:r>
      <w:r w:rsidRPr="007D360B">
        <w:rPr>
          <w:color w:val="000000"/>
        </w:rPr>
        <w:t xml:space="preserve">web-based format </w:t>
      </w:r>
      <w:r w:rsidR="00A46098">
        <w:rPr>
          <w:color w:val="000000"/>
        </w:rPr>
        <w:t>with</w:t>
      </w:r>
      <w:r w:rsidRPr="007D360B">
        <w:rPr>
          <w:color w:val="000000"/>
        </w:rPr>
        <w:t xml:space="preserve"> a variety of populations </w:t>
      </w:r>
      <w:r w:rsidRPr="007D360B">
        <w:rPr>
          <w:noProof/>
          <w:color w:val="000000"/>
        </w:rPr>
        <w:t>(Lappalainen &amp; Lappalainen, 2020)</w:t>
      </w:r>
      <w:r w:rsidRPr="007D360B">
        <w:rPr>
          <w:color w:val="000000"/>
        </w:rPr>
        <w:t xml:space="preserve">. This treatment modality addresses barriers to treatment accessibility including </w:t>
      </w:r>
      <w:r w:rsidR="00137133">
        <w:rPr>
          <w:color w:val="000000"/>
        </w:rPr>
        <w:t xml:space="preserve">availability of </w:t>
      </w:r>
      <w:r w:rsidR="00323EE5">
        <w:rPr>
          <w:color w:val="000000"/>
        </w:rPr>
        <w:t>trained clinicians</w:t>
      </w:r>
      <w:r w:rsidRPr="007D360B">
        <w:rPr>
          <w:color w:val="000000"/>
        </w:rPr>
        <w:t xml:space="preserve">, travel, and financial concerns. Thousands of people can access a website at any given time </w:t>
      </w:r>
      <w:r w:rsidR="00137133">
        <w:rPr>
          <w:color w:val="000000"/>
        </w:rPr>
        <w:t xml:space="preserve">to learn </w:t>
      </w:r>
      <w:r w:rsidR="00137133">
        <w:rPr>
          <w:color w:val="000000"/>
        </w:rPr>
        <w:lastRenderedPageBreak/>
        <w:t>evidence-based skills</w:t>
      </w:r>
      <w:r w:rsidRPr="007D360B">
        <w:rPr>
          <w:color w:val="000000"/>
        </w:rPr>
        <w:t xml:space="preserve"> from expert clinicians</w:t>
      </w:r>
      <w:r w:rsidR="00137133">
        <w:rPr>
          <w:color w:val="000000"/>
        </w:rPr>
        <w:t xml:space="preserve"> at their own pace and in the privacy of their own home</w:t>
      </w:r>
      <w:r w:rsidRPr="007D360B">
        <w:rPr>
          <w:color w:val="000000"/>
        </w:rPr>
        <w:t>.</w:t>
      </w:r>
      <w:r w:rsidR="005D45EB">
        <w:rPr>
          <w:color w:val="000000"/>
        </w:rPr>
        <w:t xml:space="preserve"> </w:t>
      </w:r>
      <w:r w:rsidR="00EE7F31">
        <w:rPr>
          <w:color w:val="000000"/>
        </w:rPr>
        <w:t xml:space="preserve">Only one study to date has examined a website as part of trichotillomania treatment; Rogers and colleagues (2014) incorporated a web-based platform into a study utilizing a stepped care model for trichotillomania with promising results. Thus, given the promising benefits for treatment access, there is a need to explore more web-based and self-guided programs for trichotillomania treatment. </w:t>
      </w:r>
    </w:p>
    <w:p w14:paraId="22B07FB1" w14:textId="1BC500A0" w:rsidR="00EF57FD" w:rsidRPr="007D360B" w:rsidRDefault="005D45EB" w:rsidP="004D7231">
      <w:pPr>
        <w:shd w:val="clear" w:color="auto" w:fill="FFFFFF"/>
        <w:spacing w:line="480" w:lineRule="auto"/>
        <w:ind w:firstLine="720"/>
        <w:textAlignment w:val="baseline"/>
        <w:rPr>
          <w:color w:val="000000"/>
        </w:rPr>
      </w:pPr>
      <w:r>
        <w:rPr>
          <w:color w:val="000000"/>
        </w:rPr>
        <w:t>The present study aimed to</w:t>
      </w:r>
      <w:r w:rsidR="00EE29E0">
        <w:rPr>
          <w:color w:val="000000"/>
        </w:rPr>
        <w:t xml:space="preserve"> preliminarily</w:t>
      </w:r>
      <w:r>
        <w:rPr>
          <w:color w:val="000000"/>
        </w:rPr>
        <w:t xml:space="preserve"> assess the efficacy and feasibility of a </w:t>
      </w:r>
      <w:r w:rsidR="00331C7E">
        <w:rPr>
          <w:color w:val="000000"/>
        </w:rPr>
        <w:t>self-guided</w:t>
      </w:r>
      <w:r>
        <w:rPr>
          <w:color w:val="000000"/>
        </w:rPr>
        <w:t xml:space="preserve"> website delivering AEBT to adults with trichotillomania. </w:t>
      </w:r>
      <w:r w:rsidR="004D0FE1">
        <w:rPr>
          <w:color w:val="000000"/>
        </w:rPr>
        <w:t xml:space="preserve">We predicted that the website would be feasible as indicated by high self-report ratings of program </w:t>
      </w:r>
      <w:r w:rsidR="00CA2E34">
        <w:rPr>
          <w:color w:val="000000"/>
        </w:rPr>
        <w:t>acceptability</w:t>
      </w:r>
      <w:r w:rsidR="004D0FE1">
        <w:rPr>
          <w:color w:val="000000"/>
        </w:rPr>
        <w:t xml:space="preserve"> and usability by participants as well as high adherence rates to completing the assigned web-based </w:t>
      </w:r>
      <w:r w:rsidR="00CA2E34">
        <w:rPr>
          <w:color w:val="000000"/>
        </w:rPr>
        <w:t>modules</w:t>
      </w:r>
      <w:r w:rsidR="004D0FE1">
        <w:rPr>
          <w:color w:val="000000"/>
        </w:rPr>
        <w:t xml:space="preserve">. </w:t>
      </w:r>
      <w:r>
        <w:rPr>
          <w:color w:val="000000"/>
        </w:rPr>
        <w:t xml:space="preserve">We </w:t>
      </w:r>
      <w:r w:rsidR="00012948">
        <w:rPr>
          <w:color w:val="000000"/>
        </w:rPr>
        <w:t xml:space="preserve">also </w:t>
      </w:r>
      <w:r>
        <w:rPr>
          <w:color w:val="000000"/>
        </w:rPr>
        <w:t>predicted that hair pulling severity,</w:t>
      </w:r>
      <w:r w:rsidR="00B463FE">
        <w:rPr>
          <w:color w:val="000000"/>
        </w:rPr>
        <w:t xml:space="preserve"> trichotillomania related psychological inflexibility, well-being,</w:t>
      </w:r>
      <w:r>
        <w:rPr>
          <w:color w:val="000000"/>
        </w:rPr>
        <w:t xml:space="preserve"> overall distress, depression, anxiety, and stress </w:t>
      </w:r>
      <w:r w:rsidR="004D0FE1">
        <w:rPr>
          <w:color w:val="000000"/>
        </w:rPr>
        <w:t xml:space="preserve">would </w:t>
      </w:r>
      <w:r>
        <w:rPr>
          <w:color w:val="000000"/>
        </w:rPr>
        <w:t xml:space="preserve">decrease over </w:t>
      </w:r>
      <w:r w:rsidR="00EE59F4">
        <w:rPr>
          <w:color w:val="000000"/>
        </w:rPr>
        <w:t>time</w:t>
      </w:r>
      <w:r>
        <w:rPr>
          <w:color w:val="000000"/>
        </w:rPr>
        <w:t xml:space="preserve"> in the </w:t>
      </w:r>
      <w:r w:rsidR="004D0FE1">
        <w:rPr>
          <w:color w:val="000000"/>
        </w:rPr>
        <w:t xml:space="preserve">treatment </w:t>
      </w:r>
      <w:r>
        <w:rPr>
          <w:color w:val="000000"/>
        </w:rPr>
        <w:t xml:space="preserve">condition more so than in the waitlist. </w:t>
      </w:r>
    </w:p>
    <w:p w14:paraId="1A47A127" w14:textId="77777777" w:rsidR="00DD592C" w:rsidRPr="007D360B" w:rsidRDefault="006144EE" w:rsidP="00DD592C">
      <w:pPr>
        <w:shd w:val="clear" w:color="auto" w:fill="FFFFFF"/>
        <w:spacing w:line="480" w:lineRule="auto"/>
        <w:jc w:val="center"/>
        <w:textAlignment w:val="baseline"/>
        <w:rPr>
          <w:b/>
          <w:bCs/>
          <w:color w:val="000000"/>
        </w:rPr>
      </w:pPr>
      <w:r>
        <w:rPr>
          <w:b/>
          <w:bCs/>
          <w:color w:val="000000"/>
        </w:rPr>
        <w:t>Methods</w:t>
      </w:r>
    </w:p>
    <w:p w14:paraId="48FE0C8A" w14:textId="77777777" w:rsidR="00DD592C" w:rsidRPr="00394F22" w:rsidRDefault="00DD592C" w:rsidP="00DD592C">
      <w:pPr>
        <w:shd w:val="clear" w:color="auto" w:fill="FFFFFF"/>
        <w:spacing w:line="480" w:lineRule="auto"/>
        <w:textAlignment w:val="baseline"/>
        <w:rPr>
          <w:b/>
          <w:bCs/>
          <w:color w:val="000000"/>
        </w:rPr>
      </w:pPr>
      <w:r w:rsidRPr="00394F22">
        <w:rPr>
          <w:b/>
          <w:bCs/>
          <w:color w:val="000000"/>
        </w:rPr>
        <w:t>Participants</w:t>
      </w:r>
    </w:p>
    <w:p w14:paraId="5533ECE3" w14:textId="0C2C36D6" w:rsidR="00DD592C" w:rsidRPr="007D360B" w:rsidRDefault="00DD592C" w:rsidP="00DD592C">
      <w:pPr>
        <w:shd w:val="clear" w:color="auto" w:fill="FFFFFF"/>
        <w:spacing w:line="480" w:lineRule="auto"/>
        <w:textAlignment w:val="baseline"/>
        <w:rPr>
          <w:color w:val="000000"/>
        </w:rPr>
      </w:pPr>
      <w:r w:rsidRPr="007D360B">
        <w:rPr>
          <w:color w:val="000000"/>
        </w:rPr>
        <w:tab/>
      </w:r>
      <w:r w:rsidR="0064709A">
        <w:rPr>
          <w:color w:val="000000"/>
        </w:rPr>
        <w:t xml:space="preserve">Participant demographics are described in Table 1. The sample was primarily White, non-Hispanic, identifying as women, and had a mean age of approximately 30 years old. </w:t>
      </w:r>
      <w:r w:rsidRPr="007D360B">
        <w:rPr>
          <w:color w:val="000000"/>
        </w:rPr>
        <w:t xml:space="preserve">Participants </w:t>
      </w:r>
      <w:r>
        <w:rPr>
          <w:color w:val="000000"/>
        </w:rPr>
        <w:t>were</w:t>
      </w:r>
      <w:r w:rsidRPr="007D360B">
        <w:rPr>
          <w:color w:val="000000"/>
        </w:rPr>
        <w:t xml:space="preserve"> recruited </w:t>
      </w:r>
      <w:r w:rsidR="00AF4267">
        <w:rPr>
          <w:color w:val="000000"/>
        </w:rPr>
        <w:t>through</w:t>
      </w:r>
      <w:r w:rsidRPr="007D360B">
        <w:rPr>
          <w:color w:val="000000"/>
        </w:rPr>
        <w:t xml:space="preserve"> advertising on </w:t>
      </w:r>
      <w:r w:rsidR="00012948">
        <w:rPr>
          <w:color w:val="000000"/>
        </w:rPr>
        <w:t>G</w:t>
      </w:r>
      <w:r>
        <w:rPr>
          <w:color w:val="000000"/>
        </w:rPr>
        <w:t xml:space="preserve">oogle ads, </w:t>
      </w:r>
      <w:r w:rsidR="005D45EB">
        <w:rPr>
          <w:color w:val="000000"/>
        </w:rPr>
        <w:t>F</w:t>
      </w:r>
      <w:r>
        <w:rPr>
          <w:color w:val="000000"/>
        </w:rPr>
        <w:t xml:space="preserve">acebook trichotillomania groups, and </w:t>
      </w:r>
      <w:r w:rsidR="00747C51">
        <w:rPr>
          <w:color w:val="000000"/>
        </w:rPr>
        <w:t>R</w:t>
      </w:r>
      <w:r>
        <w:rPr>
          <w:color w:val="000000"/>
        </w:rPr>
        <w:t xml:space="preserve">eddit trichotillomania </w:t>
      </w:r>
      <w:r w:rsidR="00747C51">
        <w:rPr>
          <w:color w:val="000000"/>
        </w:rPr>
        <w:t xml:space="preserve">subreddits (i.e., </w:t>
      </w:r>
      <w:r>
        <w:rPr>
          <w:color w:val="000000"/>
        </w:rPr>
        <w:t>pages</w:t>
      </w:r>
      <w:r w:rsidR="00747C51">
        <w:rPr>
          <w:color w:val="000000"/>
        </w:rPr>
        <w:t>)</w:t>
      </w:r>
      <w:r>
        <w:rPr>
          <w:color w:val="000000"/>
        </w:rPr>
        <w:t>.</w:t>
      </w:r>
      <w:r w:rsidRPr="007D360B">
        <w:rPr>
          <w:color w:val="000000"/>
        </w:rPr>
        <w:t xml:space="preserve"> Participants </w:t>
      </w:r>
      <w:r>
        <w:rPr>
          <w:color w:val="000000"/>
        </w:rPr>
        <w:t>were</w:t>
      </w:r>
      <w:r w:rsidRPr="007D360B">
        <w:rPr>
          <w:color w:val="000000"/>
        </w:rPr>
        <w:t xml:space="preserve"> included in the study if they (a) </w:t>
      </w:r>
      <w:r>
        <w:rPr>
          <w:color w:val="000000"/>
        </w:rPr>
        <w:t>met</w:t>
      </w:r>
      <w:r w:rsidRPr="007D360B">
        <w:rPr>
          <w:color w:val="000000"/>
        </w:rPr>
        <w:t xml:space="preserve"> the DSM-5 criteria for trichotillomania</w:t>
      </w:r>
      <w:r w:rsidR="0070428A">
        <w:rPr>
          <w:color w:val="000000"/>
        </w:rPr>
        <w:t>,</w:t>
      </w:r>
      <w:r w:rsidRPr="007D360B">
        <w:rPr>
          <w:color w:val="000000"/>
        </w:rPr>
        <w:t xml:space="preserve"> (b) </w:t>
      </w:r>
      <w:r>
        <w:rPr>
          <w:color w:val="000000"/>
        </w:rPr>
        <w:t>were</w:t>
      </w:r>
      <w:r w:rsidRPr="007D360B">
        <w:rPr>
          <w:color w:val="000000"/>
        </w:rPr>
        <w:t xml:space="preserve"> searching for trichotillomania-based treatment</w:t>
      </w:r>
      <w:r w:rsidR="0070428A">
        <w:rPr>
          <w:color w:val="000000"/>
        </w:rPr>
        <w:t>,</w:t>
      </w:r>
      <w:r w:rsidRPr="007D360B">
        <w:rPr>
          <w:color w:val="000000"/>
        </w:rPr>
        <w:t xml:space="preserve"> (c) </w:t>
      </w:r>
      <w:r>
        <w:rPr>
          <w:color w:val="000000"/>
        </w:rPr>
        <w:t>were at</w:t>
      </w:r>
      <w:r w:rsidRPr="007D360B">
        <w:rPr>
          <w:color w:val="000000"/>
        </w:rPr>
        <w:t xml:space="preserve"> least 18 years old</w:t>
      </w:r>
      <w:r>
        <w:rPr>
          <w:color w:val="000000"/>
        </w:rPr>
        <w:t xml:space="preserve"> at intake</w:t>
      </w:r>
      <w:r w:rsidR="0070428A">
        <w:rPr>
          <w:color w:val="000000"/>
        </w:rPr>
        <w:t>,</w:t>
      </w:r>
      <w:r w:rsidRPr="007D360B">
        <w:rPr>
          <w:color w:val="000000"/>
        </w:rPr>
        <w:t xml:space="preserve"> </w:t>
      </w:r>
      <w:r>
        <w:rPr>
          <w:color w:val="000000"/>
        </w:rPr>
        <w:t xml:space="preserve">and </w:t>
      </w:r>
      <w:r w:rsidRPr="007D360B">
        <w:rPr>
          <w:color w:val="000000"/>
        </w:rPr>
        <w:t>(d)</w:t>
      </w:r>
      <w:r>
        <w:rPr>
          <w:color w:val="000000"/>
        </w:rPr>
        <w:t xml:space="preserve"> were </w:t>
      </w:r>
      <w:r w:rsidRPr="007D360B">
        <w:rPr>
          <w:color w:val="000000"/>
        </w:rPr>
        <w:t xml:space="preserve">fluent English speakers. Participants </w:t>
      </w:r>
      <w:r>
        <w:rPr>
          <w:color w:val="000000"/>
        </w:rPr>
        <w:t>were</w:t>
      </w:r>
      <w:r w:rsidRPr="007D360B">
        <w:rPr>
          <w:color w:val="000000"/>
        </w:rPr>
        <w:t xml:space="preserve"> excluded from the study if they (a)</w:t>
      </w:r>
      <w:r>
        <w:rPr>
          <w:color w:val="000000"/>
        </w:rPr>
        <w:t xml:space="preserve"> were</w:t>
      </w:r>
      <w:r w:rsidRPr="007D360B">
        <w:rPr>
          <w:color w:val="000000"/>
        </w:rPr>
        <w:t xml:space="preserve"> modifying or starting psychotropic medication</w:t>
      </w:r>
      <w:r w:rsidR="00144770">
        <w:rPr>
          <w:color w:val="000000"/>
        </w:rPr>
        <w:t>,</w:t>
      </w:r>
      <w:r>
        <w:rPr>
          <w:color w:val="000000"/>
        </w:rPr>
        <w:t xml:space="preserve"> (b) were </w:t>
      </w:r>
      <w:r>
        <w:rPr>
          <w:color w:val="000000"/>
        </w:rPr>
        <w:lastRenderedPageBreak/>
        <w:t xml:space="preserve">living outside the United States, (c) were under the age of 18, </w:t>
      </w:r>
      <w:r w:rsidR="00144770">
        <w:rPr>
          <w:color w:val="000000"/>
        </w:rPr>
        <w:t xml:space="preserve">and/or </w:t>
      </w:r>
      <w:r w:rsidRPr="007D360B">
        <w:rPr>
          <w:color w:val="000000"/>
        </w:rPr>
        <w:t xml:space="preserve">(d) </w:t>
      </w:r>
      <w:r>
        <w:rPr>
          <w:color w:val="000000"/>
        </w:rPr>
        <w:t>did not</w:t>
      </w:r>
      <w:r w:rsidR="00AF4267">
        <w:rPr>
          <w:color w:val="000000"/>
        </w:rPr>
        <w:t>,</w:t>
      </w:r>
      <w:r>
        <w:rPr>
          <w:color w:val="000000"/>
        </w:rPr>
        <w:t xml:space="preserve"> at time of </w:t>
      </w:r>
      <w:r w:rsidRPr="007D360B">
        <w:rPr>
          <w:color w:val="000000"/>
        </w:rPr>
        <w:t xml:space="preserve">intake session, </w:t>
      </w:r>
      <w:r>
        <w:rPr>
          <w:color w:val="000000"/>
        </w:rPr>
        <w:t xml:space="preserve">meet DSM-5 diagnostic criteria for trichotillomania. </w:t>
      </w:r>
      <w:r w:rsidRPr="007D360B">
        <w:rPr>
          <w:color w:val="000000"/>
        </w:rPr>
        <w:t xml:space="preserve"> </w:t>
      </w:r>
    </w:p>
    <w:p w14:paraId="1DF517B4" w14:textId="09661A1E" w:rsidR="00BE1E70" w:rsidRPr="00FF5088" w:rsidRDefault="00DD592C" w:rsidP="00DD592C">
      <w:pPr>
        <w:shd w:val="clear" w:color="auto" w:fill="FFFFFF"/>
        <w:spacing w:line="480" w:lineRule="auto"/>
        <w:textAlignment w:val="baseline"/>
        <w:rPr>
          <w:color w:val="000000"/>
        </w:rPr>
      </w:pPr>
      <w:r w:rsidRPr="007D360B">
        <w:rPr>
          <w:color w:val="000000"/>
        </w:rPr>
        <w:t xml:space="preserve"> </w:t>
      </w:r>
      <w:r w:rsidRPr="007D360B">
        <w:rPr>
          <w:color w:val="000000"/>
        </w:rPr>
        <w:tab/>
        <w:t xml:space="preserve">To determine the number of participants to include in the study, a power analysis using G*Power software was conducted </w:t>
      </w:r>
      <w:r>
        <w:rPr>
          <w:noProof/>
          <w:color w:val="000000"/>
        </w:rPr>
        <w:t>(Faul et al., 2007)</w:t>
      </w:r>
      <w:r w:rsidRPr="007D360B">
        <w:rPr>
          <w:color w:val="000000"/>
        </w:rPr>
        <w:t xml:space="preserve">. This study is the first to examine a web-based treatment for </w:t>
      </w:r>
      <w:r>
        <w:rPr>
          <w:color w:val="000000"/>
        </w:rPr>
        <w:t>t</w:t>
      </w:r>
      <w:r w:rsidRPr="007D360B">
        <w:rPr>
          <w:color w:val="000000"/>
        </w:rPr>
        <w:t>richotillomania</w:t>
      </w:r>
      <w:r w:rsidR="006A1F33">
        <w:rPr>
          <w:color w:val="000000"/>
        </w:rPr>
        <w:t xml:space="preserve"> on its own</w:t>
      </w:r>
      <w:r w:rsidR="00760638">
        <w:rPr>
          <w:color w:val="000000"/>
        </w:rPr>
        <w:t xml:space="preserve">; </w:t>
      </w:r>
      <w:r w:rsidRPr="007D360B">
        <w:rPr>
          <w:color w:val="000000"/>
        </w:rPr>
        <w:t>a between group effect size (</w:t>
      </w:r>
      <w:r w:rsidRPr="007D360B">
        <w:rPr>
          <w:i/>
          <w:iCs/>
          <w:color w:val="000000"/>
        </w:rPr>
        <w:t>d</w:t>
      </w:r>
      <w:r w:rsidR="004A056C">
        <w:rPr>
          <w:i/>
          <w:iCs/>
          <w:color w:val="000000"/>
        </w:rPr>
        <w:t xml:space="preserve"> </w:t>
      </w:r>
      <w:r w:rsidRPr="000B0ED4">
        <w:rPr>
          <w:color w:val="000000"/>
        </w:rPr>
        <w:t>=</w:t>
      </w:r>
      <w:r w:rsidR="004A056C">
        <w:rPr>
          <w:i/>
          <w:iCs/>
          <w:color w:val="000000"/>
        </w:rPr>
        <w:t xml:space="preserve"> </w:t>
      </w:r>
      <w:r w:rsidRPr="007D360B">
        <w:rPr>
          <w:i/>
          <w:iCs/>
          <w:color w:val="000000"/>
        </w:rPr>
        <w:t>.</w:t>
      </w:r>
      <w:r w:rsidRPr="000B0ED4">
        <w:rPr>
          <w:color w:val="000000"/>
        </w:rPr>
        <w:t>4</w:t>
      </w:r>
      <w:r w:rsidR="004D0FE1" w:rsidRPr="000B0ED4">
        <w:rPr>
          <w:color w:val="000000"/>
        </w:rPr>
        <w:t>0</w:t>
      </w:r>
      <w:r w:rsidRPr="007D360B">
        <w:rPr>
          <w:i/>
          <w:iCs/>
          <w:color w:val="000000"/>
        </w:rPr>
        <w:t>)</w:t>
      </w:r>
      <w:r w:rsidRPr="007D360B">
        <w:rPr>
          <w:color w:val="000000"/>
        </w:rPr>
        <w:t xml:space="preserve"> was assumed, power was set at .8</w:t>
      </w:r>
      <w:r w:rsidR="00B463FE">
        <w:rPr>
          <w:color w:val="000000"/>
        </w:rPr>
        <w:t>0</w:t>
      </w:r>
      <w:r w:rsidR="001518C2">
        <w:rPr>
          <w:color w:val="000000"/>
        </w:rPr>
        <w:t>,</w:t>
      </w:r>
      <w:r w:rsidRPr="007D360B">
        <w:rPr>
          <w:color w:val="000000"/>
        </w:rPr>
        <w:t xml:space="preserve"> and alpha was set at .05</w:t>
      </w:r>
      <w:r w:rsidR="006A1F33">
        <w:rPr>
          <w:color w:val="000000"/>
        </w:rPr>
        <w:t>,</w:t>
      </w:r>
      <w:r w:rsidRPr="007D360B">
        <w:rPr>
          <w:color w:val="000000"/>
        </w:rPr>
        <w:t xml:space="preserve"> specifying a sample of </w:t>
      </w:r>
      <w:r>
        <w:rPr>
          <w:color w:val="000000"/>
        </w:rPr>
        <w:t>80</w:t>
      </w:r>
      <w:r w:rsidRPr="007D360B">
        <w:rPr>
          <w:color w:val="000000"/>
        </w:rPr>
        <w:t>.</w:t>
      </w:r>
      <w:r w:rsidR="00C753AF">
        <w:rPr>
          <w:color w:val="000000"/>
        </w:rPr>
        <w:t xml:space="preserve"> However, it is difficult to complete an accurate power analysis for multilevel models</w:t>
      </w:r>
      <w:r w:rsidR="002E7C57">
        <w:rPr>
          <w:color w:val="000000"/>
        </w:rPr>
        <w:t xml:space="preserve"> because of the nuances involved in </w:t>
      </w:r>
      <w:r w:rsidR="00237F18">
        <w:rPr>
          <w:color w:val="000000"/>
        </w:rPr>
        <w:t>estimating these different values</w:t>
      </w:r>
      <w:r w:rsidR="004A628F">
        <w:rPr>
          <w:color w:val="000000"/>
        </w:rPr>
        <w:t>, which w</w:t>
      </w:r>
      <w:r w:rsidR="002E7C57">
        <w:rPr>
          <w:color w:val="000000"/>
        </w:rPr>
        <w:t xml:space="preserve">as the type of analysis </w:t>
      </w:r>
      <w:r w:rsidR="004A628F">
        <w:rPr>
          <w:color w:val="000000"/>
        </w:rPr>
        <w:t>use</w:t>
      </w:r>
      <w:r w:rsidR="00760638">
        <w:rPr>
          <w:color w:val="000000"/>
        </w:rPr>
        <w:t>d</w:t>
      </w:r>
      <w:r w:rsidR="002E7C57">
        <w:rPr>
          <w:color w:val="000000"/>
        </w:rPr>
        <w:t xml:space="preserve"> in the present study (Hox, </w:t>
      </w:r>
      <w:proofErr w:type="spellStart"/>
      <w:r w:rsidR="002E7C57">
        <w:rPr>
          <w:color w:val="000000"/>
        </w:rPr>
        <w:t>Moerbeek</w:t>
      </w:r>
      <w:proofErr w:type="spellEnd"/>
      <w:r w:rsidR="002E7C57">
        <w:rPr>
          <w:color w:val="000000"/>
        </w:rPr>
        <w:t xml:space="preserve">, van de </w:t>
      </w:r>
      <w:proofErr w:type="spellStart"/>
      <w:r w:rsidR="002E7C57">
        <w:rPr>
          <w:color w:val="000000"/>
        </w:rPr>
        <w:t>Schoot</w:t>
      </w:r>
      <w:proofErr w:type="spellEnd"/>
      <w:r w:rsidR="002E7C57">
        <w:rPr>
          <w:color w:val="000000"/>
        </w:rPr>
        <w:t>, 2017)</w:t>
      </w:r>
      <w:r w:rsidR="00C753AF">
        <w:rPr>
          <w:color w:val="000000"/>
        </w:rPr>
        <w:t xml:space="preserve">. </w:t>
      </w:r>
      <w:r w:rsidRPr="007D360B">
        <w:rPr>
          <w:color w:val="000000"/>
        </w:rPr>
        <w:t>See Fig</w:t>
      </w:r>
      <w:r w:rsidR="00317580">
        <w:rPr>
          <w:color w:val="000000"/>
        </w:rPr>
        <w:t xml:space="preserve">ure </w:t>
      </w:r>
      <w:r w:rsidRPr="007D360B">
        <w:rPr>
          <w:color w:val="000000"/>
        </w:rPr>
        <w:t xml:space="preserve">1 </w:t>
      </w:r>
      <w:r w:rsidRPr="00FF5088">
        <w:rPr>
          <w:color w:val="000000"/>
        </w:rPr>
        <w:t xml:space="preserve">for </w:t>
      </w:r>
      <w:r w:rsidR="00F172B8" w:rsidRPr="00FF5088">
        <w:rPr>
          <w:color w:val="000000"/>
        </w:rPr>
        <w:t xml:space="preserve">the </w:t>
      </w:r>
      <w:r w:rsidRPr="00FF5088">
        <w:rPr>
          <w:color w:val="000000"/>
        </w:rPr>
        <w:t>participant flowchart.</w:t>
      </w:r>
      <w:r w:rsidR="005770F0">
        <w:rPr>
          <w:color w:val="000000"/>
        </w:rPr>
        <w:t xml:space="preserve"> </w:t>
      </w:r>
      <w:r w:rsidR="0064709A">
        <w:rPr>
          <w:color w:val="000000"/>
        </w:rPr>
        <w:t xml:space="preserve"> </w:t>
      </w:r>
    </w:p>
    <w:p w14:paraId="4163995E" w14:textId="77777777" w:rsidR="00DD592C" w:rsidRPr="00394F22" w:rsidRDefault="00DD592C" w:rsidP="00DD592C">
      <w:pPr>
        <w:shd w:val="clear" w:color="auto" w:fill="FFFFFF"/>
        <w:spacing w:line="480" w:lineRule="auto"/>
        <w:textAlignment w:val="baseline"/>
        <w:rPr>
          <w:b/>
          <w:bCs/>
          <w:color w:val="000000"/>
        </w:rPr>
      </w:pPr>
      <w:r w:rsidRPr="00394F22">
        <w:rPr>
          <w:b/>
          <w:bCs/>
          <w:color w:val="000000"/>
        </w:rPr>
        <w:t>Procedures</w:t>
      </w:r>
    </w:p>
    <w:p w14:paraId="24FF7F98" w14:textId="47EC67E1" w:rsidR="00DD592C" w:rsidRDefault="00DD592C" w:rsidP="00DD592C">
      <w:pPr>
        <w:shd w:val="clear" w:color="auto" w:fill="FFFFFF"/>
        <w:spacing w:line="480" w:lineRule="auto"/>
        <w:textAlignment w:val="baseline"/>
        <w:rPr>
          <w:color w:val="000000"/>
        </w:rPr>
      </w:pPr>
      <w:r w:rsidRPr="007D360B">
        <w:rPr>
          <w:color w:val="000000"/>
        </w:rPr>
        <w:tab/>
        <w:t xml:space="preserve">The current study </w:t>
      </w:r>
      <w:r>
        <w:rPr>
          <w:color w:val="000000"/>
        </w:rPr>
        <w:t xml:space="preserve">was </w:t>
      </w:r>
      <w:r w:rsidRPr="007D360B">
        <w:rPr>
          <w:color w:val="000000"/>
        </w:rPr>
        <w:t xml:space="preserve">reviewed by the </w:t>
      </w:r>
      <w:r w:rsidR="00F172B8">
        <w:rPr>
          <w:color w:val="000000"/>
        </w:rPr>
        <w:t xml:space="preserve">[removed for masked review] </w:t>
      </w:r>
      <w:r>
        <w:rPr>
          <w:color w:val="000000"/>
        </w:rPr>
        <w:t>Institutional R</w:t>
      </w:r>
      <w:r w:rsidRPr="007D360B">
        <w:rPr>
          <w:color w:val="000000"/>
        </w:rPr>
        <w:t xml:space="preserve">eview </w:t>
      </w:r>
      <w:r>
        <w:rPr>
          <w:color w:val="000000"/>
        </w:rPr>
        <w:t>B</w:t>
      </w:r>
      <w:r w:rsidRPr="007D360B">
        <w:rPr>
          <w:color w:val="000000"/>
        </w:rPr>
        <w:t>oard</w:t>
      </w:r>
      <w:r w:rsidR="00730C5E">
        <w:rPr>
          <w:color w:val="000000"/>
        </w:rPr>
        <w:t>. Participants completed a screener assessing eligibility an</w:t>
      </w:r>
      <w:r w:rsidR="00C947AA">
        <w:rPr>
          <w:color w:val="000000"/>
        </w:rPr>
        <w:t>d, i</w:t>
      </w:r>
      <w:r w:rsidR="00730C5E">
        <w:rPr>
          <w:color w:val="000000"/>
        </w:rPr>
        <w:t>f they met eligibility requirements, were contacted via email to schedule an intake sessio</w:t>
      </w:r>
      <w:r w:rsidR="00A30371">
        <w:rPr>
          <w:color w:val="000000"/>
        </w:rPr>
        <w:t>n. An intake interview was held over Zoom where participants completed the informed consent, and baseline assessment. A diagnostic interview was also conducted using the D</w:t>
      </w:r>
      <w:r w:rsidR="00BE1E70">
        <w:rPr>
          <w:color w:val="000000"/>
        </w:rPr>
        <w:t>iagnostic Interview for Anxiety, Mood and Obsessive-Compulsive and Related Neuropsychiatric Disorders (D</w:t>
      </w:r>
      <w:r w:rsidR="00A30371">
        <w:rPr>
          <w:color w:val="000000"/>
        </w:rPr>
        <w:t>IAMOND</w:t>
      </w:r>
      <w:r w:rsidR="00BE1E70">
        <w:rPr>
          <w:color w:val="000000"/>
        </w:rPr>
        <w:t>)</w:t>
      </w:r>
      <w:r w:rsidR="00A30371">
        <w:rPr>
          <w:color w:val="000000"/>
        </w:rPr>
        <w:t xml:space="preserve"> to assess if participants met diagnostic criteria for trichotillomania. </w:t>
      </w:r>
      <w:r w:rsidRPr="007D360B">
        <w:rPr>
          <w:color w:val="000000"/>
        </w:rPr>
        <w:t xml:space="preserve">Participants </w:t>
      </w:r>
      <w:r>
        <w:rPr>
          <w:color w:val="000000"/>
        </w:rPr>
        <w:t>were then</w:t>
      </w:r>
      <w:r w:rsidRPr="007D360B">
        <w:rPr>
          <w:color w:val="000000"/>
        </w:rPr>
        <w:t xml:space="preserve"> randomized into the treatment or delayed treatment waitlist condition</w:t>
      </w:r>
      <w:r w:rsidR="00300D56">
        <w:rPr>
          <w:color w:val="000000"/>
        </w:rPr>
        <w:t xml:space="preserve"> of eight weeks</w:t>
      </w:r>
      <w:r w:rsidRPr="007D360B">
        <w:rPr>
          <w:color w:val="000000"/>
        </w:rPr>
        <w:t>.</w:t>
      </w:r>
      <w:r w:rsidR="00E56B85">
        <w:rPr>
          <w:color w:val="000000"/>
        </w:rPr>
        <w:t xml:space="preserve"> Participants had an equal chance of being assigned to either group and w</w:t>
      </w:r>
      <w:r w:rsidR="00086691">
        <w:rPr>
          <w:color w:val="000000"/>
        </w:rPr>
        <w:t>ere</w:t>
      </w:r>
      <w:r w:rsidR="00E56B85">
        <w:rPr>
          <w:color w:val="000000"/>
        </w:rPr>
        <w:t xml:space="preserve"> assigned through a random number generator.</w:t>
      </w:r>
      <w:r w:rsidRPr="007D360B">
        <w:rPr>
          <w:color w:val="000000"/>
        </w:rPr>
        <w:t xml:space="preserve"> Participants placed in the treatment group </w:t>
      </w:r>
      <w:r>
        <w:rPr>
          <w:color w:val="000000"/>
        </w:rPr>
        <w:t xml:space="preserve">then completed the </w:t>
      </w:r>
      <w:r w:rsidRPr="007D360B">
        <w:rPr>
          <w:color w:val="000000"/>
        </w:rPr>
        <w:t>eight-module web-based treatment program</w:t>
      </w:r>
      <w:r>
        <w:rPr>
          <w:color w:val="000000"/>
        </w:rPr>
        <w:t xml:space="preserve"> </w:t>
      </w:r>
      <w:r w:rsidR="00A62E6F">
        <w:rPr>
          <w:color w:val="000000"/>
        </w:rPr>
        <w:t xml:space="preserve">over an </w:t>
      </w:r>
      <w:r w:rsidR="00300D56">
        <w:rPr>
          <w:color w:val="000000"/>
        </w:rPr>
        <w:t>eight-week</w:t>
      </w:r>
      <w:r w:rsidR="00A62E6F">
        <w:rPr>
          <w:color w:val="000000"/>
        </w:rPr>
        <w:t xml:space="preserve"> intervention period</w:t>
      </w:r>
      <w:r>
        <w:rPr>
          <w:color w:val="000000"/>
        </w:rPr>
        <w:t xml:space="preserve"> (described </w:t>
      </w:r>
      <w:r w:rsidR="0070428A">
        <w:rPr>
          <w:color w:val="000000"/>
        </w:rPr>
        <w:t xml:space="preserve">in </w:t>
      </w:r>
      <w:r w:rsidR="00300D56">
        <w:rPr>
          <w:color w:val="000000"/>
        </w:rPr>
        <w:t xml:space="preserve">the </w:t>
      </w:r>
      <w:r w:rsidR="0070428A">
        <w:rPr>
          <w:i/>
          <w:color w:val="000000"/>
        </w:rPr>
        <w:t>intervention</w:t>
      </w:r>
      <w:r w:rsidR="00300D56">
        <w:rPr>
          <w:i/>
          <w:color w:val="000000"/>
        </w:rPr>
        <w:t xml:space="preserve"> </w:t>
      </w:r>
      <w:r w:rsidR="00300D56" w:rsidRPr="00394F22">
        <w:rPr>
          <w:iCs/>
          <w:color w:val="000000"/>
        </w:rPr>
        <w:t>section</w:t>
      </w:r>
      <w:r w:rsidRPr="007F60A9">
        <w:rPr>
          <w:iCs/>
          <w:color w:val="000000"/>
        </w:rPr>
        <w:t>)</w:t>
      </w:r>
      <w:r w:rsidR="003853EC" w:rsidRPr="007F60A9">
        <w:rPr>
          <w:iCs/>
          <w:color w:val="000000"/>
        </w:rPr>
        <w:t>.</w:t>
      </w:r>
      <w:r w:rsidRPr="007D360B">
        <w:rPr>
          <w:color w:val="000000"/>
        </w:rPr>
        <w:t xml:space="preserve"> </w:t>
      </w:r>
      <w:r w:rsidR="00A62E6F">
        <w:rPr>
          <w:color w:val="000000"/>
        </w:rPr>
        <w:t>Participants in both conditions</w:t>
      </w:r>
      <w:r w:rsidRPr="007D360B">
        <w:rPr>
          <w:color w:val="000000"/>
        </w:rPr>
        <w:t xml:space="preserve"> complete</w:t>
      </w:r>
      <w:r w:rsidR="003853EC">
        <w:rPr>
          <w:color w:val="000000"/>
        </w:rPr>
        <w:t>d</w:t>
      </w:r>
      <w:r w:rsidR="00DB626F">
        <w:rPr>
          <w:color w:val="000000"/>
        </w:rPr>
        <w:t xml:space="preserve"> online</w:t>
      </w:r>
      <w:r w:rsidRPr="007D360B">
        <w:rPr>
          <w:color w:val="000000"/>
        </w:rPr>
        <w:t xml:space="preserve"> assessments</w:t>
      </w:r>
      <w:r w:rsidR="00DB626F">
        <w:rPr>
          <w:color w:val="000000"/>
        </w:rPr>
        <w:t xml:space="preserve"> through Qualtrics</w:t>
      </w:r>
      <w:r w:rsidRPr="007D360B">
        <w:rPr>
          <w:color w:val="000000"/>
        </w:rPr>
        <w:t xml:space="preserve"> </w:t>
      </w:r>
      <w:r w:rsidR="003853EC">
        <w:rPr>
          <w:color w:val="000000"/>
        </w:rPr>
        <w:t>at the end of the</w:t>
      </w:r>
      <w:r w:rsidRPr="007D360B">
        <w:rPr>
          <w:color w:val="000000"/>
        </w:rPr>
        <w:t xml:space="preserve"> fourth </w:t>
      </w:r>
      <w:r>
        <w:rPr>
          <w:color w:val="000000"/>
        </w:rPr>
        <w:t xml:space="preserve">week </w:t>
      </w:r>
      <w:r w:rsidR="00086691">
        <w:rPr>
          <w:color w:val="000000"/>
        </w:rPr>
        <w:t>following</w:t>
      </w:r>
      <w:r>
        <w:rPr>
          <w:color w:val="000000"/>
        </w:rPr>
        <w:t xml:space="preserve"> their intake session</w:t>
      </w:r>
      <w:r w:rsidR="00A62E6F">
        <w:rPr>
          <w:color w:val="000000"/>
        </w:rPr>
        <w:t xml:space="preserve"> (mid-treatment assessment point)</w:t>
      </w:r>
      <w:r w:rsidRPr="007D360B">
        <w:rPr>
          <w:color w:val="000000"/>
        </w:rPr>
        <w:t xml:space="preserve">, after the </w:t>
      </w:r>
      <w:r>
        <w:rPr>
          <w:color w:val="000000"/>
        </w:rPr>
        <w:t xml:space="preserve">eighth </w:t>
      </w:r>
      <w:r>
        <w:rPr>
          <w:color w:val="000000"/>
        </w:rPr>
        <w:lastRenderedPageBreak/>
        <w:t>week</w:t>
      </w:r>
      <w:r w:rsidR="00DB626F">
        <w:rPr>
          <w:color w:val="000000"/>
        </w:rPr>
        <w:t xml:space="preserve"> (post-treatment</w:t>
      </w:r>
      <w:r w:rsidR="00A62E6F">
        <w:rPr>
          <w:color w:val="000000"/>
        </w:rPr>
        <w:t xml:space="preserve"> assessment point</w:t>
      </w:r>
      <w:r w:rsidR="00DB626F">
        <w:rPr>
          <w:color w:val="000000"/>
        </w:rPr>
        <w:t>)</w:t>
      </w:r>
      <w:r>
        <w:rPr>
          <w:color w:val="000000"/>
        </w:rPr>
        <w:t>,</w:t>
      </w:r>
      <w:r w:rsidRPr="007D360B">
        <w:rPr>
          <w:color w:val="000000"/>
        </w:rPr>
        <w:t xml:space="preserve"> and a</w:t>
      </w:r>
      <w:r w:rsidR="00086691">
        <w:rPr>
          <w:color w:val="000000"/>
        </w:rPr>
        <w:t xml:space="preserve">fter </w:t>
      </w:r>
      <w:r w:rsidR="00DB626F">
        <w:rPr>
          <w:color w:val="000000"/>
        </w:rPr>
        <w:t>the 12</w:t>
      </w:r>
      <w:r w:rsidR="00DB626F" w:rsidRPr="000B0ED4">
        <w:rPr>
          <w:color w:val="000000"/>
          <w:vertAlign w:val="superscript"/>
        </w:rPr>
        <w:t>th</w:t>
      </w:r>
      <w:r w:rsidR="00DB626F">
        <w:rPr>
          <w:color w:val="000000"/>
        </w:rPr>
        <w:t xml:space="preserve"> week (</w:t>
      </w:r>
      <w:r w:rsidRPr="007D360B">
        <w:rPr>
          <w:color w:val="000000"/>
        </w:rPr>
        <w:t>follow-up</w:t>
      </w:r>
      <w:r w:rsidR="00A62E6F">
        <w:rPr>
          <w:color w:val="000000"/>
        </w:rPr>
        <w:t xml:space="preserve"> assessment point)</w:t>
      </w:r>
      <w:r w:rsidRPr="007D360B">
        <w:rPr>
          <w:color w:val="000000"/>
        </w:rPr>
        <w:t xml:space="preserve">. </w:t>
      </w:r>
      <w:r w:rsidR="00300D56">
        <w:rPr>
          <w:color w:val="000000"/>
        </w:rPr>
        <w:t>After the final assessment point, the waitlist group was given access to the website.</w:t>
      </w:r>
    </w:p>
    <w:p w14:paraId="78CEB8E4" w14:textId="77777777" w:rsidR="00DD592C" w:rsidRPr="00394F22" w:rsidRDefault="00DD592C" w:rsidP="00DD592C">
      <w:pPr>
        <w:shd w:val="clear" w:color="auto" w:fill="FFFFFF"/>
        <w:spacing w:line="480" w:lineRule="auto"/>
        <w:textAlignment w:val="baseline"/>
        <w:rPr>
          <w:b/>
          <w:bCs/>
          <w:color w:val="000000"/>
        </w:rPr>
      </w:pPr>
      <w:r w:rsidRPr="00394F22">
        <w:rPr>
          <w:b/>
          <w:bCs/>
          <w:color w:val="000000"/>
        </w:rPr>
        <w:t>Intervention</w:t>
      </w:r>
    </w:p>
    <w:p w14:paraId="2D97F864" w14:textId="12868F54" w:rsidR="00DD592C" w:rsidRDefault="00DD592C" w:rsidP="00DD592C">
      <w:pPr>
        <w:shd w:val="clear" w:color="auto" w:fill="FFFFFF"/>
        <w:spacing w:line="480" w:lineRule="auto"/>
        <w:textAlignment w:val="baseline"/>
        <w:rPr>
          <w:color w:val="000000"/>
        </w:rPr>
      </w:pPr>
      <w:r w:rsidRPr="007D360B">
        <w:rPr>
          <w:color w:val="000000"/>
        </w:rPr>
        <w:tab/>
      </w:r>
      <w:r w:rsidR="00DF1BAC" w:rsidRPr="00DF1BAC">
        <w:rPr>
          <w:color w:val="242424"/>
          <w:shd w:val="clear" w:color="auto" w:fill="FFFFFF"/>
        </w:rPr>
        <w:t xml:space="preserve">This web-based intervention was created by the </w:t>
      </w:r>
      <w:r w:rsidR="009F4BB3">
        <w:rPr>
          <w:color w:val="242424"/>
          <w:shd w:val="clear" w:color="auto" w:fill="FFFFFF"/>
        </w:rPr>
        <w:t>Utah State University ACT Research lab</w:t>
      </w:r>
      <w:r w:rsidR="00DF1BAC">
        <w:rPr>
          <w:color w:val="242424"/>
          <w:shd w:val="clear" w:color="auto" w:fill="FFFFFF"/>
        </w:rPr>
        <w:t xml:space="preserve">, </w:t>
      </w:r>
      <w:r w:rsidR="00DF1BAC" w:rsidRPr="00DF1BAC">
        <w:rPr>
          <w:color w:val="242424"/>
          <w:shd w:val="clear" w:color="auto" w:fill="FFFFFF"/>
        </w:rPr>
        <w:t xml:space="preserve">co-directed by </w:t>
      </w:r>
      <w:r w:rsidR="009F4BB3">
        <w:rPr>
          <w:color w:val="242424"/>
          <w:shd w:val="clear" w:color="auto" w:fill="FFFFFF"/>
        </w:rPr>
        <w:t>Drs. Michael Twohig and Levin</w:t>
      </w:r>
      <w:r w:rsidR="00DF1BAC" w:rsidRPr="00DF1BAC">
        <w:rPr>
          <w:color w:val="242424"/>
          <w:shd w:val="clear" w:color="auto" w:fill="FFFFFF"/>
        </w:rPr>
        <w:t xml:space="preserve">. Although it was developed as a research prototype, it might be adapted and delivered as a publicly available program for a small fee in the future as part of the </w:t>
      </w:r>
      <w:r w:rsidR="009F4BB3">
        <w:rPr>
          <w:color w:val="242424"/>
          <w:shd w:val="clear" w:color="auto" w:fill="FFFFFF"/>
        </w:rPr>
        <w:t>ACT Guide</w:t>
      </w:r>
      <w:r w:rsidR="00DF1BAC" w:rsidRPr="00DF1BAC">
        <w:rPr>
          <w:color w:val="242424"/>
          <w:shd w:val="clear" w:color="auto" w:fill="FFFFFF"/>
        </w:rPr>
        <w:t xml:space="preserve"> service suite hosted at </w:t>
      </w:r>
      <w:r w:rsidR="009F4BB3">
        <w:rPr>
          <w:color w:val="242424"/>
          <w:shd w:val="clear" w:color="auto" w:fill="FFFFFF"/>
        </w:rPr>
        <w:t>Utah State University</w:t>
      </w:r>
      <w:r w:rsidR="00DF1BAC">
        <w:rPr>
          <w:color w:val="242424"/>
          <w:shd w:val="clear" w:color="auto" w:fill="FFFFFF"/>
        </w:rPr>
        <w:t xml:space="preserve"> </w:t>
      </w:r>
      <w:r w:rsidRPr="007D360B">
        <w:rPr>
          <w:color w:val="000000"/>
        </w:rPr>
        <w:t>The intervention consist</w:t>
      </w:r>
      <w:r>
        <w:rPr>
          <w:color w:val="000000"/>
        </w:rPr>
        <w:t>ed</w:t>
      </w:r>
      <w:r w:rsidRPr="007D360B">
        <w:rPr>
          <w:color w:val="000000"/>
        </w:rPr>
        <w:t xml:space="preserve"> of eight, </w:t>
      </w:r>
      <w:r w:rsidR="00300D56">
        <w:rPr>
          <w:color w:val="000000"/>
        </w:rPr>
        <w:t>20–30-minute</w:t>
      </w:r>
      <w:r w:rsidRPr="007D360B">
        <w:rPr>
          <w:color w:val="000000"/>
        </w:rPr>
        <w:t xml:space="preserve"> modules developed </w:t>
      </w:r>
      <w:r w:rsidR="00DE3164">
        <w:rPr>
          <w:color w:val="000000"/>
        </w:rPr>
        <w:t xml:space="preserve">from </w:t>
      </w:r>
      <w:r w:rsidRPr="007D360B">
        <w:rPr>
          <w:color w:val="000000"/>
        </w:rPr>
        <w:t xml:space="preserve">the empirically supported </w:t>
      </w:r>
      <w:r w:rsidR="00AA2A94">
        <w:rPr>
          <w:color w:val="000000"/>
        </w:rPr>
        <w:t>a</w:t>
      </w:r>
      <w:r w:rsidR="00086691">
        <w:rPr>
          <w:color w:val="000000"/>
        </w:rPr>
        <w:t>cceptance</w:t>
      </w:r>
      <w:r>
        <w:rPr>
          <w:color w:val="000000"/>
        </w:rPr>
        <w:t>-enhanced behavior therapy manual</w:t>
      </w:r>
      <w:r w:rsidRPr="007D360B">
        <w:rPr>
          <w:color w:val="000000"/>
        </w:rPr>
        <w:t xml:space="preserve"> </w:t>
      </w:r>
      <w:r w:rsidRPr="007D360B">
        <w:rPr>
          <w:noProof/>
          <w:color w:val="000000"/>
        </w:rPr>
        <w:t>(Woods &amp; Twohig, 2008)</w:t>
      </w:r>
      <w:r w:rsidRPr="007D360B">
        <w:rPr>
          <w:color w:val="000000"/>
        </w:rPr>
        <w:t xml:space="preserve">. Module 1 </w:t>
      </w:r>
      <w:r>
        <w:rPr>
          <w:color w:val="000000"/>
        </w:rPr>
        <w:t>was an</w:t>
      </w:r>
      <w:r w:rsidRPr="007D360B">
        <w:rPr>
          <w:color w:val="000000"/>
        </w:rPr>
        <w:t xml:space="preserve"> introduction to the program</w:t>
      </w:r>
      <w:r>
        <w:rPr>
          <w:color w:val="000000"/>
        </w:rPr>
        <w:t xml:space="preserve"> and psychoeducation</w:t>
      </w:r>
      <w:r w:rsidRPr="007D360B">
        <w:rPr>
          <w:color w:val="000000"/>
        </w:rPr>
        <w:t>. Module 2 introduce</w:t>
      </w:r>
      <w:r>
        <w:rPr>
          <w:color w:val="000000"/>
        </w:rPr>
        <w:t>d stimulus control.</w:t>
      </w:r>
      <w:r w:rsidRPr="007D360B">
        <w:rPr>
          <w:color w:val="000000"/>
        </w:rPr>
        <w:t xml:space="preserve"> Module 3 </w:t>
      </w:r>
      <w:r>
        <w:rPr>
          <w:color w:val="000000"/>
        </w:rPr>
        <w:t xml:space="preserve">addressed competing responses and </w:t>
      </w:r>
      <w:r w:rsidR="0070428A">
        <w:rPr>
          <w:color w:val="000000"/>
        </w:rPr>
        <w:t xml:space="preserve">habit reversal </w:t>
      </w:r>
      <w:r>
        <w:rPr>
          <w:color w:val="000000"/>
        </w:rPr>
        <w:t xml:space="preserve">techniques to manage pulling. </w:t>
      </w:r>
      <w:r w:rsidRPr="007D360B">
        <w:rPr>
          <w:color w:val="000000"/>
        </w:rPr>
        <w:t xml:space="preserve">Module 4 </w:t>
      </w:r>
      <w:r>
        <w:rPr>
          <w:color w:val="000000"/>
        </w:rPr>
        <w:t>introduced values as motivation for change</w:t>
      </w:r>
      <w:r w:rsidRPr="007D360B">
        <w:rPr>
          <w:color w:val="000000"/>
        </w:rPr>
        <w:t>. Modules 5 and 6 introduce</w:t>
      </w:r>
      <w:r>
        <w:rPr>
          <w:color w:val="000000"/>
        </w:rPr>
        <w:t>d</w:t>
      </w:r>
      <w:r w:rsidRPr="007D360B">
        <w:rPr>
          <w:color w:val="000000"/>
        </w:rPr>
        <w:t xml:space="preserve"> </w:t>
      </w:r>
      <w:r>
        <w:rPr>
          <w:color w:val="000000"/>
        </w:rPr>
        <w:t xml:space="preserve">acceptance and </w:t>
      </w:r>
      <w:proofErr w:type="spellStart"/>
      <w:r>
        <w:rPr>
          <w:color w:val="000000"/>
        </w:rPr>
        <w:t>defusion</w:t>
      </w:r>
      <w:proofErr w:type="spellEnd"/>
      <w:r>
        <w:rPr>
          <w:color w:val="000000"/>
        </w:rPr>
        <w:t xml:space="preserve"> skills. </w:t>
      </w:r>
      <w:r w:rsidRPr="007D360B">
        <w:rPr>
          <w:color w:val="000000"/>
        </w:rPr>
        <w:t xml:space="preserve">Module 7 </w:t>
      </w:r>
      <w:r>
        <w:rPr>
          <w:color w:val="000000"/>
        </w:rPr>
        <w:t xml:space="preserve">built upon values, acceptance, and </w:t>
      </w:r>
      <w:proofErr w:type="spellStart"/>
      <w:r>
        <w:rPr>
          <w:color w:val="000000"/>
        </w:rPr>
        <w:t>defusion</w:t>
      </w:r>
      <w:proofErr w:type="spellEnd"/>
      <w:r>
        <w:rPr>
          <w:color w:val="000000"/>
        </w:rPr>
        <w:t xml:space="preserve"> strategies</w:t>
      </w:r>
      <w:r w:rsidRPr="007D360B">
        <w:rPr>
          <w:color w:val="000000"/>
        </w:rPr>
        <w:t xml:space="preserve">. Module 8 </w:t>
      </w:r>
      <w:r w:rsidR="00086691">
        <w:rPr>
          <w:color w:val="000000"/>
        </w:rPr>
        <w:t xml:space="preserve">provided a </w:t>
      </w:r>
      <w:r w:rsidRPr="007D360B">
        <w:rPr>
          <w:color w:val="000000"/>
        </w:rPr>
        <w:t>review</w:t>
      </w:r>
      <w:r>
        <w:rPr>
          <w:color w:val="000000"/>
        </w:rPr>
        <w:t xml:space="preserve">ed </w:t>
      </w:r>
      <w:r w:rsidRPr="007D360B">
        <w:rPr>
          <w:color w:val="000000"/>
        </w:rPr>
        <w:t>treatment</w:t>
      </w:r>
      <w:r>
        <w:rPr>
          <w:color w:val="000000"/>
        </w:rPr>
        <w:t xml:space="preserve"> and relapse prevention</w:t>
      </w:r>
      <w:r w:rsidRPr="007D360B">
        <w:rPr>
          <w:color w:val="000000"/>
        </w:rPr>
        <w:t xml:space="preserve">. </w:t>
      </w:r>
      <w:r w:rsidR="00EE59F4">
        <w:rPr>
          <w:color w:val="000000"/>
        </w:rPr>
        <w:t>The program was developed and deployed through Qualtrics, a research platform that our research team has successfully used to deliver online ACT programs in several prior clinical trials (</w:t>
      </w:r>
      <w:r w:rsidR="009F4BB3">
        <w:rPr>
          <w:color w:val="000000"/>
        </w:rPr>
        <w:t>e.g., Levin, Petersen, et al., 2021</w:t>
      </w:r>
      <w:r w:rsidR="00EE59F4">
        <w:rPr>
          <w:color w:val="000000"/>
        </w:rPr>
        <w:t xml:space="preserve">). </w:t>
      </w:r>
      <w:r w:rsidR="00EE59F4" w:rsidRPr="00DE4F11">
        <w:rPr>
          <w:color w:val="000000"/>
        </w:rPr>
        <w:t>Participants completed treatment on their home computers, other available computers, or using their tablets or smartphones.</w:t>
      </w:r>
    </w:p>
    <w:p w14:paraId="5F214D9D" w14:textId="1059CE8F" w:rsidR="00DB626F" w:rsidRPr="007D360B" w:rsidRDefault="00DB626F" w:rsidP="000B0ED4">
      <w:pPr>
        <w:shd w:val="clear" w:color="auto" w:fill="FFFFFF"/>
        <w:spacing w:line="480" w:lineRule="auto"/>
        <w:ind w:firstLine="720"/>
        <w:textAlignment w:val="baseline"/>
        <w:rPr>
          <w:color w:val="000000"/>
        </w:rPr>
      </w:pPr>
      <w:r w:rsidRPr="007D360B">
        <w:rPr>
          <w:color w:val="000000"/>
        </w:rPr>
        <w:t xml:space="preserve">Participants </w:t>
      </w:r>
      <w:r>
        <w:rPr>
          <w:color w:val="000000"/>
        </w:rPr>
        <w:t>received</w:t>
      </w:r>
      <w:r w:rsidRPr="007D360B">
        <w:rPr>
          <w:color w:val="000000"/>
        </w:rPr>
        <w:t xml:space="preserve"> weekly check-ins via telephone</w:t>
      </w:r>
      <w:r>
        <w:rPr>
          <w:color w:val="000000"/>
        </w:rPr>
        <w:t xml:space="preserve"> with a graduate student researcher</w:t>
      </w:r>
      <w:r w:rsidRPr="007D360B">
        <w:rPr>
          <w:color w:val="000000"/>
        </w:rPr>
        <w:t xml:space="preserve"> to assess module progress and establish plans for completing consecutive modules.</w:t>
      </w:r>
      <w:r w:rsidR="00FF5088">
        <w:rPr>
          <w:color w:val="000000"/>
        </w:rPr>
        <w:t xml:space="preserve"> Participants were asked if they had completed a session that week</w:t>
      </w:r>
      <w:r w:rsidR="00406D2F">
        <w:rPr>
          <w:color w:val="000000"/>
        </w:rPr>
        <w:t>.</w:t>
      </w:r>
      <w:r w:rsidR="00FF5088">
        <w:rPr>
          <w:color w:val="000000"/>
        </w:rPr>
        <w:t xml:space="preserve"> </w:t>
      </w:r>
      <w:r w:rsidR="00406D2F">
        <w:rPr>
          <w:color w:val="000000"/>
        </w:rPr>
        <w:t>I</w:t>
      </w:r>
      <w:r w:rsidR="00FF5088">
        <w:rPr>
          <w:color w:val="000000"/>
        </w:rPr>
        <w:t>f they hadn’t</w:t>
      </w:r>
      <w:r w:rsidR="005770F0">
        <w:rPr>
          <w:color w:val="000000"/>
        </w:rPr>
        <w:t>,</w:t>
      </w:r>
      <w:r w:rsidR="00FF5088">
        <w:rPr>
          <w:color w:val="000000"/>
        </w:rPr>
        <w:t xml:space="preserve"> they were asked when they planned to complete one</w:t>
      </w:r>
      <w:r w:rsidR="00406D2F">
        <w:rPr>
          <w:color w:val="000000"/>
        </w:rPr>
        <w:t xml:space="preserve"> to ensure a module was completed that week. Participants</w:t>
      </w:r>
      <w:r w:rsidR="00FF5088">
        <w:rPr>
          <w:color w:val="000000"/>
        </w:rPr>
        <w:t xml:space="preserve"> were asked </w:t>
      </w:r>
      <w:r w:rsidR="0013704E">
        <w:rPr>
          <w:color w:val="000000"/>
        </w:rPr>
        <w:t>when they planned to complete the next module</w:t>
      </w:r>
      <w:r w:rsidR="00406D2F">
        <w:rPr>
          <w:color w:val="000000"/>
        </w:rPr>
        <w:t xml:space="preserve"> for the following week</w:t>
      </w:r>
      <w:r w:rsidR="0013704E">
        <w:rPr>
          <w:color w:val="000000"/>
        </w:rPr>
        <w:t xml:space="preserve">. </w:t>
      </w:r>
      <w:r w:rsidR="00406D2F">
        <w:rPr>
          <w:color w:val="000000"/>
        </w:rPr>
        <w:t>Finally</w:t>
      </w:r>
      <w:r w:rsidR="007817B0">
        <w:rPr>
          <w:color w:val="000000"/>
        </w:rPr>
        <w:t>,</w:t>
      </w:r>
      <w:r w:rsidR="00406D2F">
        <w:rPr>
          <w:color w:val="000000"/>
        </w:rPr>
        <w:t xml:space="preserve"> they were </w:t>
      </w:r>
      <w:r w:rsidR="0013704E">
        <w:rPr>
          <w:color w:val="000000"/>
        </w:rPr>
        <w:t xml:space="preserve">asked </w:t>
      </w:r>
      <w:r w:rsidR="0013704E">
        <w:rPr>
          <w:color w:val="000000"/>
        </w:rPr>
        <w:lastRenderedPageBreak/>
        <w:t xml:space="preserve">if they </w:t>
      </w:r>
      <w:r w:rsidR="008E022D">
        <w:rPr>
          <w:color w:val="000000"/>
        </w:rPr>
        <w:t>had run into any technical issues to ensure this was not a barrier to adherence. These check-ins were between two and five minutes long.</w:t>
      </w:r>
      <w:r w:rsidRPr="007D360B">
        <w:rPr>
          <w:color w:val="000000"/>
        </w:rPr>
        <w:t xml:space="preserve"> All treatment, excluding phone-based weekly check-ins, </w:t>
      </w:r>
      <w:r>
        <w:rPr>
          <w:color w:val="000000"/>
        </w:rPr>
        <w:t>utilized</w:t>
      </w:r>
      <w:r w:rsidRPr="007D360B">
        <w:rPr>
          <w:color w:val="000000"/>
        </w:rPr>
        <w:t xml:space="preserve"> the </w:t>
      </w:r>
      <w:r w:rsidR="00EE59F4">
        <w:rPr>
          <w:color w:val="000000"/>
        </w:rPr>
        <w:t xml:space="preserve">automated </w:t>
      </w:r>
      <w:r w:rsidRPr="007D360B">
        <w:rPr>
          <w:color w:val="000000"/>
        </w:rPr>
        <w:t xml:space="preserve">web-based treatment site. </w:t>
      </w:r>
    </w:p>
    <w:p w14:paraId="3A20EE05" w14:textId="77777777" w:rsidR="00DD592C" w:rsidRPr="00394F22" w:rsidRDefault="00DD592C" w:rsidP="00DD592C">
      <w:pPr>
        <w:shd w:val="clear" w:color="auto" w:fill="FFFFFF"/>
        <w:spacing w:line="480" w:lineRule="auto"/>
        <w:textAlignment w:val="baseline"/>
        <w:rPr>
          <w:b/>
          <w:bCs/>
          <w:color w:val="000000"/>
        </w:rPr>
      </w:pPr>
      <w:r w:rsidRPr="00394F22">
        <w:rPr>
          <w:b/>
          <w:bCs/>
          <w:color w:val="000000"/>
        </w:rPr>
        <w:t>Measures</w:t>
      </w:r>
    </w:p>
    <w:p w14:paraId="1C57F98E" w14:textId="7981D598" w:rsidR="00DD592C" w:rsidRPr="00834C6B" w:rsidRDefault="00DD592C" w:rsidP="00DD592C">
      <w:pPr>
        <w:shd w:val="clear" w:color="auto" w:fill="FFFFFF"/>
        <w:spacing w:line="480" w:lineRule="auto"/>
        <w:textAlignment w:val="baseline"/>
        <w:rPr>
          <w:b/>
          <w:bCs/>
          <w:i/>
          <w:iCs/>
          <w:color w:val="000000"/>
        </w:rPr>
      </w:pPr>
      <w:r>
        <w:rPr>
          <w:color w:val="000000"/>
        </w:rPr>
        <w:tab/>
      </w:r>
      <w:r w:rsidRPr="00A96880">
        <w:rPr>
          <w:b/>
          <w:bCs/>
          <w:i/>
          <w:iCs/>
          <w:color w:val="000000"/>
        </w:rPr>
        <w:t xml:space="preserve">Diagnostic Interview for Anxiety, Mood, and Obsessive-Compulsive and Related Neuropsychiatric Disorders </w:t>
      </w:r>
      <w:r w:rsidRPr="000B0ED4">
        <w:rPr>
          <w:b/>
          <w:bCs/>
          <w:color w:val="000000"/>
        </w:rPr>
        <w:t>(</w:t>
      </w:r>
      <w:r w:rsidRPr="000B0ED4">
        <w:rPr>
          <w:color w:val="000000"/>
        </w:rPr>
        <w:t>DIAMOND;</w:t>
      </w:r>
      <w:r w:rsidR="00834C6B" w:rsidRPr="000B0ED4">
        <w:rPr>
          <w:noProof/>
          <w:color w:val="000000"/>
        </w:rPr>
        <w:t xml:space="preserve"> </w:t>
      </w:r>
      <w:r w:rsidRPr="000B0ED4">
        <w:rPr>
          <w:noProof/>
          <w:color w:val="000000"/>
        </w:rPr>
        <w:t>Tolin et al., 2016)</w:t>
      </w:r>
      <w:r w:rsidR="00300D56">
        <w:rPr>
          <w:noProof/>
          <w:color w:val="000000"/>
        </w:rPr>
        <w:t>.</w:t>
      </w:r>
      <w:r w:rsidRPr="000B0ED4">
        <w:rPr>
          <w:b/>
          <w:bCs/>
          <w:color w:val="000000"/>
        </w:rPr>
        <w:t xml:space="preserve"> </w:t>
      </w:r>
      <w:r>
        <w:rPr>
          <w:color w:val="000000"/>
        </w:rPr>
        <w:t xml:space="preserve">The DIAMOND is a semi-structured diagnostic interview designed to assess for DSM-V psychiatric disorders in adults (ages 18 and above). The interview is administered in approximately one hour. For this study, only the trichotillomania section was administered and took approximately </w:t>
      </w:r>
      <w:r w:rsidR="00FF5088">
        <w:rPr>
          <w:color w:val="000000"/>
        </w:rPr>
        <w:t>20</w:t>
      </w:r>
      <w:r>
        <w:rPr>
          <w:color w:val="000000"/>
        </w:rPr>
        <w:t xml:space="preserve"> minutes per participant. The DIAMOND has good inter-rater reliability, test-retest reliability, and convergent and divergent validity </w:t>
      </w:r>
      <w:r>
        <w:rPr>
          <w:noProof/>
          <w:color w:val="000000"/>
        </w:rPr>
        <w:t>(Tolin et al., 2018)</w:t>
      </w:r>
      <w:r>
        <w:rPr>
          <w:color w:val="000000"/>
        </w:rPr>
        <w:t xml:space="preserve"> </w:t>
      </w:r>
    </w:p>
    <w:p w14:paraId="760D77DA" w14:textId="54FFAE7E" w:rsidR="00DD592C" w:rsidRDefault="00DD592C" w:rsidP="00DD592C">
      <w:pPr>
        <w:shd w:val="clear" w:color="auto" w:fill="FFFFFF"/>
        <w:spacing w:line="480" w:lineRule="auto"/>
        <w:ind w:firstLine="720"/>
        <w:textAlignment w:val="baseline"/>
        <w:rPr>
          <w:color w:val="000000"/>
        </w:rPr>
      </w:pPr>
      <w:r w:rsidRPr="007D360B">
        <w:rPr>
          <w:b/>
          <w:bCs/>
          <w:i/>
          <w:iCs/>
          <w:color w:val="000000"/>
        </w:rPr>
        <w:t xml:space="preserve">Massachusetts General Hospital Hair Pulling Scale </w:t>
      </w:r>
      <w:r w:rsidRPr="002E3CCE">
        <w:rPr>
          <w:color w:val="000000"/>
        </w:rPr>
        <w:t>(MGH-HPS;</w:t>
      </w:r>
      <w:r w:rsidR="00300D56">
        <w:rPr>
          <w:noProof/>
          <w:color w:val="000000"/>
        </w:rPr>
        <w:t xml:space="preserve"> </w:t>
      </w:r>
      <w:r w:rsidRPr="002E3CCE">
        <w:rPr>
          <w:noProof/>
          <w:color w:val="000000"/>
        </w:rPr>
        <w:t>Keuthen et al., 1995)</w:t>
      </w:r>
      <w:r w:rsidRPr="002E3CCE">
        <w:rPr>
          <w:color w:val="000000"/>
        </w:rPr>
        <w:t>.</w:t>
      </w:r>
      <w:r w:rsidRPr="007D360B">
        <w:rPr>
          <w:b/>
          <w:bCs/>
          <w:color w:val="000000"/>
        </w:rPr>
        <w:t xml:space="preserve"> </w:t>
      </w:r>
      <w:r w:rsidRPr="007D360B">
        <w:rPr>
          <w:color w:val="000000"/>
        </w:rPr>
        <w:t xml:space="preserve">The MGH-HPS assesses urges to pull, pulling behavior, and the distress caused by pulling through a seven-item self-report measure. </w:t>
      </w:r>
      <w:r w:rsidR="00966616">
        <w:rPr>
          <w:color w:val="000000"/>
        </w:rPr>
        <w:t xml:space="preserve">An example item is “On an average day, how often did you feel the urge to pull your hair?” </w:t>
      </w:r>
      <w:r w:rsidRPr="007D360B">
        <w:rPr>
          <w:color w:val="000000"/>
        </w:rPr>
        <w:t>Items are rated individually on a scale from 0-4 and then the total scale is summed</w:t>
      </w:r>
      <w:r w:rsidR="00480727">
        <w:rPr>
          <w:color w:val="000000"/>
        </w:rPr>
        <w:t>, with total scores ranging from</w:t>
      </w:r>
      <w:r w:rsidRPr="007D360B">
        <w:rPr>
          <w:color w:val="000000"/>
        </w:rPr>
        <w:t xml:space="preserve"> 0–28. Higher scores indicate greater hair pulling severity. Treatment response is indicated by a seven-point reduction in score </w:t>
      </w:r>
      <w:r w:rsidRPr="007D360B">
        <w:rPr>
          <w:noProof/>
          <w:color w:val="000000"/>
        </w:rPr>
        <w:t>(Houghton et al., 2015)</w:t>
      </w:r>
      <w:r w:rsidRPr="007D360B">
        <w:rPr>
          <w:color w:val="000000"/>
        </w:rPr>
        <w:t xml:space="preserve">. The MGH-HPS demonstrates good internal consistency </w:t>
      </w:r>
      <w:r w:rsidRPr="007D360B">
        <w:rPr>
          <w:noProof/>
          <w:color w:val="000000"/>
        </w:rPr>
        <w:t>(Keuthen et al., 1995)</w:t>
      </w:r>
      <w:r w:rsidRPr="007D360B">
        <w:rPr>
          <w:color w:val="000000"/>
        </w:rPr>
        <w:t xml:space="preserve">, test-retest reliability and convergent and divergent validity </w:t>
      </w:r>
      <w:r w:rsidRPr="007D360B">
        <w:rPr>
          <w:noProof/>
          <w:color w:val="000000"/>
        </w:rPr>
        <w:t>(O</w:t>
      </w:r>
      <w:r w:rsidR="007274D2">
        <w:rPr>
          <w:noProof/>
          <w:color w:val="000000"/>
        </w:rPr>
        <w:t>’</w:t>
      </w:r>
      <w:r w:rsidRPr="007D360B">
        <w:rPr>
          <w:noProof/>
          <w:color w:val="000000"/>
        </w:rPr>
        <w:t>Sullivan et al., 1995)</w:t>
      </w:r>
      <w:r w:rsidRPr="007D360B">
        <w:rPr>
          <w:color w:val="000000"/>
        </w:rPr>
        <w:t xml:space="preserve">. </w:t>
      </w:r>
      <w:r>
        <w:rPr>
          <w:color w:val="000000"/>
        </w:rPr>
        <w:t>In the present sample, internal consistency was good (</w:t>
      </w:r>
      <w:r w:rsidR="00A63E8A" w:rsidRPr="000B0ED4">
        <w:rPr>
          <w:i/>
          <w:iCs/>
          <w:color w:val="000000"/>
        </w:rPr>
        <w:sym w:font="Symbol" w:char="F061"/>
      </w:r>
      <w:r w:rsidR="00A63E8A">
        <w:rPr>
          <w:color w:val="000000"/>
        </w:rPr>
        <w:t xml:space="preserve"> </w:t>
      </w:r>
      <w:r>
        <w:rPr>
          <w:color w:val="000000"/>
        </w:rPr>
        <w:t xml:space="preserve">= 0.79). </w:t>
      </w:r>
    </w:p>
    <w:p w14:paraId="7DBBDA08" w14:textId="67B19AD7" w:rsidR="00834C6B" w:rsidRPr="007D360B" w:rsidRDefault="00834C6B" w:rsidP="00834C6B">
      <w:pPr>
        <w:shd w:val="clear" w:color="auto" w:fill="FFFFFF"/>
        <w:spacing w:line="480" w:lineRule="auto"/>
        <w:ind w:firstLine="720"/>
        <w:textAlignment w:val="baseline"/>
        <w:rPr>
          <w:color w:val="000000"/>
        </w:rPr>
      </w:pPr>
      <w:r w:rsidRPr="007D360B">
        <w:rPr>
          <w:b/>
          <w:bCs/>
          <w:i/>
          <w:iCs/>
          <w:color w:val="000000"/>
        </w:rPr>
        <w:t>Acceptance and Action Questionnaire for Trichotillomania</w:t>
      </w:r>
      <w:r w:rsidRPr="007D360B">
        <w:rPr>
          <w:b/>
          <w:bCs/>
          <w:color w:val="000000"/>
        </w:rPr>
        <w:t xml:space="preserve"> </w:t>
      </w:r>
      <w:r w:rsidRPr="002E3CCE">
        <w:rPr>
          <w:color w:val="000000"/>
        </w:rPr>
        <w:t xml:space="preserve">(AAQ- TTM; </w:t>
      </w:r>
      <w:r w:rsidRPr="002E3CCE">
        <w:rPr>
          <w:noProof/>
          <w:color w:val="000000"/>
        </w:rPr>
        <w:t>Houghton et al., 2014)</w:t>
      </w:r>
      <w:r w:rsidRPr="002E3CCE">
        <w:rPr>
          <w:color w:val="000000"/>
        </w:rPr>
        <w:t>.</w:t>
      </w:r>
      <w:r w:rsidRPr="007D360B">
        <w:rPr>
          <w:color w:val="000000"/>
        </w:rPr>
        <w:t xml:space="preserve"> The AAQ-TTM assesses psychological flexibility through a nine-item self-report measure designed for individuals with </w:t>
      </w:r>
      <w:r>
        <w:rPr>
          <w:color w:val="000000"/>
        </w:rPr>
        <w:t>t</w:t>
      </w:r>
      <w:r w:rsidRPr="007D360B">
        <w:rPr>
          <w:color w:val="000000"/>
        </w:rPr>
        <w:t xml:space="preserve">richotillomania. </w:t>
      </w:r>
      <w:r w:rsidR="00966616">
        <w:rPr>
          <w:color w:val="000000"/>
        </w:rPr>
        <w:t xml:space="preserve">An example item is “when I feel the urge </w:t>
      </w:r>
      <w:r w:rsidR="00966616">
        <w:rPr>
          <w:color w:val="000000"/>
        </w:rPr>
        <w:lastRenderedPageBreak/>
        <w:t xml:space="preserve">to pull, I am </w:t>
      </w:r>
      <w:proofErr w:type="spellStart"/>
      <w:r w:rsidR="00966616">
        <w:rPr>
          <w:color w:val="000000"/>
        </w:rPr>
        <w:t>unbable</w:t>
      </w:r>
      <w:proofErr w:type="spellEnd"/>
      <w:r w:rsidR="00966616">
        <w:rPr>
          <w:color w:val="000000"/>
        </w:rPr>
        <w:t xml:space="preserve"> to take care of my responsibilities.” </w:t>
      </w:r>
      <w:r w:rsidRPr="007D360B">
        <w:rPr>
          <w:color w:val="000000"/>
        </w:rPr>
        <w:t>Each item is rated from 1 (</w:t>
      </w:r>
      <w:r w:rsidRPr="000B0ED4">
        <w:rPr>
          <w:i/>
          <w:iCs/>
          <w:color w:val="000000"/>
        </w:rPr>
        <w:t>never true</w:t>
      </w:r>
      <w:r w:rsidRPr="007D360B">
        <w:rPr>
          <w:color w:val="000000"/>
        </w:rPr>
        <w:t>) to 7 (</w:t>
      </w:r>
      <w:r w:rsidRPr="000B0ED4">
        <w:rPr>
          <w:i/>
          <w:iCs/>
          <w:color w:val="000000"/>
        </w:rPr>
        <w:t>always true</w:t>
      </w:r>
      <w:r w:rsidRPr="007D360B">
        <w:rPr>
          <w:color w:val="000000"/>
        </w:rPr>
        <w:t xml:space="preserve">) and totals range </w:t>
      </w:r>
      <w:r w:rsidR="00A63E8A">
        <w:rPr>
          <w:color w:val="000000"/>
        </w:rPr>
        <w:t xml:space="preserve">from </w:t>
      </w:r>
      <w:r w:rsidRPr="007D360B">
        <w:rPr>
          <w:color w:val="000000"/>
        </w:rPr>
        <w:t>7-63 point</w:t>
      </w:r>
      <w:r w:rsidR="00A63E8A">
        <w:rPr>
          <w:color w:val="000000"/>
        </w:rPr>
        <w:t>s;</w:t>
      </w:r>
      <w:r w:rsidRPr="007D360B">
        <w:rPr>
          <w:color w:val="000000"/>
        </w:rPr>
        <w:t xml:space="preserve"> higher scores indicate less </w:t>
      </w:r>
      <w:r w:rsidR="001A4CB9">
        <w:rPr>
          <w:color w:val="000000"/>
        </w:rPr>
        <w:t xml:space="preserve">trichotillomania-specific </w:t>
      </w:r>
      <w:r w:rsidRPr="007D360B">
        <w:rPr>
          <w:color w:val="000000"/>
        </w:rPr>
        <w:t xml:space="preserve">psychological flexibility. The AAQ-TTM has good internal consistency </w:t>
      </w:r>
      <w:r w:rsidRPr="007D360B">
        <w:rPr>
          <w:noProof/>
          <w:color w:val="000000"/>
        </w:rPr>
        <w:t>(Houghton et al., 2015)</w:t>
      </w:r>
      <w:r w:rsidRPr="007D360B">
        <w:rPr>
          <w:color w:val="000000"/>
        </w:rPr>
        <w:t xml:space="preserve"> and good convergent and divergent validity </w:t>
      </w:r>
      <w:r w:rsidRPr="007D360B">
        <w:rPr>
          <w:noProof/>
          <w:color w:val="000000"/>
        </w:rPr>
        <w:t>(Bond et al., 2011)</w:t>
      </w:r>
      <w:r w:rsidRPr="007D360B">
        <w:rPr>
          <w:color w:val="000000"/>
        </w:rPr>
        <w:t xml:space="preserve">. </w:t>
      </w:r>
      <w:r>
        <w:rPr>
          <w:color w:val="000000"/>
        </w:rPr>
        <w:t>In the present sample, the internal consistency at pre-treatment was considered unacceptable (</w:t>
      </w:r>
      <w:r w:rsidR="00A660FA" w:rsidRPr="00FB38E9">
        <w:rPr>
          <w:i/>
          <w:iCs/>
          <w:color w:val="000000"/>
        </w:rPr>
        <w:sym w:font="Symbol" w:char="F061"/>
      </w:r>
      <w:r w:rsidR="00A660FA">
        <w:rPr>
          <w:i/>
          <w:iCs/>
          <w:color w:val="000000"/>
        </w:rPr>
        <w:t xml:space="preserve"> </w:t>
      </w:r>
      <w:r>
        <w:rPr>
          <w:color w:val="000000"/>
        </w:rPr>
        <w:t>= 0.66). However, at all other time-points, the internal consistency was good (</w:t>
      </w:r>
      <w:r w:rsidR="00A63E8A" w:rsidRPr="00FB38E9">
        <w:rPr>
          <w:i/>
          <w:iCs/>
          <w:color w:val="000000"/>
        </w:rPr>
        <w:sym w:font="Symbol" w:char="F061"/>
      </w:r>
      <w:r w:rsidR="00A63E8A">
        <w:rPr>
          <w:i/>
          <w:iCs/>
          <w:color w:val="000000"/>
        </w:rPr>
        <w:t xml:space="preserve"> </w:t>
      </w:r>
      <w:r>
        <w:rPr>
          <w:color w:val="000000"/>
        </w:rPr>
        <w:t xml:space="preserve">= 0.79). </w:t>
      </w:r>
    </w:p>
    <w:p w14:paraId="2AA85E37" w14:textId="24CCC751" w:rsidR="00DD592C" w:rsidRDefault="00DD592C" w:rsidP="00DD592C">
      <w:pPr>
        <w:shd w:val="clear" w:color="auto" w:fill="FFFFFF"/>
        <w:spacing w:line="480" w:lineRule="auto"/>
        <w:ind w:firstLine="720"/>
        <w:textAlignment w:val="baseline"/>
        <w:rPr>
          <w:color w:val="000000"/>
        </w:rPr>
      </w:pPr>
      <w:r w:rsidRPr="002E3CCE">
        <w:rPr>
          <w:b/>
          <w:bCs/>
          <w:i/>
          <w:iCs/>
          <w:color w:val="000000"/>
        </w:rPr>
        <w:t>Mental Health Continuum Short Form</w:t>
      </w:r>
      <w:r w:rsidRPr="002E3CCE">
        <w:rPr>
          <w:b/>
          <w:bCs/>
          <w:color w:val="000000"/>
        </w:rPr>
        <w:t xml:space="preserve"> </w:t>
      </w:r>
      <w:r w:rsidRPr="002E3CCE">
        <w:rPr>
          <w:color w:val="000000"/>
        </w:rPr>
        <w:t xml:space="preserve">(MHC-SF; </w:t>
      </w:r>
      <w:r>
        <w:rPr>
          <w:noProof/>
          <w:color w:val="000000"/>
        </w:rPr>
        <w:t>Lamers et al., 2011)</w:t>
      </w:r>
      <w:r>
        <w:rPr>
          <w:color w:val="000000"/>
        </w:rPr>
        <w:t xml:space="preserve"> The MHC-SF is a 14-item self-report questionnaire assessing emotional, psychological, and social well-being.  </w:t>
      </w:r>
      <w:r w:rsidR="00966616">
        <w:rPr>
          <w:color w:val="000000"/>
        </w:rPr>
        <w:t xml:space="preserve">An example item is “During the past month, how often did you feel happy?” </w:t>
      </w:r>
      <w:r>
        <w:rPr>
          <w:color w:val="000000"/>
        </w:rPr>
        <w:t>Items are rated on a Likert type scale from 0 (</w:t>
      </w:r>
      <w:r w:rsidRPr="000B0ED4">
        <w:rPr>
          <w:i/>
          <w:iCs/>
          <w:color w:val="000000"/>
        </w:rPr>
        <w:t>never</w:t>
      </w:r>
      <w:r>
        <w:rPr>
          <w:color w:val="000000"/>
        </w:rPr>
        <w:t>) to 5 (</w:t>
      </w:r>
      <w:r w:rsidRPr="000B0ED4">
        <w:rPr>
          <w:i/>
          <w:iCs/>
          <w:color w:val="000000"/>
        </w:rPr>
        <w:t>every day</w:t>
      </w:r>
      <w:r>
        <w:rPr>
          <w:color w:val="000000"/>
        </w:rPr>
        <w:t>). Higher scores indicate greater well-being across these domains. The MHC-SF has demonstrated excellent validity and reliability (</w:t>
      </w:r>
      <w:proofErr w:type="spellStart"/>
      <w:r>
        <w:rPr>
          <w:color w:val="000000"/>
        </w:rPr>
        <w:t>Lamers</w:t>
      </w:r>
      <w:proofErr w:type="spellEnd"/>
      <w:r>
        <w:rPr>
          <w:color w:val="000000"/>
        </w:rPr>
        <w:t xml:space="preserve"> et al., 2011). In the present sample, internal consistency was excellent (</w:t>
      </w:r>
      <w:r w:rsidR="00F26DAC" w:rsidRPr="00FB38E9">
        <w:rPr>
          <w:i/>
          <w:iCs/>
          <w:color w:val="000000"/>
        </w:rPr>
        <w:sym w:font="Symbol" w:char="F061"/>
      </w:r>
      <w:r w:rsidR="00F26DAC">
        <w:rPr>
          <w:i/>
          <w:iCs/>
          <w:color w:val="000000"/>
        </w:rPr>
        <w:t xml:space="preserve"> </w:t>
      </w:r>
      <w:r w:rsidR="00CA2E34">
        <w:rPr>
          <w:color w:val="000000"/>
        </w:rPr>
        <w:t xml:space="preserve">= </w:t>
      </w:r>
      <w:r>
        <w:rPr>
          <w:color w:val="000000"/>
        </w:rPr>
        <w:t xml:space="preserve">0.90). </w:t>
      </w:r>
    </w:p>
    <w:p w14:paraId="183340D2" w14:textId="51B525B2" w:rsidR="00DD592C" w:rsidRPr="0053362E" w:rsidRDefault="00DD592C" w:rsidP="00DD592C">
      <w:pPr>
        <w:shd w:val="clear" w:color="auto" w:fill="FFFFFF"/>
        <w:spacing w:line="480" w:lineRule="auto"/>
        <w:ind w:firstLine="720"/>
        <w:textAlignment w:val="baseline"/>
        <w:rPr>
          <w:color w:val="000000"/>
        </w:rPr>
      </w:pPr>
      <w:r w:rsidRPr="002E3CCE">
        <w:rPr>
          <w:b/>
          <w:bCs/>
          <w:i/>
          <w:iCs/>
          <w:color w:val="000000"/>
        </w:rPr>
        <w:t>Depression, Anxiety, Stress Scale- 21 Items</w:t>
      </w:r>
      <w:r>
        <w:rPr>
          <w:color w:val="000000"/>
        </w:rPr>
        <w:t xml:space="preserve"> (DASS-21;</w:t>
      </w:r>
      <w:r w:rsidR="00105959">
        <w:rPr>
          <w:noProof/>
          <w:color w:val="000000"/>
        </w:rPr>
        <w:t xml:space="preserve"> </w:t>
      </w:r>
      <w:r>
        <w:rPr>
          <w:noProof/>
          <w:color w:val="000000"/>
        </w:rPr>
        <w:t>Lovibond &amp; Lovibond, 1995)</w:t>
      </w:r>
      <w:r>
        <w:rPr>
          <w:color w:val="000000"/>
        </w:rPr>
        <w:t>. The DASS-21 is a shortened version of the DASS</w:t>
      </w:r>
      <w:r w:rsidR="00F633A3">
        <w:rPr>
          <w:color w:val="000000"/>
        </w:rPr>
        <w:t>,</w:t>
      </w:r>
      <w:r>
        <w:rPr>
          <w:color w:val="000000"/>
        </w:rPr>
        <w:t xml:space="preserve"> a 42</w:t>
      </w:r>
      <w:r w:rsidR="00F633A3">
        <w:rPr>
          <w:color w:val="000000"/>
        </w:rPr>
        <w:t>-</w:t>
      </w:r>
      <w:r>
        <w:rPr>
          <w:color w:val="000000"/>
        </w:rPr>
        <w:t>item self-report questionnaire. The DASS-21 measures negative emotional states, specifically depression, anxiety, and stress.</w:t>
      </w:r>
      <w:r w:rsidR="00966616">
        <w:rPr>
          <w:color w:val="000000"/>
        </w:rPr>
        <w:t xml:space="preserve"> An example item is “I found it hard to wind down.” </w:t>
      </w:r>
      <w:r>
        <w:rPr>
          <w:color w:val="000000"/>
        </w:rPr>
        <w:t xml:space="preserve"> Each item is rated on a Likert-type scale of 0 (</w:t>
      </w:r>
      <w:r w:rsidRPr="000B0ED4">
        <w:rPr>
          <w:i/>
          <w:iCs/>
          <w:color w:val="000000"/>
        </w:rPr>
        <w:t>did not apply to me at all</w:t>
      </w:r>
      <w:r>
        <w:rPr>
          <w:color w:val="000000"/>
        </w:rPr>
        <w:t>) to 3 (</w:t>
      </w:r>
      <w:r w:rsidRPr="000B0ED4">
        <w:rPr>
          <w:i/>
          <w:iCs/>
          <w:color w:val="000000"/>
        </w:rPr>
        <w:t>applied to me very much, or most of the time</w:t>
      </w:r>
      <w:r>
        <w:rPr>
          <w:color w:val="000000"/>
        </w:rPr>
        <w:t xml:space="preserve">). The DASS-21 demonstrates good validity and reliability </w:t>
      </w:r>
      <w:r>
        <w:rPr>
          <w:noProof/>
          <w:color w:val="000000"/>
        </w:rPr>
        <w:t>(Henry &amp; Crawford, 2005)</w:t>
      </w:r>
      <w:r>
        <w:rPr>
          <w:color w:val="000000"/>
        </w:rPr>
        <w:t>. In the present sample, internal consistency was good (</w:t>
      </w:r>
      <w:r w:rsidR="00954B81" w:rsidRPr="00FB38E9">
        <w:rPr>
          <w:i/>
          <w:iCs/>
          <w:color w:val="000000"/>
        </w:rPr>
        <w:sym w:font="Symbol" w:char="F061"/>
      </w:r>
      <w:r w:rsidR="00954B81">
        <w:rPr>
          <w:i/>
          <w:iCs/>
          <w:color w:val="000000"/>
        </w:rPr>
        <w:t xml:space="preserve"> </w:t>
      </w:r>
      <w:r>
        <w:rPr>
          <w:color w:val="000000"/>
        </w:rPr>
        <w:t>=</w:t>
      </w:r>
      <w:r w:rsidR="00CA2E34">
        <w:rPr>
          <w:color w:val="000000"/>
        </w:rPr>
        <w:t xml:space="preserve"> </w:t>
      </w:r>
      <w:r>
        <w:rPr>
          <w:color w:val="000000"/>
        </w:rPr>
        <w:t>0.87)</w:t>
      </w:r>
    </w:p>
    <w:p w14:paraId="014A6DCB" w14:textId="3A8C4CC4" w:rsidR="00DD592C" w:rsidRPr="007D360B" w:rsidRDefault="00DD592C" w:rsidP="00DD592C">
      <w:pPr>
        <w:shd w:val="clear" w:color="auto" w:fill="FFFFFF"/>
        <w:spacing w:line="480" w:lineRule="auto"/>
        <w:textAlignment w:val="baseline"/>
        <w:rPr>
          <w:color w:val="000000"/>
        </w:rPr>
      </w:pPr>
      <w:r w:rsidRPr="007D360B">
        <w:rPr>
          <w:b/>
          <w:bCs/>
          <w:color w:val="000000"/>
        </w:rPr>
        <w:tab/>
      </w:r>
      <w:r w:rsidRPr="007D360B">
        <w:rPr>
          <w:b/>
          <w:bCs/>
          <w:i/>
          <w:iCs/>
          <w:color w:val="000000"/>
        </w:rPr>
        <w:t xml:space="preserve">System Usability Scale </w:t>
      </w:r>
      <w:r w:rsidRPr="002E3CCE">
        <w:rPr>
          <w:color w:val="000000"/>
        </w:rPr>
        <w:t xml:space="preserve">(SUS; </w:t>
      </w:r>
      <w:r w:rsidRPr="002E3CCE">
        <w:rPr>
          <w:noProof/>
          <w:color w:val="000000"/>
        </w:rPr>
        <w:t>Tullis &amp; Albert, 2008)</w:t>
      </w:r>
      <w:r w:rsidRPr="007D360B">
        <w:rPr>
          <w:b/>
          <w:bCs/>
          <w:color w:val="000000"/>
        </w:rPr>
        <w:t xml:space="preserve"> </w:t>
      </w:r>
      <w:r w:rsidRPr="007D360B">
        <w:rPr>
          <w:color w:val="000000"/>
        </w:rPr>
        <w:t>The SUS measures the usability of technology</w:t>
      </w:r>
      <w:r w:rsidR="00CA2E34">
        <w:rPr>
          <w:color w:val="000000"/>
        </w:rPr>
        <w:t>-</w:t>
      </w:r>
      <w:r w:rsidRPr="007D360B">
        <w:rPr>
          <w:color w:val="000000"/>
        </w:rPr>
        <w:t>based systems using a 10-item self-report measure. Items are rated from 1 (</w:t>
      </w:r>
      <w:r w:rsidRPr="000B0ED4">
        <w:rPr>
          <w:i/>
          <w:iCs/>
          <w:color w:val="000000"/>
        </w:rPr>
        <w:t>strongly disagree</w:t>
      </w:r>
      <w:r w:rsidRPr="007D360B">
        <w:rPr>
          <w:color w:val="000000"/>
        </w:rPr>
        <w:t>) to 5 (</w:t>
      </w:r>
      <w:r w:rsidRPr="000B0ED4">
        <w:rPr>
          <w:i/>
          <w:iCs/>
          <w:color w:val="000000"/>
        </w:rPr>
        <w:t>strongly agree</w:t>
      </w:r>
      <w:r w:rsidRPr="007D360B">
        <w:rPr>
          <w:color w:val="000000"/>
        </w:rPr>
        <w:t>).</w:t>
      </w:r>
      <w:r w:rsidR="00966616">
        <w:rPr>
          <w:color w:val="000000"/>
        </w:rPr>
        <w:t xml:space="preserve"> An example item is “I think that I would like to use this system frequently.” </w:t>
      </w:r>
      <w:r w:rsidRPr="007D360B">
        <w:rPr>
          <w:color w:val="000000"/>
        </w:rPr>
        <w:t xml:space="preserve"> Items are modified to refer to self-help website for trichotillomania. The SUS </w:t>
      </w:r>
      <w:r w:rsidRPr="007D360B">
        <w:rPr>
          <w:color w:val="000000"/>
        </w:rPr>
        <w:lastRenderedPageBreak/>
        <w:t>demonstrates good reliability and validity</w:t>
      </w:r>
      <w:r>
        <w:rPr>
          <w:color w:val="000000"/>
        </w:rPr>
        <w:t xml:space="preserve"> </w:t>
      </w:r>
      <w:r w:rsidRPr="007D360B">
        <w:rPr>
          <w:noProof/>
          <w:color w:val="000000"/>
        </w:rPr>
        <w:t>(Tullis &amp; Albert, 2008)</w:t>
      </w:r>
      <w:r w:rsidRPr="007D360B">
        <w:rPr>
          <w:color w:val="000000"/>
        </w:rPr>
        <w:t xml:space="preserve">. This measure </w:t>
      </w:r>
      <w:r w:rsidR="00EC4639">
        <w:rPr>
          <w:color w:val="000000"/>
        </w:rPr>
        <w:t>was</w:t>
      </w:r>
      <w:r w:rsidR="00EC4639" w:rsidRPr="007D360B">
        <w:rPr>
          <w:color w:val="000000"/>
        </w:rPr>
        <w:t xml:space="preserve"> </w:t>
      </w:r>
      <w:r w:rsidRPr="007D360B">
        <w:rPr>
          <w:color w:val="000000"/>
        </w:rPr>
        <w:t xml:space="preserve">administered only to participants who use the website. </w:t>
      </w:r>
      <w:r w:rsidR="00CA4DA7">
        <w:rPr>
          <w:color w:val="000000"/>
        </w:rPr>
        <w:t>In the present sample, internal consistency</w:t>
      </w:r>
      <w:r w:rsidR="008A7D9A">
        <w:rPr>
          <w:color w:val="000000"/>
        </w:rPr>
        <w:t xml:space="preserve"> was excellent (</w:t>
      </w:r>
      <w:r w:rsidR="008A7D9A" w:rsidRPr="00FB38E9">
        <w:rPr>
          <w:i/>
          <w:iCs/>
          <w:color w:val="000000"/>
        </w:rPr>
        <w:sym w:font="Symbol" w:char="F061"/>
      </w:r>
      <w:r w:rsidR="008A7D9A">
        <w:rPr>
          <w:i/>
          <w:iCs/>
          <w:color w:val="000000"/>
        </w:rPr>
        <w:t xml:space="preserve"> </w:t>
      </w:r>
      <w:r w:rsidR="008A7D9A">
        <w:rPr>
          <w:color w:val="000000"/>
        </w:rPr>
        <w:t>= 0.91).</w:t>
      </w:r>
    </w:p>
    <w:p w14:paraId="1F62AC63" w14:textId="1062AC80" w:rsidR="00DD592C" w:rsidRDefault="00DD592C" w:rsidP="00DD592C">
      <w:pPr>
        <w:spacing w:line="480" w:lineRule="auto"/>
        <w:ind w:firstLine="720"/>
      </w:pPr>
      <w:r w:rsidRPr="007D360B">
        <w:rPr>
          <w:b/>
          <w:i/>
        </w:rPr>
        <w:t xml:space="preserve">Treatment Evaluation Inventory-Short Form </w:t>
      </w:r>
      <w:r w:rsidRPr="007D360B">
        <w:rPr>
          <w:b/>
          <w:iCs/>
        </w:rPr>
        <w:t>(</w:t>
      </w:r>
      <w:r w:rsidRPr="002E3CCE">
        <w:rPr>
          <w:bCs/>
          <w:iCs/>
        </w:rPr>
        <w:t>TEI-SF</w:t>
      </w:r>
      <w:r>
        <w:rPr>
          <w:bCs/>
          <w:iCs/>
        </w:rPr>
        <w:t xml:space="preserve">; </w:t>
      </w:r>
      <w:r>
        <w:rPr>
          <w:bCs/>
          <w:iCs/>
          <w:noProof/>
        </w:rPr>
        <w:t>Kelley et al., 1989)</w:t>
      </w:r>
      <w:r w:rsidRPr="002E3CCE">
        <w:rPr>
          <w:bCs/>
          <w:iCs/>
        </w:rPr>
        <w:t xml:space="preserve"> </w:t>
      </w:r>
      <w:r w:rsidRPr="007D360B">
        <w:t>The TEI-SF assesses treatment acceptability using a 9-item self-report measure.</w:t>
      </w:r>
      <w:r w:rsidR="008A7D9A">
        <w:t xml:space="preserve"> However,</w:t>
      </w:r>
      <w:r w:rsidRPr="007D360B">
        <w:t xml:space="preserve"> </w:t>
      </w:r>
      <w:r w:rsidR="00406D2F">
        <w:t>t</w:t>
      </w:r>
      <w:r w:rsidRPr="007D360B">
        <w:t xml:space="preserve">he 7-item version is used </w:t>
      </w:r>
      <w:r w:rsidR="0064709A">
        <w:t>in this study</w:t>
      </w:r>
      <w:r w:rsidR="00406D2F">
        <w:t xml:space="preserve">. </w:t>
      </w:r>
      <w:r w:rsidR="00966616">
        <w:t xml:space="preserve">An example item </w:t>
      </w:r>
      <w:r w:rsidR="004F291C">
        <w:t xml:space="preserve">is "I believe this treatment is likely to be effective.” </w:t>
      </w:r>
      <w:r w:rsidR="00406D2F">
        <w:t>One of the seven items</w:t>
      </w:r>
      <w:r w:rsidRPr="007D360B">
        <w:t xml:space="preserve"> w</w:t>
      </w:r>
      <w:r w:rsidR="008A7D9A">
        <w:t>as</w:t>
      </w:r>
      <w:r w:rsidRPr="007D360B">
        <w:t xml:space="preserve"> modified to refer to “hair pulling” rather than “anxiety</w:t>
      </w:r>
      <w:r w:rsidR="004F291C">
        <w:t xml:space="preserve">” and is specifically worded “I find this treatment to be an acceptable way of dealing with my hair pulling.” </w:t>
      </w:r>
      <w:r w:rsidRPr="007D360B">
        <w:t xml:space="preserve">This version of the TEI-SF has been used in previous research </w:t>
      </w:r>
      <w:r w:rsidRPr="007D360B">
        <w:rPr>
          <w:noProof/>
        </w:rPr>
        <w:t>(Twohig et al., 2010)</w:t>
      </w:r>
      <w:r w:rsidRPr="007D360B">
        <w:t xml:space="preserve">. Each item is rated from 1 (strongly disagree) to 5 (strongly agree). The TEI-SF demonstrates good reliability and validity </w:t>
      </w:r>
      <w:r>
        <w:rPr>
          <w:noProof/>
        </w:rPr>
        <w:t>(Kelley et al., 1989)</w:t>
      </w:r>
      <w:r w:rsidRPr="007D360B">
        <w:t xml:space="preserve">. This measure </w:t>
      </w:r>
      <w:r w:rsidR="00B178AE">
        <w:t>was</w:t>
      </w:r>
      <w:r w:rsidRPr="007D360B">
        <w:t xml:space="preserve"> administered only to participants who used the website.</w:t>
      </w:r>
      <w:r w:rsidR="008A7D9A">
        <w:t xml:space="preserve"> In the present sample, internal consistency was good</w:t>
      </w:r>
      <w:r w:rsidRPr="007D360B">
        <w:t xml:space="preserve"> </w:t>
      </w:r>
      <w:r w:rsidR="008A7D9A">
        <w:rPr>
          <w:color w:val="000000"/>
        </w:rPr>
        <w:t>(</w:t>
      </w:r>
      <w:r w:rsidR="008A7D9A" w:rsidRPr="00FB38E9">
        <w:rPr>
          <w:i/>
          <w:iCs/>
          <w:color w:val="000000"/>
        </w:rPr>
        <w:sym w:font="Symbol" w:char="F061"/>
      </w:r>
      <w:r w:rsidR="008A7D9A">
        <w:rPr>
          <w:i/>
          <w:iCs/>
          <w:color w:val="000000"/>
        </w:rPr>
        <w:t xml:space="preserve"> </w:t>
      </w:r>
      <w:r w:rsidR="008A7D9A">
        <w:rPr>
          <w:color w:val="000000"/>
        </w:rPr>
        <w:t>= 0.80).</w:t>
      </w:r>
    </w:p>
    <w:p w14:paraId="277C08D1" w14:textId="77777777" w:rsidR="00DD592C" w:rsidRDefault="00DD592C" w:rsidP="00DD592C">
      <w:pPr>
        <w:shd w:val="clear" w:color="auto" w:fill="FFFFFF"/>
        <w:spacing w:line="480" w:lineRule="auto"/>
        <w:textAlignment w:val="baseline"/>
        <w:rPr>
          <w:b/>
          <w:bCs/>
          <w:color w:val="000000"/>
        </w:rPr>
      </w:pPr>
      <w:r>
        <w:rPr>
          <w:b/>
          <w:bCs/>
          <w:color w:val="000000"/>
        </w:rPr>
        <w:t>Statistical Analyses</w:t>
      </w:r>
    </w:p>
    <w:p w14:paraId="5C6AF767" w14:textId="70B086EF" w:rsidR="00DD592C" w:rsidRDefault="00DD592C" w:rsidP="00DD592C">
      <w:pPr>
        <w:shd w:val="clear" w:color="auto" w:fill="FFFFFF"/>
        <w:spacing w:line="480" w:lineRule="auto"/>
        <w:textAlignment w:val="baseline"/>
        <w:rPr>
          <w:color w:val="000000"/>
        </w:rPr>
      </w:pPr>
      <w:r>
        <w:rPr>
          <w:b/>
          <w:bCs/>
          <w:color w:val="000000"/>
        </w:rPr>
        <w:tab/>
      </w:r>
      <w:r>
        <w:rPr>
          <w:color w:val="000000"/>
        </w:rPr>
        <w:t xml:space="preserve">Analyses for the present study were conducted in R version 3.6.3 </w:t>
      </w:r>
      <w:r>
        <w:rPr>
          <w:noProof/>
          <w:color w:val="000000"/>
        </w:rPr>
        <w:t>(R</w:t>
      </w:r>
      <w:r w:rsidR="007817B0">
        <w:rPr>
          <w:noProof/>
          <w:color w:val="000000"/>
        </w:rPr>
        <w:t xml:space="preserve"> Core</w:t>
      </w:r>
      <w:r>
        <w:rPr>
          <w:noProof/>
          <w:color w:val="000000"/>
        </w:rPr>
        <w:t xml:space="preserve"> Team, 2020)</w:t>
      </w:r>
      <w:r>
        <w:rPr>
          <w:color w:val="000000"/>
        </w:rPr>
        <w:t xml:space="preserve"> in R Studio </w:t>
      </w:r>
      <w:r>
        <w:rPr>
          <w:noProof/>
          <w:color w:val="000000"/>
        </w:rPr>
        <w:t>(R. Team, 2020)</w:t>
      </w:r>
      <w:r>
        <w:rPr>
          <w:color w:val="000000"/>
        </w:rPr>
        <w:t xml:space="preserve"> using the following packages: </w:t>
      </w:r>
      <w:proofErr w:type="spellStart"/>
      <w:r>
        <w:rPr>
          <w:color w:val="000000"/>
        </w:rPr>
        <w:t>tidyverse</w:t>
      </w:r>
      <w:proofErr w:type="spellEnd"/>
      <w:r>
        <w:rPr>
          <w:color w:val="000000"/>
        </w:rPr>
        <w:t xml:space="preserve"> </w:t>
      </w:r>
      <w:r>
        <w:rPr>
          <w:noProof/>
          <w:color w:val="000000"/>
        </w:rPr>
        <w:t>(Wickham, 2017)</w:t>
      </w:r>
      <w:r>
        <w:rPr>
          <w:color w:val="000000"/>
        </w:rPr>
        <w:t xml:space="preserve">, lme4 </w:t>
      </w:r>
      <w:r>
        <w:rPr>
          <w:noProof/>
          <w:color w:val="000000"/>
        </w:rPr>
        <w:t>(Bates et al., 2015)</w:t>
      </w:r>
      <w:r>
        <w:rPr>
          <w:color w:val="000000"/>
        </w:rPr>
        <w:t xml:space="preserve">, </w:t>
      </w:r>
      <w:proofErr w:type="spellStart"/>
      <w:r>
        <w:rPr>
          <w:color w:val="000000"/>
        </w:rPr>
        <w:t>texreg</w:t>
      </w:r>
      <w:proofErr w:type="spellEnd"/>
      <w:r>
        <w:rPr>
          <w:color w:val="000000"/>
        </w:rPr>
        <w:t xml:space="preserve"> </w:t>
      </w:r>
      <w:r>
        <w:rPr>
          <w:noProof/>
          <w:color w:val="000000"/>
        </w:rPr>
        <w:t>(Leifeld, 2013)</w:t>
      </w:r>
      <w:r>
        <w:rPr>
          <w:color w:val="000000"/>
        </w:rPr>
        <w:t xml:space="preserve">, </w:t>
      </w:r>
      <w:proofErr w:type="spellStart"/>
      <w:r>
        <w:rPr>
          <w:color w:val="000000"/>
        </w:rPr>
        <w:t>cowplot</w:t>
      </w:r>
      <w:proofErr w:type="spellEnd"/>
      <w:r>
        <w:rPr>
          <w:color w:val="000000"/>
        </w:rPr>
        <w:t xml:space="preserve"> </w:t>
      </w:r>
      <w:r>
        <w:rPr>
          <w:noProof/>
          <w:color w:val="000000"/>
        </w:rPr>
        <w:t>(Wilke, 2018)</w:t>
      </w:r>
      <w:r>
        <w:rPr>
          <w:color w:val="000000"/>
        </w:rPr>
        <w:t xml:space="preserve">, effects </w:t>
      </w:r>
      <w:r>
        <w:rPr>
          <w:noProof/>
          <w:color w:val="000000"/>
        </w:rPr>
        <w:t>(Fox &amp; Weisberg, 2019)</w:t>
      </w:r>
      <w:r>
        <w:rPr>
          <w:color w:val="000000"/>
        </w:rPr>
        <w:t xml:space="preserve">, </w:t>
      </w:r>
      <w:proofErr w:type="spellStart"/>
      <w:r>
        <w:rPr>
          <w:color w:val="000000"/>
        </w:rPr>
        <w:t>effsize</w:t>
      </w:r>
      <w:proofErr w:type="spellEnd"/>
      <w:r>
        <w:rPr>
          <w:color w:val="000000"/>
        </w:rPr>
        <w:t xml:space="preserve"> </w:t>
      </w:r>
      <w:r>
        <w:rPr>
          <w:noProof/>
          <w:color w:val="000000"/>
        </w:rPr>
        <w:t>(Torchiano, 2017)</w:t>
      </w:r>
      <w:r>
        <w:rPr>
          <w:color w:val="000000"/>
        </w:rPr>
        <w:t xml:space="preserve">, psych </w:t>
      </w:r>
      <w:r>
        <w:rPr>
          <w:noProof/>
          <w:color w:val="000000"/>
        </w:rPr>
        <w:t>(Revelle, 2018)</w:t>
      </w:r>
      <w:r>
        <w:rPr>
          <w:color w:val="000000"/>
        </w:rPr>
        <w:t xml:space="preserve">, and furniture </w:t>
      </w:r>
      <w:r>
        <w:rPr>
          <w:noProof/>
          <w:color w:val="000000"/>
        </w:rPr>
        <w:t>(Barrett &amp; Brignone, 2017)</w:t>
      </w:r>
      <w:r>
        <w:rPr>
          <w:color w:val="000000"/>
        </w:rPr>
        <w:t xml:space="preserve">. </w:t>
      </w:r>
    </w:p>
    <w:p w14:paraId="0EA218D4" w14:textId="4DFBE010" w:rsidR="00DD592C" w:rsidRDefault="00DD592C" w:rsidP="00DD592C">
      <w:pPr>
        <w:shd w:val="clear" w:color="auto" w:fill="FFFFFF"/>
        <w:spacing w:line="480" w:lineRule="auto"/>
        <w:textAlignment w:val="baseline"/>
        <w:rPr>
          <w:color w:val="000000"/>
        </w:rPr>
      </w:pPr>
      <w:r>
        <w:rPr>
          <w:color w:val="000000"/>
        </w:rPr>
        <w:tab/>
        <w:t>To assess within and between-group differences over time, multilevel models</w:t>
      </w:r>
      <w:r w:rsidR="00517E5E">
        <w:rPr>
          <w:color w:val="000000"/>
        </w:rPr>
        <w:t xml:space="preserve"> (MLM)</w:t>
      </w:r>
      <w:r>
        <w:rPr>
          <w:color w:val="000000"/>
        </w:rPr>
        <w:t xml:space="preserve"> were used for seven outcomes: trichotillomania severity (MGH-HPS),</w:t>
      </w:r>
      <w:r w:rsidR="00406D2F">
        <w:rPr>
          <w:color w:val="000000"/>
        </w:rPr>
        <w:t xml:space="preserve"> trichotillomania related psychological inflexibility (AAQ-TTM), </w:t>
      </w:r>
      <w:r w:rsidR="00652549">
        <w:rPr>
          <w:color w:val="000000"/>
        </w:rPr>
        <w:t>well-being</w:t>
      </w:r>
      <w:r>
        <w:rPr>
          <w:color w:val="000000"/>
        </w:rPr>
        <w:t xml:space="preserve"> (MHC-SF), distress (DASS-21 Total), stress </w:t>
      </w:r>
      <w:r w:rsidRPr="00517E5E">
        <w:rPr>
          <w:color w:val="000000"/>
        </w:rPr>
        <w:t>(DASS-21 Stress), depression (DASS-21 Depression), and anxiety (DASS-21 Anxiety).</w:t>
      </w:r>
      <w:r w:rsidR="00517E5E" w:rsidRPr="00517E5E">
        <w:rPr>
          <w:color w:val="000000"/>
        </w:rPr>
        <w:t xml:space="preserve"> </w:t>
      </w:r>
      <w:r w:rsidR="004F699E">
        <w:rPr>
          <w:color w:val="242424"/>
          <w:shd w:val="clear" w:color="auto" w:fill="FFFFFF"/>
        </w:rPr>
        <w:t xml:space="preserve">MLM </w:t>
      </w:r>
      <w:r w:rsidR="004F699E" w:rsidRPr="004F699E">
        <w:rPr>
          <w:color w:val="242424"/>
          <w:shd w:val="clear" w:color="auto" w:fill="FFFFFF"/>
        </w:rPr>
        <w:t>was</w:t>
      </w:r>
      <w:r w:rsidR="00517E5E" w:rsidRPr="00A445CC">
        <w:rPr>
          <w:color w:val="242424"/>
          <w:shd w:val="clear" w:color="auto" w:fill="FFFFFF"/>
        </w:rPr>
        <w:t xml:space="preserve"> selected because of the longitudinal and hierarchical nature of the data</w:t>
      </w:r>
      <w:r w:rsidR="00517E5E">
        <w:rPr>
          <w:color w:val="242424"/>
          <w:shd w:val="clear" w:color="auto" w:fill="FFFFFF"/>
        </w:rPr>
        <w:t xml:space="preserve"> and because it </w:t>
      </w:r>
      <w:r w:rsidR="001D5E65">
        <w:rPr>
          <w:color w:val="242424"/>
          <w:shd w:val="clear" w:color="auto" w:fill="FFFFFF"/>
        </w:rPr>
        <w:t xml:space="preserve">can </w:t>
      </w:r>
      <w:r w:rsidR="001D5E65">
        <w:rPr>
          <w:color w:val="242424"/>
          <w:shd w:val="clear" w:color="auto" w:fill="FFFFFF"/>
        </w:rPr>
        <w:lastRenderedPageBreak/>
        <w:t>accommodate missing data without removing participants as is the case with repeated measures analysis of variance</w:t>
      </w:r>
      <w:r w:rsidR="00517E5E" w:rsidRPr="00A445CC">
        <w:rPr>
          <w:color w:val="242424"/>
          <w:shd w:val="clear" w:color="auto" w:fill="FFFFFF"/>
        </w:rPr>
        <w:t xml:space="preserve"> (Hox, </w:t>
      </w:r>
      <w:proofErr w:type="spellStart"/>
      <w:r w:rsidR="00517E5E" w:rsidRPr="00A445CC">
        <w:rPr>
          <w:color w:val="242424"/>
          <w:shd w:val="clear" w:color="auto" w:fill="FFFFFF"/>
        </w:rPr>
        <w:t>Moerbeek</w:t>
      </w:r>
      <w:proofErr w:type="spellEnd"/>
      <w:r w:rsidR="00517E5E" w:rsidRPr="00A445CC">
        <w:rPr>
          <w:color w:val="242424"/>
          <w:shd w:val="clear" w:color="auto" w:fill="FFFFFF"/>
        </w:rPr>
        <w:t xml:space="preserve">, </w:t>
      </w:r>
      <w:r w:rsidR="00545221">
        <w:rPr>
          <w:color w:val="242424"/>
          <w:shd w:val="clear" w:color="auto" w:fill="FFFFFF"/>
        </w:rPr>
        <w:t>&amp;</w:t>
      </w:r>
      <w:r w:rsidR="00800112">
        <w:rPr>
          <w:color w:val="242424"/>
          <w:shd w:val="clear" w:color="auto" w:fill="FFFFFF"/>
        </w:rPr>
        <w:t xml:space="preserve"> </w:t>
      </w:r>
      <w:r w:rsidR="00517E5E" w:rsidRPr="00A445CC">
        <w:rPr>
          <w:color w:val="242424"/>
          <w:shd w:val="clear" w:color="auto" w:fill="FFFFFF"/>
        </w:rPr>
        <w:t xml:space="preserve">van de </w:t>
      </w:r>
      <w:proofErr w:type="spellStart"/>
      <w:r w:rsidR="00517E5E" w:rsidRPr="00A445CC">
        <w:rPr>
          <w:color w:val="242424"/>
          <w:shd w:val="clear" w:color="auto" w:fill="FFFFFF"/>
        </w:rPr>
        <w:t>Schoot</w:t>
      </w:r>
      <w:proofErr w:type="spellEnd"/>
      <w:r w:rsidR="00517E5E" w:rsidRPr="00A445CC">
        <w:rPr>
          <w:color w:val="242424"/>
          <w:shd w:val="clear" w:color="auto" w:fill="FFFFFF"/>
        </w:rPr>
        <w:t>, 2017).</w:t>
      </w:r>
      <w:r w:rsidR="00517E5E">
        <w:rPr>
          <w:i/>
          <w:iCs/>
          <w:color w:val="242424"/>
          <w:shd w:val="clear" w:color="auto" w:fill="FFFFFF"/>
        </w:rPr>
        <w:t xml:space="preserve"> </w:t>
      </w:r>
      <w:r>
        <w:rPr>
          <w:color w:val="000000"/>
        </w:rPr>
        <w:t xml:space="preserve"> The primary outcome of this study w</w:t>
      </w:r>
      <w:r w:rsidR="008A7D9A">
        <w:rPr>
          <w:color w:val="000000"/>
        </w:rPr>
        <w:t>as</w:t>
      </w:r>
      <w:r>
        <w:rPr>
          <w:color w:val="000000"/>
        </w:rPr>
        <w:t xml:space="preserve"> trichotillomania symptom severity</w:t>
      </w:r>
      <w:r w:rsidR="005770F0">
        <w:rPr>
          <w:color w:val="000000"/>
        </w:rPr>
        <w:t xml:space="preserve"> in terms of treatment efficacy,</w:t>
      </w:r>
      <w:r w:rsidR="008A7D9A">
        <w:rPr>
          <w:color w:val="000000"/>
        </w:rPr>
        <w:t xml:space="preserve"> but the other outcomes are important in understanding treatment outcomes and moderators of change in treatment</w:t>
      </w:r>
      <w:r w:rsidR="005770F0">
        <w:rPr>
          <w:color w:val="000000"/>
        </w:rPr>
        <w:t xml:space="preserve">. </w:t>
      </w:r>
    </w:p>
    <w:p w14:paraId="7B9F361C" w14:textId="11815157" w:rsidR="00DD592C" w:rsidRDefault="00DD592C" w:rsidP="00DD592C">
      <w:pPr>
        <w:shd w:val="clear" w:color="auto" w:fill="FFFFFF"/>
        <w:spacing w:line="480" w:lineRule="auto"/>
        <w:textAlignment w:val="baseline"/>
        <w:rPr>
          <w:color w:val="000000"/>
        </w:rPr>
      </w:pPr>
      <w:r>
        <w:rPr>
          <w:color w:val="000000"/>
        </w:rPr>
        <w:tab/>
        <w:t>For</w:t>
      </w:r>
      <w:r w:rsidR="00C05DE2">
        <w:rPr>
          <w:color w:val="000000"/>
        </w:rPr>
        <w:t xml:space="preserve"> each</w:t>
      </w:r>
      <w:r>
        <w:rPr>
          <w:color w:val="000000"/>
        </w:rPr>
        <w:t xml:space="preserve"> primary and secondary outcome,</w:t>
      </w:r>
      <w:r w:rsidR="00C05DE2">
        <w:rPr>
          <w:color w:val="000000"/>
        </w:rPr>
        <w:t xml:space="preserve"> we compared </w:t>
      </w:r>
      <w:r>
        <w:rPr>
          <w:color w:val="000000"/>
        </w:rPr>
        <w:t>four nested models</w:t>
      </w:r>
      <w:r w:rsidR="00C05DE2">
        <w:rPr>
          <w:color w:val="000000"/>
        </w:rPr>
        <w:t xml:space="preserve"> to each other to find the best fitting model.</w:t>
      </w:r>
      <w:r>
        <w:rPr>
          <w:color w:val="000000"/>
        </w:rPr>
        <w:t xml:space="preserve"> Each outcome was </w:t>
      </w:r>
      <w:r w:rsidR="00C05DE2">
        <w:rPr>
          <w:color w:val="000000"/>
        </w:rPr>
        <w:t xml:space="preserve">individually </w:t>
      </w:r>
      <w:r>
        <w:rPr>
          <w:color w:val="000000"/>
        </w:rPr>
        <w:t xml:space="preserve">fitted starting with </w:t>
      </w:r>
      <w:r w:rsidR="00C05DE2">
        <w:rPr>
          <w:color w:val="000000"/>
        </w:rPr>
        <w:t xml:space="preserve">a </w:t>
      </w:r>
      <w:r>
        <w:rPr>
          <w:color w:val="000000"/>
        </w:rPr>
        <w:t>model</w:t>
      </w:r>
      <w:r w:rsidR="00C05DE2">
        <w:rPr>
          <w:color w:val="000000"/>
        </w:rPr>
        <w:t xml:space="preserve"> that only looked at random intercepts based on individual participants (i.e., null model). </w:t>
      </w:r>
      <w:r>
        <w:rPr>
          <w:color w:val="000000"/>
        </w:rPr>
        <w:t xml:space="preserve">Then we added additional fixed effects to each subsequent model. We added a fixed effect of time only in the second model, condition only in the third model, and then an interaction of time and condition in the fourth model. </w:t>
      </w:r>
      <w:r w:rsidR="00C05DE2">
        <w:rPr>
          <w:color w:val="000000"/>
        </w:rPr>
        <w:t xml:space="preserve">The purpose of this method is to see if the data is a best fit for a model with time only (i.e., no effect of the intervention), condition-only (i.e., no effect of time), or the interaction between them (i.e., change in condition over time). If the model including the interaction between time and condition is the best fitting model, it indicates effect of the intervention compared to waitlist. </w:t>
      </w:r>
    </w:p>
    <w:p w14:paraId="25EBB9BF" w14:textId="1A6B3880" w:rsidR="00DD592C" w:rsidRDefault="00DD592C" w:rsidP="00DD592C">
      <w:pPr>
        <w:shd w:val="clear" w:color="auto" w:fill="FFFFFF"/>
        <w:spacing w:line="480" w:lineRule="auto"/>
        <w:ind w:firstLine="720"/>
        <w:textAlignment w:val="baseline"/>
        <w:rPr>
          <w:color w:val="000000"/>
        </w:rPr>
      </w:pPr>
      <w:r>
        <w:rPr>
          <w:color w:val="000000"/>
        </w:rPr>
        <w:t xml:space="preserve">When comparing models to identify the best fitting model, each model was compared to the last </w:t>
      </w:r>
      <w:r w:rsidR="00C05DE2">
        <w:rPr>
          <w:color w:val="000000"/>
        </w:rPr>
        <w:t>model</w:t>
      </w:r>
      <w:r>
        <w:rPr>
          <w:color w:val="000000"/>
        </w:rPr>
        <w:t xml:space="preserve"> (e.g., null model to time only) using likelihood ratio tests</w:t>
      </w:r>
      <w:r w:rsidR="00A445CC">
        <w:rPr>
          <w:color w:val="000000"/>
        </w:rPr>
        <w:t xml:space="preserve"> with a significance level of</w:t>
      </w:r>
      <w:r>
        <w:rPr>
          <w:color w:val="000000"/>
        </w:rPr>
        <w:t xml:space="preserve"> </w:t>
      </w:r>
      <w:r w:rsidRPr="000B0ED4">
        <w:rPr>
          <w:i/>
          <w:iCs/>
          <w:color w:val="000000"/>
        </w:rPr>
        <w:t>p</w:t>
      </w:r>
      <w:r>
        <w:rPr>
          <w:color w:val="000000"/>
        </w:rPr>
        <w:t xml:space="preserve">&lt;.05. Maximum likelihood criterion was used to estimate the final models and unstandardized coefficients are reported for each best-fitting model. </w:t>
      </w:r>
    </w:p>
    <w:p w14:paraId="5F41ABAD" w14:textId="11F43FF4" w:rsidR="00DD592C" w:rsidRDefault="00DD592C" w:rsidP="00DD592C">
      <w:pPr>
        <w:shd w:val="clear" w:color="auto" w:fill="FFFFFF"/>
        <w:spacing w:line="480" w:lineRule="auto"/>
        <w:textAlignment w:val="baseline"/>
        <w:rPr>
          <w:color w:val="000000"/>
        </w:rPr>
      </w:pPr>
      <w:r>
        <w:rPr>
          <w:color w:val="000000"/>
        </w:rPr>
        <w:tab/>
        <w:t xml:space="preserve">Hedges’ </w:t>
      </w:r>
      <w:r w:rsidRPr="00126ACD">
        <w:rPr>
          <w:i/>
          <w:iCs/>
          <w:color w:val="000000"/>
        </w:rPr>
        <w:t>g</w:t>
      </w:r>
      <w:r>
        <w:rPr>
          <w:color w:val="000000"/>
        </w:rPr>
        <w:t xml:space="preserve"> effect sizes were calculated for between-group differences from pre- to post- treatment and pre-treatment to follow-up. Additionally, we assessed within-group change in the treatment group from pre- to post-treatment and pre-treatment to follow-up to assess treatment </w:t>
      </w:r>
      <w:r>
        <w:rPr>
          <w:color w:val="000000"/>
        </w:rPr>
        <w:lastRenderedPageBreak/>
        <w:t xml:space="preserve">response. The following values were used as benchmarks: 0.2 is a small effect, 0.5 is a medium effect, and 0.8 is a large effect. </w:t>
      </w:r>
    </w:p>
    <w:p w14:paraId="7563FD23" w14:textId="2ADCFD6B" w:rsidR="00DD592C" w:rsidRDefault="00DD592C" w:rsidP="00DD592C">
      <w:pPr>
        <w:shd w:val="clear" w:color="auto" w:fill="FFFFFF"/>
        <w:spacing w:line="480" w:lineRule="auto"/>
        <w:textAlignment w:val="baseline"/>
        <w:rPr>
          <w:color w:val="000000"/>
        </w:rPr>
      </w:pPr>
      <w:r>
        <w:rPr>
          <w:color w:val="000000"/>
        </w:rPr>
        <w:tab/>
        <w:t xml:space="preserve">Percentage change in pulling was used to assess responder status on hair pulling severity in the treatment group. </w:t>
      </w:r>
      <w:r w:rsidR="00976ECF">
        <w:rPr>
          <w:color w:val="000000"/>
        </w:rPr>
        <w:t>Therefore,</w:t>
      </w:r>
      <w:r>
        <w:rPr>
          <w:color w:val="000000"/>
        </w:rPr>
        <w:t xml:space="preserve"> if pulling was reduced by 45% (Houghton et al., 2015), that </w:t>
      </w:r>
      <w:r w:rsidR="00237B0B">
        <w:rPr>
          <w:color w:val="000000"/>
        </w:rPr>
        <w:t>benchmark was considered</w:t>
      </w:r>
      <w:r>
        <w:rPr>
          <w:color w:val="000000"/>
        </w:rPr>
        <w:t xml:space="preserve"> significant change and responder status. Treatment adherence was assessed by number of modules completed by all participants, therefore if 65% or more of participants complete all modules, this is considered good treatment adherence. To assess treatment feasibility and usability, descriptive statistics were used. </w:t>
      </w:r>
    </w:p>
    <w:p w14:paraId="17F31A22" w14:textId="3A17E949" w:rsidR="00DD592C" w:rsidRDefault="00DD592C" w:rsidP="00DD592C">
      <w:pPr>
        <w:shd w:val="clear" w:color="auto" w:fill="FFFFFF"/>
        <w:spacing w:line="480" w:lineRule="auto"/>
        <w:textAlignment w:val="baseline"/>
        <w:rPr>
          <w:color w:val="000000"/>
        </w:rPr>
      </w:pPr>
      <w:r>
        <w:rPr>
          <w:color w:val="000000"/>
        </w:rPr>
        <w:tab/>
        <w:t>One participant was not included in the data analyses due to completing the pre-treatment survey and then contacting the research team to be removed from the study at the request of their medical doctor. All other participants were included in the data analyses</w:t>
      </w:r>
      <w:r w:rsidR="00890596">
        <w:rPr>
          <w:color w:val="000000"/>
        </w:rPr>
        <w:t xml:space="preserve"> in an intent-to-treat</w:t>
      </w:r>
      <w:r w:rsidR="00173EA2">
        <w:rPr>
          <w:color w:val="000000"/>
        </w:rPr>
        <w:t xml:space="preserve"> approach</w:t>
      </w:r>
      <w:r>
        <w:rPr>
          <w:color w:val="000000"/>
        </w:rPr>
        <w:t xml:space="preserve"> (see </w:t>
      </w:r>
      <w:r w:rsidR="00C9078D">
        <w:rPr>
          <w:color w:val="000000"/>
        </w:rPr>
        <w:t>Figure 1</w:t>
      </w:r>
      <w:r>
        <w:rPr>
          <w:color w:val="000000"/>
        </w:rPr>
        <w:t xml:space="preserve"> for </w:t>
      </w:r>
      <w:r w:rsidR="008D1154">
        <w:rPr>
          <w:color w:val="000000"/>
        </w:rPr>
        <w:t xml:space="preserve">CONSORT </w:t>
      </w:r>
      <w:r>
        <w:rPr>
          <w:color w:val="000000"/>
        </w:rPr>
        <w:t>diagram</w:t>
      </w:r>
      <w:r w:rsidR="00F23DC0">
        <w:rPr>
          <w:color w:val="000000"/>
        </w:rPr>
        <w:t>).</w:t>
      </w:r>
    </w:p>
    <w:p w14:paraId="643E4BE9" w14:textId="77777777" w:rsidR="00DD592C" w:rsidRPr="002B5AE5" w:rsidRDefault="00DD592C" w:rsidP="00DD592C">
      <w:pPr>
        <w:shd w:val="clear" w:color="auto" w:fill="FFFFFF"/>
        <w:spacing w:line="480" w:lineRule="auto"/>
        <w:jc w:val="center"/>
        <w:textAlignment w:val="baseline"/>
        <w:rPr>
          <w:b/>
          <w:bCs/>
          <w:color w:val="000000"/>
        </w:rPr>
      </w:pPr>
      <w:r>
        <w:rPr>
          <w:b/>
          <w:bCs/>
          <w:color w:val="000000"/>
        </w:rPr>
        <w:t>Results</w:t>
      </w:r>
    </w:p>
    <w:p w14:paraId="51808954" w14:textId="166AA25E" w:rsidR="00173EA2" w:rsidRDefault="004322E7" w:rsidP="00D83664">
      <w:pPr>
        <w:shd w:val="clear" w:color="auto" w:fill="FFFFFF"/>
        <w:spacing w:line="480" w:lineRule="auto"/>
        <w:ind w:firstLine="720"/>
        <w:textAlignment w:val="baseline"/>
        <w:rPr>
          <w:color w:val="000000"/>
        </w:rPr>
      </w:pPr>
      <w:r>
        <w:rPr>
          <w:color w:val="000000"/>
        </w:rPr>
        <w:t>Recruitment was completed within three weeks, and all participants were actively enrolled in the treatment within a month and a half from the date we launched the study. Notably, this study was conducted during the COVID-19 pandemic which may have impacted recruitment</w:t>
      </w:r>
      <w:r w:rsidR="007274D2">
        <w:rPr>
          <w:color w:val="000000"/>
        </w:rPr>
        <w:t xml:space="preserve"> by increasing the number of people seeking remote treatment options</w:t>
      </w:r>
      <w:r>
        <w:rPr>
          <w:color w:val="000000"/>
        </w:rPr>
        <w:t>.</w:t>
      </w:r>
      <w:r w:rsidR="00173EA2">
        <w:rPr>
          <w:color w:val="000000"/>
        </w:rPr>
        <w:t xml:space="preserve"> </w:t>
      </w:r>
      <w:r w:rsidR="00DA1948">
        <w:rPr>
          <w:color w:val="000000"/>
        </w:rPr>
        <w:t>Testing baseline equivalency between conditions found no significant differences between conditions across all outcomes and demographics</w:t>
      </w:r>
      <w:r w:rsidR="00D83664">
        <w:rPr>
          <w:color w:val="000000"/>
        </w:rPr>
        <w:t xml:space="preserve">. In terms of general demographics, descriptive statistics were </w:t>
      </w:r>
      <w:proofErr w:type="gramStart"/>
      <w:r w:rsidR="00D83664">
        <w:rPr>
          <w:color w:val="000000"/>
        </w:rPr>
        <w:t>used</w:t>
      </w:r>
      <w:proofErr w:type="gramEnd"/>
      <w:r w:rsidR="00D83664">
        <w:rPr>
          <w:color w:val="000000"/>
        </w:rPr>
        <w:t xml:space="preserve"> and the participants were primarily White, non-Hispanic</w:t>
      </w:r>
      <w:r w:rsidR="00893F47">
        <w:rPr>
          <w:color w:val="000000"/>
        </w:rPr>
        <w:t>,</w:t>
      </w:r>
      <w:r w:rsidR="00D83664">
        <w:rPr>
          <w:color w:val="000000"/>
        </w:rPr>
        <w:t xml:space="preserve"> and female. See Table 1 for participant demographics.</w:t>
      </w:r>
    </w:p>
    <w:p w14:paraId="1660FA77" w14:textId="38529AD9" w:rsidR="004322E7" w:rsidRDefault="004322E7" w:rsidP="00394F22">
      <w:pPr>
        <w:spacing w:line="480" w:lineRule="auto"/>
        <w:ind w:firstLine="720"/>
        <w:rPr>
          <w:color w:val="000000"/>
        </w:rPr>
      </w:pPr>
      <w:r>
        <w:rPr>
          <w:color w:val="000000"/>
        </w:rPr>
        <w:t>Engagement and adherence to the questionnaires w</w:t>
      </w:r>
      <w:r w:rsidR="00D83664">
        <w:rPr>
          <w:color w:val="000000"/>
        </w:rPr>
        <w:t>as</w:t>
      </w:r>
      <w:r>
        <w:rPr>
          <w:color w:val="000000"/>
        </w:rPr>
        <w:t xml:space="preserve"> assessed. Questionnaire completion was based on the total sample; 100% of participants completed the baseline assessment, 96% of </w:t>
      </w:r>
      <w:r>
        <w:rPr>
          <w:color w:val="000000"/>
        </w:rPr>
        <w:lastRenderedPageBreak/>
        <w:t xml:space="preserve">participants completed the mid assessment, 96% completed the post assessment, and 91% of participants completed the follow-up assessment (see Figure 2). Again, this indicates strong adherence and engagement in the study. </w:t>
      </w:r>
    </w:p>
    <w:p w14:paraId="44F32760" w14:textId="418C8EA9" w:rsidR="00DD592C" w:rsidRDefault="00C9078D" w:rsidP="00DD592C">
      <w:pPr>
        <w:spacing w:line="480" w:lineRule="auto"/>
        <w:ind w:firstLine="720"/>
        <w:rPr>
          <w:color w:val="000000"/>
        </w:rPr>
      </w:pPr>
      <w:r>
        <w:rPr>
          <w:color w:val="000000"/>
        </w:rPr>
        <w:t xml:space="preserve">See </w:t>
      </w:r>
      <w:r w:rsidR="00F23DC0">
        <w:rPr>
          <w:color w:val="000000"/>
        </w:rPr>
        <w:t>T</w:t>
      </w:r>
      <w:r>
        <w:rPr>
          <w:color w:val="000000"/>
        </w:rPr>
        <w:t xml:space="preserve">able </w:t>
      </w:r>
      <w:r w:rsidR="0004704C">
        <w:rPr>
          <w:color w:val="000000"/>
        </w:rPr>
        <w:t xml:space="preserve">2 for means and standard deviations. See </w:t>
      </w:r>
      <w:r w:rsidR="00F23DC0">
        <w:rPr>
          <w:color w:val="000000"/>
        </w:rPr>
        <w:t>T</w:t>
      </w:r>
      <w:r w:rsidR="0004704C">
        <w:rPr>
          <w:color w:val="000000"/>
        </w:rPr>
        <w:t>able 3 for within-group and between group effect sizes.</w:t>
      </w:r>
      <w:r w:rsidR="004F699E">
        <w:rPr>
          <w:color w:val="000000"/>
        </w:rPr>
        <w:t xml:space="preserve"> Within- group effect sizes were calculated for the treatment condition only and this accounts for the larger effect sizes seen in within group compared to between group.</w:t>
      </w:r>
      <w:r w:rsidR="0004704C">
        <w:rPr>
          <w:color w:val="000000"/>
        </w:rPr>
        <w:t xml:space="preserve"> </w:t>
      </w:r>
      <w:r w:rsidR="00DD592C">
        <w:rPr>
          <w:color w:val="000000"/>
        </w:rPr>
        <w:t xml:space="preserve">For the best fitting models of all outcomes, the regression coefficients and 95% confidence intervals are reported in Table 4. </w:t>
      </w:r>
    </w:p>
    <w:p w14:paraId="15D9B72C" w14:textId="77777777" w:rsidR="00173EA2" w:rsidRDefault="00173EA2" w:rsidP="00173EA2">
      <w:pPr>
        <w:shd w:val="clear" w:color="auto" w:fill="FFFFFF"/>
        <w:spacing w:line="480" w:lineRule="auto"/>
        <w:textAlignment w:val="baseline"/>
        <w:rPr>
          <w:b/>
          <w:bCs/>
          <w:color w:val="000000"/>
        </w:rPr>
      </w:pPr>
      <w:r w:rsidRPr="007D360B">
        <w:rPr>
          <w:b/>
          <w:bCs/>
          <w:color w:val="000000"/>
        </w:rPr>
        <w:t>Feasibility</w:t>
      </w:r>
      <w:r>
        <w:rPr>
          <w:b/>
          <w:bCs/>
          <w:color w:val="000000"/>
        </w:rPr>
        <w:t xml:space="preserve"> and Adherence</w:t>
      </w:r>
    </w:p>
    <w:p w14:paraId="5C54D79E" w14:textId="5116C27D" w:rsidR="00173EA2" w:rsidRDefault="00173EA2" w:rsidP="00173EA2">
      <w:pPr>
        <w:shd w:val="clear" w:color="auto" w:fill="FFFFFF"/>
        <w:spacing w:line="480" w:lineRule="auto"/>
        <w:ind w:firstLine="720"/>
        <w:textAlignment w:val="baseline"/>
        <w:rPr>
          <w:color w:val="000000"/>
        </w:rPr>
      </w:pPr>
      <w:r>
        <w:rPr>
          <w:color w:val="000000"/>
        </w:rPr>
        <w:t>A</w:t>
      </w:r>
      <w:r w:rsidRPr="007D360B">
        <w:rPr>
          <w:color w:val="000000"/>
        </w:rPr>
        <w:t xml:space="preserve">cceptable scores </w:t>
      </w:r>
      <w:r>
        <w:rPr>
          <w:color w:val="000000"/>
        </w:rPr>
        <w:t>were</w:t>
      </w:r>
      <w:r w:rsidRPr="007D360B">
        <w:rPr>
          <w:color w:val="000000"/>
        </w:rPr>
        <w:t xml:space="preserve"> based on pre-determined benchmarks</w:t>
      </w:r>
      <w:r>
        <w:rPr>
          <w:color w:val="000000"/>
        </w:rPr>
        <w:t xml:space="preserve"> (21 or higher on the TEI-SF and 72 or higher on the SUS; </w:t>
      </w:r>
      <w:r>
        <w:rPr>
          <w:noProof/>
          <w:color w:val="000000"/>
        </w:rPr>
        <w:t>Bangor et al., 2008; Twohig et al., 2006).</w:t>
      </w:r>
      <w:r w:rsidRPr="007D360B">
        <w:rPr>
          <w:color w:val="000000"/>
        </w:rPr>
        <w:t xml:space="preserve"> </w:t>
      </w:r>
      <w:r>
        <w:rPr>
          <w:color w:val="000000"/>
        </w:rPr>
        <w:t>In this study, the mean score on the TEI-SF was 26.5</w:t>
      </w:r>
      <w:r w:rsidR="00A30371">
        <w:rPr>
          <w:color w:val="000000"/>
        </w:rPr>
        <w:t>0</w:t>
      </w:r>
      <w:r>
        <w:rPr>
          <w:color w:val="000000"/>
        </w:rPr>
        <w:t xml:space="preserve"> (SD = 4.6</w:t>
      </w:r>
      <w:r w:rsidR="00A30371">
        <w:rPr>
          <w:color w:val="000000"/>
        </w:rPr>
        <w:t>0</w:t>
      </w:r>
      <w:r>
        <w:rPr>
          <w:color w:val="000000"/>
        </w:rPr>
        <w:t>). This indicates that the treatment was acceptable. In this study, the mean score of the SUS was 84.9 (SD = 14.9</w:t>
      </w:r>
      <w:r w:rsidR="00A30371">
        <w:rPr>
          <w:color w:val="000000"/>
        </w:rPr>
        <w:t>0</w:t>
      </w:r>
      <w:r>
        <w:rPr>
          <w:color w:val="000000"/>
        </w:rPr>
        <w:t xml:space="preserve">) indicating a good to excellent score for usability of the website. </w:t>
      </w:r>
    </w:p>
    <w:p w14:paraId="3DE0B0ED" w14:textId="1608CA4B" w:rsidR="00173EA2" w:rsidRDefault="00173EA2" w:rsidP="00173EA2">
      <w:pPr>
        <w:shd w:val="clear" w:color="auto" w:fill="FFFFFF"/>
        <w:spacing w:line="480" w:lineRule="auto"/>
        <w:ind w:firstLine="720"/>
        <w:textAlignment w:val="baseline"/>
        <w:rPr>
          <w:color w:val="000000"/>
        </w:rPr>
      </w:pPr>
      <w:r>
        <w:rPr>
          <w:color w:val="000000"/>
        </w:rPr>
        <w:t xml:space="preserve">Based on previous </w:t>
      </w:r>
      <w:r w:rsidRPr="007D360B">
        <w:rPr>
          <w:color w:val="000000"/>
        </w:rPr>
        <w:t>trials of trichotillomania, attrition rates range from 0-35%</w:t>
      </w:r>
      <w:r w:rsidR="00394F22">
        <w:rPr>
          <w:color w:val="000000"/>
        </w:rPr>
        <w:t xml:space="preserve"> (e.g., Lee, </w:t>
      </w:r>
      <w:proofErr w:type="spellStart"/>
      <w:r w:rsidR="00394F22">
        <w:rPr>
          <w:color w:val="000000"/>
        </w:rPr>
        <w:t>Haeger</w:t>
      </w:r>
      <w:proofErr w:type="spellEnd"/>
      <w:r w:rsidR="00394F22">
        <w:rPr>
          <w:color w:val="000000"/>
        </w:rPr>
        <w:t xml:space="preserve"> et al., 2018</w:t>
      </w:r>
      <w:r>
        <w:rPr>
          <w:color w:val="000000"/>
        </w:rPr>
        <w:t>;</w:t>
      </w:r>
      <w:r w:rsidR="00394F22">
        <w:rPr>
          <w:color w:val="000000"/>
        </w:rPr>
        <w:t xml:space="preserve"> Twohig et al., 2021)</w:t>
      </w:r>
      <w:r w:rsidR="00F23DC0">
        <w:rPr>
          <w:color w:val="000000"/>
        </w:rPr>
        <w:t>.</w:t>
      </w:r>
      <w:r w:rsidRPr="007D360B">
        <w:rPr>
          <w:color w:val="000000"/>
        </w:rPr>
        <w:t xml:space="preserve"> </w:t>
      </w:r>
      <w:r w:rsidR="00F23DC0">
        <w:rPr>
          <w:color w:val="000000"/>
        </w:rPr>
        <w:t>T</w:t>
      </w:r>
      <w:r w:rsidRPr="007D360B">
        <w:rPr>
          <w:color w:val="000000"/>
        </w:rPr>
        <w:t xml:space="preserve">herefore, </w:t>
      </w:r>
      <w:r>
        <w:rPr>
          <w:color w:val="000000"/>
        </w:rPr>
        <w:t>good treatment adherence and engagement w</w:t>
      </w:r>
      <w:r w:rsidR="00D83664">
        <w:rPr>
          <w:color w:val="000000"/>
        </w:rPr>
        <w:t>ere</w:t>
      </w:r>
      <w:r>
        <w:rPr>
          <w:color w:val="000000"/>
        </w:rPr>
        <w:t xml:space="preserve"> indicated if</w:t>
      </w:r>
      <w:r w:rsidRPr="007D360B">
        <w:rPr>
          <w:color w:val="000000"/>
        </w:rPr>
        <w:t xml:space="preserve"> 65% of participants complete</w:t>
      </w:r>
      <w:r>
        <w:rPr>
          <w:color w:val="000000"/>
        </w:rPr>
        <w:t>d</w:t>
      </w:r>
      <w:r w:rsidRPr="007D360B">
        <w:rPr>
          <w:color w:val="000000"/>
        </w:rPr>
        <w:t xml:space="preserve"> all module</w:t>
      </w:r>
      <w:r>
        <w:rPr>
          <w:color w:val="000000"/>
        </w:rPr>
        <w:t>s.</w:t>
      </w:r>
      <w:r w:rsidRPr="007D360B">
        <w:rPr>
          <w:color w:val="000000"/>
        </w:rPr>
        <w:t xml:space="preserve"> </w:t>
      </w:r>
      <w:r>
        <w:rPr>
          <w:color w:val="000000"/>
        </w:rPr>
        <w:t>Of the participants in the treatment group, thirty-four participants (85%) completed all eight modules, three participants (7.5</w:t>
      </w:r>
      <w:r w:rsidR="00A30371">
        <w:rPr>
          <w:color w:val="000000"/>
        </w:rPr>
        <w:t>0</w:t>
      </w:r>
      <w:r>
        <w:rPr>
          <w:color w:val="000000"/>
        </w:rPr>
        <w:t>%) completed three of the eight modules, and three participants (7.5</w:t>
      </w:r>
      <w:r w:rsidR="00A30371">
        <w:rPr>
          <w:color w:val="000000"/>
        </w:rPr>
        <w:t>0</w:t>
      </w:r>
      <w:r>
        <w:rPr>
          <w:color w:val="000000"/>
        </w:rPr>
        <w:t xml:space="preserve">%) completed one or fewer modules. </w:t>
      </w:r>
      <w:r w:rsidR="00F23DC0">
        <w:rPr>
          <w:color w:val="000000"/>
        </w:rPr>
        <w:t>These completion rates support</w:t>
      </w:r>
      <w:r>
        <w:rPr>
          <w:color w:val="000000"/>
        </w:rPr>
        <w:t xml:space="preserve"> strong adherence and engagement with the treatment. </w:t>
      </w:r>
    </w:p>
    <w:p w14:paraId="6FF0367B" w14:textId="2740EACC" w:rsidR="00173EA2" w:rsidRDefault="00173EA2" w:rsidP="00173EA2">
      <w:pPr>
        <w:shd w:val="clear" w:color="auto" w:fill="FFFFFF"/>
        <w:spacing w:line="480" w:lineRule="auto"/>
        <w:ind w:firstLine="720"/>
        <w:textAlignment w:val="baseline"/>
        <w:rPr>
          <w:color w:val="000000"/>
        </w:rPr>
      </w:pPr>
      <w:r>
        <w:rPr>
          <w:color w:val="000000"/>
        </w:rPr>
        <w:t>After completing the website, participants were asked after the completion of the treatment to provide brief responses to questions regarding their experience of the program. These responses indicated that participants</w:t>
      </w:r>
      <w:r w:rsidR="00C81D74">
        <w:rPr>
          <w:color w:val="000000"/>
        </w:rPr>
        <w:t xml:space="preserve"> overall</w:t>
      </w:r>
      <w:r>
        <w:rPr>
          <w:color w:val="000000"/>
        </w:rPr>
        <w:t xml:space="preserve"> found the website to be helpful and easy to </w:t>
      </w:r>
      <w:r>
        <w:rPr>
          <w:color w:val="000000"/>
        </w:rPr>
        <w:lastRenderedPageBreak/>
        <w:t xml:space="preserve">use. Several participants reported that they felt understood and validated by the language used in the website, particularly because it accurately reflected the lived experience of pulling. Similarly, participants noted that the website was clear and concise, making it more accessible. Additionally, participants reported that scenarios or examples of when urges might show up helped to make the information easily applicable. </w:t>
      </w:r>
    </w:p>
    <w:p w14:paraId="733DB3AB" w14:textId="6F120D2C" w:rsidR="00173EA2" w:rsidRDefault="00173EA2" w:rsidP="00404B7E">
      <w:pPr>
        <w:shd w:val="clear" w:color="auto" w:fill="FFFFFF"/>
        <w:spacing w:line="480" w:lineRule="auto"/>
        <w:ind w:firstLine="720"/>
        <w:textAlignment w:val="baseline"/>
        <w:rPr>
          <w:color w:val="000000"/>
        </w:rPr>
      </w:pPr>
      <w:r>
        <w:rPr>
          <w:color w:val="000000"/>
        </w:rPr>
        <w:t>As previously described, phone check-ins were used to enhance treatment adherence and engagement. Participants in the treatment condition completed 85% of the weekly phone check-ins. All eight weekly check-ins were completed by 47.5</w:t>
      </w:r>
      <w:r w:rsidR="00A30371">
        <w:rPr>
          <w:color w:val="000000"/>
        </w:rPr>
        <w:t>0</w:t>
      </w:r>
      <w:r>
        <w:rPr>
          <w:color w:val="000000"/>
        </w:rPr>
        <w:t>% of participants. Seven of the eight check-ins were completed by 25% of participants. Six of eight check-ins were completed by 15% of participants. Finally, 12.5</w:t>
      </w:r>
      <w:r w:rsidR="00A30371">
        <w:rPr>
          <w:color w:val="000000"/>
        </w:rPr>
        <w:t>0</w:t>
      </w:r>
      <w:r>
        <w:rPr>
          <w:color w:val="000000"/>
        </w:rPr>
        <w:t xml:space="preserve">% completed five or fewer check-ins.  </w:t>
      </w:r>
    </w:p>
    <w:p w14:paraId="64A33E25" w14:textId="77777777" w:rsidR="00DD592C" w:rsidRPr="007D3305" w:rsidRDefault="00DD592C" w:rsidP="00DD592C">
      <w:pPr>
        <w:spacing w:line="480" w:lineRule="auto"/>
        <w:rPr>
          <w:b/>
          <w:bCs/>
          <w:color w:val="202124"/>
        </w:rPr>
      </w:pPr>
      <w:r>
        <w:rPr>
          <w:b/>
          <w:bCs/>
          <w:color w:val="202124"/>
        </w:rPr>
        <w:t>Trichotillomania severity</w:t>
      </w:r>
    </w:p>
    <w:p w14:paraId="659404AE" w14:textId="007C5620" w:rsidR="00DD592C" w:rsidRDefault="00DD592C" w:rsidP="00DD592C">
      <w:pPr>
        <w:spacing w:line="480" w:lineRule="auto"/>
        <w:ind w:firstLine="720"/>
        <w:rPr>
          <w:color w:val="202124"/>
        </w:rPr>
      </w:pPr>
      <w:r>
        <w:rPr>
          <w:color w:val="000000"/>
        </w:rPr>
        <w:t xml:space="preserve">For trichotillomania severity (MGH-HPS), a significant time and condition interaction was found, indicating a greater decrease in severity in the treatment condition than in the waitlist condition over time </w:t>
      </w:r>
      <w:r w:rsidRPr="00853AF5">
        <w:rPr>
          <w:color w:val="000000"/>
        </w:rPr>
        <w:t>(</w:t>
      </w:r>
      <w:r w:rsidRPr="000B0ED4">
        <w:rPr>
          <w:i/>
          <w:iCs/>
          <w:color w:val="202124"/>
        </w:rPr>
        <w:t>β</w:t>
      </w:r>
      <w:r w:rsidR="00D30C07">
        <w:rPr>
          <w:color w:val="202124"/>
        </w:rPr>
        <w:t xml:space="preserve"> </w:t>
      </w:r>
      <w:r w:rsidRPr="00853AF5">
        <w:rPr>
          <w:color w:val="202124"/>
        </w:rPr>
        <w:t>= 0.4</w:t>
      </w:r>
      <w:r>
        <w:rPr>
          <w:color w:val="202124"/>
        </w:rPr>
        <w:t>2).</w:t>
      </w:r>
      <w:r>
        <w:rPr>
          <w:color w:val="000000"/>
        </w:rPr>
        <w:t xml:space="preserve"> </w:t>
      </w:r>
      <w:r>
        <w:rPr>
          <w:color w:val="202124"/>
        </w:rPr>
        <w:t xml:space="preserve">The within group effect sizes from pre-treatment to post-treatment and pre-treatment to follow-up were large (Hedges’ </w:t>
      </w:r>
      <w:r w:rsidRPr="000B0ED4">
        <w:rPr>
          <w:i/>
          <w:iCs/>
          <w:color w:val="202124"/>
        </w:rPr>
        <w:t>g</w:t>
      </w:r>
      <w:r>
        <w:rPr>
          <w:color w:val="202124"/>
        </w:rPr>
        <w:t xml:space="preserve"> = -1.19 to -1.38). The between group effect sizes from pre-treatment to post-treatment and pre-treatment to follow-up were small (Hedges’ </w:t>
      </w:r>
      <w:r w:rsidRPr="00F805B9">
        <w:rPr>
          <w:i/>
          <w:iCs/>
          <w:color w:val="202124"/>
        </w:rPr>
        <w:t>g</w:t>
      </w:r>
      <w:r w:rsidR="009D048E">
        <w:rPr>
          <w:i/>
          <w:iCs/>
          <w:color w:val="202124"/>
        </w:rPr>
        <w:t xml:space="preserve"> </w:t>
      </w:r>
      <w:r>
        <w:rPr>
          <w:i/>
          <w:iCs/>
          <w:color w:val="202124"/>
        </w:rPr>
        <w:t xml:space="preserve">= </w:t>
      </w:r>
      <w:r>
        <w:rPr>
          <w:color w:val="202124"/>
        </w:rPr>
        <w:t xml:space="preserve">-0.27- -0.34). </w:t>
      </w:r>
      <w:r w:rsidR="00C9078D">
        <w:rPr>
          <w:color w:val="202124"/>
        </w:rPr>
        <w:t xml:space="preserve">See </w:t>
      </w:r>
      <w:r w:rsidR="00D82B97">
        <w:rPr>
          <w:color w:val="202124"/>
        </w:rPr>
        <w:t>F</w:t>
      </w:r>
      <w:r w:rsidR="00C9078D">
        <w:rPr>
          <w:color w:val="202124"/>
        </w:rPr>
        <w:t xml:space="preserve">igure 2 for estimated marginal means. </w:t>
      </w:r>
    </w:p>
    <w:p w14:paraId="45A2A957" w14:textId="17B55417" w:rsidR="00DD592C" w:rsidRDefault="00DD592C" w:rsidP="00DD592C">
      <w:pPr>
        <w:spacing w:line="480" w:lineRule="auto"/>
        <w:ind w:firstLine="720"/>
        <w:rPr>
          <w:color w:val="202124"/>
        </w:rPr>
      </w:pPr>
      <w:r>
        <w:rPr>
          <w:b/>
          <w:bCs/>
          <w:i/>
          <w:iCs/>
          <w:color w:val="202124"/>
        </w:rPr>
        <w:t>Responder status</w:t>
      </w:r>
      <w:r w:rsidR="00B178AE">
        <w:rPr>
          <w:b/>
          <w:bCs/>
          <w:i/>
          <w:iCs/>
          <w:color w:val="202124"/>
        </w:rPr>
        <w:t xml:space="preserve">. </w:t>
      </w:r>
      <w:r w:rsidR="004F291C">
        <w:rPr>
          <w:color w:val="202124"/>
        </w:rPr>
        <w:t>To be considered a t</w:t>
      </w:r>
      <w:r>
        <w:rPr>
          <w:color w:val="202124"/>
        </w:rPr>
        <w:t>reatment responder</w:t>
      </w:r>
      <w:r w:rsidR="004F291C">
        <w:rPr>
          <w:color w:val="202124"/>
        </w:rPr>
        <w:t>, participants needed</w:t>
      </w:r>
      <w:r>
        <w:rPr>
          <w:color w:val="202124"/>
        </w:rPr>
        <w:t xml:space="preserve"> a 45% or seven-point reduction</w:t>
      </w:r>
      <w:r w:rsidR="004F291C">
        <w:rPr>
          <w:color w:val="202124"/>
        </w:rPr>
        <w:t xml:space="preserve"> on the MGH-HPS</w:t>
      </w:r>
      <w:r>
        <w:rPr>
          <w:color w:val="202124"/>
        </w:rPr>
        <w:t xml:space="preserve"> (Houghton et al., 2015). In the treatment condition, from pre-treatment to post-treatment, 52.78% of participants had clinically significant reduction in symptoms and met responder status criteria</w:t>
      </w:r>
      <w:r w:rsidR="008E022D">
        <w:rPr>
          <w:color w:val="202124"/>
        </w:rPr>
        <w:t xml:space="preserve"> compared to 15% of participants in the waitlist condition</w:t>
      </w:r>
      <w:r>
        <w:rPr>
          <w:color w:val="202124"/>
        </w:rPr>
        <w:t>. From pre-treatment to follow-up, 30.5</w:t>
      </w:r>
      <w:r w:rsidR="00480996">
        <w:rPr>
          <w:color w:val="202124"/>
        </w:rPr>
        <w:t>0</w:t>
      </w:r>
      <w:r>
        <w:rPr>
          <w:color w:val="202124"/>
        </w:rPr>
        <w:t xml:space="preserve">% of participants had clinically significant </w:t>
      </w:r>
      <w:r>
        <w:rPr>
          <w:color w:val="202124"/>
        </w:rPr>
        <w:lastRenderedPageBreak/>
        <w:t>reduction in symptoms or met responder status criteria</w:t>
      </w:r>
      <w:r w:rsidR="008E022D">
        <w:rPr>
          <w:color w:val="202124"/>
        </w:rPr>
        <w:t xml:space="preserve"> compared to 8% of participants in waitlist condition</w:t>
      </w:r>
      <w:r>
        <w:rPr>
          <w:color w:val="202124"/>
        </w:rPr>
        <w:t xml:space="preserve">. </w:t>
      </w:r>
    </w:p>
    <w:p w14:paraId="36AC9C2B" w14:textId="77777777" w:rsidR="008E022D" w:rsidRPr="007D3305" w:rsidRDefault="008E022D" w:rsidP="008E022D">
      <w:pPr>
        <w:spacing w:line="480" w:lineRule="auto"/>
        <w:rPr>
          <w:b/>
          <w:bCs/>
          <w:color w:val="000000"/>
        </w:rPr>
      </w:pPr>
      <w:r>
        <w:rPr>
          <w:b/>
          <w:bCs/>
          <w:color w:val="000000"/>
        </w:rPr>
        <w:t>Trichotillomania-related psychological inflexibility</w:t>
      </w:r>
    </w:p>
    <w:p w14:paraId="2C3406A8" w14:textId="0212B234" w:rsidR="008E022D" w:rsidRPr="00173EA2" w:rsidRDefault="008E022D" w:rsidP="00173EA2">
      <w:pPr>
        <w:spacing w:line="480" w:lineRule="auto"/>
        <w:ind w:firstLine="720"/>
        <w:rPr>
          <w:color w:val="202124"/>
        </w:rPr>
      </w:pPr>
      <w:r>
        <w:rPr>
          <w:color w:val="000000"/>
        </w:rPr>
        <w:t xml:space="preserve">For trichotillomania related psychological inflexibility (AAQ-TTM), a significant time and condition interaction was found, indicating a greater decrease in </w:t>
      </w:r>
      <w:r w:rsidRPr="00853AF5">
        <w:rPr>
          <w:color w:val="000000"/>
        </w:rPr>
        <w:t>psychological inflexibility in the treatment condition than the waitlist condition over time (</w:t>
      </w:r>
      <w:r w:rsidRPr="007D3305">
        <w:rPr>
          <w:i/>
          <w:iCs/>
          <w:color w:val="202124"/>
        </w:rPr>
        <w:t>β</w:t>
      </w:r>
      <w:r>
        <w:rPr>
          <w:i/>
          <w:iCs/>
          <w:color w:val="202124"/>
        </w:rPr>
        <w:t xml:space="preserve"> </w:t>
      </w:r>
      <w:r w:rsidRPr="00853AF5">
        <w:rPr>
          <w:color w:val="202124"/>
        </w:rPr>
        <w:t>= 0.49</w:t>
      </w:r>
      <w:r>
        <w:rPr>
          <w:color w:val="202124"/>
        </w:rPr>
        <w:t xml:space="preserve">). The within group effect sizes from pre-treatment to post-treatment and pre-treatment to follow-up were large (Hedges’ </w:t>
      </w:r>
      <w:r w:rsidRPr="007D3305">
        <w:rPr>
          <w:i/>
          <w:iCs/>
          <w:color w:val="202124"/>
        </w:rPr>
        <w:t>g</w:t>
      </w:r>
      <w:r>
        <w:rPr>
          <w:color w:val="202124"/>
        </w:rPr>
        <w:t xml:space="preserve"> = -1.26</w:t>
      </w:r>
      <w:r w:rsidR="00D82B97">
        <w:rPr>
          <w:color w:val="202124"/>
        </w:rPr>
        <w:t xml:space="preserve"> </w:t>
      </w:r>
      <w:r>
        <w:rPr>
          <w:color w:val="202124"/>
        </w:rPr>
        <w:t>to -1.39) The between group effect sizes from pre-treatment to post-treatment and pre-treatment to follow-up were small (Hedges’</w:t>
      </w:r>
      <w:r w:rsidRPr="00F805B9">
        <w:rPr>
          <w:i/>
          <w:iCs/>
          <w:color w:val="202124"/>
        </w:rPr>
        <w:t xml:space="preserve"> g</w:t>
      </w:r>
      <w:r>
        <w:rPr>
          <w:color w:val="202124"/>
        </w:rPr>
        <w:t xml:space="preserve"> = </w:t>
      </w:r>
      <w:r w:rsidR="004F699E">
        <w:rPr>
          <w:color w:val="202124"/>
        </w:rPr>
        <w:t>-</w:t>
      </w:r>
      <w:r>
        <w:rPr>
          <w:color w:val="202124"/>
        </w:rPr>
        <w:t xml:space="preserve">0.32 to 0.32). </w:t>
      </w:r>
      <w:r w:rsidR="00C9078D">
        <w:rPr>
          <w:color w:val="202124"/>
        </w:rPr>
        <w:t>See figure 2 for estimated marginal means.</w:t>
      </w:r>
    </w:p>
    <w:p w14:paraId="0C4748BF" w14:textId="70F96F69" w:rsidR="00DD592C" w:rsidRPr="00F805B9" w:rsidRDefault="004355FB" w:rsidP="00DD592C">
      <w:pPr>
        <w:spacing w:line="480" w:lineRule="auto"/>
        <w:rPr>
          <w:b/>
          <w:bCs/>
          <w:color w:val="202124"/>
        </w:rPr>
      </w:pPr>
      <w:r>
        <w:rPr>
          <w:b/>
          <w:bCs/>
          <w:color w:val="202124"/>
        </w:rPr>
        <w:t>Well-being</w:t>
      </w:r>
    </w:p>
    <w:p w14:paraId="25BE8E92" w14:textId="3D00BE13" w:rsidR="00DD592C" w:rsidRDefault="00DD592C" w:rsidP="00DD592C">
      <w:pPr>
        <w:spacing w:line="480" w:lineRule="auto"/>
        <w:ind w:firstLine="720"/>
        <w:rPr>
          <w:color w:val="202124"/>
        </w:rPr>
      </w:pPr>
      <w:r>
        <w:rPr>
          <w:color w:val="000000"/>
        </w:rPr>
        <w:t xml:space="preserve">For </w:t>
      </w:r>
      <w:r w:rsidR="004355FB">
        <w:rPr>
          <w:color w:val="000000"/>
        </w:rPr>
        <w:t>well-being</w:t>
      </w:r>
      <w:r>
        <w:rPr>
          <w:color w:val="000000"/>
        </w:rPr>
        <w:t xml:space="preserve"> (MHC-SF), a significant time and condition interaction was found which indicates that there was a greater increase in quality of life in the treatment condition than in the waitlist condition over time </w:t>
      </w:r>
      <w:r w:rsidRPr="00853AF5">
        <w:rPr>
          <w:color w:val="000000"/>
        </w:rPr>
        <w:t>(</w:t>
      </w:r>
      <w:r w:rsidRPr="000B0ED4">
        <w:rPr>
          <w:i/>
          <w:iCs/>
          <w:color w:val="202124"/>
        </w:rPr>
        <w:t>β</w:t>
      </w:r>
      <w:r w:rsidR="00D34AF4">
        <w:rPr>
          <w:color w:val="202124"/>
        </w:rPr>
        <w:t xml:space="preserve"> </w:t>
      </w:r>
      <w:r w:rsidRPr="00853AF5">
        <w:rPr>
          <w:color w:val="202124"/>
        </w:rPr>
        <w:t xml:space="preserve">= </w:t>
      </w:r>
      <w:r>
        <w:rPr>
          <w:color w:val="202124"/>
        </w:rPr>
        <w:t>-6.04)</w:t>
      </w:r>
      <w:r>
        <w:rPr>
          <w:color w:val="000000"/>
        </w:rPr>
        <w:t xml:space="preserve">. </w:t>
      </w:r>
      <w:r>
        <w:rPr>
          <w:color w:val="202124"/>
        </w:rPr>
        <w:t xml:space="preserve">The within group effect size from pre-treatment to post-treatment was negligible (Hedges’ </w:t>
      </w:r>
      <w:r w:rsidRPr="000B0ED4">
        <w:rPr>
          <w:i/>
          <w:iCs/>
          <w:color w:val="202124"/>
        </w:rPr>
        <w:t>g</w:t>
      </w:r>
      <w:r w:rsidR="00D34AF4">
        <w:rPr>
          <w:color w:val="202124"/>
        </w:rPr>
        <w:t xml:space="preserve"> </w:t>
      </w:r>
      <w:r>
        <w:rPr>
          <w:color w:val="202124"/>
        </w:rPr>
        <w:t xml:space="preserve">= 0.18). The within group effect size from pre-treatment to follow-up was small (Hedges’ </w:t>
      </w:r>
      <w:r w:rsidRPr="000B0ED4">
        <w:rPr>
          <w:i/>
          <w:iCs/>
          <w:color w:val="202124"/>
        </w:rPr>
        <w:t>g</w:t>
      </w:r>
      <w:r w:rsidR="00D34AF4">
        <w:rPr>
          <w:color w:val="202124"/>
        </w:rPr>
        <w:t xml:space="preserve"> </w:t>
      </w:r>
      <w:r>
        <w:rPr>
          <w:color w:val="202124"/>
        </w:rPr>
        <w:t>= 0.37).</w:t>
      </w:r>
      <w:r w:rsidRPr="00840038">
        <w:rPr>
          <w:color w:val="202124"/>
        </w:rPr>
        <w:t xml:space="preserve"> </w:t>
      </w:r>
      <w:r>
        <w:rPr>
          <w:color w:val="202124"/>
        </w:rPr>
        <w:t xml:space="preserve">The between group effect sizes from pre-treatment to post-treatment and pre-treatment to follow-up were small (Hedges’ </w:t>
      </w:r>
      <w:r w:rsidRPr="000B0ED4">
        <w:rPr>
          <w:i/>
          <w:iCs/>
          <w:color w:val="202124"/>
        </w:rPr>
        <w:t>g</w:t>
      </w:r>
      <w:r w:rsidR="00D34AF4">
        <w:rPr>
          <w:color w:val="202124"/>
        </w:rPr>
        <w:t xml:space="preserve"> </w:t>
      </w:r>
      <w:r>
        <w:rPr>
          <w:color w:val="202124"/>
        </w:rPr>
        <w:t>= -0.29</w:t>
      </w:r>
      <w:r w:rsidR="00D82B97">
        <w:rPr>
          <w:color w:val="202124"/>
        </w:rPr>
        <w:t xml:space="preserve"> </w:t>
      </w:r>
      <w:r w:rsidR="00806703">
        <w:rPr>
          <w:color w:val="202124"/>
        </w:rPr>
        <w:t>to</w:t>
      </w:r>
      <w:r>
        <w:rPr>
          <w:color w:val="202124"/>
        </w:rPr>
        <w:t xml:space="preserve"> -0.33). </w:t>
      </w:r>
    </w:p>
    <w:p w14:paraId="1A703FF2" w14:textId="77777777" w:rsidR="00DD592C" w:rsidRPr="00F805B9" w:rsidRDefault="00DD592C" w:rsidP="00DD592C">
      <w:pPr>
        <w:spacing w:line="480" w:lineRule="auto"/>
        <w:rPr>
          <w:b/>
          <w:bCs/>
          <w:color w:val="202124"/>
        </w:rPr>
      </w:pPr>
      <w:r>
        <w:rPr>
          <w:b/>
          <w:bCs/>
          <w:color w:val="202124"/>
        </w:rPr>
        <w:t>Distress</w:t>
      </w:r>
    </w:p>
    <w:p w14:paraId="5F51F6A3" w14:textId="4FD6F2C7" w:rsidR="00DD592C" w:rsidRDefault="00DD592C" w:rsidP="00DD592C">
      <w:pPr>
        <w:spacing w:line="480" w:lineRule="auto"/>
        <w:ind w:firstLine="720"/>
        <w:rPr>
          <w:color w:val="202124"/>
        </w:rPr>
      </w:pPr>
      <w:r>
        <w:rPr>
          <w:color w:val="000000"/>
        </w:rPr>
        <w:t xml:space="preserve">For distress (DASS-21), a significant time and condition interaction was found which indicates that there was a greater decrease in distress in the treatment condition than in the waitlist condition over time </w:t>
      </w:r>
      <w:r w:rsidRPr="00853AF5">
        <w:rPr>
          <w:color w:val="000000"/>
        </w:rPr>
        <w:t>(</w:t>
      </w:r>
      <w:r w:rsidRPr="000B0ED4">
        <w:rPr>
          <w:i/>
          <w:iCs/>
          <w:color w:val="202124"/>
        </w:rPr>
        <w:t>β</w:t>
      </w:r>
      <w:r w:rsidR="00915CEC">
        <w:rPr>
          <w:color w:val="202124"/>
        </w:rPr>
        <w:t xml:space="preserve"> </w:t>
      </w:r>
      <w:r w:rsidRPr="00853AF5">
        <w:rPr>
          <w:color w:val="202124"/>
        </w:rPr>
        <w:t>= 0.</w:t>
      </w:r>
      <w:r>
        <w:rPr>
          <w:color w:val="202124"/>
        </w:rPr>
        <w:t>45)</w:t>
      </w:r>
      <w:r>
        <w:rPr>
          <w:color w:val="000000"/>
        </w:rPr>
        <w:t xml:space="preserve">. </w:t>
      </w:r>
      <w:r>
        <w:rPr>
          <w:color w:val="202124"/>
        </w:rPr>
        <w:t xml:space="preserve">The within group effect sizes from pre-treatment to post-treatment and pre-treatment to follow-up were medium (Hedges’ </w:t>
      </w:r>
      <w:r w:rsidRPr="000B0ED4">
        <w:rPr>
          <w:i/>
          <w:iCs/>
          <w:color w:val="202124"/>
          <w:u w:val="single"/>
        </w:rPr>
        <w:t>g</w:t>
      </w:r>
      <w:r w:rsidR="00322367">
        <w:rPr>
          <w:i/>
          <w:iCs/>
          <w:color w:val="202124"/>
        </w:rPr>
        <w:t xml:space="preserve"> </w:t>
      </w:r>
      <w:r>
        <w:rPr>
          <w:color w:val="202124"/>
        </w:rPr>
        <w:t xml:space="preserve">=-0.61 to 0.67). The between </w:t>
      </w:r>
      <w:r>
        <w:rPr>
          <w:color w:val="202124"/>
        </w:rPr>
        <w:lastRenderedPageBreak/>
        <w:t xml:space="preserve">group effect sizes from pre-treatment to post-treatment and post-treatment to follow-up were small (Hedges’ </w:t>
      </w:r>
      <w:r w:rsidRPr="000B0ED4">
        <w:rPr>
          <w:color w:val="202124"/>
        </w:rPr>
        <w:t>g</w:t>
      </w:r>
      <w:r w:rsidR="00322367">
        <w:rPr>
          <w:i/>
          <w:iCs/>
          <w:color w:val="202124"/>
        </w:rPr>
        <w:t xml:space="preserve"> </w:t>
      </w:r>
      <w:r>
        <w:rPr>
          <w:color w:val="202124"/>
        </w:rPr>
        <w:t xml:space="preserve">= -0.23 to -0.27). </w:t>
      </w:r>
    </w:p>
    <w:p w14:paraId="65A2CA2B" w14:textId="6088BE6F" w:rsidR="00DD592C" w:rsidRDefault="00DD592C" w:rsidP="00FB7D45">
      <w:pPr>
        <w:spacing w:line="480" w:lineRule="auto"/>
        <w:ind w:firstLine="720"/>
        <w:rPr>
          <w:b/>
          <w:bCs/>
          <w:color w:val="202124"/>
        </w:rPr>
      </w:pPr>
      <w:r>
        <w:rPr>
          <w:b/>
          <w:bCs/>
          <w:i/>
          <w:iCs/>
          <w:color w:val="000000"/>
        </w:rPr>
        <w:t>Stress</w:t>
      </w:r>
      <w:r w:rsidR="00FB7D45">
        <w:rPr>
          <w:color w:val="000000"/>
        </w:rPr>
        <w:t xml:space="preserve">. </w:t>
      </w:r>
      <w:r>
        <w:rPr>
          <w:color w:val="000000"/>
        </w:rPr>
        <w:t xml:space="preserve">For stress (DASS-21 Stress subscale), a significant time and condition interaction was found which indicates that there was a greater decrease in stress in the treatment condition than in the waitlist condition over time </w:t>
      </w:r>
      <w:r w:rsidRPr="00853AF5">
        <w:rPr>
          <w:color w:val="000000"/>
        </w:rPr>
        <w:t>(</w:t>
      </w:r>
      <w:r w:rsidRPr="000B0ED4">
        <w:rPr>
          <w:i/>
          <w:iCs/>
          <w:color w:val="202124"/>
        </w:rPr>
        <w:t>β</w:t>
      </w:r>
      <w:r w:rsidR="000F554E">
        <w:rPr>
          <w:color w:val="202124"/>
        </w:rPr>
        <w:t xml:space="preserve"> </w:t>
      </w:r>
      <w:r w:rsidRPr="00853AF5">
        <w:rPr>
          <w:color w:val="202124"/>
        </w:rPr>
        <w:t>= 0.</w:t>
      </w:r>
      <w:r>
        <w:rPr>
          <w:color w:val="202124"/>
        </w:rPr>
        <w:t>27)</w:t>
      </w:r>
      <w:r>
        <w:rPr>
          <w:color w:val="000000"/>
        </w:rPr>
        <w:t xml:space="preserve">. </w:t>
      </w:r>
      <w:r>
        <w:rPr>
          <w:color w:val="202124"/>
        </w:rPr>
        <w:t xml:space="preserve">The within group effect sizes from pre-treatment to post-treatment and pre-treatment to follow-up were medium (Hedges’ </w:t>
      </w:r>
      <w:r w:rsidRPr="00AD1431">
        <w:rPr>
          <w:i/>
          <w:iCs/>
          <w:color w:val="202124"/>
        </w:rPr>
        <w:t>g</w:t>
      </w:r>
      <w:r>
        <w:rPr>
          <w:color w:val="202124"/>
        </w:rPr>
        <w:t xml:space="preserve"> = -0.68 to -0.70) The between group effect sizes from pre-treatment to post-treatment and pre-treatment to follow-up were negligible (Hedges’ </w:t>
      </w:r>
      <w:r w:rsidRPr="000B0ED4">
        <w:rPr>
          <w:i/>
          <w:iCs/>
          <w:color w:val="202124"/>
        </w:rPr>
        <w:t>g</w:t>
      </w:r>
      <w:r w:rsidR="000F554E">
        <w:rPr>
          <w:color w:val="202124"/>
        </w:rPr>
        <w:t xml:space="preserve"> </w:t>
      </w:r>
      <w:r>
        <w:rPr>
          <w:color w:val="202124"/>
        </w:rPr>
        <w:t>= -0.12 to -0.19).</w:t>
      </w:r>
    </w:p>
    <w:p w14:paraId="02630074" w14:textId="547E383B" w:rsidR="00DD592C" w:rsidRDefault="00DD592C" w:rsidP="00FB7D45">
      <w:pPr>
        <w:spacing w:line="480" w:lineRule="auto"/>
        <w:ind w:firstLine="720"/>
        <w:rPr>
          <w:color w:val="000000"/>
        </w:rPr>
      </w:pPr>
      <w:r>
        <w:rPr>
          <w:b/>
          <w:bCs/>
          <w:i/>
          <w:iCs/>
          <w:color w:val="202124"/>
        </w:rPr>
        <w:t>Depression</w:t>
      </w:r>
      <w:r w:rsidR="00FB7D45">
        <w:rPr>
          <w:color w:val="000000"/>
        </w:rPr>
        <w:t xml:space="preserve">. </w:t>
      </w:r>
      <w:r>
        <w:rPr>
          <w:color w:val="000000"/>
        </w:rPr>
        <w:t xml:space="preserve">For depression (DASS-21 Depression subscale), a significant time and condition interaction was found which indicates that there was a greater decrease in depressed mood in the treatment condition than in the waitlist condition over time </w:t>
      </w:r>
      <w:r w:rsidRPr="00853AF5">
        <w:rPr>
          <w:color w:val="000000"/>
        </w:rPr>
        <w:t>(</w:t>
      </w:r>
      <w:r w:rsidRPr="000B0ED4">
        <w:rPr>
          <w:i/>
          <w:iCs/>
          <w:color w:val="202124"/>
        </w:rPr>
        <w:t>β</w:t>
      </w:r>
      <w:r w:rsidR="00915CEC">
        <w:rPr>
          <w:color w:val="202124"/>
        </w:rPr>
        <w:t xml:space="preserve"> </w:t>
      </w:r>
      <w:r w:rsidRPr="00853AF5">
        <w:rPr>
          <w:color w:val="202124"/>
        </w:rPr>
        <w:t>= 0.</w:t>
      </w:r>
      <w:r>
        <w:rPr>
          <w:color w:val="202124"/>
        </w:rPr>
        <w:t>06)</w:t>
      </w:r>
      <w:r>
        <w:rPr>
          <w:color w:val="000000"/>
        </w:rPr>
        <w:t xml:space="preserve">. </w:t>
      </w:r>
      <w:r>
        <w:rPr>
          <w:color w:val="202124"/>
        </w:rPr>
        <w:t xml:space="preserve">The within group effect sizes from pre-treatment to post-treatment and pre-treatment to follow-up were small (Hedges’ </w:t>
      </w:r>
      <w:r w:rsidRPr="00AD1431">
        <w:rPr>
          <w:i/>
          <w:iCs/>
          <w:color w:val="202124"/>
        </w:rPr>
        <w:t>g</w:t>
      </w:r>
      <w:r w:rsidR="00915CEC">
        <w:rPr>
          <w:i/>
          <w:iCs/>
          <w:color w:val="202124"/>
        </w:rPr>
        <w:t xml:space="preserve"> </w:t>
      </w:r>
      <w:r>
        <w:rPr>
          <w:i/>
          <w:iCs/>
          <w:color w:val="202124"/>
        </w:rPr>
        <w:t xml:space="preserve">= </w:t>
      </w:r>
      <w:r>
        <w:rPr>
          <w:color w:val="202124"/>
        </w:rPr>
        <w:t xml:space="preserve">0.22 to -0.31) The between group effect sizes from pre-treatment to post-treatment and pre-treatment to follow-up were medium (Hedges’ </w:t>
      </w:r>
      <w:r w:rsidRPr="00AD1431">
        <w:rPr>
          <w:i/>
          <w:iCs/>
          <w:color w:val="202124"/>
        </w:rPr>
        <w:t>g</w:t>
      </w:r>
      <w:r w:rsidR="00BC166F">
        <w:rPr>
          <w:i/>
          <w:iCs/>
          <w:color w:val="202124"/>
        </w:rPr>
        <w:t xml:space="preserve"> </w:t>
      </w:r>
      <w:r>
        <w:rPr>
          <w:color w:val="202124"/>
        </w:rPr>
        <w:t xml:space="preserve">= -0.52 to -0.58). </w:t>
      </w:r>
    </w:p>
    <w:p w14:paraId="63C5963E" w14:textId="50167B31" w:rsidR="00DD592C" w:rsidRDefault="00DD592C" w:rsidP="00FB7D45">
      <w:pPr>
        <w:spacing w:line="480" w:lineRule="auto"/>
        <w:ind w:firstLine="720"/>
        <w:rPr>
          <w:color w:val="202124"/>
        </w:rPr>
      </w:pPr>
      <w:r>
        <w:rPr>
          <w:b/>
          <w:bCs/>
          <w:i/>
          <w:iCs/>
          <w:color w:val="000000"/>
        </w:rPr>
        <w:t>Anxiety</w:t>
      </w:r>
      <w:r w:rsidR="00FB7D45">
        <w:rPr>
          <w:color w:val="000000"/>
        </w:rPr>
        <w:t xml:space="preserve">. </w:t>
      </w:r>
      <w:r>
        <w:rPr>
          <w:color w:val="000000"/>
        </w:rPr>
        <w:t xml:space="preserve">For anxiety (DASS-21 Anxiety subscale), a significant time and condition interaction was not found. A significant fixed effect of time was found which indicates that there was no difference in anxiety based on condition, but over time anxiety symptoms decreased </w:t>
      </w:r>
      <w:r w:rsidRPr="00853AF5">
        <w:rPr>
          <w:color w:val="000000"/>
        </w:rPr>
        <w:t>(</w:t>
      </w:r>
      <w:r w:rsidRPr="000B0ED4">
        <w:rPr>
          <w:i/>
          <w:iCs/>
          <w:color w:val="202124"/>
        </w:rPr>
        <w:t>β</w:t>
      </w:r>
      <w:r w:rsidR="00E65882">
        <w:rPr>
          <w:color w:val="202124"/>
        </w:rPr>
        <w:t xml:space="preserve"> </w:t>
      </w:r>
      <w:r w:rsidRPr="00853AF5">
        <w:rPr>
          <w:color w:val="202124"/>
        </w:rPr>
        <w:t xml:space="preserve">= </w:t>
      </w:r>
      <w:r>
        <w:rPr>
          <w:color w:val="202124"/>
        </w:rPr>
        <w:t>-0.10).</w:t>
      </w:r>
      <w:r>
        <w:rPr>
          <w:color w:val="000000"/>
        </w:rPr>
        <w:t xml:space="preserve"> </w:t>
      </w:r>
      <w:r>
        <w:rPr>
          <w:color w:val="202124"/>
        </w:rPr>
        <w:t xml:space="preserve">The within group effect sizes from pre-treatment to post-treatment and pre-treatment to follow-up were medium (Hedges’ </w:t>
      </w:r>
      <w:r w:rsidRPr="00126ACD">
        <w:rPr>
          <w:i/>
          <w:iCs/>
          <w:color w:val="202124"/>
        </w:rPr>
        <w:t>g</w:t>
      </w:r>
      <w:r>
        <w:rPr>
          <w:color w:val="202124"/>
        </w:rPr>
        <w:t xml:space="preserve"> =</w:t>
      </w:r>
      <w:r w:rsidR="00150D9D">
        <w:rPr>
          <w:color w:val="202124"/>
        </w:rPr>
        <w:t xml:space="preserve"> </w:t>
      </w:r>
      <w:r>
        <w:rPr>
          <w:color w:val="202124"/>
        </w:rPr>
        <w:t xml:space="preserve">-0.55 to -0.59). The between group effect sizes from pre-treatment to post-treatment and pre-treatment to follow-up were negligible (Hedges’ </w:t>
      </w:r>
      <w:r w:rsidRPr="00126ACD">
        <w:rPr>
          <w:i/>
          <w:iCs/>
          <w:color w:val="202124"/>
        </w:rPr>
        <w:t>g</w:t>
      </w:r>
      <w:r w:rsidR="00E65882">
        <w:rPr>
          <w:i/>
          <w:iCs/>
          <w:color w:val="202124"/>
        </w:rPr>
        <w:t xml:space="preserve"> </w:t>
      </w:r>
      <w:r>
        <w:rPr>
          <w:color w:val="202124"/>
        </w:rPr>
        <w:t xml:space="preserve">= 0.03 to 0.12). </w:t>
      </w:r>
    </w:p>
    <w:p w14:paraId="4BEF54D8" w14:textId="04B9B24A" w:rsidR="00DD592C" w:rsidRDefault="00DD592C" w:rsidP="00A960C1">
      <w:pPr>
        <w:shd w:val="clear" w:color="auto" w:fill="FFFFFF"/>
        <w:spacing w:line="480" w:lineRule="auto"/>
        <w:jc w:val="center"/>
        <w:textAlignment w:val="baseline"/>
        <w:rPr>
          <w:b/>
          <w:bCs/>
          <w:color w:val="000000"/>
        </w:rPr>
      </w:pPr>
      <w:r w:rsidRPr="00707670">
        <w:rPr>
          <w:b/>
          <w:bCs/>
          <w:color w:val="000000"/>
        </w:rPr>
        <w:t>Discussion</w:t>
      </w:r>
    </w:p>
    <w:p w14:paraId="3796C659" w14:textId="21066A25" w:rsidR="00DD592C" w:rsidRDefault="00DD592C" w:rsidP="00DD592C">
      <w:pPr>
        <w:shd w:val="clear" w:color="auto" w:fill="FFFFFF"/>
        <w:spacing w:line="480" w:lineRule="auto"/>
        <w:textAlignment w:val="baseline"/>
        <w:rPr>
          <w:color w:val="000000"/>
        </w:rPr>
      </w:pPr>
      <w:r w:rsidRPr="007D360B">
        <w:rPr>
          <w:color w:val="000000"/>
        </w:rPr>
        <w:lastRenderedPageBreak/>
        <w:tab/>
        <w:t xml:space="preserve">The </w:t>
      </w:r>
      <w:r>
        <w:rPr>
          <w:color w:val="000000"/>
        </w:rPr>
        <w:t xml:space="preserve">present </w:t>
      </w:r>
      <w:r w:rsidRPr="007D360B">
        <w:rPr>
          <w:color w:val="000000"/>
        </w:rPr>
        <w:t>study examine</w:t>
      </w:r>
      <w:r w:rsidR="00C14437">
        <w:rPr>
          <w:color w:val="000000"/>
        </w:rPr>
        <w:t>d</w:t>
      </w:r>
      <w:r w:rsidRPr="007D360B">
        <w:rPr>
          <w:color w:val="000000"/>
        </w:rPr>
        <w:t xml:space="preserve"> the</w:t>
      </w:r>
      <w:r w:rsidR="007274D2">
        <w:rPr>
          <w:color w:val="000000"/>
        </w:rPr>
        <w:t xml:space="preserve"> preliminary</w:t>
      </w:r>
      <w:r w:rsidRPr="007D360B">
        <w:rPr>
          <w:color w:val="000000"/>
        </w:rPr>
        <w:t xml:space="preserve"> efficacy and feasibility of implementing </w:t>
      </w:r>
      <w:r>
        <w:rPr>
          <w:color w:val="000000"/>
        </w:rPr>
        <w:t xml:space="preserve">a fully automated AEBT website for adults with </w:t>
      </w:r>
      <w:r w:rsidRPr="007D360B">
        <w:rPr>
          <w:color w:val="000000"/>
        </w:rPr>
        <w:t xml:space="preserve">trichotillomania through a randomized </w:t>
      </w:r>
      <w:r w:rsidR="00FB7D45" w:rsidRPr="007D360B">
        <w:rPr>
          <w:color w:val="000000"/>
        </w:rPr>
        <w:t>waitlist-controlled</w:t>
      </w:r>
      <w:r w:rsidRPr="007D360B">
        <w:rPr>
          <w:color w:val="000000"/>
        </w:rPr>
        <w:t xml:space="preserve"> trial. </w:t>
      </w:r>
      <w:r w:rsidR="005B71DC">
        <w:rPr>
          <w:color w:val="000000"/>
        </w:rPr>
        <w:t>Participants reported high intervention acceptability and usability</w:t>
      </w:r>
      <w:r w:rsidR="00150D9D">
        <w:rPr>
          <w:color w:val="000000"/>
        </w:rPr>
        <w:t>,</w:t>
      </w:r>
      <w:r w:rsidR="005B71DC">
        <w:rPr>
          <w:color w:val="000000"/>
        </w:rPr>
        <w:t xml:space="preserve"> as well as demonstrated a high level of adherence to completing the web-based modules. </w:t>
      </w:r>
      <w:r w:rsidR="00694A21">
        <w:rPr>
          <w:color w:val="000000"/>
        </w:rPr>
        <w:t>Participants in the AEBT condition improved significantly more than waitlist over time on</w:t>
      </w:r>
      <w:r>
        <w:rPr>
          <w:color w:val="000000"/>
        </w:rPr>
        <w:t xml:space="preserve"> </w:t>
      </w:r>
      <w:r w:rsidR="00897E71">
        <w:rPr>
          <w:color w:val="000000"/>
        </w:rPr>
        <w:t xml:space="preserve">trichotillomania symptom severity, trichotillomania specific psychological </w:t>
      </w:r>
      <w:r w:rsidR="00480996">
        <w:rPr>
          <w:color w:val="000000"/>
        </w:rPr>
        <w:t>in</w:t>
      </w:r>
      <w:r w:rsidR="00897E71">
        <w:rPr>
          <w:color w:val="000000"/>
        </w:rPr>
        <w:t xml:space="preserve">flexibility, </w:t>
      </w:r>
      <w:r w:rsidR="00652549">
        <w:rPr>
          <w:color w:val="000000"/>
        </w:rPr>
        <w:t>well-being</w:t>
      </w:r>
      <w:r w:rsidR="00897E71">
        <w:rPr>
          <w:color w:val="000000"/>
        </w:rPr>
        <w:t xml:space="preserve">, distress, depression, and stress. There was a significant effect of time on anxiety but not condition. </w:t>
      </w:r>
      <w:r>
        <w:rPr>
          <w:color w:val="000000"/>
        </w:rPr>
        <w:t xml:space="preserve"> </w:t>
      </w:r>
      <w:r w:rsidR="005B71DC">
        <w:rPr>
          <w:color w:val="000000"/>
        </w:rPr>
        <w:t xml:space="preserve">Overall, these results suggest AEBT can be feasibly delivered in a self-guided, web-based format for individuals with trichotillomania to effectively improve this undertreated condition. </w:t>
      </w:r>
    </w:p>
    <w:p w14:paraId="30C39FDA" w14:textId="78FEA454" w:rsidR="00865D9C" w:rsidRDefault="00865D9C" w:rsidP="00865D9C">
      <w:pPr>
        <w:shd w:val="clear" w:color="auto" w:fill="FFFFFF"/>
        <w:spacing w:line="480" w:lineRule="auto"/>
        <w:ind w:firstLine="720"/>
        <w:textAlignment w:val="baseline"/>
        <w:rPr>
          <w:color w:val="000000"/>
        </w:rPr>
      </w:pPr>
      <w:r>
        <w:rPr>
          <w:color w:val="000000"/>
        </w:rPr>
        <w:t>Feasibility and usability of the website were in the good to excellent range, indicating strong engagement and retention throughout the treatment program. Most participants (85%) completed all modules and a small portion completed half of the modules or less (15% of participants). These adherence rates are notably high compared to other web-based trials (e.g., Levin et al., 2014). This study also provides preliminary evidence for the feasibility of AEBT delivered through a website. Technology-based research has increased over the last decade across a variety of disorders and has been efficacious for many clinical issues (e.g.</w:t>
      </w:r>
      <w:r w:rsidR="00150D9D">
        <w:rPr>
          <w:color w:val="000000"/>
        </w:rPr>
        <w:t>,</w:t>
      </w:r>
      <w:r>
        <w:rPr>
          <w:color w:val="000000"/>
        </w:rPr>
        <w:t xml:space="preserve"> Firth et al., 2017). However, prior to the present study, an AEBT website had never been tested as a standalone treatment modality for trichotillomania. The findings of this study provide a strong contribution to technology-based research and preliminary evidence that this is a feasible modality of treatment delivery.  </w:t>
      </w:r>
    </w:p>
    <w:p w14:paraId="0DB63D4F" w14:textId="0075E35D" w:rsidR="00404B7E" w:rsidRDefault="00404B7E" w:rsidP="00404B7E">
      <w:pPr>
        <w:shd w:val="clear" w:color="auto" w:fill="FFFFFF"/>
        <w:spacing w:line="480" w:lineRule="auto"/>
        <w:ind w:firstLine="720"/>
        <w:textAlignment w:val="baseline"/>
        <w:rPr>
          <w:color w:val="000000"/>
        </w:rPr>
      </w:pPr>
      <w:r>
        <w:rPr>
          <w:color w:val="000000"/>
        </w:rPr>
        <w:t>Trichotillomania symptom severity decreased in the treatment condition significantly more than the waitlist condition. Of participants who completed the treatment, 52.78% met treatment responder status from pre- to post-treatment and 30.5</w:t>
      </w:r>
      <w:r w:rsidR="00480996">
        <w:rPr>
          <w:color w:val="000000"/>
        </w:rPr>
        <w:t>0</w:t>
      </w:r>
      <w:r>
        <w:rPr>
          <w:color w:val="000000"/>
        </w:rPr>
        <w:t xml:space="preserve">% met treatment responder </w:t>
      </w:r>
      <w:r>
        <w:rPr>
          <w:color w:val="000000"/>
        </w:rPr>
        <w:lastRenderedPageBreak/>
        <w:t>status from pre-treatment to follow-up.</w:t>
      </w:r>
      <w:r w:rsidR="007274D2">
        <w:rPr>
          <w:color w:val="000000"/>
        </w:rPr>
        <w:t xml:space="preserve"> In the waitlist condition, 15% of participants met responder status from pre- to post-treatment and 8% met responder status from pre-treatment to follow-up which is explained by changes in symptom severity over time. </w:t>
      </w:r>
      <w:r>
        <w:rPr>
          <w:color w:val="000000"/>
        </w:rPr>
        <w:t xml:space="preserve">Previous </w:t>
      </w:r>
      <w:r w:rsidR="00150D9D">
        <w:rPr>
          <w:color w:val="000000"/>
        </w:rPr>
        <w:t xml:space="preserve">in-person </w:t>
      </w:r>
      <w:r>
        <w:rPr>
          <w:color w:val="000000"/>
        </w:rPr>
        <w:t>research has similar findings to the present study</w:t>
      </w:r>
      <w:r w:rsidR="007274D2">
        <w:rPr>
          <w:color w:val="000000"/>
        </w:rPr>
        <w:t xml:space="preserve"> (between 53-63%; e.g., Lee, </w:t>
      </w:r>
      <w:proofErr w:type="spellStart"/>
      <w:r w:rsidR="007274D2">
        <w:rPr>
          <w:color w:val="000000"/>
        </w:rPr>
        <w:t>Haeger</w:t>
      </w:r>
      <w:proofErr w:type="spellEnd"/>
      <w:r w:rsidR="007274D2">
        <w:rPr>
          <w:color w:val="000000"/>
        </w:rPr>
        <w:t xml:space="preserve">, et al., 2018; </w:t>
      </w:r>
      <w:proofErr w:type="spellStart"/>
      <w:r w:rsidR="007274D2">
        <w:rPr>
          <w:color w:val="000000"/>
        </w:rPr>
        <w:t>Haaland</w:t>
      </w:r>
      <w:proofErr w:type="spellEnd"/>
      <w:r w:rsidR="007274D2">
        <w:rPr>
          <w:color w:val="000000"/>
        </w:rPr>
        <w:t xml:space="preserve"> et al, 2017) </w:t>
      </w:r>
      <w:r>
        <w:rPr>
          <w:color w:val="000000"/>
        </w:rPr>
        <w:t xml:space="preserve">despite the online and automated delivery of this treatment. In the trial by Lee et al. (2018), symptom severity decreased significantly through treatment delivered via telehealth and 58% met responder status (Lee et al, 2018). Similarly, </w:t>
      </w:r>
      <w:proofErr w:type="spellStart"/>
      <w:r>
        <w:rPr>
          <w:color w:val="000000"/>
        </w:rPr>
        <w:t>Haaland</w:t>
      </w:r>
      <w:proofErr w:type="spellEnd"/>
      <w:r>
        <w:rPr>
          <w:color w:val="000000"/>
        </w:rPr>
        <w:t xml:space="preserve"> (2017) found that 60% of participants met treatment responder status following AEBT (</w:t>
      </w:r>
      <w:proofErr w:type="spellStart"/>
      <w:r>
        <w:rPr>
          <w:color w:val="000000"/>
        </w:rPr>
        <w:t>Haaland</w:t>
      </w:r>
      <w:proofErr w:type="spellEnd"/>
      <w:r>
        <w:rPr>
          <w:color w:val="000000"/>
        </w:rPr>
        <w:t xml:space="preserve">, 2017). In the trial by Twohig and colleagues (2021) that was delivered through telehealth, there was a significant decrease in symptom severity for adolescents and 52-63% of participants met responder status. In all three trials, gains were maintained at follow-up (Twohig et al, 2021; Lee et al., 2018; </w:t>
      </w:r>
      <w:proofErr w:type="spellStart"/>
      <w:r>
        <w:rPr>
          <w:color w:val="000000"/>
        </w:rPr>
        <w:t>Haaland</w:t>
      </w:r>
      <w:proofErr w:type="spellEnd"/>
      <w:r>
        <w:rPr>
          <w:color w:val="000000"/>
        </w:rPr>
        <w:t>, 2017).</w:t>
      </w:r>
      <w:r w:rsidR="00D626B2">
        <w:rPr>
          <w:color w:val="000000"/>
        </w:rPr>
        <w:t xml:space="preserve"> These findings are also comparable to trials of other combined interventions like DBT and HRT (</w:t>
      </w:r>
      <w:r w:rsidR="0003206F">
        <w:rPr>
          <w:color w:val="000000"/>
        </w:rPr>
        <w:t>e.g.,</w:t>
      </w:r>
      <w:r w:rsidR="00893F47">
        <w:rPr>
          <w:color w:val="000000"/>
        </w:rPr>
        <w:t xml:space="preserve"> </w:t>
      </w:r>
      <w:r w:rsidR="00693B64">
        <w:rPr>
          <w:color w:val="000000"/>
        </w:rPr>
        <w:t xml:space="preserve">35%; </w:t>
      </w:r>
      <w:proofErr w:type="spellStart"/>
      <w:r w:rsidR="00693B64">
        <w:rPr>
          <w:color w:val="000000"/>
        </w:rPr>
        <w:t>Keuthen</w:t>
      </w:r>
      <w:proofErr w:type="spellEnd"/>
      <w:r w:rsidR="00693B64">
        <w:rPr>
          <w:color w:val="000000"/>
        </w:rPr>
        <w:t xml:space="preserve"> et al., 2012). </w:t>
      </w:r>
      <w:r>
        <w:rPr>
          <w:color w:val="000000"/>
        </w:rPr>
        <w:t xml:space="preserve"> In the present study, gains were maintained at follow-up</w:t>
      </w:r>
      <w:r w:rsidR="00DA7BFD">
        <w:rPr>
          <w:color w:val="000000"/>
        </w:rPr>
        <w:t>;</w:t>
      </w:r>
      <w:r>
        <w:rPr>
          <w:color w:val="000000"/>
        </w:rPr>
        <w:t xml:space="preserve"> however</w:t>
      </w:r>
      <w:r w:rsidR="00DA7BFD">
        <w:rPr>
          <w:color w:val="000000"/>
        </w:rPr>
        <w:t>,</w:t>
      </w:r>
      <w:r>
        <w:rPr>
          <w:color w:val="000000"/>
        </w:rPr>
        <w:t xml:space="preserve"> there was a</w:t>
      </w:r>
      <w:r w:rsidR="00DA7BFD">
        <w:rPr>
          <w:color w:val="000000"/>
        </w:rPr>
        <w:t xml:space="preserve"> small</w:t>
      </w:r>
      <w:r>
        <w:rPr>
          <w:color w:val="000000"/>
        </w:rPr>
        <w:t xml:space="preserve"> increase in pulling between post-treatment and follow-up. </w:t>
      </w:r>
      <w:r w:rsidRPr="000B0ED4">
        <w:t>Based on reports from participants, many did not revisit the website between ending treatment and the follow-up assessmen</w:t>
      </w:r>
      <w:r w:rsidR="00DA7BFD">
        <w:t>t—this</w:t>
      </w:r>
      <w:r w:rsidR="00A51284">
        <w:t xml:space="preserve"> gap</w:t>
      </w:r>
      <w:r w:rsidRPr="000B0ED4">
        <w:t xml:space="preserve"> may explain the increase in pulling symptoms at follow-up. Additionally, several participants contacted the research team requesting access to the treatment again</w:t>
      </w:r>
      <w:r w:rsidR="00756199">
        <w:t xml:space="preserve"> following study completion</w:t>
      </w:r>
      <w:r w:rsidRPr="000B0ED4">
        <w:t xml:space="preserve"> to review and/ or complete the program for a second tim</w:t>
      </w:r>
      <w:r>
        <w:rPr>
          <w:color w:val="000000"/>
        </w:rPr>
        <w:t>e, further highlighting a potential need for follow</w:t>
      </w:r>
      <w:r w:rsidR="00D67128">
        <w:rPr>
          <w:color w:val="000000"/>
        </w:rPr>
        <w:t>-</w:t>
      </w:r>
      <w:r>
        <w:rPr>
          <w:color w:val="000000"/>
        </w:rPr>
        <w:t>up</w:t>
      </w:r>
      <w:r w:rsidR="00D67128">
        <w:rPr>
          <w:color w:val="000000"/>
        </w:rPr>
        <w:t xml:space="preserve"> and/or</w:t>
      </w:r>
      <w:r>
        <w:rPr>
          <w:color w:val="000000"/>
        </w:rPr>
        <w:t xml:space="preserve"> booster resources. </w:t>
      </w:r>
      <w:r w:rsidR="0031419E">
        <w:rPr>
          <w:color w:val="000000"/>
        </w:rPr>
        <w:t xml:space="preserve">Given the interest in gaining access to the treatment again, it is interesting that many participants did not revisit the website between post-treatment and follow-up despite having access for the full study period. This could be due to several reasons but the most likely, given continued interest in access to the treatment at other times, is that participants were not aware </w:t>
      </w:r>
      <w:r w:rsidR="0031419E">
        <w:rPr>
          <w:color w:val="000000"/>
        </w:rPr>
        <w:lastRenderedPageBreak/>
        <w:t xml:space="preserve">that they could revisit the website over that time. While this information was shared with participants at various points during the study, it is possible that this was forgotten or overlooked. Additionally, without the weekly check-ins, it is possible that the </w:t>
      </w:r>
      <w:r w:rsidR="00B124AA">
        <w:rPr>
          <w:color w:val="000000"/>
        </w:rPr>
        <w:t xml:space="preserve">adherence may not be as high as seen during this study. However, further research is needed to assess this. </w:t>
      </w:r>
    </w:p>
    <w:p w14:paraId="524B9C50" w14:textId="400F56C2" w:rsidR="00DD592C" w:rsidRDefault="00656C20" w:rsidP="00404B7E">
      <w:pPr>
        <w:shd w:val="clear" w:color="auto" w:fill="FFFFFF"/>
        <w:spacing w:line="480" w:lineRule="auto"/>
        <w:ind w:firstLine="720"/>
        <w:textAlignment w:val="baseline"/>
        <w:rPr>
          <w:color w:val="000000"/>
        </w:rPr>
      </w:pPr>
      <w:r>
        <w:rPr>
          <w:color w:val="000000"/>
        </w:rPr>
        <w:t xml:space="preserve">Trichotillomania-related psychological inflexibility decreased in the treatment condition significantly more than the waitlist condition. </w:t>
      </w:r>
      <w:r w:rsidR="00190C38">
        <w:rPr>
          <w:color w:val="000000"/>
        </w:rPr>
        <w:t xml:space="preserve">Trichotillomania specific psychological </w:t>
      </w:r>
      <w:r w:rsidR="006F3CCA">
        <w:rPr>
          <w:color w:val="000000"/>
        </w:rPr>
        <w:t>in</w:t>
      </w:r>
      <w:r w:rsidR="00190C38">
        <w:rPr>
          <w:color w:val="000000"/>
        </w:rPr>
        <w:t>flexibility is associated with trichotillomania symptom severity</w:t>
      </w:r>
      <w:r w:rsidR="00D739F0">
        <w:rPr>
          <w:color w:val="000000"/>
        </w:rPr>
        <w:t>, so this finding was not surprising given the reported decrease in trichotillomania severity by participants</w:t>
      </w:r>
      <w:r w:rsidR="006F3CCA">
        <w:rPr>
          <w:color w:val="000000"/>
        </w:rPr>
        <w:t>. P</w:t>
      </w:r>
      <w:r w:rsidR="00190C38">
        <w:rPr>
          <w:color w:val="000000"/>
        </w:rPr>
        <w:t xml:space="preserve">revious research has suggested that </w:t>
      </w:r>
      <w:r w:rsidR="00833412">
        <w:rPr>
          <w:color w:val="000000"/>
        </w:rPr>
        <w:t>trichotillomania-specific psychological inflexibility</w:t>
      </w:r>
      <w:r w:rsidR="00190C38">
        <w:rPr>
          <w:color w:val="000000"/>
        </w:rPr>
        <w:t xml:space="preserve"> may also be correlated with higher levels of impairment and symptom severity</w:t>
      </w:r>
      <w:r w:rsidR="00833412">
        <w:rPr>
          <w:color w:val="000000"/>
        </w:rPr>
        <w:t>,</w:t>
      </w:r>
      <w:r w:rsidR="006F3CCA">
        <w:rPr>
          <w:color w:val="000000"/>
        </w:rPr>
        <w:t xml:space="preserve"> </w:t>
      </w:r>
      <w:r w:rsidR="00833412">
        <w:rPr>
          <w:color w:val="000000"/>
        </w:rPr>
        <w:t>making</w:t>
      </w:r>
      <w:r w:rsidR="00190C38">
        <w:rPr>
          <w:color w:val="000000"/>
        </w:rPr>
        <w:t xml:space="preserve"> changes in the AAQ-TTM </w:t>
      </w:r>
      <w:r w:rsidR="00833412">
        <w:rPr>
          <w:color w:val="000000"/>
        </w:rPr>
        <w:t xml:space="preserve">especially </w:t>
      </w:r>
      <w:r w:rsidR="00190C38">
        <w:rPr>
          <w:color w:val="000000"/>
        </w:rPr>
        <w:t xml:space="preserve">clinically useful </w:t>
      </w:r>
      <w:r w:rsidR="00190C38">
        <w:rPr>
          <w:noProof/>
          <w:color w:val="000000"/>
        </w:rPr>
        <w:t>(Houghton et al., 2014</w:t>
      </w:r>
      <w:r w:rsidR="00897E71">
        <w:rPr>
          <w:noProof/>
          <w:color w:val="000000"/>
        </w:rPr>
        <w:t>)</w:t>
      </w:r>
      <w:r w:rsidR="00897E71">
        <w:rPr>
          <w:color w:val="000000"/>
        </w:rPr>
        <w:t xml:space="preserve">. </w:t>
      </w:r>
      <w:r w:rsidR="00DD592C">
        <w:rPr>
          <w:color w:val="000000"/>
        </w:rPr>
        <w:t xml:space="preserve">Previous research </w:t>
      </w:r>
      <w:r w:rsidR="00222429">
        <w:rPr>
          <w:color w:val="000000"/>
        </w:rPr>
        <w:t xml:space="preserve">also </w:t>
      </w:r>
      <w:r w:rsidR="00DD592C">
        <w:rPr>
          <w:color w:val="000000"/>
        </w:rPr>
        <w:t>has mixed findings for the effect of AEBT on psychological inflexibility. For example, in a trial by Woods and colleagues (2006) examining AEBT for adults in an in-person trial, experiential avoidance</w:t>
      </w:r>
      <w:r w:rsidR="006F3CCA">
        <w:rPr>
          <w:color w:val="000000"/>
        </w:rPr>
        <w:t xml:space="preserve"> (</w:t>
      </w:r>
      <w:r w:rsidR="00DD592C">
        <w:rPr>
          <w:color w:val="000000"/>
        </w:rPr>
        <w:t>which is the process that prevents an individual from being psychologically flexible by avoiding internal sensations or discomfort</w:t>
      </w:r>
      <w:r w:rsidR="006F3CCA">
        <w:rPr>
          <w:color w:val="000000"/>
        </w:rPr>
        <w:t>)</w:t>
      </w:r>
      <w:r w:rsidR="00DD592C">
        <w:rPr>
          <w:color w:val="000000"/>
        </w:rPr>
        <w:t xml:space="preserve"> decreased by 13% from pre- to post-treatment (Woods</w:t>
      </w:r>
      <w:r w:rsidR="00CB57FD">
        <w:rPr>
          <w:color w:val="000000"/>
        </w:rPr>
        <w:t xml:space="preserve"> </w:t>
      </w:r>
      <w:r w:rsidR="00DD592C">
        <w:rPr>
          <w:color w:val="000000"/>
        </w:rPr>
        <w:t xml:space="preserve">et al., 2006). In the trial by Lee et al. (2018), examining AEBT for adults in a telehealth trial, the effect of treatment on psychological inflexibility </w:t>
      </w:r>
      <w:r w:rsidR="006F3CCA">
        <w:rPr>
          <w:color w:val="000000"/>
        </w:rPr>
        <w:t>over time</w:t>
      </w:r>
      <w:r w:rsidR="00DD592C">
        <w:rPr>
          <w:color w:val="000000"/>
        </w:rPr>
        <w:t xml:space="preserve"> was significant</w:t>
      </w:r>
      <w:r w:rsidR="003F5B44">
        <w:rPr>
          <w:color w:val="000000"/>
        </w:rPr>
        <w:t xml:space="preserve"> (24.5% decrease pre- to post-treatment)</w:t>
      </w:r>
      <w:r w:rsidR="00DD592C">
        <w:rPr>
          <w:color w:val="000000"/>
        </w:rPr>
        <w:t xml:space="preserve"> which is consistent with the findings in this study. However, in a trial by Twohig </w:t>
      </w:r>
      <w:r w:rsidR="00675DF7">
        <w:rPr>
          <w:color w:val="000000"/>
        </w:rPr>
        <w:t>and colleagues</w:t>
      </w:r>
      <w:r w:rsidR="00DD592C">
        <w:rPr>
          <w:color w:val="000000"/>
        </w:rPr>
        <w:t xml:space="preserve"> (2021) examining AEBT for adolescents in a telehealth trial, there was not a significant effect of psychological inflexibility. The variation in results could be due to small sample size</w:t>
      </w:r>
      <w:r w:rsidR="00CB57FD">
        <w:rPr>
          <w:color w:val="000000"/>
        </w:rPr>
        <w:t xml:space="preserve"> </w:t>
      </w:r>
      <w:r w:rsidR="00DD592C">
        <w:rPr>
          <w:color w:val="000000"/>
        </w:rPr>
        <w:t xml:space="preserve">in the Twohig </w:t>
      </w:r>
      <w:r w:rsidR="00675DF7">
        <w:rPr>
          <w:color w:val="000000"/>
        </w:rPr>
        <w:t xml:space="preserve">and colleagues </w:t>
      </w:r>
      <w:r w:rsidR="00DD592C">
        <w:rPr>
          <w:color w:val="000000"/>
        </w:rPr>
        <w:t>(2021) study</w:t>
      </w:r>
      <w:r w:rsidR="00CB57FD">
        <w:rPr>
          <w:color w:val="000000"/>
        </w:rPr>
        <w:t xml:space="preserve"> or the fact that the AAQ-TTM has not been validated with youth</w:t>
      </w:r>
      <w:r w:rsidR="00DD592C">
        <w:rPr>
          <w:color w:val="000000"/>
        </w:rPr>
        <w:t xml:space="preserve">. </w:t>
      </w:r>
    </w:p>
    <w:p w14:paraId="061E84A9" w14:textId="541A732B" w:rsidR="00DD592C" w:rsidRDefault="0012503A" w:rsidP="00FD2A82">
      <w:pPr>
        <w:shd w:val="clear" w:color="auto" w:fill="FFFFFF"/>
        <w:spacing w:line="480" w:lineRule="auto"/>
        <w:ind w:firstLine="720"/>
        <w:textAlignment w:val="baseline"/>
        <w:rPr>
          <w:color w:val="000000"/>
        </w:rPr>
      </w:pPr>
      <w:r>
        <w:rPr>
          <w:color w:val="000000"/>
        </w:rPr>
        <w:lastRenderedPageBreak/>
        <w:t>Overall well-being</w:t>
      </w:r>
      <w:r w:rsidR="00DD592C">
        <w:rPr>
          <w:color w:val="000000"/>
        </w:rPr>
        <w:t xml:space="preserve"> increased in the treatment condition significantly more than the waitlist condition</w:t>
      </w:r>
      <w:r w:rsidR="00394F22">
        <w:rPr>
          <w:color w:val="000000"/>
        </w:rPr>
        <w:t xml:space="preserve">.  This finding </w:t>
      </w:r>
      <w:r w:rsidR="00DD592C">
        <w:rPr>
          <w:color w:val="000000"/>
        </w:rPr>
        <w:t>is consistent with our predictio</w:t>
      </w:r>
      <w:r w:rsidR="00FD2A82">
        <w:rPr>
          <w:color w:val="000000"/>
        </w:rPr>
        <w:t>n but differs from previous studies</w:t>
      </w:r>
      <w:r w:rsidR="00D626B2">
        <w:rPr>
          <w:color w:val="000000"/>
        </w:rPr>
        <w:t>. Previous studies used measures assessing Quality of Life broadly</w:t>
      </w:r>
      <w:r w:rsidR="00693B64">
        <w:rPr>
          <w:color w:val="000000"/>
        </w:rPr>
        <w:t xml:space="preserve"> (e.g., Lee, </w:t>
      </w:r>
      <w:proofErr w:type="spellStart"/>
      <w:r w:rsidR="00693B64">
        <w:rPr>
          <w:color w:val="000000"/>
        </w:rPr>
        <w:t>Haeger</w:t>
      </w:r>
      <w:proofErr w:type="spellEnd"/>
      <w:r w:rsidR="00693B64">
        <w:rPr>
          <w:color w:val="000000"/>
        </w:rPr>
        <w:t xml:space="preserve"> et al., 2018)</w:t>
      </w:r>
      <w:r w:rsidR="00D626B2">
        <w:rPr>
          <w:color w:val="000000"/>
        </w:rPr>
        <w:t xml:space="preserve"> and th</w:t>
      </w:r>
      <w:r w:rsidR="00693B64">
        <w:rPr>
          <w:color w:val="000000"/>
        </w:rPr>
        <w:t>e present</w:t>
      </w:r>
      <w:r w:rsidR="00D626B2">
        <w:rPr>
          <w:color w:val="000000"/>
        </w:rPr>
        <w:t xml:space="preserve"> study measured well-being. While related concepts, well-being focuses more on positive psychology and engagement in meaningful activities. Quality of life, on the other hand, focuses on the importance of certain aspects of a quality of life and to what extent they are being engaged in. </w:t>
      </w:r>
      <w:r w:rsidR="00693B64">
        <w:rPr>
          <w:color w:val="000000"/>
        </w:rPr>
        <w:t>The benefit of using a scale measuring well-being rather than quality of life, is that progress is measurable in shorter periods of time (e.g., months rather than years).</w:t>
      </w:r>
      <w:r w:rsidR="00FD2A82">
        <w:rPr>
          <w:color w:val="000000"/>
        </w:rPr>
        <w:t xml:space="preserve"> </w:t>
      </w:r>
      <w:r w:rsidR="00DD592C">
        <w:rPr>
          <w:color w:val="000000"/>
        </w:rPr>
        <w:t>Total distress</w:t>
      </w:r>
      <w:r w:rsidR="00FD2A82">
        <w:rPr>
          <w:color w:val="000000"/>
        </w:rPr>
        <w:t>, stress, and depression</w:t>
      </w:r>
      <w:r w:rsidR="00DD592C">
        <w:rPr>
          <w:color w:val="000000"/>
        </w:rPr>
        <w:t xml:space="preserve"> decreased in the treatment condition significantly more than the waitlist condition</w:t>
      </w:r>
      <w:r w:rsidR="00C14437">
        <w:rPr>
          <w:color w:val="000000"/>
        </w:rPr>
        <w:t>.</w:t>
      </w:r>
      <w:r w:rsidR="00DD592C">
        <w:rPr>
          <w:color w:val="000000"/>
        </w:rPr>
        <w:t xml:space="preserve"> For anxiety, condition was not a significant predictor of change, however, over time anxiety decreased. </w:t>
      </w:r>
      <w:r w:rsidR="00237F18">
        <w:rPr>
          <w:color w:val="000000"/>
        </w:rPr>
        <w:t xml:space="preserve">These outcomes are important to assess given the high rates of co-morbid anxiety and depressive disorders with trichotillomania. </w:t>
      </w:r>
      <w:r w:rsidR="00DD592C">
        <w:rPr>
          <w:color w:val="000000"/>
        </w:rPr>
        <w:t>The findings for total distress, stress, and depression are consistent with our prediction</w:t>
      </w:r>
      <w:r w:rsidR="00A86109">
        <w:rPr>
          <w:color w:val="000000"/>
        </w:rPr>
        <w:t xml:space="preserve"> but the finding of anxiety is not what we expected.</w:t>
      </w:r>
      <w:r w:rsidR="00DD592C">
        <w:rPr>
          <w:color w:val="000000"/>
        </w:rPr>
        <w:t xml:space="preserve"> However, because of the high comorbidity rates of anxiety disorders with trichotillomania and the targeted nature of this treatment, it is logical that these symptoms were not directly impacted by the treatment. </w:t>
      </w:r>
      <w:r w:rsidR="00A86109">
        <w:rPr>
          <w:color w:val="000000"/>
        </w:rPr>
        <w:t>I</w:t>
      </w:r>
      <w:r w:rsidR="00DD592C">
        <w:rPr>
          <w:color w:val="000000"/>
        </w:rPr>
        <w:t xml:space="preserve">t is </w:t>
      </w:r>
      <w:r w:rsidR="00A86109">
        <w:rPr>
          <w:color w:val="000000"/>
        </w:rPr>
        <w:t xml:space="preserve">also </w:t>
      </w:r>
      <w:r w:rsidR="00DD592C">
        <w:rPr>
          <w:color w:val="000000"/>
        </w:rPr>
        <w:t xml:space="preserve">possible that due to the sample size, there was not enough power to detect the change. </w:t>
      </w:r>
      <w:r w:rsidR="00A86109">
        <w:rPr>
          <w:color w:val="000000"/>
        </w:rPr>
        <w:t>Additionally, p</w:t>
      </w:r>
      <w:r w:rsidR="00DD592C">
        <w:rPr>
          <w:color w:val="000000"/>
        </w:rPr>
        <w:t>revious research</w:t>
      </w:r>
      <w:r w:rsidR="00FD2A82">
        <w:rPr>
          <w:color w:val="000000"/>
        </w:rPr>
        <w:t xml:space="preserve"> suggested that comorbid conditions may impact treatment outcomes (Grant et al., 2017)</w:t>
      </w:r>
      <w:r w:rsidR="00CB57FD">
        <w:rPr>
          <w:color w:val="000000"/>
        </w:rPr>
        <w:t>,</w:t>
      </w:r>
      <w:r w:rsidR="00FD2A82">
        <w:rPr>
          <w:color w:val="000000"/>
        </w:rPr>
        <w:t xml:space="preserve"> but these studies on AEBT have not examined the effect of treatment on comorbid conditions. </w:t>
      </w:r>
    </w:p>
    <w:p w14:paraId="7D951108" w14:textId="132F3483" w:rsidR="00DD592C" w:rsidRDefault="00DD592C" w:rsidP="00DD592C">
      <w:pPr>
        <w:shd w:val="clear" w:color="auto" w:fill="FFFFFF"/>
        <w:spacing w:line="480" w:lineRule="auto"/>
        <w:textAlignment w:val="baseline"/>
        <w:rPr>
          <w:color w:val="000000"/>
        </w:rPr>
      </w:pPr>
      <w:r>
        <w:rPr>
          <w:color w:val="000000"/>
        </w:rPr>
        <w:tab/>
      </w:r>
      <w:r w:rsidR="00B20EA3">
        <w:rPr>
          <w:color w:val="000000"/>
        </w:rPr>
        <w:t>Overall, t</w:t>
      </w:r>
      <w:r>
        <w:rPr>
          <w:color w:val="000000"/>
        </w:rPr>
        <w:t>he clinical utility of</w:t>
      </w:r>
      <w:r w:rsidR="009B0CB2">
        <w:rPr>
          <w:color w:val="000000"/>
        </w:rPr>
        <w:t xml:space="preserve"> this</w:t>
      </w:r>
      <w:r>
        <w:rPr>
          <w:color w:val="000000"/>
        </w:rPr>
        <w:t xml:space="preserve"> web-delivered treatment</w:t>
      </w:r>
      <w:r w:rsidR="009B0CB2">
        <w:rPr>
          <w:color w:val="000000"/>
        </w:rPr>
        <w:t xml:space="preserve"> for trichotillomania </w:t>
      </w:r>
      <w:r>
        <w:rPr>
          <w:color w:val="000000"/>
        </w:rPr>
        <w:t>is significant. First, this treatment could be used as a first step before more intensive</w:t>
      </w:r>
      <w:r w:rsidR="003F5B44">
        <w:rPr>
          <w:color w:val="000000"/>
        </w:rPr>
        <w:t xml:space="preserve"> treatment (e.g., Rogers et al., 2014)</w:t>
      </w:r>
      <w:r w:rsidR="00AE0AD6">
        <w:rPr>
          <w:color w:val="000000"/>
        </w:rPr>
        <w:t>.</w:t>
      </w:r>
      <w:r>
        <w:rPr>
          <w:color w:val="000000"/>
        </w:rPr>
        <w:t xml:space="preserve"> If a client’s willingness to engage in treatment in low, a website </w:t>
      </w:r>
      <w:r w:rsidR="00D215C9">
        <w:rPr>
          <w:color w:val="000000"/>
        </w:rPr>
        <w:t xml:space="preserve">like this one </w:t>
      </w:r>
      <w:r>
        <w:rPr>
          <w:color w:val="000000"/>
        </w:rPr>
        <w:t xml:space="preserve">may help to increase their willingness by providing a first look at treatment that is less of </w:t>
      </w:r>
      <w:r>
        <w:rPr>
          <w:color w:val="000000"/>
        </w:rPr>
        <w:lastRenderedPageBreak/>
        <w:t xml:space="preserve">a financial burden and time commitment. Further, if a client is seeking in-person or telehealth services and the waitlists for </w:t>
      </w:r>
      <w:r w:rsidR="00D215C9">
        <w:rPr>
          <w:color w:val="000000"/>
        </w:rPr>
        <w:t xml:space="preserve">trichotillomania-experienced </w:t>
      </w:r>
      <w:r>
        <w:rPr>
          <w:color w:val="000000"/>
        </w:rPr>
        <w:t xml:space="preserve">providers are long, </w:t>
      </w:r>
      <w:r w:rsidR="00274568">
        <w:rPr>
          <w:color w:val="000000"/>
        </w:rPr>
        <w:t>this</w:t>
      </w:r>
      <w:r>
        <w:rPr>
          <w:color w:val="000000"/>
        </w:rPr>
        <w:t xml:space="preserve"> website could be recommended in the interim. Finally, this website could be used as a standalone treatment and does not need to be used in conjunction with in-person or telehealth services</w:t>
      </w:r>
      <w:r w:rsidR="00BB7E88">
        <w:rPr>
          <w:color w:val="000000"/>
        </w:rPr>
        <w:t>,</w:t>
      </w:r>
      <w:r>
        <w:rPr>
          <w:color w:val="000000"/>
        </w:rPr>
        <w:t xml:space="preserve"> depending on client need and readiness for change. </w:t>
      </w:r>
      <w:r w:rsidR="00273AF8">
        <w:rPr>
          <w:color w:val="000000"/>
        </w:rPr>
        <w:t>Finally, it would also be helpful for maintenance for those who participated in in-person treatment.</w:t>
      </w:r>
    </w:p>
    <w:p w14:paraId="3D91C5C2" w14:textId="28123367" w:rsidR="001D4430" w:rsidRDefault="00DD592C" w:rsidP="00DD592C">
      <w:pPr>
        <w:shd w:val="clear" w:color="auto" w:fill="FFFFFF"/>
        <w:spacing w:line="480" w:lineRule="auto"/>
        <w:textAlignment w:val="baseline"/>
        <w:rPr>
          <w:color w:val="000000"/>
        </w:rPr>
      </w:pPr>
      <w:r>
        <w:rPr>
          <w:color w:val="000000"/>
        </w:rPr>
        <w:tab/>
      </w:r>
      <w:r w:rsidR="001D4430">
        <w:rPr>
          <w:color w:val="000000"/>
        </w:rPr>
        <w:t>This</w:t>
      </w:r>
      <w:r>
        <w:rPr>
          <w:color w:val="000000"/>
        </w:rPr>
        <w:t xml:space="preserve"> study had several limitations. First, the sample is primarily female. </w:t>
      </w:r>
      <w:r w:rsidR="00273AF8">
        <w:rPr>
          <w:color w:val="000000"/>
        </w:rPr>
        <w:t>R</w:t>
      </w:r>
      <w:r>
        <w:rPr>
          <w:color w:val="000000"/>
        </w:rPr>
        <w:t xml:space="preserve">ecent </w:t>
      </w:r>
      <w:r w:rsidR="00273AF8">
        <w:rPr>
          <w:color w:val="000000"/>
        </w:rPr>
        <w:t xml:space="preserve">research </w:t>
      </w:r>
      <w:r>
        <w:rPr>
          <w:color w:val="000000"/>
        </w:rPr>
        <w:t xml:space="preserve">suggested that prevalence rates are equal across sex, but more females seek services than males </w:t>
      </w:r>
      <w:r>
        <w:rPr>
          <w:noProof/>
          <w:color w:val="000000"/>
        </w:rPr>
        <w:t>(Grant et al., 2020)</w:t>
      </w:r>
      <w:r w:rsidR="00AE0AD6">
        <w:rPr>
          <w:noProof/>
          <w:color w:val="000000"/>
        </w:rPr>
        <w:t>.</w:t>
      </w:r>
      <w:r w:rsidDel="00852A0C">
        <w:rPr>
          <w:color w:val="000000"/>
        </w:rPr>
        <w:t xml:space="preserve"> </w:t>
      </w:r>
      <w:r>
        <w:rPr>
          <w:color w:val="000000"/>
        </w:rPr>
        <w:t>Future research should seek a more evenly distributed sample. Additionally, this sample was primarily White and future research should focus on obtaining a more heterogenous sample.</w:t>
      </w:r>
      <w:r w:rsidR="007F34EA">
        <w:rPr>
          <w:color w:val="000000"/>
        </w:rPr>
        <w:t xml:space="preserve"> Previous research has indicated that treatment seeking samples of trichotillomania tend to be homogeneous and primarily White</w:t>
      </w:r>
      <w:r>
        <w:rPr>
          <w:color w:val="000000"/>
        </w:rPr>
        <w:t xml:space="preserve"> </w:t>
      </w:r>
      <w:r>
        <w:rPr>
          <w:noProof/>
          <w:color w:val="000000"/>
        </w:rPr>
        <w:t>(Grant et al., 2020)</w:t>
      </w:r>
      <w:r>
        <w:rPr>
          <w:color w:val="000000"/>
        </w:rPr>
        <w:t>.</w:t>
      </w:r>
      <w:r w:rsidR="001D5D82">
        <w:rPr>
          <w:color w:val="000000"/>
        </w:rPr>
        <w:t xml:space="preserve"> Research to suggest if these prevalence rates are representative of trichotillomania prevalence in the population is limited. A study that is more heterogeneous would increase our understanding of prevalence of trichotillomania in the population at large and help to eliminate health disparities. </w:t>
      </w:r>
      <w:r w:rsidR="007A7828">
        <w:rPr>
          <w:color w:val="000000"/>
        </w:rPr>
        <w:t xml:space="preserve">Additionally, in terms of treatment adaptations, a more diverse sample would inform cultural adaptations for trichotillomania and OCRD treatment more generally. Finally, a more diverse sample would increase our understanding of what treatments work and for whom which </w:t>
      </w:r>
      <w:r w:rsidR="00BB7E88">
        <w:rPr>
          <w:color w:val="000000"/>
        </w:rPr>
        <w:t>could</w:t>
      </w:r>
      <w:r w:rsidR="007A7828">
        <w:rPr>
          <w:color w:val="000000"/>
        </w:rPr>
        <w:t xml:space="preserve"> </w:t>
      </w:r>
      <w:r w:rsidR="00865D9C">
        <w:rPr>
          <w:color w:val="000000"/>
        </w:rPr>
        <w:t>increase</w:t>
      </w:r>
      <w:r w:rsidR="007A7828">
        <w:rPr>
          <w:color w:val="000000"/>
        </w:rPr>
        <w:t xml:space="preserve"> access and reach. </w:t>
      </w:r>
    </w:p>
    <w:p w14:paraId="08BEBB01" w14:textId="2137ADE3" w:rsidR="00DD592C" w:rsidRDefault="00DD592C" w:rsidP="00DD592C">
      <w:pPr>
        <w:shd w:val="clear" w:color="auto" w:fill="FFFFFF"/>
        <w:spacing w:line="480" w:lineRule="auto"/>
        <w:textAlignment w:val="baseline"/>
        <w:rPr>
          <w:color w:val="000000"/>
        </w:rPr>
      </w:pPr>
      <w:r>
        <w:rPr>
          <w:color w:val="000000"/>
        </w:rPr>
        <w:tab/>
        <w:t>Another limitation of this study is that</w:t>
      </w:r>
      <w:r w:rsidR="007F34EA">
        <w:rPr>
          <w:color w:val="000000"/>
        </w:rPr>
        <w:t xml:space="preserve"> recruitment occurred quickly (within three weeks of launching the study)</w:t>
      </w:r>
      <w:r w:rsidR="001D34F0">
        <w:rPr>
          <w:color w:val="000000"/>
        </w:rPr>
        <w:t xml:space="preserve"> and </w:t>
      </w:r>
      <w:r>
        <w:rPr>
          <w:color w:val="000000"/>
        </w:rPr>
        <w:t>entirely through trichotillomania</w:t>
      </w:r>
      <w:r w:rsidR="00AE0AD6">
        <w:rPr>
          <w:color w:val="000000"/>
        </w:rPr>
        <w:t>-</w:t>
      </w:r>
      <w:r>
        <w:rPr>
          <w:color w:val="000000"/>
        </w:rPr>
        <w:t>specific pages on Reddit and Facebook</w:t>
      </w:r>
      <w:r w:rsidR="00865D9C">
        <w:rPr>
          <w:color w:val="000000"/>
        </w:rPr>
        <w:t>.</w:t>
      </w:r>
      <w:r>
        <w:rPr>
          <w:color w:val="000000"/>
        </w:rPr>
        <w:t xml:space="preserve"> </w:t>
      </w:r>
      <w:r w:rsidR="007A7828">
        <w:rPr>
          <w:color w:val="000000"/>
        </w:rPr>
        <w:t>T</w:t>
      </w:r>
      <w:r>
        <w:rPr>
          <w:color w:val="000000"/>
        </w:rPr>
        <w:t>he sample was</w:t>
      </w:r>
      <w:r w:rsidR="007F34EA">
        <w:rPr>
          <w:color w:val="000000"/>
        </w:rPr>
        <w:t xml:space="preserve"> recruited</w:t>
      </w:r>
      <w:r w:rsidR="009F7ED8">
        <w:rPr>
          <w:color w:val="000000"/>
        </w:rPr>
        <w:t xml:space="preserve"> almost exclusively</w:t>
      </w:r>
      <w:r>
        <w:rPr>
          <w:color w:val="000000"/>
        </w:rPr>
        <w:t xml:space="preserve"> </w:t>
      </w:r>
      <w:r w:rsidR="007F34EA">
        <w:rPr>
          <w:color w:val="000000"/>
        </w:rPr>
        <w:t>from those</w:t>
      </w:r>
      <w:r>
        <w:rPr>
          <w:color w:val="000000"/>
        </w:rPr>
        <w:t xml:space="preserve"> two platforms</w:t>
      </w:r>
      <w:r w:rsidR="009F7ED8">
        <w:rPr>
          <w:color w:val="000000"/>
        </w:rPr>
        <w:t xml:space="preserve">, limiting </w:t>
      </w:r>
      <w:r>
        <w:rPr>
          <w:color w:val="000000"/>
        </w:rPr>
        <w:t>the people who may have seen the study advertised</w:t>
      </w:r>
      <w:r w:rsidR="007F34EA">
        <w:rPr>
          <w:color w:val="000000"/>
        </w:rPr>
        <w:t xml:space="preserve">. </w:t>
      </w:r>
      <w:r>
        <w:rPr>
          <w:color w:val="000000"/>
        </w:rPr>
        <w:t>This also</w:t>
      </w:r>
      <w:r w:rsidR="00404B7E">
        <w:rPr>
          <w:color w:val="000000"/>
        </w:rPr>
        <w:t xml:space="preserve"> </w:t>
      </w:r>
      <w:r>
        <w:rPr>
          <w:color w:val="000000"/>
        </w:rPr>
        <w:t xml:space="preserve">limits participants to a help-seeking </w:t>
      </w:r>
      <w:r>
        <w:rPr>
          <w:color w:val="000000"/>
        </w:rPr>
        <w:lastRenderedPageBreak/>
        <w:t xml:space="preserve">sample who were already utilizing online support forums and who may have been </w:t>
      </w:r>
      <w:r w:rsidR="00AE207E">
        <w:rPr>
          <w:color w:val="000000"/>
        </w:rPr>
        <w:t>able</w:t>
      </w:r>
      <w:r>
        <w:rPr>
          <w:color w:val="000000"/>
        </w:rPr>
        <w:t xml:space="preserve"> to easily use a website compared to someone calling into a clinic. Future research should seek to recruit through a variety of forums to ensure more groups are reached. </w:t>
      </w:r>
    </w:p>
    <w:p w14:paraId="0C4A95D9" w14:textId="728A7DE7" w:rsidR="00DD592C" w:rsidRPr="007D360B" w:rsidRDefault="00DD592C" w:rsidP="00DD592C">
      <w:pPr>
        <w:shd w:val="clear" w:color="auto" w:fill="FFFFFF"/>
        <w:spacing w:line="480" w:lineRule="auto"/>
        <w:textAlignment w:val="baseline"/>
        <w:rPr>
          <w:color w:val="000000"/>
        </w:rPr>
      </w:pPr>
      <w:r w:rsidRPr="007D360B">
        <w:rPr>
          <w:color w:val="000000"/>
        </w:rPr>
        <w:tab/>
      </w:r>
      <w:r>
        <w:rPr>
          <w:color w:val="000000"/>
        </w:rPr>
        <w:t xml:space="preserve">In </w:t>
      </w:r>
      <w:r w:rsidR="00273AF8">
        <w:rPr>
          <w:color w:val="000000"/>
        </w:rPr>
        <w:t>conclusion</w:t>
      </w:r>
      <w:r>
        <w:rPr>
          <w:color w:val="000000"/>
        </w:rPr>
        <w:t xml:space="preserve">, this study provides evidence for the efficacy and feasibility of implementing a website delivering AEBT for adults with trichotillomania. Participants in the treatment condition reported significant improvement in hair pulling symptoms, psychological flexibility, quality of life, total distress, stress, and depression as compared to the waitlist group. </w:t>
      </w:r>
      <w:r w:rsidR="00942A78">
        <w:rPr>
          <w:color w:val="000000"/>
        </w:rPr>
        <w:t>T</w:t>
      </w:r>
      <w:r>
        <w:rPr>
          <w:color w:val="000000"/>
        </w:rPr>
        <w:t>his study adds to the literature supporting AEBT as a potential treatment for trichotillomania and is the first study to provide preliminary evidence supporting its efficacy when delivered through a website. These findings have a variety of compelling research and clinical implications</w:t>
      </w:r>
      <w:r w:rsidR="00AE207E">
        <w:rPr>
          <w:color w:val="000000"/>
        </w:rPr>
        <w:t>,</w:t>
      </w:r>
      <w:r>
        <w:rPr>
          <w:color w:val="000000"/>
        </w:rPr>
        <w:t xml:space="preserve"> which include </w:t>
      </w:r>
      <w:r w:rsidRPr="007D360B">
        <w:rPr>
          <w:color w:val="000000"/>
        </w:rPr>
        <w:t xml:space="preserve">providing treatment that is accessible across rural and urban areas and is not limited by finances or proximity to a providing clinician. </w:t>
      </w:r>
    </w:p>
    <w:p w14:paraId="24635111" w14:textId="77777777" w:rsidR="00DD592C" w:rsidRDefault="00DD592C" w:rsidP="00DD592C">
      <w:pPr>
        <w:shd w:val="clear" w:color="auto" w:fill="FFFFFF"/>
        <w:spacing w:line="480" w:lineRule="auto"/>
        <w:ind w:firstLine="720"/>
        <w:textAlignment w:val="baseline"/>
      </w:pPr>
    </w:p>
    <w:p w14:paraId="4DDF551A" w14:textId="01DEE3C0" w:rsidR="00A86109" w:rsidRDefault="00A86109">
      <w:pPr>
        <w:rPr>
          <w:b/>
          <w:bCs/>
        </w:rPr>
      </w:pPr>
    </w:p>
    <w:p w14:paraId="42E9E1C8" w14:textId="77777777" w:rsidR="00A86109" w:rsidRDefault="00A86109">
      <w:pPr>
        <w:rPr>
          <w:b/>
          <w:bCs/>
        </w:rPr>
      </w:pPr>
      <w:r>
        <w:rPr>
          <w:b/>
          <w:bCs/>
        </w:rPr>
        <w:br w:type="page"/>
      </w:r>
    </w:p>
    <w:p w14:paraId="2CFE3973" w14:textId="141D4B99" w:rsidR="00584597" w:rsidRPr="003E489B" w:rsidRDefault="00584597" w:rsidP="00584597">
      <w:pPr>
        <w:spacing w:line="480" w:lineRule="auto"/>
        <w:jc w:val="center"/>
      </w:pPr>
      <w:r w:rsidRPr="003E489B">
        <w:rPr>
          <w:b/>
          <w:bCs/>
        </w:rPr>
        <w:lastRenderedPageBreak/>
        <w:t>References</w:t>
      </w:r>
    </w:p>
    <w:p w14:paraId="032742C9" w14:textId="5AA98986" w:rsidR="00636930" w:rsidRPr="002D212A" w:rsidRDefault="00636930" w:rsidP="00A30371">
      <w:pPr>
        <w:pStyle w:val="EndNoteBibliography"/>
        <w:spacing w:line="480" w:lineRule="auto"/>
        <w:ind w:left="720" w:hanging="720"/>
        <w:rPr>
          <w:rFonts w:ascii="Times New Roman" w:hAnsi="Times New Roman" w:cs="Times New Roman"/>
          <w:noProof/>
        </w:rPr>
      </w:pPr>
      <w:r w:rsidRPr="002D212A">
        <w:rPr>
          <w:rFonts w:ascii="Times New Roman" w:hAnsi="Times New Roman" w:cs="Times New Roman"/>
          <w:noProof/>
        </w:rPr>
        <w:t xml:space="preserve">Alexander, J. R., Houghton, D. C., Twohig, M. P., Franklin, M. E., Saunders, S. M., Neal-Barnett, A. M., Compton, S. N., &amp; Woods, D. W. (2017). Clarifying the relationship between trichotillomania and anxiety. </w:t>
      </w:r>
      <w:r w:rsidRPr="002D212A">
        <w:rPr>
          <w:rFonts w:ascii="Times New Roman" w:hAnsi="Times New Roman" w:cs="Times New Roman"/>
          <w:i/>
          <w:noProof/>
        </w:rPr>
        <w:t xml:space="preserve">Journal of Obsessive-Compulsive and Related Disorders, </w:t>
      </w:r>
      <w:r w:rsidRPr="00F500D4">
        <w:rPr>
          <w:rFonts w:ascii="Times New Roman" w:hAnsi="Times New Roman" w:cs="Times New Roman"/>
          <w:iCs/>
          <w:noProof/>
        </w:rPr>
        <w:t>13</w:t>
      </w:r>
      <w:r w:rsidRPr="002D212A">
        <w:rPr>
          <w:rFonts w:ascii="Times New Roman" w:hAnsi="Times New Roman" w:cs="Times New Roman"/>
          <w:noProof/>
        </w:rPr>
        <w:t xml:space="preserve">, 30-34. </w:t>
      </w:r>
      <w:hyperlink r:id="rId9" w:history="1">
        <w:r w:rsidR="001D5E65" w:rsidRPr="004E1788">
          <w:rPr>
            <w:rStyle w:val="Hyperlink"/>
          </w:rPr>
          <w:t>https://doi</w:t>
        </w:r>
      </w:hyperlink>
      <w:r w:rsidR="00D32881" w:rsidRPr="00A30371">
        <w:t xml:space="preserve">.org/10.1016/ </w:t>
      </w:r>
      <w:proofErr w:type="gramStart"/>
      <w:r w:rsidR="00D32881" w:rsidRPr="00A30371">
        <w:t>j.jocrd</w:t>
      </w:r>
      <w:proofErr w:type="gramEnd"/>
      <w:r w:rsidR="00D32881" w:rsidRPr="00A30371">
        <w:t>.2017.02.004</w:t>
      </w:r>
    </w:p>
    <w:p w14:paraId="21053B4F" w14:textId="77777777" w:rsidR="00404B7E" w:rsidRPr="004E680A" w:rsidRDefault="00584597" w:rsidP="00D32881">
      <w:pPr>
        <w:pStyle w:val="EndNoteBibliography"/>
        <w:spacing w:line="480" w:lineRule="auto"/>
        <w:ind w:left="720" w:hanging="720"/>
        <w:rPr>
          <w:rFonts w:ascii="Times New Roman" w:eastAsia="Times New Roman" w:hAnsi="Times New Roman" w:cs="Times New Roman"/>
        </w:rPr>
      </w:pPr>
      <w:r w:rsidRPr="004E680A">
        <w:rPr>
          <w:rFonts w:ascii="Times New Roman" w:hAnsi="Times New Roman" w:cs="Times New Roman"/>
          <w:noProof/>
        </w:rPr>
        <w:t>A</w:t>
      </w:r>
      <w:r w:rsidR="00EE6397" w:rsidRPr="004E680A">
        <w:rPr>
          <w:rFonts w:ascii="Times New Roman" w:hAnsi="Times New Roman" w:cs="Times New Roman"/>
          <w:noProof/>
        </w:rPr>
        <w:t>merican Psychiatric Association</w:t>
      </w:r>
      <w:r w:rsidRPr="004E680A">
        <w:rPr>
          <w:rFonts w:ascii="Times New Roman" w:hAnsi="Times New Roman" w:cs="Times New Roman"/>
          <w:noProof/>
        </w:rPr>
        <w:t xml:space="preserve">. (2013). </w:t>
      </w:r>
      <w:r w:rsidRPr="004E680A">
        <w:rPr>
          <w:rFonts w:ascii="Times New Roman" w:hAnsi="Times New Roman" w:cs="Times New Roman"/>
          <w:i/>
          <w:noProof/>
        </w:rPr>
        <w:t>Diagnostic and statistical manual of mental disorders: DSM-5™ (5</w:t>
      </w:r>
      <w:r w:rsidRPr="00A445CC">
        <w:rPr>
          <w:rFonts w:ascii="Times New Roman" w:hAnsi="Times New Roman" w:cs="Times New Roman"/>
          <w:i/>
          <w:noProof/>
          <w:vertAlign w:val="superscript"/>
        </w:rPr>
        <w:t>th</w:t>
      </w:r>
      <w:r w:rsidRPr="004E680A">
        <w:rPr>
          <w:rFonts w:ascii="Times New Roman" w:hAnsi="Times New Roman" w:cs="Times New Roman"/>
          <w:i/>
          <w:noProof/>
        </w:rPr>
        <w:t xml:space="preserve"> ed.)</w:t>
      </w:r>
      <w:r w:rsidRPr="004E680A">
        <w:rPr>
          <w:rFonts w:ascii="Times New Roman" w:hAnsi="Times New Roman" w:cs="Times New Roman"/>
          <w:noProof/>
        </w:rPr>
        <w:t xml:space="preserve">. American Psychiatric Publishing, Inc. </w:t>
      </w:r>
      <w:r w:rsidR="00404B7E" w:rsidRPr="004E680A">
        <w:rPr>
          <w:rFonts w:ascii="Times New Roman" w:eastAsia="Times New Roman" w:hAnsi="Times New Roman" w:cs="Times New Roman"/>
          <w:color w:val="222222"/>
          <w:shd w:val="clear" w:color="auto" w:fill="FFFFFF"/>
        </w:rPr>
        <w:t>10.1176/appi.books.9780890425596</w:t>
      </w:r>
    </w:p>
    <w:p w14:paraId="35FDA495" w14:textId="77777777" w:rsidR="00636930" w:rsidRPr="002D212A" w:rsidRDefault="00636930" w:rsidP="00A30371">
      <w:pPr>
        <w:pStyle w:val="EndNoteBibliography"/>
        <w:spacing w:line="480" w:lineRule="auto"/>
        <w:ind w:left="720" w:hanging="720"/>
        <w:rPr>
          <w:rFonts w:ascii="Times New Roman" w:hAnsi="Times New Roman" w:cs="Times New Roman"/>
          <w:noProof/>
        </w:rPr>
      </w:pPr>
      <w:r w:rsidRPr="002D212A">
        <w:rPr>
          <w:rFonts w:ascii="Times New Roman" w:hAnsi="Times New Roman" w:cs="Times New Roman"/>
          <w:noProof/>
        </w:rPr>
        <w:t xml:space="preserve">Bangor, A., Kortum, P. T., &amp; Miller, J. T. (2008). An empirical evaluation of the System Usability Scale. </w:t>
      </w:r>
      <w:r w:rsidRPr="002D212A">
        <w:rPr>
          <w:rFonts w:ascii="Times New Roman" w:hAnsi="Times New Roman" w:cs="Times New Roman"/>
          <w:i/>
          <w:noProof/>
        </w:rPr>
        <w:t xml:space="preserve">International Journal of Human-Computer Interaction, </w:t>
      </w:r>
      <w:r w:rsidRPr="00F500D4">
        <w:rPr>
          <w:rFonts w:ascii="Times New Roman" w:hAnsi="Times New Roman" w:cs="Times New Roman"/>
          <w:iCs/>
          <w:noProof/>
        </w:rPr>
        <w:t>24</w:t>
      </w:r>
      <w:r w:rsidRPr="002D212A">
        <w:rPr>
          <w:rFonts w:ascii="Times New Roman" w:hAnsi="Times New Roman" w:cs="Times New Roman"/>
          <w:noProof/>
        </w:rPr>
        <w:t xml:space="preserve">, 574-594. </w:t>
      </w:r>
    </w:p>
    <w:p w14:paraId="6C352FDE" w14:textId="77777777" w:rsidR="00584597" w:rsidRPr="003E489B" w:rsidRDefault="00584597" w:rsidP="00D32881">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Barrett, T. S., &amp; Brignone, E. (2017). Furniture for quantinative scientists. </w:t>
      </w:r>
      <w:r w:rsidRPr="003E489B">
        <w:rPr>
          <w:rFonts w:ascii="Times New Roman" w:hAnsi="Times New Roman" w:cs="Times New Roman"/>
          <w:i/>
          <w:noProof/>
        </w:rPr>
        <w:t xml:space="preserve">R Journal, </w:t>
      </w:r>
      <w:r w:rsidRPr="00F500D4">
        <w:rPr>
          <w:rFonts w:ascii="Times New Roman" w:hAnsi="Times New Roman" w:cs="Times New Roman"/>
          <w:iCs/>
          <w:noProof/>
        </w:rPr>
        <w:t>9,</w:t>
      </w:r>
      <w:r w:rsidRPr="003E489B">
        <w:rPr>
          <w:rFonts w:ascii="Times New Roman" w:hAnsi="Times New Roman" w:cs="Times New Roman"/>
          <w:noProof/>
        </w:rPr>
        <w:t xml:space="preserve"> 142-148. </w:t>
      </w:r>
    </w:p>
    <w:p w14:paraId="4F7A5AEC" w14:textId="57786388"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Bates, D., Maechler, M., Bolker, B., &amp; Walker, S. (2015). Fitting </w:t>
      </w:r>
      <w:r w:rsidR="00557E4B">
        <w:rPr>
          <w:rFonts w:ascii="Times New Roman" w:hAnsi="Times New Roman" w:cs="Times New Roman"/>
          <w:noProof/>
        </w:rPr>
        <w:t>l</w:t>
      </w:r>
      <w:r w:rsidRPr="003E489B">
        <w:rPr>
          <w:rFonts w:ascii="Times New Roman" w:hAnsi="Times New Roman" w:cs="Times New Roman"/>
          <w:noProof/>
        </w:rPr>
        <w:t xml:space="preserve">inear </w:t>
      </w:r>
      <w:r w:rsidR="00557E4B">
        <w:rPr>
          <w:rFonts w:ascii="Times New Roman" w:hAnsi="Times New Roman" w:cs="Times New Roman"/>
          <w:noProof/>
        </w:rPr>
        <w:t>m</w:t>
      </w:r>
      <w:r w:rsidRPr="003E489B">
        <w:rPr>
          <w:rFonts w:ascii="Times New Roman" w:hAnsi="Times New Roman" w:cs="Times New Roman"/>
          <w:noProof/>
        </w:rPr>
        <w:t>ixed-</w:t>
      </w:r>
      <w:r w:rsidR="00557E4B">
        <w:rPr>
          <w:rFonts w:ascii="Times New Roman" w:hAnsi="Times New Roman" w:cs="Times New Roman"/>
          <w:noProof/>
        </w:rPr>
        <w:t>e</w:t>
      </w:r>
      <w:r w:rsidRPr="003E489B">
        <w:rPr>
          <w:rFonts w:ascii="Times New Roman" w:hAnsi="Times New Roman" w:cs="Times New Roman"/>
          <w:noProof/>
        </w:rPr>
        <w:t>ffects</w:t>
      </w:r>
      <w:r w:rsidR="00557E4B">
        <w:rPr>
          <w:rFonts w:ascii="Times New Roman" w:hAnsi="Times New Roman" w:cs="Times New Roman"/>
          <w:noProof/>
        </w:rPr>
        <w:t xml:space="preserve"> m</w:t>
      </w:r>
      <w:r w:rsidRPr="003E489B">
        <w:rPr>
          <w:rFonts w:ascii="Times New Roman" w:hAnsi="Times New Roman" w:cs="Times New Roman"/>
          <w:noProof/>
        </w:rPr>
        <w:t xml:space="preserve">odels </w:t>
      </w:r>
      <w:r w:rsidR="00557E4B">
        <w:rPr>
          <w:rFonts w:ascii="Times New Roman" w:hAnsi="Times New Roman" w:cs="Times New Roman"/>
          <w:noProof/>
        </w:rPr>
        <w:t>u</w:t>
      </w:r>
      <w:r w:rsidRPr="003E489B">
        <w:rPr>
          <w:rFonts w:ascii="Times New Roman" w:hAnsi="Times New Roman" w:cs="Times New Roman"/>
          <w:noProof/>
        </w:rPr>
        <w:t xml:space="preserve">sing lme4. </w:t>
      </w:r>
      <w:r w:rsidRPr="003E489B">
        <w:rPr>
          <w:rFonts w:ascii="Times New Roman" w:hAnsi="Times New Roman" w:cs="Times New Roman"/>
          <w:i/>
          <w:noProof/>
        </w:rPr>
        <w:t>Journal of Statistical Software,</w:t>
      </w:r>
      <w:r w:rsidRPr="00F500D4">
        <w:rPr>
          <w:rFonts w:ascii="Times New Roman" w:hAnsi="Times New Roman" w:cs="Times New Roman"/>
          <w:iCs/>
          <w:noProof/>
        </w:rPr>
        <w:t xml:space="preserve"> </w:t>
      </w:r>
      <w:r w:rsidRPr="00F500D4">
        <w:rPr>
          <w:rFonts w:ascii="Times New Roman" w:hAnsi="Times New Roman" w:cs="Times New Roman"/>
          <w:i/>
          <w:noProof/>
        </w:rPr>
        <w:t>67</w:t>
      </w:r>
      <w:r w:rsidRPr="003E489B">
        <w:rPr>
          <w:rFonts w:ascii="Times New Roman" w:hAnsi="Times New Roman" w:cs="Times New Roman"/>
          <w:noProof/>
        </w:rPr>
        <w:t xml:space="preserve">(1), 1–48. </w:t>
      </w:r>
      <w:hyperlink r:id="rId10"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.org/10.18637/jss.v067.i01 </w:t>
      </w:r>
    </w:p>
    <w:p w14:paraId="23FEF291" w14:textId="0010286D"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Begotka, A. M., Woods, D. W., &amp; Wetterneck, C. T. (2004). The relationship between experiential avoidance and the severity of trichotillomania in a nonreferred sample. </w:t>
      </w:r>
      <w:r w:rsidRPr="003E489B">
        <w:rPr>
          <w:rFonts w:ascii="Times New Roman" w:hAnsi="Times New Roman" w:cs="Times New Roman"/>
          <w:i/>
          <w:noProof/>
        </w:rPr>
        <w:t>Journal of Behaviour Therapy and Experimental Psychiatry</w:t>
      </w:r>
      <w:r w:rsidR="00F500D4">
        <w:rPr>
          <w:rFonts w:ascii="Times New Roman" w:hAnsi="Times New Roman" w:cs="Times New Roman"/>
          <w:i/>
          <w:noProof/>
        </w:rPr>
        <w:t>,</w:t>
      </w:r>
      <w:r w:rsidRPr="003E489B">
        <w:rPr>
          <w:rFonts w:ascii="Times New Roman" w:hAnsi="Times New Roman" w:cs="Times New Roman"/>
          <w:i/>
          <w:noProof/>
        </w:rPr>
        <w:t xml:space="preserve"> </w:t>
      </w:r>
      <w:r w:rsidRPr="00F500D4">
        <w:rPr>
          <w:rFonts w:ascii="Times New Roman" w:hAnsi="Times New Roman" w:cs="Times New Roman"/>
          <w:iCs/>
          <w:noProof/>
        </w:rPr>
        <w:t>35</w:t>
      </w:r>
      <w:r w:rsidRPr="003E489B">
        <w:rPr>
          <w:rFonts w:ascii="Times New Roman" w:hAnsi="Times New Roman" w:cs="Times New Roman"/>
          <w:noProof/>
        </w:rPr>
        <w:t xml:space="preserve">(1), 17-24. </w:t>
      </w:r>
      <w:hyperlink r:id="rId11"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.org/10.1016/j.jbtep.2004.02.001 </w:t>
      </w:r>
    </w:p>
    <w:p w14:paraId="06AC6E8F" w14:textId="4E0C42D8"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Bluett, E. J., Homan, K. J., Morrison, K. L., Levin, M. E., &amp; Twohig, M. P. (2014). Acceptance and commitment therapy for anxiety and OCD spectrum disorders: an empirical review. </w:t>
      </w:r>
      <w:r w:rsidRPr="003E489B">
        <w:rPr>
          <w:rFonts w:ascii="Times New Roman" w:hAnsi="Times New Roman" w:cs="Times New Roman"/>
          <w:i/>
          <w:noProof/>
        </w:rPr>
        <w:t>Journal of Anxiety Disorders, 28</w:t>
      </w:r>
      <w:r w:rsidRPr="003E489B">
        <w:rPr>
          <w:rFonts w:ascii="Times New Roman" w:hAnsi="Times New Roman" w:cs="Times New Roman"/>
          <w:noProof/>
        </w:rPr>
        <w:t xml:space="preserve">(6), 612-624. </w:t>
      </w:r>
      <w:hyperlink r:id="rId12"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.org/10.1016/j.janxdis.2014.06.008 </w:t>
      </w:r>
    </w:p>
    <w:p w14:paraId="201A1B2C" w14:textId="37B5A03F"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lastRenderedPageBreak/>
        <w:t xml:space="preserve">Bond, F. W., Hayes, S. C., Baer, R. A., Carpenter, K. M., Guenole, N., Orcutt, H. K., Waltz, T., &amp; Zettle, R. D. (2011). Preliminary psychometric properties of the </w:t>
      </w:r>
      <w:r w:rsidR="00557E4B">
        <w:rPr>
          <w:rFonts w:ascii="Times New Roman" w:hAnsi="Times New Roman" w:cs="Times New Roman"/>
          <w:noProof/>
        </w:rPr>
        <w:t>a</w:t>
      </w:r>
      <w:r w:rsidRPr="003E489B">
        <w:rPr>
          <w:rFonts w:ascii="Times New Roman" w:hAnsi="Times New Roman" w:cs="Times New Roman"/>
          <w:noProof/>
        </w:rPr>
        <w:t xml:space="preserve">cceptance and </w:t>
      </w:r>
      <w:r w:rsidR="00557E4B">
        <w:rPr>
          <w:rFonts w:ascii="Times New Roman" w:hAnsi="Times New Roman" w:cs="Times New Roman"/>
          <w:noProof/>
        </w:rPr>
        <w:t>a</w:t>
      </w:r>
      <w:r w:rsidRPr="003E489B">
        <w:rPr>
          <w:rFonts w:ascii="Times New Roman" w:hAnsi="Times New Roman" w:cs="Times New Roman"/>
          <w:noProof/>
        </w:rPr>
        <w:t xml:space="preserve">ction </w:t>
      </w:r>
      <w:r w:rsidR="00557E4B">
        <w:rPr>
          <w:rFonts w:ascii="Times New Roman" w:hAnsi="Times New Roman" w:cs="Times New Roman"/>
          <w:noProof/>
        </w:rPr>
        <w:t>q</w:t>
      </w:r>
      <w:r w:rsidRPr="003E489B">
        <w:rPr>
          <w:rFonts w:ascii="Times New Roman" w:hAnsi="Times New Roman" w:cs="Times New Roman"/>
          <w:noProof/>
        </w:rPr>
        <w:t xml:space="preserve">uestionnaire-II: A revised measure of psychological inflexibility and experiential avoidance. </w:t>
      </w:r>
      <w:r w:rsidRPr="003E489B">
        <w:rPr>
          <w:rFonts w:ascii="Times New Roman" w:hAnsi="Times New Roman" w:cs="Times New Roman"/>
          <w:i/>
          <w:noProof/>
        </w:rPr>
        <w:t>Behavior Therapy, 42</w:t>
      </w:r>
      <w:r w:rsidRPr="003E489B">
        <w:rPr>
          <w:rFonts w:ascii="Times New Roman" w:hAnsi="Times New Roman" w:cs="Times New Roman"/>
          <w:noProof/>
        </w:rPr>
        <w:t xml:space="preserve">(4), 676-688. </w:t>
      </w:r>
      <w:hyperlink r:id="rId13"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.org/10.1016/j.beth.2011.03.007 </w:t>
      </w:r>
    </w:p>
    <w:p w14:paraId="24913BCE" w14:textId="2DE29F4B"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Bricker, J., Wyszynski, C., Comstock, B., &amp; Heffner, J. L. (2013. Pilot randomized controlled trial of web-based acceptance and commitment therapy for smoking cessation. </w:t>
      </w:r>
      <w:r w:rsidRPr="003E489B">
        <w:rPr>
          <w:rFonts w:ascii="Times New Roman" w:hAnsi="Times New Roman" w:cs="Times New Roman"/>
          <w:i/>
          <w:noProof/>
        </w:rPr>
        <w:t>Nicotine &amp; Tobacco Research, 15</w:t>
      </w:r>
      <w:r w:rsidRPr="003E489B">
        <w:rPr>
          <w:rFonts w:ascii="Times New Roman" w:hAnsi="Times New Roman" w:cs="Times New Roman"/>
          <w:noProof/>
        </w:rPr>
        <w:t xml:space="preserve">(10), 1756-1764. </w:t>
      </w:r>
      <w:hyperlink r:id="rId14"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.org/10.1093/ntr/ntt056 </w:t>
      </w:r>
    </w:p>
    <w:p w14:paraId="72B018FC" w14:textId="61626462"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Buckhardt, C. S., &amp; Anderson, E. R. (2003). The </w:t>
      </w:r>
      <w:r w:rsidR="004A0F26">
        <w:rPr>
          <w:rFonts w:ascii="Times New Roman" w:hAnsi="Times New Roman" w:cs="Times New Roman"/>
          <w:noProof/>
        </w:rPr>
        <w:t>q</w:t>
      </w:r>
      <w:r w:rsidRPr="003E489B">
        <w:rPr>
          <w:rFonts w:ascii="Times New Roman" w:hAnsi="Times New Roman" w:cs="Times New Roman"/>
          <w:noProof/>
        </w:rPr>
        <w:t xml:space="preserve">uality of </w:t>
      </w:r>
      <w:r w:rsidR="004A0F26">
        <w:rPr>
          <w:rFonts w:ascii="Times New Roman" w:hAnsi="Times New Roman" w:cs="Times New Roman"/>
          <w:noProof/>
        </w:rPr>
        <w:t>l</w:t>
      </w:r>
      <w:r w:rsidRPr="003E489B">
        <w:rPr>
          <w:rFonts w:ascii="Times New Roman" w:hAnsi="Times New Roman" w:cs="Times New Roman"/>
          <w:noProof/>
        </w:rPr>
        <w:t xml:space="preserve">ife </w:t>
      </w:r>
      <w:r w:rsidR="004A0F26">
        <w:rPr>
          <w:rFonts w:ascii="Times New Roman" w:hAnsi="Times New Roman" w:cs="Times New Roman"/>
          <w:noProof/>
        </w:rPr>
        <w:t>s</w:t>
      </w:r>
      <w:r w:rsidRPr="003E489B">
        <w:rPr>
          <w:rFonts w:ascii="Times New Roman" w:hAnsi="Times New Roman" w:cs="Times New Roman"/>
          <w:noProof/>
        </w:rPr>
        <w:t xml:space="preserve">cale (QOLS): </w:t>
      </w:r>
      <w:r w:rsidR="00AE207E">
        <w:rPr>
          <w:rFonts w:ascii="Times New Roman" w:hAnsi="Times New Roman" w:cs="Times New Roman"/>
          <w:noProof/>
        </w:rPr>
        <w:t>R</w:t>
      </w:r>
      <w:r w:rsidRPr="003E489B">
        <w:rPr>
          <w:rFonts w:ascii="Times New Roman" w:hAnsi="Times New Roman" w:cs="Times New Roman"/>
          <w:noProof/>
        </w:rPr>
        <w:t xml:space="preserve">eliability, validity, and utilization. </w:t>
      </w:r>
      <w:r w:rsidRPr="003E489B">
        <w:rPr>
          <w:rFonts w:ascii="Times New Roman" w:hAnsi="Times New Roman" w:cs="Times New Roman"/>
          <w:i/>
          <w:noProof/>
        </w:rPr>
        <w:t xml:space="preserve">Health </w:t>
      </w:r>
      <w:r w:rsidR="00C9078D">
        <w:rPr>
          <w:rFonts w:ascii="Times New Roman" w:hAnsi="Times New Roman" w:cs="Times New Roman"/>
          <w:i/>
          <w:noProof/>
        </w:rPr>
        <w:t>Qu</w:t>
      </w:r>
      <w:r w:rsidR="00C9078D" w:rsidRPr="003E489B">
        <w:rPr>
          <w:rFonts w:ascii="Times New Roman" w:hAnsi="Times New Roman" w:cs="Times New Roman"/>
          <w:i/>
          <w:noProof/>
        </w:rPr>
        <w:t xml:space="preserve">ality </w:t>
      </w:r>
      <w:r w:rsidRPr="003E489B">
        <w:rPr>
          <w:rFonts w:ascii="Times New Roman" w:hAnsi="Times New Roman" w:cs="Times New Roman"/>
          <w:i/>
          <w:noProof/>
        </w:rPr>
        <w:t>Life Outcomes 1</w:t>
      </w:r>
      <w:r w:rsidRPr="003E489B">
        <w:rPr>
          <w:rFonts w:ascii="Times New Roman" w:hAnsi="Times New Roman" w:cs="Times New Roman"/>
          <w:noProof/>
        </w:rPr>
        <w:t xml:space="preserve">(60). </w:t>
      </w:r>
      <w:hyperlink r:id="rId15"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.org/10.1186/1477-7525-1-60 </w:t>
      </w:r>
    </w:p>
    <w:p w14:paraId="56A3008B" w14:textId="13FB39B5" w:rsidR="004A0F26"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Christenson, G. A., Mackenzie, T. B., &amp; Mitchell, J. E. (1991). Characteristics of 60 adult hair pullers. </w:t>
      </w:r>
      <w:r w:rsidRPr="003E489B">
        <w:rPr>
          <w:rFonts w:ascii="Times New Roman" w:hAnsi="Times New Roman" w:cs="Times New Roman"/>
          <w:i/>
          <w:noProof/>
        </w:rPr>
        <w:t>The American Journal of Psychiatry</w:t>
      </w:r>
      <w:r w:rsidR="00F500D4">
        <w:rPr>
          <w:rFonts w:ascii="Times New Roman" w:hAnsi="Times New Roman" w:cs="Times New Roman"/>
          <w:noProof/>
        </w:rPr>
        <w:t xml:space="preserve">, </w:t>
      </w:r>
      <w:r w:rsidR="00F500D4">
        <w:rPr>
          <w:rFonts w:ascii="Times New Roman" w:hAnsi="Times New Roman" w:cs="Times New Roman"/>
          <w:i/>
          <w:iCs/>
          <w:noProof/>
        </w:rPr>
        <w:t xml:space="preserve">148 </w:t>
      </w:r>
      <w:r w:rsidR="00F500D4">
        <w:rPr>
          <w:rFonts w:ascii="Times New Roman" w:hAnsi="Times New Roman" w:cs="Times New Roman"/>
          <w:noProof/>
        </w:rPr>
        <w:t>(3), 3665-370.</w:t>
      </w:r>
      <w:r w:rsidRPr="003E489B">
        <w:rPr>
          <w:rFonts w:ascii="Times New Roman" w:hAnsi="Times New Roman" w:cs="Times New Roman"/>
          <w:noProof/>
        </w:rPr>
        <w:t xml:space="preserve"> </w:t>
      </w:r>
      <w:hyperlink r:id="rId16"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.org/10.1176/ajp.148.3.365 </w:t>
      </w:r>
    </w:p>
    <w:p w14:paraId="08344232" w14:textId="3EB14F5B" w:rsidR="004A0F26" w:rsidRPr="004E680A" w:rsidRDefault="00584597" w:rsidP="00F80176">
      <w:pPr>
        <w:pStyle w:val="EndNoteBibliography"/>
        <w:spacing w:line="480" w:lineRule="auto"/>
        <w:ind w:left="720" w:hanging="720"/>
        <w:rPr>
          <w:rFonts w:ascii="Times New Roman" w:hAnsi="Times New Roman" w:cs="Times New Roman"/>
        </w:rPr>
      </w:pPr>
      <w:r w:rsidRPr="004E680A">
        <w:rPr>
          <w:rFonts w:ascii="Times New Roman" w:hAnsi="Times New Roman" w:cs="Times New Roman"/>
          <w:noProof/>
        </w:rPr>
        <w:t xml:space="preserve">Christenson, G.A., MacKenzie, T.B., Mitchell, J.E. (1994). Adult </w:t>
      </w:r>
      <w:r w:rsidR="004A0F26" w:rsidRPr="004E680A">
        <w:rPr>
          <w:rFonts w:ascii="Times New Roman" w:hAnsi="Times New Roman" w:cs="Times New Roman"/>
          <w:noProof/>
        </w:rPr>
        <w:t>m</w:t>
      </w:r>
      <w:r w:rsidRPr="004E680A">
        <w:rPr>
          <w:rFonts w:ascii="Times New Roman" w:hAnsi="Times New Roman" w:cs="Times New Roman"/>
          <w:noProof/>
        </w:rPr>
        <w:t xml:space="preserve">en and </w:t>
      </w:r>
      <w:r w:rsidR="004A0F26" w:rsidRPr="004E680A">
        <w:rPr>
          <w:rFonts w:ascii="Times New Roman" w:hAnsi="Times New Roman" w:cs="Times New Roman"/>
          <w:noProof/>
        </w:rPr>
        <w:t>w</w:t>
      </w:r>
      <w:r w:rsidRPr="004E680A">
        <w:rPr>
          <w:rFonts w:ascii="Times New Roman" w:hAnsi="Times New Roman" w:cs="Times New Roman"/>
          <w:noProof/>
        </w:rPr>
        <w:t xml:space="preserve">omen </w:t>
      </w:r>
      <w:r w:rsidR="004A0F26" w:rsidRPr="004E680A">
        <w:rPr>
          <w:rFonts w:ascii="Times New Roman" w:hAnsi="Times New Roman" w:cs="Times New Roman"/>
          <w:noProof/>
        </w:rPr>
        <w:t>w</w:t>
      </w:r>
      <w:r w:rsidRPr="004E680A">
        <w:rPr>
          <w:rFonts w:ascii="Times New Roman" w:hAnsi="Times New Roman" w:cs="Times New Roman"/>
          <w:noProof/>
        </w:rPr>
        <w:t xml:space="preserve">ith </w:t>
      </w:r>
      <w:r w:rsidR="004A0F26" w:rsidRPr="004E680A">
        <w:rPr>
          <w:rFonts w:ascii="Times New Roman" w:hAnsi="Times New Roman" w:cs="Times New Roman"/>
          <w:noProof/>
        </w:rPr>
        <w:t>t</w:t>
      </w:r>
      <w:r w:rsidRPr="004E680A">
        <w:rPr>
          <w:rFonts w:ascii="Times New Roman" w:hAnsi="Times New Roman" w:cs="Times New Roman"/>
          <w:noProof/>
        </w:rPr>
        <w:t xml:space="preserve">richotilomania: A </w:t>
      </w:r>
      <w:r w:rsidR="004A0F26" w:rsidRPr="004E680A">
        <w:rPr>
          <w:rFonts w:ascii="Times New Roman" w:hAnsi="Times New Roman" w:cs="Times New Roman"/>
          <w:noProof/>
        </w:rPr>
        <w:t>c</w:t>
      </w:r>
      <w:r w:rsidRPr="004E680A">
        <w:rPr>
          <w:rFonts w:ascii="Times New Roman" w:hAnsi="Times New Roman" w:cs="Times New Roman"/>
          <w:noProof/>
        </w:rPr>
        <w:t xml:space="preserve">omparison of </w:t>
      </w:r>
      <w:r w:rsidR="004A0F26" w:rsidRPr="004E680A">
        <w:rPr>
          <w:rFonts w:ascii="Times New Roman" w:hAnsi="Times New Roman" w:cs="Times New Roman"/>
          <w:noProof/>
        </w:rPr>
        <w:t>m</w:t>
      </w:r>
      <w:r w:rsidRPr="004E680A">
        <w:rPr>
          <w:rFonts w:ascii="Times New Roman" w:hAnsi="Times New Roman" w:cs="Times New Roman"/>
          <w:noProof/>
        </w:rPr>
        <w:t xml:space="preserve">ale and </w:t>
      </w:r>
      <w:r w:rsidR="004A0F26" w:rsidRPr="004E680A">
        <w:rPr>
          <w:rFonts w:ascii="Times New Roman" w:hAnsi="Times New Roman" w:cs="Times New Roman"/>
          <w:noProof/>
        </w:rPr>
        <w:t>f</w:t>
      </w:r>
      <w:r w:rsidRPr="004E680A">
        <w:rPr>
          <w:rFonts w:ascii="Times New Roman" w:hAnsi="Times New Roman" w:cs="Times New Roman"/>
          <w:noProof/>
        </w:rPr>
        <w:t xml:space="preserve">emale </w:t>
      </w:r>
      <w:r w:rsidR="004A0F26" w:rsidRPr="004E680A">
        <w:rPr>
          <w:rFonts w:ascii="Times New Roman" w:hAnsi="Times New Roman" w:cs="Times New Roman"/>
          <w:noProof/>
        </w:rPr>
        <w:t>c</w:t>
      </w:r>
      <w:r w:rsidRPr="004E680A">
        <w:rPr>
          <w:rFonts w:ascii="Times New Roman" w:hAnsi="Times New Roman" w:cs="Times New Roman"/>
          <w:noProof/>
        </w:rPr>
        <w:t>haracteristics</w:t>
      </w:r>
      <w:r w:rsidR="00F500D4">
        <w:rPr>
          <w:rFonts w:ascii="Times New Roman" w:hAnsi="Times New Roman" w:cs="Times New Roman"/>
          <w:noProof/>
        </w:rPr>
        <w:t xml:space="preserve">. </w:t>
      </w:r>
      <w:r w:rsidR="00CB3506">
        <w:rPr>
          <w:rFonts w:ascii="Times New Roman" w:hAnsi="Times New Roman" w:cs="Times New Roman"/>
          <w:i/>
          <w:iCs/>
          <w:noProof/>
        </w:rPr>
        <w:t>Psychosomatics,</w:t>
      </w:r>
      <w:r w:rsidRPr="00F500D4">
        <w:rPr>
          <w:rFonts w:ascii="Times New Roman" w:hAnsi="Times New Roman" w:cs="Times New Roman"/>
          <w:i/>
          <w:iCs/>
          <w:noProof/>
        </w:rPr>
        <w:t>.</w:t>
      </w:r>
      <w:r w:rsidRPr="004E680A">
        <w:rPr>
          <w:rFonts w:ascii="Times New Roman" w:hAnsi="Times New Roman" w:cs="Times New Roman"/>
          <w:noProof/>
        </w:rPr>
        <w:t xml:space="preserve"> </w:t>
      </w:r>
      <w:r w:rsidR="00CB3506">
        <w:rPr>
          <w:rFonts w:ascii="Times New Roman" w:hAnsi="Times New Roman" w:cs="Times New Roman"/>
          <w:noProof/>
        </w:rPr>
        <w:t>35 (2),</w:t>
      </w:r>
      <w:r w:rsidR="00F500D4" w:rsidRPr="004E680A">
        <w:rPr>
          <w:rFonts w:ascii="Times New Roman" w:hAnsi="Times New Roman" w:cs="Times New Roman"/>
          <w:noProof/>
        </w:rPr>
        <w:t xml:space="preserve"> </w:t>
      </w:r>
      <w:r w:rsidRPr="004E680A">
        <w:rPr>
          <w:rFonts w:ascii="Times New Roman" w:hAnsi="Times New Roman" w:cs="Times New Roman"/>
          <w:noProof/>
        </w:rPr>
        <w:t>142-149.</w:t>
      </w:r>
      <w:r w:rsidR="004A0F26" w:rsidRPr="004E680A">
        <w:rPr>
          <w:rFonts w:ascii="Times New Roman" w:hAnsi="Times New Roman" w:cs="Times New Roman"/>
        </w:rPr>
        <w:t xml:space="preserve"> </w:t>
      </w:r>
      <w:hyperlink r:id="rId17" w:history="1">
        <w:r w:rsidR="001D5E65" w:rsidRPr="004E1788">
          <w:rPr>
            <w:rStyle w:val="Hyperlink"/>
            <w:rFonts w:ascii="Times New Roman" w:hAnsi="Times New Roman" w:cs="Times New Roman"/>
          </w:rPr>
          <w:t>https://doi</w:t>
        </w:r>
      </w:hyperlink>
      <w:r w:rsidR="00D32881" w:rsidRPr="004E680A">
        <w:rPr>
          <w:rFonts w:ascii="Times New Roman" w:hAnsi="Times New Roman" w:cs="Times New Roman"/>
          <w:color w:val="FF6C00"/>
          <w:u w:val="single"/>
        </w:rPr>
        <w:t>.org/10.1016/S0033-3182(94)71788-6</w:t>
      </w:r>
    </w:p>
    <w:p w14:paraId="7BCC81FA" w14:textId="677A13B9"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Christenson, G. A., &amp; Mansueto, C. S. (1999). Trichotillomania: Descriptive characteristics and phenomenology. In D. J. Stein, G. A. Christenson, &amp; E. Hollander (Eds.), </w:t>
      </w:r>
      <w:r w:rsidRPr="003E489B">
        <w:rPr>
          <w:rFonts w:ascii="Times New Roman" w:hAnsi="Times New Roman" w:cs="Times New Roman"/>
          <w:i/>
          <w:noProof/>
        </w:rPr>
        <w:t>Trichotillomania</w:t>
      </w:r>
      <w:r w:rsidR="0081363A">
        <w:rPr>
          <w:rFonts w:ascii="Times New Roman" w:hAnsi="Times New Roman" w:cs="Times New Roman"/>
          <w:noProof/>
        </w:rPr>
        <w:t xml:space="preserve">. </w:t>
      </w:r>
      <w:r w:rsidRPr="003E489B">
        <w:rPr>
          <w:rFonts w:ascii="Times New Roman" w:hAnsi="Times New Roman" w:cs="Times New Roman"/>
          <w:noProof/>
        </w:rPr>
        <w:t xml:space="preserve">American Psychiatric Press. </w:t>
      </w:r>
      <w:r w:rsidR="0081363A" w:rsidRPr="003E489B">
        <w:rPr>
          <w:rFonts w:ascii="Times New Roman" w:hAnsi="Times New Roman" w:cs="Times New Roman"/>
          <w:noProof/>
        </w:rPr>
        <w:t xml:space="preserve">1-42. </w:t>
      </w:r>
      <w:hyperlink r:id="rId18" w:history="1">
        <w:r w:rsidR="001D5E65" w:rsidRPr="004E1788">
          <w:rPr>
            <w:rStyle w:val="Hyperlink"/>
            <w:rFonts w:ascii="Times New Roman" w:hAnsi="Times New Roman" w:cs="Times New Roman"/>
            <w:noProof/>
          </w:rPr>
          <w:t>https://doi</w:t>
        </w:r>
      </w:hyperlink>
      <w:r>
        <w:rPr>
          <w:rFonts w:ascii="Times New Roman" w:hAnsi="Times New Roman" w:cs="Times New Roman"/>
          <w:noProof/>
        </w:rPr>
        <w:t>.org/10.1176/appi.ajp.2016.15111432</w:t>
      </w:r>
    </w:p>
    <w:p w14:paraId="6FA33D8B" w14:textId="571CE252"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Crosby, J. M., Dehlin, J. P., Mitchell, P. R., &amp; Twohig, M. P. (2012). Acceptance and commitment therapy and habit reversal training for the treatment of trichotillomania. </w:t>
      </w:r>
      <w:r w:rsidRPr="003E489B">
        <w:rPr>
          <w:rFonts w:ascii="Times New Roman" w:hAnsi="Times New Roman" w:cs="Times New Roman"/>
          <w:i/>
          <w:noProof/>
        </w:rPr>
        <w:lastRenderedPageBreak/>
        <w:t>Cognitive and Behavioral Practice, 19</w:t>
      </w:r>
      <w:r w:rsidRPr="003E489B">
        <w:rPr>
          <w:rFonts w:ascii="Times New Roman" w:hAnsi="Times New Roman" w:cs="Times New Roman"/>
          <w:noProof/>
        </w:rPr>
        <w:t xml:space="preserve">(4), 595-605. </w:t>
      </w:r>
      <w:hyperlink r:id="rId19"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.org/10.1016/j.cbpra.2012.02.002 </w:t>
      </w:r>
    </w:p>
    <w:p w14:paraId="647CE2B9" w14:textId="3EC53EE3"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Duke, D. C., Keeley, M. L., Geffken, G. R., &amp; Storch, E. A. (2010). Trichotillomania: A current review. </w:t>
      </w:r>
      <w:r w:rsidRPr="003E489B">
        <w:rPr>
          <w:rFonts w:ascii="Times New Roman" w:hAnsi="Times New Roman" w:cs="Times New Roman"/>
          <w:i/>
          <w:noProof/>
        </w:rPr>
        <w:t>Clinical Psychology Review, 30</w:t>
      </w:r>
      <w:r w:rsidRPr="003E489B">
        <w:rPr>
          <w:rFonts w:ascii="Times New Roman" w:hAnsi="Times New Roman" w:cs="Times New Roman"/>
          <w:noProof/>
        </w:rPr>
        <w:t xml:space="preserve">(2), 181-193. </w:t>
      </w:r>
      <w:hyperlink r:id="rId20"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.org/10.1016/j.cpr.2009.10.008 </w:t>
      </w:r>
    </w:p>
    <w:p w14:paraId="2612BC55" w14:textId="7A72B781"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Faul, F., Erdfelder, E., Lang, A. G., &amp; Buchner, A. (2007</w:t>
      </w:r>
      <w:r>
        <w:rPr>
          <w:rFonts w:ascii="Times New Roman" w:hAnsi="Times New Roman" w:cs="Times New Roman"/>
          <w:noProof/>
        </w:rPr>
        <w:t xml:space="preserve">). </w:t>
      </w:r>
      <w:r w:rsidRPr="003E489B">
        <w:rPr>
          <w:rFonts w:ascii="Times New Roman" w:hAnsi="Times New Roman" w:cs="Times New Roman"/>
          <w:noProof/>
        </w:rPr>
        <w:t>G</w:t>
      </w:r>
      <w:r w:rsidR="001D5E65" w:rsidRPr="003E489B">
        <w:rPr>
          <w:rFonts w:ascii="Times New Roman" w:hAnsi="Times New Roman" w:cs="Times New Roman"/>
          <w:noProof/>
        </w:rPr>
        <w:t>p</w:t>
      </w:r>
      <w:r w:rsidRPr="003E489B">
        <w:rPr>
          <w:rFonts w:ascii="Times New Roman" w:hAnsi="Times New Roman" w:cs="Times New Roman"/>
          <w:noProof/>
        </w:rPr>
        <w:t xml:space="preserve">ower 3: A flexible statistical power analysis program for the social, behavioral, and biomedical sciences. </w:t>
      </w:r>
      <w:r w:rsidRPr="003E489B">
        <w:rPr>
          <w:rFonts w:ascii="Times New Roman" w:hAnsi="Times New Roman" w:cs="Times New Roman"/>
          <w:i/>
          <w:noProof/>
        </w:rPr>
        <w:t>Behavior Research Methods, 39</w:t>
      </w:r>
      <w:r w:rsidRPr="003E489B">
        <w:rPr>
          <w:rFonts w:ascii="Times New Roman" w:hAnsi="Times New Roman" w:cs="Times New Roman"/>
          <w:noProof/>
        </w:rPr>
        <w:t xml:space="preserve">(2), 175-191. </w:t>
      </w:r>
      <w:hyperlink r:id="rId21"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.org/10.3758/BF03193146 </w:t>
      </w:r>
    </w:p>
    <w:p w14:paraId="37CFDCA6" w14:textId="33965F4C" w:rsidR="00584597"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Fiorillo, D., McLean, C., Pistorello, J., Hayes, S. C., &amp; Follette, V. M. (2017). Evaluation of a web-based acceptance and commitment therapy program for women with trauma-related problems: A pilot study. </w:t>
      </w:r>
      <w:r w:rsidRPr="003E489B">
        <w:rPr>
          <w:rFonts w:ascii="Times New Roman" w:hAnsi="Times New Roman" w:cs="Times New Roman"/>
          <w:i/>
          <w:noProof/>
        </w:rPr>
        <w:t>Journal of Contextual Behavioral Science, 6</w:t>
      </w:r>
      <w:r w:rsidRPr="003E489B">
        <w:rPr>
          <w:rFonts w:ascii="Times New Roman" w:hAnsi="Times New Roman" w:cs="Times New Roman"/>
          <w:noProof/>
        </w:rPr>
        <w:t xml:space="preserve">(1), 104-113. </w:t>
      </w:r>
      <w:hyperlink r:id="rId22"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.org/10.1016/j.jcbs.2016.11.003 </w:t>
      </w:r>
    </w:p>
    <w:p w14:paraId="21172EE0" w14:textId="0E1F164A" w:rsidR="001E16F8" w:rsidRDefault="001E16F8" w:rsidP="00F80176">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Firth, J., Torous, J., Nicholas, J., Carney, R., Rosenbaum, S., Sarris, J. (</w:t>
      </w:r>
      <w:r w:rsidR="00A86109">
        <w:rPr>
          <w:rFonts w:ascii="Times New Roman" w:hAnsi="Times New Roman" w:cs="Times New Roman"/>
          <w:noProof/>
        </w:rPr>
        <w:t xml:space="preserve">2017). Can smartphone mental health interventions reduce symptoms of anxiety? A meta-analysis of randomized controlled trials. </w:t>
      </w:r>
      <w:r w:rsidR="00A86109">
        <w:rPr>
          <w:rFonts w:ascii="Times New Roman" w:hAnsi="Times New Roman" w:cs="Times New Roman"/>
          <w:i/>
          <w:iCs/>
          <w:noProof/>
        </w:rPr>
        <w:t xml:space="preserve">Journal of Affective Disorders, </w:t>
      </w:r>
      <w:r w:rsidR="00A86109">
        <w:rPr>
          <w:rFonts w:ascii="Times New Roman" w:hAnsi="Times New Roman" w:cs="Times New Roman"/>
          <w:noProof/>
        </w:rPr>
        <w:t xml:space="preserve">218, 15-22. </w:t>
      </w:r>
    </w:p>
    <w:p w14:paraId="59A6C895" w14:textId="5718D999" w:rsidR="00A86109" w:rsidRPr="00D32881" w:rsidRDefault="00000000" w:rsidP="00D32881">
      <w:pPr>
        <w:spacing w:line="480" w:lineRule="auto"/>
        <w:ind w:firstLine="720"/>
        <w:rPr>
          <w:noProof/>
        </w:rPr>
      </w:pPr>
      <w:hyperlink r:id="rId23" w:history="1">
        <w:r w:rsidR="001D5E65" w:rsidRPr="004E1788">
          <w:rPr>
            <w:rStyle w:val="Hyperlink"/>
          </w:rPr>
          <w:t>https://doi</w:t>
        </w:r>
      </w:hyperlink>
      <w:r w:rsidR="00D32881" w:rsidRPr="00A30371">
        <w:t>.org/10.1016/j.jad.2017.04.046</w:t>
      </w:r>
    </w:p>
    <w:p w14:paraId="7D6FE632" w14:textId="387F6E29" w:rsidR="00584597" w:rsidRPr="003E489B" w:rsidRDefault="00584597" w:rsidP="0081363A">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Flessner, C. A., Busch, A. M., Heideman, P. W., &amp; Woods, D. W. (2008). Acceptance-enhanced behavior therapy (AEBT) for trichotillomania and chronic skin picking: Exploring the effects of component sequencing. </w:t>
      </w:r>
      <w:r w:rsidRPr="003E489B">
        <w:rPr>
          <w:rFonts w:ascii="Times New Roman" w:hAnsi="Times New Roman" w:cs="Times New Roman"/>
          <w:i/>
          <w:noProof/>
        </w:rPr>
        <w:t>Behavior Modification, 32</w:t>
      </w:r>
      <w:r w:rsidRPr="003E489B">
        <w:rPr>
          <w:rFonts w:ascii="Times New Roman" w:hAnsi="Times New Roman" w:cs="Times New Roman"/>
          <w:noProof/>
        </w:rPr>
        <w:t xml:space="preserve">(5), 579-594. </w:t>
      </w:r>
      <w:hyperlink r:id="rId24"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.org/10.1177/0145445507313800 </w:t>
      </w:r>
    </w:p>
    <w:p w14:paraId="48DF08C5" w14:textId="357A15B3"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Flessner, C. A., Conelea, C. A., Woods, D. W., Franklin, M. E., Keuthen, N. J., &amp; Cashin, S. E. (2008). Styles of pulling in trichotillomania: </w:t>
      </w:r>
      <w:r w:rsidR="00D32881">
        <w:rPr>
          <w:rFonts w:ascii="Times New Roman" w:hAnsi="Times New Roman" w:cs="Times New Roman"/>
          <w:noProof/>
        </w:rPr>
        <w:t>E</w:t>
      </w:r>
      <w:r w:rsidRPr="003E489B">
        <w:rPr>
          <w:rFonts w:ascii="Times New Roman" w:hAnsi="Times New Roman" w:cs="Times New Roman"/>
          <w:noProof/>
        </w:rPr>
        <w:t xml:space="preserve">xploring differences in symptom severity, </w:t>
      </w:r>
      <w:r w:rsidRPr="003E489B">
        <w:rPr>
          <w:rFonts w:ascii="Times New Roman" w:hAnsi="Times New Roman" w:cs="Times New Roman"/>
          <w:noProof/>
        </w:rPr>
        <w:lastRenderedPageBreak/>
        <w:t xml:space="preserve">phenomenology, and functional impact. </w:t>
      </w:r>
      <w:r w:rsidRPr="003E489B">
        <w:rPr>
          <w:rFonts w:ascii="Times New Roman" w:hAnsi="Times New Roman" w:cs="Times New Roman"/>
          <w:i/>
          <w:noProof/>
        </w:rPr>
        <w:t>Behaviour Research and Therapy, 46</w:t>
      </w:r>
      <w:r w:rsidRPr="003E489B">
        <w:rPr>
          <w:rFonts w:ascii="Times New Roman" w:hAnsi="Times New Roman" w:cs="Times New Roman"/>
          <w:noProof/>
        </w:rPr>
        <w:t xml:space="preserve">(3), 345-357. </w:t>
      </w:r>
      <w:hyperlink r:id="rId25"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.org/10.1016/j.brat.2007.12.009 </w:t>
      </w:r>
    </w:p>
    <w:p w14:paraId="2F604A1B"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Fox, J., &amp; Weisberg, S. (2019). </w:t>
      </w:r>
      <w:r w:rsidRPr="003E489B">
        <w:rPr>
          <w:rFonts w:ascii="Times New Roman" w:hAnsi="Times New Roman" w:cs="Times New Roman"/>
          <w:i/>
          <w:noProof/>
        </w:rPr>
        <w:t>An R Companion to aplied regression (3</w:t>
      </w:r>
      <w:r w:rsidRPr="00A445CC">
        <w:rPr>
          <w:rFonts w:ascii="Times New Roman" w:hAnsi="Times New Roman" w:cs="Times New Roman"/>
          <w:i/>
          <w:noProof/>
          <w:vertAlign w:val="superscript"/>
        </w:rPr>
        <w:t>rd</w:t>
      </w:r>
      <w:r w:rsidRPr="003E489B">
        <w:rPr>
          <w:rFonts w:ascii="Times New Roman" w:hAnsi="Times New Roman" w:cs="Times New Roman"/>
          <w:i/>
          <w:noProof/>
        </w:rPr>
        <w:t xml:space="preserve"> ed.)</w:t>
      </w:r>
      <w:r w:rsidRPr="003E489B">
        <w:rPr>
          <w:rFonts w:ascii="Times New Roman" w:hAnsi="Times New Roman" w:cs="Times New Roman"/>
          <w:noProof/>
        </w:rPr>
        <w:t xml:space="preserve">. Sage. </w:t>
      </w:r>
    </w:p>
    <w:p w14:paraId="1C07ADCD" w14:textId="3F95CD63"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Grant, J. E., &amp; Chamberlain, S. R. (2021). Automatic and focused hair pulling in trichotillomania: Valid and useful subtypes? </w:t>
      </w:r>
      <w:r w:rsidRPr="003E489B">
        <w:rPr>
          <w:rFonts w:ascii="Times New Roman" w:hAnsi="Times New Roman" w:cs="Times New Roman"/>
          <w:i/>
          <w:noProof/>
        </w:rPr>
        <w:t xml:space="preserve">Psychiatry Research, </w:t>
      </w:r>
      <w:r w:rsidRPr="0081363A">
        <w:rPr>
          <w:rFonts w:ascii="Times New Roman" w:hAnsi="Times New Roman" w:cs="Times New Roman"/>
          <w:iCs/>
          <w:noProof/>
        </w:rPr>
        <w:t xml:space="preserve">306. </w:t>
      </w:r>
      <w:hyperlink r:id="rId26"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.org/10.1016/j.psychres.2021.114269 </w:t>
      </w:r>
    </w:p>
    <w:p w14:paraId="6DA34997" w14:textId="5BB0EBF6"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Grant, J. E., Dougherty, D. D., &amp; Chamberlain, S. R. (2020). Prevalence, gender correlates, and co-morbidity of trichotillomania. </w:t>
      </w:r>
      <w:r w:rsidRPr="003E489B">
        <w:rPr>
          <w:rFonts w:ascii="Times New Roman" w:hAnsi="Times New Roman" w:cs="Times New Roman"/>
          <w:i/>
          <w:noProof/>
        </w:rPr>
        <w:t xml:space="preserve">Psychiatry Research, </w:t>
      </w:r>
      <w:r w:rsidRPr="0081363A">
        <w:rPr>
          <w:rFonts w:ascii="Times New Roman" w:hAnsi="Times New Roman" w:cs="Times New Roman"/>
          <w:iCs/>
          <w:noProof/>
        </w:rPr>
        <w:t>288</w:t>
      </w:r>
      <w:r w:rsidR="0081363A" w:rsidRPr="0081363A">
        <w:rPr>
          <w:rFonts w:ascii="Times New Roman" w:hAnsi="Times New Roman" w:cs="Times New Roman"/>
          <w:iCs/>
          <w:noProof/>
        </w:rPr>
        <w:t>.</w:t>
      </w:r>
      <w:r w:rsidR="0081363A">
        <w:rPr>
          <w:rFonts w:ascii="Times New Roman" w:hAnsi="Times New Roman" w:cs="Times New Roman"/>
          <w:noProof/>
        </w:rPr>
        <w:t xml:space="preserve"> </w:t>
      </w:r>
      <w:hyperlink r:id="rId27"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.org/10.1016/j.psychres.2020.112948 </w:t>
      </w:r>
    </w:p>
    <w:p w14:paraId="2C4B27EF" w14:textId="4BFD6936"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Grant, J. E., Redden, S. A., Medeiros, G. C., Odlaug, B. L., Curley, E. E., Tavares, H., &amp; Keuthen, N. J. (2017). Trichotillomania and its clinical relationship to depression and anxiety. </w:t>
      </w:r>
      <w:r w:rsidRPr="003E489B">
        <w:rPr>
          <w:rFonts w:ascii="Times New Roman" w:hAnsi="Times New Roman" w:cs="Times New Roman"/>
          <w:i/>
          <w:noProof/>
        </w:rPr>
        <w:t>International Journal of Psychiatry in Clinical Practice</w:t>
      </w:r>
      <w:r w:rsidRPr="003E489B">
        <w:rPr>
          <w:rFonts w:ascii="Times New Roman" w:hAnsi="Times New Roman" w:cs="Times New Roman"/>
          <w:noProof/>
        </w:rPr>
        <w:t xml:space="preserve">, 1-5. </w:t>
      </w:r>
      <w:hyperlink r:id="rId28"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.org/10.1080/13651501.2017.1314509 </w:t>
      </w:r>
    </w:p>
    <w:p w14:paraId="5A47BBE3"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Haaland, A. T., Ekeland, S.O., Moen, E.M., Vogel, P.A., Haseth, S., Mellingen, K., Himle, J.A., Woods, D.W., Hummelen, B. (2017). ACT-enhanced behavior therapy in group format for trichotillomania: An effectiveness study. </w:t>
      </w:r>
      <w:r w:rsidRPr="003E489B">
        <w:rPr>
          <w:rFonts w:ascii="Times New Roman" w:hAnsi="Times New Roman" w:cs="Times New Roman"/>
          <w:i/>
          <w:noProof/>
        </w:rPr>
        <w:t xml:space="preserve">Journal of Obsessive-Compulsive and Related Disoders, </w:t>
      </w:r>
      <w:r w:rsidRPr="0081363A">
        <w:rPr>
          <w:rFonts w:ascii="Times New Roman" w:hAnsi="Times New Roman" w:cs="Times New Roman"/>
          <w:iCs/>
          <w:noProof/>
        </w:rPr>
        <w:t xml:space="preserve">12, </w:t>
      </w:r>
      <w:r w:rsidRPr="003E489B">
        <w:rPr>
          <w:rFonts w:ascii="Times New Roman" w:hAnsi="Times New Roman" w:cs="Times New Roman"/>
          <w:noProof/>
        </w:rPr>
        <w:t xml:space="preserve">109-116. </w:t>
      </w:r>
    </w:p>
    <w:p w14:paraId="4E3186F6" w14:textId="2CC82366" w:rsidR="00584597" w:rsidRDefault="00584597" w:rsidP="0081363A">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Hayes, S. C., Bissett, R. T., Korn, Z., Zettle, R. D., Rosenfarb, I. S., Cooper, L. D., &amp; Grundt, A. M. (1999). The impact of acceptance versus control rationales on pain tolerance. </w:t>
      </w:r>
      <w:r w:rsidRPr="003E489B">
        <w:rPr>
          <w:rFonts w:ascii="Times New Roman" w:hAnsi="Times New Roman" w:cs="Times New Roman"/>
          <w:i/>
          <w:noProof/>
        </w:rPr>
        <w:t xml:space="preserve">The Psychological Record, </w:t>
      </w:r>
      <w:r w:rsidRPr="0081363A">
        <w:rPr>
          <w:rFonts w:ascii="Times New Roman" w:hAnsi="Times New Roman" w:cs="Times New Roman"/>
          <w:iCs/>
          <w:noProof/>
        </w:rPr>
        <w:t>49,</w:t>
      </w:r>
      <w:r w:rsidRPr="003E489B">
        <w:rPr>
          <w:rFonts w:ascii="Times New Roman" w:hAnsi="Times New Roman" w:cs="Times New Roman"/>
          <w:noProof/>
        </w:rPr>
        <w:t xml:space="preserve"> 33-47. </w:t>
      </w:r>
    </w:p>
    <w:p w14:paraId="1502D567" w14:textId="000A7B2D" w:rsidR="0003206F" w:rsidRPr="0003206F" w:rsidRDefault="0003206F" w:rsidP="0081363A">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Hayes, S.C., Luoma, J.B., Bond, F.W., Masuda, A., Lillis, J. (2006). Acceptance and commitment therapy: Model, process and outcomes. </w:t>
      </w:r>
      <w:r>
        <w:rPr>
          <w:rFonts w:ascii="Times New Roman" w:hAnsi="Times New Roman" w:cs="Times New Roman"/>
          <w:i/>
          <w:iCs/>
          <w:noProof/>
        </w:rPr>
        <w:t xml:space="preserve">Behavior Research and Therapy, </w:t>
      </w:r>
      <w:r>
        <w:rPr>
          <w:rFonts w:ascii="Times New Roman" w:hAnsi="Times New Roman" w:cs="Times New Roman"/>
          <w:noProof/>
        </w:rPr>
        <w:t xml:space="preserve">44(1), 1-25. </w:t>
      </w:r>
      <w:hyperlink r:id="rId29" w:tgtFrame="_blank" w:tooltip="Persistent link using digital object identifier" w:history="1">
        <w:r>
          <w:rPr>
            <w:rStyle w:val="Hyperlink"/>
            <w:rFonts w:ascii="Arial" w:hAnsi="Arial" w:cs="Arial"/>
            <w:color w:val="0C7DBB"/>
            <w:sz w:val="21"/>
            <w:szCs w:val="21"/>
          </w:rPr>
          <w:t>https://doi.org/10.1016/j.brat.2005.06.006</w:t>
        </w:r>
      </w:hyperlink>
    </w:p>
    <w:p w14:paraId="5D13722B" w14:textId="55F14D52"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lastRenderedPageBreak/>
        <w:t xml:space="preserve">Henry, J. D., &amp; Crawford, J. R. (2005). The short-form version of the </w:t>
      </w:r>
      <w:r w:rsidR="004A0F26">
        <w:rPr>
          <w:rFonts w:ascii="Times New Roman" w:hAnsi="Times New Roman" w:cs="Times New Roman"/>
          <w:noProof/>
        </w:rPr>
        <w:t>d</w:t>
      </w:r>
      <w:r w:rsidRPr="003E489B">
        <w:rPr>
          <w:rFonts w:ascii="Times New Roman" w:hAnsi="Times New Roman" w:cs="Times New Roman"/>
          <w:noProof/>
        </w:rPr>
        <w:t xml:space="preserve">epression </w:t>
      </w:r>
      <w:r w:rsidR="004A0F26">
        <w:rPr>
          <w:rFonts w:ascii="Times New Roman" w:hAnsi="Times New Roman" w:cs="Times New Roman"/>
          <w:noProof/>
        </w:rPr>
        <w:t>a</w:t>
      </w:r>
      <w:r w:rsidRPr="003E489B">
        <w:rPr>
          <w:rFonts w:ascii="Times New Roman" w:hAnsi="Times New Roman" w:cs="Times New Roman"/>
          <w:noProof/>
        </w:rPr>
        <w:t xml:space="preserve">nxiety </w:t>
      </w:r>
      <w:r w:rsidR="004A0F26">
        <w:rPr>
          <w:rFonts w:ascii="Times New Roman" w:hAnsi="Times New Roman" w:cs="Times New Roman"/>
          <w:noProof/>
        </w:rPr>
        <w:t>s</w:t>
      </w:r>
      <w:r w:rsidRPr="003E489B">
        <w:rPr>
          <w:rFonts w:ascii="Times New Roman" w:hAnsi="Times New Roman" w:cs="Times New Roman"/>
          <w:noProof/>
        </w:rPr>
        <w:t xml:space="preserve">tress </w:t>
      </w:r>
      <w:r w:rsidR="004A0F26">
        <w:rPr>
          <w:rFonts w:ascii="Times New Roman" w:hAnsi="Times New Roman" w:cs="Times New Roman"/>
          <w:noProof/>
        </w:rPr>
        <w:t>s</w:t>
      </w:r>
      <w:r w:rsidRPr="003E489B">
        <w:rPr>
          <w:rFonts w:ascii="Times New Roman" w:hAnsi="Times New Roman" w:cs="Times New Roman"/>
          <w:noProof/>
        </w:rPr>
        <w:t xml:space="preserve">cales (DASS-21): </w:t>
      </w:r>
      <w:r w:rsidR="004A0F26">
        <w:rPr>
          <w:rFonts w:ascii="Times New Roman" w:hAnsi="Times New Roman" w:cs="Times New Roman"/>
          <w:noProof/>
        </w:rPr>
        <w:t>C</w:t>
      </w:r>
      <w:r w:rsidRPr="003E489B">
        <w:rPr>
          <w:rFonts w:ascii="Times New Roman" w:hAnsi="Times New Roman" w:cs="Times New Roman"/>
          <w:noProof/>
        </w:rPr>
        <w:t xml:space="preserve">onstruct validity and normative data in a large non-clinical sample. </w:t>
      </w:r>
      <w:r w:rsidRPr="003E489B">
        <w:rPr>
          <w:rFonts w:ascii="Times New Roman" w:hAnsi="Times New Roman" w:cs="Times New Roman"/>
          <w:i/>
          <w:noProof/>
        </w:rPr>
        <w:t>British Journal of Clinical Psychology, 44</w:t>
      </w:r>
      <w:r w:rsidRPr="003E489B">
        <w:rPr>
          <w:rFonts w:ascii="Times New Roman" w:hAnsi="Times New Roman" w:cs="Times New Roman"/>
          <w:noProof/>
        </w:rPr>
        <w:t xml:space="preserve">(2), 227-239. </w:t>
      </w:r>
      <w:hyperlink r:id="rId30"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.org/10.1348/014466505X29657 </w:t>
      </w:r>
    </w:p>
    <w:p w14:paraId="4E0FBD8D" w14:textId="4CA40B0F"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Houghton, D. C., Capriotti, M. R., De Nadai, A. S., Compton, S. N., Twohig, M. P., Neal-Barnett, A. M., Saunders, S. M., Franklin, M. E., &amp; Woods, D. W. (2015). Defining treatment response in trichotillomania: </w:t>
      </w:r>
      <w:r w:rsidR="00B52164">
        <w:rPr>
          <w:rFonts w:ascii="Times New Roman" w:hAnsi="Times New Roman" w:cs="Times New Roman"/>
          <w:noProof/>
        </w:rPr>
        <w:t>A</w:t>
      </w:r>
      <w:r w:rsidRPr="003E489B">
        <w:rPr>
          <w:rFonts w:ascii="Times New Roman" w:hAnsi="Times New Roman" w:cs="Times New Roman"/>
          <w:noProof/>
        </w:rPr>
        <w:t xml:space="preserve"> signal detection analysis. </w:t>
      </w:r>
      <w:r w:rsidRPr="003E489B">
        <w:rPr>
          <w:rFonts w:ascii="Times New Roman" w:hAnsi="Times New Roman" w:cs="Times New Roman"/>
          <w:i/>
          <w:noProof/>
        </w:rPr>
        <w:t xml:space="preserve">Journal of Anxiety Disorders, </w:t>
      </w:r>
      <w:r w:rsidRPr="0081363A">
        <w:rPr>
          <w:rFonts w:ascii="Times New Roman" w:hAnsi="Times New Roman" w:cs="Times New Roman"/>
          <w:iCs/>
          <w:noProof/>
        </w:rPr>
        <w:t>36,</w:t>
      </w:r>
      <w:r w:rsidRPr="003E489B">
        <w:rPr>
          <w:rFonts w:ascii="Times New Roman" w:hAnsi="Times New Roman" w:cs="Times New Roman"/>
          <w:noProof/>
        </w:rPr>
        <w:t xml:space="preserve"> 44-51. </w:t>
      </w:r>
      <w:hyperlink r:id="rId31"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.org/10.1016/j.janxdis.2015.09.008 </w:t>
      </w:r>
    </w:p>
    <w:p w14:paraId="4CE7B392" w14:textId="31E3E857" w:rsidR="00584597"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Houghton, D. C., Compton, S. N., Twohig, M. P., Saunders, S. M., Franklin, M. E., Neal-Barnett, A. M., Ely, L., Capriotti, M. R., &amp; Woods, D. W. (2014). Measuring the role of psychological inflexibility in Trichotillomania. </w:t>
      </w:r>
      <w:r w:rsidRPr="003E489B">
        <w:rPr>
          <w:rFonts w:ascii="Times New Roman" w:hAnsi="Times New Roman" w:cs="Times New Roman"/>
          <w:i/>
          <w:noProof/>
        </w:rPr>
        <w:t>Psychiatry Research, 220</w:t>
      </w:r>
      <w:r w:rsidRPr="003E489B">
        <w:rPr>
          <w:rFonts w:ascii="Times New Roman" w:hAnsi="Times New Roman" w:cs="Times New Roman"/>
          <w:noProof/>
        </w:rPr>
        <w:t xml:space="preserve">(1-2), 356-361. </w:t>
      </w:r>
      <w:hyperlink r:id="rId32" w:history="1">
        <w:r w:rsidR="001D5E65" w:rsidRPr="004E1788">
          <w:rPr>
            <w:rStyle w:val="Hyperlink"/>
            <w:rFonts w:ascii="Times New Roman" w:hAnsi="Times New Roman" w:cs="Times New Roman"/>
            <w:noProof/>
          </w:rPr>
          <w:t>https://doi</w:t>
        </w:r>
      </w:hyperlink>
      <w:r w:rsidRPr="003E489B">
        <w:rPr>
          <w:rFonts w:ascii="Times New Roman" w:hAnsi="Times New Roman" w:cs="Times New Roman"/>
          <w:noProof/>
        </w:rPr>
        <w:t xml:space="preserve">.org/10.1016/j.psychres.2014.08.003 </w:t>
      </w:r>
    </w:p>
    <w:p w14:paraId="1D5D56BC" w14:textId="1265149F" w:rsidR="001D5E65" w:rsidRPr="003E489B" w:rsidRDefault="001D5E65" w:rsidP="00F80176">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Hox, J.J., Moerbeek, M., &amp; Van de Schoot, R. (2017). Multilevel analysis: Techniques and applications, third edition. Taylor &amp; Francis Group. </w:t>
      </w:r>
    </w:p>
    <w:p w14:paraId="6FE0D0B6" w14:textId="736F315D"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Jasper, K., Weise, C., Conrad, I., Andersson, G., Hiller, W., &amp; Kleinstauber, M. (2014). Internet-based guided self-help versus group cognitive behavioral therapy for chronic tinnitus: </w:t>
      </w:r>
      <w:r w:rsidR="0052481E">
        <w:rPr>
          <w:rFonts w:ascii="Times New Roman" w:hAnsi="Times New Roman" w:cs="Times New Roman"/>
          <w:noProof/>
        </w:rPr>
        <w:t>A</w:t>
      </w:r>
      <w:r w:rsidRPr="003E489B">
        <w:rPr>
          <w:rFonts w:ascii="Times New Roman" w:hAnsi="Times New Roman" w:cs="Times New Roman"/>
          <w:noProof/>
        </w:rPr>
        <w:t xml:space="preserve"> randomized controlled trial. </w:t>
      </w:r>
      <w:r w:rsidRPr="003E489B">
        <w:rPr>
          <w:rFonts w:ascii="Times New Roman" w:hAnsi="Times New Roman" w:cs="Times New Roman"/>
          <w:i/>
          <w:noProof/>
        </w:rPr>
        <w:t>Psychother Psychosom, 83</w:t>
      </w:r>
      <w:r w:rsidRPr="003E489B">
        <w:rPr>
          <w:rFonts w:ascii="Times New Roman" w:hAnsi="Times New Roman" w:cs="Times New Roman"/>
          <w:noProof/>
        </w:rPr>
        <w:t xml:space="preserve">(4), 234-246. https://doi.org/10.1159/000360705 </w:t>
      </w:r>
    </w:p>
    <w:p w14:paraId="1EB3CCCE" w14:textId="2ACCEDE8"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Kelley, M. L., Heffer, R. W., Gresham, F. M., &amp; Elliot, S. N. (1989). Development of a modified </w:t>
      </w:r>
      <w:r w:rsidR="00A55E07">
        <w:rPr>
          <w:rFonts w:ascii="Times New Roman" w:hAnsi="Times New Roman" w:cs="Times New Roman"/>
          <w:noProof/>
        </w:rPr>
        <w:t>t</w:t>
      </w:r>
      <w:r w:rsidRPr="003E489B">
        <w:rPr>
          <w:rFonts w:ascii="Times New Roman" w:hAnsi="Times New Roman" w:cs="Times New Roman"/>
          <w:noProof/>
        </w:rPr>
        <w:t xml:space="preserve">reatment </w:t>
      </w:r>
      <w:r w:rsidR="00A55E07">
        <w:rPr>
          <w:rFonts w:ascii="Times New Roman" w:hAnsi="Times New Roman" w:cs="Times New Roman"/>
          <w:noProof/>
        </w:rPr>
        <w:t>e</w:t>
      </w:r>
      <w:r w:rsidRPr="003E489B">
        <w:rPr>
          <w:rFonts w:ascii="Times New Roman" w:hAnsi="Times New Roman" w:cs="Times New Roman"/>
          <w:noProof/>
        </w:rPr>
        <w:t xml:space="preserve">valuation </w:t>
      </w:r>
      <w:r w:rsidR="00A55E07">
        <w:rPr>
          <w:rFonts w:ascii="Times New Roman" w:hAnsi="Times New Roman" w:cs="Times New Roman"/>
          <w:noProof/>
        </w:rPr>
        <w:t>i</w:t>
      </w:r>
      <w:r w:rsidRPr="003E489B">
        <w:rPr>
          <w:rFonts w:ascii="Times New Roman" w:hAnsi="Times New Roman" w:cs="Times New Roman"/>
          <w:noProof/>
        </w:rPr>
        <w:t xml:space="preserve">nventory. </w:t>
      </w:r>
      <w:r w:rsidRPr="003E489B">
        <w:rPr>
          <w:rFonts w:ascii="Times New Roman" w:hAnsi="Times New Roman" w:cs="Times New Roman"/>
          <w:i/>
          <w:noProof/>
        </w:rPr>
        <w:t>Journal of Psychopathology and Behavioral Assessment, 11</w:t>
      </w:r>
      <w:r w:rsidRPr="003E489B">
        <w:rPr>
          <w:rFonts w:ascii="Times New Roman" w:hAnsi="Times New Roman" w:cs="Times New Roman"/>
          <w:noProof/>
        </w:rPr>
        <w:t xml:space="preserve">(3), 235-247. https://doi.org/10.1007/BF00960495 </w:t>
      </w:r>
    </w:p>
    <w:p w14:paraId="72C4C9E2" w14:textId="6696E608"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Keuthen, N. J., O’Sullivan, R. L., Ricciardi, J. N., Shera, D., Savage, C. R., Borgmann, A. S., Jenike, M. A., &amp; Baer, L. (1995). The </w:t>
      </w:r>
      <w:r w:rsidR="0052481E">
        <w:rPr>
          <w:rFonts w:ascii="Times New Roman" w:hAnsi="Times New Roman" w:cs="Times New Roman"/>
          <w:noProof/>
        </w:rPr>
        <w:t>m</w:t>
      </w:r>
      <w:r w:rsidRPr="003E489B">
        <w:rPr>
          <w:rFonts w:ascii="Times New Roman" w:hAnsi="Times New Roman" w:cs="Times New Roman"/>
          <w:noProof/>
        </w:rPr>
        <w:t xml:space="preserve">assachusetts </w:t>
      </w:r>
      <w:r w:rsidR="0052481E">
        <w:rPr>
          <w:rFonts w:ascii="Times New Roman" w:hAnsi="Times New Roman" w:cs="Times New Roman"/>
          <w:noProof/>
        </w:rPr>
        <w:t>g</w:t>
      </w:r>
      <w:r w:rsidRPr="003E489B">
        <w:rPr>
          <w:rFonts w:ascii="Times New Roman" w:hAnsi="Times New Roman" w:cs="Times New Roman"/>
          <w:noProof/>
        </w:rPr>
        <w:t xml:space="preserve">eneral </w:t>
      </w:r>
      <w:r w:rsidR="0052481E">
        <w:rPr>
          <w:rFonts w:ascii="Times New Roman" w:hAnsi="Times New Roman" w:cs="Times New Roman"/>
          <w:noProof/>
        </w:rPr>
        <w:t>h</w:t>
      </w:r>
      <w:r w:rsidRPr="003E489B">
        <w:rPr>
          <w:rFonts w:ascii="Times New Roman" w:hAnsi="Times New Roman" w:cs="Times New Roman"/>
          <w:noProof/>
        </w:rPr>
        <w:t xml:space="preserve">ospital (MGH) </w:t>
      </w:r>
      <w:r w:rsidR="0052481E">
        <w:rPr>
          <w:rFonts w:ascii="Times New Roman" w:hAnsi="Times New Roman" w:cs="Times New Roman"/>
          <w:noProof/>
        </w:rPr>
        <w:t>h</w:t>
      </w:r>
      <w:r w:rsidRPr="003E489B">
        <w:rPr>
          <w:rFonts w:ascii="Times New Roman" w:hAnsi="Times New Roman" w:cs="Times New Roman"/>
          <w:noProof/>
        </w:rPr>
        <w:t xml:space="preserve">airpulling </w:t>
      </w:r>
      <w:r w:rsidR="0052481E">
        <w:rPr>
          <w:rFonts w:ascii="Times New Roman" w:hAnsi="Times New Roman" w:cs="Times New Roman"/>
          <w:noProof/>
        </w:rPr>
        <w:lastRenderedPageBreak/>
        <w:t>s</w:t>
      </w:r>
      <w:r w:rsidRPr="003E489B">
        <w:rPr>
          <w:rFonts w:ascii="Times New Roman" w:hAnsi="Times New Roman" w:cs="Times New Roman"/>
          <w:noProof/>
        </w:rPr>
        <w:t xml:space="preserve">cale: Development and factor analyses. </w:t>
      </w:r>
      <w:r w:rsidRPr="003E489B">
        <w:rPr>
          <w:rFonts w:ascii="Times New Roman" w:hAnsi="Times New Roman" w:cs="Times New Roman"/>
          <w:i/>
          <w:noProof/>
        </w:rPr>
        <w:t>Psychotherapy and Psychosomatics, 64</w:t>
      </w:r>
      <w:r w:rsidRPr="003E489B">
        <w:rPr>
          <w:rFonts w:ascii="Times New Roman" w:hAnsi="Times New Roman" w:cs="Times New Roman"/>
          <w:noProof/>
        </w:rPr>
        <w:t xml:space="preserve">(3), 141-145. https://doi.org/10.1159/000289003 </w:t>
      </w:r>
    </w:p>
    <w:p w14:paraId="49DAB19A" w14:textId="4603B87E"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Keuthen, N. J., Rothbaum, B. O., Falkenstein, M. J., Meunier, S., Timpano, K. R., Jenike, M. A., &amp; Welch, S. S. (2011</w:t>
      </w:r>
      <w:r>
        <w:rPr>
          <w:rFonts w:ascii="Times New Roman" w:hAnsi="Times New Roman" w:cs="Times New Roman"/>
          <w:noProof/>
        </w:rPr>
        <w:t>).</w:t>
      </w:r>
      <w:r w:rsidR="003052C5">
        <w:rPr>
          <w:rFonts w:ascii="Times New Roman" w:hAnsi="Times New Roman" w:cs="Times New Roman"/>
          <w:noProof/>
        </w:rPr>
        <w:t xml:space="preserve"> </w:t>
      </w:r>
      <w:r w:rsidRPr="003E489B">
        <w:rPr>
          <w:rFonts w:ascii="Times New Roman" w:hAnsi="Times New Roman" w:cs="Times New Roman"/>
          <w:noProof/>
        </w:rPr>
        <w:t xml:space="preserve">DBT‐enhanced habit reversal treatment for trichotillomania: 3‐and 6‐month follow‐up results. </w:t>
      </w:r>
      <w:r w:rsidRPr="003E489B">
        <w:rPr>
          <w:rFonts w:ascii="Times New Roman" w:hAnsi="Times New Roman" w:cs="Times New Roman"/>
          <w:i/>
          <w:noProof/>
        </w:rPr>
        <w:t>Depression and Anxiety, 28</w:t>
      </w:r>
      <w:r w:rsidRPr="003E489B">
        <w:rPr>
          <w:rFonts w:ascii="Times New Roman" w:hAnsi="Times New Roman" w:cs="Times New Roman"/>
          <w:noProof/>
        </w:rPr>
        <w:t xml:space="preserve">(4), 310-313. https://doi.org/10.1002/da.20778 </w:t>
      </w:r>
    </w:p>
    <w:p w14:paraId="65DC2D86"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Keuthen, N. J., Rothbaum, B. O., Fama, J., Altenburger, E., Falkenstein, M. J., Sprich, S. E., Kearns, M., Meunier, S., Jenike, M. A., &amp; Welch, S. S. (2012). DBT-enhanced cognitive-behavioral treatment for trichotillomania: A randomized controlled trial. </w:t>
      </w:r>
      <w:r w:rsidRPr="003E489B">
        <w:rPr>
          <w:rFonts w:ascii="Times New Roman" w:hAnsi="Times New Roman" w:cs="Times New Roman"/>
          <w:i/>
          <w:noProof/>
        </w:rPr>
        <w:t>Journal of Behavioral Addictions, 1</w:t>
      </w:r>
      <w:r w:rsidRPr="003E489B">
        <w:rPr>
          <w:rFonts w:ascii="Times New Roman" w:hAnsi="Times New Roman" w:cs="Times New Roman"/>
          <w:noProof/>
        </w:rPr>
        <w:t xml:space="preserve">(3), 106-114. https://doi.org/0.1556/JBA.1.2012.003 </w:t>
      </w:r>
    </w:p>
    <w:p w14:paraId="4ACB5096" w14:textId="12CFA4D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Keuthen, N. J., Stein, D. J., &amp; Christenson, G. A. (2001). </w:t>
      </w:r>
      <w:r w:rsidRPr="003E489B">
        <w:rPr>
          <w:rFonts w:ascii="Times New Roman" w:hAnsi="Times New Roman" w:cs="Times New Roman"/>
          <w:i/>
          <w:noProof/>
        </w:rPr>
        <w:t>Help for hair pullers: Understanding and coping with trichotillomania</w:t>
      </w:r>
      <w:r w:rsidRPr="003E489B">
        <w:rPr>
          <w:rFonts w:ascii="Times New Roman" w:hAnsi="Times New Roman" w:cs="Times New Roman"/>
          <w:noProof/>
        </w:rPr>
        <w:t xml:space="preserve">. New Harbinger Publications. </w:t>
      </w:r>
    </w:p>
    <w:p w14:paraId="74DF5B56" w14:textId="151D3C63"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Lamers, S. M. A., Westerhof, G. J., Bohlmeijer, E. T., Ten Klooster, P. M., &amp; Keyes, C. L. M. (2011). Evaluating the psychometric properties of the </w:t>
      </w:r>
      <w:r w:rsidR="0052481E">
        <w:rPr>
          <w:rFonts w:ascii="Times New Roman" w:hAnsi="Times New Roman" w:cs="Times New Roman"/>
          <w:noProof/>
        </w:rPr>
        <w:t>m</w:t>
      </w:r>
      <w:r w:rsidRPr="003E489B">
        <w:rPr>
          <w:rFonts w:ascii="Times New Roman" w:hAnsi="Times New Roman" w:cs="Times New Roman"/>
          <w:noProof/>
        </w:rPr>
        <w:t xml:space="preserve">ental </w:t>
      </w:r>
      <w:r w:rsidR="0052481E">
        <w:rPr>
          <w:rFonts w:ascii="Times New Roman" w:hAnsi="Times New Roman" w:cs="Times New Roman"/>
          <w:noProof/>
        </w:rPr>
        <w:t>h</w:t>
      </w:r>
      <w:r w:rsidRPr="003E489B">
        <w:rPr>
          <w:rFonts w:ascii="Times New Roman" w:hAnsi="Times New Roman" w:cs="Times New Roman"/>
          <w:noProof/>
        </w:rPr>
        <w:t xml:space="preserve">ealth </w:t>
      </w:r>
      <w:r w:rsidR="0052481E">
        <w:rPr>
          <w:rFonts w:ascii="Times New Roman" w:hAnsi="Times New Roman" w:cs="Times New Roman"/>
          <w:noProof/>
        </w:rPr>
        <w:t>c</w:t>
      </w:r>
      <w:r w:rsidRPr="003E489B">
        <w:rPr>
          <w:rFonts w:ascii="Times New Roman" w:hAnsi="Times New Roman" w:cs="Times New Roman"/>
          <w:noProof/>
        </w:rPr>
        <w:t xml:space="preserve">ontinuum- </w:t>
      </w:r>
      <w:r w:rsidR="0052481E">
        <w:rPr>
          <w:rFonts w:ascii="Times New Roman" w:hAnsi="Times New Roman" w:cs="Times New Roman"/>
          <w:noProof/>
        </w:rPr>
        <w:t>s</w:t>
      </w:r>
      <w:r w:rsidRPr="003E489B">
        <w:rPr>
          <w:rFonts w:ascii="Times New Roman" w:hAnsi="Times New Roman" w:cs="Times New Roman"/>
          <w:noProof/>
        </w:rPr>
        <w:t xml:space="preserve">hort </w:t>
      </w:r>
      <w:r w:rsidR="0052481E">
        <w:rPr>
          <w:rFonts w:ascii="Times New Roman" w:hAnsi="Times New Roman" w:cs="Times New Roman"/>
          <w:noProof/>
        </w:rPr>
        <w:t>f</w:t>
      </w:r>
      <w:r w:rsidRPr="003E489B">
        <w:rPr>
          <w:rFonts w:ascii="Times New Roman" w:hAnsi="Times New Roman" w:cs="Times New Roman"/>
          <w:noProof/>
        </w:rPr>
        <w:t xml:space="preserve">orm (MHC-SF). </w:t>
      </w:r>
      <w:r w:rsidRPr="003E489B">
        <w:rPr>
          <w:rFonts w:ascii="Times New Roman" w:hAnsi="Times New Roman" w:cs="Times New Roman"/>
          <w:i/>
          <w:noProof/>
        </w:rPr>
        <w:t xml:space="preserve">Journal of Clinical Psychology, </w:t>
      </w:r>
      <w:r w:rsidRPr="003052C5">
        <w:rPr>
          <w:rFonts w:ascii="Times New Roman" w:hAnsi="Times New Roman" w:cs="Times New Roman"/>
          <w:iCs/>
          <w:noProof/>
        </w:rPr>
        <w:t>67,</w:t>
      </w:r>
      <w:r w:rsidRPr="003E489B">
        <w:rPr>
          <w:rFonts w:ascii="Times New Roman" w:hAnsi="Times New Roman" w:cs="Times New Roman"/>
          <w:noProof/>
        </w:rPr>
        <w:t xml:space="preserve"> 99-110. https://doi.org/10.1002/jclp.20741. </w:t>
      </w:r>
    </w:p>
    <w:p w14:paraId="37BFF212"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Lappalainen, R., &amp; Lappalainen, P. (2020). Implementing ACT Online. In </w:t>
      </w:r>
      <w:r w:rsidRPr="003E489B">
        <w:rPr>
          <w:rFonts w:ascii="Times New Roman" w:hAnsi="Times New Roman" w:cs="Times New Roman"/>
          <w:i/>
          <w:noProof/>
        </w:rPr>
        <w:t>Innovations in Acceptance and Commitment Therapy Clinical Advancements and Applications in ACT</w:t>
      </w:r>
      <w:r w:rsidRPr="003E489B">
        <w:rPr>
          <w:rFonts w:ascii="Times New Roman" w:hAnsi="Times New Roman" w:cs="Times New Roman"/>
          <w:noProof/>
        </w:rPr>
        <w:t xml:space="preserve">. New Harbinger Publications. </w:t>
      </w:r>
    </w:p>
    <w:p w14:paraId="59B671E2" w14:textId="6851523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Lee, E. B., Haeger, J. A., Levin, M. E., Ong, C. W., &amp; Twohig, M. P. (2018). Telepsychotherapy for trichotillomania: A randomized controlled trial of ACT</w:t>
      </w:r>
      <w:r w:rsidR="003052C5">
        <w:rPr>
          <w:rFonts w:ascii="Times New Roman" w:hAnsi="Times New Roman" w:cs="Times New Roman"/>
          <w:noProof/>
        </w:rPr>
        <w:t>-</w:t>
      </w:r>
      <w:r w:rsidRPr="003E489B">
        <w:rPr>
          <w:rFonts w:ascii="Times New Roman" w:hAnsi="Times New Roman" w:cs="Times New Roman"/>
          <w:noProof/>
        </w:rPr>
        <w:t xml:space="preserve">enhanced behavior therapy. </w:t>
      </w:r>
      <w:r w:rsidRPr="003E489B">
        <w:rPr>
          <w:rFonts w:ascii="Times New Roman" w:hAnsi="Times New Roman" w:cs="Times New Roman"/>
          <w:i/>
          <w:noProof/>
        </w:rPr>
        <w:t xml:space="preserve">Journal of Obsessive-Compulsive and Related Disorders, </w:t>
      </w:r>
      <w:r w:rsidRPr="003052C5">
        <w:rPr>
          <w:rFonts w:ascii="Times New Roman" w:hAnsi="Times New Roman" w:cs="Times New Roman"/>
          <w:iCs/>
          <w:noProof/>
        </w:rPr>
        <w:t>18,</w:t>
      </w:r>
      <w:r w:rsidRPr="003E489B">
        <w:rPr>
          <w:rFonts w:ascii="Times New Roman" w:hAnsi="Times New Roman" w:cs="Times New Roman"/>
          <w:noProof/>
        </w:rPr>
        <w:t xml:space="preserve"> 106-115. </w:t>
      </w:r>
      <w:r>
        <w:rPr>
          <w:rFonts w:ascii="Times New Roman" w:hAnsi="Times New Roman" w:cs="Times New Roman"/>
          <w:noProof/>
        </w:rPr>
        <w:t>https://doi.org/10.1016;j/jocrd.2018.04.003</w:t>
      </w:r>
    </w:p>
    <w:p w14:paraId="473BC0AB" w14:textId="0905C740"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lastRenderedPageBreak/>
        <w:t xml:space="preserve">Lee, E. B., Homan, K. J., Morrison, K. L., Ong, C. W., Levin, M. E., &amp; Twohig, M. P. (2018). Acceptance and commitment therapy for trichotillomania: A randomized controlled trial of adults and adolescents. </w:t>
      </w:r>
      <w:r w:rsidRPr="003E489B">
        <w:rPr>
          <w:rFonts w:ascii="Times New Roman" w:hAnsi="Times New Roman" w:cs="Times New Roman"/>
          <w:i/>
          <w:noProof/>
        </w:rPr>
        <w:t>Behavior Modification</w:t>
      </w:r>
      <w:r w:rsidRPr="003E489B">
        <w:rPr>
          <w:rFonts w:ascii="Times New Roman" w:hAnsi="Times New Roman" w:cs="Times New Roman"/>
          <w:noProof/>
        </w:rPr>
        <w:t xml:space="preserve">. </w:t>
      </w:r>
      <w:r w:rsidR="003052C5" w:rsidRPr="003052C5">
        <w:rPr>
          <w:rFonts w:ascii="Times New Roman" w:hAnsi="Times New Roman" w:cs="Times New Roman"/>
          <w:noProof/>
        </w:rPr>
        <w:t>44</w:t>
      </w:r>
      <w:r w:rsidR="003052C5">
        <w:rPr>
          <w:rFonts w:ascii="Times New Roman" w:hAnsi="Times New Roman" w:cs="Times New Roman"/>
          <w:noProof/>
        </w:rPr>
        <w:t>(1), 70</w:t>
      </w:r>
      <w:r w:rsidR="00DE3CAD">
        <w:rPr>
          <w:rFonts w:ascii="Times New Roman" w:hAnsi="Times New Roman" w:cs="Times New Roman"/>
          <w:noProof/>
        </w:rPr>
        <w:t>-91</w:t>
      </w:r>
      <w:r w:rsidR="003052C5">
        <w:rPr>
          <w:rFonts w:ascii="Times New Roman" w:hAnsi="Times New Roman" w:cs="Times New Roman"/>
          <w:noProof/>
        </w:rPr>
        <w:t xml:space="preserve">. </w:t>
      </w:r>
      <w:r w:rsidRPr="003052C5">
        <w:rPr>
          <w:rFonts w:ascii="Times New Roman" w:hAnsi="Times New Roman" w:cs="Times New Roman"/>
          <w:noProof/>
        </w:rPr>
        <w:t>https</w:t>
      </w:r>
      <w:r w:rsidRPr="003E489B">
        <w:rPr>
          <w:rFonts w:ascii="Times New Roman" w:hAnsi="Times New Roman" w:cs="Times New Roman"/>
          <w:noProof/>
        </w:rPr>
        <w:t xml:space="preserve">://doi.org/10.1177/0145445518794366 </w:t>
      </w:r>
    </w:p>
    <w:p w14:paraId="5A5B4A98"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Leifeld, P. (2013). texreg: Conversion of statistical model output in R to LaTeX and HTML tables. </w:t>
      </w:r>
      <w:r w:rsidRPr="003E489B">
        <w:rPr>
          <w:rFonts w:ascii="Times New Roman" w:hAnsi="Times New Roman" w:cs="Times New Roman"/>
          <w:i/>
          <w:noProof/>
        </w:rPr>
        <w:t>Journal of Statistical Software, 55</w:t>
      </w:r>
      <w:r w:rsidRPr="003E489B">
        <w:rPr>
          <w:rFonts w:ascii="Times New Roman" w:hAnsi="Times New Roman" w:cs="Times New Roman"/>
          <w:noProof/>
        </w:rPr>
        <w:t xml:space="preserve">(8), 1-24. https://doi.org/10.18637/jss.v055.i08 </w:t>
      </w:r>
    </w:p>
    <w:p w14:paraId="7B498753" w14:textId="5E2AD20A"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Levin, M. E., Haeger, J. A., Pierce, B. G., &amp; Twohig, M. P. (2017). Web-based </w:t>
      </w:r>
      <w:r w:rsidR="0052481E">
        <w:rPr>
          <w:rFonts w:ascii="Times New Roman" w:hAnsi="Times New Roman" w:cs="Times New Roman"/>
          <w:noProof/>
        </w:rPr>
        <w:t>a</w:t>
      </w:r>
      <w:r w:rsidRPr="003E489B">
        <w:rPr>
          <w:rFonts w:ascii="Times New Roman" w:hAnsi="Times New Roman" w:cs="Times New Roman"/>
          <w:noProof/>
        </w:rPr>
        <w:t xml:space="preserve">cceptance and </w:t>
      </w:r>
      <w:r w:rsidR="0052481E">
        <w:rPr>
          <w:rFonts w:ascii="Times New Roman" w:hAnsi="Times New Roman" w:cs="Times New Roman"/>
          <w:noProof/>
        </w:rPr>
        <w:t>c</w:t>
      </w:r>
      <w:r w:rsidRPr="003E489B">
        <w:rPr>
          <w:rFonts w:ascii="Times New Roman" w:hAnsi="Times New Roman" w:cs="Times New Roman"/>
          <w:noProof/>
        </w:rPr>
        <w:t xml:space="preserve">ommitment </w:t>
      </w:r>
      <w:r w:rsidR="0052481E">
        <w:rPr>
          <w:rFonts w:ascii="Times New Roman" w:hAnsi="Times New Roman" w:cs="Times New Roman"/>
          <w:noProof/>
        </w:rPr>
        <w:t>t</w:t>
      </w:r>
      <w:r w:rsidR="0052481E" w:rsidRPr="003E489B">
        <w:rPr>
          <w:rFonts w:ascii="Times New Roman" w:hAnsi="Times New Roman" w:cs="Times New Roman"/>
          <w:noProof/>
        </w:rPr>
        <w:t xml:space="preserve">herapy </w:t>
      </w:r>
      <w:r w:rsidRPr="003E489B">
        <w:rPr>
          <w:rFonts w:ascii="Times New Roman" w:hAnsi="Times New Roman" w:cs="Times New Roman"/>
          <w:noProof/>
        </w:rPr>
        <w:t xml:space="preserve">for </w:t>
      </w:r>
      <w:r w:rsidR="0052481E">
        <w:rPr>
          <w:rFonts w:ascii="Times New Roman" w:hAnsi="Times New Roman" w:cs="Times New Roman"/>
          <w:noProof/>
        </w:rPr>
        <w:t>m</w:t>
      </w:r>
      <w:r w:rsidRPr="003E489B">
        <w:rPr>
          <w:rFonts w:ascii="Times New Roman" w:hAnsi="Times New Roman" w:cs="Times New Roman"/>
          <w:noProof/>
        </w:rPr>
        <w:t xml:space="preserve">ental </w:t>
      </w:r>
      <w:r w:rsidR="0052481E">
        <w:rPr>
          <w:rFonts w:ascii="Times New Roman" w:hAnsi="Times New Roman" w:cs="Times New Roman"/>
          <w:noProof/>
        </w:rPr>
        <w:t>h</w:t>
      </w:r>
      <w:r w:rsidRPr="003E489B">
        <w:rPr>
          <w:rFonts w:ascii="Times New Roman" w:hAnsi="Times New Roman" w:cs="Times New Roman"/>
          <w:noProof/>
        </w:rPr>
        <w:t xml:space="preserve">ealth </w:t>
      </w:r>
      <w:r w:rsidR="0052481E">
        <w:rPr>
          <w:rFonts w:ascii="Times New Roman" w:hAnsi="Times New Roman" w:cs="Times New Roman"/>
          <w:noProof/>
        </w:rPr>
        <w:t>p</w:t>
      </w:r>
      <w:r w:rsidRPr="003E489B">
        <w:rPr>
          <w:rFonts w:ascii="Times New Roman" w:hAnsi="Times New Roman" w:cs="Times New Roman"/>
          <w:noProof/>
        </w:rPr>
        <w:t xml:space="preserve">roblems in </w:t>
      </w:r>
      <w:r w:rsidR="0052481E">
        <w:rPr>
          <w:rFonts w:ascii="Times New Roman" w:hAnsi="Times New Roman" w:cs="Times New Roman"/>
          <w:noProof/>
        </w:rPr>
        <w:t>c</w:t>
      </w:r>
      <w:r w:rsidRPr="003E489B">
        <w:rPr>
          <w:rFonts w:ascii="Times New Roman" w:hAnsi="Times New Roman" w:cs="Times New Roman"/>
          <w:noProof/>
        </w:rPr>
        <w:t xml:space="preserve">ollege </w:t>
      </w:r>
      <w:r w:rsidR="0052481E">
        <w:rPr>
          <w:rFonts w:ascii="Times New Roman" w:hAnsi="Times New Roman" w:cs="Times New Roman"/>
          <w:noProof/>
        </w:rPr>
        <w:t>st</w:t>
      </w:r>
      <w:r w:rsidRPr="003E489B">
        <w:rPr>
          <w:rFonts w:ascii="Times New Roman" w:hAnsi="Times New Roman" w:cs="Times New Roman"/>
          <w:noProof/>
        </w:rPr>
        <w:t xml:space="preserve">udents: A </w:t>
      </w:r>
      <w:r w:rsidR="0052481E">
        <w:rPr>
          <w:rFonts w:ascii="Times New Roman" w:hAnsi="Times New Roman" w:cs="Times New Roman"/>
          <w:noProof/>
        </w:rPr>
        <w:t>r</w:t>
      </w:r>
      <w:r w:rsidRPr="003E489B">
        <w:rPr>
          <w:rFonts w:ascii="Times New Roman" w:hAnsi="Times New Roman" w:cs="Times New Roman"/>
          <w:noProof/>
        </w:rPr>
        <w:t xml:space="preserve">andomized </w:t>
      </w:r>
      <w:r w:rsidR="0052481E">
        <w:rPr>
          <w:rFonts w:ascii="Times New Roman" w:hAnsi="Times New Roman" w:cs="Times New Roman"/>
          <w:noProof/>
        </w:rPr>
        <w:t>c</w:t>
      </w:r>
      <w:r w:rsidRPr="003E489B">
        <w:rPr>
          <w:rFonts w:ascii="Times New Roman" w:hAnsi="Times New Roman" w:cs="Times New Roman"/>
          <w:noProof/>
        </w:rPr>
        <w:t xml:space="preserve">ontrolled </w:t>
      </w:r>
      <w:r w:rsidR="0052481E">
        <w:rPr>
          <w:rFonts w:ascii="Times New Roman" w:hAnsi="Times New Roman" w:cs="Times New Roman"/>
          <w:noProof/>
        </w:rPr>
        <w:t>t</w:t>
      </w:r>
      <w:r w:rsidRPr="003E489B">
        <w:rPr>
          <w:rFonts w:ascii="Times New Roman" w:hAnsi="Times New Roman" w:cs="Times New Roman"/>
          <w:noProof/>
        </w:rPr>
        <w:t xml:space="preserve">rial. </w:t>
      </w:r>
      <w:r w:rsidRPr="003E489B">
        <w:rPr>
          <w:rFonts w:ascii="Times New Roman" w:hAnsi="Times New Roman" w:cs="Times New Roman"/>
          <w:i/>
          <w:noProof/>
        </w:rPr>
        <w:t>Behavior Modification, 41</w:t>
      </w:r>
      <w:r w:rsidRPr="003E489B">
        <w:rPr>
          <w:rFonts w:ascii="Times New Roman" w:hAnsi="Times New Roman" w:cs="Times New Roman"/>
          <w:noProof/>
        </w:rPr>
        <w:t xml:space="preserve">(1), 141-162. https://doi.org/10.1177/0145445516659645. </w:t>
      </w:r>
    </w:p>
    <w:p w14:paraId="4ED980C0"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Lovibond, S. H., &amp; Lovibond, P. F. (1995). </w:t>
      </w:r>
      <w:r w:rsidRPr="003E489B">
        <w:rPr>
          <w:rFonts w:ascii="Times New Roman" w:hAnsi="Times New Roman" w:cs="Times New Roman"/>
          <w:i/>
          <w:noProof/>
        </w:rPr>
        <w:t>Manual for the Depression Anxiety Stress Scales. (2nd. Ed.)</w:t>
      </w:r>
      <w:r w:rsidRPr="003E489B">
        <w:rPr>
          <w:rFonts w:ascii="Times New Roman" w:hAnsi="Times New Roman" w:cs="Times New Roman"/>
          <w:noProof/>
        </w:rPr>
        <w:t xml:space="preserve">. </w:t>
      </w:r>
    </w:p>
    <w:p w14:paraId="092D1A7F"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Mansueto, C. S., Stemberger, R. M. T., Thomas, A. M., &amp; Golomb, R. G. (1997). Trichotillomania: A comprehensive behavioral model. </w:t>
      </w:r>
      <w:r w:rsidRPr="003E489B">
        <w:rPr>
          <w:rFonts w:ascii="Times New Roman" w:hAnsi="Times New Roman" w:cs="Times New Roman"/>
          <w:i/>
          <w:noProof/>
        </w:rPr>
        <w:t>Clinical Psychology Review, 17</w:t>
      </w:r>
      <w:r w:rsidRPr="003E489B">
        <w:rPr>
          <w:rFonts w:ascii="Times New Roman" w:hAnsi="Times New Roman" w:cs="Times New Roman"/>
          <w:noProof/>
        </w:rPr>
        <w:t xml:space="preserve">(5), 567-577. https://doi.org/10.1016/S0272-7358(97)00028-7 </w:t>
      </w:r>
    </w:p>
    <w:p w14:paraId="225E3E53"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Marcks, B. A., Wetterneck, C. T., &amp; Woods, D. W. (2006). Investigating healthcare providers' knowledge of trichotillomania and its treatment. </w:t>
      </w:r>
      <w:r w:rsidRPr="003E489B">
        <w:rPr>
          <w:rFonts w:ascii="Times New Roman" w:hAnsi="Times New Roman" w:cs="Times New Roman"/>
          <w:i/>
          <w:noProof/>
        </w:rPr>
        <w:t>Cognitive Behaviour Therapy, 35</w:t>
      </w:r>
      <w:r w:rsidRPr="003E489B">
        <w:rPr>
          <w:rFonts w:ascii="Times New Roman" w:hAnsi="Times New Roman" w:cs="Times New Roman"/>
          <w:noProof/>
        </w:rPr>
        <w:t xml:space="preserve">(1), 19-27. https://doi.org/10.1080/16506070510010657 </w:t>
      </w:r>
    </w:p>
    <w:p w14:paraId="1489B4DF"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Norberg, M. M., Wetterneck, C. T., Woods, D. W., &amp; Conelea, C. A. (2007). Experiential avoidance as a mediator of relationships between cognitions and hair-pulling severity. </w:t>
      </w:r>
      <w:r w:rsidRPr="003E489B">
        <w:rPr>
          <w:rFonts w:ascii="Times New Roman" w:hAnsi="Times New Roman" w:cs="Times New Roman"/>
          <w:i/>
          <w:noProof/>
        </w:rPr>
        <w:t>Behavaior Modification 31</w:t>
      </w:r>
      <w:r w:rsidRPr="003E489B">
        <w:rPr>
          <w:rFonts w:ascii="Times New Roman" w:hAnsi="Times New Roman" w:cs="Times New Roman"/>
          <w:noProof/>
        </w:rPr>
        <w:t xml:space="preserve">(4), 367-381. https://doi.org/10.1177/0145445506297343 </w:t>
      </w:r>
    </w:p>
    <w:p w14:paraId="01EC83C4" w14:textId="34FACCF9"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O'Sullivan, R. L., Keuthen, N. J., Hayday, C. F., Ricciardi, J. N., Buttolph, M. L., Jenike, M. A., &amp; Baer, L. (1995). The </w:t>
      </w:r>
      <w:r w:rsidR="0052481E">
        <w:rPr>
          <w:rFonts w:ascii="Times New Roman" w:hAnsi="Times New Roman" w:cs="Times New Roman"/>
          <w:noProof/>
        </w:rPr>
        <w:t>m</w:t>
      </w:r>
      <w:r w:rsidRPr="003E489B">
        <w:rPr>
          <w:rFonts w:ascii="Times New Roman" w:hAnsi="Times New Roman" w:cs="Times New Roman"/>
          <w:noProof/>
        </w:rPr>
        <w:t xml:space="preserve">assachusetts </w:t>
      </w:r>
      <w:r w:rsidR="0052481E">
        <w:rPr>
          <w:rFonts w:ascii="Times New Roman" w:hAnsi="Times New Roman" w:cs="Times New Roman"/>
          <w:noProof/>
        </w:rPr>
        <w:t>g</w:t>
      </w:r>
      <w:r w:rsidR="0052481E" w:rsidRPr="003E489B">
        <w:rPr>
          <w:rFonts w:ascii="Times New Roman" w:hAnsi="Times New Roman" w:cs="Times New Roman"/>
          <w:noProof/>
        </w:rPr>
        <w:t xml:space="preserve">eneral </w:t>
      </w:r>
      <w:r w:rsidR="0052481E">
        <w:rPr>
          <w:rFonts w:ascii="Times New Roman" w:hAnsi="Times New Roman" w:cs="Times New Roman"/>
          <w:noProof/>
        </w:rPr>
        <w:t>h</w:t>
      </w:r>
      <w:r w:rsidR="0052481E" w:rsidRPr="003E489B">
        <w:rPr>
          <w:rFonts w:ascii="Times New Roman" w:hAnsi="Times New Roman" w:cs="Times New Roman"/>
          <w:noProof/>
        </w:rPr>
        <w:t xml:space="preserve">ospital </w:t>
      </w:r>
      <w:r w:rsidRPr="003E489B">
        <w:rPr>
          <w:rFonts w:ascii="Times New Roman" w:hAnsi="Times New Roman" w:cs="Times New Roman"/>
          <w:noProof/>
        </w:rPr>
        <w:t xml:space="preserve">(MGH) </w:t>
      </w:r>
      <w:r w:rsidR="0052481E">
        <w:rPr>
          <w:rFonts w:ascii="Times New Roman" w:hAnsi="Times New Roman" w:cs="Times New Roman"/>
          <w:noProof/>
        </w:rPr>
        <w:t>h</w:t>
      </w:r>
      <w:r w:rsidR="0052481E" w:rsidRPr="003E489B">
        <w:rPr>
          <w:rFonts w:ascii="Times New Roman" w:hAnsi="Times New Roman" w:cs="Times New Roman"/>
          <w:noProof/>
        </w:rPr>
        <w:t xml:space="preserve">airpulling </w:t>
      </w:r>
      <w:r w:rsidR="0052481E">
        <w:rPr>
          <w:rFonts w:ascii="Times New Roman" w:hAnsi="Times New Roman" w:cs="Times New Roman"/>
          <w:noProof/>
        </w:rPr>
        <w:t>s</w:t>
      </w:r>
      <w:r w:rsidR="0052481E" w:rsidRPr="003E489B">
        <w:rPr>
          <w:rFonts w:ascii="Times New Roman" w:hAnsi="Times New Roman" w:cs="Times New Roman"/>
          <w:noProof/>
        </w:rPr>
        <w:t>cale</w:t>
      </w:r>
      <w:r w:rsidRPr="003E489B">
        <w:rPr>
          <w:rFonts w:ascii="Times New Roman" w:hAnsi="Times New Roman" w:cs="Times New Roman"/>
          <w:noProof/>
        </w:rPr>
        <w:t xml:space="preserve">: 2. </w:t>
      </w:r>
      <w:r w:rsidRPr="003E489B">
        <w:rPr>
          <w:rFonts w:ascii="Times New Roman" w:hAnsi="Times New Roman" w:cs="Times New Roman"/>
          <w:noProof/>
        </w:rPr>
        <w:lastRenderedPageBreak/>
        <w:t xml:space="preserve">reliability and validity. </w:t>
      </w:r>
      <w:r w:rsidRPr="003E489B">
        <w:rPr>
          <w:rFonts w:ascii="Times New Roman" w:hAnsi="Times New Roman" w:cs="Times New Roman"/>
          <w:i/>
          <w:noProof/>
        </w:rPr>
        <w:t>Psychotherapy and Psychosomatics</w:t>
      </w:r>
      <w:r w:rsidRPr="003E489B">
        <w:rPr>
          <w:rFonts w:ascii="Times New Roman" w:hAnsi="Times New Roman" w:cs="Times New Roman"/>
          <w:noProof/>
        </w:rPr>
        <w:t xml:space="preserve">(64), 146-148. https://doi.org/10.1159/000289004 </w:t>
      </w:r>
    </w:p>
    <w:p w14:paraId="6987A4E2"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Odlaug, B. L., Kim, S. W., &amp; Grant, J. E. (2010). Quality of life and clinical severity in pathological skin picking and trichotillomania. </w:t>
      </w:r>
      <w:r w:rsidRPr="003E489B">
        <w:rPr>
          <w:rFonts w:ascii="Times New Roman" w:hAnsi="Times New Roman" w:cs="Times New Roman"/>
          <w:i/>
          <w:noProof/>
        </w:rPr>
        <w:t>Journal of Anxiety Disorders, 24</w:t>
      </w:r>
      <w:r w:rsidRPr="003E489B">
        <w:rPr>
          <w:rFonts w:ascii="Times New Roman" w:hAnsi="Times New Roman" w:cs="Times New Roman"/>
          <w:noProof/>
        </w:rPr>
        <w:t xml:space="preserve">(8), 823-829. https://doi.org/10.1016/j.janxdis.2010.06.004 </w:t>
      </w:r>
    </w:p>
    <w:p w14:paraId="13CD522A" w14:textId="2B40F174"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Ong, C. W., Lee, E. B., Krafft, J., Terry, C. L., Barrett, T. S., Levin, M. E., &amp; Twohig, M. P. (2019). A randomized controlled trial of acceptance and commitment therapy for clinical perfectionism. </w:t>
      </w:r>
      <w:r w:rsidRPr="003E489B">
        <w:rPr>
          <w:rFonts w:ascii="Times New Roman" w:hAnsi="Times New Roman" w:cs="Times New Roman"/>
          <w:i/>
          <w:noProof/>
        </w:rPr>
        <w:t>Journal of Obsessive-Compulsive and Related Disorders</w:t>
      </w:r>
      <w:r w:rsidRPr="003E489B">
        <w:rPr>
          <w:rFonts w:ascii="Times New Roman" w:hAnsi="Times New Roman" w:cs="Times New Roman"/>
          <w:noProof/>
        </w:rPr>
        <w:t xml:space="preserve">. </w:t>
      </w:r>
      <w:r w:rsidR="00DE3CAD">
        <w:rPr>
          <w:rFonts w:ascii="Times New Roman" w:hAnsi="Times New Roman" w:cs="Times New Roman"/>
          <w:noProof/>
        </w:rPr>
        <w:t xml:space="preserve">22, 100444. </w:t>
      </w:r>
      <w:r>
        <w:rPr>
          <w:rFonts w:ascii="Times New Roman" w:hAnsi="Times New Roman" w:cs="Times New Roman"/>
          <w:noProof/>
        </w:rPr>
        <w:t>https://doi.org/10.1016/j.jocrd.2019.100444</w:t>
      </w:r>
    </w:p>
    <w:p w14:paraId="46D5DA7E"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Ong, C. W., Lee, E. B., Levin, M. E., &amp; Twohig, M. P. (2019). A review of AAQ variants and other context-specific measures of psychological flexibility. </w:t>
      </w:r>
      <w:r w:rsidRPr="003E489B">
        <w:rPr>
          <w:rFonts w:ascii="Times New Roman" w:hAnsi="Times New Roman" w:cs="Times New Roman"/>
          <w:i/>
          <w:noProof/>
        </w:rPr>
        <w:t>Journal of Contextual Behavioral Science, 12</w:t>
      </w:r>
      <w:r w:rsidRPr="003E489B">
        <w:rPr>
          <w:rFonts w:ascii="Times New Roman" w:hAnsi="Times New Roman" w:cs="Times New Roman"/>
          <w:noProof/>
        </w:rPr>
        <w:t xml:space="preserve">, 329-346. </w:t>
      </w:r>
      <w:r>
        <w:rPr>
          <w:rFonts w:ascii="Times New Roman" w:hAnsi="Times New Roman" w:cs="Times New Roman"/>
          <w:noProof/>
        </w:rPr>
        <w:t>https://doi.org/10.1016/j.jcbs.2019.02.007</w:t>
      </w:r>
    </w:p>
    <w:p w14:paraId="5055FC92" w14:textId="52F6BC5B" w:rsidR="00584597"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Rapp, J. T., Miltenberger, R. G., T.L., G., Ellingson, S. A., Stricker, J., Garlinghouse, M., &amp; Long, E. S. (2000). Treatment of hair pulling and hair manipulation by digital-tactile stimulation. </w:t>
      </w:r>
      <w:r w:rsidRPr="003E489B">
        <w:rPr>
          <w:rFonts w:ascii="Times New Roman" w:hAnsi="Times New Roman" w:cs="Times New Roman"/>
          <w:i/>
          <w:noProof/>
        </w:rPr>
        <w:t>Behavior Therapy, 31</w:t>
      </w:r>
      <w:r w:rsidRPr="003E489B">
        <w:rPr>
          <w:rFonts w:ascii="Times New Roman" w:hAnsi="Times New Roman" w:cs="Times New Roman"/>
          <w:noProof/>
        </w:rPr>
        <w:t xml:space="preserve">, 381-393. </w:t>
      </w:r>
    </w:p>
    <w:p w14:paraId="72E42F6A" w14:textId="77777777" w:rsidR="00CB3506" w:rsidRPr="003E489B" w:rsidRDefault="00CB3506" w:rsidP="00CB3506">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R Core Team,</w:t>
      </w:r>
      <w:r w:rsidRPr="003E489B">
        <w:rPr>
          <w:rFonts w:ascii="Times New Roman" w:hAnsi="Times New Roman" w:cs="Times New Roman"/>
          <w:noProof/>
        </w:rPr>
        <w:t xml:space="preserve"> (2020). R: A language and environment for statistical computing. </w:t>
      </w:r>
      <w:r w:rsidRPr="003E489B">
        <w:rPr>
          <w:rFonts w:ascii="Times New Roman" w:hAnsi="Times New Roman" w:cs="Times New Roman"/>
          <w:i/>
          <w:noProof/>
        </w:rPr>
        <w:t>R Foundation for Statistical Computing</w:t>
      </w:r>
      <w:r w:rsidRPr="003E489B">
        <w:rPr>
          <w:rFonts w:ascii="Times New Roman" w:hAnsi="Times New Roman" w:cs="Times New Roman"/>
          <w:noProof/>
        </w:rPr>
        <w:t xml:space="preserve">. </w:t>
      </w:r>
    </w:p>
    <w:p w14:paraId="5EA4C9F2" w14:textId="55C1C17F" w:rsidR="00CB3506" w:rsidRPr="003E489B" w:rsidRDefault="00CB3506" w:rsidP="00CB3506">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R Team</w:t>
      </w:r>
      <w:r w:rsidRPr="003E489B">
        <w:rPr>
          <w:rFonts w:ascii="Times New Roman" w:hAnsi="Times New Roman" w:cs="Times New Roman"/>
          <w:noProof/>
        </w:rPr>
        <w:t xml:space="preserve">. (2020). </w:t>
      </w:r>
      <w:r w:rsidRPr="003E489B">
        <w:rPr>
          <w:rFonts w:ascii="Times New Roman" w:hAnsi="Times New Roman" w:cs="Times New Roman"/>
          <w:i/>
          <w:noProof/>
        </w:rPr>
        <w:t>RStudio: Integrated Development for R. RStudio</w:t>
      </w:r>
      <w:r w:rsidRPr="003E489B">
        <w:rPr>
          <w:rFonts w:ascii="Times New Roman" w:hAnsi="Times New Roman" w:cs="Times New Roman"/>
          <w:noProof/>
        </w:rPr>
        <w:t xml:space="preserve">. https://doi.org/https://www.rstudio.com </w:t>
      </w:r>
    </w:p>
    <w:p w14:paraId="0DC74755"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Revelle, W. (2018). psych: Procedures for psychological, psychometric, and personality research. R package version 1.8.10. </w:t>
      </w:r>
    </w:p>
    <w:p w14:paraId="310836A3"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lastRenderedPageBreak/>
        <w:t xml:space="preserve">Richards, D., &amp; Richardson, T. (2012). Computer-based psychological treatments for depression: A systematic review and meta-analysis. </w:t>
      </w:r>
      <w:r w:rsidRPr="003E489B">
        <w:rPr>
          <w:rFonts w:ascii="Times New Roman" w:hAnsi="Times New Roman" w:cs="Times New Roman"/>
          <w:i/>
          <w:noProof/>
        </w:rPr>
        <w:t>Clinical Psychology Review, 32</w:t>
      </w:r>
      <w:r w:rsidRPr="003E489B">
        <w:rPr>
          <w:rFonts w:ascii="Times New Roman" w:hAnsi="Times New Roman" w:cs="Times New Roman"/>
          <w:noProof/>
        </w:rPr>
        <w:t xml:space="preserve">(4). </w:t>
      </w:r>
      <w:r>
        <w:rPr>
          <w:rFonts w:ascii="Times New Roman" w:hAnsi="Times New Roman" w:cs="Times New Roman"/>
          <w:noProof/>
        </w:rPr>
        <w:t>https://doi.org/10.1016/j.cpr.2012.02.004</w:t>
      </w:r>
    </w:p>
    <w:p w14:paraId="2324CBE1"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Rogers, K., Banis, M., Falkenstein, M. J., Malloy, E. J., McDonough, L., Nelson, S. O., Rusch, N., &amp; Haaga, D. A. (2014). Stepped care in the treatment of trichotillomania. </w:t>
      </w:r>
      <w:r w:rsidRPr="003E489B">
        <w:rPr>
          <w:rFonts w:ascii="Times New Roman" w:hAnsi="Times New Roman" w:cs="Times New Roman"/>
          <w:i/>
          <w:noProof/>
        </w:rPr>
        <w:t>Journal of Consulting and Clinical Psychology, 82</w:t>
      </w:r>
      <w:r w:rsidRPr="003E489B">
        <w:rPr>
          <w:rFonts w:ascii="Times New Roman" w:hAnsi="Times New Roman" w:cs="Times New Roman"/>
          <w:noProof/>
        </w:rPr>
        <w:t xml:space="preserve">(2), 361-367. https://doi.org/10.1037/a0035744 </w:t>
      </w:r>
    </w:p>
    <w:p w14:paraId="55AE4736"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Spek, V., Cuijpers, P., Nyklicek, I., Riper, H., Keyzer, J., &amp; Pop, V. (2007). Internet-based congitive behaviour therapy for symptoms of depression and anxiety: A meta-analysis. </w:t>
      </w:r>
      <w:r w:rsidRPr="003E489B">
        <w:rPr>
          <w:rFonts w:ascii="Times New Roman" w:hAnsi="Times New Roman" w:cs="Times New Roman"/>
          <w:i/>
          <w:noProof/>
        </w:rPr>
        <w:t>Psychological Medicine, 37</w:t>
      </w:r>
      <w:r w:rsidRPr="003E489B">
        <w:rPr>
          <w:rFonts w:ascii="Times New Roman" w:hAnsi="Times New Roman" w:cs="Times New Roman"/>
          <w:noProof/>
        </w:rPr>
        <w:t>, 319-328.</w:t>
      </w:r>
      <w:r>
        <w:rPr>
          <w:rFonts w:ascii="Times New Roman" w:hAnsi="Times New Roman" w:cs="Times New Roman"/>
          <w:noProof/>
        </w:rPr>
        <w:t xml:space="preserve"> https://doi.org/10.1017/S0033291706008944</w:t>
      </w:r>
      <w:r w:rsidRPr="003E489B">
        <w:rPr>
          <w:rFonts w:ascii="Times New Roman" w:hAnsi="Times New Roman" w:cs="Times New Roman"/>
          <w:noProof/>
        </w:rPr>
        <w:t xml:space="preserve"> </w:t>
      </w:r>
    </w:p>
    <w:p w14:paraId="19EEBF9B"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Stein, D. J., Christenson, G. A., &amp; Hollander, E. (1999). </w:t>
      </w:r>
      <w:r w:rsidRPr="003E489B">
        <w:rPr>
          <w:rFonts w:ascii="Times New Roman" w:hAnsi="Times New Roman" w:cs="Times New Roman"/>
          <w:i/>
          <w:noProof/>
        </w:rPr>
        <w:t>Trichotillomania</w:t>
      </w:r>
      <w:r w:rsidRPr="003E489B">
        <w:rPr>
          <w:rFonts w:ascii="Times New Roman" w:hAnsi="Times New Roman" w:cs="Times New Roman"/>
          <w:noProof/>
        </w:rPr>
        <w:t xml:space="preserve">. American Psychiatric Press. </w:t>
      </w:r>
    </w:p>
    <w:p w14:paraId="36067A7A" w14:textId="757BC874"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Tolin, D. F., Bowe, W., Davis, E., Hannan, S., Springer, K., Worden, B., Wooton, B. M., Bragdon, L., Gilliam, C., Hallion, L. S., &amp; Steinman, S. A. (2016). Diagnostic </w:t>
      </w:r>
      <w:r w:rsidR="0052481E">
        <w:rPr>
          <w:rFonts w:ascii="Times New Roman" w:hAnsi="Times New Roman" w:cs="Times New Roman"/>
          <w:noProof/>
        </w:rPr>
        <w:t>i</w:t>
      </w:r>
      <w:r w:rsidRPr="003E489B">
        <w:rPr>
          <w:rFonts w:ascii="Times New Roman" w:hAnsi="Times New Roman" w:cs="Times New Roman"/>
          <w:noProof/>
        </w:rPr>
        <w:t xml:space="preserve">nterview for </w:t>
      </w:r>
      <w:r w:rsidR="0052481E">
        <w:rPr>
          <w:rFonts w:ascii="Times New Roman" w:hAnsi="Times New Roman" w:cs="Times New Roman"/>
          <w:noProof/>
        </w:rPr>
        <w:t>a</w:t>
      </w:r>
      <w:r w:rsidRPr="003E489B">
        <w:rPr>
          <w:rFonts w:ascii="Times New Roman" w:hAnsi="Times New Roman" w:cs="Times New Roman"/>
          <w:noProof/>
        </w:rPr>
        <w:t xml:space="preserve">nxiety, </w:t>
      </w:r>
      <w:r w:rsidR="0052481E">
        <w:rPr>
          <w:rFonts w:ascii="Times New Roman" w:hAnsi="Times New Roman" w:cs="Times New Roman"/>
          <w:noProof/>
        </w:rPr>
        <w:t>m</w:t>
      </w:r>
      <w:r w:rsidRPr="003E489B">
        <w:rPr>
          <w:rFonts w:ascii="Times New Roman" w:hAnsi="Times New Roman" w:cs="Times New Roman"/>
          <w:noProof/>
        </w:rPr>
        <w:t xml:space="preserve">ood, and OCD and </w:t>
      </w:r>
      <w:r w:rsidR="0052481E">
        <w:rPr>
          <w:rFonts w:ascii="Times New Roman" w:hAnsi="Times New Roman" w:cs="Times New Roman"/>
          <w:noProof/>
        </w:rPr>
        <w:t>r</w:t>
      </w:r>
      <w:r w:rsidRPr="003E489B">
        <w:rPr>
          <w:rFonts w:ascii="Times New Roman" w:hAnsi="Times New Roman" w:cs="Times New Roman"/>
          <w:noProof/>
        </w:rPr>
        <w:t xml:space="preserve">elated </w:t>
      </w:r>
      <w:r w:rsidR="0052481E">
        <w:rPr>
          <w:rFonts w:ascii="Times New Roman" w:hAnsi="Times New Roman" w:cs="Times New Roman"/>
          <w:noProof/>
        </w:rPr>
        <w:t>n</w:t>
      </w:r>
      <w:r w:rsidRPr="003E489B">
        <w:rPr>
          <w:rFonts w:ascii="Times New Roman" w:hAnsi="Times New Roman" w:cs="Times New Roman"/>
          <w:noProof/>
        </w:rPr>
        <w:t xml:space="preserve">europsychiatric </w:t>
      </w:r>
      <w:r w:rsidR="0052481E">
        <w:rPr>
          <w:rFonts w:ascii="Times New Roman" w:hAnsi="Times New Roman" w:cs="Times New Roman"/>
          <w:noProof/>
        </w:rPr>
        <w:t>d</w:t>
      </w:r>
      <w:r w:rsidRPr="003E489B">
        <w:rPr>
          <w:rFonts w:ascii="Times New Roman" w:hAnsi="Times New Roman" w:cs="Times New Roman"/>
          <w:noProof/>
        </w:rPr>
        <w:t xml:space="preserve">isorders (DIAMOND). </w:t>
      </w:r>
      <w:r w:rsidRPr="00DE3CAD">
        <w:rPr>
          <w:rFonts w:ascii="Times New Roman" w:hAnsi="Times New Roman" w:cs="Times New Roman"/>
          <w:iCs/>
          <w:noProof/>
        </w:rPr>
        <w:t>Institute of Living/Hartford HealthCare Corporation</w:t>
      </w:r>
      <w:r w:rsidR="00DE3CAD">
        <w:rPr>
          <w:rFonts w:ascii="Times New Roman" w:hAnsi="Times New Roman" w:cs="Times New Roman"/>
          <w:iCs/>
          <w:noProof/>
        </w:rPr>
        <w:t>.</w:t>
      </w:r>
      <w:r w:rsidRPr="003E489B">
        <w:rPr>
          <w:rFonts w:ascii="Times New Roman" w:hAnsi="Times New Roman" w:cs="Times New Roman"/>
          <w:i/>
          <w:noProof/>
        </w:rPr>
        <w:t xml:space="preserve"> </w:t>
      </w:r>
      <w:r w:rsidRPr="003E489B">
        <w:rPr>
          <w:rFonts w:ascii="Times New Roman" w:hAnsi="Times New Roman" w:cs="Times New Roman"/>
          <w:noProof/>
        </w:rPr>
        <w:t xml:space="preserve">1-128. </w:t>
      </w:r>
    </w:p>
    <w:p w14:paraId="319572A9"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Tolin, D. F., Gilliam, C., Wootton, B. M., Bowe, W., Bragdon, L. B., Davis, E., Hannan, S. E., Steinman, S. A., Worden, B., &amp; Hallion, L. S. (2018). Psychometric properties of a structured diagnostic interview for DSM-5 anxiety, mood, and obsessive-compulsive and related disroders.</w:t>
      </w:r>
      <w:r>
        <w:rPr>
          <w:rFonts w:ascii="Times New Roman" w:hAnsi="Times New Roman" w:cs="Times New Roman"/>
          <w:noProof/>
        </w:rPr>
        <w:t xml:space="preserve"> </w:t>
      </w:r>
      <w:r w:rsidRPr="003E489B">
        <w:rPr>
          <w:rFonts w:ascii="Times New Roman" w:hAnsi="Times New Roman" w:cs="Times New Roman"/>
          <w:i/>
          <w:noProof/>
        </w:rPr>
        <w:t>Assessment, 25</w:t>
      </w:r>
      <w:r w:rsidRPr="003E489B">
        <w:rPr>
          <w:rFonts w:ascii="Times New Roman" w:hAnsi="Times New Roman" w:cs="Times New Roman"/>
          <w:noProof/>
        </w:rPr>
        <w:t xml:space="preserve">(1), 3-13. https://doi.org/https://doi.org/10.1177/1073191116638410 </w:t>
      </w:r>
    </w:p>
    <w:p w14:paraId="4D5C9D27"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Torchiano, M. (2017). effsize: Efficient effect size computation. R package version 0.7.1. </w:t>
      </w:r>
      <w:r w:rsidRPr="003E489B">
        <w:rPr>
          <w:rFonts w:ascii="Times New Roman" w:hAnsi="Times New Roman" w:cs="Times New Roman"/>
          <w:i/>
          <w:noProof/>
        </w:rPr>
        <w:t>Retrieved from https://CRAN.R-project.org/package=effsize</w:t>
      </w:r>
      <w:r w:rsidRPr="003E489B">
        <w:rPr>
          <w:rFonts w:ascii="Times New Roman" w:hAnsi="Times New Roman" w:cs="Times New Roman"/>
          <w:noProof/>
        </w:rPr>
        <w:t xml:space="preserve">. </w:t>
      </w:r>
    </w:p>
    <w:p w14:paraId="7505C040"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Tullis, T., &amp; Albert, W. (2008). </w:t>
      </w:r>
      <w:r w:rsidRPr="003E489B">
        <w:rPr>
          <w:rFonts w:ascii="Times New Roman" w:hAnsi="Times New Roman" w:cs="Times New Roman"/>
          <w:i/>
          <w:noProof/>
        </w:rPr>
        <w:t>Measuring the user experience</w:t>
      </w:r>
      <w:r w:rsidRPr="003E489B">
        <w:rPr>
          <w:rFonts w:ascii="Times New Roman" w:hAnsi="Times New Roman" w:cs="Times New Roman"/>
          <w:noProof/>
        </w:rPr>
        <w:t xml:space="preserve">. Morgan Kaufmann. </w:t>
      </w:r>
    </w:p>
    <w:p w14:paraId="78AD4458" w14:textId="0A3B51CA"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lastRenderedPageBreak/>
        <w:t>Twohig, M. P., Bluett, E. J., Morrison, K. L., &amp; Woidneck, M. R. (2014). Habit Reversal.</w:t>
      </w:r>
      <w:r w:rsidRPr="003E489B">
        <w:rPr>
          <w:rFonts w:ascii="Times New Roman" w:hAnsi="Times New Roman" w:cs="Times New Roman"/>
          <w:i/>
          <w:noProof/>
        </w:rPr>
        <w:t xml:space="preserve"> Wiley Handbook of Cognitive Behavioral Therapy</w:t>
      </w:r>
      <w:r w:rsidR="00897F58">
        <w:rPr>
          <w:rFonts w:ascii="Times New Roman" w:hAnsi="Times New Roman" w:cs="Times New Roman"/>
          <w:i/>
          <w:noProof/>
        </w:rPr>
        <w:t xml:space="preserve">, </w:t>
      </w:r>
      <w:r>
        <w:rPr>
          <w:rFonts w:ascii="Times New Roman" w:hAnsi="Times New Roman" w:cs="Times New Roman"/>
          <w:noProof/>
        </w:rPr>
        <w:t>Wiley Blackwell.</w:t>
      </w:r>
      <w:r w:rsidR="00897F58">
        <w:rPr>
          <w:rFonts w:ascii="Times New Roman" w:hAnsi="Times New Roman" w:cs="Times New Roman"/>
          <w:noProof/>
        </w:rPr>
        <w:t xml:space="preserve"> 203-221.</w:t>
      </w:r>
    </w:p>
    <w:p w14:paraId="2A23CFCB"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Twohig, M. P., Hayes, S. C., &amp; Masuda, A. (2006). A preliminary investigation of acceptance and commitment therapy as a treatment for chronic skin picking. </w:t>
      </w:r>
      <w:r w:rsidRPr="003E489B">
        <w:rPr>
          <w:rFonts w:ascii="Times New Roman" w:hAnsi="Times New Roman" w:cs="Times New Roman"/>
          <w:i/>
          <w:noProof/>
        </w:rPr>
        <w:t>Behaviour Research and Therapy, 44</w:t>
      </w:r>
      <w:r w:rsidRPr="003E489B">
        <w:rPr>
          <w:rFonts w:ascii="Times New Roman" w:hAnsi="Times New Roman" w:cs="Times New Roman"/>
          <w:noProof/>
        </w:rPr>
        <w:t>(10), 1513-1522. https://doi.org/10.1016/j.brat.2005.10.002</w:t>
      </w:r>
    </w:p>
    <w:p w14:paraId="3AE760E9"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Twohig, M. P., Hayes, S. C., Plumb, J. C., Pruitt, L. D., Collins, A. B., Hazlett-Stevens, H., &amp; Woidneck, M. R. (2010). A randomized clinical trial of acceptance and commitment therapy versus progressive relaxation training for obsessive-compulsive disorder. </w:t>
      </w:r>
      <w:r w:rsidRPr="003E489B">
        <w:rPr>
          <w:rFonts w:ascii="Times New Roman" w:hAnsi="Times New Roman" w:cs="Times New Roman"/>
          <w:i/>
          <w:noProof/>
        </w:rPr>
        <w:t>Journal of Consulting and Clinical Psychology, 78</w:t>
      </w:r>
      <w:r w:rsidRPr="003E489B">
        <w:rPr>
          <w:rFonts w:ascii="Times New Roman" w:hAnsi="Times New Roman" w:cs="Times New Roman"/>
          <w:noProof/>
        </w:rPr>
        <w:t xml:space="preserve">(5), 705-716. https://doi.org/10.1037/a0020508 </w:t>
      </w:r>
    </w:p>
    <w:p w14:paraId="597D8D08"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Twohig, M. P., Morrison, K. L., &amp; Bluett, E. J. (2014). Acceptance and commitment therapy for obsessive compulsive disorder and obsessive compulsive spectrum disorders: A review. </w:t>
      </w:r>
      <w:r w:rsidRPr="003E489B">
        <w:rPr>
          <w:rFonts w:ascii="Times New Roman" w:hAnsi="Times New Roman" w:cs="Times New Roman"/>
          <w:i/>
          <w:noProof/>
        </w:rPr>
        <w:t>Current Psychiatry Reviews, 10</w:t>
      </w:r>
      <w:r w:rsidRPr="003E489B">
        <w:rPr>
          <w:rFonts w:ascii="Times New Roman" w:hAnsi="Times New Roman" w:cs="Times New Roman"/>
          <w:noProof/>
        </w:rPr>
        <w:t xml:space="preserve">(4), 296-307. https://doi.org/10.1016/j.janxdis.2014.06.008 </w:t>
      </w:r>
    </w:p>
    <w:p w14:paraId="2C56C675" w14:textId="3ABF0CAA" w:rsidR="00584597" w:rsidRPr="003E489B" w:rsidRDefault="00584597" w:rsidP="00897F58">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Twohig, M. P., Petersen, J. M., Fruge, J., Ong, C. W., Barney, J. L., Krafft, J., Lee, E. B., &amp; Levin, M. E. (2021). A Pilot </w:t>
      </w:r>
      <w:r w:rsidR="0052481E">
        <w:rPr>
          <w:rFonts w:ascii="Times New Roman" w:hAnsi="Times New Roman" w:cs="Times New Roman"/>
          <w:noProof/>
        </w:rPr>
        <w:t>r</w:t>
      </w:r>
      <w:r w:rsidRPr="003E489B">
        <w:rPr>
          <w:rFonts w:ascii="Times New Roman" w:hAnsi="Times New Roman" w:cs="Times New Roman"/>
          <w:noProof/>
        </w:rPr>
        <w:t xml:space="preserve">andomized </w:t>
      </w:r>
      <w:r w:rsidR="0052481E">
        <w:rPr>
          <w:rFonts w:ascii="Times New Roman" w:hAnsi="Times New Roman" w:cs="Times New Roman"/>
          <w:noProof/>
        </w:rPr>
        <w:t>c</w:t>
      </w:r>
      <w:r w:rsidRPr="003E489B">
        <w:rPr>
          <w:rFonts w:ascii="Times New Roman" w:hAnsi="Times New Roman" w:cs="Times New Roman"/>
          <w:noProof/>
        </w:rPr>
        <w:t xml:space="preserve">ontrolled </w:t>
      </w:r>
      <w:r w:rsidR="0052481E">
        <w:rPr>
          <w:rFonts w:ascii="Times New Roman" w:hAnsi="Times New Roman" w:cs="Times New Roman"/>
          <w:noProof/>
        </w:rPr>
        <w:t>t</w:t>
      </w:r>
      <w:r w:rsidRPr="003E489B">
        <w:rPr>
          <w:rFonts w:ascii="Times New Roman" w:hAnsi="Times New Roman" w:cs="Times New Roman"/>
          <w:noProof/>
        </w:rPr>
        <w:t xml:space="preserve">rial of </w:t>
      </w:r>
      <w:r w:rsidR="0052481E">
        <w:rPr>
          <w:rFonts w:ascii="Times New Roman" w:hAnsi="Times New Roman" w:cs="Times New Roman"/>
          <w:noProof/>
        </w:rPr>
        <w:t>o</w:t>
      </w:r>
      <w:r w:rsidRPr="003E489B">
        <w:rPr>
          <w:rFonts w:ascii="Times New Roman" w:hAnsi="Times New Roman" w:cs="Times New Roman"/>
          <w:noProof/>
        </w:rPr>
        <w:t xml:space="preserve">nline </w:t>
      </w:r>
      <w:r w:rsidR="0052481E">
        <w:rPr>
          <w:rFonts w:ascii="Times New Roman" w:hAnsi="Times New Roman" w:cs="Times New Roman"/>
          <w:noProof/>
        </w:rPr>
        <w:t>d</w:t>
      </w:r>
      <w:r w:rsidRPr="003E489B">
        <w:rPr>
          <w:rFonts w:ascii="Times New Roman" w:hAnsi="Times New Roman" w:cs="Times New Roman"/>
          <w:noProof/>
        </w:rPr>
        <w:t>elivered ACT-</w:t>
      </w:r>
      <w:r w:rsidR="0052481E">
        <w:rPr>
          <w:rFonts w:ascii="Times New Roman" w:hAnsi="Times New Roman" w:cs="Times New Roman"/>
          <w:noProof/>
        </w:rPr>
        <w:t>e</w:t>
      </w:r>
      <w:r w:rsidRPr="003E489B">
        <w:rPr>
          <w:rFonts w:ascii="Times New Roman" w:hAnsi="Times New Roman" w:cs="Times New Roman"/>
          <w:noProof/>
        </w:rPr>
        <w:t xml:space="preserve">nhanced </w:t>
      </w:r>
      <w:r w:rsidR="0052481E">
        <w:rPr>
          <w:rFonts w:ascii="Times New Roman" w:hAnsi="Times New Roman" w:cs="Times New Roman"/>
          <w:noProof/>
        </w:rPr>
        <w:t>b</w:t>
      </w:r>
      <w:r w:rsidRPr="003E489B">
        <w:rPr>
          <w:rFonts w:ascii="Times New Roman" w:hAnsi="Times New Roman" w:cs="Times New Roman"/>
          <w:noProof/>
        </w:rPr>
        <w:t xml:space="preserve">ehavior </w:t>
      </w:r>
      <w:r w:rsidR="0052481E">
        <w:rPr>
          <w:rFonts w:ascii="Times New Roman" w:hAnsi="Times New Roman" w:cs="Times New Roman"/>
          <w:noProof/>
        </w:rPr>
        <w:t>t</w:t>
      </w:r>
      <w:r w:rsidRPr="003E489B">
        <w:rPr>
          <w:rFonts w:ascii="Times New Roman" w:hAnsi="Times New Roman" w:cs="Times New Roman"/>
          <w:noProof/>
        </w:rPr>
        <w:t xml:space="preserve">herapy for </w:t>
      </w:r>
      <w:r w:rsidR="0052481E">
        <w:rPr>
          <w:rFonts w:ascii="Times New Roman" w:hAnsi="Times New Roman" w:cs="Times New Roman"/>
          <w:noProof/>
        </w:rPr>
        <w:t>t</w:t>
      </w:r>
      <w:r w:rsidRPr="003E489B">
        <w:rPr>
          <w:rFonts w:ascii="Times New Roman" w:hAnsi="Times New Roman" w:cs="Times New Roman"/>
          <w:noProof/>
        </w:rPr>
        <w:t xml:space="preserve">richotillomania in </w:t>
      </w:r>
      <w:r w:rsidR="0052481E">
        <w:rPr>
          <w:rFonts w:ascii="Times New Roman" w:hAnsi="Times New Roman" w:cs="Times New Roman"/>
          <w:noProof/>
        </w:rPr>
        <w:t>a</w:t>
      </w:r>
      <w:r w:rsidRPr="003E489B">
        <w:rPr>
          <w:rFonts w:ascii="Times New Roman" w:hAnsi="Times New Roman" w:cs="Times New Roman"/>
          <w:noProof/>
        </w:rPr>
        <w:t xml:space="preserve">dolescents. </w:t>
      </w:r>
      <w:r w:rsidRPr="003E489B">
        <w:rPr>
          <w:rFonts w:ascii="Times New Roman" w:hAnsi="Times New Roman" w:cs="Times New Roman"/>
          <w:i/>
          <w:noProof/>
        </w:rPr>
        <w:t>Cognitive and Behavioral Practice</w:t>
      </w:r>
      <w:r w:rsidRPr="003E489B">
        <w:rPr>
          <w:rFonts w:ascii="Times New Roman" w:hAnsi="Times New Roman" w:cs="Times New Roman"/>
          <w:noProof/>
        </w:rPr>
        <w:t>.</w:t>
      </w:r>
      <w:r w:rsidR="00897F58">
        <w:rPr>
          <w:rFonts w:ascii="Times New Roman" w:hAnsi="Times New Roman" w:cs="Times New Roman"/>
          <w:noProof/>
        </w:rPr>
        <w:t xml:space="preserve"> </w:t>
      </w:r>
      <w:r w:rsidR="00897F58">
        <w:rPr>
          <w:rFonts w:ascii="Times New Roman" w:hAnsi="Times New Roman" w:cs="Times New Roman"/>
          <w:i/>
          <w:iCs/>
          <w:noProof/>
        </w:rPr>
        <w:t>28</w:t>
      </w:r>
      <w:r w:rsidR="00897F58">
        <w:rPr>
          <w:rFonts w:ascii="Times New Roman" w:hAnsi="Times New Roman" w:cs="Times New Roman"/>
          <w:noProof/>
        </w:rPr>
        <w:t xml:space="preserve">(4) 653-668. </w:t>
      </w:r>
      <w:r w:rsidRPr="003E489B">
        <w:rPr>
          <w:rFonts w:ascii="Times New Roman" w:hAnsi="Times New Roman" w:cs="Times New Roman"/>
          <w:noProof/>
        </w:rPr>
        <w:t xml:space="preserve"> </w:t>
      </w:r>
      <w:r>
        <w:rPr>
          <w:rFonts w:ascii="Times New Roman" w:hAnsi="Times New Roman" w:cs="Times New Roman"/>
          <w:noProof/>
        </w:rPr>
        <w:t>https://doi.org/10.1016/j.cbpra.2021.01.004</w:t>
      </w:r>
    </w:p>
    <w:p w14:paraId="1808428F"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Twohig, M. P., &amp; Woods, D. W. (2004). A preliminary investigation of acceptance and commitment therapy and habit reversal as a treatment for trichotillomania. </w:t>
      </w:r>
      <w:r w:rsidRPr="003E489B">
        <w:rPr>
          <w:rFonts w:ascii="Times New Roman" w:hAnsi="Times New Roman" w:cs="Times New Roman"/>
          <w:i/>
          <w:noProof/>
        </w:rPr>
        <w:t>Behavior Therapy, 35</w:t>
      </w:r>
      <w:r w:rsidRPr="003E489B">
        <w:rPr>
          <w:rFonts w:ascii="Times New Roman" w:hAnsi="Times New Roman" w:cs="Times New Roman"/>
          <w:noProof/>
        </w:rPr>
        <w:t xml:space="preserve">(4), 803-820. https://doi.org/10.1016/j.brat.2005.10.002 </w:t>
      </w:r>
    </w:p>
    <w:p w14:paraId="0FEE2971"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Walther, M. R., Ricketts, E. J., Conelea, C. A., &amp; Woods, D. W. (2010). Recent advances in the understanding and treatment of trichotillomania. </w:t>
      </w:r>
      <w:r w:rsidRPr="003E489B">
        <w:rPr>
          <w:rFonts w:ascii="Times New Roman" w:hAnsi="Times New Roman" w:cs="Times New Roman"/>
          <w:i/>
          <w:noProof/>
        </w:rPr>
        <w:t>Journal of Cognitive Psychotherapy, 24</w:t>
      </w:r>
      <w:r w:rsidRPr="003E489B">
        <w:rPr>
          <w:rFonts w:ascii="Times New Roman" w:hAnsi="Times New Roman" w:cs="Times New Roman"/>
          <w:noProof/>
        </w:rPr>
        <w:t xml:space="preserve">(1), 46-64. https://doi.org/ 10.1891/0889-8391.24.1.46 </w:t>
      </w:r>
    </w:p>
    <w:p w14:paraId="3EB87E16"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lastRenderedPageBreak/>
        <w:t xml:space="preserve">Wickham, H. (2017). </w:t>
      </w:r>
      <w:r w:rsidRPr="003E489B">
        <w:rPr>
          <w:rFonts w:ascii="Times New Roman" w:hAnsi="Times New Roman" w:cs="Times New Roman"/>
          <w:i/>
          <w:noProof/>
        </w:rPr>
        <w:t>tidyverse: Easily install and load 'Tidyverse' packages. R package version 1.1.1.</w:t>
      </w:r>
      <w:r w:rsidRPr="003E489B">
        <w:rPr>
          <w:rFonts w:ascii="Times New Roman" w:hAnsi="Times New Roman" w:cs="Times New Roman"/>
          <w:noProof/>
        </w:rPr>
        <w:t xml:space="preserve"> http://CRAN.R-project.org/package=tidyverse</w:t>
      </w:r>
    </w:p>
    <w:p w14:paraId="46C9E803" w14:textId="5C2A4204" w:rsidR="00584597"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Wilke, C. O. (2018). </w:t>
      </w:r>
      <w:r w:rsidR="0052481E">
        <w:rPr>
          <w:rFonts w:ascii="Times New Roman" w:hAnsi="Times New Roman" w:cs="Times New Roman"/>
          <w:noProof/>
        </w:rPr>
        <w:t>C</w:t>
      </w:r>
      <w:r w:rsidRPr="003E489B">
        <w:rPr>
          <w:rFonts w:ascii="Times New Roman" w:hAnsi="Times New Roman" w:cs="Times New Roman"/>
          <w:noProof/>
        </w:rPr>
        <w:t xml:space="preserve">owplot: Streamlined </w:t>
      </w:r>
      <w:r w:rsidR="0052481E">
        <w:rPr>
          <w:rFonts w:ascii="Times New Roman" w:hAnsi="Times New Roman" w:cs="Times New Roman"/>
          <w:noProof/>
        </w:rPr>
        <w:t>p</w:t>
      </w:r>
      <w:r w:rsidRPr="003E489B">
        <w:rPr>
          <w:rFonts w:ascii="Times New Roman" w:hAnsi="Times New Roman" w:cs="Times New Roman"/>
          <w:noProof/>
        </w:rPr>
        <w:t xml:space="preserve">lot </w:t>
      </w:r>
      <w:r w:rsidR="0052481E">
        <w:rPr>
          <w:rFonts w:ascii="Times New Roman" w:hAnsi="Times New Roman" w:cs="Times New Roman"/>
          <w:noProof/>
        </w:rPr>
        <w:t>t</w:t>
      </w:r>
      <w:r w:rsidRPr="003E489B">
        <w:rPr>
          <w:rFonts w:ascii="Times New Roman" w:hAnsi="Times New Roman" w:cs="Times New Roman"/>
          <w:noProof/>
        </w:rPr>
        <w:t xml:space="preserve">heme and </w:t>
      </w:r>
      <w:r w:rsidR="0052481E">
        <w:rPr>
          <w:rFonts w:ascii="Times New Roman" w:hAnsi="Times New Roman" w:cs="Times New Roman"/>
          <w:noProof/>
        </w:rPr>
        <w:t>p</w:t>
      </w:r>
      <w:r w:rsidRPr="003E489B">
        <w:rPr>
          <w:rFonts w:ascii="Times New Roman" w:hAnsi="Times New Roman" w:cs="Times New Roman"/>
          <w:noProof/>
        </w:rPr>
        <w:t xml:space="preserve">lot </w:t>
      </w:r>
      <w:r w:rsidR="0052481E">
        <w:rPr>
          <w:rFonts w:ascii="Times New Roman" w:hAnsi="Times New Roman" w:cs="Times New Roman"/>
          <w:noProof/>
        </w:rPr>
        <w:t>a</w:t>
      </w:r>
      <w:r w:rsidRPr="003E489B">
        <w:rPr>
          <w:rFonts w:ascii="Times New Roman" w:hAnsi="Times New Roman" w:cs="Times New Roman"/>
          <w:noProof/>
        </w:rPr>
        <w:t xml:space="preserve">nnotations for ‘ggplot2’ </w:t>
      </w:r>
      <w:r w:rsidRPr="003E489B">
        <w:rPr>
          <w:rFonts w:ascii="Times New Roman" w:hAnsi="Times New Roman" w:cs="Times New Roman"/>
          <w:i/>
          <w:noProof/>
        </w:rPr>
        <w:t>Retrieved from https://CRAN.R-project.org/package=cowplot</w:t>
      </w:r>
      <w:r w:rsidRPr="003E489B">
        <w:rPr>
          <w:rFonts w:ascii="Times New Roman" w:hAnsi="Times New Roman" w:cs="Times New Roman"/>
          <w:noProof/>
        </w:rPr>
        <w:t xml:space="preserve">. </w:t>
      </w:r>
    </w:p>
    <w:p w14:paraId="5C337070" w14:textId="303B1238" w:rsidR="00800112" w:rsidRPr="00800112" w:rsidRDefault="00800112" w:rsidP="00F80176">
      <w:pPr>
        <w:pStyle w:val="EndNoteBibliography"/>
        <w:spacing w:line="480" w:lineRule="auto"/>
        <w:ind w:left="720" w:hanging="720"/>
        <w:rPr>
          <w:rFonts w:ascii="Times New Roman" w:hAnsi="Times New Roman" w:cs="Times New Roman"/>
          <w:noProof/>
        </w:rPr>
      </w:pPr>
      <w:r w:rsidRPr="00800112">
        <w:rPr>
          <w:rFonts w:ascii="Times New Roman" w:hAnsi="Times New Roman" w:cs="Times New Roman"/>
          <w:color w:val="000000"/>
        </w:rPr>
        <w:t xml:space="preserve">Woods, D. W., Ely, L. J., Bauer, C. C., Twohig, M. P., Saunders, S. M., Compton, S. N., ... &amp; Franklin, M. E. (2022). Acceptance-enhanced behavior therapy for trichotillomania in adults: A randomized clinical trial. </w:t>
      </w:r>
      <w:proofErr w:type="spellStart"/>
      <w:r w:rsidRPr="00800112">
        <w:rPr>
          <w:rFonts w:ascii="Times New Roman" w:hAnsi="Times New Roman" w:cs="Times New Roman"/>
          <w:color w:val="000000"/>
        </w:rPr>
        <w:t>Behaviour</w:t>
      </w:r>
      <w:proofErr w:type="spellEnd"/>
      <w:r w:rsidRPr="00800112">
        <w:rPr>
          <w:rFonts w:ascii="Times New Roman" w:hAnsi="Times New Roman" w:cs="Times New Roman"/>
          <w:color w:val="000000"/>
        </w:rPr>
        <w:t xml:space="preserve"> Research and Therapy, 158, 104187.</w:t>
      </w:r>
    </w:p>
    <w:p w14:paraId="4AD682A5" w14:textId="4E38F496"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Woods, D. W., Flessner, C. A., Franklin, M. E., Keuthen, N. J., Goodwin, R. D., Stein, D. J., &amp; Walther, M. R. (2006). The </w:t>
      </w:r>
      <w:r w:rsidR="0052481E">
        <w:rPr>
          <w:rFonts w:ascii="Times New Roman" w:hAnsi="Times New Roman" w:cs="Times New Roman"/>
          <w:noProof/>
        </w:rPr>
        <w:t>t</w:t>
      </w:r>
      <w:r w:rsidRPr="003E489B">
        <w:rPr>
          <w:rFonts w:ascii="Times New Roman" w:hAnsi="Times New Roman" w:cs="Times New Roman"/>
          <w:noProof/>
        </w:rPr>
        <w:t xml:space="preserve">richotillomania </w:t>
      </w:r>
      <w:r w:rsidR="0052481E">
        <w:rPr>
          <w:rFonts w:ascii="Times New Roman" w:hAnsi="Times New Roman" w:cs="Times New Roman"/>
          <w:noProof/>
        </w:rPr>
        <w:t>i</w:t>
      </w:r>
      <w:r w:rsidRPr="003E489B">
        <w:rPr>
          <w:rFonts w:ascii="Times New Roman" w:hAnsi="Times New Roman" w:cs="Times New Roman"/>
          <w:noProof/>
        </w:rPr>
        <w:t xml:space="preserve">mpact </w:t>
      </w:r>
      <w:r w:rsidR="0052481E">
        <w:rPr>
          <w:rFonts w:ascii="Times New Roman" w:hAnsi="Times New Roman" w:cs="Times New Roman"/>
          <w:noProof/>
        </w:rPr>
        <w:t>p</w:t>
      </w:r>
      <w:r w:rsidRPr="003E489B">
        <w:rPr>
          <w:rFonts w:ascii="Times New Roman" w:hAnsi="Times New Roman" w:cs="Times New Roman"/>
          <w:noProof/>
        </w:rPr>
        <w:t xml:space="preserve">roject (TIP): </w:t>
      </w:r>
      <w:r w:rsidR="00A330DD">
        <w:rPr>
          <w:rFonts w:ascii="Times New Roman" w:hAnsi="Times New Roman" w:cs="Times New Roman"/>
          <w:noProof/>
        </w:rPr>
        <w:t>E</w:t>
      </w:r>
      <w:r w:rsidRPr="003E489B">
        <w:rPr>
          <w:rFonts w:ascii="Times New Roman" w:hAnsi="Times New Roman" w:cs="Times New Roman"/>
          <w:noProof/>
        </w:rPr>
        <w:t xml:space="preserve">xploring phenomenology, functional impairment, and treatment utilization. </w:t>
      </w:r>
      <w:r w:rsidRPr="003E489B">
        <w:rPr>
          <w:rFonts w:ascii="Times New Roman" w:hAnsi="Times New Roman" w:cs="Times New Roman"/>
          <w:i/>
          <w:noProof/>
        </w:rPr>
        <w:t>Journal of Clinical Psychiatry, 67</w:t>
      </w:r>
      <w:r w:rsidRPr="003E489B">
        <w:rPr>
          <w:rFonts w:ascii="Times New Roman" w:hAnsi="Times New Roman" w:cs="Times New Roman"/>
          <w:noProof/>
        </w:rPr>
        <w:t xml:space="preserve">(12), 1877. </w:t>
      </w:r>
    </w:p>
    <w:p w14:paraId="225EDFB1" w14:textId="0878E456"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Woods, D. W., Flessner, C. A., Franklin, M. E., Wetterneck, C. T., Walther, M. R., Anderson, E. R., &amp; Cardona, D. (2006). Understanding and </w:t>
      </w:r>
      <w:r w:rsidR="0052481E">
        <w:rPr>
          <w:rFonts w:ascii="Times New Roman" w:hAnsi="Times New Roman" w:cs="Times New Roman"/>
          <w:noProof/>
        </w:rPr>
        <w:t>t</w:t>
      </w:r>
      <w:r w:rsidRPr="003E489B">
        <w:rPr>
          <w:rFonts w:ascii="Times New Roman" w:hAnsi="Times New Roman" w:cs="Times New Roman"/>
          <w:noProof/>
        </w:rPr>
        <w:t xml:space="preserve">reating </w:t>
      </w:r>
      <w:r w:rsidR="00CE7DED">
        <w:rPr>
          <w:rFonts w:ascii="Times New Roman" w:hAnsi="Times New Roman" w:cs="Times New Roman"/>
          <w:noProof/>
        </w:rPr>
        <w:t>t</w:t>
      </w:r>
      <w:r w:rsidRPr="003E489B">
        <w:rPr>
          <w:rFonts w:ascii="Times New Roman" w:hAnsi="Times New Roman" w:cs="Times New Roman"/>
          <w:noProof/>
        </w:rPr>
        <w:t xml:space="preserve">richotillomania: What </w:t>
      </w:r>
      <w:r w:rsidR="00CE7DED">
        <w:rPr>
          <w:rFonts w:ascii="Times New Roman" w:hAnsi="Times New Roman" w:cs="Times New Roman"/>
          <w:noProof/>
        </w:rPr>
        <w:t>w</w:t>
      </w:r>
      <w:r w:rsidRPr="003E489B">
        <w:rPr>
          <w:rFonts w:ascii="Times New Roman" w:hAnsi="Times New Roman" w:cs="Times New Roman"/>
          <w:noProof/>
        </w:rPr>
        <w:t xml:space="preserve">e </w:t>
      </w:r>
      <w:r w:rsidR="00CE7DED">
        <w:rPr>
          <w:rFonts w:ascii="Times New Roman" w:hAnsi="Times New Roman" w:cs="Times New Roman"/>
          <w:noProof/>
        </w:rPr>
        <w:t>k</w:t>
      </w:r>
      <w:r w:rsidRPr="003E489B">
        <w:rPr>
          <w:rFonts w:ascii="Times New Roman" w:hAnsi="Times New Roman" w:cs="Times New Roman"/>
          <w:noProof/>
        </w:rPr>
        <w:t xml:space="preserve">now and </w:t>
      </w:r>
      <w:r w:rsidR="00CE7DED">
        <w:rPr>
          <w:rFonts w:ascii="Times New Roman" w:hAnsi="Times New Roman" w:cs="Times New Roman"/>
          <w:noProof/>
        </w:rPr>
        <w:t>w</w:t>
      </w:r>
      <w:r w:rsidRPr="003E489B">
        <w:rPr>
          <w:rFonts w:ascii="Times New Roman" w:hAnsi="Times New Roman" w:cs="Times New Roman"/>
          <w:noProof/>
        </w:rPr>
        <w:t xml:space="preserve">hat </w:t>
      </w:r>
      <w:r w:rsidR="00CE7DED">
        <w:rPr>
          <w:rFonts w:ascii="Times New Roman" w:hAnsi="Times New Roman" w:cs="Times New Roman"/>
          <w:noProof/>
        </w:rPr>
        <w:t>w</w:t>
      </w:r>
      <w:r w:rsidRPr="003E489B">
        <w:rPr>
          <w:rFonts w:ascii="Times New Roman" w:hAnsi="Times New Roman" w:cs="Times New Roman"/>
          <w:noProof/>
        </w:rPr>
        <w:t xml:space="preserve">e </w:t>
      </w:r>
      <w:r w:rsidR="00CE7DED">
        <w:rPr>
          <w:rFonts w:ascii="Times New Roman" w:hAnsi="Times New Roman" w:cs="Times New Roman"/>
          <w:noProof/>
        </w:rPr>
        <w:t>d</w:t>
      </w:r>
      <w:r w:rsidRPr="003E489B">
        <w:rPr>
          <w:rFonts w:ascii="Times New Roman" w:hAnsi="Times New Roman" w:cs="Times New Roman"/>
          <w:noProof/>
        </w:rPr>
        <w:t xml:space="preserve">on't </w:t>
      </w:r>
      <w:r w:rsidR="00CE7DED">
        <w:rPr>
          <w:rFonts w:ascii="Times New Roman" w:hAnsi="Times New Roman" w:cs="Times New Roman"/>
          <w:noProof/>
        </w:rPr>
        <w:t>k</w:t>
      </w:r>
      <w:r w:rsidRPr="003E489B">
        <w:rPr>
          <w:rFonts w:ascii="Times New Roman" w:hAnsi="Times New Roman" w:cs="Times New Roman"/>
          <w:noProof/>
        </w:rPr>
        <w:t xml:space="preserve">now. </w:t>
      </w:r>
      <w:r w:rsidRPr="003E489B">
        <w:rPr>
          <w:rFonts w:ascii="Times New Roman" w:hAnsi="Times New Roman" w:cs="Times New Roman"/>
          <w:i/>
          <w:noProof/>
        </w:rPr>
        <w:t>Psychiatric Clinics of North America, 29</w:t>
      </w:r>
      <w:r w:rsidRPr="003E489B">
        <w:rPr>
          <w:rFonts w:ascii="Times New Roman" w:hAnsi="Times New Roman" w:cs="Times New Roman"/>
          <w:noProof/>
        </w:rPr>
        <w:t xml:space="preserve">(2), 487-501. https://doi.org/0.1016/j.psc.2006.02.009 </w:t>
      </w:r>
    </w:p>
    <w:p w14:paraId="2CB8446C" w14:textId="77777777" w:rsidR="00584597" w:rsidRPr="003E489B" w:rsidRDefault="00584597" w:rsidP="00F80176">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Woods, D. W., &amp; Twohig, M. P. (2008). </w:t>
      </w:r>
      <w:r w:rsidRPr="003E489B">
        <w:rPr>
          <w:rFonts w:ascii="Times New Roman" w:hAnsi="Times New Roman" w:cs="Times New Roman"/>
          <w:i/>
          <w:noProof/>
        </w:rPr>
        <w:t>Trichotillomania: An ACT-enhanced behavior therapy approach therapist guide</w:t>
      </w:r>
      <w:r w:rsidRPr="003E489B">
        <w:rPr>
          <w:rFonts w:ascii="Times New Roman" w:hAnsi="Times New Roman" w:cs="Times New Roman"/>
          <w:noProof/>
        </w:rPr>
        <w:t xml:space="preserve">. Oxford University Press. </w:t>
      </w:r>
    </w:p>
    <w:p w14:paraId="3216379F" w14:textId="4E55B91D" w:rsidR="00584597" w:rsidRPr="00897F58" w:rsidRDefault="00584597" w:rsidP="00897F58">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Woods, D. W., Wetterneck, C. T., &amp; Flessner, C. A. (2006). A controlled evaluation of acceptance and commitment therapy plus habit reversal for trichotillomania. </w:t>
      </w:r>
      <w:r w:rsidRPr="003E489B">
        <w:rPr>
          <w:rFonts w:ascii="Times New Roman" w:hAnsi="Times New Roman" w:cs="Times New Roman"/>
          <w:i/>
          <w:noProof/>
        </w:rPr>
        <w:t>Behaviour Research and Therapy, 44</w:t>
      </w:r>
      <w:r w:rsidRPr="003E489B">
        <w:rPr>
          <w:rFonts w:ascii="Times New Roman" w:hAnsi="Times New Roman" w:cs="Times New Roman"/>
          <w:noProof/>
        </w:rPr>
        <w:t xml:space="preserve">(5), 639-656. https://doi.org/10.1016/j.brat.2005.05.006 </w:t>
      </w:r>
    </w:p>
    <w:p w14:paraId="1960A442" w14:textId="77777777" w:rsidR="00584597" w:rsidRDefault="00584597" w:rsidP="00584597">
      <w:pPr>
        <w:shd w:val="clear" w:color="auto" w:fill="FFFFFF"/>
        <w:spacing w:line="480" w:lineRule="auto"/>
        <w:textAlignment w:val="baseline"/>
        <w:rPr>
          <w:color w:val="000000"/>
        </w:rPr>
      </w:pPr>
    </w:p>
    <w:p w14:paraId="2B8A351F" w14:textId="77777777" w:rsidR="00584597" w:rsidRDefault="00584597" w:rsidP="00584597">
      <w:pPr>
        <w:shd w:val="clear" w:color="auto" w:fill="FFFFFF"/>
        <w:spacing w:line="480" w:lineRule="auto"/>
        <w:textAlignment w:val="baseline"/>
        <w:rPr>
          <w:color w:val="000000"/>
        </w:rPr>
      </w:pPr>
    </w:p>
    <w:p w14:paraId="7024A220" w14:textId="77777777" w:rsidR="00584597" w:rsidRDefault="00584597" w:rsidP="00584597">
      <w:pPr>
        <w:shd w:val="clear" w:color="auto" w:fill="FFFFFF"/>
        <w:spacing w:line="480" w:lineRule="auto"/>
        <w:textAlignment w:val="baseline"/>
        <w:rPr>
          <w:color w:val="000000"/>
        </w:rPr>
      </w:pPr>
    </w:p>
    <w:p w14:paraId="486CAAD9" w14:textId="77777777" w:rsidR="00584597" w:rsidRDefault="00584597" w:rsidP="00584597">
      <w:pPr>
        <w:shd w:val="clear" w:color="auto" w:fill="FFFFFF"/>
        <w:spacing w:line="480" w:lineRule="auto"/>
        <w:textAlignment w:val="baseline"/>
        <w:rPr>
          <w:color w:val="000000"/>
        </w:rPr>
      </w:pPr>
    </w:p>
    <w:p w14:paraId="6F6D6D0D" w14:textId="12A930A1" w:rsidR="00220917" w:rsidRDefault="00220917">
      <w:pPr>
        <w:rPr>
          <w:color w:val="000000"/>
        </w:rPr>
      </w:pPr>
    </w:p>
    <w:p w14:paraId="53FD7CA4" w14:textId="34E9233D" w:rsidR="004E680A" w:rsidRDefault="004E680A">
      <w:pPr>
        <w:rPr>
          <w:color w:val="000000"/>
        </w:rPr>
      </w:pPr>
      <w:r>
        <w:rPr>
          <w:color w:val="000000"/>
        </w:rPr>
        <w:br w:type="page"/>
      </w:r>
    </w:p>
    <w:p w14:paraId="0857036C" w14:textId="658541FE" w:rsidR="004E680A" w:rsidRDefault="004E680A" w:rsidP="004E680A">
      <w:pPr>
        <w:spacing w:line="480" w:lineRule="auto"/>
      </w:pPr>
      <w:r w:rsidRPr="00492F6E">
        <w:lastRenderedPageBreak/>
        <w:t xml:space="preserve">Figure </w:t>
      </w:r>
      <w:r w:rsidR="00C9078D">
        <w:t>1</w:t>
      </w:r>
      <w:r w:rsidRPr="00492F6E">
        <w:t xml:space="preserve"> </w:t>
      </w:r>
    </w:p>
    <w:p w14:paraId="3ABC73A8" w14:textId="6C3109F4" w:rsidR="004E680A" w:rsidRPr="002701E3" w:rsidRDefault="004E680A" w:rsidP="004E680A">
      <w:pPr>
        <w:spacing w:line="480" w:lineRule="auto"/>
        <w:rPr>
          <w:i/>
          <w:iCs/>
        </w:rPr>
      </w:pPr>
      <w:r w:rsidRPr="002701E3">
        <w:rPr>
          <w:i/>
          <w:iCs/>
        </w:rPr>
        <w:t xml:space="preserve">CONSORT </w:t>
      </w:r>
      <w:r w:rsidR="00AE5EF1">
        <w:rPr>
          <w:i/>
          <w:iCs/>
        </w:rPr>
        <w:t>D</w:t>
      </w:r>
      <w:r w:rsidRPr="002701E3">
        <w:rPr>
          <w:i/>
          <w:iCs/>
        </w:rPr>
        <w:t xml:space="preserve">iagram for </w:t>
      </w:r>
      <w:r w:rsidR="00AE5EF1">
        <w:rPr>
          <w:i/>
          <w:iCs/>
        </w:rPr>
        <w:t>P</w:t>
      </w:r>
      <w:r w:rsidRPr="002701E3">
        <w:rPr>
          <w:i/>
          <w:iCs/>
        </w:rPr>
        <w:t xml:space="preserve">articipant </w:t>
      </w:r>
      <w:r w:rsidR="00AE5EF1">
        <w:rPr>
          <w:i/>
          <w:iCs/>
        </w:rPr>
        <w:t>F</w:t>
      </w:r>
      <w:r w:rsidRPr="002701E3">
        <w:rPr>
          <w:i/>
          <w:iCs/>
        </w:rPr>
        <w:t xml:space="preserve">low in the </w:t>
      </w:r>
      <w:r w:rsidR="00AE5EF1">
        <w:rPr>
          <w:i/>
          <w:iCs/>
        </w:rPr>
        <w:t>F</w:t>
      </w:r>
      <w:r w:rsidRPr="002701E3">
        <w:rPr>
          <w:i/>
          <w:iCs/>
        </w:rPr>
        <w:t xml:space="preserve">ull </w:t>
      </w:r>
      <w:r w:rsidR="00AE5EF1">
        <w:rPr>
          <w:i/>
          <w:iCs/>
        </w:rPr>
        <w:t>S</w:t>
      </w:r>
      <w:r w:rsidRPr="002701E3">
        <w:rPr>
          <w:i/>
          <w:iCs/>
        </w:rPr>
        <w:t xml:space="preserve">ample </w:t>
      </w:r>
    </w:p>
    <w:p w14:paraId="6EF99E25" w14:textId="77777777" w:rsidR="00584597" w:rsidRDefault="00584597" w:rsidP="00584597">
      <w:pPr>
        <w:shd w:val="clear" w:color="auto" w:fill="FFFFFF"/>
        <w:spacing w:line="480" w:lineRule="auto"/>
        <w:textAlignment w:val="baseline"/>
        <w:rPr>
          <w:color w:val="000000"/>
        </w:rPr>
      </w:pPr>
    </w:p>
    <w:p w14:paraId="46BDEDC5" w14:textId="77777777" w:rsidR="00F4299E" w:rsidRDefault="00F4299E" w:rsidP="00584597">
      <w:pPr>
        <w:shd w:val="clear" w:color="auto" w:fill="FFFFFF"/>
        <w:spacing w:line="480" w:lineRule="auto"/>
        <w:textAlignment w:val="baseline"/>
        <w:rPr>
          <w:color w:val="000000"/>
        </w:rPr>
      </w:pPr>
    </w:p>
    <w:p w14:paraId="3EA36F3A" w14:textId="77777777" w:rsidR="00584597" w:rsidRPr="00492F6E" w:rsidRDefault="00584597" w:rsidP="00584597">
      <w:pPr>
        <w:shd w:val="clear" w:color="auto" w:fill="FFFFFF"/>
        <w:spacing w:line="480" w:lineRule="auto"/>
        <w:textAlignment w:val="baseline"/>
        <w:rPr>
          <w:color w:val="000000"/>
        </w:rPr>
      </w:pPr>
      <w:r w:rsidRPr="007D360B">
        <w:rPr>
          <w:b/>
          <w:bCs/>
          <w:noProof/>
        </w:rPr>
        <mc:AlternateContent>
          <mc:Choice Requires="wps">
            <w:drawing>
              <wp:anchor distT="0" distB="0" distL="114300" distR="114300" simplePos="0" relativeHeight="251659264" behindDoc="0" locked="0" layoutInCell="1" allowOverlap="1" wp14:anchorId="7636359B" wp14:editId="18B36A94">
                <wp:simplePos x="0" y="0"/>
                <wp:positionH relativeFrom="column">
                  <wp:posOffset>1955800</wp:posOffset>
                </wp:positionH>
                <wp:positionV relativeFrom="paragraph">
                  <wp:posOffset>-50800</wp:posOffset>
                </wp:positionV>
                <wp:extent cx="2057400" cy="4826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057400" cy="48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B4211E" w14:textId="77777777" w:rsidR="008E1F7B" w:rsidRPr="00492F6E" w:rsidRDefault="008E1F7B" w:rsidP="00584597">
                            <w:pPr>
                              <w:jc w:val="center"/>
                            </w:pPr>
                            <w:r w:rsidRPr="00492F6E">
                              <w:t>Assessed for eligibility via Zoom-intake (</w:t>
                            </w:r>
                            <w:r>
                              <w:t>n</w:t>
                            </w:r>
                            <w:r w:rsidRPr="00492F6E">
                              <w:t>= 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6359B" id="Rectangle 1" o:spid="_x0000_s1026" style="position:absolute;margin-left:154pt;margin-top:-4pt;width:162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" fillcolor="white [3201]" strokecolor="black [3213]" strokeweight="1pt">
                <v:textbox>
                  <w:txbxContent>
                    <w:p w14:paraId="30B4211E" w14:textId="77777777" w:rsidR="008E1F7B" w:rsidRPr="00492F6E" w:rsidRDefault="008E1F7B" w:rsidP="00584597">
                      <w:pPr>
                        <w:jc w:val="center"/>
                      </w:pPr>
                      <w:r w:rsidRPr="00492F6E">
                        <w:t>Assessed for eligibility via Zoom-intake (</w:t>
                      </w:r>
                      <w:r>
                        <w:t>n</w:t>
                      </w:r>
                      <w:r w:rsidRPr="00492F6E">
                        <w:t>= 85)</w:t>
                      </w:r>
                    </w:p>
                  </w:txbxContent>
                </v:textbox>
              </v:rect>
            </w:pict>
          </mc:Fallback>
        </mc:AlternateContent>
      </w:r>
    </w:p>
    <w:p w14:paraId="1EEEE122"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73600" behindDoc="0" locked="0" layoutInCell="1" allowOverlap="1" wp14:anchorId="360C7F91" wp14:editId="1886A250">
                <wp:simplePos x="0" y="0"/>
                <wp:positionH relativeFrom="column">
                  <wp:posOffset>2984500</wp:posOffset>
                </wp:positionH>
                <wp:positionV relativeFrom="paragraph">
                  <wp:posOffset>81280</wp:posOffset>
                </wp:positionV>
                <wp:extent cx="0" cy="1041400"/>
                <wp:effectExtent l="12700" t="0" r="25400" b="25400"/>
                <wp:wrapNone/>
                <wp:docPr id="2" name="Straight Connector 2"/>
                <wp:cNvGraphicFramePr/>
                <a:graphic xmlns:a="http://schemas.openxmlformats.org/drawingml/2006/main">
                  <a:graphicData uri="http://schemas.microsoft.com/office/word/2010/wordprocessingShape">
                    <wps:wsp>
                      <wps:cNvCnPr/>
                      <wps:spPr>
                        <a:xfrm>
                          <a:off x="0" y="0"/>
                          <a:ext cx="0" cy="10414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EF386"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4pt" to="23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" strokecolor="black [3213]" strokeweight="2.5pt">
                <v:stroke joinstyle="miter"/>
              </v:line>
            </w:pict>
          </mc:Fallback>
        </mc:AlternateContent>
      </w:r>
    </w:p>
    <w:p w14:paraId="4D3F9FC1" w14:textId="77777777" w:rsidR="00584597" w:rsidRPr="00492F6E" w:rsidRDefault="00584597" w:rsidP="00584597">
      <w:pPr>
        <w:jc w:val="center"/>
        <w:rPr>
          <w:b/>
          <w:bCs/>
        </w:rPr>
      </w:pPr>
      <w:r w:rsidRPr="00492F6E">
        <w:rPr>
          <w:i/>
          <w:noProof/>
        </w:rPr>
        <mc:AlternateContent>
          <mc:Choice Requires="wps">
            <w:drawing>
              <wp:anchor distT="0" distB="0" distL="114300" distR="114300" simplePos="0" relativeHeight="251679744" behindDoc="0" locked="0" layoutInCell="1" allowOverlap="1" wp14:anchorId="000D993A" wp14:editId="24BC0875">
                <wp:simplePos x="0" y="0"/>
                <wp:positionH relativeFrom="column">
                  <wp:posOffset>3644900</wp:posOffset>
                </wp:positionH>
                <wp:positionV relativeFrom="paragraph">
                  <wp:posOffset>45720</wp:posOffset>
                </wp:positionV>
                <wp:extent cx="2527300" cy="787400"/>
                <wp:effectExtent l="0" t="0" r="12700" b="1270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0" cy="787400"/>
                        </a:xfrm>
                        <a:prstGeom prst="rect">
                          <a:avLst/>
                        </a:prstGeom>
                        <a:solidFill>
                          <a:srgbClr val="FFFFFF"/>
                        </a:solidFill>
                        <a:ln w="9525">
                          <a:solidFill>
                            <a:srgbClr val="000000"/>
                          </a:solidFill>
                          <a:miter lim="800000"/>
                          <a:headEnd/>
                          <a:tailEnd/>
                        </a:ln>
                      </wps:spPr>
                      <wps:txbx>
                        <w:txbxContent>
                          <w:p w14:paraId="5ABE9770" w14:textId="77777777" w:rsidR="008E1F7B" w:rsidRPr="00492F6E" w:rsidRDefault="008E1F7B" w:rsidP="00584597">
                            <w:r w:rsidRPr="00492F6E">
                              <w:t>Residing outside U.S.  (n=3)</w:t>
                            </w:r>
                          </w:p>
                          <w:p w14:paraId="5CC47E93" w14:textId="77777777" w:rsidR="008E1F7B" w:rsidRPr="00492F6E" w:rsidRDefault="008E1F7B" w:rsidP="00584597">
                            <w:r w:rsidRPr="00492F6E">
                              <w:t>Trichotillomania symptoms not present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D993A" id="Rectangle 24" o:spid="_x0000_s1027" style="position:absolute;left:0;text-align:left;margin-left:287pt;margin-top:3.6pt;width:199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">
                <v:path arrowok="t"/>
                <v:textbox inset=",7.2pt,,7.2pt">
                  <w:txbxContent>
                    <w:p w14:paraId="5ABE9770" w14:textId="77777777" w:rsidR="008E1F7B" w:rsidRPr="00492F6E" w:rsidRDefault="008E1F7B" w:rsidP="00584597">
                      <w:r w:rsidRPr="00492F6E">
                        <w:t>Residing outside U.S.  (n=3)</w:t>
                      </w:r>
                    </w:p>
                    <w:p w14:paraId="5CC47E93" w14:textId="77777777" w:rsidR="008E1F7B" w:rsidRPr="00492F6E" w:rsidRDefault="008E1F7B" w:rsidP="00584597">
                      <w:r w:rsidRPr="00492F6E">
                        <w:t>Trichotillomania symptoms not present (n=1)</w:t>
                      </w:r>
                    </w:p>
                  </w:txbxContent>
                </v:textbox>
              </v:rect>
            </w:pict>
          </mc:Fallback>
        </mc:AlternateContent>
      </w:r>
    </w:p>
    <w:p w14:paraId="1CE0971E" w14:textId="77777777" w:rsidR="00584597" w:rsidRPr="00492F6E" w:rsidRDefault="00584597" w:rsidP="00584597">
      <w:pPr>
        <w:jc w:val="center"/>
        <w:rPr>
          <w:b/>
          <w:bCs/>
        </w:rPr>
      </w:pPr>
    </w:p>
    <w:p w14:paraId="6F1211DE" w14:textId="77777777" w:rsidR="00584597" w:rsidRPr="00492F6E" w:rsidRDefault="00584597" w:rsidP="00584597">
      <w:pPr>
        <w:jc w:val="center"/>
        <w:rPr>
          <w:b/>
          <w:bCs/>
        </w:rPr>
      </w:pPr>
      <w:r w:rsidRPr="00492F6E">
        <w:rPr>
          <w:i/>
          <w:noProof/>
        </w:rPr>
        <mc:AlternateContent>
          <mc:Choice Requires="wps">
            <w:drawing>
              <wp:anchor distT="36576" distB="36576" distL="36576" distR="36576" simplePos="0" relativeHeight="251678720" behindDoc="0" locked="0" layoutInCell="1" allowOverlap="1" wp14:anchorId="5C9D47CC" wp14:editId="18D835AD">
                <wp:simplePos x="0" y="0"/>
                <wp:positionH relativeFrom="column">
                  <wp:posOffset>2984500</wp:posOffset>
                </wp:positionH>
                <wp:positionV relativeFrom="paragraph">
                  <wp:posOffset>71120</wp:posOffset>
                </wp:positionV>
                <wp:extent cx="656590" cy="635"/>
                <wp:effectExtent l="0" t="63500" r="0" b="75565"/>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6ECC44" id="_x0000_t32" coordsize="21600,21600" o:spt="32" o:oned="t" path="m,l21600,21600e" filled="f">
                <v:path arrowok="t" fillok="f" o:connecttype="none"/>
                <o:lock v:ext="edit" shapetype="t"/>
              </v:shapetype>
              <v:shape id="AutoShape 42" o:spid="_x0000_s1026" type="#_x0000_t32" style="position:absolute;margin-left:235pt;margin-top:5.6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">
                <v:stroke endarrow="block"/>
                <v:shadow color="#ccc"/>
                <o:lock v:ext="edit" shapetype="f"/>
              </v:shape>
            </w:pict>
          </mc:Fallback>
        </mc:AlternateContent>
      </w:r>
    </w:p>
    <w:p w14:paraId="234465CA" w14:textId="77777777" w:rsidR="00584597" w:rsidRPr="00492F6E" w:rsidRDefault="00584597" w:rsidP="00584597">
      <w:pPr>
        <w:jc w:val="center"/>
        <w:rPr>
          <w:b/>
          <w:bCs/>
        </w:rPr>
      </w:pPr>
    </w:p>
    <w:p w14:paraId="1201BED7" w14:textId="77777777" w:rsidR="00584597" w:rsidRPr="00492F6E" w:rsidRDefault="00584597" w:rsidP="00584597">
      <w:pPr>
        <w:jc w:val="center"/>
        <w:rPr>
          <w:b/>
          <w:bCs/>
        </w:rPr>
      </w:pPr>
    </w:p>
    <w:p w14:paraId="68030A61"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60288" behindDoc="0" locked="0" layoutInCell="1" allowOverlap="1" wp14:anchorId="398FFC26" wp14:editId="63C91086">
                <wp:simplePos x="0" y="0"/>
                <wp:positionH relativeFrom="column">
                  <wp:posOffset>1957151</wp:posOffset>
                </wp:positionH>
                <wp:positionV relativeFrom="paragraph">
                  <wp:posOffset>70485</wp:posOffset>
                </wp:positionV>
                <wp:extent cx="2019300" cy="2794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019300" cy="27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5A9158" w14:textId="77777777" w:rsidR="008E1F7B" w:rsidRPr="00492F6E" w:rsidRDefault="008E1F7B" w:rsidP="00584597">
                            <w:pPr>
                              <w:jc w:val="center"/>
                            </w:pPr>
                            <w:r>
                              <w:t>Randomized (n=81)</w:t>
                            </w:r>
                            <w:r w:rsidRPr="00492F6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FFC26" id="Rectangle 5" o:spid="_x0000_s1028" style="position:absolute;left:0;text-align:left;margin-left:154.1pt;margin-top:5.55pt;width:159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" fillcolor="white [3201]" strokecolor="black [3213]" strokeweight="1pt">
                <v:textbox>
                  <w:txbxContent>
                    <w:p w14:paraId="0F5A9158" w14:textId="77777777" w:rsidR="008E1F7B" w:rsidRPr="00492F6E" w:rsidRDefault="008E1F7B" w:rsidP="00584597">
                      <w:pPr>
                        <w:jc w:val="center"/>
                      </w:pPr>
                      <w:r>
                        <w:t>Randomized (n=81)</w:t>
                      </w:r>
                      <w:r w:rsidRPr="00492F6E">
                        <w:t xml:space="preserve"> </w:t>
                      </w:r>
                    </w:p>
                  </w:txbxContent>
                </v:textbox>
              </v:rect>
            </w:pict>
          </mc:Fallback>
        </mc:AlternateContent>
      </w:r>
    </w:p>
    <w:p w14:paraId="57B227FE"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75648" behindDoc="0" locked="0" layoutInCell="1" allowOverlap="1" wp14:anchorId="338BD2E6" wp14:editId="1626A2D1">
                <wp:simplePos x="0" y="0"/>
                <wp:positionH relativeFrom="column">
                  <wp:posOffset>3799089</wp:posOffset>
                </wp:positionH>
                <wp:positionV relativeFrom="paragraph">
                  <wp:posOffset>174008</wp:posOffset>
                </wp:positionV>
                <wp:extent cx="682759" cy="311785"/>
                <wp:effectExtent l="12700" t="12700" r="28575" b="31115"/>
                <wp:wrapNone/>
                <wp:docPr id="6" name="Straight Connector 6"/>
                <wp:cNvGraphicFramePr/>
                <a:graphic xmlns:a="http://schemas.openxmlformats.org/drawingml/2006/main">
                  <a:graphicData uri="http://schemas.microsoft.com/office/word/2010/wordprocessingShape">
                    <wps:wsp>
                      <wps:cNvCnPr/>
                      <wps:spPr>
                        <a:xfrm>
                          <a:off x="0" y="0"/>
                          <a:ext cx="682759" cy="31178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68B1D"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5pt,13.7pt" to="352.9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" strokecolor="black [3213]" strokeweight="2.5pt">
                <v:stroke joinstyle="miter"/>
              </v:line>
            </w:pict>
          </mc:Fallback>
        </mc:AlternateContent>
      </w:r>
      <w:r w:rsidRPr="00492F6E">
        <w:rPr>
          <w:b/>
          <w:bCs/>
          <w:noProof/>
        </w:rPr>
        <mc:AlternateContent>
          <mc:Choice Requires="wps">
            <w:drawing>
              <wp:anchor distT="0" distB="0" distL="114300" distR="114300" simplePos="0" relativeHeight="251674624" behindDoc="0" locked="0" layoutInCell="1" allowOverlap="1" wp14:anchorId="6340D68F" wp14:editId="4974135A">
                <wp:simplePos x="0" y="0"/>
                <wp:positionH relativeFrom="column">
                  <wp:posOffset>1236192</wp:posOffset>
                </wp:positionH>
                <wp:positionV relativeFrom="paragraph">
                  <wp:posOffset>174008</wp:posOffset>
                </wp:positionV>
                <wp:extent cx="811548" cy="311865"/>
                <wp:effectExtent l="12700" t="12700" r="24130" b="29845"/>
                <wp:wrapNone/>
                <wp:docPr id="7" name="Straight Connector 7"/>
                <wp:cNvGraphicFramePr/>
                <a:graphic xmlns:a="http://schemas.openxmlformats.org/drawingml/2006/main">
                  <a:graphicData uri="http://schemas.microsoft.com/office/word/2010/wordprocessingShape">
                    <wps:wsp>
                      <wps:cNvCnPr/>
                      <wps:spPr>
                        <a:xfrm flipH="1">
                          <a:off x="0" y="0"/>
                          <a:ext cx="811548" cy="31186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70CBF" id="Straight Connector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5pt,13.7pt" to="161.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" strokecolor="black [3213]" strokeweight="2.5pt">
                <v:stroke joinstyle="miter"/>
              </v:line>
            </w:pict>
          </mc:Fallback>
        </mc:AlternateContent>
      </w:r>
    </w:p>
    <w:p w14:paraId="68B525AB" w14:textId="77777777" w:rsidR="00584597" w:rsidRPr="00492F6E" w:rsidRDefault="00584597" w:rsidP="00584597">
      <w:pPr>
        <w:jc w:val="center"/>
        <w:rPr>
          <w:b/>
          <w:bCs/>
        </w:rPr>
      </w:pPr>
    </w:p>
    <w:p w14:paraId="08730EA1"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65408" behindDoc="0" locked="0" layoutInCell="1" allowOverlap="1" wp14:anchorId="051730A7" wp14:editId="65B218AF">
                <wp:simplePos x="0" y="0"/>
                <wp:positionH relativeFrom="column">
                  <wp:posOffset>3517900</wp:posOffset>
                </wp:positionH>
                <wp:positionV relativeFrom="paragraph">
                  <wp:posOffset>154940</wp:posOffset>
                </wp:positionV>
                <wp:extent cx="2584450" cy="3429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25844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6EC1F3" w14:textId="77777777" w:rsidR="008E1F7B" w:rsidRPr="00492F6E" w:rsidRDefault="008E1F7B" w:rsidP="00584597">
                            <w:pPr>
                              <w:jc w:val="center"/>
                            </w:pPr>
                            <w:r>
                              <w:t>Allocated w</w:t>
                            </w:r>
                            <w:r w:rsidRPr="00492F6E">
                              <w:t>aitlist condition</w:t>
                            </w:r>
                            <w:r>
                              <w:t xml:space="preserve"> (n=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730A7" id="Rectangle 9" o:spid="_x0000_s1029" style="position:absolute;left:0;text-align:left;margin-left:277pt;margin-top:12.2pt;width:20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" fillcolor="white [3201]" strokecolor="black [3213]" strokeweight="1pt">
                <v:textbox>
                  <w:txbxContent>
                    <w:p w14:paraId="646EC1F3" w14:textId="77777777" w:rsidR="008E1F7B" w:rsidRPr="00492F6E" w:rsidRDefault="008E1F7B" w:rsidP="00584597">
                      <w:pPr>
                        <w:jc w:val="center"/>
                      </w:pPr>
                      <w:r>
                        <w:t>Allocated w</w:t>
                      </w:r>
                      <w:r w:rsidRPr="00492F6E">
                        <w:t>aitlist condition</w:t>
                      </w:r>
                      <w:r>
                        <w:t xml:space="preserve"> (n= 40)</w:t>
                      </w:r>
                    </w:p>
                  </w:txbxContent>
                </v:textbox>
              </v:rect>
            </w:pict>
          </mc:Fallback>
        </mc:AlternateContent>
      </w:r>
      <w:r w:rsidRPr="00492F6E">
        <w:rPr>
          <w:b/>
          <w:bCs/>
          <w:noProof/>
        </w:rPr>
        <mc:AlternateContent>
          <mc:Choice Requires="wps">
            <w:drawing>
              <wp:anchor distT="0" distB="0" distL="114300" distR="114300" simplePos="0" relativeHeight="251661312" behindDoc="0" locked="0" layoutInCell="1" allowOverlap="1" wp14:anchorId="7C69DD3E" wp14:editId="04599467">
                <wp:simplePos x="0" y="0"/>
                <wp:positionH relativeFrom="column">
                  <wp:posOffset>-152400</wp:posOffset>
                </wp:positionH>
                <wp:positionV relativeFrom="paragraph">
                  <wp:posOffset>154940</wp:posOffset>
                </wp:positionV>
                <wp:extent cx="2273300" cy="3429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2733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2CCCB" w14:textId="77777777" w:rsidR="008E1F7B" w:rsidRPr="00492F6E" w:rsidRDefault="008E1F7B" w:rsidP="00584597">
                            <w:pPr>
                              <w:jc w:val="center"/>
                            </w:pPr>
                            <w:r>
                              <w:t xml:space="preserve">Allocated ACT </w:t>
                            </w:r>
                            <w:r w:rsidRPr="00492F6E">
                              <w:t>condition</w:t>
                            </w:r>
                            <w:r>
                              <w:t xml:space="preserve"> (n= 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DD3E" id="Rectangle 8" o:spid="_x0000_s1030" style="position:absolute;left:0;text-align:left;margin-left:-12pt;margin-top:12.2pt;width:1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" fillcolor="white [3201]" strokecolor="black [3213]" strokeweight="1pt">
                <v:textbox>
                  <w:txbxContent>
                    <w:p w14:paraId="6A92CCCB" w14:textId="77777777" w:rsidR="008E1F7B" w:rsidRPr="00492F6E" w:rsidRDefault="008E1F7B" w:rsidP="00584597">
                      <w:pPr>
                        <w:jc w:val="center"/>
                      </w:pPr>
                      <w:r>
                        <w:t xml:space="preserve">Allocated ACT </w:t>
                      </w:r>
                      <w:r w:rsidRPr="00492F6E">
                        <w:t>condition</w:t>
                      </w:r>
                      <w:r>
                        <w:t xml:space="preserve"> (n= 41)</w:t>
                      </w:r>
                    </w:p>
                  </w:txbxContent>
                </v:textbox>
              </v:rect>
            </w:pict>
          </mc:Fallback>
        </mc:AlternateContent>
      </w:r>
    </w:p>
    <w:p w14:paraId="4104F37B" w14:textId="77777777" w:rsidR="00584597" w:rsidRPr="00492F6E" w:rsidRDefault="00584597" w:rsidP="00584597">
      <w:pPr>
        <w:jc w:val="center"/>
        <w:rPr>
          <w:b/>
          <w:bCs/>
        </w:rPr>
      </w:pPr>
    </w:p>
    <w:p w14:paraId="75FD89FA"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70528" behindDoc="0" locked="0" layoutInCell="1" allowOverlap="1" wp14:anchorId="7B9EF713" wp14:editId="1C7994EE">
                <wp:simplePos x="0" y="0"/>
                <wp:positionH relativeFrom="column">
                  <wp:posOffset>4749800</wp:posOffset>
                </wp:positionH>
                <wp:positionV relativeFrom="paragraph">
                  <wp:posOffset>168910</wp:posOffset>
                </wp:positionV>
                <wp:extent cx="0" cy="904875"/>
                <wp:effectExtent l="12700" t="12700" r="25400" b="9525"/>
                <wp:wrapNone/>
                <wp:docPr id="10" name="Straight Connector 10"/>
                <wp:cNvGraphicFramePr/>
                <a:graphic xmlns:a="http://schemas.openxmlformats.org/drawingml/2006/main">
                  <a:graphicData uri="http://schemas.microsoft.com/office/word/2010/wordprocessingShape">
                    <wps:wsp>
                      <wps:cNvCnPr/>
                      <wps:spPr>
                        <a:xfrm flipV="1">
                          <a:off x="0" y="0"/>
                          <a:ext cx="0" cy="904875"/>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FE471B" id="Straight Connector 10"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pt,13.3pt" to="374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" strokecolor="black [3200]" strokeweight="2.5pt">
                <v:stroke joinstyle="miter"/>
              </v:line>
            </w:pict>
          </mc:Fallback>
        </mc:AlternateContent>
      </w:r>
      <w:r w:rsidRPr="00492F6E">
        <w:rPr>
          <w:b/>
          <w:bCs/>
          <w:noProof/>
        </w:rPr>
        <mc:AlternateContent>
          <mc:Choice Requires="wps">
            <w:drawing>
              <wp:anchor distT="0" distB="0" distL="114300" distR="114300" simplePos="0" relativeHeight="251668480" behindDoc="0" locked="0" layoutInCell="1" allowOverlap="1" wp14:anchorId="7F534034" wp14:editId="37D3119D">
                <wp:simplePos x="0" y="0"/>
                <wp:positionH relativeFrom="column">
                  <wp:posOffset>927100</wp:posOffset>
                </wp:positionH>
                <wp:positionV relativeFrom="paragraph">
                  <wp:posOffset>147320</wp:posOffset>
                </wp:positionV>
                <wp:extent cx="0" cy="927100"/>
                <wp:effectExtent l="12700" t="0" r="25400" b="25400"/>
                <wp:wrapNone/>
                <wp:docPr id="11" name="Straight Connector 11"/>
                <wp:cNvGraphicFramePr/>
                <a:graphic xmlns:a="http://schemas.openxmlformats.org/drawingml/2006/main">
                  <a:graphicData uri="http://schemas.microsoft.com/office/word/2010/wordprocessingShape">
                    <wps:wsp>
                      <wps:cNvCnPr/>
                      <wps:spPr>
                        <a:xfrm>
                          <a:off x="0" y="0"/>
                          <a:ext cx="0" cy="92710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E6D683" id="Straight Connector 1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pt,11.6pt" to="7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" strokecolor="black [3200]" strokeweight="2.5pt">
                <v:stroke joinstyle="miter"/>
              </v:line>
            </w:pict>
          </mc:Fallback>
        </mc:AlternateContent>
      </w:r>
    </w:p>
    <w:p w14:paraId="1AA322ED" w14:textId="77777777" w:rsidR="00584597" w:rsidRPr="00492F6E" w:rsidRDefault="00584597" w:rsidP="00584597">
      <w:pPr>
        <w:jc w:val="center"/>
        <w:rPr>
          <w:b/>
          <w:bCs/>
        </w:rPr>
      </w:pPr>
    </w:p>
    <w:p w14:paraId="7F7F8F2C" w14:textId="77777777" w:rsidR="00584597" w:rsidRPr="00492F6E" w:rsidRDefault="00584597" w:rsidP="00584597">
      <w:pPr>
        <w:jc w:val="center"/>
        <w:rPr>
          <w:b/>
          <w:bCs/>
        </w:rPr>
      </w:pPr>
      <w:r w:rsidRPr="00492F6E">
        <w:rPr>
          <w:i/>
          <w:noProof/>
        </w:rPr>
        <mc:AlternateContent>
          <mc:Choice Requires="wps">
            <w:drawing>
              <wp:anchor distT="0" distB="0" distL="114300" distR="114300" simplePos="0" relativeHeight="251681792" behindDoc="0" locked="0" layoutInCell="1" allowOverlap="1" wp14:anchorId="37577E4A" wp14:editId="3294B6F3">
                <wp:simplePos x="0" y="0"/>
                <wp:positionH relativeFrom="column">
                  <wp:posOffset>1587500</wp:posOffset>
                </wp:positionH>
                <wp:positionV relativeFrom="paragraph">
                  <wp:posOffset>63500</wp:posOffset>
                </wp:positionV>
                <wp:extent cx="1219200" cy="393700"/>
                <wp:effectExtent l="0" t="0" r="12700" b="12700"/>
                <wp:wrapNone/>
                <wp:docPr id="5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393700"/>
                        </a:xfrm>
                        <a:prstGeom prst="rect">
                          <a:avLst/>
                        </a:prstGeom>
                        <a:solidFill>
                          <a:srgbClr val="FFFFFF"/>
                        </a:solidFill>
                        <a:ln w="9525">
                          <a:solidFill>
                            <a:srgbClr val="000000"/>
                          </a:solidFill>
                          <a:miter lim="800000"/>
                          <a:headEnd/>
                          <a:tailEnd/>
                        </a:ln>
                      </wps:spPr>
                      <wps:txbx>
                        <w:txbxContent>
                          <w:p w14:paraId="29F17268" w14:textId="77777777" w:rsidR="008E1F7B" w:rsidRPr="00492F6E" w:rsidRDefault="008E1F7B" w:rsidP="00584597">
                            <w:r>
                              <w:t xml:space="preserve">Withdrew  </w:t>
                            </w:r>
                            <w:r w:rsidRPr="00492F6E">
                              <w:t>(n=1)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7E4A" id="_x0000_s1031" style="position:absolute;left:0;text-align:left;margin-left:125pt;margin-top:5pt;width:96pt;height: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">
                <v:path arrowok="t"/>
                <v:textbox inset=",7.2pt,,7.2pt">
                  <w:txbxContent>
                    <w:p w14:paraId="29F17268" w14:textId="77777777" w:rsidR="008E1F7B" w:rsidRPr="00492F6E" w:rsidRDefault="008E1F7B" w:rsidP="00584597">
                      <w:r>
                        <w:t xml:space="preserve">Withdrew  </w:t>
                      </w:r>
                      <w:r w:rsidRPr="00492F6E">
                        <w:t>(n=1)</w:t>
                      </w:r>
                    </w:p>
                  </w:txbxContent>
                </v:textbox>
              </v:rect>
            </w:pict>
          </mc:Fallback>
        </mc:AlternateContent>
      </w:r>
    </w:p>
    <w:p w14:paraId="5BA48A36" w14:textId="77777777" w:rsidR="00584597" w:rsidRPr="00492F6E" w:rsidRDefault="00584597" w:rsidP="00584597">
      <w:pPr>
        <w:jc w:val="center"/>
        <w:rPr>
          <w:b/>
          <w:bCs/>
        </w:rPr>
      </w:pPr>
      <w:r w:rsidRPr="00492F6E">
        <w:rPr>
          <w:i/>
          <w:noProof/>
        </w:rPr>
        <mc:AlternateContent>
          <mc:Choice Requires="wps">
            <w:drawing>
              <wp:anchor distT="36576" distB="36576" distL="36576" distR="36576" simplePos="0" relativeHeight="251680768" behindDoc="0" locked="0" layoutInCell="1" allowOverlap="1" wp14:anchorId="0E3B487F" wp14:editId="1358D6CE">
                <wp:simplePos x="0" y="0"/>
                <wp:positionH relativeFrom="column">
                  <wp:posOffset>927100</wp:posOffset>
                </wp:positionH>
                <wp:positionV relativeFrom="paragraph">
                  <wp:posOffset>99060</wp:posOffset>
                </wp:positionV>
                <wp:extent cx="656590" cy="635"/>
                <wp:effectExtent l="0" t="63500" r="0" b="75565"/>
                <wp:wrapNone/>
                <wp:docPr id="5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4164A1" id="AutoShape 42" o:spid="_x0000_s1026" type="#_x0000_t32" style="position:absolute;margin-left:73pt;margin-top:7.8pt;width:51.7pt;height:.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">
                <v:stroke endarrow="block"/>
                <v:shadow color="#ccc"/>
                <o:lock v:ext="edit" shapetype="f"/>
              </v:shape>
            </w:pict>
          </mc:Fallback>
        </mc:AlternateContent>
      </w:r>
    </w:p>
    <w:p w14:paraId="525723F1" w14:textId="77777777" w:rsidR="00584597" w:rsidRPr="00492F6E" w:rsidRDefault="00584597" w:rsidP="00584597">
      <w:pPr>
        <w:jc w:val="center"/>
        <w:rPr>
          <w:b/>
          <w:bCs/>
        </w:rPr>
      </w:pPr>
    </w:p>
    <w:p w14:paraId="740AA4B9"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62336" behindDoc="0" locked="0" layoutInCell="1" allowOverlap="1" wp14:anchorId="523545D2" wp14:editId="60C470D7">
                <wp:simplePos x="0" y="0"/>
                <wp:positionH relativeFrom="column">
                  <wp:posOffset>-304800</wp:posOffset>
                </wp:positionH>
                <wp:positionV relativeFrom="paragraph">
                  <wp:posOffset>198120</wp:posOffset>
                </wp:positionV>
                <wp:extent cx="2374900" cy="3429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23749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687737" w14:textId="77777777" w:rsidR="008E1F7B" w:rsidRPr="00492F6E" w:rsidRDefault="008E1F7B" w:rsidP="00584597">
                            <w:pPr>
                              <w:jc w:val="center"/>
                            </w:pPr>
                            <w:r w:rsidRPr="00492F6E">
                              <w:t>Mid-treatment assessment</w:t>
                            </w:r>
                            <w:r>
                              <w:t xml:space="preserve"> (n= 38)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545D2" id="Rectangle 21" o:spid="_x0000_s1032" style="position:absolute;left:0;text-align:left;margin-left:-24pt;margin-top:15.6pt;width:18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" fillcolor="white [3201]" strokecolor="black [3213]" strokeweight="1pt">
                <v:textbox>
                  <w:txbxContent>
                    <w:p w14:paraId="65687737" w14:textId="77777777" w:rsidR="008E1F7B" w:rsidRPr="00492F6E" w:rsidRDefault="008E1F7B" w:rsidP="00584597">
                      <w:pPr>
                        <w:jc w:val="center"/>
                      </w:pPr>
                      <w:r w:rsidRPr="00492F6E">
                        <w:t>Mid-treatment assessment</w:t>
                      </w:r>
                      <w:r>
                        <w:t xml:space="preserve"> (n= 38) </w:t>
                      </w:r>
                    </w:p>
                  </w:txbxContent>
                </v:textbox>
              </v:rect>
            </w:pict>
          </mc:Fallback>
        </mc:AlternateContent>
      </w:r>
    </w:p>
    <w:p w14:paraId="575E34AF"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76672" behindDoc="0" locked="0" layoutInCell="1" allowOverlap="1" wp14:anchorId="6B29C2FE" wp14:editId="3C2A70C7">
                <wp:simplePos x="0" y="0"/>
                <wp:positionH relativeFrom="column">
                  <wp:posOffset>3577590</wp:posOffset>
                </wp:positionH>
                <wp:positionV relativeFrom="paragraph">
                  <wp:posOffset>26035</wp:posOffset>
                </wp:positionV>
                <wp:extent cx="2302510" cy="342900"/>
                <wp:effectExtent l="0" t="0" r="8890" b="12700"/>
                <wp:wrapNone/>
                <wp:docPr id="12" name="Rectangle 12"/>
                <wp:cNvGraphicFramePr/>
                <a:graphic xmlns:a="http://schemas.openxmlformats.org/drawingml/2006/main">
                  <a:graphicData uri="http://schemas.microsoft.com/office/word/2010/wordprocessingShape">
                    <wps:wsp>
                      <wps:cNvSpPr/>
                      <wps:spPr>
                        <a:xfrm>
                          <a:off x="0" y="0"/>
                          <a:ext cx="230251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DD7468" w14:textId="77777777" w:rsidR="008E1F7B" w:rsidRPr="00492F6E" w:rsidRDefault="008E1F7B" w:rsidP="00584597">
                            <w:pPr>
                              <w:jc w:val="center"/>
                            </w:pPr>
                            <w:r w:rsidRPr="00492F6E">
                              <w:t>Mid-waitlist assessment</w:t>
                            </w:r>
                            <w:r>
                              <w:t xml:space="preserve"> (n= 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9C2FE" id="Rectangle 12" o:spid="_x0000_s1033" style="position:absolute;left:0;text-align:left;margin-left:281.7pt;margin-top:2.05pt;width:181.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" fillcolor="white [3201]" strokecolor="black [3213]" strokeweight="1pt">
                <v:textbox>
                  <w:txbxContent>
                    <w:p w14:paraId="1DDD7468" w14:textId="77777777" w:rsidR="008E1F7B" w:rsidRPr="00492F6E" w:rsidRDefault="008E1F7B" w:rsidP="00584597">
                      <w:pPr>
                        <w:jc w:val="center"/>
                      </w:pPr>
                      <w:r w:rsidRPr="00492F6E">
                        <w:t>Mid-waitlist assessment</w:t>
                      </w:r>
                      <w:r>
                        <w:t xml:space="preserve"> (n= 39)</w:t>
                      </w:r>
                    </w:p>
                  </w:txbxContent>
                </v:textbox>
              </v:rect>
            </w:pict>
          </mc:Fallback>
        </mc:AlternateContent>
      </w:r>
    </w:p>
    <w:p w14:paraId="5417F191" w14:textId="77777777" w:rsidR="00584597" w:rsidRPr="00492F6E" w:rsidRDefault="00584597" w:rsidP="00584597">
      <w:pPr>
        <w:jc w:val="center"/>
        <w:rPr>
          <w:b/>
          <w:bCs/>
        </w:rPr>
      </w:pPr>
    </w:p>
    <w:p w14:paraId="359B3945"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77696" behindDoc="0" locked="0" layoutInCell="1" allowOverlap="1" wp14:anchorId="4335485A" wp14:editId="6E25782A">
                <wp:simplePos x="0" y="0"/>
                <wp:positionH relativeFrom="column">
                  <wp:posOffset>4749800</wp:posOffset>
                </wp:positionH>
                <wp:positionV relativeFrom="paragraph">
                  <wp:posOffset>15239</wp:posOffset>
                </wp:positionV>
                <wp:extent cx="0" cy="698500"/>
                <wp:effectExtent l="12700" t="12700" r="25400" b="12700"/>
                <wp:wrapNone/>
                <wp:docPr id="15" name="Straight Connector 15"/>
                <wp:cNvGraphicFramePr/>
                <a:graphic xmlns:a="http://schemas.openxmlformats.org/drawingml/2006/main">
                  <a:graphicData uri="http://schemas.microsoft.com/office/word/2010/wordprocessingShape">
                    <wps:wsp>
                      <wps:cNvCnPr/>
                      <wps:spPr>
                        <a:xfrm flipV="1">
                          <a:off x="0" y="0"/>
                          <a:ext cx="0" cy="69850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DCC17" id="Straight Connector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2pt" to="374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" strokecolor="black [3200]" strokeweight="2.5pt">
                <v:stroke joinstyle="miter"/>
              </v:line>
            </w:pict>
          </mc:Fallback>
        </mc:AlternateContent>
      </w:r>
      <w:r w:rsidRPr="00492F6E">
        <w:rPr>
          <w:b/>
          <w:bCs/>
          <w:noProof/>
        </w:rPr>
        <mc:AlternateContent>
          <mc:Choice Requires="wps">
            <w:drawing>
              <wp:anchor distT="0" distB="0" distL="114300" distR="114300" simplePos="0" relativeHeight="251669504" behindDoc="0" locked="0" layoutInCell="1" allowOverlap="1" wp14:anchorId="2E7FCA6F" wp14:editId="7785E2CE">
                <wp:simplePos x="0" y="0"/>
                <wp:positionH relativeFrom="column">
                  <wp:posOffset>927100</wp:posOffset>
                </wp:positionH>
                <wp:positionV relativeFrom="paragraph">
                  <wp:posOffset>15240</wp:posOffset>
                </wp:positionV>
                <wp:extent cx="0" cy="698500"/>
                <wp:effectExtent l="12700" t="0" r="25400" b="25400"/>
                <wp:wrapNone/>
                <wp:docPr id="23" name="Straight Connector 23"/>
                <wp:cNvGraphicFramePr/>
                <a:graphic xmlns:a="http://schemas.openxmlformats.org/drawingml/2006/main">
                  <a:graphicData uri="http://schemas.microsoft.com/office/word/2010/wordprocessingShape">
                    <wps:wsp>
                      <wps:cNvCnPr/>
                      <wps:spPr>
                        <a:xfrm>
                          <a:off x="0" y="0"/>
                          <a:ext cx="0" cy="69850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512484" id="Straight Connector 2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pt,1.2pt" to="73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" strokecolor="black [3200]" strokeweight="2.5pt">
                <v:stroke joinstyle="miter"/>
              </v:line>
            </w:pict>
          </mc:Fallback>
        </mc:AlternateContent>
      </w:r>
    </w:p>
    <w:p w14:paraId="1EF0CDA2" w14:textId="77777777" w:rsidR="00584597" w:rsidRPr="00492F6E" w:rsidRDefault="00584597" w:rsidP="00584597">
      <w:pPr>
        <w:jc w:val="center"/>
        <w:rPr>
          <w:b/>
          <w:bCs/>
        </w:rPr>
      </w:pPr>
    </w:p>
    <w:p w14:paraId="170D70DC" w14:textId="77777777" w:rsidR="00584597" w:rsidRPr="00492F6E" w:rsidRDefault="00584597" w:rsidP="00584597">
      <w:pPr>
        <w:jc w:val="center"/>
        <w:rPr>
          <w:b/>
          <w:bCs/>
        </w:rPr>
      </w:pPr>
    </w:p>
    <w:p w14:paraId="79AF5374"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63360" behindDoc="0" locked="0" layoutInCell="1" allowOverlap="1" wp14:anchorId="665AFAE9" wp14:editId="4B58A312">
                <wp:simplePos x="0" y="0"/>
                <wp:positionH relativeFrom="column">
                  <wp:posOffset>-368300</wp:posOffset>
                </wp:positionH>
                <wp:positionV relativeFrom="paragraph">
                  <wp:posOffset>188595</wp:posOffset>
                </wp:positionV>
                <wp:extent cx="2616200" cy="3429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6162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351AEB" w14:textId="77777777" w:rsidR="008E1F7B" w:rsidRPr="00492F6E" w:rsidRDefault="008E1F7B" w:rsidP="00584597">
                            <w:pPr>
                              <w:jc w:val="center"/>
                            </w:pPr>
                            <w:r w:rsidRPr="00492F6E">
                              <w:t>Post-treatment assessment</w:t>
                            </w:r>
                            <w:r>
                              <w:t xml:space="preserve"> (n= 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AFAE9" id="Rectangle 25" o:spid="_x0000_s1034" style="position:absolute;left:0;text-align:left;margin-left:-29pt;margin-top:14.85pt;width:20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" fillcolor="white [3201]" strokecolor="black [3213]" strokeweight="1pt">
                <v:textbox>
                  <w:txbxContent>
                    <w:p w14:paraId="29351AEB" w14:textId="77777777" w:rsidR="008E1F7B" w:rsidRPr="00492F6E" w:rsidRDefault="008E1F7B" w:rsidP="00584597">
                      <w:pPr>
                        <w:jc w:val="center"/>
                      </w:pPr>
                      <w:r w:rsidRPr="00492F6E">
                        <w:t>Post-treatment assessment</w:t>
                      </w:r>
                      <w:r>
                        <w:t xml:space="preserve"> (n= 37)</w:t>
                      </w:r>
                    </w:p>
                  </w:txbxContent>
                </v:textbox>
              </v:rect>
            </w:pict>
          </mc:Fallback>
        </mc:AlternateContent>
      </w:r>
    </w:p>
    <w:p w14:paraId="5621776F"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66432" behindDoc="0" locked="0" layoutInCell="1" allowOverlap="1" wp14:anchorId="2274CEFE" wp14:editId="7635BDDD">
                <wp:simplePos x="0" y="0"/>
                <wp:positionH relativeFrom="column">
                  <wp:posOffset>3623310</wp:posOffset>
                </wp:positionH>
                <wp:positionV relativeFrom="paragraph">
                  <wp:posOffset>13335</wp:posOffset>
                </wp:positionV>
                <wp:extent cx="2254250" cy="3302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2254250" cy="330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113F00" w14:textId="77777777" w:rsidR="008E1F7B" w:rsidRPr="00492F6E" w:rsidRDefault="008E1F7B" w:rsidP="00584597">
                            <w:pPr>
                              <w:jc w:val="center"/>
                            </w:pPr>
                            <w:r w:rsidRPr="00492F6E">
                              <w:t>Post-waitlist assessment</w:t>
                            </w:r>
                            <w:r>
                              <w:t xml:space="preserve"> (n=39)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4CEFE" id="Rectangle 17" o:spid="_x0000_s1035" style="position:absolute;left:0;text-align:left;margin-left:285.3pt;margin-top:1.05pt;width:177.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" fillcolor="white [3201]" strokecolor="black [3213]" strokeweight="1pt">
                <v:textbox>
                  <w:txbxContent>
                    <w:p w14:paraId="13113F00" w14:textId="77777777" w:rsidR="008E1F7B" w:rsidRPr="00492F6E" w:rsidRDefault="008E1F7B" w:rsidP="00584597">
                      <w:pPr>
                        <w:jc w:val="center"/>
                      </w:pPr>
                      <w:r w:rsidRPr="00492F6E">
                        <w:t>Post-waitlist assessment</w:t>
                      </w:r>
                      <w:r>
                        <w:t xml:space="preserve"> (n=39)</w:t>
                      </w:r>
                    </w:p>
                  </w:txbxContent>
                </v:textbox>
              </v:rect>
            </w:pict>
          </mc:Fallback>
        </mc:AlternateContent>
      </w:r>
    </w:p>
    <w:p w14:paraId="5CEFC58C"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71552" behindDoc="0" locked="0" layoutInCell="1" allowOverlap="1" wp14:anchorId="06C1AE17" wp14:editId="4F4063EC">
                <wp:simplePos x="0" y="0"/>
                <wp:positionH relativeFrom="column">
                  <wp:posOffset>4749800</wp:posOffset>
                </wp:positionH>
                <wp:positionV relativeFrom="paragraph">
                  <wp:posOffset>168275</wp:posOffset>
                </wp:positionV>
                <wp:extent cx="0" cy="571500"/>
                <wp:effectExtent l="12700" t="0" r="25400" b="25400"/>
                <wp:wrapNone/>
                <wp:docPr id="19" name="Straight Connector 19"/>
                <wp:cNvGraphicFramePr/>
                <a:graphic xmlns:a="http://schemas.openxmlformats.org/drawingml/2006/main">
                  <a:graphicData uri="http://schemas.microsoft.com/office/word/2010/wordprocessingShape">
                    <wps:wsp>
                      <wps:cNvCnPr/>
                      <wps:spPr>
                        <a:xfrm>
                          <a:off x="0" y="0"/>
                          <a:ext cx="0" cy="57150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78B811" id="Straight Connector 1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pt,13.25pt" to="374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" strokecolor="black [3200]" strokeweight="2.5pt">
                <v:stroke joinstyle="miter"/>
              </v:line>
            </w:pict>
          </mc:Fallback>
        </mc:AlternateContent>
      </w:r>
      <w:r w:rsidRPr="00492F6E">
        <w:rPr>
          <w:b/>
          <w:bCs/>
          <w:noProof/>
        </w:rPr>
        <mc:AlternateContent>
          <mc:Choice Requires="wps">
            <w:drawing>
              <wp:anchor distT="0" distB="0" distL="114300" distR="114300" simplePos="0" relativeHeight="251672576" behindDoc="0" locked="0" layoutInCell="1" allowOverlap="1" wp14:anchorId="74463E15" wp14:editId="45C8944E">
                <wp:simplePos x="0" y="0"/>
                <wp:positionH relativeFrom="column">
                  <wp:posOffset>927100</wp:posOffset>
                </wp:positionH>
                <wp:positionV relativeFrom="paragraph">
                  <wp:posOffset>180975</wp:posOffset>
                </wp:positionV>
                <wp:extent cx="0" cy="546100"/>
                <wp:effectExtent l="12700" t="0" r="25400" b="25400"/>
                <wp:wrapNone/>
                <wp:docPr id="26" name="Straight Connector 26"/>
                <wp:cNvGraphicFramePr/>
                <a:graphic xmlns:a="http://schemas.openxmlformats.org/drawingml/2006/main">
                  <a:graphicData uri="http://schemas.microsoft.com/office/word/2010/wordprocessingShape">
                    <wps:wsp>
                      <wps:cNvCnPr/>
                      <wps:spPr>
                        <a:xfrm flipH="1">
                          <a:off x="0" y="0"/>
                          <a:ext cx="0" cy="5461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CA3AF" id="Straight Connector 2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14.25pt" to="73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" strokecolor="black [3213]" strokeweight="2.5pt">
                <v:stroke joinstyle="miter"/>
              </v:line>
            </w:pict>
          </mc:Fallback>
        </mc:AlternateContent>
      </w:r>
    </w:p>
    <w:p w14:paraId="757A7F19" w14:textId="77777777" w:rsidR="00584597" w:rsidRPr="00492F6E" w:rsidRDefault="00584597" w:rsidP="00584597">
      <w:pPr>
        <w:jc w:val="center"/>
        <w:rPr>
          <w:b/>
          <w:bCs/>
        </w:rPr>
      </w:pPr>
    </w:p>
    <w:p w14:paraId="776AC9DB" w14:textId="77777777" w:rsidR="00584597" w:rsidRPr="00492F6E" w:rsidRDefault="00584597" w:rsidP="00584597">
      <w:pPr>
        <w:jc w:val="center"/>
        <w:rPr>
          <w:b/>
          <w:bCs/>
        </w:rPr>
      </w:pPr>
    </w:p>
    <w:p w14:paraId="56CEC66D"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64384" behindDoc="0" locked="0" layoutInCell="1" allowOverlap="1" wp14:anchorId="3AEE44BC" wp14:editId="61CFB650">
                <wp:simplePos x="0" y="0"/>
                <wp:positionH relativeFrom="column">
                  <wp:posOffset>-306070</wp:posOffset>
                </wp:positionH>
                <wp:positionV relativeFrom="paragraph">
                  <wp:posOffset>213995</wp:posOffset>
                </wp:positionV>
                <wp:extent cx="2463800" cy="3556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463800" cy="355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DD1DB0" w14:textId="77777777" w:rsidR="008E1F7B" w:rsidRPr="00492F6E" w:rsidRDefault="008E1F7B" w:rsidP="00584597">
                            <w:pPr>
                              <w:jc w:val="center"/>
                            </w:pPr>
                            <w:r w:rsidRPr="00492F6E">
                              <w:t>Follow-up assessment</w:t>
                            </w:r>
                            <w:r>
                              <w:t xml:space="preserve"> (n=34)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E44BC" id="Rectangle 27" o:spid="_x0000_s1036" style="position:absolute;left:0;text-align:left;margin-left:-24.1pt;margin-top:16.85pt;width:194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" fillcolor="white [3201]" strokecolor="black [3213]" strokeweight="1pt">
                <v:textbox>
                  <w:txbxContent>
                    <w:p w14:paraId="05DD1DB0" w14:textId="77777777" w:rsidR="008E1F7B" w:rsidRPr="00492F6E" w:rsidRDefault="008E1F7B" w:rsidP="00584597">
                      <w:pPr>
                        <w:jc w:val="center"/>
                      </w:pPr>
                      <w:r w:rsidRPr="00492F6E">
                        <w:t>Follow-up assessment</w:t>
                      </w:r>
                      <w:r>
                        <w:t xml:space="preserve"> (n=34)</w:t>
                      </w:r>
                    </w:p>
                  </w:txbxContent>
                </v:textbox>
              </v:rect>
            </w:pict>
          </mc:Fallback>
        </mc:AlternateContent>
      </w:r>
    </w:p>
    <w:p w14:paraId="559F24C7" w14:textId="77777777" w:rsidR="00584597" w:rsidRPr="00492F6E" w:rsidRDefault="00584597" w:rsidP="00584597">
      <w:pPr>
        <w:jc w:val="center"/>
        <w:rPr>
          <w:b/>
          <w:bCs/>
        </w:rPr>
      </w:pPr>
      <w:r w:rsidRPr="00492F6E">
        <w:rPr>
          <w:b/>
          <w:bCs/>
          <w:noProof/>
        </w:rPr>
        <mc:AlternateContent>
          <mc:Choice Requires="wps">
            <w:drawing>
              <wp:anchor distT="0" distB="0" distL="114300" distR="114300" simplePos="0" relativeHeight="251667456" behindDoc="0" locked="0" layoutInCell="1" allowOverlap="1" wp14:anchorId="789208FB" wp14:editId="156F70EF">
                <wp:simplePos x="0" y="0"/>
                <wp:positionH relativeFrom="column">
                  <wp:posOffset>3648710</wp:posOffset>
                </wp:positionH>
                <wp:positionV relativeFrom="paragraph">
                  <wp:posOffset>36830</wp:posOffset>
                </wp:positionV>
                <wp:extent cx="2082800" cy="3556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082800" cy="355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81B310" w14:textId="77777777" w:rsidR="008E1F7B" w:rsidRPr="00492F6E" w:rsidRDefault="008E1F7B" w:rsidP="00584597">
                            <w:pPr>
                              <w:jc w:val="center"/>
                            </w:pPr>
                            <w:r w:rsidRPr="00492F6E">
                              <w:t>Follow-up assessment</w:t>
                            </w:r>
                            <w:r>
                              <w:t xml:space="preserve"> (n=39)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208FB" id="Rectangle 20" o:spid="_x0000_s1037" style="position:absolute;left:0;text-align:left;margin-left:287.3pt;margin-top:2.9pt;width:164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" fillcolor="white [3201]" strokecolor="black [3213]" strokeweight="1pt">
                <v:textbox>
                  <w:txbxContent>
                    <w:p w14:paraId="3F81B310" w14:textId="77777777" w:rsidR="008E1F7B" w:rsidRPr="00492F6E" w:rsidRDefault="008E1F7B" w:rsidP="00584597">
                      <w:pPr>
                        <w:jc w:val="center"/>
                      </w:pPr>
                      <w:r w:rsidRPr="00492F6E">
                        <w:t>Follow-up assessment</w:t>
                      </w:r>
                      <w:r>
                        <w:t xml:space="preserve"> (n=39)</w:t>
                      </w:r>
                    </w:p>
                  </w:txbxContent>
                </v:textbox>
              </v:rect>
            </w:pict>
          </mc:Fallback>
        </mc:AlternateContent>
      </w:r>
    </w:p>
    <w:p w14:paraId="5552D6AF" w14:textId="77777777" w:rsidR="00584597" w:rsidRPr="00492F6E" w:rsidRDefault="00584597" w:rsidP="00584597">
      <w:pPr>
        <w:jc w:val="center"/>
        <w:rPr>
          <w:b/>
          <w:bCs/>
        </w:rPr>
      </w:pPr>
    </w:p>
    <w:p w14:paraId="6602E318" w14:textId="77777777" w:rsidR="00584597" w:rsidRPr="00492F6E" w:rsidRDefault="00584597" w:rsidP="00584597"/>
    <w:p w14:paraId="17CF02A9" w14:textId="77777777" w:rsidR="00584597" w:rsidRPr="00492F6E" w:rsidRDefault="00584597" w:rsidP="00584597"/>
    <w:p w14:paraId="7BA5D94B" w14:textId="77777777" w:rsidR="00584597" w:rsidRPr="00492F6E" w:rsidRDefault="00584597" w:rsidP="00584597"/>
    <w:p w14:paraId="79697751" w14:textId="77777777" w:rsidR="00584597" w:rsidRDefault="00584597" w:rsidP="00584597">
      <w:pPr>
        <w:spacing w:line="480" w:lineRule="auto"/>
      </w:pPr>
    </w:p>
    <w:p w14:paraId="339461D8" w14:textId="539E8A52" w:rsidR="00F4299E" w:rsidRDefault="00F4299E" w:rsidP="00584597">
      <w:pPr>
        <w:spacing w:line="480" w:lineRule="auto"/>
      </w:pPr>
    </w:p>
    <w:p w14:paraId="038877C3" w14:textId="6149526E" w:rsidR="00A86109" w:rsidRDefault="00A86109" w:rsidP="00A86109">
      <w:r w:rsidRPr="00FC7FF4">
        <w:lastRenderedPageBreak/>
        <w:t xml:space="preserve">Figure </w:t>
      </w:r>
      <w:r w:rsidR="00C9078D">
        <w:t>2</w:t>
      </w:r>
    </w:p>
    <w:p w14:paraId="54EC2DD0" w14:textId="77777777" w:rsidR="001E6F32" w:rsidRDefault="001E6F32" w:rsidP="00A86109"/>
    <w:p w14:paraId="6C8C9428" w14:textId="6510DFE1" w:rsidR="00584597" w:rsidRDefault="00A86109" w:rsidP="00A86109">
      <w:r w:rsidRPr="00FC7FF4">
        <w:t xml:space="preserve">Estimated </w:t>
      </w:r>
      <w:r w:rsidR="00AE5EF1">
        <w:t>M</w:t>
      </w:r>
      <w:r w:rsidRPr="00FC7FF4">
        <w:t xml:space="preserve">arginal </w:t>
      </w:r>
      <w:r w:rsidR="00AE5EF1">
        <w:t>M</w:t>
      </w:r>
      <w:r w:rsidRPr="00FC7FF4">
        <w:t xml:space="preserve">eans and </w:t>
      </w:r>
      <w:r w:rsidR="00AE5EF1">
        <w:t>S</w:t>
      </w:r>
      <w:r w:rsidRPr="00FC7FF4">
        <w:t xml:space="preserve">tandard </w:t>
      </w:r>
      <w:r w:rsidR="00AE5EF1">
        <w:t>E</w:t>
      </w:r>
      <w:r w:rsidRPr="00FC7FF4">
        <w:t xml:space="preserve">rror </w:t>
      </w:r>
      <w:r w:rsidR="00AE5EF1">
        <w:t>R</w:t>
      </w:r>
      <w:r w:rsidRPr="00FC7FF4">
        <w:t xml:space="preserve">ibbons from </w:t>
      </w:r>
      <w:r w:rsidR="00AE5EF1">
        <w:t>B</w:t>
      </w:r>
      <w:r w:rsidRPr="00FC7FF4">
        <w:t>est-</w:t>
      </w:r>
      <w:r w:rsidR="00AE5EF1">
        <w:t>F</w:t>
      </w:r>
      <w:r w:rsidRPr="00FC7FF4">
        <w:t xml:space="preserve">itting </w:t>
      </w:r>
      <w:r w:rsidR="00AE5EF1">
        <w:t>M</w:t>
      </w:r>
      <w:r w:rsidRPr="00FC7FF4">
        <w:t xml:space="preserve">odel for </w:t>
      </w:r>
      <w:r>
        <w:t xml:space="preserve">AAQ-TTM and MGH-HPS </w:t>
      </w:r>
      <w:r w:rsidR="00AE5EF1">
        <w:t>S</w:t>
      </w:r>
      <w:r w:rsidRPr="00FC7FF4">
        <w:t>cores at p &lt; .05</w:t>
      </w:r>
    </w:p>
    <w:p w14:paraId="681CA61C" w14:textId="77777777" w:rsidR="00584597" w:rsidRDefault="00584597" w:rsidP="00584597">
      <w:pPr>
        <w:spacing w:line="480" w:lineRule="auto"/>
      </w:pPr>
      <w:r>
        <w:rPr>
          <w:noProof/>
        </w:rPr>
        <w:drawing>
          <wp:inline distT="0" distB="0" distL="0" distR="0" wp14:anchorId="6F4C3C17" wp14:editId="7F6976ED">
            <wp:extent cx="4000500" cy="622332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16372" cy="6248011"/>
                    </a:xfrm>
                    <a:prstGeom prst="rect">
                      <a:avLst/>
                    </a:prstGeom>
                  </pic:spPr>
                </pic:pic>
              </a:graphicData>
            </a:graphic>
          </wp:inline>
        </w:drawing>
      </w:r>
    </w:p>
    <w:p w14:paraId="2C4685EF" w14:textId="77777777" w:rsidR="00A86109" w:rsidRDefault="00A86109" w:rsidP="00584597"/>
    <w:p w14:paraId="1D35EF0D" w14:textId="0FBA161B" w:rsidR="00584597" w:rsidRPr="001E6F32" w:rsidRDefault="001E6F32" w:rsidP="00A86109">
      <w:pPr>
        <w:rPr>
          <w:iCs/>
        </w:rPr>
      </w:pPr>
      <w:r w:rsidRPr="001E6F32">
        <w:rPr>
          <w:i/>
        </w:rPr>
        <w:t xml:space="preserve">Note. </w:t>
      </w:r>
      <w:r>
        <w:rPr>
          <w:iCs/>
        </w:rPr>
        <w:t xml:space="preserve">Condition 1 indicates the treatment condition and condition 2 indicates the waitlist condition. </w:t>
      </w:r>
    </w:p>
    <w:p w14:paraId="204D0983" w14:textId="77777777" w:rsidR="001E6F32" w:rsidRDefault="001E6F32" w:rsidP="00584597">
      <w:pPr>
        <w:widowControl w:val="0"/>
        <w:autoSpaceDE w:val="0"/>
        <w:autoSpaceDN w:val="0"/>
        <w:adjustRightInd w:val="0"/>
        <w:spacing w:line="480" w:lineRule="auto"/>
        <w:rPr>
          <w:iCs/>
        </w:rPr>
      </w:pPr>
    </w:p>
    <w:p w14:paraId="3664E626" w14:textId="77777777" w:rsidR="001E6F32" w:rsidRDefault="001E6F32" w:rsidP="00584597">
      <w:pPr>
        <w:widowControl w:val="0"/>
        <w:autoSpaceDE w:val="0"/>
        <w:autoSpaceDN w:val="0"/>
        <w:adjustRightInd w:val="0"/>
        <w:spacing w:line="480" w:lineRule="auto"/>
        <w:rPr>
          <w:iCs/>
        </w:rPr>
      </w:pPr>
    </w:p>
    <w:p w14:paraId="0EAB38C2" w14:textId="46729FAF" w:rsidR="004E680A" w:rsidRDefault="00584597" w:rsidP="00584597">
      <w:pPr>
        <w:widowControl w:val="0"/>
        <w:autoSpaceDE w:val="0"/>
        <w:autoSpaceDN w:val="0"/>
        <w:adjustRightInd w:val="0"/>
        <w:spacing w:line="480" w:lineRule="auto"/>
        <w:rPr>
          <w:iCs/>
        </w:rPr>
      </w:pPr>
      <w:r w:rsidRPr="00200FCA">
        <w:rPr>
          <w:iCs/>
        </w:rPr>
        <w:lastRenderedPageBreak/>
        <w:t xml:space="preserve">Table 1 </w:t>
      </w:r>
    </w:p>
    <w:p w14:paraId="39207501" w14:textId="620E2542" w:rsidR="00584597" w:rsidRPr="00200FCA" w:rsidRDefault="00584597" w:rsidP="00584597">
      <w:pPr>
        <w:widowControl w:val="0"/>
        <w:autoSpaceDE w:val="0"/>
        <w:autoSpaceDN w:val="0"/>
        <w:adjustRightInd w:val="0"/>
        <w:spacing w:line="480" w:lineRule="auto"/>
        <w:rPr>
          <w:iCs/>
        </w:rPr>
      </w:pPr>
      <w:r w:rsidRPr="00200FCA">
        <w:t xml:space="preserve">Demographics for the </w:t>
      </w:r>
      <w:r w:rsidR="00AE5EF1">
        <w:t>E</w:t>
      </w:r>
      <w:r w:rsidRPr="00200FCA">
        <w:t xml:space="preserve">ntire </w:t>
      </w:r>
      <w:r w:rsidR="00AE5EF1">
        <w:t>S</w:t>
      </w:r>
      <w:r w:rsidRPr="00200FCA">
        <w:t xml:space="preserve">ample and by </w:t>
      </w:r>
      <w:r w:rsidR="00AE5EF1">
        <w:t>C</w:t>
      </w:r>
      <w:r w:rsidRPr="00200FCA">
        <w:t>ondition.</w:t>
      </w:r>
    </w:p>
    <w:p w14:paraId="2D357271" w14:textId="77777777" w:rsidR="00584597" w:rsidRDefault="00584597" w:rsidP="00584597"/>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584597" w14:paraId="794C0FF4" w14:textId="77777777" w:rsidTr="008E1F7B">
        <w:trPr>
          <w:trHeight w:val="701"/>
        </w:trPr>
        <w:tc>
          <w:tcPr>
            <w:tcW w:w="2517" w:type="dxa"/>
            <w:tcBorders>
              <w:top w:val="single" w:sz="4" w:space="0" w:color="auto"/>
              <w:bottom w:val="single" w:sz="4" w:space="0" w:color="auto"/>
            </w:tcBorders>
          </w:tcPr>
          <w:p w14:paraId="76743309" w14:textId="77777777" w:rsidR="00584597" w:rsidRDefault="00584597" w:rsidP="008E1F7B"/>
        </w:tc>
        <w:tc>
          <w:tcPr>
            <w:tcW w:w="2517" w:type="dxa"/>
            <w:tcBorders>
              <w:top w:val="single" w:sz="4" w:space="0" w:color="auto"/>
              <w:bottom w:val="single" w:sz="4" w:space="0" w:color="auto"/>
            </w:tcBorders>
          </w:tcPr>
          <w:p w14:paraId="62D6E63D" w14:textId="77777777" w:rsidR="00584597" w:rsidRDefault="00584597" w:rsidP="008E1F7B">
            <w:pPr>
              <w:jc w:val="center"/>
            </w:pPr>
            <w:r>
              <w:t>Entire Sample</w:t>
            </w:r>
          </w:p>
          <w:p w14:paraId="694BA9AB" w14:textId="5DC9632D" w:rsidR="00584597" w:rsidRDefault="00584597" w:rsidP="008E1F7B">
            <w:pPr>
              <w:jc w:val="center"/>
            </w:pPr>
            <w:r>
              <w:t>(N = 8</w:t>
            </w:r>
            <w:r w:rsidR="00703E63">
              <w:t>1</w:t>
            </w:r>
            <w:r>
              <w:t>)</w:t>
            </w:r>
          </w:p>
        </w:tc>
        <w:tc>
          <w:tcPr>
            <w:tcW w:w="2518" w:type="dxa"/>
            <w:tcBorders>
              <w:top w:val="single" w:sz="4" w:space="0" w:color="auto"/>
              <w:bottom w:val="single" w:sz="4" w:space="0" w:color="auto"/>
            </w:tcBorders>
          </w:tcPr>
          <w:p w14:paraId="16B8FA76" w14:textId="77777777" w:rsidR="00584597" w:rsidRDefault="00584597" w:rsidP="008E1F7B">
            <w:pPr>
              <w:jc w:val="center"/>
            </w:pPr>
            <w:r>
              <w:t>Group ACT</w:t>
            </w:r>
          </w:p>
          <w:p w14:paraId="516D4593" w14:textId="101926DA" w:rsidR="00584597" w:rsidRDefault="00584597" w:rsidP="008E1F7B">
            <w:pPr>
              <w:jc w:val="center"/>
            </w:pPr>
            <w:r>
              <w:t xml:space="preserve">(n = </w:t>
            </w:r>
            <w:r w:rsidR="00C9078D">
              <w:t>41)</w:t>
            </w:r>
          </w:p>
        </w:tc>
        <w:tc>
          <w:tcPr>
            <w:tcW w:w="2518" w:type="dxa"/>
            <w:tcBorders>
              <w:top w:val="single" w:sz="4" w:space="0" w:color="auto"/>
              <w:bottom w:val="single" w:sz="4" w:space="0" w:color="auto"/>
            </w:tcBorders>
          </w:tcPr>
          <w:p w14:paraId="681307E5" w14:textId="77777777" w:rsidR="00584597" w:rsidRDefault="00584597" w:rsidP="008E1F7B">
            <w:pPr>
              <w:jc w:val="center"/>
            </w:pPr>
            <w:r>
              <w:t>Waitlist</w:t>
            </w:r>
          </w:p>
          <w:p w14:paraId="3D22C0D2" w14:textId="3B171686" w:rsidR="00584597" w:rsidRDefault="00584597" w:rsidP="008E1F7B">
            <w:pPr>
              <w:jc w:val="center"/>
            </w:pPr>
            <w:r>
              <w:t xml:space="preserve">(n = </w:t>
            </w:r>
            <w:r w:rsidR="00C9078D">
              <w:t>40</w:t>
            </w:r>
            <w:r>
              <w:t>)</w:t>
            </w:r>
          </w:p>
        </w:tc>
      </w:tr>
      <w:tr w:rsidR="00584597" w14:paraId="77841F5C" w14:textId="77777777" w:rsidTr="008E1F7B">
        <w:trPr>
          <w:trHeight w:val="521"/>
        </w:trPr>
        <w:tc>
          <w:tcPr>
            <w:tcW w:w="2517" w:type="dxa"/>
            <w:tcBorders>
              <w:top w:val="single" w:sz="4" w:space="0" w:color="auto"/>
            </w:tcBorders>
          </w:tcPr>
          <w:p w14:paraId="760CF168" w14:textId="77777777" w:rsidR="00584597" w:rsidRDefault="00584597" w:rsidP="008E1F7B">
            <w:r>
              <w:t>Age (SD)</w:t>
            </w:r>
          </w:p>
        </w:tc>
        <w:tc>
          <w:tcPr>
            <w:tcW w:w="2517" w:type="dxa"/>
            <w:tcBorders>
              <w:top w:val="single" w:sz="4" w:space="0" w:color="auto"/>
            </w:tcBorders>
          </w:tcPr>
          <w:p w14:paraId="69962707" w14:textId="77777777" w:rsidR="00584597" w:rsidRDefault="00584597" w:rsidP="008E1F7B">
            <w:pPr>
              <w:jc w:val="center"/>
            </w:pPr>
            <w:r>
              <w:t>30.62 (7.87)</w:t>
            </w:r>
          </w:p>
        </w:tc>
        <w:tc>
          <w:tcPr>
            <w:tcW w:w="2518" w:type="dxa"/>
            <w:tcBorders>
              <w:top w:val="single" w:sz="4" w:space="0" w:color="auto"/>
            </w:tcBorders>
          </w:tcPr>
          <w:p w14:paraId="4064284F" w14:textId="77777777" w:rsidR="00584597" w:rsidRDefault="00584597" w:rsidP="008E1F7B">
            <w:pPr>
              <w:jc w:val="center"/>
            </w:pPr>
            <w:r>
              <w:t>30.53 (7.36)</w:t>
            </w:r>
          </w:p>
        </w:tc>
        <w:tc>
          <w:tcPr>
            <w:tcW w:w="2518" w:type="dxa"/>
            <w:tcBorders>
              <w:top w:val="single" w:sz="4" w:space="0" w:color="auto"/>
            </w:tcBorders>
          </w:tcPr>
          <w:p w14:paraId="5D6B46B3" w14:textId="77777777" w:rsidR="00584597" w:rsidRDefault="00584597" w:rsidP="008E1F7B">
            <w:pPr>
              <w:jc w:val="center"/>
            </w:pPr>
            <w:r>
              <w:t>30.55 (8.46)</w:t>
            </w:r>
          </w:p>
        </w:tc>
      </w:tr>
      <w:tr w:rsidR="00584597" w14:paraId="25DDEB10" w14:textId="77777777" w:rsidTr="008E1F7B">
        <w:trPr>
          <w:trHeight w:val="521"/>
        </w:trPr>
        <w:tc>
          <w:tcPr>
            <w:tcW w:w="2517" w:type="dxa"/>
          </w:tcPr>
          <w:p w14:paraId="22B40090" w14:textId="65D2AAF2" w:rsidR="00584597" w:rsidRDefault="00584597" w:rsidP="008E1F7B">
            <w:r>
              <w:t>Gender (%</w:t>
            </w:r>
            <w:r w:rsidR="00923087">
              <w:t>)</w:t>
            </w:r>
          </w:p>
        </w:tc>
        <w:tc>
          <w:tcPr>
            <w:tcW w:w="2517" w:type="dxa"/>
          </w:tcPr>
          <w:p w14:paraId="6E865CC4" w14:textId="77777777" w:rsidR="00584597" w:rsidRDefault="00584597" w:rsidP="008E1F7B">
            <w:pPr>
              <w:jc w:val="center"/>
            </w:pPr>
          </w:p>
        </w:tc>
        <w:tc>
          <w:tcPr>
            <w:tcW w:w="2518" w:type="dxa"/>
          </w:tcPr>
          <w:p w14:paraId="33A1BDD8" w14:textId="77777777" w:rsidR="00584597" w:rsidRDefault="00584597" w:rsidP="008E1F7B">
            <w:pPr>
              <w:jc w:val="center"/>
            </w:pPr>
          </w:p>
        </w:tc>
        <w:tc>
          <w:tcPr>
            <w:tcW w:w="2518" w:type="dxa"/>
          </w:tcPr>
          <w:p w14:paraId="5EFCDE02" w14:textId="77777777" w:rsidR="00584597" w:rsidRDefault="00584597" w:rsidP="008E1F7B">
            <w:pPr>
              <w:jc w:val="center"/>
            </w:pPr>
          </w:p>
        </w:tc>
      </w:tr>
      <w:tr w:rsidR="00584597" w14:paraId="3C8FB414" w14:textId="77777777" w:rsidTr="008E1F7B">
        <w:trPr>
          <w:trHeight w:val="549"/>
        </w:trPr>
        <w:tc>
          <w:tcPr>
            <w:tcW w:w="2517" w:type="dxa"/>
          </w:tcPr>
          <w:p w14:paraId="4D8F93B6" w14:textId="77777777" w:rsidR="00584597" w:rsidRDefault="00584597" w:rsidP="008E1F7B">
            <w:r>
              <w:t>Man</w:t>
            </w:r>
          </w:p>
          <w:p w14:paraId="18229139" w14:textId="77777777" w:rsidR="00584597" w:rsidRDefault="00584597" w:rsidP="008E1F7B">
            <w:r>
              <w:t>Woman</w:t>
            </w:r>
          </w:p>
          <w:p w14:paraId="012A04F6" w14:textId="77777777" w:rsidR="00584597" w:rsidRDefault="00584597" w:rsidP="008E1F7B">
            <w:r>
              <w:t>Agender</w:t>
            </w:r>
          </w:p>
          <w:p w14:paraId="440D0F42" w14:textId="77777777" w:rsidR="00584597" w:rsidRDefault="00584597" w:rsidP="008E1F7B">
            <w:r>
              <w:t>Non-binary</w:t>
            </w:r>
          </w:p>
        </w:tc>
        <w:tc>
          <w:tcPr>
            <w:tcW w:w="2517" w:type="dxa"/>
          </w:tcPr>
          <w:p w14:paraId="440F322A" w14:textId="40FA544B" w:rsidR="00584597" w:rsidRDefault="006438EF" w:rsidP="008E1F7B">
            <w:pPr>
              <w:jc w:val="center"/>
            </w:pPr>
            <w:r>
              <w:t>7 (</w:t>
            </w:r>
            <w:r w:rsidR="00584597">
              <w:t>8.64</w:t>
            </w:r>
            <w:r>
              <w:t>)</w:t>
            </w:r>
          </w:p>
          <w:p w14:paraId="16045CBD" w14:textId="62964BD6" w:rsidR="00584597" w:rsidRDefault="006438EF" w:rsidP="008E1F7B">
            <w:pPr>
              <w:jc w:val="center"/>
            </w:pPr>
            <w:r>
              <w:t>70 (</w:t>
            </w:r>
            <w:r w:rsidR="00584597">
              <w:t>86.42</w:t>
            </w:r>
            <w:r>
              <w:t>)</w:t>
            </w:r>
            <w:r w:rsidR="004D19D8">
              <w:t xml:space="preserve"> </w:t>
            </w:r>
          </w:p>
          <w:p w14:paraId="40666C38" w14:textId="26DDE2A4" w:rsidR="00584597" w:rsidRDefault="00923087" w:rsidP="008E1F7B">
            <w:pPr>
              <w:jc w:val="center"/>
            </w:pPr>
            <w:r>
              <w:t>1 (</w:t>
            </w:r>
            <w:r w:rsidR="00584597">
              <w:t>1.23</w:t>
            </w:r>
            <w:r>
              <w:t>)</w:t>
            </w:r>
          </w:p>
          <w:p w14:paraId="3452649B" w14:textId="569B3114" w:rsidR="00584597" w:rsidRDefault="00923087" w:rsidP="008E1F7B">
            <w:pPr>
              <w:jc w:val="center"/>
            </w:pPr>
            <w:r>
              <w:t>3 (</w:t>
            </w:r>
            <w:r w:rsidR="00584597">
              <w:t>3.70</w:t>
            </w:r>
            <w:r>
              <w:t>)</w:t>
            </w:r>
          </w:p>
        </w:tc>
        <w:tc>
          <w:tcPr>
            <w:tcW w:w="2518" w:type="dxa"/>
          </w:tcPr>
          <w:p w14:paraId="57EA53FE" w14:textId="40EB5BDF" w:rsidR="00584597" w:rsidRDefault="00923087" w:rsidP="008E1F7B">
            <w:pPr>
              <w:jc w:val="center"/>
            </w:pPr>
            <w:r>
              <w:t>6 (</w:t>
            </w:r>
            <w:r w:rsidR="00584597">
              <w:t>14.63</w:t>
            </w:r>
            <w:r>
              <w:t>)</w:t>
            </w:r>
          </w:p>
          <w:p w14:paraId="53A50E44" w14:textId="6A8931FF" w:rsidR="00584597" w:rsidRDefault="00923087" w:rsidP="008E1F7B">
            <w:pPr>
              <w:jc w:val="center"/>
            </w:pPr>
            <w:r>
              <w:t>33 (</w:t>
            </w:r>
            <w:r w:rsidR="00584597">
              <w:t>80.49</w:t>
            </w:r>
            <w:r>
              <w:t>)</w:t>
            </w:r>
          </w:p>
          <w:p w14:paraId="7E211C1E" w14:textId="628CA94C" w:rsidR="00584597" w:rsidRDefault="00584597" w:rsidP="008E1F7B">
            <w:pPr>
              <w:jc w:val="center"/>
            </w:pPr>
            <w:r>
              <w:t>0</w:t>
            </w:r>
            <w:r w:rsidR="00923087">
              <w:t xml:space="preserve"> (0)</w:t>
            </w:r>
          </w:p>
          <w:p w14:paraId="5740ADCC" w14:textId="5E2EAB22" w:rsidR="00584597" w:rsidRDefault="00923087" w:rsidP="008E1F7B">
            <w:pPr>
              <w:jc w:val="center"/>
            </w:pPr>
            <w:r>
              <w:t>2(</w:t>
            </w:r>
            <w:r w:rsidR="00584597">
              <w:t>4.88</w:t>
            </w:r>
            <w:r>
              <w:t>)</w:t>
            </w:r>
          </w:p>
        </w:tc>
        <w:tc>
          <w:tcPr>
            <w:tcW w:w="2518" w:type="dxa"/>
          </w:tcPr>
          <w:p w14:paraId="67585189" w14:textId="3C66B709" w:rsidR="00584597" w:rsidRDefault="00923087" w:rsidP="008E1F7B">
            <w:pPr>
              <w:jc w:val="center"/>
            </w:pPr>
            <w:r>
              <w:t>1 (</w:t>
            </w:r>
            <w:r w:rsidR="00584597">
              <w:t>2.5</w:t>
            </w:r>
            <w:r>
              <w:t xml:space="preserve">0) </w:t>
            </w:r>
          </w:p>
          <w:p w14:paraId="423CDA39" w14:textId="4ABEEF5D" w:rsidR="00584597" w:rsidRDefault="00923087" w:rsidP="008E1F7B">
            <w:pPr>
              <w:jc w:val="center"/>
            </w:pPr>
            <w:r>
              <w:t>3</w:t>
            </w:r>
            <w:r w:rsidR="006438EF">
              <w:t>7</w:t>
            </w:r>
            <w:r>
              <w:t xml:space="preserve"> (</w:t>
            </w:r>
            <w:r w:rsidR="00584597">
              <w:t>92.50</w:t>
            </w:r>
            <w:r>
              <w:t>)</w:t>
            </w:r>
            <w:r w:rsidR="004D19D8">
              <w:t xml:space="preserve"> </w:t>
            </w:r>
          </w:p>
          <w:p w14:paraId="338C944D" w14:textId="34CDAE65" w:rsidR="00584597" w:rsidRDefault="00923087" w:rsidP="008E1F7B">
            <w:pPr>
              <w:jc w:val="center"/>
            </w:pPr>
            <w:r>
              <w:t>1 (2.50)</w:t>
            </w:r>
          </w:p>
          <w:p w14:paraId="33220E69" w14:textId="32559D04" w:rsidR="00584597" w:rsidRDefault="00923087" w:rsidP="008E1F7B">
            <w:pPr>
              <w:jc w:val="center"/>
            </w:pPr>
            <w:r>
              <w:t>1</w:t>
            </w:r>
            <w:r w:rsidR="004D19D8">
              <w:t xml:space="preserve"> </w:t>
            </w:r>
            <w:r>
              <w:t>(2.50)</w:t>
            </w:r>
          </w:p>
        </w:tc>
      </w:tr>
      <w:tr w:rsidR="00584597" w14:paraId="39FF10B8" w14:textId="77777777" w:rsidTr="008E1F7B">
        <w:trPr>
          <w:trHeight w:val="521"/>
        </w:trPr>
        <w:tc>
          <w:tcPr>
            <w:tcW w:w="2517" w:type="dxa"/>
          </w:tcPr>
          <w:p w14:paraId="6FFC2640" w14:textId="77777777" w:rsidR="00584597" w:rsidRDefault="00584597" w:rsidP="008E1F7B"/>
          <w:p w14:paraId="37544DED" w14:textId="5D965317" w:rsidR="00584597" w:rsidRDefault="00584597" w:rsidP="008E1F7B">
            <w:r>
              <w:t>Sex</w:t>
            </w:r>
            <w:r w:rsidR="006438EF">
              <w:t xml:space="preserve"> </w:t>
            </w:r>
            <w:r>
              <w:t>at birth (%)</w:t>
            </w:r>
          </w:p>
          <w:p w14:paraId="383E4D7F" w14:textId="77777777" w:rsidR="00584597" w:rsidRDefault="00584597" w:rsidP="008E1F7B"/>
          <w:p w14:paraId="492FD727" w14:textId="77777777" w:rsidR="00584597" w:rsidRDefault="00584597" w:rsidP="008E1F7B">
            <w:r>
              <w:t>Male</w:t>
            </w:r>
          </w:p>
          <w:p w14:paraId="4B5DE116" w14:textId="77777777" w:rsidR="00584597" w:rsidRDefault="00584597" w:rsidP="008E1F7B">
            <w:r>
              <w:t>Female</w:t>
            </w:r>
          </w:p>
        </w:tc>
        <w:tc>
          <w:tcPr>
            <w:tcW w:w="2517" w:type="dxa"/>
          </w:tcPr>
          <w:p w14:paraId="6B90F4BD" w14:textId="77777777" w:rsidR="00584597" w:rsidRDefault="00584597" w:rsidP="008E1F7B">
            <w:pPr>
              <w:jc w:val="center"/>
            </w:pPr>
          </w:p>
          <w:p w14:paraId="3309D825" w14:textId="77777777" w:rsidR="00584597" w:rsidRDefault="00584597" w:rsidP="008E1F7B">
            <w:pPr>
              <w:jc w:val="center"/>
            </w:pPr>
          </w:p>
          <w:p w14:paraId="1BB5C30F" w14:textId="77777777" w:rsidR="00584597" w:rsidRDefault="00584597" w:rsidP="008E1F7B">
            <w:pPr>
              <w:jc w:val="center"/>
            </w:pPr>
          </w:p>
          <w:p w14:paraId="2708D218" w14:textId="66452BFA" w:rsidR="00584597" w:rsidRDefault="006438EF" w:rsidP="008E1F7B">
            <w:pPr>
              <w:jc w:val="center"/>
            </w:pPr>
            <w:r>
              <w:t>7 (</w:t>
            </w:r>
            <w:r w:rsidR="00584597">
              <w:t>7.41</w:t>
            </w:r>
            <w:r>
              <w:t>)</w:t>
            </w:r>
          </w:p>
          <w:p w14:paraId="1870ACAD" w14:textId="208C5029" w:rsidR="00584597" w:rsidRDefault="006438EF" w:rsidP="008E1F7B">
            <w:pPr>
              <w:jc w:val="center"/>
            </w:pPr>
            <w:r>
              <w:t>74 (</w:t>
            </w:r>
            <w:r w:rsidR="00584597">
              <w:t>92.59</w:t>
            </w:r>
            <w:r>
              <w:t>)</w:t>
            </w:r>
          </w:p>
          <w:p w14:paraId="359D270A" w14:textId="77777777" w:rsidR="00584597" w:rsidRDefault="00584597" w:rsidP="008E1F7B"/>
        </w:tc>
        <w:tc>
          <w:tcPr>
            <w:tcW w:w="2518" w:type="dxa"/>
          </w:tcPr>
          <w:p w14:paraId="68EF7B54" w14:textId="77777777" w:rsidR="00584597" w:rsidRDefault="00584597" w:rsidP="008E1F7B">
            <w:pPr>
              <w:jc w:val="center"/>
            </w:pPr>
          </w:p>
          <w:p w14:paraId="465B3768" w14:textId="77777777" w:rsidR="00584597" w:rsidRDefault="00584597" w:rsidP="008E1F7B">
            <w:pPr>
              <w:jc w:val="center"/>
            </w:pPr>
          </w:p>
          <w:p w14:paraId="34696E38" w14:textId="77777777" w:rsidR="00584597" w:rsidRDefault="00584597" w:rsidP="008E1F7B">
            <w:pPr>
              <w:jc w:val="center"/>
            </w:pPr>
          </w:p>
          <w:p w14:paraId="4BB6213A" w14:textId="37E172AF" w:rsidR="00584597" w:rsidRDefault="006438EF" w:rsidP="008E1F7B">
            <w:pPr>
              <w:jc w:val="center"/>
            </w:pPr>
            <w:r>
              <w:t>7 (</w:t>
            </w:r>
            <w:r w:rsidR="00584597">
              <w:t>12.20</w:t>
            </w:r>
            <w:r>
              <w:t>)</w:t>
            </w:r>
          </w:p>
          <w:p w14:paraId="25258178" w14:textId="1D282E4B" w:rsidR="00584597" w:rsidRDefault="006438EF" w:rsidP="008E1F7B">
            <w:pPr>
              <w:jc w:val="center"/>
            </w:pPr>
            <w:r>
              <w:t>35 (</w:t>
            </w:r>
            <w:r w:rsidR="00584597">
              <w:t>87.80</w:t>
            </w:r>
            <w:r>
              <w:t>)</w:t>
            </w:r>
          </w:p>
        </w:tc>
        <w:tc>
          <w:tcPr>
            <w:tcW w:w="2518" w:type="dxa"/>
          </w:tcPr>
          <w:p w14:paraId="2AE49271" w14:textId="77777777" w:rsidR="00584597" w:rsidRDefault="00584597" w:rsidP="008E1F7B">
            <w:pPr>
              <w:jc w:val="center"/>
            </w:pPr>
          </w:p>
          <w:p w14:paraId="1DD2B538" w14:textId="77777777" w:rsidR="00584597" w:rsidRDefault="00584597" w:rsidP="008E1F7B">
            <w:pPr>
              <w:jc w:val="center"/>
            </w:pPr>
          </w:p>
          <w:p w14:paraId="377EF9B7" w14:textId="77777777" w:rsidR="00584597" w:rsidRDefault="00584597" w:rsidP="008E1F7B">
            <w:pPr>
              <w:jc w:val="center"/>
            </w:pPr>
          </w:p>
          <w:p w14:paraId="1D3EA930" w14:textId="0843C7EE" w:rsidR="00584597" w:rsidRDefault="00923087" w:rsidP="008E1F7B">
            <w:pPr>
              <w:jc w:val="center"/>
            </w:pPr>
            <w:r>
              <w:t>1 (</w:t>
            </w:r>
            <w:r w:rsidR="00584597">
              <w:t>2.50</w:t>
            </w:r>
            <w:r>
              <w:t xml:space="preserve">) </w:t>
            </w:r>
          </w:p>
          <w:p w14:paraId="07ED69C3" w14:textId="5B74E2D1" w:rsidR="00584597" w:rsidRDefault="00923087" w:rsidP="008E1F7B">
            <w:pPr>
              <w:jc w:val="center"/>
            </w:pPr>
            <w:r>
              <w:t xml:space="preserve">(39) </w:t>
            </w:r>
            <w:r w:rsidR="00584597">
              <w:t>97.50</w:t>
            </w:r>
          </w:p>
        </w:tc>
      </w:tr>
      <w:tr w:rsidR="00584597" w14:paraId="721261BD" w14:textId="77777777" w:rsidTr="008E1F7B">
        <w:trPr>
          <w:trHeight w:val="521"/>
        </w:trPr>
        <w:tc>
          <w:tcPr>
            <w:tcW w:w="2517" w:type="dxa"/>
          </w:tcPr>
          <w:p w14:paraId="09312323" w14:textId="77777777" w:rsidR="00584597" w:rsidRDefault="00584597" w:rsidP="008E1F7B">
            <w:r>
              <w:t>Race (%)</w:t>
            </w:r>
          </w:p>
        </w:tc>
        <w:tc>
          <w:tcPr>
            <w:tcW w:w="2517" w:type="dxa"/>
          </w:tcPr>
          <w:p w14:paraId="3D1DA359" w14:textId="77777777" w:rsidR="00584597" w:rsidRDefault="00584597" w:rsidP="008E1F7B"/>
        </w:tc>
        <w:tc>
          <w:tcPr>
            <w:tcW w:w="2518" w:type="dxa"/>
          </w:tcPr>
          <w:p w14:paraId="35105890" w14:textId="77777777" w:rsidR="00584597" w:rsidRDefault="00584597" w:rsidP="008E1F7B">
            <w:pPr>
              <w:jc w:val="center"/>
            </w:pPr>
          </w:p>
        </w:tc>
        <w:tc>
          <w:tcPr>
            <w:tcW w:w="2518" w:type="dxa"/>
          </w:tcPr>
          <w:p w14:paraId="4F224DE0" w14:textId="77777777" w:rsidR="00584597" w:rsidRDefault="00584597" w:rsidP="008E1F7B">
            <w:pPr>
              <w:jc w:val="center"/>
            </w:pPr>
          </w:p>
        </w:tc>
      </w:tr>
      <w:tr w:rsidR="00584597" w14:paraId="32C42AC5" w14:textId="77777777" w:rsidTr="008E1F7B">
        <w:trPr>
          <w:trHeight w:val="549"/>
        </w:trPr>
        <w:tc>
          <w:tcPr>
            <w:tcW w:w="2517" w:type="dxa"/>
          </w:tcPr>
          <w:p w14:paraId="463C87EC" w14:textId="77777777" w:rsidR="00584597" w:rsidRDefault="00584597" w:rsidP="008E1F7B">
            <w:r>
              <w:t>White or Caucasian</w:t>
            </w:r>
          </w:p>
          <w:p w14:paraId="1B3730BE" w14:textId="77777777" w:rsidR="00584597" w:rsidRDefault="00584597" w:rsidP="008E1F7B">
            <w:r>
              <w:t>Hispanic</w:t>
            </w:r>
          </w:p>
          <w:p w14:paraId="2F55B1DB" w14:textId="77777777" w:rsidR="00584597" w:rsidRDefault="00584597" w:rsidP="008E1F7B">
            <w:r>
              <w:t>Black</w:t>
            </w:r>
          </w:p>
          <w:p w14:paraId="0594E751" w14:textId="77777777" w:rsidR="00584597" w:rsidRDefault="00584597" w:rsidP="008E1F7B">
            <w:r>
              <w:t>Biracial</w:t>
            </w:r>
          </w:p>
          <w:p w14:paraId="3C7AD037" w14:textId="77777777" w:rsidR="00584597" w:rsidRDefault="00584597" w:rsidP="008E1F7B">
            <w:r>
              <w:t>Asian</w:t>
            </w:r>
          </w:p>
        </w:tc>
        <w:tc>
          <w:tcPr>
            <w:tcW w:w="2517" w:type="dxa"/>
          </w:tcPr>
          <w:p w14:paraId="4E9293E3" w14:textId="77777777" w:rsidR="00584597" w:rsidRDefault="00584597" w:rsidP="008E1F7B">
            <w:pPr>
              <w:jc w:val="center"/>
            </w:pPr>
            <w:r>
              <w:t>67 (82.72)</w:t>
            </w:r>
          </w:p>
          <w:p w14:paraId="6840575C" w14:textId="77777777" w:rsidR="00584597" w:rsidRDefault="00584597" w:rsidP="008E1F7B">
            <w:pPr>
              <w:jc w:val="center"/>
            </w:pPr>
            <w:r>
              <w:t>1 (1.23)</w:t>
            </w:r>
          </w:p>
          <w:p w14:paraId="076453D8" w14:textId="77777777" w:rsidR="00584597" w:rsidRDefault="00584597" w:rsidP="008E1F7B">
            <w:pPr>
              <w:jc w:val="center"/>
            </w:pPr>
            <w:r>
              <w:t>1 (1.23)</w:t>
            </w:r>
          </w:p>
          <w:p w14:paraId="2EF13CC4" w14:textId="77777777" w:rsidR="00584597" w:rsidRDefault="00584597" w:rsidP="008E1F7B">
            <w:pPr>
              <w:jc w:val="center"/>
            </w:pPr>
            <w:r>
              <w:t>3 (3.70)</w:t>
            </w:r>
          </w:p>
          <w:p w14:paraId="77B506FD" w14:textId="77777777" w:rsidR="00584597" w:rsidRDefault="00584597" w:rsidP="008E1F7B">
            <w:pPr>
              <w:jc w:val="center"/>
            </w:pPr>
            <w:r>
              <w:t>9(11.11)</w:t>
            </w:r>
          </w:p>
        </w:tc>
        <w:tc>
          <w:tcPr>
            <w:tcW w:w="2518" w:type="dxa"/>
          </w:tcPr>
          <w:p w14:paraId="76DA054D" w14:textId="77777777" w:rsidR="00584597" w:rsidRDefault="00584597" w:rsidP="008E1F7B">
            <w:pPr>
              <w:jc w:val="center"/>
            </w:pPr>
            <w:r>
              <w:t>36 (87.80)</w:t>
            </w:r>
          </w:p>
          <w:p w14:paraId="250A62AB" w14:textId="77777777" w:rsidR="00584597" w:rsidRDefault="00584597" w:rsidP="008E1F7B">
            <w:pPr>
              <w:jc w:val="center"/>
            </w:pPr>
            <w:r>
              <w:t>1 (2.44)</w:t>
            </w:r>
          </w:p>
          <w:p w14:paraId="1A78122A" w14:textId="77777777" w:rsidR="00584597" w:rsidRDefault="00584597" w:rsidP="008E1F7B">
            <w:pPr>
              <w:jc w:val="center"/>
            </w:pPr>
            <w:r>
              <w:t>1 (2.44)</w:t>
            </w:r>
          </w:p>
          <w:p w14:paraId="0B5D9925" w14:textId="77777777" w:rsidR="00584597" w:rsidRDefault="00584597" w:rsidP="008E1F7B">
            <w:pPr>
              <w:jc w:val="center"/>
            </w:pPr>
            <w:r>
              <w:t>3 (7.32)</w:t>
            </w:r>
          </w:p>
          <w:p w14:paraId="20C8E9A6" w14:textId="77777777" w:rsidR="00584597" w:rsidRDefault="00584597" w:rsidP="008E1F7B">
            <w:pPr>
              <w:jc w:val="center"/>
            </w:pPr>
            <w:r>
              <w:t>0 (0)</w:t>
            </w:r>
          </w:p>
        </w:tc>
        <w:tc>
          <w:tcPr>
            <w:tcW w:w="2518" w:type="dxa"/>
          </w:tcPr>
          <w:p w14:paraId="56B84A8A" w14:textId="77777777" w:rsidR="00584597" w:rsidRDefault="00584597" w:rsidP="008E1F7B">
            <w:pPr>
              <w:jc w:val="center"/>
            </w:pPr>
            <w:r>
              <w:t>31 (77.50)</w:t>
            </w:r>
          </w:p>
          <w:p w14:paraId="771063AD" w14:textId="77777777" w:rsidR="00584597" w:rsidRDefault="00584597" w:rsidP="008E1F7B">
            <w:pPr>
              <w:jc w:val="center"/>
            </w:pPr>
            <w:r>
              <w:t>0 (0)</w:t>
            </w:r>
          </w:p>
          <w:p w14:paraId="4ACCD1FE" w14:textId="77777777" w:rsidR="00584597" w:rsidRDefault="00584597" w:rsidP="008E1F7B">
            <w:pPr>
              <w:jc w:val="center"/>
            </w:pPr>
            <w:r>
              <w:t>0 (0)</w:t>
            </w:r>
          </w:p>
          <w:p w14:paraId="2EA0D7B7" w14:textId="77777777" w:rsidR="00584597" w:rsidRDefault="00584597" w:rsidP="008E1F7B">
            <w:pPr>
              <w:jc w:val="center"/>
            </w:pPr>
            <w:r>
              <w:t>0 (0)</w:t>
            </w:r>
          </w:p>
          <w:p w14:paraId="6B80442C" w14:textId="77777777" w:rsidR="00584597" w:rsidRDefault="00584597" w:rsidP="008E1F7B">
            <w:pPr>
              <w:jc w:val="center"/>
            </w:pPr>
            <w:r>
              <w:t>9 (22.5)</w:t>
            </w:r>
          </w:p>
        </w:tc>
      </w:tr>
      <w:tr w:rsidR="00584597" w14:paraId="1552B9CC" w14:textId="77777777" w:rsidTr="008E1F7B">
        <w:trPr>
          <w:trHeight w:val="521"/>
        </w:trPr>
        <w:tc>
          <w:tcPr>
            <w:tcW w:w="2517" w:type="dxa"/>
          </w:tcPr>
          <w:p w14:paraId="2AA998DD" w14:textId="77777777" w:rsidR="00584597" w:rsidRDefault="00584597" w:rsidP="008E1F7B"/>
          <w:p w14:paraId="475A3332" w14:textId="77777777" w:rsidR="00584597" w:rsidRDefault="00584597" w:rsidP="008E1F7B">
            <w:r>
              <w:t>Ethnicity (%)</w:t>
            </w:r>
          </w:p>
          <w:p w14:paraId="6A6AE7FE" w14:textId="77777777" w:rsidR="00584597" w:rsidRDefault="00584597" w:rsidP="008E1F7B"/>
        </w:tc>
        <w:tc>
          <w:tcPr>
            <w:tcW w:w="2517" w:type="dxa"/>
          </w:tcPr>
          <w:p w14:paraId="2252EB85" w14:textId="77777777" w:rsidR="00584597" w:rsidRDefault="00584597" w:rsidP="008E1F7B">
            <w:pPr>
              <w:jc w:val="center"/>
            </w:pPr>
          </w:p>
        </w:tc>
        <w:tc>
          <w:tcPr>
            <w:tcW w:w="2518" w:type="dxa"/>
          </w:tcPr>
          <w:p w14:paraId="62220489" w14:textId="77777777" w:rsidR="00584597" w:rsidRDefault="00584597" w:rsidP="008E1F7B">
            <w:pPr>
              <w:jc w:val="center"/>
            </w:pPr>
          </w:p>
        </w:tc>
        <w:tc>
          <w:tcPr>
            <w:tcW w:w="2518" w:type="dxa"/>
          </w:tcPr>
          <w:p w14:paraId="4E14F6F3" w14:textId="77777777" w:rsidR="00584597" w:rsidRDefault="00584597" w:rsidP="008E1F7B"/>
        </w:tc>
      </w:tr>
      <w:tr w:rsidR="00584597" w14:paraId="7E67C0B1" w14:textId="77777777" w:rsidTr="008E1F7B">
        <w:trPr>
          <w:trHeight w:val="521"/>
        </w:trPr>
        <w:tc>
          <w:tcPr>
            <w:tcW w:w="2517" w:type="dxa"/>
          </w:tcPr>
          <w:p w14:paraId="21AE81B5" w14:textId="77777777" w:rsidR="00584597" w:rsidRDefault="00584597" w:rsidP="008E1F7B">
            <w:r>
              <w:t>White/Non-Hispanic</w:t>
            </w:r>
          </w:p>
          <w:p w14:paraId="3EB2B1E1" w14:textId="77777777" w:rsidR="00584597" w:rsidRDefault="00584597" w:rsidP="008E1F7B">
            <w:r>
              <w:t>Hispanic/Latinx</w:t>
            </w:r>
          </w:p>
          <w:p w14:paraId="685ED642" w14:textId="77777777" w:rsidR="00584597" w:rsidRDefault="00584597" w:rsidP="008E1F7B">
            <w:r>
              <w:t>Black</w:t>
            </w:r>
          </w:p>
          <w:p w14:paraId="194E93CC" w14:textId="77777777" w:rsidR="00584597" w:rsidRDefault="00584597" w:rsidP="008E1F7B">
            <w:r>
              <w:t>Biracial</w:t>
            </w:r>
          </w:p>
          <w:p w14:paraId="7688A936" w14:textId="77777777" w:rsidR="00584597" w:rsidRDefault="00584597" w:rsidP="008E1F7B">
            <w:r>
              <w:t>Asian</w:t>
            </w:r>
          </w:p>
          <w:p w14:paraId="73D06DFB" w14:textId="77777777" w:rsidR="00584597" w:rsidRDefault="00584597" w:rsidP="008E1F7B">
            <w:r>
              <w:t>Prefer Not to Answer</w:t>
            </w:r>
          </w:p>
          <w:p w14:paraId="1E182FA5" w14:textId="77777777" w:rsidR="00584597" w:rsidRDefault="00584597" w:rsidP="008E1F7B"/>
          <w:p w14:paraId="20E8915A" w14:textId="77777777" w:rsidR="00584597" w:rsidRDefault="00584597" w:rsidP="008E1F7B">
            <w:r>
              <w:t>Demography (%)</w:t>
            </w:r>
          </w:p>
          <w:p w14:paraId="151CFD51" w14:textId="77777777" w:rsidR="00584597" w:rsidRDefault="00584597" w:rsidP="008E1F7B"/>
          <w:p w14:paraId="142EDB2E" w14:textId="77777777" w:rsidR="00584597" w:rsidRDefault="00584597" w:rsidP="008E1F7B">
            <w:r>
              <w:t xml:space="preserve">Rural </w:t>
            </w:r>
          </w:p>
          <w:p w14:paraId="649B2383" w14:textId="77777777" w:rsidR="00584597" w:rsidRDefault="00584597" w:rsidP="008E1F7B">
            <w:r>
              <w:t>Urban</w:t>
            </w:r>
          </w:p>
        </w:tc>
        <w:tc>
          <w:tcPr>
            <w:tcW w:w="2517" w:type="dxa"/>
          </w:tcPr>
          <w:p w14:paraId="2EAE5473" w14:textId="77777777" w:rsidR="00584597" w:rsidRDefault="00584597" w:rsidP="008E1F7B">
            <w:pPr>
              <w:jc w:val="center"/>
            </w:pPr>
            <w:r>
              <w:t>63 (77.78)</w:t>
            </w:r>
          </w:p>
          <w:p w14:paraId="70EA7CEB" w14:textId="77777777" w:rsidR="00584597" w:rsidRDefault="00584597" w:rsidP="008E1F7B">
            <w:pPr>
              <w:jc w:val="center"/>
            </w:pPr>
            <w:r>
              <w:t>4 (4.94)</w:t>
            </w:r>
          </w:p>
          <w:p w14:paraId="6EC72599" w14:textId="77777777" w:rsidR="00584597" w:rsidRDefault="00584597" w:rsidP="008E1F7B">
            <w:pPr>
              <w:jc w:val="center"/>
            </w:pPr>
            <w:r>
              <w:t>1 (1.23)</w:t>
            </w:r>
          </w:p>
          <w:p w14:paraId="68FA63E1" w14:textId="77777777" w:rsidR="00584597" w:rsidRDefault="00584597" w:rsidP="008E1F7B">
            <w:pPr>
              <w:jc w:val="center"/>
            </w:pPr>
            <w:r>
              <w:t>1 (1.23)</w:t>
            </w:r>
          </w:p>
          <w:p w14:paraId="68D68DF8" w14:textId="77777777" w:rsidR="00584597" w:rsidRDefault="00584597" w:rsidP="008E1F7B">
            <w:pPr>
              <w:jc w:val="center"/>
            </w:pPr>
            <w:r>
              <w:t>10 (12.35)</w:t>
            </w:r>
          </w:p>
          <w:p w14:paraId="0A115E21" w14:textId="77777777" w:rsidR="00584597" w:rsidRDefault="00584597" w:rsidP="008E1F7B">
            <w:pPr>
              <w:jc w:val="center"/>
            </w:pPr>
            <w:r>
              <w:t>2 (2.47)</w:t>
            </w:r>
          </w:p>
          <w:p w14:paraId="5754D534" w14:textId="77777777" w:rsidR="00584597" w:rsidRDefault="00584597" w:rsidP="008E1F7B">
            <w:pPr>
              <w:jc w:val="center"/>
            </w:pPr>
          </w:p>
          <w:p w14:paraId="6C841516" w14:textId="77777777" w:rsidR="00584597" w:rsidRDefault="00584597" w:rsidP="008E1F7B">
            <w:pPr>
              <w:jc w:val="center"/>
            </w:pPr>
          </w:p>
          <w:p w14:paraId="2229EE19" w14:textId="77777777" w:rsidR="00584597" w:rsidRDefault="00584597" w:rsidP="008E1F7B">
            <w:pPr>
              <w:jc w:val="center"/>
            </w:pPr>
          </w:p>
          <w:p w14:paraId="3D9FE75C" w14:textId="77777777" w:rsidR="00584597" w:rsidRDefault="00584597" w:rsidP="008E1F7B">
            <w:pPr>
              <w:jc w:val="center"/>
            </w:pPr>
            <w:r>
              <w:t>17 (21)</w:t>
            </w:r>
          </w:p>
          <w:p w14:paraId="3A7B89B1" w14:textId="77777777" w:rsidR="00584597" w:rsidRDefault="00584597" w:rsidP="008E1F7B">
            <w:pPr>
              <w:jc w:val="center"/>
            </w:pPr>
            <w:r>
              <w:t>63 (78)</w:t>
            </w:r>
          </w:p>
        </w:tc>
        <w:tc>
          <w:tcPr>
            <w:tcW w:w="2518" w:type="dxa"/>
          </w:tcPr>
          <w:p w14:paraId="305E19E7" w14:textId="77777777" w:rsidR="00584597" w:rsidRDefault="00584597" w:rsidP="008E1F7B">
            <w:pPr>
              <w:jc w:val="center"/>
            </w:pPr>
            <w:r>
              <w:t>37 (90.24)</w:t>
            </w:r>
          </w:p>
          <w:p w14:paraId="25147B27" w14:textId="77777777" w:rsidR="00584597" w:rsidRDefault="00584597" w:rsidP="008E1F7B">
            <w:pPr>
              <w:jc w:val="center"/>
            </w:pPr>
            <w:r>
              <w:t>1 (2.44)</w:t>
            </w:r>
          </w:p>
          <w:p w14:paraId="1DC53E8B" w14:textId="77777777" w:rsidR="00584597" w:rsidRDefault="00584597" w:rsidP="008E1F7B">
            <w:pPr>
              <w:jc w:val="center"/>
            </w:pPr>
            <w:r>
              <w:t>1 (2.44)</w:t>
            </w:r>
          </w:p>
          <w:p w14:paraId="32FD16E4" w14:textId="77777777" w:rsidR="00584597" w:rsidRDefault="00584597" w:rsidP="008E1F7B">
            <w:pPr>
              <w:jc w:val="center"/>
            </w:pPr>
            <w:r>
              <w:t>1 (2.44)</w:t>
            </w:r>
          </w:p>
          <w:p w14:paraId="3263EBBE" w14:textId="77777777" w:rsidR="00584597" w:rsidRDefault="00584597" w:rsidP="008E1F7B">
            <w:pPr>
              <w:jc w:val="center"/>
            </w:pPr>
            <w:r>
              <w:t>1 (2.44)</w:t>
            </w:r>
          </w:p>
          <w:p w14:paraId="3E57935E" w14:textId="77777777" w:rsidR="00584597" w:rsidRDefault="00584597" w:rsidP="008E1F7B">
            <w:pPr>
              <w:jc w:val="center"/>
            </w:pPr>
            <w:r>
              <w:t>0 (0)</w:t>
            </w:r>
          </w:p>
        </w:tc>
        <w:tc>
          <w:tcPr>
            <w:tcW w:w="2518" w:type="dxa"/>
          </w:tcPr>
          <w:p w14:paraId="40BD5198" w14:textId="77777777" w:rsidR="00584597" w:rsidRDefault="00584597" w:rsidP="008E1F7B">
            <w:pPr>
              <w:jc w:val="center"/>
            </w:pPr>
            <w:r>
              <w:t>25 (62.50)</w:t>
            </w:r>
          </w:p>
          <w:p w14:paraId="39F002E5" w14:textId="77777777" w:rsidR="00584597" w:rsidRDefault="00584597" w:rsidP="008E1F7B">
            <w:pPr>
              <w:jc w:val="center"/>
            </w:pPr>
            <w:r>
              <w:t>3 (7.50)</w:t>
            </w:r>
          </w:p>
          <w:p w14:paraId="47ABDA64" w14:textId="77777777" w:rsidR="00584597" w:rsidRDefault="00584597" w:rsidP="008E1F7B">
            <w:pPr>
              <w:jc w:val="center"/>
            </w:pPr>
            <w:r>
              <w:t>0 (0)</w:t>
            </w:r>
          </w:p>
          <w:p w14:paraId="26E607F2" w14:textId="77777777" w:rsidR="00584597" w:rsidRDefault="00584597" w:rsidP="008E1F7B">
            <w:pPr>
              <w:jc w:val="center"/>
            </w:pPr>
            <w:r>
              <w:t>0 (0)</w:t>
            </w:r>
          </w:p>
          <w:p w14:paraId="61CB8BAE" w14:textId="77777777" w:rsidR="00584597" w:rsidRDefault="00584597" w:rsidP="008E1F7B">
            <w:pPr>
              <w:jc w:val="center"/>
            </w:pPr>
            <w:r>
              <w:t>9 (22.50)</w:t>
            </w:r>
          </w:p>
          <w:p w14:paraId="58BA77F6" w14:textId="77777777" w:rsidR="00584597" w:rsidRDefault="00584597" w:rsidP="008E1F7B">
            <w:pPr>
              <w:jc w:val="center"/>
            </w:pPr>
            <w:r>
              <w:t>0 (0)</w:t>
            </w:r>
          </w:p>
          <w:p w14:paraId="04990BD6" w14:textId="77777777" w:rsidR="00584597" w:rsidRDefault="00584597" w:rsidP="008E1F7B">
            <w:pPr>
              <w:jc w:val="center"/>
            </w:pPr>
          </w:p>
        </w:tc>
      </w:tr>
      <w:tr w:rsidR="00584597" w14:paraId="54650E35" w14:textId="77777777" w:rsidTr="008E1F7B">
        <w:trPr>
          <w:trHeight w:val="521"/>
        </w:trPr>
        <w:tc>
          <w:tcPr>
            <w:tcW w:w="2517" w:type="dxa"/>
          </w:tcPr>
          <w:p w14:paraId="6D585017" w14:textId="77777777" w:rsidR="00584597" w:rsidRDefault="00584597" w:rsidP="008E1F7B"/>
        </w:tc>
        <w:tc>
          <w:tcPr>
            <w:tcW w:w="2517" w:type="dxa"/>
          </w:tcPr>
          <w:p w14:paraId="7005840E" w14:textId="77777777" w:rsidR="00584597" w:rsidRDefault="00584597" w:rsidP="008E1F7B">
            <w:pPr>
              <w:jc w:val="center"/>
            </w:pPr>
          </w:p>
        </w:tc>
        <w:tc>
          <w:tcPr>
            <w:tcW w:w="2518" w:type="dxa"/>
          </w:tcPr>
          <w:p w14:paraId="1EA7F71D" w14:textId="77777777" w:rsidR="00584597" w:rsidRDefault="00584597" w:rsidP="008E1F7B">
            <w:pPr>
              <w:jc w:val="center"/>
            </w:pPr>
          </w:p>
        </w:tc>
        <w:tc>
          <w:tcPr>
            <w:tcW w:w="2518" w:type="dxa"/>
          </w:tcPr>
          <w:p w14:paraId="2CBFC7E9" w14:textId="77777777" w:rsidR="00584597" w:rsidRDefault="00584597" w:rsidP="008E1F7B">
            <w:pPr>
              <w:jc w:val="center"/>
            </w:pPr>
          </w:p>
        </w:tc>
      </w:tr>
    </w:tbl>
    <w:p w14:paraId="43DEFBEB" w14:textId="77777777" w:rsidR="00584597" w:rsidRDefault="00584597" w:rsidP="00584597">
      <w:pPr>
        <w:spacing w:line="480" w:lineRule="auto"/>
        <w:sectPr w:rsidR="00584597" w:rsidSect="000B0ED4">
          <w:headerReference w:type="even" r:id="rId34"/>
          <w:headerReference w:type="default" r:id="rId35"/>
          <w:footerReference w:type="even" r:id="rId36"/>
          <w:footerReference w:type="default" r:id="rId37"/>
          <w:headerReference w:type="first" r:id="rId38"/>
          <w:pgSz w:w="12240" w:h="15840"/>
          <w:pgMar w:top="1440" w:right="1440" w:bottom="1440" w:left="1440" w:header="720" w:footer="720" w:gutter="0"/>
          <w:cols w:space="720"/>
          <w:titlePg/>
          <w:docGrid w:linePitch="360"/>
        </w:sectPr>
      </w:pPr>
    </w:p>
    <w:p w14:paraId="0D7F376C" w14:textId="77777777" w:rsidR="001E6F32" w:rsidRDefault="00584597" w:rsidP="00584597">
      <w:r w:rsidRPr="00200FCA">
        <w:lastRenderedPageBreak/>
        <w:t xml:space="preserve">Table 2 </w:t>
      </w:r>
    </w:p>
    <w:p w14:paraId="4F38D80D" w14:textId="77777777" w:rsidR="001E6F32" w:rsidRDefault="001E6F32" w:rsidP="00584597"/>
    <w:p w14:paraId="5C733917" w14:textId="45E7C099" w:rsidR="00584597" w:rsidRPr="00200FCA" w:rsidRDefault="00584597" w:rsidP="00584597">
      <w:r w:rsidRPr="00200FCA">
        <w:t xml:space="preserve">Means and </w:t>
      </w:r>
      <w:r w:rsidR="00AE5EF1">
        <w:t>S</w:t>
      </w:r>
      <w:r w:rsidRPr="00200FCA">
        <w:t xml:space="preserve">tandard </w:t>
      </w:r>
      <w:r w:rsidR="00AE5EF1">
        <w:t>D</w:t>
      </w:r>
      <w:r w:rsidRPr="00200FCA">
        <w:t xml:space="preserve">eviations of </w:t>
      </w:r>
      <w:r w:rsidR="00AE5EF1">
        <w:t>O</w:t>
      </w:r>
      <w:r w:rsidRPr="00200FCA">
        <w:t xml:space="preserve">utcome </w:t>
      </w:r>
      <w:r w:rsidR="00AE5EF1">
        <w:t>M</w:t>
      </w:r>
      <w:r w:rsidRPr="00200FCA">
        <w:t xml:space="preserve">easures for </w:t>
      </w:r>
      <w:r w:rsidR="00AE5EF1">
        <w:t>F</w:t>
      </w:r>
      <w:r w:rsidRPr="00200FCA">
        <w:t xml:space="preserve">ull </w:t>
      </w:r>
      <w:r w:rsidR="00AE5EF1">
        <w:t>S</w:t>
      </w:r>
      <w:r w:rsidRPr="00200FCA">
        <w:t>ample</w:t>
      </w:r>
    </w:p>
    <w:tbl>
      <w:tblPr>
        <w:tblW w:w="13017" w:type="dxa"/>
        <w:tblLayout w:type="fixed"/>
        <w:tblLook w:val="04A0" w:firstRow="1" w:lastRow="0" w:firstColumn="1" w:lastColumn="0" w:noHBand="0" w:noVBand="1"/>
      </w:tblPr>
      <w:tblGrid>
        <w:gridCol w:w="1658"/>
        <w:gridCol w:w="1440"/>
        <w:gridCol w:w="1443"/>
        <w:gridCol w:w="1343"/>
        <w:gridCol w:w="1337"/>
        <w:gridCol w:w="1426"/>
        <w:gridCol w:w="1338"/>
        <w:gridCol w:w="1516"/>
        <w:gridCol w:w="1516"/>
      </w:tblGrid>
      <w:tr w:rsidR="00584597" w:rsidRPr="002A78DC" w14:paraId="23006F98" w14:textId="77777777" w:rsidTr="008E1F7B">
        <w:trPr>
          <w:trHeight w:val="813"/>
        </w:trPr>
        <w:tc>
          <w:tcPr>
            <w:tcW w:w="1658" w:type="dxa"/>
            <w:tcBorders>
              <w:top w:val="single" w:sz="4" w:space="0" w:color="auto"/>
              <w:left w:val="nil"/>
              <w:bottom w:val="nil"/>
              <w:right w:val="nil"/>
            </w:tcBorders>
            <w:shd w:val="clear" w:color="auto" w:fill="auto"/>
            <w:noWrap/>
            <w:vAlign w:val="bottom"/>
            <w:hideMark/>
          </w:tcPr>
          <w:p w14:paraId="4B621593" w14:textId="77777777" w:rsidR="00584597" w:rsidRPr="002A78DC" w:rsidRDefault="00584597" w:rsidP="008E1F7B">
            <w:pPr>
              <w:rPr>
                <w:color w:val="000000"/>
              </w:rPr>
            </w:pPr>
            <w:r w:rsidRPr="002A78DC">
              <w:rPr>
                <w:color w:val="000000"/>
              </w:rPr>
              <w:t> </w:t>
            </w:r>
          </w:p>
        </w:tc>
        <w:tc>
          <w:tcPr>
            <w:tcW w:w="2883" w:type="dxa"/>
            <w:gridSpan w:val="2"/>
            <w:tcBorders>
              <w:top w:val="single" w:sz="4" w:space="0" w:color="auto"/>
              <w:left w:val="nil"/>
              <w:bottom w:val="nil"/>
              <w:right w:val="nil"/>
            </w:tcBorders>
            <w:shd w:val="clear" w:color="auto" w:fill="auto"/>
            <w:noWrap/>
            <w:vAlign w:val="center"/>
            <w:hideMark/>
          </w:tcPr>
          <w:p w14:paraId="0CE289AA" w14:textId="77777777" w:rsidR="00584597" w:rsidRPr="002A78DC" w:rsidRDefault="00584597" w:rsidP="008E1F7B">
            <w:pPr>
              <w:jc w:val="center"/>
              <w:rPr>
                <w:color w:val="000000"/>
              </w:rPr>
            </w:pPr>
            <w:r>
              <w:rPr>
                <w:color w:val="000000"/>
              </w:rPr>
              <w:t>Treatment</w:t>
            </w:r>
          </w:p>
        </w:tc>
        <w:tc>
          <w:tcPr>
            <w:tcW w:w="1343" w:type="dxa"/>
            <w:tcBorders>
              <w:top w:val="single" w:sz="4" w:space="0" w:color="auto"/>
              <w:left w:val="nil"/>
              <w:bottom w:val="nil"/>
              <w:right w:val="nil"/>
            </w:tcBorders>
          </w:tcPr>
          <w:p w14:paraId="69C7E964" w14:textId="77777777" w:rsidR="00584597" w:rsidRPr="002A78DC" w:rsidRDefault="00584597" w:rsidP="008E1F7B">
            <w:pPr>
              <w:jc w:val="center"/>
              <w:rPr>
                <w:color w:val="000000"/>
              </w:rPr>
            </w:pPr>
          </w:p>
        </w:tc>
        <w:tc>
          <w:tcPr>
            <w:tcW w:w="1337" w:type="dxa"/>
            <w:tcBorders>
              <w:top w:val="single" w:sz="4" w:space="0" w:color="auto"/>
              <w:left w:val="nil"/>
              <w:bottom w:val="nil"/>
              <w:right w:val="nil"/>
            </w:tcBorders>
          </w:tcPr>
          <w:p w14:paraId="355188BB" w14:textId="77777777" w:rsidR="00584597" w:rsidRPr="002A78DC" w:rsidRDefault="00584597" w:rsidP="008E1F7B">
            <w:pPr>
              <w:jc w:val="center"/>
              <w:rPr>
                <w:color w:val="000000"/>
              </w:rPr>
            </w:pPr>
          </w:p>
        </w:tc>
        <w:tc>
          <w:tcPr>
            <w:tcW w:w="2764" w:type="dxa"/>
            <w:gridSpan w:val="2"/>
            <w:tcBorders>
              <w:top w:val="single" w:sz="4" w:space="0" w:color="auto"/>
              <w:left w:val="nil"/>
              <w:bottom w:val="nil"/>
              <w:right w:val="nil"/>
            </w:tcBorders>
            <w:vAlign w:val="center"/>
          </w:tcPr>
          <w:p w14:paraId="13F73AE3" w14:textId="77777777" w:rsidR="00584597" w:rsidRPr="002A78DC" w:rsidRDefault="00584597" w:rsidP="008E1F7B">
            <w:pPr>
              <w:jc w:val="center"/>
              <w:rPr>
                <w:color w:val="000000"/>
              </w:rPr>
            </w:pPr>
            <w:r>
              <w:rPr>
                <w:color w:val="000000"/>
              </w:rPr>
              <w:t>Waitlist</w:t>
            </w:r>
          </w:p>
        </w:tc>
        <w:tc>
          <w:tcPr>
            <w:tcW w:w="1516" w:type="dxa"/>
            <w:tcBorders>
              <w:top w:val="single" w:sz="4" w:space="0" w:color="auto"/>
              <w:left w:val="nil"/>
              <w:bottom w:val="nil"/>
              <w:right w:val="nil"/>
            </w:tcBorders>
          </w:tcPr>
          <w:p w14:paraId="0E9ADED9" w14:textId="77777777" w:rsidR="00584597" w:rsidRPr="002A78DC" w:rsidRDefault="00584597" w:rsidP="008E1F7B">
            <w:pPr>
              <w:jc w:val="center"/>
              <w:rPr>
                <w:color w:val="000000"/>
              </w:rPr>
            </w:pPr>
          </w:p>
        </w:tc>
        <w:tc>
          <w:tcPr>
            <w:tcW w:w="1516" w:type="dxa"/>
            <w:tcBorders>
              <w:top w:val="single" w:sz="4" w:space="0" w:color="auto"/>
              <w:left w:val="nil"/>
              <w:bottom w:val="nil"/>
              <w:right w:val="nil"/>
            </w:tcBorders>
          </w:tcPr>
          <w:p w14:paraId="6663F024" w14:textId="77777777" w:rsidR="00584597" w:rsidRPr="002A78DC" w:rsidRDefault="00584597" w:rsidP="008E1F7B">
            <w:pPr>
              <w:jc w:val="center"/>
              <w:rPr>
                <w:color w:val="000000"/>
              </w:rPr>
            </w:pPr>
          </w:p>
        </w:tc>
      </w:tr>
      <w:tr w:rsidR="00584597" w:rsidRPr="002A78DC" w14:paraId="32BFAD5E" w14:textId="77777777" w:rsidTr="008E1F7B">
        <w:trPr>
          <w:trHeight w:val="622"/>
        </w:trPr>
        <w:tc>
          <w:tcPr>
            <w:tcW w:w="1658" w:type="dxa"/>
            <w:tcBorders>
              <w:top w:val="nil"/>
              <w:left w:val="nil"/>
              <w:bottom w:val="single" w:sz="4" w:space="0" w:color="auto"/>
              <w:right w:val="nil"/>
            </w:tcBorders>
            <w:shd w:val="clear" w:color="auto" w:fill="auto"/>
            <w:noWrap/>
            <w:vAlign w:val="bottom"/>
            <w:hideMark/>
          </w:tcPr>
          <w:p w14:paraId="62C5DDE1" w14:textId="77777777" w:rsidR="00584597" w:rsidRPr="002A78DC" w:rsidRDefault="00584597" w:rsidP="008E1F7B">
            <w:pPr>
              <w:rPr>
                <w:color w:val="000000"/>
              </w:rPr>
            </w:pPr>
            <w:r w:rsidRPr="002A78DC">
              <w:rPr>
                <w:color w:val="000000"/>
              </w:rPr>
              <w:t> </w:t>
            </w:r>
          </w:p>
        </w:tc>
        <w:tc>
          <w:tcPr>
            <w:tcW w:w="1440" w:type="dxa"/>
            <w:tcBorders>
              <w:top w:val="nil"/>
              <w:left w:val="nil"/>
              <w:bottom w:val="single" w:sz="4" w:space="0" w:color="auto"/>
              <w:right w:val="nil"/>
            </w:tcBorders>
            <w:shd w:val="clear" w:color="auto" w:fill="auto"/>
            <w:noWrap/>
            <w:vAlign w:val="bottom"/>
            <w:hideMark/>
          </w:tcPr>
          <w:p w14:paraId="5BDDDB66" w14:textId="77777777" w:rsidR="00584597" w:rsidRPr="002A78DC" w:rsidRDefault="00584597" w:rsidP="008E1F7B">
            <w:pPr>
              <w:jc w:val="center"/>
              <w:rPr>
                <w:color w:val="000000"/>
              </w:rPr>
            </w:pPr>
            <w:r w:rsidRPr="002A78DC">
              <w:rPr>
                <w:color w:val="000000"/>
              </w:rPr>
              <w:t>Pre</w:t>
            </w:r>
            <w:r>
              <w:rPr>
                <w:color w:val="000000"/>
              </w:rPr>
              <w:t>-treatment</w:t>
            </w:r>
          </w:p>
          <w:p w14:paraId="6936D003" w14:textId="0BFA27F2" w:rsidR="00584597" w:rsidRPr="002A78DC" w:rsidRDefault="00584597" w:rsidP="008E1F7B">
            <w:pPr>
              <w:jc w:val="center"/>
              <w:rPr>
                <w:color w:val="000000"/>
              </w:rPr>
            </w:pPr>
            <w:r w:rsidRPr="002A78DC">
              <w:rPr>
                <w:color w:val="000000"/>
              </w:rPr>
              <w:t>(n =</w:t>
            </w:r>
            <w:r>
              <w:rPr>
                <w:color w:val="000000"/>
              </w:rPr>
              <w:t>4</w:t>
            </w:r>
            <w:r w:rsidR="00703E63">
              <w:rPr>
                <w:color w:val="000000"/>
              </w:rPr>
              <w:t>1</w:t>
            </w:r>
            <w:r w:rsidRPr="002A78DC">
              <w:rPr>
                <w:color w:val="000000"/>
              </w:rPr>
              <w:t>)</w:t>
            </w:r>
          </w:p>
        </w:tc>
        <w:tc>
          <w:tcPr>
            <w:tcW w:w="1442" w:type="dxa"/>
            <w:tcBorders>
              <w:top w:val="nil"/>
              <w:left w:val="nil"/>
              <w:bottom w:val="single" w:sz="4" w:space="0" w:color="auto"/>
              <w:right w:val="nil"/>
            </w:tcBorders>
            <w:shd w:val="clear" w:color="auto" w:fill="auto"/>
            <w:noWrap/>
            <w:vAlign w:val="bottom"/>
            <w:hideMark/>
          </w:tcPr>
          <w:p w14:paraId="76D6FBDF" w14:textId="77777777" w:rsidR="00584597" w:rsidRPr="002A78DC" w:rsidRDefault="00584597" w:rsidP="008E1F7B">
            <w:pPr>
              <w:jc w:val="center"/>
              <w:rPr>
                <w:color w:val="000000"/>
              </w:rPr>
            </w:pPr>
            <w:r>
              <w:rPr>
                <w:color w:val="000000"/>
              </w:rPr>
              <w:t>Mid-treatment</w:t>
            </w:r>
          </w:p>
          <w:p w14:paraId="308992B9" w14:textId="48FC5438" w:rsidR="00584597" w:rsidRPr="002A78DC" w:rsidRDefault="00584597" w:rsidP="008E1F7B">
            <w:pPr>
              <w:jc w:val="center"/>
              <w:rPr>
                <w:color w:val="000000"/>
              </w:rPr>
            </w:pPr>
            <w:r w:rsidRPr="002A78DC">
              <w:rPr>
                <w:color w:val="000000"/>
              </w:rPr>
              <w:t xml:space="preserve">(n = </w:t>
            </w:r>
            <w:r w:rsidR="001E6F32">
              <w:rPr>
                <w:color w:val="000000"/>
              </w:rPr>
              <w:t>38</w:t>
            </w:r>
            <w:r w:rsidRPr="002A78DC">
              <w:rPr>
                <w:color w:val="000000"/>
              </w:rPr>
              <w:t>)</w:t>
            </w:r>
          </w:p>
        </w:tc>
        <w:tc>
          <w:tcPr>
            <w:tcW w:w="1343" w:type="dxa"/>
            <w:tcBorders>
              <w:top w:val="nil"/>
              <w:left w:val="nil"/>
              <w:bottom w:val="single" w:sz="4" w:space="0" w:color="auto"/>
              <w:right w:val="nil"/>
            </w:tcBorders>
            <w:vAlign w:val="bottom"/>
          </w:tcPr>
          <w:p w14:paraId="28CE8EA9" w14:textId="77777777" w:rsidR="00584597" w:rsidRDefault="00584597" w:rsidP="008E1F7B">
            <w:pPr>
              <w:jc w:val="center"/>
              <w:rPr>
                <w:color w:val="000000"/>
              </w:rPr>
            </w:pPr>
            <w:r>
              <w:rPr>
                <w:color w:val="000000"/>
              </w:rPr>
              <w:t>Post-treatment</w:t>
            </w:r>
          </w:p>
          <w:p w14:paraId="1743BFDD" w14:textId="1346C76D" w:rsidR="00584597" w:rsidRDefault="00584597" w:rsidP="008E1F7B">
            <w:pPr>
              <w:jc w:val="center"/>
              <w:rPr>
                <w:color w:val="000000"/>
              </w:rPr>
            </w:pPr>
            <w:r>
              <w:rPr>
                <w:color w:val="000000"/>
              </w:rPr>
              <w:t xml:space="preserve">(n = </w:t>
            </w:r>
            <w:r w:rsidR="001E6F32">
              <w:rPr>
                <w:color w:val="000000"/>
              </w:rPr>
              <w:t>37</w:t>
            </w:r>
            <w:r>
              <w:rPr>
                <w:color w:val="000000"/>
              </w:rPr>
              <w:t>)</w:t>
            </w:r>
          </w:p>
        </w:tc>
        <w:tc>
          <w:tcPr>
            <w:tcW w:w="1337" w:type="dxa"/>
            <w:tcBorders>
              <w:top w:val="nil"/>
              <w:left w:val="nil"/>
              <w:bottom w:val="single" w:sz="4" w:space="0" w:color="auto"/>
              <w:right w:val="nil"/>
            </w:tcBorders>
            <w:vAlign w:val="bottom"/>
          </w:tcPr>
          <w:p w14:paraId="1D244C4A" w14:textId="77777777" w:rsidR="00584597" w:rsidRDefault="00584597" w:rsidP="008E1F7B">
            <w:pPr>
              <w:jc w:val="center"/>
              <w:rPr>
                <w:color w:val="000000"/>
              </w:rPr>
            </w:pPr>
            <w:r>
              <w:rPr>
                <w:color w:val="000000"/>
              </w:rPr>
              <w:t>One month</w:t>
            </w:r>
          </w:p>
          <w:p w14:paraId="148F85E8" w14:textId="77777777" w:rsidR="00584597" w:rsidRDefault="00584597" w:rsidP="008E1F7B">
            <w:pPr>
              <w:jc w:val="center"/>
              <w:rPr>
                <w:color w:val="000000"/>
              </w:rPr>
            </w:pPr>
            <w:r>
              <w:rPr>
                <w:color w:val="000000"/>
              </w:rPr>
              <w:t>Follow-up</w:t>
            </w:r>
          </w:p>
          <w:p w14:paraId="6110D2A5" w14:textId="25745A64" w:rsidR="00584597" w:rsidRPr="002A78DC" w:rsidRDefault="00584597" w:rsidP="008E1F7B">
            <w:pPr>
              <w:jc w:val="center"/>
              <w:rPr>
                <w:color w:val="000000"/>
              </w:rPr>
            </w:pPr>
            <w:r>
              <w:rPr>
                <w:color w:val="000000"/>
              </w:rPr>
              <w:t xml:space="preserve">(n = </w:t>
            </w:r>
            <w:r w:rsidR="001E6F32">
              <w:rPr>
                <w:color w:val="000000"/>
              </w:rPr>
              <w:t>34)</w:t>
            </w:r>
          </w:p>
        </w:tc>
        <w:tc>
          <w:tcPr>
            <w:tcW w:w="1426" w:type="dxa"/>
            <w:tcBorders>
              <w:top w:val="nil"/>
              <w:left w:val="nil"/>
              <w:bottom w:val="single" w:sz="4" w:space="0" w:color="auto"/>
              <w:right w:val="nil"/>
            </w:tcBorders>
            <w:vAlign w:val="bottom"/>
          </w:tcPr>
          <w:p w14:paraId="5D6DFB13" w14:textId="77777777" w:rsidR="00584597" w:rsidRPr="002A78DC" w:rsidRDefault="00584597" w:rsidP="008E1F7B">
            <w:pPr>
              <w:jc w:val="center"/>
              <w:rPr>
                <w:color w:val="000000"/>
              </w:rPr>
            </w:pPr>
            <w:r w:rsidRPr="002A78DC">
              <w:rPr>
                <w:color w:val="000000"/>
              </w:rPr>
              <w:t>Pre</w:t>
            </w:r>
            <w:r>
              <w:rPr>
                <w:color w:val="000000"/>
              </w:rPr>
              <w:t>-treatment</w:t>
            </w:r>
          </w:p>
          <w:p w14:paraId="5F4600C3" w14:textId="77777777" w:rsidR="00584597" w:rsidRPr="002A78DC" w:rsidRDefault="00584597" w:rsidP="008E1F7B">
            <w:pPr>
              <w:jc w:val="center"/>
              <w:rPr>
                <w:color w:val="000000"/>
              </w:rPr>
            </w:pPr>
            <w:r w:rsidRPr="002A78DC">
              <w:rPr>
                <w:color w:val="000000"/>
              </w:rPr>
              <w:t xml:space="preserve">(n = </w:t>
            </w:r>
            <w:r>
              <w:rPr>
                <w:color w:val="000000"/>
              </w:rPr>
              <w:t>40</w:t>
            </w:r>
            <w:r w:rsidRPr="002A78DC">
              <w:rPr>
                <w:color w:val="000000"/>
              </w:rPr>
              <w:t>)</w:t>
            </w:r>
          </w:p>
        </w:tc>
        <w:tc>
          <w:tcPr>
            <w:tcW w:w="1337" w:type="dxa"/>
            <w:tcBorders>
              <w:top w:val="nil"/>
              <w:left w:val="nil"/>
              <w:bottom w:val="single" w:sz="4" w:space="0" w:color="auto"/>
              <w:right w:val="nil"/>
            </w:tcBorders>
            <w:vAlign w:val="bottom"/>
          </w:tcPr>
          <w:p w14:paraId="1B981228" w14:textId="77777777" w:rsidR="00584597" w:rsidRPr="002A78DC" w:rsidRDefault="00584597" w:rsidP="008E1F7B">
            <w:pPr>
              <w:jc w:val="center"/>
              <w:rPr>
                <w:color w:val="000000"/>
              </w:rPr>
            </w:pPr>
            <w:r>
              <w:rPr>
                <w:color w:val="000000"/>
              </w:rPr>
              <w:t>Mid-treatment</w:t>
            </w:r>
          </w:p>
          <w:p w14:paraId="33FD4FCA" w14:textId="08E3710D" w:rsidR="00584597" w:rsidRPr="002A78DC" w:rsidRDefault="00584597" w:rsidP="008E1F7B">
            <w:pPr>
              <w:jc w:val="center"/>
              <w:rPr>
                <w:color w:val="000000"/>
              </w:rPr>
            </w:pPr>
            <w:r w:rsidRPr="002A78DC">
              <w:rPr>
                <w:color w:val="000000"/>
              </w:rPr>
              <w:t xml:space="preserve">(n = </w:t>
            </w:r>
            <w:r w:rsidR="001E6F32">
              <w:rPr>
                <w:color w:val="000000"/>
              </w:rPr>
              <w:t>39</w:t>
            </w:r>
            <w:r w:rsidRPr="002A78DC">
              <w:rPr>
                <w:color w:val="000000"/>
              </w:rPr>
              <w:t>)</w:t>
            </w:r>
          </w:p>
        </w:tc>
        <w:tc>
          <w:tcPr>
            <w:tcW w:w="1516" w:type="dxa"/>
            <w:tcBorders>
              <w:top w:val="nil"/>
              <w:left w:val="nil"/>
              <w:bottom w:val="single" w:sz="4" w:space="0" w:color="auto"/>
              <w:right w:val="nil"/>
            </w:tcBorders>
            <w:vAlign w:val="bottom"/>
          </w:tcPr>
          <w:p w14:paraId="17EAC842" w14:textId="77777777" w:rsidR="00584597" w:rsidRDefault="00584597" w:rsidP="008E1F7B">
            <w:pPr>
              <w:jc w:val="center"/>
              <w:rPr>
                <w:color w:val="000000"/>
              </w:rPr>
            </w:pPr>
            <w:r>
              <w:rPr>
                <w:color w:val="000000"/>
              </w:rPr>
              <w:t>Post-treatment</w:t>
            </w:r>
          </w:p>
          <w:p w14:paraId="25115795" w14:textId="6E6AB0CB" w:rsidR="00584597" w:rsidRDefault="00584597" w:rsidP="008E1F7B">
            <w:pPr>
              <w:jc w:val="center"/>
              <w:rPr>
                <w:color w:val="000000"/>
              </w:rPr>
            </w:pPr>
            <w:r>
              <w:rPr>
                <w:color w:val="000000"/>
              </w:rPr>
              <w:t xml:space="preserve">(n = </w:t>
            </w:r>
            <w:r w:rsidR="001E6F32">
              <w:rPr>
                <w:color w:val="000000"/>
              </w:rPr>
              <w:t>39</w:t>
            </w:r>
            <w:r>
              <w:rPr>
                <w:color w:val="000000"/>
              </w:rPr>
              <w:t>)</w:t>
            </w:r>
          </w:p>
        </w:tc>
        <w:tc>
          <w:tcPr>
            <w:tcW w:w="1516" w:type="dxa"/>
            <w:tcBorders>
              <w:top w:val="nil"/>
              <w:left w:val="nil"/>
              <w:bottom w:val="single" w:sz="4" w:space="0" w:color="auto"/>
              <w:right w:val="nil"/>
            </w:tcBorders>
            <w:vAlign w:val="bottom"/>
          </w:tcPr>
          <w:p w14:paraId="2559AD2C" w14:textId="77777777" w:rsidR="00584597" w:rsidRDefault="00584597" w:rsidP="008E1F7B">
            <w:pPr>
              <w:jc w:val="center"/>
              <w:rPr>
                <w:color w:val="000000"/>
              </w:rPr>
            </w:pPr>
            <w:r>
              <w:rPr>
                <w:color w:val="000000"/>
              </w:rPr>
              <w:t>One month</w:t>
            </w:r>
          </w:p>
          <w:p w14:paraId="7C5533BE" w14:textId="77777777" w:rsidR="00584597" w:rsidRDefault="00584597" w:rsidP="008E1F7B">
            <w:pPr>
              <w:jc w:val="center"/>
              <w:rPr>
                <w:color w:val="000000"/>
              </w:rPr>
            </w:pPr>
            <w:r>
              <w:rPr>
                <w:color w:val="000000"/>
              </w:rPr>
              <w:t>Follow-up</w:t>
            </w:r>
          </w:p>
          <w:p w14:paraId="6BAEFA27" w14:textId="1034F869" w:rsidR="00584597" w:rsidRPr="002A78DC" w:rsidRDefault="00584597" w:rsidP="008E1F7B">
            <w:pPr>
              <w:jc w:val="center"/>
              <w:rPr>
                <w:color w:val="000000"/>
              </w:rPr>
            </w:pPr>
            <w:r>
              <w:rPr>
                <w:color w:val="000000"/>
              </w:rPr>
              <w:t xml:space="preserve">(n= </w:t>
            </w:r>
            <w:r w:rsidR="001E6F32">
              <w:rPr>
                <w:color w:val="000000"/>
              </w:rPr>
              <w:t>39)</w:t>
            </w:r>
          </w:p>
        </w:tc>
      </w:tr>
      <w:tr w:rsidR="00584597" w:rsidRPr="002A78DC" w14:paraId="07616773" w14:textId="77777777" w:rsidTr="008E1F7B">
        <w:trPr>
          <w:trHeight w:val="813"/>
        </w:trPr>
        <w:tc>
          <w:tcPr>
            <w:tcW w:w="1658" w:type="dxa"/>
            <w:tcBorders>
              <w:top w:val="nil"/>
              <w:left w:val="nil"/>
              <w:bottom w:val="nil"/>
              <w:right w:val="nil"/>
            </w:tcBorders>
            <w:shd w:val="clear" w:color="auto" w:fill="auto"/>
            <w:noWrap/>
            <w:vAlign w:val="bottom"/>
            <w:hideMark/>
          </w:tcPr>
          <w:p w14:paraId="7E6ACB15" w14:textId="77777777" w:rsidR="00584597" w:rsidRPr="00E16DFA" w:rsidRDefault="00584597" w:rsidP="008E1F7B">
            <w:pPr>
              <w:rPr>
                <w:color w:val="000000"/>
                <w:vertAlign w:val="superscript"/>
              </w:rPr>
            </w:pPr>
            <w:r>
              <w:rPr>
                <w:color w:val="000000"/>
              </w:rPr>
              <w:t>AAQ-TTM</w:t>
            </w:r>
          </w:p>
        </w:tc>
        <w:tc>
          <w:tcPr>
            <w:tcW w:w="1440" w:type="dxa"/>
            <w:tcBorders>
              <w:top w:val="nil"/>
              <w:left w:val="nil"/>
              <w:bottom w:val="nil"/>
              <w:right w:val="nil"/>
            </w:tcBorders>
            <w:shd w:val="clear" w:color="auto" w:fill="auto"/>
            <w:noWrap/>
            <w:vAlign w:val="bottom"/>
            <w:hideMark/>
          </w:tcPr>
          <w:p w14:paraId="61FDDFF6" w14:textId="77777777" w:rsidR="00584597" w:rsidRPr="002A78DC" w:rsidRDefault="00584597" w:rsidP="008E1F7B">
            <w:pPr>
              <w:jc w:val="center"/>
              <w:rPr>
                <w:color w:val="000000"/>
              </w:rPr>
            </w:pPr>
            <w:r>
              <w:rPr>
                <w:color w:val="000000"/>
              </w:rPr>
              <w:t>45.2 (7.5)</w:t>
            </w:r>
          </w:p>
        </w:tc>
        <w:tc>
          <w:tcPr>
            <w:tcW w:w="1442" w:type="dxa"/>
            <w:tcBorders>
              <w:top w:val="nil"/>
              <w:left w:val="nil"/>
              <w:bottom w:val="nil"/>
              <w:right w:val="nil"/>
            </w:tcBorders>
            <w:shd w:val="clear" w:color="auto" w:fill="auto"/>
            <w:noWrap/>
            <w:vAlign w:val="bottom"/>
            <w:hideMark/>
          </w:tcPr>
          <w:p w14:paraId="6385B99B" w14:textId="77777777" w:rsidR="00584597" w:rsidRPr="002A78DC" w:rsidRDefault="00584597" w:rsidP="008E1F7B">
            <w:pPr>
              <w:jc w:val="center"/>
              <w:rPr>
                <w:color w:val="000000"/>
              </w:rPr>
            </w:pPr>
            <w:r>
              <w:rPr>
                <w:color w:val="000000"/>
              </w:rPr>
              <w:t>38.2 (7.2)</w:t>
            </w:r>
          </w:p>
        </w:tc>
        <w:tc>
          <w:tcPr>
            <w:tcW w:w="1343" w:type="dxa"/>
            <w:tcBorders>
              <w:top w:val="nil"/>
              <w:left w:val="nil"/>
              <w:bottom w:val="nil"/>
              <w:right w:val="nil"/>
            </w:tcBorders>
            <w:vAlign w:val="bottom"/>
          </w:tcPr>
          <w:p w14:paraId="1C2E55F6" w14:textId="77777777" w:rsidR="00584597" w:rsidRPr="002A78DC" w:rsidRDefault="00584597" w:rsidP="008E1F7B">
            <w:pPr>
              <w:jc w:val="center"/>
              <w:rPr>
                <w:color w:val="000000"/>
              </w:rPr>
            </w:pPr>
            <w:r>
              <w:rPr>
                <w:color w:val="000000"/>
              </w:rPr>
              <w:t>35.2 (8.1)</w:t>
            </w:r>
          </w:p>
        </w:tc>
        <w:tc>
          <w:tcPr>
            <w:tcW w:w="1337" w:type="dxa"/>
            <w:tcBorders>
              <w:top w:val="nil"/>
              <w:left w:val="nil"/>
              <w:bottom w:val="nil"/>
              <w:right w:val="nil"/>
            </w:tcBorders>
            <w:vAlign w:val="bottom"/>
          </w:tcPr>
          <w:p w14:paraId="38A4925D" w14:textId="77777777" w:rsidR="00584597" w:rsidRPr="002A78DC" w:rsidRDefault="00584597" w:rsidP="008E1F7B">
            <w:pPr>
              <w:jc w:val="center"/>
              <w:rPr>
                <w:color w:val="000000"/>
              </w:rPr>
            </w:pPr>
            <w:r>
              <w:rPr>
                <w:color w:val="000000"/>
              </w:rPr>
              <w:t>34.7 (7.4)</w:t>
            </w:r>
          </w:p>
        </w:tc>
        <w:tc>
          <w:tcPr>
            <w:tcW w:w="1426" w:type="dxa"/>
            <w:tcBorders>
              <w:top w:val="nil"/>
              <w:left w:val="nil"/>
              <w:bottom w:val="nil"/>
              <w:right w:val="nil"/>
            </w:tcBorders>
            <w:vAlign w:val="bottom"/>
          </w:tcPr>
          <w:p w14:paraId="1C8FC504" w14:textId="77777777" w:rsidR="00584597" w:rsidRPr="002A78DC" w:rsidRDefault="00584597" w:rsidP="008E1F7B">
            <w:pPr>
              <w:jc w:val="center"/>
              <w:rPr>
                <w:color w:val="000000"/>
              </w:rPr>
            </w:pPr>
            <w:r>
              <w:rPr>
                <w:color w:val="000000"/>
              </w:rPr>
              <w:t>45.2 (6.3)</w:t>
            </w:r>
          </w:p>
        </w:tc>
        <w:tc>
          <w:tcPr>
            <w:tcW w:w="1337" w:type="dxa"/>
            <w:tcBorders>
              <w:top w:val="nil"/>
              <w:left w:val="nil"/>
              <w:bottom w:val="nil"/>
              <w:right w:val="nil"/>
            </w:tcBorders>
            <w:vAlign w:val="bottom"/>
          </w:tcPr>
          <w:p w14:paraId="5285EC04" w14:textId="77777777" w:rsidR="00584597" w:rsidRPr="002A78DC" w:rsidRDefault="00584597" w:rsidP="008E1F7B">
            <w:pPr>
              <w:jc w:val="center"/>
              <w:rPr>
                <w:color w:val="000000"/>
              </w:rPr>
            </w:pPr>
            <w:r>
              <w:rPr>
                <w:color w:val="000000"/>
              </w:rPr>
              <w:t>42.8</w:t>
            </w:r>
            <w:r w:rsidRPr="002A78DC">
              <w:rPr>
                <w:color w:val="000000"/>
              </w:rPr>
              <w:t xml:space="preserve"> (</w:t>
            </w:r>
            <w:r>
              <w:rPr>
                <w:color w:val="000000"/>
              </w:rPr>
              <w:t>7.1</w:t>
            </w:r>
            <w:r w:rsidRPr="002A78DC">
              <w:rPr>
                <w:color w:val="000000"/>
              </w:rPr>
              <w:t>)</w:t>
            </w:r>
          </w:p>
        </w:tc>
        <w:tc>
          <w:tcPr>
            <w:tcW w:w="1516" w:type="dxa"/>
            <w:tcBorders>
              <w:top w:val="nil"/>
              <w:left w:val="nil"/>
              <w:bottom w:val="nil"/>
              <w:right w:val="nil"/>
            </w:tcBorders>
            <w:vAlign w:val="bottom"/>
          </w:tcPr>
          <w:p w14:paraId="76BC2CD1" w14:textId="77777777" w:rsidR="00584597" w:rsidRPr="002A78DC" w:rsidRDefault="00584597" w:rsidP="008E1F7B">
            <w:pPr>
              <w:jc w:val="center"/>
              <w:rPr>
                <w:color w:val="000000"/>
              </w:rPr>
            </w:pPr>
            <w:r>
              <w:rPr>
                <w:color w:val="000000"/>
              </w:rPr>
              <w:t>40.9 (8.1)</w:t>
            </w:r>
          </w:p>
        </w:tc>
        <w:tc>
          <w:tcPr>
            <w:tcW w:w="1516" w:type="dxa"/>
            <w:tcBorders>
              <w:top w:val="nil"/>
              <w:left w:val="nil"/>
              <w:bottom w:val="nil"/>
              <w:right w:val="nil"/>
            </w:tcBorders>
            <w:vAlign w:val="bottom"/>
          </w:tcPr>
          <w:p w14:paraId="2C104630" w14:textId="77777777" w:rsidR="00584597" w:rsidRPr="002A78DC" w:rsidRDefault="00584597" w:rsidP="008E1F7B">
            <w:pPr>
              <w:jc w:val="center"/>
              <w:rPr>
                <w:color w:val="000000"/>
              </w:rPr>
            </w:pPr>
            <w:r>
              <w:rPr>
                <w:color w:val="000000"/>
              </w:rPr>
              <w:t>40.8 (8.0)</w:t>
            </w:r>
          </w:p>
        </w:tc>
      </w:tr>
      <w:tr w:rsidR="00584597" w:rsidRPr="002A78DC" w14:paraId="349D7F15" w14:textId="77777777" w:rsidTr="008E1F7B">
        <w:trPr>
          <w:trHeight w:val="813"/>
        </w:trPr>
        <w:tc>
          <w:tcPr>
            <w:tcW w:w="1658" w:type="dxa"/>
            <w:tcBorders>
              <w:top w:val="nil"/>
              <w:left w:val="nil"/>
              <w:bottom w:val="nil"/>
              <w:right w:val="nil"/>
            </w:tcBorders>
            <w:shd w:val="clear" w:color="auto" w:fill="auto"/>
            <w:noWrap/>
            <w:vAlign w:val="bottom"/>
            <w:hideMark/>
          </w:tcPr>
          <w:p w14:paraId="3ECA493F" w14:textId="77777777" w:rsidR="00584597" w:rsidRPr="00E16DFA" w:rsidRDefault="00584597" w:rsidP="008E1F7B">
            <w:pPr>
              <w:rPr>
                <w:color w:val="000000"/>
                <w:vertAlign w:val="superscript"/>
              </w:rPr>
            </w:pPr>
            <w:r>
              <w:rPr>
                <w:color w:val="000000"/>
              </w:rPr>
              <w:t>MGH-HPS</w:t>
            </w:r>
            <w:r>
              <w:rPr>
                <w:color w:val="000000"/>
                <w:vertAlign w:val="superscript"/>
              </w:rPr>
              <w:t>1</w:t>
            </w:r>
          </w:p>
        </w:tc>
        <w:tc>
          <w:tcPr>
            <w:tcW w:w="1440" w:type="dxa"/>
            <w:tcBorders>
              <w:top w:val="nil"/>
              <w:left w:val="nil"/>
              <w:bottom w:val="nil"/>
              <w:right w:val="nil"/>
            </w:tcBorders>
            <w:shd w:val="clear" w:color="auto" w:fill="auto"/>
            <w:noWrap/>
            <w:vAlign w:val="bottom"/>
            <w:hideMark/>
          </w:tcPr>
          <w:p w14:paraId="7168BEA4" w14:textId="77777777" w:rsidR="00584597" w:rsidRPr="002A78DC" w:rsidRDefault="00584597" w:rsidP="008E1F7B">
            <w:pPr>
              <w:jc w:val="center"/>
              <w:rPr>
                <w:color w:val="000000"/>
              </w:rPr>
            </w:pPr>
            <w:r>
              <w:rPr>
                <w:color w:val="000000"/>
              </w:rPr>
              <w:t>17.9 (4.4)</w:t>
            </w:r>
          </w:p>
        </w:tc>
        <w:tc>
          <w:tcPr>
            <w:tcW w:w="1442" w:type="dxa"/>
            <w:tcBorders>
              <w:top w:val="nil"/>
              <w:left w:val="nil"/>
              <w:bottom w:val="nil"/>
              <w:right w:val="nil"/>
            </w:tcBorders>
            <w:shd w:val="clear" w:color="auto" w:fill="auto"/>
            <w:noWrap/>
            <w:vAlign w:val="bottom"/>
            <w:hideMark/>
          </w:tcPr>
          <w:p w14:paraId="5A6681BA" w14:textId="77777777" w:rsidR="00584597" w:rsidRPr="002A78DC" w:rsidRDefault="00584597" w:rsidP="008E1F7B">
            <w:pPr>
              <w:jc w:val="center"/>
              <w:rPr>
                <w:color w:val="000000"/>
              </w:rPr>
            </w:pPr>
            <w:r>
              <w:rPr>
                <w:color w:val="000000"/>
              </w:rPr>
              <w:t>12.5(5.5)</w:t>
            </w:r>
          </w:p>
        </w:tc>
        <w:tc>
          <w:tcPr>
            <w:tcW w:w="1343" w:type="dxa"/>
            <w:tcBorders>
              <w:top w:val="nil"/>
              <w:left w:val="nil"/>
              <w:bottom w:val="nil"/>
              <w:right w:val="nil"/>
            </w:tcBorders>
            <w:vAlign w:val="bottom"/>
          </w:tcPr>
          <w:p w14:paraId="298BA8FE" w14:textId="77777777" w:rsidR="00584597" w:rsidRPr="002A78DC" w:rsidRDefault="00584597" w:rsidP="008E1F7B">
            <w:pPr>
              <w:jc w:val="center"/>
              <w:rPr>
                <w:color w:val="000000"/>
              </w:rPr>
            </w:pPr>
            <w:r>
              <w:rPr>
                <w:color w:val="000000"/>
              </w:rPr>
              <w:t>10.9 (5.5)</w:t>
            </w:r>
          </w:p>
        </w:tc>
        <w:tc>
          <w:tcPr>
            <w:tcW w:w="1337" w:type="dxa"/>
            <w:tcBorders>
              <w:top w:val="nil"/>
              <w:left w:val="nil"/>
              <w:bottom w:val="nil"/>
              <w:right w:val="nil"/>
            </w:tcBorders>
            <w:vAlign w:val="bottom"/>
          </w:tcPr>
          <w:p w14:paraId="6DDEEBBE" w14:textId="77777777" w:rsidR="00584597" w:rsidRPr="002A78DC" w:rsidRDefault="00584597" w:rsidP="008E1F7B">
            <w:pPr>
              <w:jc w:val="center"/>
              <w:rPr>
                <w:color w:val="000000"/>
              </w:rPr>
            </w:pPr>
            <w:r>
              <w:rPr>
                <w:color w:val="000000"/>
              </w:rPr>
              <w:t>11.9 (5.6)</w:t>
            </w:r>
          </w:p>
        </w:tc>
        <w:tc>
          <w:tcPr>
            <w:tcW w:w="1426" w:type="dxa"/>
            <w:tcBorders>
              <w:top w:val="nil"/>
              <w:left w:val="nil"/>
              <w:bottom w:val="nil"/>
              <w:right w:val="nil"/>
            </w:tcBorders>
            <w:vAlign w:val="bottom"/>
          </w:tcPr>
          <w:p w14:paraId="1C06BF34" w14:textId="77777777" w:rsidR="00584597" w:rsidRPr="002A78DC" w:rsidRDefault="00584597" w:rsidP="008E1F7B">
            <w:pPr>
              <w:jc w:val="center"/>
              <w:rPr>
                <w:color w:val="000000"/>
              </w:rPr>
            </w:pPr>
            <w:r>
              <w:rPr>
                <w:color w:val="000000"/>
              </w:rPr>
              <w:t>18.2 (3.8)</w:t>
            </w:r>
          </w:p>
        </w:tc>
        <w:tc>
          <w:tcPr>
            <w:tcW w:w="1337" w:type="dxa"/>
            <w:tcBorders>
              <w:top w:val="nil"/>
              <w:left w:val="nil"/>
              <w:bottom w:val="nil"/>
              <w:right w:val="nil"/>
            </w:tcBorders>
            <w:vAlign w:val="bottom"/>
          </w:tcPr>
          <w:p w14:paraId="49E1E603" w14:textId="77777777" w:rsidR="00584597" w:rsidRPr="002A78DC" w:rsidRDefault="00584597" w:rsidP="008E1F7B">
            <w:pPr>
              <w:jc w:val="center"/>
              <w:rPr>
                <w:color w:val="000000"/>
              </w:rPr>
            </w:pPr>
            <w:r>
              <w:rPr>
                <w:color w:val="000000"/>
              </w:rPr>
              <w:t>17.8</w:t>
            </w:r>
            <w:r w:rsidRPr="002A78DC">
              <w:rPr>
                <w:color w:val="000000"/>
              </w:rPr>
              <w:t xml:space="preserve"> (</w:t>
            </w:r>
            <w:r>
              <w:rPr>
                <w:color w:val="000000"/>
              </w:rPr>
              <w:t>5.1</w:t>
            </w:r>
            <w:r w:rsidRPr="002A78DC">
              <w:rPr>
                <w:color w:val="000000"/>
              </w:rPr>
              <w:t>)</w:t>
            </w:r>
          </w:p>
        </w:tc>
        <w:tc>
          <w:tcPr>
            <w:tcW w:w="1516" w:type="dxa"/>
            <w:tcBorders>
              <w:top w:val="nil"/>
              <w:left w:val="nil"/>
              <w:bottom w:val="nil"/>
              <w:right w:val="nil"/>
            </w:tcBorders>
            <w:vAlign w:val="bottom"/>
          </w:tcPr>
          <w:p w14:paraId="7A41DCCD" w14:textId="77777777" w:rsidR="00584597" w:rsidRPr="002A78DC" w:rsidRDefault="00584597" w:rsidP="008E1F7B">
            <w:pPr>
              <w:jc w:val="center"/>
              <w:rPr>
                <w:color w:val="000000"/>
              </w:rPr>
            </w:pPr>
            <w:r>
              <w:rPr>
                <w:color w:val="000000"/>
              </w:rPr>
              <w:t>17.1 (5.6)</w:t>
            </w:r>
          </w:p>
        </w:tc>
        <w:tc>
          <w:tcPr>
            <w:tcW w:w="1516" w:type="dxa"/>
            <w:tcBorders>
              <w:top w:val="nil"/>
              <w:left w:val="nil"/>
              <w:bottom w:val="nil"/>
              <w:right w:val="nil"/>
            </w:tcBorders>
            <w:vAlign w:val="bottom"/>
          </w:tcPr>
          <w:p w14:paraId="4BC08AE6" w14:textId="77777777" w:rsidR="00584597" w:rsidRPr="002A78DC" w:rsidRDefault="00584597" w:rsidP="008E1F7B">
            <w:pPr>
              <w:jc w:val="center"/>
              <w:rPr>
                <w:color w:val="000000"/>
              </w:rPr>
            </w:pPr>
            <w:r>
              <w:rPr>
                <w:color w:val="000000"/>
              </w:rPr>
              <w:t>17.4 (5.1)</w:t>
            </w:r>
          </w:p>
        </w:tc>
      </w:tr>
      <w:tr w:rsidR="00584597" w:rsidRPr="002A78DC" w14:paraId="0002BB3A" w14:textId="77777777" w:rsidTr="008E1F7B">
        <w:trPr>
          <w:trHeight w:val="813"/>
        </w:trPr>
        <w:tc>
          <w:tcPr>
            <w:tcW w:w="1658" w:type="dxa"/>
            <w:tcBorders>
              <w:top w:val="nil"/>
              <w:left w:val="nil"/>
              <w:bottom w:val="nil"/>
              <w:right w:val="nil"/>
            </w:tcBorders>
            <w:shd w:val="clear" w:color="auto" w:fill="auto"/>
            <w:noWrap/>
            <w:vAlign w:val="bottom"/>
            <w:hideMark/>
          </w:tcPr>
          <w:p w14:paraId="19212731" w14:textId="77777777" w:rsidR="00584597" w:rsidRPr="00E16DFA" w:rsidRDefault="00584597" w:rsidP="008E1F7B">
            <w:pPr>
              <w:rPr>
                <w:color w:val="000000"/>
              </w:rPr>
            </w:pPr>
            <w:r>
              <w:rPr>
                <w:color w:val="000000"/>
              </w:rPr>
              <w:t>MHC-SF</w:t>
            </w:r>
          </w:p>
        </w:tc>
        <w:tc>
          <w:tcPr>
            <w:tcW w:w="1440" w:type="dxa"/>
            <w:tcBorders>
              <w:top w:val="nil"/>
              <w:left w:val="nil"/>
              <w:bottom w:val="nil"/>
              <w:right w:val="nil"/>
            </w:tcBorders>
            <w:shd w:val="clear" w:color="auto" w:fill="auto"/>
            <w:noWrap/>
            <w:vAlign w:val="bottom"/>
            <w:hideMark/>
          </w:tcPr>
          <w:p w14:paraId="27E93F1F" w14:textId="77777777" w:rsidR="00584597" w:rsidRPr="002A78DC" w:rsidRDefault="00584597" w:rsidP="008E1F7B">
            <w:pPr>
              <w:jc w:val="center"/>
            </w:pPr>
            <w:r>
              <w:t>50.3 (13.0)</w:t>
            </w:r>
          </w:p>
        </w:tc>
        <w:tc>
          <w:tcPr>
            <w:tcW w:w="1442" w:type="dxa"/>
            <w:tcBorders>
              <w:top w:val="nil"/>
              <w:left w:val="nil"/>
              <w:bottom w:val="nil"/>
              <w:right w:val="nil"/>
            </w:tcBorders>
            <w:shd w:val="clear" w:color="auto" w:fill="auto"/>
            <w:noWrap/>
            <w:vAlign w:val="bottom"/>
            <w:hideMark/>
          </w:tcPr>
          <w:p w14:paraId="3A274434" w14:textId="77777777" w:rsidR="00584597" w:rsidRPr="002A78DC" w:rsidRDefault="00584597" w:rsidP="008E1F7B">
            <w:pPr>
              <w:jc w:val="center"/>
            </w:pPr>
            <w:r>
              <w:t>53.7 (13.3)</w:t>
            </w:r>
          </w:p>
        </w:tc>
        <w:tc>
          <w:tcPr>
            <w:tcW w:w="1343" w:type="dxa"/>
            <w:tcBorders>
              <w:top w:val="nil"/>
              <w:left w:val="nil"/>
              <w:bottom w:val="nil"/>
              <w:right w:val="nil"/>
            </w:tcBorders>
            <w:vAlign w:val="bottom"/>
          </w:tcPr>
          <w:p w14:paraId="0F7064B9" w14:textId="77777777" w:rsidR="00584597" w:rsidRPr="002A78DC" w:rsidRDefault="00584597" w:rsidP="008E1F7B">
            <w:pPr>
              <w:jc w:val="center"/>
            </w:pPr>
            <w:r>
              <w:t>54.2 (14.8)</w:t>
            </w:r>
          </w:p>
        </w:tc>
        <w:tc>
          <w:tcPr>
            <w:tcW w:w="1337" w:type="dxa"/>
            <w:tcBorders>
              <w:top w:val="nil"/>
              <w:left w:val="nil"/>
              <w:bottom w:val="nil"/>
              <w:right w:val="nil"/>
            </w:tcBorders>
            <w:vAlign w:val="bottom"/>
          </w:tcPr>
          <w:p w14:paraId="65D4BAE9" w14:textId="77777777" w:rsidR="00584597" w:rsidRPr="002A78DC" w:rsidRDefault="00584597" w:rsidP="008E1F7B">
            <w:pPr>
              <w:jc w:val="center"/>
            </w:pPr>
            <w:r>
              <w:t>55.7 (14.7)</w:t>
            </w:r>
          </w:p>
        </w:tc>
        <w:tc>
          <w:tcPr>
            <w:tcW w:w="1426" w:type="dxa"/>
            <w:tcBorders>
              <w:top w:val="nil"/>
              <w:left w:val="nil"/>
              <w:bottom w:val="nil"/>
              <w:right w:val="nil"/>
            </w:tcBorders>
            <w:vAlign w:val="bottom"/>
          </w:tcPr>
          <w:p w14:paraId="2D137535" w14:textId="77777777" w:rsidR="00584597" w:rsidRPr="002A78DC" w:rsidRDefault="00584597" w:rsidP="008E1F7B">
            <w:pPr>
              <w:jc w:val="center"/>
            </w:pPr>
            <w:r>
              <w:t>51.6 (12.6)</w:t>
            </w:r>
          </w:p>
        </w:tc>
        <w:tc>
          <w:tcPr>
            <w:tcW w:w="1337" w:type="dxa"/>
            <w:tcBorders>
              <w:top w:val="nil"/>
              <w:left w:val="nil"/>
              <w:bottom w:val="nil"/>
              <w:right w:val="nil"/>
            </w:tcBorders>
            <w:vAlign w:val="bottom"/>
          </w:tcPr>
          <w:p w14:paraId="5E842FB2" w14:textId="77777777" w:rsidR="00584597" w:rsidRPr="002A78DC" w:rsidRDefault="00584597" w:rsidP="008E1F7B">
            <w:pPr>
              <w:jc w:val="center"/>
            </w:pPr>
            <w:r>
              <w:t>51.8 (14.2)</w:t>
            </w:r>
          </w:p>
        </w:tc>
        <w:tc>
          <w:tcPr>
            <w:tcW w:w="1516" w:type="dxa"/>
            <w:tcBorders>
              <w:top w:val="nil"/>
              <w:left w:val="nil"/>
              <w:bottom w:val="nil"/>
              <w:right w:val="nil"/>
            </w:tcBorders>
            <w:vAlign w:val="bottom"/>
          </w:tcPr>
          <w:p w14:paraId="10269769" w14:textId="77777777" w:rsidR="00584597" w:rsidRPr="002A78DC" w:rsidRDefault="00584597" w:rsidP="008E1F7B">
            <w:pPr>
              <w:jc w:val="center"/>
            </w:pPr>
            <w:r>
              <w:t>51.8 (14.1)</w:t>
            </w:r>
          </w:p>
        </w:tc>
        <w:tc>
          <w:tcPr>
            <w:tcW w:w="1516" w:type="dxa"/>
            <w:tcBorders>
              <w:top w:val="nil"/>
              <w:left w:val="nil"/>
              <w:bottom w:val="nil"/>
              <w:right w:val="nil"/>
            </w:tcBorders>
            <w:vAlign w:val="bottom"/>
          </w:tcPr>
          <w:p w14:paraId="338B3F28" w14:textId="77777777" w:rsidR="00584597" w:rsidRPr="002A78DC" w:rsidRDefault="00584597" w:rsidP="008E1F7B">
            <w:pPr>
              <w:jc w:val="center"/>
            </w:pPr>
            <w:r>
              <w:t>51.1 (14.5)</w:t>
            </w:r>
          </w:p>
        </w:tc>
      </w:tr>
      <w:tr w:rsidR="00584597" w:rsidRPr="002A78DC" w14:paraId="536A1DB2" w14:textId="77777777" w:rsidTr="008E1F7B">
        <w:trPr>
          <w:trHeight w:val="813"/>
        </w:trPr>
        <w:tc>
          <w:tcPr>
            <w:tcW w:w="1658" w:type="dxa"/>
            <w:tcBorders>
              <w:top w:val="nil"/>
              <w:left w:val="nil"/>
              <w:bottom w:val="nil"/>
              <w:right w:val="nil"/>
            </w:tcBorders>
            <w:shd w:val="clear" w:color="auto" w:fill="auto"/>
            <w:noWrap/>
            <w:vAlign w:val="bottom"/>
            <w:hideMark/>
          </w:tcPr>
          <w:p w14:paraId="03D53D72" w14:textId="39A515E1" w:rsidR="00584597" w:rsidRPr="00E16F9D" w:rsidRDefault="00584597" w:rsidP="008E1F7B">
            <w:pPr>
              <w:rPr>
                <w:color w:val="000000"/>
              </w:rPr>
            </w:pPr>
            <w:r>
              <w:rPr>
                <w:color w:val="000000"/>
              </w:rPr>
              <w:t>DASS-21</w:t>
            </w:r>
            <w:r w:rsidR="00A846DA">
              <w:rPr>
                <w:color w:val="000000"/>
                <w:vertAlign w:val="superscript"/>
              </w:rPr>
              <w:t>1</w:t>
            </w:r>
          </w:p>
        </w:tc>
        <w:tc>
          <w:tcPr>
            <w:tcW w:w="1440" w:type="dxa"/>
            <w:tcBorders>
              <w:top w:val="nil"/>
              <w:left w:val="nil"/>
              <w:bottom w:val="nil"/>
              <w:right w:val="nil"/>
            </w:tcBorders>
            <w:shd w:val="clear" w:color="auto" w:fill="auto"/>
            <w:noWrap/>
            <w:vAlign w:val="bottom"/>
            <w:hideMark/>
          </w:tcPr>
          <w:p w14:paraId="26A2F9B0" w14:textId="06F8296F" w:rsidR="00584597" w:rsidRPr="002A78DC" w:rsidRDefault="00584597" w:rsidP="008E1F7B">
            <w:pPr>
              <w:jc w:val="center"/>
              <w:rPr>
                <w:color w:val="000000"/>
              </w:rPr>
            </w:pPr>
            <w:r>
              <w:rPr>
                <w:color w:val="000000"/>
              </w:rPr>
              <w:t>20.1 (9.2)</w:t>
            </w:r>
          </w:p>
        </w:tc>
        <w:tc>
          <w:tcPr>
            <w:tcW w:w="1442" w:type="dxa"/>
            <w:tcBorders>
              <w:top w:val="nil"/>
              <w:left w:val="nil"/>
              <w:bottom w:val="nil"/>
              <w:right w:val="nil"/>
            </w:tcBorders>
            <w:shd w:val="clear" w:color="auto" w:fill="auto"/>
            <w:noWrap/>
            <w:vAlign w:val="bottom"/>
            <w:hideMark/>
          </w:tcPr>
          <w:p w14:paraId="555189E2" w14:textId="77777777" w:rsidR="00584597" w:rsidRPr="002A78DC" w:rsidRDefault="00584597" w:rsidP="008E1F7B">
            <w:pPr>
              <w:jc w:val="center"/>
              <w:rPr>
                <w:color w:val="000000"/>
              </w:rPr>
            </w:pPr>
            <w:r>
              <w:rPr>
                <w:color w:val="000000"/>
              </w:rPr>
              <w:t>18.1 (8.4)</w:t>
            </w:r>
          </w:p>
        </w:tc>
        <w:tc>
          <w:tcPr>
            <w:tcW w:w="1343" w:type="dxa"/>
            <w:tcBorders>
              <w:top w:val="nil"/>
              <w:left w:val="nil"/>
              <w:bottom w:val="nil"/>
              <w:right w:val="nil"/>
            </w:tcBorders>
            <w:vAlign w:val="bottom"/>
          </w:tcPr>
          <w:p w14:paraId="342385A2" w14:textId="77777777" w:rsidR="00584597" w:rsidRPr="002A78DC" w:rsidRDefault="00584597" w:rsidP="008E1F7B">
            <w:pPr>
              <w:jc w:val="center"/>
              <w:rPr>
                <w:color w:val="000000"/>
              </w:rPr>
            </w:pPr>
            <w:r>
              <w:rPr>
                <w:color w:val="000000"/>
              </w:rPr>
              <w:t>14.2 (9.6))</w:t>
            </w:r>
          </w:p>
        </w:tc>
        <w:tc>
          <w:tcPr>
            <w:tcW w:w="1337" w:type="dxa"/>
            <w:tcBorders>
              <w:top w:val="nil"/>
              <w:left w:val="nil"/>
              <w:bottom w:val="nil"/>
              <w:right w:val="nil"/>
            </w:tcBorders>
            <w:vAlign w:val="bottom"/>
          </w:tcPr>
          <w:p w14:paraId="51CA6C38" w14:textId="77777777" w:rsidR="00584597" w:rsidRPr="002A78DC" w:rsidRDefault="00584597" w:rsidP="008E1F7B">
            <w:pPr>
              <w:jc w:val="center"/>
              <w:rPr>
                <w:color w:val="000000"/>
              </w:rPr>
            </w:pPr>
            <w:r>
              <w:rPr>
                <w:color w:val="000000"/>
              </w:rPr>
              <w:t>14.4 (9.0)</w:t>
            </w:r>
          </w:p>
        </w:tc>
        <w:tc>
          <w:tcPr>
            <w:tcW w:w="1426" w:type="dxa"/>
            <w:tcBorders>
              <w:top w:val="nil"/>
              <w:left w:val="nil"/>
              <w:bottom w:val="nil"/>
              <w:right w:val="nil"/>
            </w:tcBorders>
            <w:vAlign w:val="bottom"/>
          </w:tcPr>
          <w:p w14:paraId="5DA68E69" w14:textId="77777777" w:rsidR="00584597" w:rsidRPr="002A78DC" w:rsidRDefault="00584597" w:rsidP="008E1F7B">
            <w:pPr>
              <w:jc w:val="center"/>
              <w:rPr>
                <w:color w:val="000000"/>
              </w:rPr>
            </w:pPr>
            <w:r>
              <w:rPr>
                <w:color w:val="000000"/>
              </w:rPr>
              <w:t>20.9 (10.1)</w:t>
            </w:r>
          </w:p>
        </w:tc>
        <w:tc>
          <w:tcPr>
            <w:tcW w:w="1337" w:type="dxa"/>
            <w:tcBorders>
              <w:top w:val="nil"/>
              <w:left w:val="nil"/>
              <w:bottom w:val="nil"/>
              <w:right w:val="nil"/>
            </w:tcBorders>
            <w:vAlign w:val="bottom"/>
          </w:tcPr>
          <w:p w14:paraId="59B24BD4" w14:textId="77777777" w:rsidR="00584597" w:rsidRPr="002A78DC" w:rsidRDefault="00584597" w:rsidP="008E1F7B">
            <w:pPr>
              <w:jc w:val="center"/>
              <w:rPr>
                <w:color w:val="000000"/>
              </w:rPr>
            </w:pPr>
            <w:r>
              <w:rPr>
                <w:color w:val="000000"/>
              </w:rPr>
              <w:t>21.9 (8.5)</w:t>
            </w:r>
          </w:p>
        </w:tc>
        <w:tc>
          <w:tcPr>
            <w:tcW w:w="1516" w:type="dxa"/>
            <w:tcBorders>
              <w:top w:val="nil"/>
              <w:left w:val="nil"/>
              <w:bottom w:val="nil"/>
              <w:right w:val="nil"/>
            </w:tcBorders>
            <w:vAlign w:val="bottom"/>
          </w:tcPr>
          <w:p w14:paraId="2813DD42" w14:textId="77777777" w:rsidR="00584597" w:rsidRPr="002A78DC" w:rsidRDefault="00584597" w:rsidP="008E1F7B">
            <w:pPr>
              <w:jc w:val="center"/>
              <w:rPr>
                <w:color w:val="000000"/>
              </w:rPr>
            </w:pPr>
            <w:r>
              <w:rPr>
                <w:color w:val="000000"/>
              </w:rPr>
              <w:t>19.6 (10.7)</w:t>
            </w:r>
          </w:p>
        </w:tc>
        <w:tc>
          <w:tcPr>
            <w:tcW w:w="1516" w:type="dxa"/>
            <w:tcBorders>
              <w:top w:val="nil"/>
              <w:left w:val="nil"/>
              <w:bottom w:val="nil"/>
              <w:right w:val="nil"/>
            </w:tcBorders>
            <w:vAlign w:val="bottom"/>
          </w:tcPr>
          <w:p w14:paraId="1D1BED44" w14:textId="77777777" w:rsidR="00584597" w:rsidRPr="002A78DC" w:rsidRDefault="00584597" w:rsidP="008E1F7B">
            <w:pPr>
              <w:jc w:val="center"/>
              <w:rPr>
                <w:color w:val="000000"/>
              </w:rPr>
            </w:pPr>
            <w:r>
              <w:rPr>
                <w:color w:val="000000"/>
              </w:rPr>
              <w:t>20.8 (10.6)</w:t>
            </w:r>
          </w:p>
        </w:tc>
      </w:tr>
      <w:tr w:rsidR="00584597" w:rsidRPr="002A78DC" w14:paraId="5C180192" w14:textId="77777777" w:rsidTr="008E1F7B">
        <w:trPr>
          <w:trHeight w:val="813"/>
        </w:trPr>
        <w:tc>
          <w:tcPr>
            <w:tcW w:w="1658" w:type="dxa"/>
            <w:tcBorders>
              <w:top w:val="nil"/>
              <w:left w:val="nil"/>
              <w:right w:val="nil"/>
            </w:tcBorders>
            <w:shd w:val="clear" w:color="auto" w:fill="auto"/>
            <w:noWrap/>
            <w:vAlign w:val="bottom"/>
            <w:hideMark/>
          </w:tcPr>
          <w:p w14:paraId="29022742" w14:textId="3F2411C7" w:rsidR="00584597" w:rsidRPr="00E16F9D" w:rsidRDefault="00584597" w:rsidP="008E1F7B">
            <w:pPr>
              <w:rPr>
                <w:color w:val="000000"/>
              </w:rPr>
            </w:pPr>
            <w:r>
              <w:rPr>
                <w:color w:val="000000"/>
              </w:rPr>
              <w:t>DASS-21 S</w:t>
            </w:r>
            <w:r w:rsidR="00A846DA">
              <w:rPr>
                <w:color w:val="000000"/>
                <w:vertAlign w:val="superscript"/>
              </w:rPr>
              <w:t>1</w:t>
            </w:r>
          </w:p>
        </w:tc>
        <w:tc>
          <w:tcPr>
            <w:tcW w:w="1440" w:type="dxa"/>
            <w:tcBorders>
              <w:top w:val="nil"/>
              <w:left w:val="nil"/>
              <w:right w:val="nil"/>
            </w:tcBorders>
            <w:shd w:val="clear" w:color="auto" w:fill="auto"/>
            <w:noWrap/>
            <w:vAlign w:val="bottom"/>
            <w:hideMark/>
          </w:tcPr>
          <w:p w14:paraId="52A8D08A" w14:textId="77777777" w:rsidR="00584597" w:rsidRPr="002A78DC" w:rsidRDefault="00584597" w:rsidP="008E1F7B">
            <w:pPr>
              <w:jc w:val="center"/>
              <w:rPr>
                <w:color w:val="000000"/>
              </w:rPr>
            </w:pPr>
            <w:r>
              <w:rPr>
                <w:color w:val="000000"/>
              </w:rPr>
              <w:t>9.5 (4.4)</w:t>
            </w:r>
          </w:p>
        </w:tc>
        <w:tc>
          <w:tcPr>
            <w:tcW w:w="1442" w:type="dxa"/>
            <w:tcBorders>
              <w:top w:val="nil"/>
              <w:left w:val="nil"/>
              <w:right w:val="nil"/>
            </w:tcBorders>
            <w:shd w:val="clear" w:color="auto" w:fill="auto"/>
            <w:noWrap/>
            <w:vAlign w:val="bottom"/>
            <w:hideMark/>
          </w:tcPr>
          <w:p w14:paraId="31551580" w14:textId="77777777" w:rsidR="00584597" w:rsidRPr="002A78DC" w:rsidRDefault="00584597" w:rsidP="008E1F7B">
            <w:pPr>
              <w:jc w:val="center"/>
              <w:rPr>
                <w:color w:val="000000"/>
              </w:rPr>
            </w:pPr>
            <w:r>
              <w:rPr>
                <w:color w:val="000000"/>
              </w:rPr>
              <w:t>8.6 (4.0)</w:t>
            </w:r>
          </w:p>
        </w:tc>
        <w:tc>
          <w:tcPr>
            <w:tcW w:w="1343" w:type="dxa"/>
            <w:tcBorders>
              <w:top w:val="nil"/>
              <w:left w:val="nil"/>
              <w:right w:val="nil"/>
            </w:tcBorders>
            <w:vAlign w:val="bottom"/>
          </w:tcPr>
          <w:p w14:paraId="2826A166" w14:textId="77777777" w:rsidR="00584597" w:rsidRPr="002A78DC" w:rsidRDefault="00584597" w:rsidP="008E1F7B">
            <w:pPr>
              <w:jc w:val="center"/>
              <w:rPr>
                <w:color w:val="000000"/>
              </w:rPr>
            </w:pPr>
            <w:r>
              <w:rPr>
                <w:color w:val="000000"/>
              </w:rPr>
              <w:t>6.7 (4.2)</w:t>
            </w:r>
          </w:p>
        </w:tc>
        <w:tc>
          <w:tcPr>
            <w:tcW w:w="1337" w:type="dxa"/>
            <w:tcBorders>
              <w:top w:val="nil"/>
              <w:left w:val="nil"/>
              <w:right w:val="nil"/>
            </w:tcBorders>
            <w:vAlign w:val="bottom"/>
          </w:tcPr>
          <w:p w14:paraId="6D0A8DFC" w14:textId="77777777" w:rsidR="00584597" w:rsidRPr="002A78DC" w:rsidRDefault="00584597" w:rsidP="008E1F7B">
            <w:pPr>
              <w:jc w:val="center"/>
              <w:rPr>
                <w:color w:val="000000"/>
              </w:rPr>
            </w:pPr>
            <w:r>
              <w:rPr>
                <w:color w:val="000000"/>
              </w:rPr>
              <w:t>6.7 (3.9)</w:t>
            </w:r>
          </w:p>
        </w:tc>
        <w:tc>
          <w:tcPr>
            <w:tcW w:w="1426" w:type="dxa"/>
            <w:tcBorders>
              <w:top w:val="nil"/>
              <w:left w:val="nil"/>
              <w:right w:val="nil"/>
            </w:tcBorders>
            <w:vAlign w:val="bottom"/>
          </w:tcPr>
          <w:p w14:paraId="48F5E4C6" w14:textId="77777777" w:rsidR="00584597" w:rsidRPr="002A78DC" w:rsidRDefault="00584597" w:rsidP="008E1F7B">
            <w:pPr>
              <w:jc w:val="center"/>
              <w:rPr>
                <w:color w:val="000000"/>
              </w:rPr>
            </w:pPr>
            <w:r>
              <w:rPr>
                <w:color w:val="000000"/>
              </w:rPr>
              <w:t>9.5 (4.5)</w:t>
            </w:r>
          </w:p>
        </w:tc>
        <w:tc>
          <w:tcPr>
            <w:tcW w:w="1337" w:type="dxa"/>
            <w:tcBorders>
              <w:top w:val="nil"/>
              <w:left w:val="nil"/>
              <w:right w:val="nil"/>
            </w:tcBorders>
            <w:vAlign w:val="bottom"/>
          </w:tcPr>
          <w:p w14:paraId="1C564CE2" w14:textId="77777777" w:rsidR="00584597" w:rsidRPr="002A78DC" w:rsidRDefault="00584597" w:rsidP="008E1F7B">
            <w:pPr>
              <w:jc w:val="center"/>
              <w:rPr>
                <w:color w:val="000000"/>
              </w:rPr>
            </w:pPr>
            <w:r>
              <w:rPr>
                <w:color w:val="000000"/>
              </w:rPr>
              <w:t>10.0 (4.0)</w:t>
            </w:r>
          </w:p>
        </w:tc>
        <w:tc>
          <w:tcPr>
            <w:tcW w:w="1516" w:type="dxa"/>
            <w:tcBorders>
              <w:top w:val="nil"/>
              <w:left w:val="nil"/>
              <w:right w:val="nil"/>
            </w:tcBorders>
            <w:vAlign w:val="bottom"/>
          </w:tcPr>
          <w:p w14:paraId="35D0427C" w14:textId="77777777" w:rsidR="00584597" w:rsidRPr="002A78DC" w:rsidRDefault="00584597" w:rsidP="008E1F7B">
            <w:pPr>
              <w:jc w:val="center"/>
              <w:rPr>
                <w:color w:val="000000"/>
              </w:rPr>
            </w:pPr>
            <w:r>
              <w:rPr>
                <w:color w:val="000000"/>
              </w:rPr>
              <w:t>9.6 (4.5)</w:t>
            </w:r>
          </w:p>
        </w:tc>
        <w:tc>
          <w:tcPr>
            <w:tcW w:w="1516" w:type="dxa"/>
            <w:tcBorders>
              <w:top w:val="nil"/>
              <w:left w:val="nil"/>
              <w:right w:val="nil"/>
            </w:tcBorders>
            <w:vAlign w:val="bottom"/>
          </w:tcPr>
          <w:p w14:paraId="1193545C" w14:textId="77777777" w:rsidR="00584597" w:rsidRPr="002A78DC" w:rsidRDefault="00584597" w:rsidP="008E1F7B">
            <w:pPr>
              <w:jc w:val="center"/>
              <w:rPr>
                <w:color w:val="000000"/>
              </w:rPr>
            </w:pPr>
            <w:r>
              <w:rPr>
                <w:color w:val="000000"/>
              </w:rPr>
              <w:t>9.8 (4.7)</w:t>
            </w:r>
          </w:p>
        </w:tc>
      </w:tr>
      <w:tr w:rsidR="00584597" w:rsidRPr="002A78DC" w14:paraId="3EB41C3A" w14:textId="77777777" w:rsidTr="008E1F7B">
        <w:trPr>
          <w:trHeight w:val="813"/>
        </w:trPr>
        <w:tc>
          <w:tcPr>
            <w:tcW w:w="1658" w:type="dxa"/>
            <w:tcBorders>
              <w:top w:val="nil"/>
              <w:left w:val="nil"/>
              <w:bottom w:val="nil"/>
              <w:right w:val="nil"/>
            </w:tcBorders>
            <w:shd w:val="clear" w:color="auto" w:fill="auto"/>
            <w:noWrap/>
            <w:vAlign w:val="bottom"/>
            <w:hideMark/>
          </w:tcPr>
          <w:p w14:paraId="20012811" w14:textId="0277EF7C" w:rsidR="00584597" w:rsidRPr="002A78DC" w:rsidRDefault="00584597" w:rsidP="008E1F7B">
            <w:pPr>
              <w:rPr>
                <w:color w:val="000000"/>
              </w:rPr>
            </w:pPr>
            <w:r>
              <w:rPr>
                <w:color w:val="000000"/>
              </w:rPr>
              <w:t>DASS-21 D</w:t>
            </w:r>
            <w:r w:rsidR="00A846DA">
              <w:rPr>
                <w:color w:val="000000"/>
                <w:vertAlign w:val="superscript"/>
              </w:rPr>
              <w:t>1</w:t>
            </w:r>
          </w:p>
        </w:tc>
        <w:tc>
          <w:tcPr>
            <w:tcW w:w="1440" w:type="dxa"/>
            <w:tcBorders>
              <w:top w:val="nil"/>
              <w:left w:val="nil"/>
              <w:bottom w:val="nil"/>
              <w:right w:val="nil"/>
            </w:tcBorders>
            <w:shd w:val="clear" w:color="auto" w:fill="auto"/>
            <w:noWrap/>
            <w:vAlign w:val="bottom"/>
            <w:hideMark/>
          </w:tcPr>
          <w:p w14:paraId="676AC879" w14:textId="77777777" w:rsidR="00584597" w:rsidRPr="002A78DC" w:rsidRDefault="00584597" w:rsidP="008E1F7B">
            <w:pPr>
              <w:jc w:val="center"/>
            </w:pPr>
            <w:r>
              <w:t>5.8 (4.3)</w:t>
            </w:r>
          </w:p>
        </w:tc>
        <w:tc>
          <w:tcPr>
            <w:tcW w:w="1442" w:type="dxa"/>
            <w:tcBorders>
              <w:top w:val="nil"/>
              <w:left w:val="nil"/>
              <w:bottom w:val="nil"/>
              <w:right w:val="nil"/>
            </w:tcBorders>
            <w:shd w:val="clear" w:color="auto" w:fill="auto"/>
            <w:noWrap/>
            <w:vAlign w:val="bottom"/>
            <w:hideMark/>
          </w:tcPr>
          <w:p w14:paraId="0699C1EC" w14:textId="77777777" w:rsidR="00584597" w:rsidRPr="002A78DC" w:rsidRDefault="00584597" w:rsidP="008E1F7B">
            <w:pPr>
              <w:jc w:val="center"/>
            </w:pPr>
            <w:r>
              <w:t>5.2 (4.0)</w:t>
            </w:r>
          </w:p>
        </w:tc>
        <w:tc>
          <w:tcPr>
            <w:tcW w:w="1343" w:type="dxa"/>
            <w:tcBorders>
              <w:top w:val="nil"/>
              <w:left w:val="nil"/>
              <w:bottom w:val="nil"/>
              <w:right w:val="nil"/>
            </w:tcBorders>
            <w:vAlign w:val="bottom"/>
          </w:tcPr>
          <w:p w14:paraId="53B126CB" w14:textId="77777777" w:rsidR="00584597" w:rsidRPr="002A78DC" w:rsidRDefault="00584597" w:rsidP="008E1F7B">
            <w:pPr>
              <w:jc w:val="center"/>
            </w:pPr>
            <w:r>
              <w:t>4.6 (4.4)</w:t>
            </w:r>
          </w:p>
        </w:tc>
        <w:tc>
          <w:tcPr>
            <w:tcW w:w="1337" w:type="dxa"/>
            <w:tcBorders>
              <w:top w:val="nil"/>
              <w:left w:val="nil"/>
              <w:bottom w:val="nil"/>
              <w:right w:val="nil"/>
            </w:tcBorders>
            <w:vAlign w:val="bottom"/>
          </w:tcPr>
          <w:p w14:paraId="4E2A0C17" w14:textId="77777777" w:rsidR="00584597" w:rsidRPr="002A78DC" w:rsidRDefault="00584597" w:rsidP="008E1F7B">
            <w:pPr>
              <w:jc w:val="center"/>
            </w:pPr>
            <w:r>
              <w:t>4.8 (4.3)</w:t>
            </w:r>
          </w:p>
        </w:tc>
        <w:tc>
          <w:tcPr>
            <w:tcW w:w="1426" w:type="dxa"/>
            <w:tcBorders>
              <w:top w:val="nil"/>
              <w:left w:val="nil"/>
              <w:bottom w:val="nil"/>
              <w:right w:val="nil"/>
            </w:tcBorders>
            <w:vAlign w:val="bottom"/>
          </w:tcPr>
          <w:p w14:paraId="3E1EC019" w14:textId="77777777" w:rsidR="00584597" w:rsidRPr="002A78DC" w:rsidRDefault="00584597" w:rsidP="008E1F7B">
            <w:pPr>
              <w:jc w:val="center"/>
            </w:pPr>
            <w:r>
              <w:t>6.6 (4.0)</w:t>
            </w:r>
          </w:p>
        </w:tc>
        <w:tc>
          <w:tcPr>
            <w:tcW w:w="1337" w:type="dxa"/>
            <w:tcBorders>
              <w:top w:val="nil"/>
              <w:left w:val="nil"/>
              <w:bottom w:val="nil"/>
              <w:right w:val="nil"/>
            </w:tcBorders>
            <w:vAlign w:val="bottom"/>
          </w:tcPr>
          <w:p w14:paraId="3CBC4E95" w14:textId="77777777" w:rsidR="00584597" w:rsidRPr="002A78DC" w:rsidRDefault="00584597" w:rsidP="008E1F7B">
            <w:pPr>
              <w:jc w:val="center"/>
            </w:pPr>
            <w:r>
              <w:t>6.8 (3.9)</w:t>
            </w:r>
          </w:p>
        </w:tc>
        <w:tc>
          <w:tcPr>
            <w:tcW w:w="1516" w:type="dxa"/>
            <w:tcBorders>
              <w:top w:val="nil"/>
              <w:left w:val="nil"/>
              <w:bottom w:val="nil"/>
              <w:right w:val="nil"/>
            </w:tcBorders>
            <w:vAlign w:val="bottom"/>
          </w:tcPr>
          <w:p w14:paraId="1F1F7941" w14:textId="77777777" w:rsidR="00584597" w:rsidRPr="002A78DC" w:rsidRDefault="00584597" w:rsidP="008E1F7B">
            <w:pPr>
              <w:jc w:val="center"/>
            </w:pPr>
            <w:r>
              <w:t>6.2 (4.2)</w:t>
            </w:r>
          </w:p>
        </w:tc>
        <w:tc>
          <w:tcPr>
            <w:tcW w:w="1516" w:type="dxa"/>
            <w:tcBorders>
              <w:top w:val="nil"/>
              <w:left w:val="nil"/>
              <w:bottom w:val="nil"/>
              <w:right w:val="nil"/>
            </w:tcBorders>
            <w:vAlign w:val="bottom"/>
          </w:tcPr>
          <w:p w14:paraId="157B8543" w14:textId="77777777" w:rsidR="00584597" w:rsidRPr="002A78DC" w:rsidRDefault="00584597" w:rsidP="008E1F7B">
            <w:pPr>
              <w:jc w:val="center"/>
            </w:pPr>
            <w:r>
              <w:t>6.4 (4.7)</w:t>
            </w:r>
          </w:p>
        </w:tc>
      </w:tr>
      <w:tr w:rsidR="00584597" w:rsidRPr="002A78DC" w14:paraId="1A92BD67" w14:textId="77777777" w:rsidTr="008E1F7B">
        <w:trPr>
          <w:trHeight w:val="813"/>
        </w:trPr>
        <w:tc>
          <w:tcPr>
            <w:tcW w:w="1658" w:type="dxa"/>
            <w:tcBorders>
              <w:top w:val="nil"/>
              <w:left w:val="nil"/>
              <w:bottom w:val="single" w:sz="4" w:space="0" w:color="auto"/>
              <w:right w:val="nil"/>
            </w:tcBorders>
            <w:shd w:val="clear" w:color="auto" w:fill="auto"/>
            <w:noWrap/>
            <w:vAlign w:val="bottom"/>
          </w:tcPr>
          <w:p w14:paraId="1EABC273" w14:textId="0B2F8576" w:rsidR="00584597" w:rsidRDefault="00584597" w:rsidP="008E1F7B">
            <w:pPr>
              <w:rPr>
                <w:color w:val="000000"/>
              </w:rPr>
            </w:pPr>
            <w:r>
              <w:rPr>
                <w:color w:val="000000"/>
              </w:rPr>
              <w:t>DASS-21 A</w:t>
            </w:r>
            <w:r w:rsidR="00A846DA">
              <w:rPr>
                <w:color w:val="000000"/>
                <w:vertAlign w:val="superscript"/>
              </w:rPr>
              <w:t>1</w:t>
            </w:r>
          </w:p>
        </w:tc>
        <w:tc>
          <w:tcPr>
            <w:tcW w:w="1440" w:type="dxa"/>
            <w:tcBorders>
              <w:top w:val="nil"/>
              <w:left w:val="nil"/>
              <w:bottom w:val="single" w:sz="4" w:space="0" w:color="auto"/>
              <w:right w:val="nil"/>
            </w:tcBorders>
            <w:shd w:val="clear" w:color="auto" w:fill="auto"/>
            <w:noWrap/>
            <w:vAlign w:val="bottom"/>
          </w:tcPr>
          <w:p w14:paraId="3E4F8667" w14:textId="77777777" w:rsidR="00584597" w:rsidRDefault="00584597" w:rsidP="008E1F7B">
            <w:pPr>
              <w:jc w:val="center"/>
            </w:pPr>
            <w:r>
              <w:t>4.8 (3.4)</w:t>
            </w:r>
          </w:p>
        </w:tc>
        <w:tc>
          <w:tcPr>
            <w:tcW w:w="1442" w:type="dxa"/>
            <w:tcBorders>
              <w:top w:val="nil"/>
              <w:left w:val="nil"/>
              <w:bottom w:val="single" w:sz="4" w:space="0" w:color="auto"/>
              <w:right w:val="nil"/>
            </w:tcBorders>
            <w:shd w:val="clear" w:color="auto" w:fill="auto"/>
            <w:noWrap/>
            <w:vAlign w:val="bottom"/>
          </w:tcPr>
          <w:p w14:paraId="0BE3E1FB" w14:textId="77777777" w:rsidR="00584597" w:rsidRDefault="00584597" w:rsidP="008E1F7B">
            <w:pPr>
              <w:jc w:val="center"/>
            </w:pPr>
            <w:r>
              <w:t>4.3 (3.4)</w:t>
            </w:r>
          </w:p>
        </w:tc>
        <w:tc>
          <w:tcPr>
            <w:tcW w:w="1343" w:type="dxa"/>
            <w:tcBorders>
              <w:top w:val="nil"/>
              <w:left w:val="nil"/>
              <w:bottom w:val="single" w:sz="4" w:space="0" w:color="auto"/>
              <w:right w:val="nil"/>
            </w:tcBorders>
            <w:vAlign w:val="bottom"/>
          </w:tcPr>
          <w:p w14:paraId="40611561" w14:textId="77777777" w:rsidR="00584597" w:rsidRDefault="00584597" w:rsidP="008E1F7B">
            <w:pPr>
              <w:jc w:val="center"/>
            </w:pPr>
            <w:r>
              <w:t>2.9 (2.8)</w:t>
            </w:r>
          </w:p>
        </w:tc>
        <w:tc>
          <w:tcPr>
            <w:tcW w:w="1337" w:type="dxa"/>
            <w:tcBorders>
              <w:top w:val="nil"/>
              <w:left w:val="nil"/>
              <w:bottom w:val="single" w:sz="4" w:space="0" w:color="auto"/>
              <w:right w:val="nil"/>
            </w:tcBorders>
            <w:vAlign w:val="bottom"/>
          </w:tcPr>
          <w:p w14:paraId="677DF0BE" w14:textId="77777777" w:rsidR="00584597" w:rsidRDefault="00584597" w:rsidP="008E1F7B">
            <w:pPr>
              <w:jc w:val="center"/>
            </w:pPr>
            <w:r>
              <w:t>3.0 (2.9)</w:t>
            </w:r>
          </w:p>
        </w:tc>
        <w:tc>
          <w:tcPr>
            <w:tcW w:w="1426" w:type="dxa"/>
            <w:tcBorders>
              <w:top w:val="nil"/>
              <w:left w:val="nil"/>
              <w:bottom w:val="single" w:sz="4" w:space="0" w:color="auto"/>
              <w:right w:val="nil"/>
            </w:tcBorders>
            <w:vAlign w:val="bottom"/>
          </w:tcPr>
          <w:p w14:paraId="6589A64D" w14:textId="77777777" w:rsidR="00584597" w:rsidRDefault="00584597" w:rsidP="008E1F7B">
            <w:pPr>
              <w:jc w:val="center"/>
            </w:pPr>
            <w:r>
              <w:t>4.8 (4.1)</w:t>
            </w:r>
          </w:p>
        </w:tc>
        <w:tc>
          <w:tcPr>
            <w:tcW w:w="1337" w:type="dxa"/>
            <w:tcBorders>
              <w:top w:val="nil"/>
              <w:left w:val="nil"/>
              <w:bottom w:val="single" w:sz="4" w:space="0" w:color="auto"/>
              <w:right w:val="nil"/>
            </w:tcBorders>
            <w:vAlign w:val="bottom"/>
          </w:tcPr>
          <w:p w14:paraId="6CBDCCC9" w14:textId="77777777" w:rsidR="00584597" w:rsidRDefault="00584597" w:rsidP="008E1F7B">
            <w:pPr>
              <w:jc w:val="center"/>
            </w:pPr>
            <w:r>
              <w:t>5.0 (3.5)</w:t>
            </w:r>
          </w:p>
        </w:tc>
        <w:tc>
          <w:tcPr>
            <w:tcW w:w="1516" w:type="dxa"/>
            <w:tcBorders>
              <w:top w:val="nil"/>
              <w:left w:val="nil"/>
              <w:bottom w:val="single" w:sz="4" w:space="0" w:color="auto"/>
              <w:right w:val="nil"/>
            </w:tcBorders>
            <w:vAlign w:val="bottom"/>
          </w:tcPr>
          <w:p w14:paraId="48661BAD" w14:textId="77777777" w:rsidR="00584597" w:rsidRDefault="00584597" w:rsidP="008E1F7B">
            <w:pPr>
              <w:jc w:val="center"/>
            </w:pPr>
            <w:r>
              <w:t>3.8 (3.5)</w:t>
            </w:r>
          </w:p>
        </w:tc>
        <w:tc>
          <w:tcPr>
            <w:tcW w:w="1516" w:type="dxa"/>
            <w:tcBorders>
              <w:top w:val="nil"/>
              <w:left w:val="nil"/>
              <w:bottom w:val="single" w:sz="4" w:space="0" w:color="auto"/>
              <w:right w:val="nil"/>
            </w:tcBorders>
            <w:vAlign w:val="bottom"/>
          </w:tcPr>
          <w:p w14:paraId="1040A1FA" w14:textId="77777777" w:rsidR="00584597" w:rsidRDefault="00584597" w:rsidP="008E1F7B">
            <w:pPr>
              <w:jc w:val="center"/>
            </w:pPr>
            <w:r>
              <w:t>4.5 (4.0)</w:t>
            </w:r>
          </w:p>
        </w:tc>
      </w:tr>
    </w:tbl>
    <w:p w14:paraId="0A78DA22" w14:textId="77777777" w:rsidR="00584597" w:rsidRPr="002A78DC" w:rsidRDefault="00584597" w:rsidP="00584597">
      <w:pPr>
        <w:rPr>
          <w:color w:val="000000"/>
        </w:rPr>
      </w:pPr>
      <w:r>
        <w:rPr>
          <w:color w:val="000000"/>
          <w:vertAlign w:val="superscript"/>
        </w:rPr>
        <w:t>1</w:t>
      </w:r>
      <w:r w:rsidRPr="002A78DC">
        <w:rPr>
          <w:color w:val="000000"/>
          <w:vertAlign w:val="superscript"/>
        </w:rPr>
        <w:t xml:space="preserve"> </w:t>
      </w:r>
      <w:r w:rsidRPr="002A78DC">
        <w:rPr>
          <w:color w:val="000000"/>
        </w:rPr>
        <w:t xml:space="preserve">Higher </w:t>
      </w:r>
      <w:proofErr w:type="gramStart"/>
      <w:r w:rsidRPr="002A78DC">
        <w:rPr>
          <w:color w:val="000000"/>
        </w:rPr>
        <w:t>scores</w:t>
      </w:r>
      <w:proofErr w:type="gramEnd"/>
      <w:r w:rsidRPr="002A78DC">
        <w:rPr>
          <w:color w:val="000000"/>
        </w:rPr>
        <w:t xml:space="preserve"> </w:t>
      </w:r>
      <w:r>
        <w:rPr>
          <w:color w:val="000000"/>
        </w:rPr>
        <w:t>indicate greater severity</w:t>
      </w:r>
    </w:p>
    <w:p w14:paraId="5955094A" w14:textId="77777777" w:rsidR="00584597" w:rsidRDefault="00584597" w:rsidP="00584597">
      <w:r w:rsidRPr="002A78DC">
        <w:rPr>
          <w:i/>
          <w:iCs/>
        </w:rPr>
        <w:t>Note.</w:t>
      </w:r>
      <w:r w:rsidRPr="002A78DC">
        <w:t xml:space="preserve"> </w:t>
      </w:r>
      <w:r>
        <w:t xml:space="preserve">AAQ-TTM = </w:t>
      </w:r>
      <w:r>
        <w:rPr>
          <w:bCs/>
        </w:rPr>
        <w:t>Acceptance and Action Questionnaire- Trichotillomania</w:t>
      </w:r>
      <w:r>
        <w:t xml:space="preserve">, MGH-HPS = Massachusetts General Hospital- Hair Pulling </w:t>
      </w:r>
      <w:proofErr w:type="gramStart"/>
      <w:r>
        <w:t>Scale,  MHC</w:t>
      </w:r>
      <w:proofErr w:type="gramEnd"/>
      <w:r>
        <w:t>-SF= Mental Health Continuum Short Form, DASS-21 = Depression, Anxiety, Stress Scale- 21 Items, DASS-21 S = DASS-21 Stress subscale, DASS-21 D= DASS-21 Depression subscale, DASS-21 A= DASS-21 Anxiety subscale</w:t>
      </w:r>
    </w:p>
    <w:p w14:paraId="2E524BE7" w14:textId="77777777" w:rsidR="00584597" w:rsidRDefault="00584597" w:rsidP="00584597">
      <w:pPr>
        <w:spacing w:line="480" w:lineRule="auto"/>
      </w:pPr>
    </w:p>
    <w:p w14:paraId="4AC676C6" w14:textId="77777777" w:rsidR="001E6F32" w:rsidRDefault="00584597" w:rsidP="00584597">
      <w:pPr>
        <w:spacing w:line="480" w:lineRule="auto"/>
      </w:pPr>
      <w:r w:rsidRPr="00200FCA">
        <w:t>Table 3</w:t>
      </w:r>
      <w:r w:rsidRPr="00126ACD">
        <w:t xml:space="preserve"> </w:t>
      </w:r>
    </w:p>
    <w:p w14:paraId="2636A59A" w14:textId="712FDAC3" w:rsidR="00584597" w:rsidRPr="00200FCA" w:rsidRDefault="00584597" w:rsidP="00584597">
      <w:pPr>
        <w:spacing w:line="480" w:lineRule="auto"/>
      </w:pPr>
      <w:r w:rsidRPr="00200FCA">
        <w:t xml:space="preserve">Hedges’ </w:t>
      </w:r>
      <w:r w:rsidRPr="001E6F32">
        <w:rPr>
          <w:i/>
          <w:iCs/>
        </w:rPr>
        <w:t>g</w:t>
      </w:r>
      <w:r w:rsidRPr="00200FCA">
        <w:t xml:space="preserve"> </w:t>
      </w:r>
      <w:r w:rsidR="00AE5EF1">
        <w:t>E</w:t>
      </w:r>
      <w:r w:rsidRPr="00200FCA">
        <w:t xml:space="preserve">ffect </w:t>
      </w:r>
      <w:r w:rsidR="00AE5EF1">
        <w:t>S</w:t>
      </w:r>
      <w:r w:rsidRPr="00200FCA">
        <w:t xml:space="preserve">izes </w:t>
      </w:r>
      <w:r w:rsidR="00AE5EF1">
        <w:t>W</w:t>
      </w:r>
      <w:r w:rsidRPr="00200FCA">
        <w:t>ithin A</w:t>
      </w:r>
      <w:r w:rsidR="002A0CAE">
        <w:t xml:space="preserve">EBT </w:t>
      </w:r>
      <w:r w:rsidR="00AE5EF1">
        <w:t>C</w:t>
      </w:r>
      <w:r w:rsidRPr="00200FCA">
        <w:t xml:space="preserve">ondition and </w:t>
      </w:r>
      <w:r w:rsidR="00AE5EF1">
        <w:t>B</w:t>
      </w:r>
      <w:r w:rsidRPr="00200FCA">
        <w:t xml:space="preserve">etween </w:t>
      </w:r>
      <w:r w:rsidR="00AE5EF1">
        <w:t>G</w:t>
      </w:r>
      <w:r w:rsidRPr="00200FCA">
        <w:t xml:space="preserve">roups </w:t>
      </w:r>
      <w:r w:rsidR="00AE5EF1">
        <w:t>A</w:t>
      </w:r>
      <w:r w:rsidRPr="00200FCA">
        <w:t xml:space="preserve">cross </w:t>
      </w:r>
      <w:r w:rsidR="00AE5EF1">
        <w:t>T</w:t>
      </w:r>
      <w:r w:rsidRPr="00200FCA">
        <w:t xml:space="preserve">imepoints for </w:t>
      </w:r>
      <w:r w:rsidR="00AE5EF1">
        <w:t>F</w:t>
      </w:r>
      <w:r w:rsidRPr="00200FCA">
        <w:t xml:space="preserve">ull </w:t>
      </w:r>
      <w:r w:rsidR="00AE5EF1">
        <w:t>S</w:t>
      </w:r>
      <w:r w:rsidRPr="00200FCA">
        <w:t>ample</w:t>
      </w:r>
    </w:p>
    <w:tbl>
      <w:tblPr>
        <w:tblW w:w="11645" w:type="dxa"/>
        <w:tblLayout w:type="fixed"/>
        <w:tblLook w:val="04A0" w:firstRow="1" w:lastRow="0" w:firstColumn="1" w:lastColumn="0" w:noHBand="0" w:noVBand="1"/>
      </w:tblPr>
      <w:tblGrid>
        <w:gridCol w:w="3019"/>
        <w:gridCol w:w="2156"/>
        <w:gridCol w:w="2157"/>
        <w:gridCol w:w="2156"/>
        <w:gridCol w:w="2157"/>
      </w:tblGrid>
      <w:tr w:rsidR="00584597" w:rsidRPr="002A78DC" w14:paraId="51E6E994" w14:textId="77777777" w:rsidTr="008E1F7B">
        <w:trPr>
          <w:trHeight w:val="545"/>
        </w:trPr>
        <w:tc>
          <w:tcPr>
            <w:tcW w:w="3019" w:type="dxa"/>
            <w:tcBorders>
              <w:top w:val="single" w:sz="4" w:space="0" w:color="auto"/>
              <w:left w:val="nil"/>
              <w:bottom w:val="single" w:sz="4" w:space="0" w:color="auto"/>
              <w:right w:val="nil"/>
            </w:tcBorders>
            <w:shd w:val="clear" w:color="auto" w:fill="auto"/>
            <w:noWrap/>
            <w:vAlign w:val="bottom"/>
          </w:tcPr>
          <w:p w14:paraId="197BBFC4" w14:textId="77777777" w:rsidR="00584597" w:rsidRPr="002A78DC" w:rsidRDefault="00584597" w:rsidP="008E1F7B">
            <w:pPr>
              <w:rPr>
                <w:color w:val="000000"/>
              </w:rPr>
            </w:pPr>
          </w:p>
        </w:tc>
        <w:tc>
          <w:tcPr>
            <w:tcW w:w="4313" w:type="dxa"/>
            <w:gridSpan w:val="2"/>
            <w:tcBorders>
              <w:top w:val="single" w:sz="4" w:space="0" w:color="auto"/>
              <w:left w:val="nil"/>
              <w:bottom w:val="single" w:sz="4" w:space="0" w:color="auto"/>
              <w:right w:val="nil"/>
            </w:tcBorders>
          </w:tcPr>
          <w:p w14:paraId="3B788C3C" w14:textId="77777777" w:rsidR="00584597" w:rsidRPr="002A78DC" w:rsidRDefault="00584597" w:rsidP="008E1F7B">
            <w:pPr>
              <w:jc w:val="center"/>
              <w:rPr>
                <w:color w:val="000000"/>
              </w:rPr>
            </w:pPr>
            <w:r>
              <w:rPr>
                <w:color w:val="000000"/>
              </w:rPr>
              <w:t>Pre- to post-treatment</w:t>
            </w:r>
          </w:p>
        </w:tc>
        <w:tc>
          <w:tcPr>
            <w:tcW w:w="4313" w:type="dxa"/>
            <w:gridSpan w:val="2"/>
            <w:tcBorders>
              <w:top w:val="single" w:sz="4" w:space="0" w:color="auto"/>
              <w:left w:val="nil"/>
              <w:bottom w:val="single" w:sz="4" w:space="0" w:color="auto"/>
              <w:right w:val="nil"/>
            </w:tcBorders>
          </w:tcPr>
          <w:p w14:paraId="1AA89EF5" w14:textId="0103B331" w:rsidR="00584597" w:rsidRPr="002A78DC" w:rsidRDefault="004F699E" w:rsidP="008E1F7B">
            <w:pPr>
              <w:jc w:val="center"/>
              <w:rPr>
                <w:color w:val="000000"/>
              </w:rPr>
            </w:pPr>
            <w:r>
              <w:rPr>
                <w:color w:val="000000"/>
              </w:rPr>
              <w:t>Pre</w:t>
            </w:r>
            <w:r w:rsidR="00584597">
              <w:rPr>
                <w:color w:val="000000"/>
              </w:rPr>
              <w:t>-treatment to follow-up</w:t>
            </w:r>
          </w:p>
        </w:tc>
      </w:tr>
      <w:tr w:rsidR="00584597" w:rsidRPr="002A78DC" w14:paraId="18CFC801" w14:textId="77777777" w:rsidTr="008E1F7B">
        <w:trPr>
          <w:trHeight w:val="545"/>
        </w:trPr>
        <w:tc>
          <w:tcPr>
            <w:tcW w:w="3019" w:type="dxa"/>
            <w:tcBorders>
              <w:top w:val="single" w:sz="4" w:space="0" w:color="auto"/>
              <w:left w:val="nil"/>
              <w:bottom w:val="single" w:sz="4" w:space="0" w:color="auto"/>
              <w:right w:val="nil"/>
            </w:tcBorders>
            <w:shd w:val="clear" w:color="auto" w:fill="auto"/>
            <w:noWrap/>
            <w:vAlign w:val="bottom"/>
            <w:hideMark/>
          </w:tcPr>
          <w:p w14:paraId="229BC509" w14:textId="77777777" w:rsidR="00584597" w:rsidRPr="002A78DC" w:rsidRDefault="00584597" w:rsidP="008E1F7B">
            <w:pPr>
              <w:rPr>
                <w:color w:val="000000"/>
              </w:rPr>
            </w:pPr>
            <w:r w:rsidRPr="002A78DC">
              <w:rPr>
                <w:color w:val="000000"/>
              </w:rPr>
              <w:t> </w:t>
            </w:r>
          </w:p>
        </w:tc>
        <w:tc>
          <w:tcPr>
            <w:tcW w:w="2156" w:type="dxa"/>
            <w:tcBorders>
              <w:top w:val="single" w:sz="4" w:space="0" w:color="auto"/>
              <w:left w:val="nil"/>
              <w:bottom w:val="single" w:sz="4" w:space="0" w:color="auto"/>
              <w:right w:val="nil"/>
            </w:tcBorders>
            <w:vAlign w:val="bottom"/>
          </w:tcPr>
          <w:p w14:paraId="4CE29DD2" w14:textId="77777777" w:rsidR="00584597" w:rsidRPr="002A78DC" w:rsidRDefault="00584597" w:rsidP="008E1F7B">
            <w:pPr>
              <w:jc w:val="center"/>
              <w:rPr>
                <w:color w:val="000000"/>
              </w:rPr>
            </w:pPr>
            <w:r w:rsidRPr="002A78DC">
              <w:rPr>
                <w:color w:val="000000"/>
              </w:rPr>
              <w:t>Within-group</w:t>
            </w:r>
            <w:r w:rsidRPr="002A78DC">
              <w:rPr>
                <w:color w:val="000000"/>
                <w:vertAlign w:val="superscript"/>
              </w:rPr>
              <w:t>1</w:t>
            </w:r>
          </w:p>
        </w:tc>
        <w:tc>
          <w:tcPr>
            <w:tcW w:w="2156" w:type="dxa"/>
            <w:tcBorders>
              <w:top w:val="single" w:sz="4" w:space="0" w:color="auto"/>
              <w:left w:val="nil"/>
              <w:bottom w:val="single" w:sz="4" w:space="0" w:color="auto"/>
              <w:right w:val="nil"/>
            </w:tcBorders>
            <w:shd w:val="clear" w:color="auto" w:fill="auto"/>
            <w:vAlign w:val="bottom"/>
          </w:tcPr>
          <w:p w14:paraId="2CCD59EE" w14:textId="77777777" w:rsidR="00584597" w:rsidRPr="002A78DC" w:rsidRDefault="00584597" w:rsidP="008E1F7B">
            <w:pPr>
              <w:jc w:val="center"/>
              <w:rPr>
                <w:color w:val="000000"/>
              </w:rPr>
            </w:pPr>
            <w:r w:rsidRPr="002A78DC">
              <w:rPr>
                <w:color w:val="000000"/>
              </w:rPr>
              <w:t>Between-groups</w:t>
            </w:r>
          </w:p>
        </w:tc>
        <w:tc>
          <w:tcPr>
            <w:tcW w:w="2156" w:type="dxa"/>
            <w:tcBorders>
              <w:top w:val="single" w:sz="4" w:space="0" w:color="auto"/>
              <w:left w:val="nil"/>
              <w:bottom w:val="single" w:sz="4" w:space="0" w:color="auto"/>
              <w:right w:val="nil"/>
            </w:tcBorders>
            <w:vAlign w:val="bottom"/>
          </w:tcPr>
          <w:p w14:paraId="5CFFD4BA" w14:textId="77777777" w:rsidR="00584597" w:rsidRPr="002A78DC" w:rsidRDefault="00584597" w:rsidP="008E1F7B">
            <w:pPr>
              <w:jc w:val="center"/>
              <w:rPr>
                <w:color w:val="000000"/>
              </w:rPr>
            </w:pPr>
            <w:r w:rsidRPr="002A78DC">
              <w:rPr>
                <w:color w:val="000000"/>
              </w:rPr>
              <w:t>Within-group</w:t>
            </w:r>
            <w:r w:rsidRPr="002A78DC">
              <w:rPr>
                <w:color w:val="000000"/>
                <w:vertAlign w:val="superscript"/>
              </w:rPr>
              <w:t>1</w:t>
            </w:r>
          </w:p>
        </w:tc>
        <w:tc>
          <w:tcPr>
            <w:tcW w:w="2156" w:type="dxa"/>
            <w:tcBorders>
              <w:top w:val="single" w:sz="4" w:space="0" w:color="auto"/>
              <w:left w:val="nil"/>
              <w:bottom w:val="single" w:sz="4" w:space="0" w:color="auto"/>
              <w:right w:val="nil"/>
            </w:tcBorders>
            <w:vAlign w:val="bottom"/>
          </w:tcPr>
          <w:p w14:paraId="5D90D888" w14:textId="77777777" w:rsidR="00584597" w:rsidRPr="002A78DC" w:rsidRDefault="00584597" w:rsidP="008E1F7B">
            <w:pPr>
              <w:jc w:val="center"/>
              <w:rPr>
                <w:color w:val="000000"/>
              </w:rPr>
            </w:pPr>
            <w:r w:rsidRPr="002A78DC">
              <w:rPr>
                <w:color w:val="000000"/>
              </w:rPr>
              <w:t>Between-groups</w:t>
            </w:r>
          </w:p>
        </w:tc>
      </w:tr>
      <w:tr w:rsidR="00584597" w:rsidRPr="002A78DC" w14:paraId="2DC0AA3A" w14:textId="77777777" w:rsidTr="008E1F7B">
        <w:trPr>
          <w:trHeight w:val="545"/>
        </w:trPr>
        <w:tc>
          <w:tcPr>
            <w:tcW w:w="3019" w:type="dxa"/>
            <w:tcBorders>
              <w:top w:val="nil"/>
              <w:left w:val="nil"/>
              <w:bottom w:val="nil"/>
              <w:right w:val="nil"/>
            </w:tcBorders>
            <w:shd w:val="clear" w:color="auto" w:fill="auto"/>
            <w:noWrap/>
            <w:vAlign w:val="center"/>
            <w:hideMark/>
          </w:tcPr>
          <w:p w14:paraId="763885BB" w14:textId="77777777" w:rsidR="00584597" w:rsidRPr="00E16F9D" w:rsidRDefault="00584597" w:rsidP="008E1F7B">
            <w:pPr>
              <w:jc w:val="center"/>
              <w:rPr>
                <w:color w:val="000000"/>
              </w:rPr>
            </w:pPr>
            <w:r>
              <w:rPr>
                <w:color w:val="000000"/>
              </w:rPr>
              <w:t>AAQ-TTM</w:t>
            </w:r>
          </w:p>
        </w:tc>
        <w:tc>
          <w:tcPr>
            <w:tcW w:w="2156" w:type="dxa"/>
            <w:tcBorders>
              <w:top w:val="nil"/>
              <w:left w:val="nil"/>
              <w:bottom w:val="nil"/>
              <w:right w:val="nil"/>
            </w:tcBorders>
            <w:vAlign w:val="center"/>
          </w:tcPr>
          <w:p w14:paraId="716F600D" w14:textId="77777777" w:rsidR="00584597" w:rsidRDefault="00584597" w:rsidP="008E1F7B">
            <w:pPr>
              <w:jc w:val="center"/>
              <w:rPr>
                <w:color w:val="000000"/>
              </w:rPr>
            </w:pPr>
          </w:p>
          <w:p w14:paraId="35C7C58D" w14:textId="2CFE6654" w:rsidR="002A0CAE" w:rsidRDefault="00584597" w:rsidP="002A0CAE">
            <w:pPr>
              <w:jc w:val="center"/>
              <w:rPr>
                <w:color w:val="000000"/>
              </w:rPr>
            </w:pPr>
            <w:r w:rsidRPr="002A78DC">
              <w:rPr>
                <w:color w:val="000000"/>
              </w:rPr>
              <w:t>-</w:t>
            </w:r>
            <w:r>
              <w:rPr>
                <w:color w:val="000000"/>
              </w:rPr>
              <w:t>1.2</w:t>
            </w:r>
            <w:r w:rsidR="002A0CAE">
              <w:rPr>
                <w:color w:val="000000"/>
              </w:rPr>
              <w:t>6</w:t>
            </w:r>
          </w:p>
          <w:p w14:paraId="0E72C72A" w14:textId="77777777" w:rsidR="00584597" w:rsidRPr="002A78DC" w:rsidRDefault="00584597" w:rsidP="002A0CAE">
            <w:pPr>
              <w:jc w:val="center"/>
              <w:rPr>
                <w:color w:val="000000"/>
              </w:rPr>
            </w:pPr>
          </w:p>
        </w:tc>
        <w:tc>
          <w:tcPr>
            <w:tcW w:w="2156" w:type="dxa"/>
            <w:tcBorders>
              <w:top w:val="nil"/>
              <w:left w:val="nil"/>
              <w:bottom w:val="nil"/>
              <w:right w:val="nil"/>
            </w:tcBorders>
            <w:shd w:val="clear" w:color="auto" w:fill="auto"/>
            <w:noWrap/>
            <w:vAlign w:val="center"/>
            <w:hideMark/>
          </w:tcPr>
          <w:p w14:paraId="644F4310" w14:textId="36A86E19" w:rsidR="00584597" w:rsidRPr="002A78DC" w:rsidRDefault="00584597" w:rsidP="008E1F7B">
            <w:pPr>
              <w:jc w:val="center"/>
              <w:rPr>
                <w:color w:val="000000"/>
              </w:rPr>
            </w:pPr>
            <w:r w:rsidRPr="002A78DC">
              <w:rPr>
                <w:color w:val="000000"/>
              </w:rPr>
              <w:t>-0.</w:t>
            </w:r>
            <w:r>
              <w:rPr>
                <w:color w:val="000000"/>
              </w:rPr>
              <w:t>32</w:t>
            </w:r>
          </w:p>
        </w:tc>
        <w:tc>
          <w:tcPr>
            <w:tcW w:w="2156" w:type="dxa"/>
            <w:tcBorders>
              <w:top w:val="nil"/>
              <w:left w:val="nil"/>
              <w:bottom w:val="nil"/>
              <w:right w:val="nil"/>
            </w:tcBorders>
            <w:vAlign w:val="center"/>
          </w:tcPr>
          <w:p w14:paraId="4FCCAE7A" w14:textId="769476CB" w:rsidR="00584597" w:rsidRPr="002A78DC" w:rsidRDefault="00584597" w:rsidP="008E1F7B">
            <w:pPr>
              <w:jc w:val="center"/>
              <w:rPr>
                <w:color w:val="000000"/>
              </w:rPr>
            </w:pPr>
            <w:r>
              <w:rPr>
                <w:color w:val="000000"/>
              </w:rPr>
              <w:t>-1.39</w:t>
            </w:r>
          </w:p>
        </w:tc>
        <w:tc>
          <w:tcPr>
            <w:tcW w:w="2156" w:type="dxa"/>
            <w:tcBorders>
              <w:top w:val="nil"/>
              <w:left w:val="nil"/>
              <w:bottom w:val="nil"/>
              <w:right w:val="nil"/>
            </w:tcBorders>
            <w:vAlign w:val="center"/>
          </w:tcPr>
          <w:p w14:paraId="7A4E6D36" w14:textId="389E2F0D" w:rsidR="00584597" w:rsidRPr="002A78DC" w:rsidRDefault="00584597" w:rsidP="008E1F7B">
            <w:pPr>
              <w:jc w:val="center"/>
              <w:rPr>
                <w:color w:val="000000"/>
              </w:rPr>
            </w:pPr>
            <w:r>
              <w:rPr>
                <w:color w:val="000000"/>
              </w:rPr>
              <w:t>-0.3</w:t>
            </w:r>
            <w:r w:rsidR="002A0CAE">
              <w:rPr>
                <w:color w:val="000000"/>
              </w:rPr>
              <w:t>2</w:t>
            </w:r>
          </w:p>
        </w:tc>
      </w:tr>
      <w:tr w:rsidR="00584597" w:rsidRPr="002A78DC" w14:paraId="4A03AB6D" w14:textId="77777777" w:rsidTr="008E1F7B">
        <w:trPr>
          <w:trHeight w:val="545"/>
        </w:trPr>
        <w:tc>
          <w:tcPr>
            <w:tcW w:w="3019" w:type="dxa"/>
            <w:tcBorders>
              <w:top w:val="nil"/>
              <w:left w:val="nil"/>
              <w:bottom w:val="nil"/>
              <w:right w:val="nil"/>
            </w:tcBorders>
            <w:shd w:val="clear" w:color="auto" w:fill="auto"/>
            <w:noWrap/>
            <w:vAlign w:val="center"/>
            <w:hideMark/>
          </w:tcPr>
          <w:p w14:paraId="534F456A" w14:textId="77777777" w:rsidR="00584597" w:rsidRPr="00E16F9D" w:rsidRDefault="00584597" w:rsidP="008E1F7B">
            <w:pPr>
              <w:jc w:val="center"/>
              <w:rPr>
                <w:color w:val="000000"/>
              </w:rPr>
            </w:pPr>
            <w:r>
              <w:rPr>
                <w:color w:val="000000"/>
              </w:rPr>
              <w:t>MGH-HPS</w:t>
            </w:r>
          </w:p>
        </w:tc>
        <w:tc>
          <w:tcPr>
            <w:tcW w:w="2156" w:type="dxa"/>
            <w:tcBorders>
              <w:top w:val="nil"/>
              <w:left w:val="nil"/>
              <w:bottom w:val="nil"/>
              <w:right w:val="nil"/>
            </w:tcBorders>
            <w:vAlign w:val="center"/>
          </w:tcPr>
          <w:p w14:paraId="2326E540" w14:textId="277FCF61" w:rsidR="00584597" w:rsidRDefault="00584597" w:rsidP="008E1F7B">
            <w:pPr>
              <w:jc w:val="center"/>
              <w:rPr>
                <w:color w:val="000000"/>
              </w:rPr>
            </w:pPr>
            <w:r w:rsidRPr="002A78DC">
              <w:rPr>
                <w:color w:val="000000"/>
              </w:rPr>
              <w:t>-</w:t>
            </w:r>
            <w:r>
              <w:rPr>
                <w:color w:val="000000"/>
              </w:rPr>
              <w:t>1.3</w:t>
            </w:r>
            <w:r w:rsidR="002A0CAE">
              <w:rPr>
                <w:color w:val="000000"/>
              </w:rPr>
              <w:t>8</w:t>
            </w:r>
          </w:p>
          <w:p w14:paraId="263597C0" w14:textId="77777777" w:rsidR="00584597" w:rsidRPr="002A78DC" w:rsidRDefault="00584597" w:rsidP="008E1F7B">
            <w:pPr>
              <w:jc w:val="center"/>
              <w:rPr>
                <w:color w:val="000000"/>
              </w:rPr>
            </w:pPr>
          </w:p>
        </w:tc>
        <w:tc>
          <w:tcPr>
            <w:tcW w:w="2156" w:type="dxa"/>
            <w:tcBorders>
              <w:top w:val="nil"/>
              <w:left w:val="nil"/>
              <w:bottom w:val="nil"/>
              <w:right w:val="nil"/>
            </w:tcBorders>
            <w:shd w:val="clear" w:color="auto" w:fill="auto"/>
            <w:noWrap/>
            <w:vAlign w:val="center"/>
            <w:hideMark/>
          </w:tcPr>
          <w:p w14:paraId="710B6FDF" w14:textId="6D4384EB" w:rsidR="00584597" w:rsidRPr="002A78DC" w:rsidRDefault="00584597" w:rsidP="008E1F7B">
            <w:pPr>
              <w:jc w:val="center"/>
              <w:rPr>
                <w:color w:val="000000"/>
              </w:rPr>
            </w:pPr>
            <w:r w:rsidRPr="002A78DC">
              <w:rPr>
                <w:color w:val="000000"/>
              </w:rPr>
              <w:t>-0.</w:t>
            </w:r>
            <w:r>
              <w:rPr>
                <w:color w:val="000000"/>
              </w:rPr>
              <w:t>27</w:t>
            </w:r>
          </w:p>
        </w:tc>
        <w:tc>
          <w:tcPr>
            <w:tcW w:w="2156" w:type="dxa"/>
            <w:tcBorders>
              <w:top w:val="nil"/>
              <w:left w:val="nil"/>
              <w:bottom w:val="nil"/>
              <w:right w:val="nil"/>
            </w:tcBorders>
            <w:vAlign w:val="center"/>
          </w:tcPr>
          <w:p w14:paraId="5ECFB705" w14:textId="524F0C8D" w:rsidR="00584597" w:rsidRPr="002A78DC" w:rsidRDefault="00584597" w:rsidP="008E1F7B">
            <w:pPr>
              <w:jc w:val="center"/>
              <w:rPr>
                <w:color w:val="000000"/>
              </w:rPr>
            </w:pPr>
            <w:r>
              <w:rPr>
                <w:color w:val="000000"/>
              </w:rPr>
              <w:t>-1.1</w:t>
            </w:r>
            <w:r w:rsidR="002A0CAE">
              <w:rPr>
                <w:color w:val="000000"/>
              </w:rPr>
              <w:t>9</w:t>
            </w:r>
          </w:p>
        </w:tc>
        <w:tc>
          <w:tcPr>
            <w:tcW w:w="2156" w:type="dxa"/>
            <w:tcBorders>
              <w:top w:val="nil"/>
              <w:left w:val="nil"/>
              <w:bottom w:val="nil"/>
              <w:right w:val="nil"/>
            </w:tcBorders>
            <w:vAlign w:val="center"/>
          </w:tcPr>
          <w:p w14:paraId="61AD2224" w14:textId="3DA16DB1" w:rsidR="00584597" w:rsidRPr="002A78DC" w:rsidRDefault="00584597" w:rsidP="008E1F7B">
            <w:pPr>
              <w:jc w:val="center"/>
              <w:rPr>
                <w:color w:val="000000"/>
              </w:rPr>
            </w:pPr>
            <w:r>
              <w:rPr>
                <w:color w:val="000000"/>
              </w:rPr>
              <w:t>-0.3</w:t>
            </w:r>
            <w:r w:rsidR="002A0CAE">
              <w:rPr>
                <w:color w:val="000000"/>
              </w:rPr>
              <w:t>4</w:t>
            </w:r>
          </w:p>
        </w:tc>
      </w:tr>
      <w:tr w:rsidR="00584597" w:rsidRPr="002A78DC" w14:paraId="0D0EF5A4" w14:textId="77777777" w:rsidTr="008E1F7B">
        <w:trPr>
          <w:trHeight w:val="545"/>
        </w:trPr>
        <w:tc>
          <w:tcPr>
            <w:tcW w:w="3019" w:type="dxa"/>
            <w:tcBorders>
              <w:top w:val="nil"/>
              <w:left w:val="nil"/>
              <w:bottom w:val="nil"/>
              <w:right w:val="nil"/>
            </w:tcBorders>
            <w:shd w:val="clear" w:color="auto" w:fill="auto"/>
            <w:noWrap/>
            <w:vAlign w:val="center"/>
            <w:hideMark/>
          </w:tcPr>
          <w:p w14:paraId="09D4411A" w14:textId="77777777" w:rsidR="00584597" w:rsidRPr="00E16F9D" w:rsidRDefault="00584597" w:rsidP="008E1F7B">
            <w:pPr>
              <w:jc w:val="center"/>
              <w:rPr>
                <w:color w:val="000000"/>
              </w:rPr>
            </w:pPr>
            <w:r>
              <w:rPr>
                <w:color w:val="000000"/>
              </w:rPr>
              <w:t>MHC-SF</w:t>
            </w:r>
          </w:p>
        </w:tc>
        <w:tc>
          <w:tcPr>
            <w:tcW w:w="2156" w:type="dxa"/>
            <w:tcBorders>
              <w:top w:val="nil"/>
              <w:left w:val="nil"/>
              <w:bottom w:val="nil"/>
              <w:right w:val="nil"/>
            </w:tcBorders>
            <w:vAlign w:val="center"/>
          </w:tcPr>
          <w:p w14:paraId="612F60BC" w14:textId="77777777" w:rsidR="002A0CAE" w:rsidRDefault="002A0CAE" w:rsidP="008E1F7B">
            <w:pPr>
              <w:jc w:val="center"/>
            </w:pPr>
          </w:p>
          <w:p w14:paraId="2ED24761" w14:textId="74F9EB6D" w:rsidR="00584597" w:rsidRDefault="00584597" w:rsidP="008E1F7B">
            <w:pPr>
              <w:jc w:val="center"/>
            </w:pPr>
            <w:r>
              <w:t>0.18</w:t>
            </w:r>
          </w:p>
          <w:p w14:paraId="54093246" w14:textId="77777777" w:rsidR="00584597" w:rsidRPr="002A78DC" w:rsidRDefault="00584597" w:rsidP="008E1F7B">
            <w:pPr>
              <w:jc w:val="center"/>
            </w:pPr>
          </w:p>
        </w:tc>
        <w:tc>
          <w:tcPr>
            <w:tcW w:w="2156" w:type="dxa"/>
            <w:tcBorders>
              <w:top w:val="nil"/>
              <w:left w:val="nil"/>
              <w:bottom w:val="nil"/>
              <w:right w:val="nil"/>
            </w:tcBorders>
            <w:shd w:val="clear" w:color="auto" w:fill="auto"/>
            <w:noWrap/>
            <w:vAlign w:val="center"/>
            <w:hideMark/>
          </w:tcPr>
          <w:p w14:paraId="7FDA7FB1" w14:textId="77777777" w:rsidR="00584597" w:rsidRPr="002A78DC" w:rsidRDefault="00584597" w:rsidP="008E1F7B">
            <w:pPr>
              <w:jc w:val="center"/>
            </w:pPr>
            <w:r>
              <w:t>-0.29</w:t>
            </w:r>
          </w:p>
        </w:tc>
        <w:tc>
          <w:tcPr>
            <w:tcW w:w="2156" w:type="dxa"/>
            <w:tcBorders>
              <w:top w:val="nil"/>
              <w:left w:val="nil"/>
              <w:bottom w:val="nil"/>
              <w:right w:val="nil"/>
            </w:tcBorders>
            <w:vAlign w:val="center"/>
          </w:tcPr>
          <w:p w14:paraId="7C61A873" w14:textId="32C9A36B" w:rsidR="00584597" w:rsidRPr="002A78DC" w:rsidRDefault="00584597" w:rsidP="008E1F7B">
            <w:pPr>
              <w:jc w:val="center"/>
            </w:pPr>
            <w:r>
              <w:t>0.3</w:t>
            </w:r>
            <w:r w:rsidR="002A0CAE">
              <w:t>7</w:t>
            </w:r>
          </w:p>
        </w:tc>
        <w:tc>
          <w:tcPr>
            <w:tcW w:w="2156" w:type="dxa"/>
            <w:tcBorders>
              <w:top w:val="nil"/>
              <w:left w:val="nil"/>
              <w:bottom w:val="nil"/>
              <w:right w:val="nil"/>
            </w:tcBorders>
            <w:vAlign w:val="center"/>
          </w:tcPr>
          <w:p w14:paraId="49884D6C" w14:textId="7C8F0C38" w:rsidR="00584597" w:rsidRPr="002A78DC" w:rsidRDefault="00584597" w:rsidP="008E1F7B">
            <w:pPr>
              <w:jc w:val="center"/>
            </w:pPr>
            <w:r>
              <w:t>-0.3</w:t>
            </w:r>
            <w:r w:rsidR="002A0CAE">
              <w:t>3</w:t>
            </w:r>
          </w:p>
        </w:tc>
      </w:tr>
      <w:tr w:rsidR="00584597" w:rsidRPr="002A78DC" w14:paraId="0C641277" w14:textId="77777777" w:rsidTr="008E1F7B">
        <w:trPr>
          <w:trHeight w:val="545"/>
        </w:trPr>
        <w:tc>
          <w:tcPr>
            <w:tcW w:w="3019" w:type="dxa"/>
            <w:tcBorders>
              <w:top w:val="nil"/>
              <w:left w:val="nil"/>
              <w:bottom w:val="nil"/>
              <w:right w:val="nil"/>
            </w:tcBorders>
            <w:shd w:val="clear" w:color="auto" w:fill="auto"/>
            <w:noWrap/>
            <w:vAlign w:val="center"/>
            <w:hideMark/>
          </w:tcPr>
          <w:p w14:paraId="11F23A0C" w14:textId="77777777" w:rsidR="00584597" w:rsidRPr="00E16F9D" w:rsidRDefault="00584597" w:rsidP="008E1F7B">
            <w:pPr>
              <w:jc w:val="center"/>
              <w:rPr>
                <w:color w:val="000000"/>
              </w:rPr>
            </w:pPr>
            <w:r>
              <w:rPr>
                <w:color w:val="000000"/>
              </w:rPr>
              <w:t>DASS-21</w:t>
            </w:r>
          </w:p>
        </w:tc>
        <w:tc>
          <w:tcPr>
            <w:tcW w:w="2156" w:type="dxa"/>
            <w:tcBorders>
              <w:top w:val="nil"/>
              <w:left w:val="nil"/>
              <w:bottom w:val="nil"/>
              <w:right w:val="nil"/>
            </w:tcBorders>
            <w:vAlign w:val="center"/>
          </w:tcPr>
          <w:p w14:paraId="14A98AF2" w14:textId="16D4C412" w:rsidR="00584597" w:rsidRPr="002A78DC" w:rsidRDefault="00584597" w:rsidP="008E1F7B">
            <w:pPr>
              <w:jc w:val="center"/>
              <w:rPr>
                <w:color w:val="000000"/>
              </w:rPr>
            </w:pPr>
            <w:r>
              <w:rPr>
                <w:color w:val="000000"/>
              </w:rPr>
              <w:t>-0.6</w:t>
            </w:r>
            <w:r w:rsidR="002A0CAE">
              <w:rPr>
                <w:color w:val="000000"/>
              </w:rPr>
              <w:t>7</w:t>
            </w:r>
          </w:p>
        </w:tc>
        <w:tc>
          <w:tcPr>
            <w:tcW w:w="2156" w:type="dxa"/>
            <w:tcBorders>
              <w:top w:val="nil"/>
              <w:left w:val="nil"/>
              <w:bottom w:val="nil"/>
              <w:right w:val="nil"/>
            </w:tcBorders>
            <w:shd w:val="clear" w:color="auto" w:fill="auto"/>
            <w:noWrap/>
            <w:vAlign w:val="center"/>
            <w:hideMark/>
          </w:tcPr>
          <w:p w14:paraId="47441C50" w14:textId="7B72A699" w:rsidR="00584597" w:rsidRPr="002A78DC" w:rsidRDefault="00584597" w:rsidP="008E1F7B">
            <w:pPr>
              <w:jc w:val="center"/>
              <w:rPr>
                <w:color w:val="000000"/>
              </w:rPr>
            </w:pPr>
            <w:r>
              <w:rPr>
                <w:color w:val="000000"/>
              </w:rPr>
              <w:t>-0.23</w:t>
            </w:r>
          </w:p>
        </w:tc>
        <w:tc>
          <w:tcPr>
            <w:tcW w:w="2156" w:type="dxa"/>
            <w:tcBorders>
              <w:top w:val="nil"/>
              <w:left w:val="nil"/>
              <w:bottom w:val="nil"/>
              <w:right w:val="nil"/>
            </w:tcBorders>
            <w:vAlign w:val="center"/>
          </w:tcPr>
          <w:p w14:paraId="1AFEFDF5" w14:textId="786E4765" w:rsidR="00584597" w:rsidRPr="002A78DC" w:rsidRDefault="00584597" w:rsidP="008E1F7B">
            <w:pPr>
              <w:jc w:val="center"/>
              <w:rPr>
                <w:color w:val="000000"/>
              </w:rPr>
            </w:pPr>
            <w:r>
              <w:rPr>
                <w:color w:val="000000"/>
              </w:rPr>
              <w:t>-0.61</w:t>
            </w:r>
          </w:p>
        </w:tc>
        <w:tc>
          <w:tcPr>
            <w:tcW w:w="2156" w:type="dxa"/>
            <w:tcBorders>
              <w:top w:val="nil"/>
              <w:left w:val="nil"/>
              <w:bottom w:val="nil"/>
              <w:right w:val="nil"/>
            </w:tcBorders>
            <w:vAlign w:val="center"/>
          </w:tcPr>
          <w:p w14:paraId="43617220" w14:textId="39B5EBCC" w:rsidR="00584597" w:rsidRPr="002A78DC" w:rsidRDefault="00584597" w:rsidP="008E1F7B">
            <w:pPr>
              <w:jc w:val="center"/>
              <w:rPr>
                <w:color w:val="000000"/>
              </w:rPr>
            </w:pPr>
            <w:r>
              <w:rPr>
                <w:color w:val="000000"/>
              </w:rPr>
              <w:t>-0.27</w:t>
            </w:r>
          </w:p>
        </w:tc>
      </w:tr>
      <w:tr w:rsidR="00584597" w:rsidRPr="002A78DC" w14:paraId="064E1116" w14:textId="77777777" w:rsidTr="008E1F7B">
        <w:trPr>
          <w:trHeight w:val="545"/>
        </w:trPr>
        <w:tc>
          <w:tcPr>
            <w:tcW w:w="3019" w:type="dxa"/>
            <w:tcBorders>
              <w:top w:val="nil"/>
              <w:left w:val="nil"/>
              <w:right w:val="nil"/>
            </w:tcBorders>
            <w:shd w:val="clear" w:color="auto" w:fill="auto"/>
            <w:noWrap/>
            <w:vAlign w:val="center"/>
            <w:hideMark/>
          </w:tcPr>
          <w:p w14:paraId="762514BA" w14:textId="77777777" w:rsidR="00584597" w:rsidRPr="00E16F9D" w:rsidRDefault="00584597" w:rsidP="008E1F7B">
            <w:pPr>
              <w:jc w:val="center"/>
              <w:rPr>
                <w:color w:val="000000"/>
              </w:rPr>
            </w:pPr>
            <w:r>
              <w:rPr>
                <w:color w:val="000000"/>
              </w:rPr>
              <w:t>DASS-21 Stress</w:t>
            </w:r>
          </w:p>
        </w:tc>
        <w:tc>
          <w:tcPr>
            <w:tcW w:w="2156" w:type="dxa"/>
            <w:tcBorders>
              <w:top w:val="nil"/>
              <w:left w:val="nil"/>
              <w:right w:val="nil"/>
            </w:tcBorders>
            <w:vAlign w:val="center"/>
          </w:tcPr>
          <w:p w14:paraId="079917F0" w14:textId="77777777" w:rsidR="00584597" w:rsidRDefault="00584597" w:rsidP="008E1F7B">
            <w:pPr>
              <w:jc w:val="center"/>
              <w:rPr>
                <w:color w:val="000000"/>
              </w:rPr>
            </w:pPr>
          </w:p>
          <w:p w14:paraId="1738091D" w14:textId="1323BF90" w:rsidR="00584597" w:rsidRDefault="00584597" w:rsidP="008E1F7B">
            <w:pPr>
              <w:jc w:val="center"/>
              <w:rPr>
                <w:color w:val="000000"/>
              </w:rPr>
            </w:pPr>
            <w:r>
              <w:rPr>
                <w:color w:val="000000"/>
              </w:rPr>
              <w:t>-0.</w:t>
            </w:r>
            <w:r w:rsidR="002A0CAE">
              <w:rPr>
                <w:color w:val="000000"/>
              </w:rPr>
              <w:t>70</w:t>
            </w:r>
          </w:p>
          <w:p w14:paraId="5BC2567B" w14:textId="77777777" w:rsidR="00584597" w:rsidRPr="002A78DC" w:rsidRDefault="00584597" w:rsidP="008E1F7B">
            <w:pPr>
              <w:jc w:val="center"/>
              <w:rPr>
                <w:color w:val="000000"/>
              </w:rPr>
            </w:pPr>
          </w:p>
        </w:tc>
        <w:tc>
          <w:tcPr>
            <w:tcW w:w="2156" w:type="dxa"/>
            <w:tcBorders>
              <w:top w:val="nil"/>
              <w:left w:val="nil"/>
              <w:right w:val="nil"/>
            </w:tcBorders>
            <w:shd w:val="clear" w:color="auto" w:fill="auto"/>
            <w:noWrap/>
            <w:vAlign w:val="center"/>
            <w:hideMark/>
          </w:tcPr>
          <w:p w14:paraId="497C8852" w14:textId="5D78B19B" w:rsidR="00584597" w:rsidRPr="002A78DC" w:rsidRDefault="00584597" w:rsidP="008E1F7B">
            <w:pPr>
              <w:jc w:val="center"/>
              <w:rPr>
                <w:color w:val="000000"/>
              </w:rPr>
            </w:pPr>
            <w:r>
              <w:rPr>
                <w:color w:val="000000"/>
              </w:rPr>
              <w:t>-0.12</w:t>
            </w:r>
          </w:p>
        </w:tc>
        <w:tc>
          <w:tcPr>
            <w:tcW w:w="2156" w:type="dxa"/>
            <w:tcBorders>
              <w:top w:val="nil"/>
              <w:left w:val="nil"/>
              <w:right w:val="nil"/>
            </w:tcBorders>
            <w:vAlign w:val="center"/>
          </w:tcPr>
          <w:p w14:paraId="4986913F" w14:textId="7A426D48" w:rsidR="00584597" w:rsidRPr="002A78DC" w:rsidRDefault="00584597" w:rsidP="008E1F7B">
            <w:pPr>
              <w:jc w:val="center"/>
              <w:rPr>
                <w:color w:val="000000"/>
              </w:rPr>
            </w:pPr>
            <w:r>
              <w:rPr>
                <w:color w:val="000000"/>
              </w:rPr>
              <w:t>-0.67</w:t>
            </w:r>
          </w:p>
        </w:tc>
        <w:tc>
          <w:tcPr>
            <w:tcW w:w="2156" w:type="dxa"/>
            <w:tcBorders>
              <w:top w:val="nil"/>
              <w:left w:val="nil"/>
              <w:right w:val="nil"/>
            </w:tcBorders>
            <w:vAlign w:val="center"/>
          </w:tcPr>
          <w:p w14:paraId="4A7F0776" w14:textId="61676B86" w:rsidR="00584597" w:rsidRPr="002A78DC" w:rsidRDefault="00584597" w:rsidP="008E1F7B">
            <w:pPr>
              <w:jc w:val="center"/>
              <w:rPr>
                <w:color w:val="000000"/>
              </w:rPr>
            </w:pPr>
            <w:r>
              <w:rPr>
                <w:color w:val="000000"/>
              </w:rPr>
              <w:t>0.1</w:t>
            </w:r>
            <w:r w:rsidR="002A0CAE">
              <w:rPr>
                <w:color w:val="000000"/>
              </w:rPr>
              <w:t>9</w:t>
            </w:r>
          </w:p>
        </w:tc>
      </w:tr>
      <w:tr w:rsidR="00584597" w:rsidRPr="002A78DC" w14:paraId="61E147C6" w14:textId="77777777" w:rsidTr="008E1F7B">
        <w:trPr>
          <w:trHeight w:val="545"/>
        </w:trPr>
        <w:tc>
          <w:tcPr>
            <w:tcW w:w="3019" w:type="dxa"/>
            <w:tcBorders>
              <w:top w:val="nil"/>
              <w:left w:val="nil"/>
              <w:bottom w:val="single" w:sz="4" w:space="0" w:color="auto"/>
              <w:right w:val="nil"/>
            </w:tcBorders>
            <w:shd w:val="clear" w:color="auto" w:fill="auto"/>
            <w:noWrap/>
            <w:vAlign w:val="center"/>
            <w:hideMark/>
          </w:tcPr>
          <w:p w14:paraId="7BF23CF3" w14:textId="77777777" w:rsidR="00584597" w:rsidRDefault="00584597" w:rsidP="008E1F7B">
            <w:pPr>
              <w:jc w:val="center"/>
              <w:rPr>
                <w:color w:val="000000"/>
              </w:rPr>
            </w:pPr>
            <w:r>
              <w:rPr>
                <w:color w:val="000000"/>
              </w:rPr>
              <w:t>DASS-21 Depression</w:t>
            </w:r>
          </w:p>
          <w:p w14:paraId="17192CD1" w14:textId="77777777" w:rsidR="00584597" w:rsidRDefault="00584597" w:rsidP="008E1F7B">
            <w:pPr>
              <w:jc w:val="center"/>
              <w:rPr>
                <w:color w:val="000000"/>
              </w:rPr>
            </w:pPr>
          </w:p>
          <w:p w14:paraId="3BD90F30" w14:textId="77777777" w:rsidR="00584597" w:rsidRPr="002A78DC" w:rsidRDefault="00584597" w:rsidP="008E1F7B">
            <w:pPr>
              <w:jc w:val="center"/>
              <w:rPr>
                <w:color w:val="000000"/>
              </w:rPr>
            </w:pPr>
            <w:r>
              <w:rPr>
                <w:color w:val="000000"/>
              </w:rPr>
              <w:t>DASS-21 Anxiety</w:t>
            </w:r>
          </w:p>
        </w:tc>
        <w:tc>
          <w:tcPr>
            <w:tcW w:w="2156" w:type="dxa"/>
            <w:tcBorders>
              <w:top w:val="nil"/>
              <w:left w:val="nil"/>
              <w:bottom w:val="single" w:sz="4" w:space="0" w:color="auto"/>
              <w:right w:val="nil"/>
            </w:tcBorders>
            <w:vAlign w:val="center"/>
          </w:tcPr>
          <w:p w14:paraId="1128864C" w14:textId="5794E3FF" w:rsidR="00584597" w:rsidRDefault="00584597" w:rsidP="008E1F7B">
            <w:pPr>
              <w:jc w:val="center"/>
            </w:pPr>
            <w:r>
              <w:t>-0.31</w:t>
            </w:r>
          </w:p>
          <w:p w14:paraId="5AB4CDA0" w14:textId="77777777" w:rsidR="00584597" w:rsidRDefault="00584597" w:rsidP="008E1F7B">
            <w:pPr>
              <w:jc w:val="center"/>
            </w:pPr>
          </w:p>
          <w:p w14:paraId="65415FEB" w14:textId="05FB9232" w:rsidR="00584597" w:rsidRPr="002A78DC" w:rsidRDefault="00584597" w:rsidP="008E1F7B">
            <w:pPr>
              <w:jc w:val="center"/>
            </w:pPr>
            <w:r>
              <w:t>-.59</w:t>
            </w:r>
          </w:p>
        </w:tc>
        <w:tc>
          <w:tcPr>
            <w:tcW w:w="2156" w:type="dxa"/>
            <w:tcBorders>
              <w:top w:val="nil"/>
              <w:left w:val="nil"/>
              <w:bottom w:val="single" w:sz="4" w:space="0" w:color="auto"/>
              <w:right w:val="nil"/>
            </w:tcBorders>
            <w:shd w:val="clear" w:color="auto" w:fill="auto"/>
            <w:noWrap/>
            <w:vAlign w:val="center"/>
            <w:hideMark/>
          </w:tcPr>
          <w:p w14:paraId="1809B0B0" w14:textId="1F243280" w:rsidR="00584597" w:rsidRDefault="00584597" w:rsidP="008E1F7B">
            <w:pPr>
              <w:jc w:val="center"/>
            </w:pPr>
            <w:r>
              <w:t>-0.5</w:t>
            </w:r>
            <w:r w:rsidR="002A0CAE">
              <w:t>8</w:t>
            </w:r>
          </w:p>
          <w:p w14:paraId="46CBFC25" w14:textId="77777777" w:rsidR="00584597" w:rsidRDefault="00584597" w:rsidP="008E1F7B">
            <w:pPr>
              <w:jc w:val="center"/>
            </w:pPr>
          </w:p>
          <w:p w14:paraId="1A94F7BA" w14:textId="4AB22407" w:rsidR="00584597" w:rsidRPr="002A78DC" w:rsidRDefault="00584597" w:rsidP="008E1F7B">
            <w:pPr>
              <w:jc w:val="center"/>
            </w:pPr>
            <w:r>
              <w:t>0.03</w:t>
            </w:r>
          </w:p>
        </w:tc>
        <w:tc>
          <w:tcPr>
            <w:tcW w:w="2156" w:type="dxa"/>
            <w:tcBorders>
              <w:top w:val="nil"/>
              <w:left w:val="nil"/>
              <w:bottom w:val="single" w:sz="4" w:space="0" w:color="auto"/>
              <w:right w:val="nil"/>
            </w:tcBorders>
            <w:vAlign w:val="center"/>
          </w:tcPr>
          <w:p w14:paraId="5FF05DB4" w14:textId="2F1CFDFB" w:rsidR="00584597" w:rsidRDefault="00584597" w:rsidP="008E1F7B">
            <w:pPr>
              <w:jc w:val="center"/>
            </w:pPr>
            <w:r>
              <w:t>-0.2</w:t>
            </w:r>
            <w:r w:rsidR="002A0CAE">
              <w:t>2</w:t>
            </w:r>
          </w:p>
          <w:p w14:paraId="2347B901" w14:textId="77777777" w:rsidR="00584597" w:rsidRDefault="00584597" w:rsidP="008E1F7B">
            <w:pPr>
              <w:jc w:val="center"/>
            </w:pPr>
          </w:p>
          <w:p w14:paraId="11912373" w14:textId="06484D12" w:rsidR="00584597" w:rsidRPr="002A78DC" w:rsidRDefault="00584597" w:rsidP="008E1F7B">
            <w:pPr>
              <w:jc w:val="center"/>
            </w:pPr>
            <w:r>
              <w:t>-.55</w:t>
            </w:r>
          </w:p>
        </w:tc>
        <w:tc>
          <w:tcPr>
            <w:tcW w:w="2156" w:type="dxa"/>
            <w:tcBorders>
              <w:top w:val="nil"/>
              <w:left w:val="nil"/>
              <w:bottom w:val="single" w:sz="4" w:space="0" w:color="auto"/>
              <w:right w:val="nil"/>
            </w:tcBorders>
            <w:vAlign w:val="center"/>
          </w:tcPr>
          <w:p w14:paraId="08099C37" w14:textId="1EC15893" w:rsidR="00584597" w:rsidRDefault="00584597" w:rsidP="008E1F7B">
            <w:pPr>
              <w:jc w:val="center"/>
            </w:pPr>
            <w:r>
              <w:t>-0.5</w:t>
            </w:r>
            <w:r w:rsidR="002A0CAE">
              <w:t>2</w:t>
            </w:r>
          </w:p>
          <w:p w14:paraId="73BAAE9D" w14:textId="77777777" w:rsidR="00584597" w:rsidRDefault="00584597" w:rsidP="008E1F7B">
            <w:pPr>
              <w:jc w:val="center"/>
            </w:pPr>
          </w:p>
          <w:p w14:paraId="5BC9A58F" w14:textId="77777777" w:rsidR="00584597" w:rsidRPr="002A78DC" w:rsidRDefault="00584597" w:rsidP="008E1F7B">
            <w:pPr>
              <w:jc w:val="center"/>
            </w:pPr>
            <w:r>
              <w:t>0.12</w:t>
            </w:r>
          </w:p>
        </w:tc>
      </w:tr>
    </w:tbl>
    <w:p w14:paraId="1A8B5531" w14:textId="18DC8E6D" w:rsidR="00584597" w:rsidRDefault="00584597" w:rsidP="00584597">
      <w:pPr>
        <w:rPr>
          <w:color w:val="000000"/>
        </w:rPr>
      </w:pPr>
      <w:r w:rsidRPr="002A78DC">
        <w:rPr>
          <w:color w:val="000000"/>
          <w:vertAlign w:val="superscript"/>
        </w:rPr>
        <w:t xml:space="preserve">1 </w:t>
      </w:r>
      <w:r w:rsidR="00694A21">
        <w:rPr>
          <w:color w:val="000000"/>
        </w:rPr>
        <w:t>Effect sizes calculated w</w:t>
      </w:r>
      <w:r>
        <w:rPr>
          <w:color w:val="000000"/>
        </w:rPr>
        <w:t xml:space="preserve">ithin treatment </w:t>
      </w:r>
      <w:r w:rsidR="00694A21">
        <w:rPr>
          <w:color w:val="000000"/>
        </w:rPr>
        <w:t>condition only.</w:t>
      </w:r>
    </w:p>
    <w:p w14:paraId="6E4FFF9B" w14:textId="77777777" w:rsidR="00584597" w:rsidRDefault="00584597" w:rsidP="00584597">
      <w:r w:rsidRPr="002A78DC">
        <w:rPr>
          <w:i/>
          <w:iCs/>
        </w:rPr>
        <w:t>Note.</w:t>
      </w:r>
      <w:r w:rsidRPr="002A78DC">
        <w:t xml:space="preserve"> </w:t>
      </w:r>
      <w:r>
        <w:t xml:space="preserve">AAQ-TTM = </w:t>
      </w:r>
      <w:r>
        <w:rPr>
          <w:bCs/>
        </w:rPr>
        <w:t>Acceptance and Action Questionnaire- Trichotillomania</w:t>
      </w:r>
      <w:r>
        <w:t xml:space="preserve">, MGH-HPS = Massachusetts General Hospital- Hair Pulling </w:t>
      </w:r>
      <w:proofErr w:type="gramStart"/>
      <w:r>
        <w:t>Scale,  MHC</w:t>
      </w:r>
      <w:proofErr w:type="gramEnd"/>
      <w:r>
        <w:t>-SF= Mental Health Continuum Short Form, DASS-21 = Depression, Anxiety, Stress Scale- 21 Items, DASS-21 Stress = DASS-21 Stress subscale, DASS-21 Depression= DASS-21 Depression subscale, DASS-21 Anxiety= DASS-21 Anxiety subscale</w:t>
      </w:r>
    </w:p>
    <w:p w14:paraId="0E0DD01A" w14:textId="77777777" w:rsidR="00584597" w:rsidRDefault="00584597" w:rsidP="00584597">
      <w:pPr>
        <w:spacing w:line="480" w:lineRule="auto"/>
      </w:pPr>
    </w:p>
    <w:p w14:paraId="53C2254D" w14:textId="77777777" w:rsidR="00584597" w:rsidRDefault="00584597" w:rsidP="00584597">
      <w:pPr>
        <w:spacing w:line="480" w:lineRule="auto"/>
        <w:sectPr w:rsidR="00584597" w:rsidSect="008E1F7B">
          <w:pgSz w:w="15840" w:h="12240" w:orient="landscape"/>
          <w:pgMar w:top="1440" w:right="1440" w:bottom="1440" w:left="1440" w:header="720" w:footer="720" w:gutter="0"/>
          <w:cols w:space="720"/>
          <w:docGrid w:linePitch="360"/>
        </w:sectPr>
      </w:pPr>
    </w:p>
    <w:p w14:paraId="390DFDFF" w14:textId="77777777" w:rsidR="006E27BF" w:rsidRDefault="00584597" w:rsidP="00584597">
      <w:r w:rsidRPr="009B7C83">
        <w:lastRenderedPageBreak/>
        <w:t xml:space="preserve">Table 4 </w:t>
      </w:r>
    </w:p>
    <w:p w14:paraId="72831DFE" w14:textId="77777777" w:rsidR="006E27BF" w:rsidRDefault="006E27BF" w:rsidP="00584597"/>
    <w:p w14:paraId="5A1DD2DD" w14:textId="787ADA3C" w:rsidR="00584597" w:rsidRPr="009B7C83" w:rsidRDefault="00584597" w:rsidP="00584597">
      <w:r w:rsidRPr="009B7C83">
        <w:t xml:space="preserve">Estimated </w:t>
      </w:r>
      <w:r w:rsidR="00AE5EF1">
        <w:t>M</w:t>
      </w:r>
      <w:r w:rsidRPr="009B7C83">
        <w:t xml:space="preserve">arginal </w:t>
      </w:r>
      <w:r w:rsidR="00AE5EF1">
        <w:t>M</w:t>
      </w:r>
      <w:r w:rsidRPr="009B7C83">
        <w:t xml:space="preserve">eans and 95% </w:t>
      </w:r>
      <w:r w:rsidR="00AE5EF1">
        <w:t>C</w:t>
      </w:r>
      <w:r w:rsidRPr="009B7C83">
        <w:t xml:space="preserve">onfidence </w:t>
      </w:r>
      <w:r w:rsidR="00AE5EF1">
        <w:t>I</w:t>
      </w:r>
      <w:r w:rsidRPr="009B7C83">
        <w:t xml:space="preserve">ntervals from </w:t>
      </w:r>
      <w:r w:rsidR="00AE5EF1">
        <w:t>B</w:t>
      </w:r>
      <w:r w:rsidRPr="009B7C83">
        <w:t>est-</w:t>
      </w:r>
      <w:r w:rsidR="00AE5EF1">
        <w:t>F</w:t>
      </w:r>
      <w:r w:rsidRPr="009B7C83">
        <w:t xml:space="preserve">itting </w:t>
      </w:r>
      <w:r w:rsidR="00AE5EF1">
        <w:t>M</w:t>
      </w:r>
      <w:r w:rsidRPr="009B7C83">
        <w:t xml:space="preserve">ultilevel </w:t>
      </w:r>
      <w:r w:rsidR="00AE5EF1">
        <w:t>M</w:t>
      </w:r>
      <w:r w:rsidRPr="009B7C83">
        <w:t>odels</w:t>
      </w:r>
    </w:p>
    <w:tbl>
      <w:tblPr>
        <w:tblpPr w:leftFromText="180" w:rightFromText="180" w:vertAnchor="text" w:tblpY="1"/>
        <w:tblOverlap w:val="never"/>
        <w:tblW w:w="9059" w:type="dxa"/>
        <w:tblBorders>
          <w:top w:val="single" w:sz="12" w:space="0" w:color="000000"/>
        </w:tblBorders>
        <w:tblCellMar>
          <w:top w:w="15" w:type="dxa"/>
          <w:left w:w="15" w:type="dxa"/>
          <w:bottom w:w="15" w:type="dxa"/>
          <w:right w:w="15" w:type="dxa"/>
        </w:tblCellMar>
        <w:tblLook w:val="04A0" w:firstRow="1" w:lastRow="0" w:firstColumn="1" w:lastColumn="0" w:noHBand="0" w:noVBand="1"/>
      </w:tblPr>
      <w:tblGrid>
        <w:gridCol w:w="1450"/>
        <w:gridCol w:w="1138"/>
        <w:gridCol w:w="930"/>
        <w:gridCol w:w="1094"/>
        <w:gridCol w:w="1238"/>
        <w:gridCol w:w="966"/>
        <w:gridCol w:w="1284"/>
        <w:gridCol w:w="959"/>
      </w:tblGrid>
      <w:tr w:rsidR="00584597" w:rsidRPr="000D4679" w14:paraId="41677308" w14:textId="77777777" w:rsidTr="0082371C">
        <w:trPr>
          <w:trHeight w:val="572"/>
          <w:tblHeader/>
        </w:trPr>
        <w:tc>
          <w:tcPr>
            <w:tcW w:w="0" w:type="auto"/>
            <w:gridSpan w:val="8"/>
            <w:tcBorders>
              <w:top w:val="nil"/>
              <w:left w:val="nil"/>
              <w:bottom w:val="nil"/>
              <w:right w:val="nil"/>
            </w:tcBorders>
            <w:tcMar>
              <w:top w:w="15" w:type="dxa"/>
              <w:left w:w="75" w:type="dxa"/>
              <w:bottom w:w="15" w:type="dxa"/>
              <w:right w:w="75" w:type="dxa"/>
            </w:tcMar>
            <w:vAlign w:val="center"/>
            <w:hideMark/>
          </w:tcPr>
          <w:p w14:paraId="452F4499" w14:textId="77777777" w:rsidR="00584597" w:rsidRPr="000D4679" w:rsidRDefault="00584597" w:rsidP="0082371C">
            <w:pPr>
              <w:spacing w:before="150" w:after="150"/>
              <w:jc w:val="center"/>
              <w:rPr>
                <w:color w:val="000000"/>
              </w:rPr>
            </w:pPr>
          </w:p>
        </w:tc>
      </w:tr>
      <w:tr w:rsidR="001E6F32" w:rsidRPr="000D4679" w14:paraId="4968432A" w14:textId="77777777" w:rsidTr="0082371C">
        <w:trPr>
          <w:trHeight w:val="1145"/>
          <w:tblHeader/>
        </w:trPr>
        <w:tc>
          <w:tcPr>
            <w:tcW w:w="0" w:type="auto"/>
            <w:tcBorders>
              <w:top w:val="nil"/>
              <w:bottom w:val="single" w:sz="4" w:space="0" w:color="auto"/>
            </w:tcBorders>
            <w:tcMar>
              <w:top w:w="15" w:type="dxa"/>
              <w:left w:w="75" w:type="dxa"/>
              <w:bottom w:w="15" w:type="dxa"/>
              <w:right w:w="75" w:type="dxa"/>
            </w:tcMar>
            <w:vAlign w:val="center"/>
            <w:hideMark/>
          </w:tcPr>
          <w:p w14:paraId="38B4BE64" w14:textId="77777777" w:rsidR="00584597" w:rsidRPr="000D4679" w:rsidRDefault="00584597" w:rsidP="0082371C">
            <w:pPr>
              <w:spacing w:before="150" w:after="150"/>
              <w:jc w:val="center"/>
              <w:rPr>
                <w:b/>
                <w:bCs/>
                <w:color w:val="000000"/>
              </w:rPr>
            </w:pPr>
            <w:r w:rsidRPr="000D4679">
              <w:rPr>
                <w:b/>
                <w:bCs/>
                <w:color w:val="000000"/>
              </w:rPr>
              <w:t> </w:t>
            </w:r>
          </w:p>
        </w:tc>
        <w:tc>
          <w:tcPr>
            <w:tcW w:w="1138" w:type="dxa"/>
            <w:tcBorders>
              <w:top w:val="nil"/>
              <w:bottom w:val="single" w:sz="4" w:space="0" w:color="auto"/>
            </w:tcBorders>
            <w:tcMar>
              <w:top w:w="15" w:type="dxa"/>
              <w:left w:w="75" w:type="dxa"/>
              <w:bottom w:w="15" w:type="dxa"/>
              <w:right w:w="75" w:type="dxa"/>
            </w:tcMar>
            <w:vAlign w:val="center"/>
            <w:hideMark/>
          </w:tcPr>
          <w:p w14:paraId="08F8DCEC" w14:textId="77777777" w:rsidR="00584597" w:rsidRPr="000D4679" w:rsidRDefault="00584597" w:rsidP="0082371C">
            <w:pPr>
              <w:spacing w:before="150" w:after="150"/>
              <w:jc w:val="center"/>
              <w:rPr>
                <w:b/>
                <w:bCs/>
                <w:color w:val="000000"/>
              </w:rPr>
            </w:pPr>
            <w:r w:rsidRPr="000D4679">
              <w:rPr>
                <w:b/>
                <w:bCs/>
                <w:color w:val="000000"/>
              </w:rPr>
              <w:t>AAQ-TTM</w:t>
            </w:r>
          </w:p>
        </w:tc>
        <w:tc>
          <w:tcPr>
            <w:tcW w:w="930" w:type="dxa"/>
            <w:tcBorders>
              <w:top w:val="nil"/>
              <w:bottom w:val="single" w:sz="4" w:space="0" w:color="auto"/>
            </w:tcBorders>
            <w:tcMar>
              <w:top w:w="15" w:type="dxa"/>
              <w:left w:w="75" w:type="dxa"/>
              <w:bottom w:w="15" w:type="dxa"/>
              <w:right w:w="75" w:type="dxa"/>
            </w:tcMar>
            <w:vAlign w:val="center"/>
            <w:hideMark/>
          </w:tcPr>
          <w:p w14:paraId="4E3FEE00" w14:textId="77777777" w:rsidR="00584597" w:rsidRPr="000D4679" w:rsidRDefault="00584597" w:rsidP="0082371C">
            <w:pPr>
              <w:spacing w:before="150" w:after="150"/>
              <w:jc w:val="center"/>
              <w:rPr>
                <w:b/>
                <w:bCs/>
                <w:color w:val="000000"/>
              </w:rPr>
            </w:pPr>
            <w:r w:rsidRPr="000D4679">
              <w:rPr>
                <w:b/>
                <w:bCs/>
                <w:color w:val="000000"/>
              </w:rPr>
              <w:t>MGH-HPS</w:t>
            </w:r>
          </w:p>
        </w:tc>
        <w:tc>
          <w:tcPr>
            <w:tcW w:w="0" w:type="auto"/>
            <w:tcBorders>
              <w:top w:val="nil"/>
              <w:bottom w:val="single" w:sz="4" w:space="0" w:color="auto"/>
            </w:tcBorders>
            <w:tcMar>
              <w:top w:w="15" w:type="dxa"/>
              <w:left w:w="75" w:type="dxa"/>
              <w:bottom w:w="15" w:type="dxa"/>
              <w:right w:w="75" w:type="dxa"/>
            </w:tcMar>
            <w:vAlign w:val="center"/>
            <w:hideMark/>
          </w:tcPr>
          <w:p w14:paraId="059A4C8C" w14:textId="77777777" w:rsidR="00584597" w:rsidRPr="000D4679" w:rsidRDefault="00584597" w:rsidP="0082371C">
            <w:pPr>
              <w:spacing w:before="150" w:after="150"/>
              <w:jc w:val="center"/>
              <w:rPr>
                <w:b/>
                <w:bCs/>
                <w:color w:val="000000"/>
              </w:rPr>
            </w:pPr>
            <w:r w:rsidRPr="000D4679">
              <w:rPr>
                <w:b/>
                <w:bCs/>
                <w:color w:val="000000"/>
              </w:rPr>
              <w:t>MHC-SF</w:t>
            </w:r>
          </w:p>
        </w:tc>
        <w:tc>
          <w:tcPr>
            <w:tcW w:w="1238" w:type="dxa"/>
            <w:tcBorders>
              <w:top w:val="nil"/>
              <w:bottom w:val="single" w:sz="4" w:space="0" w:color="auto"/>
            </w:tcBorders>
            <w:tcMar>
              <w:top w:w="15" w:type="dxa"/>
              <w:left w:w="75" w:type="dxa"/>
              <w:bottom w:w="15" w:type="dxa"/>
              <w:right w:w="75" w:type="dxa"/>
            </w:tcMar>
            <w:vAlign w:val="center"/>
            <w:hideMark/>
          </w:tcPr>
          <w:p w14:paraId="0B774279" w14:textId="77777777" w:rsidR="00584597" w:rsidRPr="000D4679" w:rsidRDefault="00584597" w:rsidP="0082371C">
            <w:pPr>
              <w:spacing w:before="150" w:after="150"/>
              <w:jc w:val="center"/>
              <w:rPr>
                <w:b/>
                <w:bCs/>
                <w:color w:val="000000"/>
              </w:rPr>
            </w:pPr>
            <w:r w:rsidRPr="000D4679">
              <w:rPr>
                <w:b/>
                <w:bCs/>
                <w:color w:val="000000"/>
              </w:rPr>
              <w:t>DASS-21 Total</w:t>
            </w:r>
          </w:p>
        </w:tc>
        <w:tc>
          <w:tcPr>
            <w:tcW w:w="966" w:type="dxa"/>
            <w:tcBorders>
              <w:top w:val="nil"/>
              <w:bottom w:val="single" w:sz="4" w:space="0" w:color="auto"/>
            </w:tcBorders>
            <w:tcMar>
              <w:top w:w="15" w:type="dxa"/>
              <w:left w:w="75" w:type="dxa"/>
              <w:bottom w:w="15" w:type="dxa"/>
              <w:right w:w="75" w:type="dxa"/>
            </w:tcMar>
            <w:vAlign w:val="center"/>
            <w:hideMark/>
          </w:tcPr>
          <w:p w14:paraId="793DC47D" w14:textId="77777777" w:rsidR="00584597" w:rsidRPr="000D4679" w:rsidRDefault="00584597" w:rsidP="0082371C">
            <w:pPr>
              <w:spacing w:before="150" w:after="150"/>
              <w:jc w:val="center"/>
              <w:rPr>
                <w:b/>
                <w:bCs/>
                <w:color w:val="000000"/>
              </w:rPr>
            </w:pPr>
            <w:r w:rsidRPr="000D4679">
              <w:rPr>
                <w:b/>
                <w:bCs/>
                <w:color w:val="000000"/>
              </w:rPr>
              <w:t>DASS-21 Stress</w:t>
            </w:r>
          </w:p>
        </w:tc>
        <w:tc>
          <w:tcPr>
            <w:tcW w:w="1284" w:type="dxa"/>
            <w:tcBorders>
              <w:top w:val="nil"/>
              <w:bottom w:val="single" w:sz="4" w:space="0" w:color="auto"/>
            </w:tcBorders>
            <w:tcMar>
              <w:top w:w="15" w:type="dxa"/>
              <w:left w:w="75" w:type="dxa"/>
              <w:bottom w:w="15" w:type="dxa"/>
              <w:right w:w="75" w:type="dxa"/>
            </w:tcMar>
            <w:vAlign w:val="center"/>
            <w:hideMark/>
          </w:tcPr>
          <w:p w14:paraId="51A7F9E0" w14:textId="77777777" w:rsidR="00584597" w:rsidRPr="000D4679" w:rsidRDefault="00584597" w:rsidP="0082371C">
            <w:pPr>
              <w:spacing w:before="150" w:after="150"/>
              <w:jc w:val="center"/>
              <w:rPr>
                <w:b/>
                <w:bCs/>
                <w:color w:val="000000"/>
              </w:rPr>
            </w:pPr>
            <w:r w:rsidRPr="000D4679">
              <w:rPr>
                <w:b/>
                <w:bCs/>
                <w:color w:val="000000"/>
              </w:rPr>
              <w:t>DASS-21 Depression</w:t>
            </w:r>
          </w:p>
        </w:tc>
        <w:tc>
          <w:tcPr>
            <w:tcW w:w="959" w:type="dxa"/>
            <w:tcBorders>
              <w:top w:val="nil"/>
              <w:bottom w:val="single" w:sz="4" w:space="0" w:color="auto"/>
            </w:tcBorders>
            <w:tcMar>
              <w:top w:w="15" w:type="dxa"/>
              <w:left w:w="75" w:type="dxa"/>
              <w:bottom w:w="15" w:type="dxa"/>
              <w:right w:w="75" w:type="dxa"/>
            </w:tcMar>
            <w:vAlign w:val="center"/>
            <w:hideMark/>
          </w:tcPr>
          <w:p w14:paraId="3429F9FE" w14:textId="77777777" w:rsidR="00584597" w:rsidRPr="000D4679" w:rsidRDefault="00584597" w:rsidP="0082371C">
            <w:pPr>
              <w:spacing w:before="150" w:after="150"/>
              <w:jc w:val="center"/>
              <w:rPr>
                <w:b/>
                <w:bCs/>
                <w:color w:val="000000"/>
              </w:rPr>
            </w:pPr>
            <w:r w:rsidRPr="000D4679">
              <w:rPr>
                <w:b/>
                <w:bCs/>
                <w:color w:val="000000"/>
              </w:rPr>
              <w:t>DASS-21 Anxiety</w:t>
            </w:r>
          </w:p>
        </w:tc>
      </w:tr>
      <w:tr w:rsidR="001E6F32" w:rsidRPr="000D4679" w14:paraId="204C1083" w14:textId="77777777" w:rsidTr="0082371C">
        <w:trPr>
          <w:trHeight w:val="1166"/>
        </w:trPr>
        <w:tc>
          <w:tcPr>
            <w:tcW w:w="0" w:type="auto"/>
            <w:tcBorders>
              <w:top w:val="single" w:sz="4" w:space="0" w:color="auto"/>
            </w:tcBorders>
            <w:tcMar>
              <w:top w:w="15" w:type="dxa"/>
              <w:left w:w="75" w:type="dxa"/>
              <w:bottom w:w="15" w:type="dxa"/>
              <w:right w:w="75" w:type="dxa"/>
            </w:tcMar>
            <w:vAlign w:val="center"/>
            <w:hideMark/>
          </w:tcPr>
          <w:p w14:paraId="3FE57D72" w14:textId="77777777" w:rsidR="00584597" w:rsidRPr="000D4679" w:rsidRDefault="00584597" w:rsidP="0082371C">
            <w:pPr>
              <w:spacing w:before="150" w:after="150"/>
              <w:rPr>
                <w:color w:val="000000"/>
              </w:rPr>
            </w:pPr>
            <w:r w:rsidRPr="000D4679">
              <w:rPr>
                <w:color w:val="000000"/>
              </w:rPr>
              <w:t>Intercept</w:t>
            </w:r>
          </w:p>
        </w:tc>
        <w:tc>
          <w:tcPr>
            <w:tcW w:w="1138" w:type="dxa"/>
            <w:tcBorders>
              <w:top w:val="single" w:sz="4" w:space="0" w:color="auto"/>
            </w:tcBorders>
            <w:tcMar>
              <w:top w:w="15" w:type="dxa"/>
              <w:left w:w="75" w:type="dxa"/>
              <w:bottom w:w="15" w:type="dxa"/>
              <w:right w:w="75" w:type="dxa"/>
            </w:tcMar>
            <w:vAlign w:val="center"/>
            <w:hideMark/>
          </w:tcPr>
          <w:p w14:paraId="620A5A6D" w14:textId="77777777" w:rsidR="00584597" w:rsidRPr="000D4679" w:rsidRDefault="00584597" w:rsidP="0082371C">
            <w:pPr>
              <w:spacing w:before="150" w:after="150"/>
              <w:rPr>
                <w:color w:val="000000"/>
              </w:rPr>
            </w:pPr>
            <w:r w:rsidRPr="000D4679">
              <w:rPr>
                <w:color w:val="000000"/>
              </w:rPr>
              <w:t xml:space="preserve">43.65 [41.44; </w:t>
            </w:r>
            <w:proofErr w:type="gramStart"/>
            <w:r w:rsidRPr="000D4679">
              <w:rPr>
                <w:color w:val="000000"/>
              </w:rPr>
              <w:t>45.85]</w:t>
            </w:r>
            <w:r w:rsidRPr="000D4679">
              <w:rPr>
                <w:color w:val="000000"/>
                <w:vertAlign w:val="superscript"/>
              </w:rPr>
              <w:t>*</w:t>
            </w:r>
            <w:proofErr w:type="gramEnd"/>
          </w:p>
        </w:tc>
        <w:tc>
          <w:tcPr>
            <w:tcW w:w="930" w:type="dxa"/>
            <w:tcBorders>
              <w:top w:val="single" w:sz="4" w:space="0" w:color="auto"/>
            </w:tcBorders>
            <w:tcMar>
              <w:top w:w="15" w:type="dxa"/>
              <w:left w:w="75" w:type="dxa"/>
              <w:bottom w:w="15" w:type="dxa"/>
              <w:right w:w="75" w:type="dxa"/>
            </w:tcMar>
            <w:vAlign w:val="center"/>
            <w:hideMark/>
          </w:tcPr>
          <w:p w14:paraId="423BE389" w14:textId="77777777" w:rsidR="00584597" w:rsidRPr="000D4679" w:rsidRDefault="00584597" w:rsidP="0082371C">
            <w:pPr>
              <w:spacing w:before="150" w:after="150"/>
              <w:rPr>
                <w:color w:val="000000"/>
              </w:rPr>
            </w:pPr>
            <w:r w:rsidRPr="000D4679">
              <w:rPr>
                <w:color w:val="000000"/>
              </w:rPr>
              <w:t xml:space="preserve">16.35 [14.88; </w:t>
            </w:r>
            <w:proofErr w:type="gramStart"/>
            <w:r w:rsidRPr="000D4679">
              <w:rPr>
                <w:color w:val="000000"/>
              </w:rPr>
              <w:t>17.82]</w:t>
            </w:r>
            <w:r w:rsidRPr="000D4679">
              <w:rPr>
                <w:color w:val="000000"/>
                <w:vertAlign w:val="superscript"/>
              </w:rPr>
              <w:t>*</w:t>
            </w:r>
            <w:proofErr w:type="gramEnd"/>
          </w:p>
        </w:tc>
        <w:tc>
          <w:tcPr>
            <w:tcW w:w="0" w:type="auto"/>
            <w:tcBorders>
              <w:top w:val="single" w:sz="4" w:space="0" w:color="auto"/>
            </w:tcBorders>
            <w:tcMar>
              <w:top w:w="15" w:type="dxa"/>
              <w:left w:w="75" w:type="dxa"/>
              <w:bottom w:w="15" w:type="dxa"/>
              <w:right w:w="75" w:type="dxa"/>
            </w:tcMar>
            <w:vAlign w:val="center"/>
            <w:hideMark/>
          </w:tcPr>
          <w:p w14:paraId="0E94D3BE" w14:textId="77777777" w:rsidR="00584597" w:rsidRPr="000D4679" w:rsidRDefault="00584597" w:rsidP="0082371C">
            <w:pPr>
              <w:spacing w:before="150" w:after="150"/>
              <w:rPr>
                <w:color w:val="000000"/>
              </w:rPr>
            </w:pPr>
            <w:r w:rsidRPr="000D4679">
              <w:rPr>
                <w:color w:val="000000"/>
              </w:rPr>
              <w:t xml:space="preserve">874.98 [815.95; </w:t>
            </w:r>
            <w:proofErr w:type="gramStart"/>
            <w:r w:rsidRPr="000D4679">
              <w:rPr>
                <w:color w:val="000000"/>
              </w:rPr>
              <w:t>934.02]</w:t>
            </w:r>
            <w:r w:rsidRPr="000D4679">
              <w:rPr>
                <w:color w:val="000000"/>
                <w:vertAlign w:val="superscript"/>
              </w:rPr>
              <w:t>*</w:t>
            </w:r>
            <w:proofErr w:type="gramEnd"/>
          </w:p>
        </w:tc>
        <w:tc>
          <w:tcPr>
            <w:tcW w:w="1238" w:type="dxa"/>
            <w:tcBorders>
              <w:top w:val="single" w:sz="4" w:space="0" w:color="auto"/>
            </w:tcBorders>
            <w:tcMar>
              <w:top w:w="15" w:type="dxa"/>
              <w:left w:w="75" w:type="dxa"/>
              <w:bottom w:w="15" w:type="dxa"/>
              <w:right w:w="75" w:type="dxa"/>
            </w:tcMar>
            <w:vAlign w:val="center"/>
            <w:hideMark/>
          </w:tcPr>
          <w:p w14:paraId="7E8BD2BF" w14:textId="77777777" w:rsidR="00584597" w:rsidRPr="000D4679" w:rsidRDefault="00584597" w:rsidP="0082371C">
            <w:pPr>
              <w:spacing w:before="150" w:after="150"/>
              <w:rPr>
                <w:color w:val="000000"/>
              </w:rPr>
            </w:pPr>
            <w:r w:rsidRPr="000D4679">
              <w:rPr>
                <w:color w:val="000000"/>
              </w:rPr>
              <w:t xml:space="preserve">19.86 [17.05; </w:t>
            </w:r>
            <w:proofErr w:type="gramStart"/>
            <w:r w:rsidRPr="000D4679">
              <w:rPr>
                <w:color w:val="000000"/>
              </w:rPr>
              <w:t>22.67]</w:t>
            </w:r>
            <w:r w:rsidRPr="000D4679">
              <w:rPr>
                <w:color w:val="000000"/>
                <w:vertAlign w:val="superscript"/>
              </w:rPr>
              <w:t>*</w:t>
            </w:r>
            <w:proofErr w:type="gramEnd"/>
          </w:p>
        </w:tc>
        <w:tc>
          <w:tcPr>
            <w:tcW w:w="966" w:type="dxa"/>
            <w:tcBorders>
              <w:top w:val="single" w:sz="4" w:space="0" w:color="auto"/>
            </w:tcBorders>
            <w:tcMar>
              <w:top w:w="15" w:type="dxa"/>
              <w:left w:w="75" w:type="dxa"/>
              <w:bottom w:w="15" w:type="dxa"/>
              <w:right w:w="75" w:type="dxa"/>
            </w:tcMar>
            <w:vAlign w:val="center"/>
            <w:hideMark/>
          </w:tcPr>
          <w:p w14:paraId="5520E877" w14:textId="77777777" w:rsidR="00584597" w:rsidRPr="000D4679" w:rsidRDefault="00584597" w:rsidP="0082371C">
            <w:pPr>
              <w:spacing w:before="150" w:after="150"/>
              <w:rPr>
                <w:color w:val="000000"/>
              </w:rPr>
            </w:pPr>
            <w:r w:rsidRPr="000D4679">
              <w:rPr>
                <w:color w:val="000000"/>
              </w:rPr>
              <w:t xml:space="preserve">9.44 [ 8.18; </w:t>
            </w:r>
            <w:proofErr w:type="gramStart"/>
            <w:r w:rsidRPr="000D4679">
              <w:rPr>
                <w:color w:val="000000"/>
              </w:rPr>
              <w:t>10.70]</w:t>
            </w:r>
            <w:r w:rsidRPr="000D4679">
              <w:rPr>
                <w:color w:val="000000"/>
                <w:vertAlign w:val="superscript"/>
              </w:rPr>
              <w:t>*</w:t>
            </w:r>
            <w:proofErr w:type="gramEnd"/>
          </w:p>
        </w:tc>
        <w:tc>
          <w:tcPr>
            <w:tcW w:w="1284" w:type="dxa"/>
            <w:tcBorders>
              <w:top w:val="single" w:sz="4" w:space="0" w:color="auto"/>
            </w:tcBorders>
            <w:tcMar>
              <w:top w:w="15" w:type="dxa"/>
              <w:left w:w="75" w:type="dxa"/>
              <w:bottom w:w="15" w:type="dxa"/>
              <w:right w:w="75" w:type="dxa"/>
            </w:tcMar>
            <w:vAlign w:val="center"/>
            <w:hideMark/>
          </w:tcPr>
          <w:p w14:paraId="6A82F977" w14:textId="77777777" w:rsidR="00584597" w:rsidRPr="000D4679" w:rsidRDefault="00584597" w:rsidP="0082371C">
            <w:pPr>
              <w:spacing w:before="150" w:after="150"/>
              <w:rPr>
                <w:color w:val="000000"/>
              </w:rPr>
            </w:pPr>
            <w:r w:rsidRPr="000D4679">
              <w:rPr>
                <w:color w:val="000000"/>
              </w:rPr>
              <w:t xml:space="preserve">5.65 [ 4.42; </w:t>
            </w:r>
            <w:proofErr w:type="gramStart"/>
            <w:r w:rsidRPr="000D4679">
              <w:rPr>
                <w:color w:val="000000"/>
              </w:rPr>
              <w:t>6.89]</w:t>
            </w:r>
            <w:r w:rsidRPr="000D4679">
              <w:rPr>
                <w:color w:val="000000"/>
                <w:vertAlign w:val="superscript"/>
              </w:rPr>
              <w:t>*</w:t>
            </w:r>
            <w:proofErr w:type="gramEnd"/>
          </w:p>
        </w:tc>
        <w:tc>
          <w:tcPr>
            <w:tcW w:w="959" w:type="dxa"/>
            <w:tcBorders>
              <w:top w:val="single" w:sz="4" w:space="0" w:color="auto"/>
            </w:tcBorders>
            <w:tcMar>
              <w:top w:w="15" w:type="dxa"/>
              <w:left w:w="75" w:type="dxa"/>
              <w:bottom w:w="15" w:type="dxa"/>
              <w:right w:w="75" w:type="dxa"/>
            </w:tcMar>
            <w:vAlign w:val="center"/>
            <w:hideMark/>
          </w:tcPr>
          <w:p w14:paraId="3DA93B13" w14:textId="77777777" w:rsidR="00584597" w:rsidRPr="000D4679" w:rsidRDefault="00584597" w:rsidP="0082371C">
            <w:pPr>
              <w:spacing w:before="150" w:after="150"/>
              <w:rPr>
                <w:color w:val="000000"/>
              </w:rPr>
            </w:pPr>
            <w:r w:rsidRPr="000D4679">
              <w:rPr>
                <w:color w:val="000000"/>
              </w:rPr>
              <w:t xml:space="preserve">4.80 [ 4.07; </w:t>
            </w:r>
            <w:proofErr w:type="gramStart"/>
            <w:r w:rsidRPr="000D4679">
              <w:rPr>
                <w:color w:val="000000"/>
              </w:rPr>
              <w:t>5.52]</w:t>
            </w:r>
            <w:r w:rsidRPr="000D4679">
              <w:rPr>
                <w:color w:val="000000"/>
                <w:vertAlign w:val="superscript"/>
              </w:rPr>
              <w:t>*</w:t>
            </w:r>
            <w:proofErr w:type="gramEnd"/>
          </w:p>
        </w:tc>
      </w:tr>
      <w:tr w:rsidR="001E6F32" w:rsidRPr="000D4679" w14:paraId="7F83E91A" w14:textId="77777777" w:rsidTr="0082371C">
        <w:trPr>
          <w:trHeight w:val="1124"/>
        </w:trPr>
        <w:tc>
          <w:tcPr>
            <w:tcW w:w="0" w:type="auto"/>
            <w:tcMar>
              <w:top w:w="15" w:type="dxa"/>
              <w:left w:w="75" w:type="dxa"/>
              <w:bottom w:w="15" w:type="dxa"/>
              <w:right w:w="75" w:type="dxa"/>
            </w:tcMar>
            <w:vAlign w:val="center"/>
            <w:hideMark/>
          </w:tcPr>
          <w:p w14:paraId="21222571" w14:textId="77777777" w:rsidR="00584597" w:rsidRPr="000D4679" w:rsidRDefault="00584597" w:rsidP="0082371C">
            <w:pPr>
              <w:spacing w:before="150" w:after="150"/>
              <w:rPr>
                <w:color w:val="000000"/>
              </w:rPr>
            </w:pPr>
            <w:r w:rsidRPr="000D4679">
              <w:rPr>
                <w:color w:val="000000"/>
              </w:rPr>
              <w:t>Week</w:t>
            </w:r>
          </w:p>
        </w:tc>
        <w:tc>
          <w:tcPr>
            <w:tcW w:w="1138" w:type="dxa"/>
            <w:tcMar>
              <w:top w:w="15" w:type="dxa"/>
              <w:left w:w="75" w:type="dxa"/>
              <w:bottom w:w="15" w:type="dxa"/>
              <w:right w:w="75" w:type="dxa"/>
            </w:tcMar>
            <w:vAlign w:val="center"/>
            <w:hideMark/>
          </w:tcPr>
          <w:p w14:paraId="36032E34" w14:textId="77777777" w:rsidR="00584597" w:rsidRPr="000D4679" w:rsidRDefault="00584597" w:rsidP="0082371C">
            <w:pPr>
              <w:spacing w:before="150" w:after="150"/>
              <w:rPr>
                <w:color w:val="000000"/>
              </w:rPr>
            </w:pPr>
            <w:r w:rsidRPr="000D4679">
              <w:rPr>
                <w:color w:val="000000"/>
              </w:rPr>
              <w:t>-0.86 [-1.03; -0.</w:t>
            </w:r>
            <w:proofErr w:type="gramStart"/>
            <w:r w:rsidRPr="000D4679">
              <w:rPr>
                <w:color w:val="000000"/>
              </w:rPr>
              <w:t>69]</w:t>
            </w:r>
            <w:r w:rsidRPr="000D4679">
              <w:rPr>
                <w:color w:val="000000"/>
                <w:vertAlign w:val="superscript"/>
              </w:rPr>
              <w:t>*</w:t>
            </w:r>
            <w:proofErr w:type="gramEnd"/>
          </w:p>
        </w:tc>
        <w:tc>
          <w:tcPr>
            <w:tcW w:w="930" w:type="dxa"/>
            <w:tcMar>
              <w:top w:w="15" w:type="dxa"/>
              <w:left w:w="75" w:type="dxa"/>
              <w:bottom w:w="15" w:type="dxa"/>
              <w:right w:w="75" w:type="dxa"/>
            </w:tcMar>
            <w:vAlign w:val="center"/>
            <w:hideMark/>
          </w:tcPr>
          <w:p w14:paraId="331045AD" w14:textId="77777777" w:rsidR="00584597" w:rsidRPr="000D4679" w:rsidRDefault="00584597" w:rsidP="0082371C">
            <w:pPr>
              <w:spacing w:before="150" w:after="150"/>
              <w:rPr>
                <w:color w:val="000000"/>
              </w:rPr>
            </w:pPr>
            <w:r w:rsidRPr="000D4679">
              <w:rPr>
                <w:color w:val="000000"/>
              </w:rPr>
              <w:t>-0.50 [-0.65; -0.</w:t>
            </w:r>
            <w:proofErr w:type="gramStart"/>
            <w:r w:rsidRPr="000D4679">
              <w:rPr>
                <w:color w:val="000000"/>
              </w:rPr>
              <w:t>36]</w:t>
            </w:r>
            <w:r w:rsidRPr="000D4679">
              <w:rPr>
                <w:color w:val="000000"/>
                <w:vertAlign w:val="superscript"/>
              </w:rPr>
              <w:t>*</w:t>
            </w:r>
            <w:proofErr w:type="gramEnd"/>
          </w:p>
        </w:tc>
        <w:tc>
          <w:tcPr>
            <w:tcW w:w="0" w:type="auto"/>
            <w:tcMar>
              <w:top w:w="15" w:type="dxa"/>
              <w:left w:w="75" w:type="dxa"/>
              <w:bottom w:w="15" w:type="dxa"/>
              <w:right w:w="75" w:type="dxa"/>
            </w:tcMar>
            <w:vAlign w:val="center"/>
            <w:hideMark/>
          </w:tcPr>
          <w:p w14:paraId="124DCDF3" w14:textId="77777777" w:rsidR="00584597" w:rsidRPr="000D4679" w:rsidRDefault="00584597" w:rsidP="0082371C">
            <w:pPr>
              <w:spacing w:before="150" w:after="150"/>
              <w:rPr>
                <w:color w:val="000000"/>
              </w:rPr>
            </w:pPr>
            <w:r w:rsidRPr="000D4679">
              <w:rPr>
                <w:color w:val="000000"/>
              </w:rPr>
              <w:t xml:space="preserve">5.34 [ 2.07; </w:t>
            </w:r>
            <w:proofErr w:type="gramStart"/>
            <w:r w:rsidRPr="000D4679">
              <w:rPr>
                <w:color w:val="000000"/>
              </w:rPr>
              <w:t>8.60]</w:t>
            </w:r>
            <w:r w:rsidRPr="000D4679">
              <w:rPr>
                <w:color w:val="000000"/>
                <w:vertAlign w:val="superscript"/>
              </w:rPr>
              <w:t>*</w:t>
            </w:r>
            <w:proofErr w:type="gramEnd"/>
          </w:p>
        </w:tc>
        <w:tc>
          <w:tcPr>
            <w:tcW w:w="1238" w:type="dxa"/>
            <w:tcMar>
              <w:top w:w="15" w:type="dxa"/>
              <w:left w:w="75" w:type="dxa"/>
              <w:bottom w:w="15" w:type="dxa"/>
              <w:right w:w="75" w:type="dxa"/>
            </w:tcMar>
            <w:vAlign w:val="center"/>
            <w:hideMark/>
          </w:tcPr>
          <w:p w14:paraId="4DE29D6C" w14:textId="77777777" w:rsidR="00584597" w:rsidRPr="000D4679" w:rsidRDefault="00584597" w:rsidP="0082371C">
            <w:pPr>
              <w:spacing w:before="150" w:after="150"/>
              <w:rPr>
                <w:color w:val="000000"/>
              </w:rPr>
            </w:pPr>
            <w:r w:rsidRPr="000D4679">
              <w:rPr>
                <w:color w:val="000000"/>
              </w:rPr>
              <w:t>-0.50 [-0.72; -0.</w:t>
            </w:r>
            <w:proofErr w:type="gramStart"/>
            <w:r w:rsidRPr="000D4679">
              <w:rPr>
                <w:color w:val="000000"/>
              </w:rPr>
              <w:t>28]</w:t>
            </w:r>
            <w:r w:rsidRPr="000D4679">
              <w:rPr>
                <w:color w:val="000000"/>
                <w:vertAlign w:val="superscript"/>
              </w:rPr>
              <w:t>*</w:t>
            </w:r>
            <w:proofErr w:type="gramEnd"/>
          </w:p>
        </w:tc>
        <w:tc>
          <w:tcPr>
            <w:tcW w:w="966" w:type="dxa"/>
            <w:tcMar>
              <w:top w:w="15" w:type="dxa"/>
              <w:left w:w="75" w:type="dxa"/>
              <w:bottom w:w="15" w:type="dxa"/>
              <w:right w:w="75" w:type="dxa"/>
            </w:tcMar>
            <w:vAlign w:val="center"/>
            <w:hideMark/>
          </w:tcPr>
          <w:p w14:paraId="09BE1047" w14:textId="77777777" w:rsidR="00584597" w:rsidRPr="000D4679" w:rsidRDefault="00584597" w:rsidP="0082371C">
            <w:pPr>
              <w:spacing w:before="150" w:after="150"/>
              <w:rPr>
                <w:color w:val="000000"/>
              </w:rPr>
            </w:pPr>
            <w:r w:rsidRPr="000D4679">
              <w:rPr>
                <w:color w:val="000000"/>
              </w:rPr>
              <w:t>-0.25 [-0.35; -0.</w:t>
            </w:r>
            <w:proofErr w:type="gramStart"/>
            <w:r w:rsidRPr="000D4679">
              <w:rPr>
                <w:color w:val="000000"/>
              </w:rPr>
              <w:t>15]</w:t>
            </w:r>
            <w:r w:rsidRPr="000D4679">
              <w:rPr>
                <w:color w:val="000000"/>
                <w:vertAlign w:val="superscript"/>
              </w:rPr>
              <w:t>*</w:t>
            </w:r>
            <w:proofErr w:type="gramEnd"/>
          </w:p>
        </w:tc>
        <w:tc>
          <w:tcPr>
            <w:tcW w:w="1284" w:type="dxa"/>
            <w:tcMar>
              <w:top w:w="15" w:type="dxa"/>
              <w:left w:w="75" w:type="dxa"/>
              <w:bottom w:w="15" w:type="dxa"/>
              <w:right w:w="75" w:type="dxa"/>
            </w:tcMar>
            <w:vAlign w:val="center"/>
            <w:hideMark/>
          </w:tcPr>
          <w:p w14:paraId="5B8337AD" w14:textId="77777777" w:rsidR="00584597" w:rsidRPr="000D4679" w:rsidRDefault="00584597" w:rsidP="0082371C">
            <w:pPr>
              <w:spacing w:before="150" w:after="150"/>
              <w:rPr>
                <w:color w:val="000000"/>
              </w:rPr>
            </w:pPr>
            <w:r w:rsidRPr="000D4679">
              <w:rPr>
                <w:color w:val="000000"/>
              </w:rPr>
              <w:t>-0.08 [-0.19; 0.02]</w:t>
            </w:r>
          </w:p>
        </w:tc>
        <w:tc>
          <w:tcPr>
            <w:tcW w:w="959" w:type="dxa"/>
            <w:tcMar>
              <w:top w:w="15" w:type="dxa"/>
              <w:left w:w="75" w:type="dxa"/>
              <w:bottom w:w="15" w:type="dxa"/>
              <w:right w:w="75" w:type="dxa"/>
            </w:tcMar>
            <w:vAlign w:val="center"/>
            <w:hideMark/>
          </w:tcPr>
          <w:p w14:paraId="53FBD76A" w14:textId="77777777" w:rsidR="00584597" w:rsidRPr="000D4679" w:rsidRDefault="00584597" w:rsidP="0082371C">
            <w:pPr>
              <w:spacing w:before="150" w:after="150"/>
              <w:rPr>
                <w:color w:val="000000"/>
              </w:rPr>
            </w:pPr>
            <w:r w:rsidRPr="000D4679">
              <w:rPr>
                <w:color w:val="000000"/>
              </w:rPr>
              <w:t>-0.10 [-0.16; -0.</w:t>
            </w:r>
            <w:proofErr w:type="gramStart"/>
            <w:r w:rsidRPr="000D4679">
              <w:rPr>
                <w:color w:val="000000"/>
              </w:rPr>
              <w:t>05]</w:t>
            </w:r>
            <w:r w:rsidRPr="000D4679">
              <w:rPr>
                <w:color w:val="000000"/>
                <w:vertAlign w:val="superscript"/>
              </w:rPr>
              <w:t>*</w:t>
            </w:r>
            <w:proofErr w:type="gramEnd"/>
          </w:p>
        </w:tc>
      </w:tr>
      <w:tr w:rsidR="001E6F32" w:rsidRPr="000D4679" w14:paraId="1E1C8902" w14:textId="77777777" w:rsidTr="0082371C">
        <w:trPr>
          <w:trHeight w:val="1145"/>
        </w:trPr>
        <w:tc>
          <w:tcPr>
            <w:tcW w:w="0" w:type="auto"/>
            <w:tcMar>
              <w:top w:w="15" w:type="dxa"/>
              <w:left w:w="75" w:type="dxa"/>
              <w:bottom w:w="15" w:type="dxa"/>
              <w:right w:w="75" w:type="dxa"/>
            </w:tcMar>
            <w:vAlign w:val="center"/>
            <w:hideMark/>
          </w:tcPr>
          <w:p w14:paraId="0292845C" w14:textId="77777777" w:rsidR="00584597" w:rsidRPr="000D4679" w:rsidRDefault="00584597" w:rsidP="0082371C">
            <w:pPr>
              <w:spacing w:before="150" w:after="150"/>
              <w:rPr>
                <w:color w:val="000000"/>
              </w:rPr>
            </w:pPr>
            <w:r w:rsidRPr="000D4679">
              <w:rPr>
                <w:color w:val="000000"/>
              </w:rPr>
              <w:t>Condition</w:t>
            </w:r>
          </w:p>
        </w:tc>
        <w:tc>
          <w:tcPr>
            <w:tcW w:w="1138" w:type="dxa"/>
            <w:tcMar>
              <w:top w:w="15" w:type="dxa"/>
              <w:left w:w="75" w:type="dxa"/>
              <w:bottom w:w="15" w:type="dxa"/>
              <w:right w:w="75" w:type="dxa"/>
            </w:tcMar>
            <w:vAlign w:val="center"/>
            <w:hideMark/>
          </w:tcPr>
          <w:p w14:paraId="49EC5EEA" w14:textId="77777777" w:rsidR="00584597" w:rsidRPr="000D4679" w:rsidRDefault="00584597" w:rsidP="0082371C">
            <w:pPr>
              <w:spacing w:before="150" w:after="150"/>
              <w:rPr>
                <w:color w:val="000000"/>
              </w:rPr>
            </w:pPr>
            <w:r w:rsidRPr="000D4679">
              <w:rPr>
                <w:color w:val="000000"/>
              </w:rPr>
              <w:t>1.04 [-2.07; 4.16]</w:t>
            </w:r>
          </w:p>
        </w:tc>
        <w:tc>
          <w:tcPr>
            <w:tcW w:w="930" w:type="dxa"/>
            <w:tcMar>
              <w:top w:w="15" w:type="dxa"/>
              <w:left w:w="75" w:type="dxa"/>
              <w:bottom w:w="15" w:type="dxa"/>
              <w:right w:w="75" w:type="dxa"/>
            </w:tcMar>
            <w:vAlign w:val="center"/>
            <w:hideMark/>
          </w:tcPr>
          <w:p w14:paraId="0C021845" w14:textId="77777777" w:rsidR="00584597" w:rsidRPr="000D4679" w:rsidRDefault="00584597" w:rsidP="0082371C">
            <w:pPr>
              <w:spacing w:before="150" w:after="150"/>
              <w:rPr>
                <w:color w:val="000000"/>
              </w:rPr>
            </w:pPr>
            <w:r w:rsidRPr="000D4679">
              <w:rPr>
                <w:color w:val="000000"/>
              </w:rPr>
              <w:t>1.82 [-0.25; 3.89]</w:t>
            </w:r>
          </w:p>
        </w:tc>
        <w:tc>
          <w:tcPr>
            <w:tcW w:w="0" w:type="auto"/>
            <w:tcMar>
              <w:top w:w="15" w:type="dxa"/>
              <w:left w:w="75" w:type="dxa"/>
              <w:bottom w:w="15" w:type="dxa"/>
              <w:right w:w="75" w:type="dxa"/>
            </w:tcMar>
            <w:vAlign w:val="center"/>
            <w:hideMark/>
          </w:tcPr>
          <w:p w14:paraId="4769D0B4" w14:textId="77777777" w:rsidR="00584597" w:rsidRPr="000D4679" w:rsidRDefault="00584597" w:rsidP="0082371C">
            <w:pPr>
              <w:spacing w:before="150" w:after="150"/>
              <w:rPr>
                <w:color w:val="000000"/>
              </w:rPr>
            </w:pPr>
            <w:r w:rsidRPr="000D4679">
              <w:rPr>
                <w:color w:val="000000"/>
              </w:rPr>
              <w:t>16.31 [-67.11; 99.73]</w:t>
            </w:r>
          </w:p>
        </w:tc>
        <w:tc>
          <w:tcPr>
            <w:tcW w:w="1238" w:type="dxa"/>
            <w:tcMar>
              <w:top w:w="15" w:type="dxa"/>
              <w:left w:w="75" w:type="dxa"/>
              <w:bottom w:w="15" w:type="dxa"/>
              <w:right w:w="75" w:type="dxa"/>
            </w:tcMar>
            <w:vAlign w:val="center"/>
            <w:hideMark/>
          </w:tcPr>
          <w:p w14:paraId="417867BA" w14:textId="77777777" w:rsidR="00584597" w:rsidRPr="000D4679" w:rsidRDefault="00584597" w:rsidP="0082371C">
            <w:pPr>
              <w:spacing w:before="150" w:after="150"/>
              <w:rPr>
                <w:color w:val="000000"/>
              </w:rPr>
            </w:pPr>
            <w:r w:rsidRPr="000D4679">
              <w:rPr>
                <w:color w:val="000000"/>
              </w:rPr>
              <w:t>1.35 [-2.61; 5.32]</w:t>
            </w:r>
          </w:p>
        </w:tc>
        <w:tc>
          <w:tcPr>
            <w:tcW w:w="966" w:type="dxa"/>
            <w:tcMar>
              <w:top w:w="15" w:type="dxa"/>
              <w:left w:w="75" w:type="dxa"/>
              <w:bottom w:w="15" w:type="dxa"/>
              <w:right w:w="75" w:type="dxa"/>
            </w:tcMar>
            <w:vAlign w:val="center"/>
            <w:hideMark/>
          </w:tcPr>
          <w:p w14:paraId="43301859" w14:textId="77777777" w:rsidR="00584597" w:rsidRPr="000D4679" w:rsidRDefault="00584597" w:rsidP="0082371C">
            <w:pPr>
              <w:spacing w:before="150" w:after="150"/>
              <w:rPr>
                <w:color w:val="000000"/>
              </w:rPr>
            </w:pPr>
            <w:r w:rsidRPr="000D4679">
              <w:rPr>
                <w:color w:val="000000"/>
              </w:rPr>
              <w:t>0.23 [-1.55; 2.01]</w:t>
            </w:r>
          </w:p>
        </w:tc>
        <w:tc>
          <w:tcPr>
            <w:tcW w:w="1284" w:type="dxa"/>
            <w:tcMar>
              <w:top w:w="15" w:type="dxa"/>
              <w:left w:w="75" w:type="dxa"/>
              <w:bottom w:w="15" w:type="dxa"/>
              <w:right w:w="75" w:type="dxa"/>
            </w:tcMar>
            <w:vAlign w:val="center"/>
            <w:hideMark/>
          </w:tcPr>
          <w:p w14:paraId="2722D6A4" w14:textId="77777777" w:rsidR="00584597" w:rsidRPr="000D4679" w:rsidRDefault="00584597" w:rsidP="0082371C">
            <w:pPr>
              <w:spacing w:before="150" w:after="150"/>
              <w:rPr>
                <w:color w:val="000000"/>
              </w:rPr>
            </w:pPr>
            <w:r w:rsidRPr="000D4679">
              <w:rPr>
                <w:color w:val="000000"/>
              </w:rPr>
              <w:t>1.03 [-0.71; 2.77]</w:t>
            </w:r>
          </w:p>
        </w:tc>
        <w:tc>
          <w:tcPr>
            <w:tcW w:w="959" w:type="dxa"/>
            <w:tcMar>
              <w:top w:w="15" w:type="dxa"/>
              <w:left w:w="75" w:type="dxa"/>
              <w:bottom w:w="15" w:type="dxa"/>
              <w:right w:w="75" w:type="dxa"/>
            </w:tcMar>
            <w:vAlign w:val="center"/>
            <w:hideMark/>
          </w:tcPr>
          <w:p w14:paraId="7E910FEA" w14:textId="77777777" w:rsidR="00584597" w:rsidRPr="000D4679" w:rsidRDefault="00584597" w:rsidP="0082371C">
            <w:pPr>
              <w:spacing w:before="150" w:after="150"/>
              <w:rPr>
                <w:color w:val="000000"/>
              </w:rPr>
            </w:pPr>
            <w:r w:rsidRPr="000D4679">
              <w:rPr>
                <w:color w:val="000000"/>
              </w:rPr>
              <w:t> </w:t>
            </w:r>
          </w:p>
        </w:tc>
      </w:tr>
      <w:tr w:rsidR="001E6F32" w:rsidRPr="000D4679" w14:paraId="3CACF745" w14:textId="77777777" w:rsidTr="0082371C">
        <w:trPr>
          <w:trHeight w:val="1145"/>
        </w:trPr>
        <w:tc>
          <w:tcPr>
            <w:tcW w:w="0" w:type="auto"/>
            <w:tcMar>
              <w:top w:w="15" w:type="dxa"/>
              <w:left w:w="75" w:type="dxa"/>
              <w:bottom w:w="15" w:type="dxa"/>
              <w:right w:w="75" w:type="dxa"/>
            </w:tcMar>
            <w:vAlign w:val="center"/>
            <w:hideMark/>
          </w:tcPr>
          <w:p w14:paraId="47C0D516" w14:textId="77777777" w:rsidR="00584597" w:rsidRPr="000D4679" w:rsidRDefault="00584597" w:rsidP="0082371C">
            <w:pPr>
              <w:spacing w:before="150" w:after="150"/>
              <w:rPr>
                <w:color w:val="000000"/>
              </w:rPr>
            </w:pPr>
            <w:r w:rsidRPr="000D4679">
              <w:rPr>
                <w:color w:val="000000"/>
              </w:rPr>
              <w:t>Week x Condition</w:t>
            </w:r>
          </w:p>
        </w:tc>
        <w:tc>
          <w:tcPr>
            <w:tcW w:w="1138" w:type="dxa"/>
            <w:tcMar>
              <w:top w:w="15" w:type="dxa"/>
              <w:left w:w="75" w:type="dxa"/>
              <w:bottom w:w="15" w:type="dxa"/>
              <w:right w:w="75" w:type="dxa"/>
            </w:tcMar>
            <w:vAlign w:val="center"/>
            <w:hideMark/>
          </w:tcPr>
          <w:p w14:paraId="4BBB9225" w14:textId="77777777" w:rsidR="00584597" w:rsidRPr="000D4679" w:rsidRDefault="00584597" w:rsidP="0082371C">
            <w:pPr>
              <w:spacing w:before="150" w:after="150"/>
              <w:rPr>
                <w:color w:val="000000"/>
              </w:rPr>
            </w:pPr>
            <w:r w:rsidRPr="000D4679">
              <w:rPr>
                <w:color w:val="000000"/>
              </w:rPr>
              <w:t xml:space="preserve">0.49 [ 0.25; </w:t>
            </w:r>
            <w:proofErr w:type="gramStart"/>
            <w:r w:rsidRPr="000D4679">
              <w:rPr>
                <w:color w:val="000000"/>
              </w:rPr>
              <w:t>0.72]</w:t>
            </w:r>
            <w:r w:rsidRPr="000D4679">
              <w:rPr>
                <w:color w:val="000000"/>
                <w:vertAlign w:val="superscript"/>
              </w:rPr>
              <w:t>*</w:t>
            </w:r>
            <w:proofErr w:type="gramEnd"/>
          </w:p>
        </w:tc>
        <w:tc>
          <w:tcPr>
            <w:tcW w:w="930" w:type="dxa"/>
            <w:tcMar>
              <w:top w:w="15" w:type="dxa"/>
              <w:left w:w="75" w:type="dxa"/>
              <w:bottom w:w="15" w:type="dxa"/>
              <w:right w:w="75" w:type="dxa"/>
            </w:tcMar>
            <w:vAlign w:val="center"/>
            <w:hideMark/>
          </w:tcPr>
          <w:p w14:paraId="75E27785" w14:textId="77777777" w:rsidR="00584597" w:rsidRPr="000D4679" w:rsidRDefault="00584597" w:rsidP="0082371C">
            <w:pPr>
              <w:spacing w:before="150" w:after="150"/>
              <w:rPr>
                <w:color w:val="000000"/>
              </w:rPr>
            </w:pPr>
            <w:r w:rsidRPr="000D4679">
              <w:rPr>
                <w:color w:val="000000"/>
              </w:rPr>
              <w:t xml:space="preserve">0.42 [ 0.22; </w:t>
            </w:r>
            <w:proofErr w:type="gramStart"/>
            <w:r w:rsidRPr="000D4679">
              <w:rPr>
                <w:color w:val="000000"/>
              </w:rPr>
              <w:t>0.62]</w:t>
            </w:r>
            <w:r w:rsidRPr="000D4679">
              <w:rPr>
                <w:color w:val="000000"/>
                <w:vertAlign w:val="superscript"/>
              </w:rPr>
              <w:t>*</w:t>
            </w:r>
            <w:proofErr w:type="gramEnd"/>
          </w:p>
        </w:tc>
        <w:tc>
          <w:tcPr>
            <w:tcW w:w="0" w:type="auto"/>
            <w:tcMar>
              <w:top w:w="15" w:type="dxa"/>
              <w:left w:w="75" w:type="dxa"/>
              <w:bottom w:w="15" w:type="dxa"/>
              <w:right w:w="75" w:type="dxa"/>
            </w:tcMar>
            <w:vAlign w:val="center"/>
            <w:hideMark/>
          </w:tcPr>
          <w:p w14:paraId="0C10209B" w14:textId="77777777" w:rsidR="00584597" w:rsidRPr="000D4679" w:rsidRDefault="00584597" w:rsidP="0082371C">
            <w:pPr>
              <w:spacing w:before="150" w:after="150"/>
              <w:rPr>
                <w:color w:val="000000"/>
              </w:rPr>
            </w:pPr>
            <w:r w:rsidRPr="000D4679">
              <w:rPr>
                <w:color w:val="000000"/>
              </w:rPr>
              <w:t>-6.04 [-10.56; -1.</w:t>
            </w:r>
            <w:proofErr w:type="gramStart"/>
            <w:r w:rsidRPr="000D4679">
              <w:rPr>
                <w:color w:val="000000"/>
              </w:rPr>
              <w:t>51]</w:t>
            </w:r>
            <w:r w:rsidRPr="000D4679">
              <w:rPr>
                <w:color w:val="000000"/>
                <w:vertAlign w:val="superscript"/>
              </w:rPr>
              <w:t>*</w:t>
            </w:r>
            <w:proofErr w:type="gramEnd"/>
          </w:p>
        </w:tc>
        <w:tc>
          <w:tcPr>
            <w:tcW w:w="1238" w:type="dxa"/>
            <w:tcMar>
              <w:top w:w="15" w:type="dxa"/>
              <w:left w:w="75" w:type="dxa"/>
              <w:bottom w:w="15" w:type="dxa"/>
              <w:right w:w="75" w:type="dxa"/>
            </w:tcMar>
            <w:vAlign w:val="center"/>
            <w:hideMark/>
          </w:tcPr>
          <w:p w14:paraId="61BF9460" w14:textId="77777777" w:rsidR="00584597" w:rsidRPr="000D4679" w:rsidRDefault="00584597" w:rsidP="0082371C">
            <w:pPr>
              <w:spacing w:before="150" w:after="150"/>
              <w:rPr>
                <w:color w:val="000000"/>
              </w:rPr>
            </w:pPr>
            <w:r w:rsidRPr="000D4679">
              <w:rPr>
                <w:color w:val="000000"/>
              </w:rPr>
              <w:t xml:space="preserve">0.45 [ 0.15; </w:t>
            </w:r>
            <w:proofErr w:type="gramStart"/>
            <w:r w:rsidRPr="000D4679">
              <w:rPr>
                <w:color w:val="000000"/>
              </w:rPr>
              <w:t>0.75]</w:t>
            </w:r>
            <w:r w:rsidRPr="000D4679">
              <w:rPr>
                <w:color w:val="000000"/>
                <w:vertAlign w:val="superscript"/>
              </w:rPr>
              <w:t>*</w:t>
            </w:r>
            <w:proofErr w:type="gramEnd"/>
          </w:p>
        </w:tc>
        <w:tc>
          <w:tcPr>
            <w:tcW w:w="966" w:type="dxa"/>
            <w:tcMar>
              <w:top w:w="15" w:type="dxa"/>
              <w:left w:w="75" w:type="dxa"/>
              <w:bottom w:w="15" w:type="dxa"/>
              <w:right w:w="75" w:type="dxa"/>
            </w:tcMar>
            <w:vAlign w:val="center"/>
            <w:hideMark/>
          </w:tcPr>
          <w:p w14:paraId="0DAC1E50" w14:textId="77777777" w:rsidR="00584597" w:rsidRPr="000D4679" w:rsidRDefault="00584597" w:rsidP="0082371C">
            <w:pPr>
              <w:spacing w:before="150" w:after="150"/>
              <w:rPr>
                <w:color w:val="000000"/>
              </w:rPr>
            </w:pPr>
            <w:r w:rsidRPr="000D4679">
              <w:rPr>
                <w:color w:val="000000"/>
              </w:rPr>
              <w:t xml:space="preserve">0.27 [ 0.14; </w:t>
            </w:r>
            <w:proofErr w:type="gramStart"/>
            <w:r w:rsidRPr="000D4679">
              <w:rPr>
                <w:color w:val="000000"/>
              </w:rPr>
              <w:t>0.40]</w:t>
            </w:r>
            <w:r w:rsidRPr="000D4679">
              <w:rPr>
                <w:color w:val="000000"/>
                <w:vertAlign w:val="superscript"/>
              </w:rPr>
              <w:t>*</w:t>
            </w:r>
            <w:proofErr w:type="gramEnd"/>
          </w:p>
        </w:tc>
        <w:tc>
          <w:tcPr>
            <w:tcW w:w="1284" w:type="dxa"/>
            <w:tcMar>
              <w:top w:w="15" w:type="dxa"/>
              <w:left w:w="75" w:type="dxa"/>
              <w:bottom w:w="15" w:type="dxa"/>
              <w:right w:w="75" w:type="dxa"/>
            </w:tcMar>
            <w:vAlign w:val="center"/>
            <w:hideMark/>
          </w:tcPr>
          <w:p w14:paraId="1F13AB12" w14:textId="77777777" w:rsidR="00584597" w:rsidRPr="000D4679" w:rsidRDefault="00584597" w:rsidP="0082371C">
            <w:pPr>
              <w:spacing w:before="150" w:after="150"/>
              <w:rPr>
                <w:color w:val="000000"/>
              </w:rPr>
            </w:pPr>
            <w:r w:rsidRPr="000D4679">
              <w:rPr>
                <w:color w:val="000000"/>
              </w:rPr>
              <w:t>0.06 [-0.09; 0.20]</w:t>
            </w:r>
          </w:p>
        </w:tc>
        <w:tc>
          <w:tcPr>
            <w:tcW w:w="959" w:type="dxa"/>
            <w:tcMar>
              <w:top w:w="15" w:type="dxa"/>
              <w:left w:w="75" w:type="dxa"/>
              <w:bottom w:w="15" w:type="dxa"/>
              <w:right w:w="75" w:type="dxa"/>
            </w:tcMar>
            <w:vAlign w:val="center"/>
            <w:hideMark/>
          </w:tcPr>
          <w:p w14:paraId="50969A5E" w14:textId="77777777" w:rsidR="00584597" w:rsidRPr="000D4679" w:rsidRDefault="00584597" w:rsidP="0082371C">
            <w:pPr>
              <w:spacing w:before="150" w:after="150"/>
              <w:rPr>
                <w:color w:val="000000"/>
              </w:rPr>
            </w:pPr>
            <w:r w:rsidRPr="000D4679">
              <w:rPr>
                <w:color w:val="000000"/>
              </w:rPr>
              <w:t> </w:t>
            </w:r>
          </w:p>
        </w:tc>
      </w:tr>
      <w:tr w:rsidR="001E6F32" w:rsidRPr="000D4679" w14:paraId="452CBC4D" w14:textId="77777777" w:rsidTr="0082371C">
        <w:trPr>
          <w:trHeight w:val="592"/>
        </w:trPr>
        <w:tc>
          <w:tcPr>
            <w:tcW w:w="0" w:type="auto"/>
            <w:tcMar>
              <w:top w:w="15" w:type="dxa"/>
              <w:left w:w="75" w:type="dxa"/>
              <w:bottom w:w="15" w:type="dxa"/>
              <w:right w:w="75" w:type="dxa"/>
            </w:tcMar>
            <w:vAlign w:val="center"/>
            <w:hideMark/>
          </w:tcPr>
          <w:p w14:paraId="5296D3DA" w14:textId="77777777" w:rsidR="00584597" w:rsidRPr="000D4679" w:rsidRDefault="00584597" w:rsidP="0082371C">
            <w:pPr>
              <w:spacing w:before="150" w:after="150"/>
              <w:rPr>
                <w:color w:val="000000"/>
              </w:rPr>
            </w:pPr>
            <w:r w:rsidRPr="000D4679">
              <w:rPr>
                <w:color w:val="000000"/>
              </w:rPr>
              <w:t>BIC</w:t>
            </w:r>
          </w:p>
        </w:tc>
        <w:tc>
          <w:tcPr>
            <w:tcW w:w="1138" w:type="dxa"/>
            <w:tcMar>
              <w:top w:w="15" w:type="dxa"/>
              <w:left w:w="75" w:type="dxa"/>
              <w:bottom w:w="15" w:type="dxa"/>
              <w:right w:w="75" w:type="dxa"/>
            </w:tcMar>
            <w:vAlign w:val="center"/>
            <w:hideMark/>
          </w:tcPr>
          <w:p w14:paraId="7F4A3E77" w14:textId="77777777" w:rsidR="00584597" w:rsidRPr="000D4679" w:rsidRDefault="00584597" w:rsidP="0082371C">
            <w:pPr>
              <w:spacing w:before="150" w:after="150"/>
              <w:rPr>
                <w:color w:val="000000"/>
              </w:rPr>
            </w:pPr>
            <w:r w:rsidRPr="000D4679">
              <w:rPr>
                <w:color w:val="000000"/>
              </w:rPr>
              <w:t>1999.13</w:t>
            </w:r>
          </w:p>
        </w:tc>
        <w:tc>
          <w:tcPr>
            <w:tcW w:w="930" w:type="dxa"/>
            <w:tcMar>
              <w:top w:w="15" w:type="dxa"/>
              <w:left w:w="75" w:type="dxa"/>
              <w:bottom w:w="15" w:type="dxa"/>
              <w:right w:w="75" w:type="dxa"/>
            </w:tcMar>
            <w:vAlign w:val="center"/>
            <w:hideMark/>
          </w:tcPr>
          <w:p w14:paraId="5E4B4720" w14:textId="77777777" w:rsidR="00584597" w:rsidRPr="000D4679" w:rsidRDefault="00584597" w:rsidP="0082371C">
            <w:pPr>
              <w:spacing w:before="150" w:after="150"/>
              <w:rPr>
                <w:color w:val="000000"/>
              </w:rPr>
            </w:pPr>
            <w:r w:rsidRPr="000D4679">
              <w:rPr>
                <w:color w:val="000000"/>
              </w:rPr>
              <w:t>1853.45</w:t>
            </w:r>
          </w:p>
        </w:tc>
        <w:tc>
          <w:tcPr>
            <w:tcW w:w="0" w:type="auto"/>
            <w:tcMar>
              <w:top w:w="15" w:type="dxa"/>
              <w:left w:w="75" w:type="dxa"/>
              <w:bottom w:w="15" w:type="dxa"/>
              <w:right w:w="75" w:type="dxa"/>
            </w:tcMar>
            <w:vAlign w:val="center"/>
            <w:hideMark/>
          </w:tcPr>
          <w:p w14:paraId="08F4860C" w14:textId="77777777" w:rsidR="00584597" w:rsidRPr="000D4679" w:rsidRDefault="00584597" w:rsidP="0082371C">
            <w:pPr>
              <w:spacing w:before="150" w:after="150"/>
              <w:rPr>
                <w:color w:val="000000"/>
              </w:rPr>
            </w:pPr>
            <w:r w:rsidRPr="000D4679">
              <w:rPr>
                <w:color w:val="000000"/>
              </w:rPr>
              <w:t>3740.67</w:t>
            </w:r>
          </w:p>
        </w:tc>
        <w:tc>
          <w:tcPr>
            <w:tcW w:w="1238" w:type="dxa"/>
            <w:tcMar>
              <w:top w:w="15" w:type="dxa"/>
              <w:left w:w="75" w:type="dxa"/>
              <w:bottom w:w="15" w:type="dxa"/>
              <w:right w:w="75" w:type="dxa"/>
            </w:tcMar>
            <w:vAlign w:val="center"/>
            <w:hideMark/>
          </w:tcPr>
          <w:p w14:paraId="27C731A9" w14:textId="77777777" w:rsidR="00584597" w:rsidRPr="000D4679" w:rsidRDefault="00584597" w:rsidP="0082371C">
            <w:pPr>
              <w:spacing w:before="150" w:after="150"/>
              <w:rPr>
                <w:color w:val="000000"/>
              </w:rPr>
            </w:pPr>
            <w:r w:rsidRPr="000D4679">
              <w:rPr>
                <w:color w:val="000000"/>
              </w:rPr>
              <w:t>2149.04</w:t>
            </w:r>
          </w:p>
        </w:tc>
        <w:tc>
          <w:tcPr>
            <w:tcW w:w="966" w:type="dxa"/>
            <w:tcMar>
              <w:top w:w="15" w:type="dxa"/>
              <w:left w:w="75" w:type="dxa"/>
              <w:bottom w:w="15" w:type="dxa"/>
              <w:right w:w="75" w:type="dxa"/>
            </w:tcMar>
            <w:vAlign w:val="center"/>
            <w:hideMark/>
          </w:tcPr>
          <w:p w14:paraId="1FC8D5D2" w14:textId="77777777" w:rsidR="00584597" w:rsidRPr="000D4679" w:rsidRDefault="00584597" w:rsidP="0082371C">
            <w:pPr>
              <w:spacing w:before="150" w:after="150"/>
              <w:rPr>
                <w:color w:val="000000"/>
              </w:rPr>
            </w:pPr>
            <w:r w:rsidRPr="000D4679">
              <w:rPr>
                <w:color w:val="000000"/>
              </w:rPr>
              <w:t>1657.09</w:t>
            </w:r>
          </w:p>
        </w:tc>
        <w:tc>
          <w:tcPr>
            <w:tcW w:w="1284" w:type="dxa"/>
            <w:tcMar>
              <w:top w:w="15" w:type="dxa"/>
              <w:left w:w="75" w:type="dxa"/>
              <w:bottom w:w="15" w:type="dxa"/>
              <w:right w:w="75" w:type="dxa"/>
            </w:tcMar>
            <w:vAlign w:val="center"/>
            <w:hideMark/>
          </w:tcPr>
          <w:p w14:paraId="76BFA051" w14:textId="77777777" w:rsidR="00584597" w:rsidRPr="000D4679" w:rsidRDefault="00584597" w:rsidP="0082371C">
            <w:pPr>
              <w:spacing w:before="150" w:after="150"/>
              <w:rPr>
                <w:color w:val="000000"/>
              </w:rPr>
            </w:pPr>
            <w:r w:rsidRPr="000D4679">
              <w:rPr>
                <w:color w:val="000000"/>
              </w:rPr>
              <w:t>1684.50</w:t>
            </w:r>
          </w:p>
        </w:tc>
        <w:tc>
          <w:tcPr>
            <w:tcW w:w="959" w:type="dxa"/>
            <w:tcMar>
              <w:top w:w="15" w:type="dxa"/>
              <w:left w:w="75" w:type="dxa"/>
              <w:bottom w:w="15" w:type="dxa"/>
              <w:right w:w="75" w:type="dxa"/>
            </w:tcMar>
            <w:vAlign w:val="center"/>
            <w:hideMark/>
          </w:tcPr>
          <w:p w14:paraId="30764B1F" w14:textId="77777777" w:rsidR="00584597" w:rsidRPr="000D4679" w:rsidRDefault="00584597" w:rsidP="0082371C">
            <w:pPr>
              <w:spacing w:before="150" w:after="150"/>
              <w:rPr>
                <w:color w:val="000000"/>
              </w:rPr>
            </w:pPr>
            <w:r w:rsidRPr="000D4679">
              <w:rPr>
                <w:color w:val="000000"/>
              </w:rPr>
              <w:t>1523.70</w:t>
            </w:r>
          </w:p>
        </w:tc>
      </w:tr>
      <w:tr w:rsidR="001E6F32" w:rsidRPr="000D4679" w14:paraId="31D96BF7" w14:textId="77777777" w:rsidTr="0082371C">
        <w:trPr>
          <w:trHeight w:val="859"/>
        </w:trPr>
        <w:tc>
          <w:tcPr>
            <w:tcW w:w="0" w:type="auto"/>
            <w:tcBorders>
              <w:bottom w:val="nil"/>
            </w:tcBorders>
            <w:tcMar>
              <w:top w:w="15" w:type="dxa"/>
              <w:left w:w="75" w:type="dxa"/>
              <w:bottom w:w="15" w:type="dxa"/>
              <w:right w:w="75" w:type="dxa"/>
            </w:tcMar>
            <w:vAlign w:val="center"/>
            <w:hideMark/>
          </w:tcPr>
          <w:p w14:paraId="6040C038" w14:textId="77777777" w:rsidR="00584597" w:rsidRPr="000D4679" w:rsidRDefault="00584597" w:rsidP="0082371C">
            <w:pPr>
              <w:spacing w:before="150" w:after="150"/>
              <w:rPr>
                <w:color w:val="000000"/>
              </w:rPr>
            </w:pPr>
            <w:r w:rsidRPr="000D4679">
              <w:rPr>
                <w:color w:val="000000"/>
              </w:rPr>
              <w:t>Number of observations</w:t>
            </w:r>
          </w:p>
        </w:tc>
        <w:tc>
          <w:tcPr>
            <w:tcW w:w="1138" w:type="dxa"/>
            <w:tcBorders>
              <w:bottom w:val="nil"/>
            </w:tcBorders>
            <w:tcMar>
              <w:top w:w="15" w:type="dxa"/>
              <w:left w:w="75" w:type="dxa"/>
              <w:bottom w:w="15" w:type="dxa"/>
              <w:right w:w="75" w:type="dxa"/>
            </w:tcMar>
            <w:vAlign w:val="center"/>
            <w:hideMark/>
          </w:tcPr>
          <w:p w14:paraId="2F1B13EA" w14:textId="77777777" w:rsidR="00584597" w:rsidRPr="000D4679" w:rsidRDefault="00584597" w:rsidP="0082371C">
            <w:pPr>
              <w:spacing w:before="150" w:after="150"/>
              <w:rPr>
                <w:color w:val="000000"/>
              </w:rPr>
            </w:pPr>
            <w:r w:rsidRPr="000D4679">
              <w:rPr>
                <w:color w:val="000000"/>
              </w:rPr>
              <w:t>306</w:t>
            </w:r>
          </w:p>
        </w:tc>
        <w:tc>
          <w:tcPr>
            <w:tcW w:w="930" w:type="dxa"/>
            <w:tcBorders>
              <w:bottom w:val="nil"/>
            </w:tcBorders>
            <w:tcMar>
              <w:top w:w="15" w:type="dxa"/>
              <w:left w:w="75" w:type="dxa"/>
              <w:bottom w:w="15" w:type="dxa"/>
              <w:right w:w="75" w:type="dxa"/>
            </w:tcMar>
            <w:vAlign w:val="center"/>
            <w:hideMark/>
          </w:tcPr>
          <w:p w14:paraId="3CD7BD3E" w14:textId="77777777" w:rsidR="00584597" w:rsidRPr="000D4679" w:rsidRDefault="00584597" w:rsidP="0082371C">
            <w:pPr>
              <w:spacing w:before="150" w:after="150"/>
              <w:rPr>
                <w:color w:val="000000"/>
              </w:rPr>
            </w:pPr>
            <w:r w:rsidRPr="000D4679">
              <w:rPr>
                <w:color w:val="000000"/>
              </w:rPr>
              <w:t>306</w:t>
            </w:r>
          </w:p>
        </w:tc>
        <w:tc>
          <w:tcPr>
            <w:tcW w:w="0" w:type="auto"/>
            <w:tcBorders>
              <w:bottom w:val="nil"/>
            </w:tcBorders>
            <w:tcMar>
              <w:top w:w="15" w:type="dxa"/>
              <w:left w:w="75" w:type="dxa"/>
              <w:bottom w:w="15" w:type="dxa"/>
              <w:right w:w="75" w:type="dxa"/>
            </w:tcMar>
            <w:vAlign w:val="center"/>
            <w:hideMark/>
          </w:tcPr>
          <w:p w14:paraId="3B83C712" w14:textId="77777777" w:rsidR="00584597" w:rsidRPr="000D4679" w:rsidRDefault="00584597" w:rsidP="0082371C">
            <w:pPr>
              <w:spacing w:before="150" w:after="150"/>
              <w:rPr>
                <w:color w:val="000000"/>
              </w:rPr>
            </w:pPr>
            <w:r w:rsidRPr="000D4679">
              <w:rPr>
                <w:color w:val="000000"/>
              </w:rPr>
              <w:t>298</w:t>
            </w:r>
          </w:p>
        </w:tc>
        <w:tc>
          <w:tcPr>
            <w:tcW w:w="1238" w:type="dxa"/>
            <w:tcBorders>
              <w:bottom w:val="nil"/>
            </w:tcBorders>
            <w:tcMar>
              <w:top w:w="15" w:type="dxa"/>
              <w:left w:w="75" w:type="dxa"/>
              <w:bottom w:w="15" w:type="dxa"/>
              <w:right w:w="75" w:type="dxa"/>
            </w:tcMar>
            <w:vAlign w:val="center"/>
            <w:hideMark/>
          </w:tcPr>
          <w:p w14:paraId="4978C552" w14:textId="77777777" w:rsidR="00584597" w:rsidRPr="000D4679" w:rsidRDefault="00584597" w:rsidP="0082371C">
            <w:pPr>
              <w:spacing w:before="150" w:after="150"/>
              <w:rPr>
                <w:color w:val="000000"/>
              </w:rPr>
            </w:pPr>
            <w:r w:rsidRPr="000D4679">
              <w:rPr>
                <w:color w:val="000000"/>
              </w:rPr>
              <w:t>306</w:t>
            </w:r>
          </w:p>
        </w:tc>
        <w:tc>
          <w:tcPr>
            <w:tcW w:w="966" w:type="dxa"/>
            <w:tcBorders>
              <w:bottom w:val="nil"/>
            </w:tcBorders>
            <w:tcMar>
              <w:top w:w="15" w:type="dxa"/>
              <w:left w:w="75" w:type="dxa"/>
              <w:bottom w:w="15" w:type="dxa"/>
              <w:right w:w="75" w:type="dxa"/>
            </w:tcMar>
            <w:vAlign w:val="center"/>
            <w:hideMark/>
          </w:tcPr>
          <w:p w14:paraId="3936B514" w14:textId="77777777" w:rsidR="00584597" w:rsidRPr="000D4679" w:rsidRDefault="00584597" w:rsidP="0082371C">
            <w:pPr>
              <w:spacing w:before="150" w:after="150"/>
              <w:rPr>
                <w:color w:val="000000"/>
              </w:rPr>
            </w:pPr>
            <w:r w:rsidRPr="000D4679">
              <w:rPr>
                <w:color w:val="000000"/>
              </w:rPr>
              <w:t>306</w:t>
            </w:r>
          </w:p>
        </w:tc>
        <w:tc>
          <w:tcPr>
            <w:tcW w:w="1284" w:type="dxa"/>
            <w:tcBorders>
              <w:bottom w:val="nil"/>
            </w:tcBorders>
            <w:tcMar>
              <w:top w:w="15" w:type="dxa"/>
              <w:left w:w="75" w:type="dxa"/>
              <w:bottom w:w="15" w:type="dxa"/>
              <w:right w:w="75" w:type="dxa"/>
            </w:tcMar>
            <w:vAlign w:val="center"/>
            <w:hideMark/>
          </w:tcPr>
          <w:p w14:paraId="02CD9563" w14:textId="77777777" w:rsidR="00584597" w:rsidRPr="000D4679" w:rsidRDefault="00584597" w:rsidP="0082371C">
            <w:pPr>
              <w:spacing w:before="150" w:after="150"/>
              <w:rPr>
                <w:color w:val="000000"/>
              </w:rPr>
            </w:pPr>
            <w:r w:rsidRPr="000D4679">
              <w:rPr>
                <w:color w:val="000000"/>
              </w:rPr>
              <w:t>306</w:t>
            </w:r>
          </w:p>
        </w:tc>
        <w:tc>
          <w:tcPr>
            <w:tcW w:w="959" w:type="dxa"/>
            <w:tcBorders>
              <w:bottom w:val="nil"/>
            </w:tcBorders>
            <w:tcMar>
              <w:top w:w="15" w:type="dxa"/>
              <w:left w:w="75" w:type="dxa"/>
              <w:bottom w:w="15" w:type="dxa"/>
              <w:right w:w="75" w:type="dxa"/>
            </w:tcMar>
            <w:vAlign w:val="center"/>
            <w:hideMark/>
          </w:tcPr>
          <w:p w14:paraId="23E8B7A1" w14:textId="77777777" w:rsidR="00584597" w:rsidRPr="000D4679" w:rsidRDefault="00584597" w:rsidP="0082371C">
            <w:pPr>
              <w:spacing w:before="150" w:after="150"/>
              <w:rPr>
                <w:color w:val="000000"/>
              </w:rPr>
            </w:pPr>
            <w:r w:rsidRPr="000D4679">
              <w:rPr>
                <w:color w:val="000000"/>
              </w:rPr>
              <w:t>306</w:t>
            </w:r>
          </w:p>
        </w:tc>
      </w:tr>
      <w:tr w:rsidR="001E6F32" w:rsidRPr="000D4679" w14:paraId="1DFDAA18" w14:textId="77777777" w:rsidTr="0082371C">
        <w:trPr>
          <w:trHeight w:val="859"/>
        </w:trPr>
        <w:tc>
          <w:tcPr>
            <w:tcW w:w="0" w:type="auto"/>
            <w:tcBorders>
              <w:top w:val="nil"/>
              <w:bottom w:val="single" w:sz="4" w:space="0" w:color="auto"/>
            </w:tcBorders>
            <w:tcMar>
              <w:top w:w="15" w:type="dxa"/>
              <w:left w:w="75" w:type="dxa"/>
              <w:bottom w:w="15" w:type="dxa"/>
              <w:right w:w="75" w:type="dxa"/>
            </w:tcMar>
            <w:vAlign w:val="center"/>
            <w:hideMark/>
          </w:tcPr>
          <w:p w14:paraId="7D0FB05A" w14:textId="77777777" w:rsidR="00584597" w:rsidRPr="000D4679" w:rsidRDefault="00584597" w:rsidP="0082371C">
            <w:pPr>
              <w:spacing w:before="150" w:after="150"/>
              <w:rPr>
                <w:color w:val="000000"/>
              </w:rPr>
            </w:pPr>
            <w:r w:rsidRPr="000D4679">
              <w:rPr>
                <w:color w:val="000000"/>
              </w:rPr>
              <w:t>Number of participants</w:t>
            </w:r>
          </w:p>
        </w:tc>
        <w:tc>
          <w:tcPr>
            <w:tcW w:w="1138" w:type="dxa"/>
            <w:tcBorders>
              <w:top w:val="nil"/>
              <w:bottom w:val="single" w:sz="4" w:space="0" w:color="auto"/>
            </w:tcBorders>
            <w:tcMar>
              <w:top w:w="15" w:type="dxa"/>
              <w:left w:w="75" w:type="dxa"/>
              <w:bottom w:w="15" w:type="dxa"/>
              <w:right w:w="75" w:type="dxa"/>
            </w:tcMar>
            <w:vAlign w:val="center"/>
            <w:hideMark/>
          </w:tcPr>
          <w:p w14:paraId="5DED73CA" w14:textId="77777777" w:rsidR="00584597" w:rsidRPr="000D4679" w:rsidRDefault="00584597" w:rsidP="0082371C">
            <w:pPr>
              <w:spacing w:before="150" w:after="150"/>
              <w:rPr>
                <w:color w:val="000000"/>
              </w:rPr>
            </w:pPr>
            <w:r w:rsidRPr="000D4679">
              <w:rPr>
                <w:color w:val="000000"/>
              </w:rPr>
              <w:t>80</w:t>
            </w:r>
          </w:p>
        </w:tc>
        <w:tc>
          <w:tcPr>
            <w:tcW w:w="930" w:type="dxa"/>
            <w:tcBorders>
              <w:top w:val="nil"/>
              <w:bottom w:val="single" w:sz="4" w:space="0" w:color="auto"/>
            </w:tcBorders>
            <w:tcMar>
              <w:top w:w="15" w:type="dxa"/>
              <w:left w:w="75" w:type="dxa"/>
              <w:bottom w:w="15" w:type="dxa"/>
              <w:right w:w="75" w:type="dxa"/>
            </w:tcMar>
            <w:vAlign w:val="center"/>
            <w:hideMark/>
          </w:tcPr>
          <w:p w14:paraId="797FF966" w14:textId="77777777" w:rsidR="00584597" w:rsidRPr="000D4679" w:rsidRDefault="00584597" w:rsidP="0082371C">
            <w:pPr>
              <w:spacing w:before="150" w:after="150"/>
              <w:rPr>
                <w:color w:val="000000"/>
              </w:rPr>
            </w:pPr>
            <w:r w:rsidRPr="000D4679">
              <w:rPr>
                <w:color w:val="000000"/>
              </w:rPr>
              <w:t>80</w:t>
            </w:r>
          </w:p>
        </w:tc>
        <w:tc>
          <w:tcPr>
            <w:tcW w:w="0" w:type="auto"/>
            <w:tcBorders>
              <w:top w:val="nil"/>
              <w:bottom w:val="single" w:sz="4" w:space="0" w:color="auto"/>
            </w:tcBorders>
            <w:tcMar>
              <w:top w:w="15" w:type="dxa"/>
              <w:left w:w="75" w:type="dxa"/>
              <w:bottom w:w="15" w:type="dxa"/>
              <w:right w:w="75" w:type="dxa"/>
            </w:tcMar>
            <w:vAlign w:val="center"/>
            <w:hideMark/>
          </w:tcPr>
          <w:p w14:paraId="3D8FC946" w14:textId="77777777" w:rsidR="00584597" w:rsidRPr="000D4679" w:rsidRDefault="00584597" w:rsidP="0082371C">
            <w:pPr>
              <w:spacing w:before="150" w:after="150"/>
              <w:rPr>
                <w:color w:val="000000"/>
              </w:rPr>
            </w:pPr>
            <w:r w:rsidRPr="000D4679">
              <w:rPr>
                <w:color w:val="000000"/>
              </w:rPr>
              <w:t>80</w:t>
            </w:r>
          </w:p>
        </w:tc>
        <w:tc>
          <w:tcPr>
            <w:tcW w:w="1238" w:type="dxa"/>
            <w:tcBorders>
              <w:top w:val="nil"/>
              <w:bottom w:val="single" w:sz="4" w:space="0" w:color="auto"/>
            </w:tcBorders>
            <w:tcMar>
              <w:top w:w="15" w:type="dxa"/>
              <w:left w:w="75" w:type="dxa"/>
              <w:bottom w:w="15" w:type="dxa"/>
              <w:right w:w="75" w:type="dxa"/>
            </w:tcMar>
            <w:vAlign w:val="center"/>
            <w:hideMark/>
          </w:tcPr>
          <w:p w14:paraId="502948C9" w14:textId="77777777" w:rsidR="00584597" w:rsidRPr="000D4679" w:rsidRDefault="00584597" w:rsidP="0082371C">
            <w:pPr>
              <w:spacing w:before="150" w:after="150"/>
              <w:rPr>
                <w:color w:val="000000"/>
              </w:rPr>
            </w:pPr>
            <w:r w:rsidRPr="000D4679">
              <w:rPr>
                <w:color w:val="000000"/>
              </w:rPr>
              <w:t>80</w:t>
            </w:r>
          </w:p>
        </w:tc>
        <w:tc>
          <w:tcPr>
            <w:tcW w:w="966" w:type="dxa"/>
            <w:tcBorders>
              <w:top w:val="nil"/>
              <w:bottom w:val="single" w:sz="4" w:space="0" w:color="auto"/>
            </w:tcBorders>
            <w:tcMar>
              <w:top w:w="15" w:type="dxa"/>
              <w:left w:w="75" w:type="dxa"/>
              <w:bottom w:w="15" w:type="dxa"/>
              <w:right w:w="75" w:type="dxa"/>
            </w:tcMar>
            <w:vAlign w:val="center"/>
            <w:hideMark/>
          </w:tcPr>
          <w:p w14:paraId="5ADA365D" w14:textId="77777777" w:rsidR="00584597" w:rsidRPr="000D4679" w:rsidRDefault="00584597" w:rsidP="0082371C">
            <w:pPr>
              <w:spacing w:before="150" w:after="150"/>
              <w:rPr>
                <w:color w:val="000000"/>
              </w:rPr>
            </w:pPr>
            <w:r w:rsidRPr="000D4679">
              <w:rPr>
                <w:color w:val="000000"/>
              </w:rPr>
              <w:t>80</w:t>
            </w:r>
          </w:p>
        </w:tc>
        <w:tc>
          <w:tcPr>
            <w:tcW w:w="1284" w:type="dxa"/>
            <w:tcBorders>
              <w:top w:val="nil"/>
              <w:bottom w:val="single" w:sz="4" w:space="0" w:color="auto"/>
            </w:tcBorders>
            <w:tcMar>
              <w:top w:w="15" w:type="dxa"/>
              <w:left w:w="75" w:type="dxa"/>
              <w:bottom w:w="15" w:type="dxa"/>
              <w:right w:w="75" w:type="dxa"/>
            </w:tcMar>
            <w:vAlign w:val="center"/>
            <w:hideMark/>
          </w:tcPr>
          <w:p w14:paraId="0064647B" w14:textId="77777777" w:rsidR="00584597" w:rsidRPr="000D4679" w:rsidRDefault="00584597" w:rsidP="0082371C">
            <w:pPr>
              <w:spacing w:before="150" w:after="150"/>
              <w:rPr>
                <w:color w:val="000000"/>
              </w:rPr>
            </w:pPr>
            <w:r w:rsidRPr="000D4679">
              <w:rPr>
                <w:color w:val="000000"/>
              </w:rPr>
              <w:t>80</w:t>
            </w:r>
          </w:p>
        </w:tc>
        <w:tc>
          <w:tcPr>
            <w:tcW w:w="959" w:type="dxa"/>
            <w:tcBorders>
              <w:top w:val="nil"/>
              <w:bottom w:val="single" w:sz="4" w:space="0" w:color="auto"/>
            </w:tcBorders>
            <w:tcMar>
              <w:top w:w="15" w:type="dxa"/>
              <w:left w:w="75" w:type="dxa"/>
              <w:bottom w:w="15" w:type="dxa"/>
              <w:right w:w="75" w:type="dxa"/>
            </w:tcMar>
            <w:vAlign w:val="center"/>
            <w:hideMark/>
          </w:tcPr>
          <w:p w14:paraId="266F7C3B" w14:textId="77777777" w:rsidR="00584597" w:rsidRPr="000D4679" w:rsidRDefault="00584597" w:rsidP="0082371C">
            <w:pPr>
              <w:spacing w:before="150" w:after="150"/>
              <w:rPr>
                <w:color w:val="000000"/>
              </w:rPr>
            </w:pPr>
            <w:r w:rsidRPr="000D4679">
              <w:rPr>
                <w:color w:val="000000"/>
              </w:rPr>
              <w:t>80</w:t>
            </w:r>
          </w:p>
        </w:tc>
      </w:tr>
      <w:tr w:rsidR="00584597" w:rsidRPr="000D4679" w14:paraId="07C2DA00" w14:textId="77777777" w:rsidTr="0082371C">
        <w:trPr>
          <w:trHeight w:val="592"/>
        </w:trPr>
        <w:tc>
          <w:tcPr>
            <w:tcW w:w="0" w:type="auto"/>
            <w:gridSpan w:val="8"/>
            <w:tcBorders>
              <w:top w:val="single" w:sz="4" w:space="0" w:color="auto"/>
            </w:tcBorders>
            <w:vAlign w:val="center"/>
            <w:hideMark/>
          </w:tcPr>
          <w:p w14:paraId="27732799" w14:textId="77777777" w:rsidR="00584597" w:rsidRPr="000D4679" w:rsidRDefault="00584597" w:rsidP="0082371C">
            <w:pPr>
              <w:spacing w:before="150" w:after="150"/>
              <w:rPr>
                <w:color w:val="000000"/>
              </w:rPr>
            </w:pPr>
            <w:r w:rsidRPr="000D4679">
              <w:rPr>
                <w:color w:val="000000"/>
                <w:vertAlign w:val="superscript"/>
              </w:rPr>
              <w:t>*</w:t>
            </w:r>
            <w:r w:rsidRPr="000D4679">
              <w:rPr>
                <w:color w:val="000000"/>
              </w:rPr>
              <w:t xml:space="preserve"> Null hypothesis value outside the confidence interval.</w:t>
            </w:r>
          </w:p>
        </w:tc>
      </w:tr>
    </w:tbl>
    <w:p w14:paraId="5931D511" w14:textId="77777777" w:rsidR="00584597" w:rsidRDefault="00584597" w:rsidP="00584597">
      <w:pPr>
        <w:spacing w:line="480" w:lineRule="auto"/>
      </w:pPr>
    </w:p>
    <w:p w14:paraId="67C7C750" w14:textId="580F8861" w:rsidR="008E1F7B" w:rsidRDefault="008E1F7B"/>
    <w:sectPr w:rsidR="008E1F7B">
      <w:headerReference w:type="even" r:id="rId39"/>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F1E7" w14:textId="77777777" w:rsidR="00BC0A09" w:rsidRDefault="00BC0A09" w:rsidP="00906397">
      <w:r>
        <w:separator/>
      </w:r>
    </w:p>
  </w:endnote>
  <w:endnote w:type="continuationSeparator" w:id="0">
    <w:p w14:paraId="4D26043B" w14:textId="77777777" w:rsidR="00BC0A09" w:rsidRDefault="00BC0A09" w:rsidP="0090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111541"/>
      <w:docPartObj>
        <w:docPartGallery w:val="Page Numbers (Bottom of Page)"/>
        <w:docPartUnique/>
      </w:docPartObj>
    </w:sdtPr>
    <w:sdtContent>
      <w:p w14:paraId="05E42F7A" w14:textId="77777777" w:rsidR="008E1F7B" w:rsidRDefault="008E1F7B" w:rsidP="008E1F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FE079B" w14:textId="77777777" w:rsidR="008E1F7B" w:rsidRDefault="008E1F7B" w:rsidP="008E1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118B" w14:textId="77777777" w:rsidR="008E1F7B" w:rsidRDefault="008E1F7B" w:rsidP="008E1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6336" w14:textId="77777777" w:rsidR="00BC0A09" w:rsidRDefault="00BC0A09" w:rsidP="00906397">
      <w:r>
        <w:separator/>
      </w:r>
    </w:p>
  </w:footnote>
  <w:footnote w:type="continuationSeparator" w:id="0">
    <w:p w14:paraId="227CF406" w14:textId="77777777" w:rsidR="00BC0A09" w:rsidRDefault="00BC0A09" w:rsidP="0090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769959"/>
      <w:docPartObj>
        <w:docPartGallery w:val="Page Numbers (Top of Page)"/>
        <w:docPartUnique/>
      </w:docPartObj>
    </w:sdtPr>
    <w:sdtContent>
      <w:p w14:paraId="66C574CA" w14:textId="77777777" w:rsidR="008E1F7B" w:rsidRDefault="008E1F7B" w:rsidP="008E1F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483120157"/>
      <w:docPartObj>
        <w:docPartGallery w:val="Page Numbers (Top of Page)"/>
        <w:docPartUnique/>
      </w:docPartObj>
    </w:sdtPr>
    <w:sdtContent>
      <w:p w14:paraId="401E5368" w14:textId="3B5EDAB3" w:rsidR="008E1F7B" w:rsidRDefault="008E1F7B" w:rsidP="008E1F7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729771" w14:textId="77777777" w:rsidR="008E1F7B" w:rsidRDefault="008E1F7B" w:rsidP="008E1F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18663408"/>
      <w:docPartObj>
        <w:docPartGallery w:val="Page Numbers (Top of Page)"/>
        <w:docPartUnique/>
      </w:docPartObj>
    </w:sdtPr>
    <w:sdtContent>
      <w:p w14:paraId="17A7BF84" w14:textId="77777777" w:rsidR="008E1F7B" w:rsidRPr="000B0ED4" w:rsidRDefault="008E1F7B" w:rsidP="008E1F7B">
        <w:pPr>
          <w:pStyle w:val="Header"/>
          <w:framePr w:wrap="none" w:vAnchor="text" w:hAnchor="margin" w:xAlign="right" w:y="1"/>
          <w:rPr>
            <w:rStyle w:val="PageNumber"/>
            <w:rFonts w:ascii="Times New Roman" w:hAnsi="Times New Roman" w:cs="Times New Roman"/>
          </w:rPr>
        </w:pPr>
        <w:r w:rsidRPr="000B0ED4">
          <w:rPr>
            <w:rStyle w:val="PageNumber"/>
            <w:rFonts w:ascii="Times New Roman" w:hAnsi="Times New Roman" w:cs="Times New Roman"/>
          </w:rPr>
          <w:fldChar w:fldCharType="begin"/>
        </w:r>
        <w:r w:rsidRPr="000B0ED4">
          <w:rPr>
            <w:rStyle w:val="PageNumber"/>
            <w:rFonts w:ascii="Times New Roman" w:hAnsi="Times New Roman" w:cs="Times New Roman"/>
          </w:rPr>
          <w:instrText xml:space="preserve"> PAGE </w:instrText>
        </w:r>
        <w:r w:rsidRPr="000B0ED4">
          <w:rPr>
            <w:rStyle w:val="PageNumber"/>
            <w:rFonts w:ascii="Times New Roman" w:hAnsi="Times New Roman" w:cs="Times New Roman"/>
          </w:rPr>
          <w:fldChar w:fldCharType="separate"/>
        </w:r>
        <w:r w:rsidRPr="000B0ED4">
          <w:rPr>
            <w:rStyle w:val="PageNumber"/>
            <w:rFonts w:ascii="Times New Roman" w:hAnsi="Times New Roman" w:cs="Times New Roman"/>
            <w:noProof/>
          </w:rPr>
          <w:t>1</w:t>
        </w:r>
        <w:r w:rsidRPr="000B0ED4">
          <w:rPr>
            <w:rStyle w:val="PageNumber"/>
            <w:rFonts w:ascii="Times New Roman" w:hAnsi="Times New Roman" w:cs="Times New Roman"/>
          </w:rPr>
          <w:fldChar w:fldCharType="end"/>
        </w:r>
      </w:p>
    </w:sdtContent>
  </w:sdt>
  <w:p w14:paraId="196AD6F0" w14:textId="331BDEB8" w:rsidR="008E1F7B" w:rsidRPr="00F805B9" w:rsidRDefault="00CB57FD" w:rsidP="008E1F7B">
    <w:pPr>
      <w:pStyle w:val="Header"/>
      <w:ind w:right="360"/>
      <w:rPr>
        <w:rFonts w:ascii="Times New Roman" w:hAnsi="Times New Roman" w:cs="Times New Roman"/>
      </w:rPr>
    </w:pPr>
    <w:r>
      <w:rPr>
        <w:rFonts w:ascii="Times New Roman" w:hAnsi="Times New Roman" w:cs="Times New Roman"/>
      </w:rPr>
      <w:t>AEBT</w:t>
    </w:r>
    <w:r w:rsidR="008E1F7B" w:rsidRPr="00F805B9">
      <w:rPr>
        <w:rFonts w:ascii="Times New Roman" w:hAnsi="Times New Roman" w:cs="Times New Roman"/>
      </w:rPr>
      <w:t xml:space="preserve"> </w:t>
    </w:r>
    <w:r>
      <w:rPr>
        <w:rFonts w:ascii="Times New Roman" w:hAnsi="Times New Roman" w:cs="Times New Roman"/>
      </w:rPr>
      <w:t>w</w:t>
    </w:r>
    <w:r w:rsidR="008E1F7B" w:rsidRPr="00F805B9">
      <w:rPr>
        <w:rFonts w:ascii="Times New Roman" w:hAnsi="Times New Roman" w:cs="Times New Roman"/>
      </w:rPr>
      <w:t xml:space="preserve">ebsite for </w:t>
    </w:r>
    <w:r>
      <w:rPr>
        <w:rFonts w:ascii="Times New Roman" w:hAnsi="Times New Roman" w:cs="Times New Roman"/>
      </w:rPr>
      <w:t>t</w:t>
    </w:r>
    <w:r w:rsidR="008E1F7B" w:rsidRPr="00F805B9">
      <w:rPr>
        <w:rFonts w:ascii="Times New Roman" w:hAnsi="Times New Roman" w:cs="Times New Roman"/>
      </w:rPr>
      <w:t>richotillomania</w:t>
    </w:r>
  </w:p>
  <w:p w14:paraId="32C48091" w14:textId="77777777" w:rsidR="008E1F7B" w:rsidRDefault="008E1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6302" w14:textId="7220A0C9" w:rsidR="00CB57FD" w:rsidRPr="000B0ED4" w:rsidRDefault="00CB57FD">
    <w:pPr>
      <w:pStyle w:val="Header"/>
      <w:rPr>
        <w:rFonts w:ascii="Times New Roman" w:hAnsi="Times New Roman" w:cs="Times New Roman"/>
      </w:rPr>
    </w:pPr>
    <w:r w:rsidRPr="000B0ED4">
      <w:rPr>
        <w:rFonts w:ascii="Times New Roman" w:hAnsi="Times New Roman" w:cs="Times New Roman"/>
      </w:rPr>
      <w:t xml:space="preserve">Running head: AEBT </w:t>
    </w:r>
    <w:r>
      <w:rPr>
        <w:rFonts w:ascii="Times New Roman" w:hAnsi="Times New Roman" w:cs="Times New Roman"/>
      </w:rPr>
      <w:t xml:space="preserve">website </w:t>
    </w:r>
    <w:r w:rsidRPr="000B0ED4">
      <w:rPr>
        <w:rFonts w:ascii="Times New Roman" w:hAnsi="Times New Roman" w:cs="Times New Roman"/>
      </w:rPr>
      <w:t xml:space="preserve">for </w:t>
    </w:r>
    <w:r>
      <w:rPr>
        <w:rFonts w:ascii="Times New Roman" w:hAnsi="Times New Roman" w:cs="Times New Roman"/>
      </w:rPr>
      <w:t>t</w:t>
    </w:r>
    <w:r w:rsidRPr="000B0ED4">
      <w:rPr>
        <w:rFonts w:ascii="Times New Roman" w:hAnsi="Times New Roman" w:cs="Times New Roman"/>
      </w:rPr>
      <w:t>richotillomania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889093"/>
      <w:docPartObj>
        <w:docPartGallery w:val="Page Numbers (Top of Page)"/>
        <w:docPartUnique/>
      </w:docPartObj>
    </w:sdtPr>
    <w:sdtContent>
      <w:p w14:paraId="60B05655" w14:textId="37BE246B" w:rsidR="008E1F7B" w:rsidRDefault="008E1F7B" w:rsidP="008E1F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57FD">
          <w:rPr>
            <w:rStyle w:val="PageNumber"/>
            <w:noProof/>
          </w:rPr>
          <w:t>1</w:t>
        </w:r>
        <w:r>
          <w:rPr>
            <w:rStyle w:val="PageNumber"/>
          </w:rPr>
          <w:fldChar w:fldCharType="end"/>
        </w:r>
      </w:p>
    </w:sdtContent>
  </w:sdt>
  <w:p w14:paraId="67ECD803" w14:textId="77777777" w:rsidR="008E1F7B" w:rsidRDefault="008E1F7B" w:rsidP="0090639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966582"/>
      <w:docPartObj>
        <w:docPartGallery w:val="Page Numbers (Top of Page)"/>
        <w:docPartUnique/>
      </w:docPartObj>
    </w:sdtPr>
    <w:sdtContent>
      <w:p w14:paraId="09359C89" w14:textId="77777777" w:rsidR="008E1F7B" w:rsidRDefault="008E1F7B" w:rsidP="008E1F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C2EC1D" w14:textId="77777777" w:rsidR="008E1F7B" w:rsidRDefault="008E1F7B" w:rsidP="00906397">
    <w:pPr>
      <w:pStyle w:val="Header"/>
      <w:ind w:right="360"/>
    </w:pPr>
    <w:r>
      <w:t>Running head: ACT-Enhanced Behavioral Therapy Website for Trichotillomania</w:t>
    </w:r>
  </w:p>
  <w:p w14:paraId="18E90528" w14:textId="77777777" w:rsidR="008E1F7B" w:rsidRDefault="008E1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C3E99"/>
    <w:multiLevelType w:val="hybridMultilevel"/>
    <w:tmpl w:val="384289B0"/>
    <w:lvl w:ilvl="0" w:tplc="58CE3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672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2C"/>
    <w:rsid w:val="00012948"/>
    <w:rsid w:val="00021938"/>
    <w:rsid w:val="00022164"/>
    <w:rsid w:val="0003206F"/>
    <w:rsid w:val="0004704C"/>
    <w:rsid w:val="00061606"/>
    <w:rsid w:val="00064557"/>
    <w:rsid w:val="00071AE7"/>
    <w:rsid w:val="000740EC"/>
    <w:rsid w:val="00086691"/>
    <w:rsid w:val="00087E6B"/>
    <w:rsid w:val="000A0265"/>
    <w:rsid w:val="000A0BFB"/>
    <w:rsid w:val="000A7D22"/>
    <w:rsid w:val="000B0663"/>
    <w:rsid w:val="000B0BD8"/>
    <w:rsid w:val="000B0ED4"/>
    <w:rsid w:val="000B2EE4"/>
    <w:rsid w:val="000C2571"/>
    <w:rsid w:val="000C5FD8"/>
    <w:rsid w:val="000D06AB"/>
    <w:rsid w:val="000D37D9"/>
    <w:rsid w:val="000D4478"/>
    <w:rsid w:val="000F22ED"/>
    <w:rsid w:val="000F5359"/>
    <w:rsid w:val="000F554E"/>
    <w:rsid w:val="00105959"/>
    <w:rsid w:val="001128F3"/>
    <w:rsid w:val="00116175"/>
    <w:rsid w:val="001171DD"/>
    <w:rsid w:val="00122072"/>
    <w:rsid w:val="0012503A"/>
    <w:rsid w:val="00126945"/>
    <w:rsid w:val="00130ED9"/>
    <w:rsid w:val="0013704E"/>
    <w:rsid w:val="00137133"/>
    <w:rsid w:val="00140A5B"/>
    <w:rsid w:val="00144770"/>
    <w:rsid w:val="00146A2A"/>
    <w:rsid w:val="00150D9D"/>
    <w:rsid w:val="001518C2"/>
    <w:rsid w:val="00173EA2"/>
    <w:rsid w:val="00174256"/>
    <w:rsid w:val="00177420"/>
    <w:rsid w:val="00186AF0"/>
    <w:rsid w:val="00190BD8"/>
    <w:rsid w:val="00190C38"/>
    <w:rsid w:val="00191CDF"/>
    <w:rsid w:val="001A3EED"/>
    <w:rsid w:val="001A4CB9"/>
    <w:rsid w:val="001C57BD"/>
    <w:rsid w:val="001D27A0"/>
    <w:rsid w:val="001D34F0"/>
    <w:rsid w:val="001D4430"/>
    <w:rsid w:val="001D554E"/>
    <w:rsid w:val="001D5D82"/>
    <w:rsid w:val="001D5E65"/>
    <w:rsid w:val="001E16F8"/>
    <w:rsid w:val="001E3A3B"/>
    <w:rsid w:val="001E5D7C"/>
    <w:rsid w:val="001E6F32"/>
    <w:rsid w:val="001F6E08"/>
    <w:rsid w:val="00201367"/>
    <w:rsid w:val="0020554C"/>
    <w:rsid w:val="00220917"/>
    <w:rsid w:val="00222429"/>
    <w:rsid w:val="002225F1"/>
    <w:rsid w:val="00224E3F"/>
    <w:rsid w:val="0023254B"/>
    <w:rsid w:val="00233722"/>
    <w:rsid w:val="002347A2"/>
    <w:rsid w:val="00236A16"/>
    <w:rsid w:val="00237B0B"/>
    <w:rsid w:val="00237F18"/>
    <w:rsid w:val="00257CF3"/>
    <w:rsid w:val="002626B3"/>
    <w:rsid w:val="00264B48"/>
    <w:rsid w:val="00265D57"/>
    <w:rsid w:val="002701E3"/>
    <w:rsid w:val="00273AF8"/>
    <w:rsid w:val="00274568"/>
    <w:rsid w:val="00282CB2"/>
    <w:rsid w:val="00286F16"/>
    <w:rsid w:val="00294C92"/>
    <w:rsid w:val="00295C51"/>
    <w:rsid w:val="002A0CAE"/>
    <w:rsid w:val="002B5D5E"/>
    <w:rsid w:val="002B6B9C"/>
    <w:rsid w:val="002C624A"/>
    <w:rsid w:val="002E3AA3"/>
    <w:rsid w:val="002E4A55"/>
    <w:rsid w:val="002E7C57"/>
    <w:rsid w:val="002F01E8"/>
    <w:rsid w:val="002F47EA"/>
    <w:rsid w:val="00300D56"/>
    <w:rsid w:val="003052C5"/>
    <w:rsid w:val="0031419E"/>
    <w:rsid w:val="00317580"/>
    <w:rsid w:val="00322367"/>
    <w:rsid w:val="00323EE5"/>
    <w:rsid w:val="003263D1"/>
    <w:rsid w:val="00331C7E"/>
    <w:rsid w:val="00362BA5"/>
    <w:rsid w:val="00366271"/>
    <w:rsid w:val="0037106A"/>
    <w:rsid w:val="003719FD"/>
    <w:rsid w:val="003725F5"/>
    <w:rsid w:val="00376CC8"/>
    <w:rsid w:val="003812D2"/>
    <w:rsid w:val="00381DE7"/>
    <w:rsid w:val="003853EC"/>
    <w:rsid w:val="00390D07"/>
    <w:rsid w:val="00394F22"/>
    <w:rsid w:val="003B02D4"/>
    <w:rsid w:val="003B6D12"/>
    <w:rsid w:val="003B6E96"/>
    <w:rsid w:val="003C6FF4"/>
    <w:rsid w:val="003E1969"/>
    <w:rsid w:val="003E2B5C"/>
    <w:rsid w:val="003E6606"/>
    <w:rsid w:val="003F5B44"/>
    <w:rsid w:val="004013C4"/>
    <w:rsid w:val="0040205E"/>
    <w:rsid w:val="00404B7E"/>
    <w:rsid w:val="00406D2F"/>
    <w:rsid w:val="004116E7"/>
    <w:rsid w:val="00413099"/>
    <w:rsid w:val="00420A76"/>
    <w:rsid w:val="004322E7"/>
    <w:rsid w:val="00433FE5"/>
    <w:rsid w:val="004355FB"/>
    <w:rsid w:val="004379A3"/>
    <w:rsid w:val="004519F9"/>
    <w:rsid w:val="004705FE"/>
    <w:rsid w:val="00472487"/>
    <w:rsid w:val="0047530A"/>
    <w:rsid w:val="0047619F"/>
    <w:rsid w:val="00476A0B"/>
    <w:rsid w:val="00480727"/>
    <w:rsid w:val="00480996"/>
    <w:rsid w:val="00481B5B"/>
    <w:rsid w:val="00491932"/>
    <w:rsid w:val="004A056C"/>
    <w:rsid w:val="004A0F26"/>
    <w:rsid w:val="004A628F"/>
    <w:rsid w:val="004B7C52"/>
    <w:rsid w:val="004C35A4"/>
    <w:rsid w:val="004C4651"/>
    <w:rsid w:val="004C50F4"/>
    <w:rsid w:val="004D0FE1"/>
    <w:rsid w:val="004D19D8"/>
    <w:rsid w:val="004D7231"/>
    <w:rsid w:val="004E3838"/>
    <w:rsid w:val="004E680A"/>
    <w:rsid w:val="004E7640"/>
    <w:rsid w:val="004F291C"/>
    <w:rsid w:val="004F2B89"/>
    <w:rsid w:val="004F32F4"/>
    <w:rsid w:val="004F4EBB"/>
    <w:rsid w:val="004F699E"/>
    <w:rsid w:val="00500D12"/>
    <w:rsid w:val="00504997"/>
    <w:rsid w:val="00517E5E"/>
    <w:rsid w:val="0052048D"/>
    <w:rsid w:val="0052481E"/>
    <w:rsid w:val="005258A5"/>
    <w:rsid w:val="005357FA"/>
    <w:rsid w:val="005362A6"/>
    <w:rsid w:val="00545221"/>
    <w:rsid w:val="0054633A"/>
    <w:rsid w:val="005521C4"/>
    <w:rsid w:val="00557E4B"/>
    <w:rsid w:val="00576A79"/>
    <w:rsid w:val="005770F0"/>
    <w:rsid w:val="00584597"/>
    <w:rsid w:val="005A2B85"/>
    <w:rsid w:val="005B41F9"/>
    <w:rsid w:val="005B71DC"/>
    <w:rsid w:val="005C1A63"/>
    <w:rsid w:val="005C66FE"/>
    <w:rsid w:val="005C7750"/>
    <w:rsid w:val="005D1724"/>
    <w:rsid w:val="005D45EB"/>
    <w:rsid w:val="005D67B7"/>
    <w:rsid w:val="005E31DC"/>
    <w:rsid w:val="005E3E47"/>
    <w:rsid w:val="005E40A3"/>
    <w:rsid w:val="005E5842"/>
    <w:rsid w:val="005F0D94"/>
    <w:rsid w:val="00605FDC"/>
    <w:rsid w:val="00606FE8"/>
    <w:rsid w:val="006070AE"/>
    <w:rsid w:val="006141F2"/>
    <w:rsid w:val="006144EE"/>
    <w:rsid w:val="006157CB"/>
    <w:rsid w:val="00626E9F"/>
    <w:rsid w:val="00634972"/>
    <w:rsid w:val="00636930"/>
    <w:rsid w:val="00636E18"/>
    <w:rsid w:val="006424A6"/>
    <w:rsid w:val="006438EF"/>
    <w:rsid w:val="00645747"/>
    <w:rsid w:val="00646315"/>
    <w:rsid w:val="0064709A"/>
    <w:rsid w:val="0065093F"/>
    <w:rsid w:val="006518DA"/>
    <w:rsid w:val="00652549"/>
    <w:rsid w:val="00654BD7"/>
    <w:rsid w:val="0065547E"/>
    <w:rsid w:val="00655D50"/>
    <w:rsid w:val="00656C20"/>
    <w:rsid w:val="00663B6F"/>
    <w:rsid w:val="00673FAE"/>
    <w:rsid w:val="00675DF7"/>
    <w:rsid w:val="0067610F"/>
    <w:rsid w:val="00693B64"/>
    <w:rsid w:val="00694A21"/>
    <w:rsid w:val="006A1BE6"/>
    <w:rsid w:val="006A1F33"/>
    <w:rsid w:val="006C06A8"/>
    <w:rsid w:val="006C5BEA"/>
    <w:rsid w:val="006C7E39"/>
    <w:rsid w:val="006D32D7"/>
    <w:rsid w:val="006D4218"/>
    <w:rsid w:val="006E27BF"/>
    <w:rsid w:val="006E2FCD"/>
    <w:rsid w:val="006F3CCA"/>
    <w:rsid w:val="006F70E6"/>
    <w:rsid w:val="00700993"/>
    <w:rsid w:val="007015A7"/>
    <w:rsid w:val="00703E63"/>
    <w:rsid w:val="0070428A"/>
    <w:rsid w:val="0070652B"/>
    <w:rsid w:val="00707CDC"/>
    <w:rsid w:val="007109A0"/>
    <w:rsid w:val="00714E9D"/>
    <w:rsid w:val="007274D2"/>
    <w:rsid w:val="007278FD"/>
    <w:rsid w:val="00730C5E"/>
    <w:rsid w:val="007314A0"/>
    <w:rsid w:val="0074170F"/>
    <w:rsid w:val="00747C51"/>
    <w:rsid w:val="0075537C"/>
    <w:rsid w:val="00756199"/>
    <w:rsid w:val="00760638"/>
    <w:rsid w:val="0076574E"/>
    <w:rsid w:val="00766F26"/>
    <w:rsid w:val="007722C7"/>
    <w:rsid w:val="0077445C"/>
    <w:rsid w:val="00774CD2"/>
    <w:rsid w:val="0077657D"/>
    <w:rsid w:val="007817B0"/>
    <w:rsid w:val="00782E32"/>
    <w:rsid w:val="0078494B"/>
    <w:rsid w:val="00787C14"/>
    <w:rsid w:val="00790B1C"/>
    <w:rsid w:val="00794703"/>
    <w:rsid w:val="007951DD"/>
    <w:rsid w:val="00795B29"/>
    <w:rsid w:val="007A724F"/>
    <w:rsid w:val="007A7828"/>
    <w:rsid w:val="007C4E5B"/>
    <w:rsid w:val="007D38F9"/>
    <w:rsid w:val="007D54F1"/>
    <w:rsid w:val="007D5587"/>
    <w:rsid w:val="007E1215"/>
    <w:rsid w:val="007E215B"/>
    <w:rsid w:val="007E4457"/>
    <w:rsid w:val="007E61CA"/>
    <w:rsid w:val="007E7D41"/>
    <w:rsid w:val="007F34EA"/>
    <w:rsid w:val="007F60A9"/>
    <w:rsid w:val="00800112"/>
    <w:rsid w:val="008066EF"/>
    <w:rsid w:val="00806703"/>
    <w:rsid w:val="0081363A"/>
    <w:rsid w:val="00822602"/>
    <w:rsid w:val="0082349F"/>
    <w:rsid w:val="0082371C"/>
    <w:rsid w:val="008252F2"/>
    <w:rsid w:val="00833412"/>
    <w:rsid w:val="00834C6B"/>
    <w:rsid w:val="00842C19"/>
    <w:rsid w:val="008508F7"/>
    <w:rsid w:val="00865D9C"/>
    <w:rsid w:val="00875142"/>
    <w:rsid w:val="00877ACA"/>
    <w:rsid w:val="00890596"/>
    <w:rsid w:val="00893F47"/>
    <w:rsid w:val="0089571E"/>
    <w:rsid w:val="00897E71"/>
    <w:rsid w:val="00897F58"/>
    <w:rsid w:val="008A1EB5"/>
    <w:rsid w:val="008A4067"/>
    <w:rsid w:val="008A5745"/>
    <w:rsid w:val="008A7D9A"/>
    <w:rsid w:val="008B5C5B"/>
    <w:rsid w:val="008C6FD5"/>
    <w:rsid w:val="008D09E1"/>
    <w:rsid w:val="008D1154"/>
    <w:rsid w:val="008D1DAD"/>
    <w:rsid w:val="008D5581"/>
    <w:rsid w:val="008E022D"/>
    <w:rsid w:val="008E15C4"/>
    <w:rsid w:val="008E1F7B"/>
    <w:rsid w:val="008E2A1A"/>
    <w:rsid w:val="008E6E2D"/>
    <w:rsid w:val="008F6CA2"/>
    <w:rsid w:val="0090452F"/>
    <w:rsid w:val="00906397"/>
    <w:rsid w:val="0091169D"/>
    <w:rsid w:val="00911B28"/>
    <w:rsid w:val="00915CEC"/>
    <w:rsid w:val="00920D92"/>
    <w:rsid w:val="00923087"/>
    <w:rsid w:val="00925202"/>
    <w:rsid w:val="00936F3D"/>
    <w:rsid w:val="00942A78"/>
    <w:rsid w:val="00953E63"/>
    <w:rsid w:val="00954B81"/>
    <w:rsid w:val="009550A1"/>
    <w:rsid w:val="0095703C"/>
    <w:rsid w:val="00957896"/>
    <w:rsid w:val="00966616"/>
    <w:rsid w:val="009725C7"/>
    <w:rsid w:val="00972DE9"/>
    <w:rsid w:val="0097427E"/>
    <w:rsid w:val="00975FFA"/>
    <w:rsid w:val="00976ECF"/>
    <w:rsid w:val="009A467C"/>
    <w:rsid w:val="009A7436"/>
    <w:rsid w:val="009B02AD"/>
    <w:rsid w:val="009B0CB2"/>
    <w:rsid w:val="009B38F8"/>
    <w:rsid w:val="009B4E54"/>
    <w:rsid w:val="009B7518"/>
    <w:rsid w:val="009C1DFA"/>
    <w:rsid w:val="009D048E"/>
    <w:rsid w:val="009E2D8F"/>
    <w:rsid w:val="009E510A"/>
    <w:rsid w:val="009E563A"/>
    <w:rsid w:val="009E6ED1"/>
    <w:rsid w:val="009F4BB3"/>
    <w:rsid w:val="009F4E2E"/>
    <w:rsid w:val="009F7B91"/>
    <w:rsid w:val="009F7ED8"/>
    <w:rsid w:val="00A15286"/>
    <w:rsid w:val="00A16762"/>
    <w:rsid w:val="00A30371"/>
    <w:rsid w:val="00A330DD"/>
    <w:rsid w:val="00A402D5"/>
    <w:rsid w:val="00A42994"/>
    <w:rsid w:val="00A42C64"/>
    <w:rsid w:val="00A434CD"/>
    <w:rsid w:val="00A445CC"/>
    <w:rsid w:val="00A46098"/>
    <w:rsid w:val="00A509E7"/>
    <w:rsid w:val="00A51284"/>
    <w:rsid w:val="00A55E07"/>
    <w:rsid w:val="00A565EE"/>
    <w:rsid w:val="00A61AB5"/>
    <w:rsid w:val="00A62E6F"/>
    <w:rsid w:val="00A63E8A"/>
    <w:rsid w:val="00A641A9"/>
    <w:rsid w:val="00A660FA"/>
    <w:rsid w:val="00A72673"/>
    <w:rsid w:val="00A73503"/>
    <w:rsid w:val="00A770E4"/>
    <w:rsid w:val="00A846DA"/>
    <w:rsid w:val="00A86109"/>
    <w:rsid w:val="00A87F66"/>
    <w:rsid w:val="00A900D8"/>
    <w:rsid w:val="00A960C1"/>
    <w:rsid w:val="00A979FF"/>
    <w:rsid w:val="00AA2A94"/>
    <w:rsid w:val="00AB06CA"/>
    <w:rsid w:val="00AB6927"/>
    <w:rsid w:val="00AD187A"/>
    <w:rsid w:val="00AD3BD7"/>
    <w:rsid w:val="00AE0AD6"/>
    <w:rsid w:val="00AE207E"/>
    <w:rsid w:val="00AE5EF1"/>
    <w:rsid w:val="00AE79CC"/>
    <w:rsid w:val="00AF4267"/>
    <w:rsid w:val="00B010D9"/>
    <w:rsid w:val="00B01963"/>
    <w:rsid w:val="00B06E69"/>
    <w:rsid w:val="00B0768C"/>
    <w:rsid w:val="00B124AA"/>
    <w:rsid w:val="00B178AE"/>
    <w:rsid w:val="00B20EA3"/>
    <w:rsid w:val="00B329F3"/>
    <w:rsid w:val="00B40CA0"/>
    <w:rsid w:val="00B43549"/>
    <w:rsid w:val="00B463FE"/>
    <w:rsid w:val="00B52164"/>
    <w:rsid w:val="00B541B2"/>
    <w:rsid w:val="00B64458"/>
    <w:rsid w:val="00B70A1A"/>
    <w:rsid w:val="00B7378C"/>
    <w:rsid w:val="00BA689A"/>
    <w:rsid w:val="00BB7E88"/>
    <w:rsid w:val="00BC0A09"/>
    <w:rsid w:val="00BC166F"/>
    <w:rsid w:val="00BC4F0E"/>
    <w:rsid w:val="00BD5E00"/>
    <w:rsid w:val="00BE107C"/>
    <w:rsid w:val="00BE174A"/>
    <w:rsid w:val="00BE1B41"/>
    <w:rsid w:val="00BE1E70"/>
    <w:rsid w:val="00BF3D45"/>
    <w:rsid w:val="00C05DE2"/>
    <w:rsid w:val="00C05F7A"/>
    <w:rsid w:val="00C14437"/>
    <w:rsid w:val="00C33B43"/>
    <w:rsid w:val="00C36780"/>
    <w:rsid w:val="00C42DB5"/>
    <w:rsid w:val="00C640C3"/>
    <w:rsid w:val="00C66669"/>
    <w:rsid w:val="00C753AF"/>
    <w:rsid w:val="00C81D74"/>
    <w:rsid w:val="00C9078D"/>
    <w:rsid w:val="00C947AA"/>
    <w:rsid w:val="00C96376"/>
    <w:rsid w:val="00CA2E34"/>
    <w:rsid w:val="00CA4DA7"/>
    <w:rsid w:val="00CB2CE7"/>
    <w:rsid w:val="00CB3506"/>
    <w:rsid w:val="00CB57FD"/>
    <w:rsid w:val="00CB72E5"/>
    <w:rsid w:val="00CD0D75"/>
    <w:rsid w:val="00CD1772"/>
    <w:rsid w:val="00CD5EF2"/>
    <w:rsid w:val="00CE3F53"/>
    <w:rsid w:val="00CE7591"/>
    <w:rsid w:val="00CE7DBB"/>
    <w:rsid w:val="00CE7DED"/>
    <w:rsid w:val="00D06571"/>
    <w:rsid w:val="00D110FF"/>
    <w:rsid w:val="00D177AB"/>
    <w:rsid w:val="00D215C9"/>
    <w:rsid w:val="00D23B7E"/>
    <w:rsid w:val="00D30119"/>
    <w:rsid w:val="00D306CA"/>
    <w:rsid w:val="00D30C07"/>
    <w:rsid w:val="00D32314"/>
    <w:rsid w:val="00D32881"/>
    <w:rsid w:val="00D34AF4"/>
    <w:rsid w:val="00D35FA9"/>
    <w:rsid w:val="00D45187"/>
    <w:rsid w:val="00D52C33"/>
    <w:rsid w:val="00D53738"/>
    <w:rsid w:val="00D626B2"/>
    <w:rsid w:val="00D67128"/>
    <w:rsid w:val="00D739F0"/>
    <w:rsid w:val="00D7427E"/>
    <w:rsid w:val="00D746FE"/>
    <w:rsid w:val="00D77F18"/>
    <w:rsid w:val="00D82B97"/>
    <w:rsid w:val="00D83664"/>
    <w:rsid w:val="00D91599"/>
    <w:rsid w:val="00DA1948"/>
    <w:rsid w:val="00DA4B74"/>
    <w:rsid w:val="00DA5FC5"/>
    <w:rsid w:val="00DA7BFD"/>
    <w:rsid w:val="00DB2784"/>
    <w:rsid w:val="00DB626F"/>
    <w:rsid w:val="00DB6CF1"/>
    <w:rsid w:val="00DC660D"/>
    <w:rsid w:val="00DD4314"/>
    <w:rsid w:val="00DD592C"/>
    <w:rsid w:val="00DE2245"/>
    <w:rsid w:val="00DE2EAA"/>
    <w:rsid w:val="00DE3164"/>
    <w:rsid w:val="00DE391D"/>
    <w:rsid w:val="00DE3CAD"/>
    <w:rsid w:val="00DE4F11"/>
    <w:rsid w:val="00DE64C5"/>
    <w:rsid w:val="00DF1BAC"/>
    <w:rsid w:val="00DF1C8C"/>
    <w:rsid w:val="00E0139D"/>
    <w:rsid w:val="00E0164E"/>
    <w:rsid w:val="00E20A41"/>
    <w:rsid w:val="00E3007B"/>
    <w:rsid w:val="00E34F1F"/>
    <w:rsid w:val="00E45BE1"/>
    <w:rsid w:val="00E54268"/>
    <w:rsid w:val="00E56B85"/>
    <w:rsid w:val="00E65882"/>
    <w:rsid w:val="00E704EC"/>
    <w:rsid w:val="00E80262"/>
    <w:rsid w:val="00E813D8"/>
    <w:rsid w:val="00E84AD3"/>
    <w:rsid w:val="00E9333B"/>
    <w:rsid w:val="00E933B2"/>
    <w:rsid w:val="00EA2A93"/>
    <w:rsid w:val="00EB6E8B"/>
    <w:rsid w:val="00EC4299"/>
    <w:rsid w:val="00EC4639"/>
    <w:rsid w:val="00ED032D"/>
    <w:rsid w:val="00ED2E75"/>
    <w:rsid w:val="00ED6355"/>
    <w:rsid w:val="00EE29E0"/>
    <w:rsid w:val="00EE59F4"/>
    <w:rsid w:val="00EE6397"/>
    <w:rsid w:val="00EE6C9A"/>
    <w:rsid w:val="00EE7F31"/>
    <w:rsid w:val="00EF1D99"/>
    <w:rsid w:val="00EF57FD"/>
    <w:rsid w:val="00EF79A5"/>
    <w:rsid w:val="00F00906"/>
    <w:rsid w:val="00F03C30"/>
    <w:rsid w:val="00F0465E"/>
    <w:rsid w:val="00F04B56"/>
    <w:rsid w:val="00F05115"/>
    <w:rsid w:val="00F1587E"/>
    <w:rsid w:val="00F172B8"/>
    <w:rsid w:val="00F23DC0"/>
    <w:rsid w:val="00F26DAC"/>
    <w:rsid w:val="00F36B82"/>
    <w:rsid w:val="00F4299E"/>
    <w:rsid w:val="00F42BCB"/>
    <w:rsid w:val="00F500D4"/>
    <w:rsid w:val="00F54687"/>
    <w:rsid w:val="00F633A3"/>
    <w:rsid w:val="00F650D2"/>
    <w:rsid w:val="00F80176"/>
    <w:rsid w:val="00F82F14"/>
    <w:rsid w:val="00F92F14"/>
    <w:rsid w:val="00F95ABE"/>
    <w:rsid w:val="00FA568A"/>
    <w:rsid w:val="00FB7D45"/>
    <w:rsid w:val="00FC49C8"/>
    <w:rsid w:val="00FC6F1E"/>
    <w:rsid w:val="00FD2A82"/>
    <w:rsid w:val="00FF2A7F"/>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6AE1"/>
  <w15:chartTrackingRefBased/>
  <w15:docId w15:val="{68809F52-274D-6842-87F6-2EFA2E18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F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2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063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6397"/>
  </w:style>
  <w:style w:type="paragraph" w:styleId="Footer">
    <w:name w:val="footer"/>
    <w:basedOn w:val="Normal"/>
    <w:link w:val="FooterChar"/>
    <w:uiPriority w:val="99"/>
    <w:unhideWhenUsed/>
    <w:rsid w:val="009063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6397"/>
  </w:style>
  <w:style w:type="character" w:styleId="PageNumber">
    <w:name w:val="page number"/>
    <w:basedOn w:val="DefaultParagraphFont"/>
    <w:uiPriority w:val="99"/>
    <w:semiHidden/>
    <w:unhideWhenUsed/>
    <w:rsid w:val="00906397"/>
  </w:style>
  <w:style w:type="paragraph" w:customStyle="1" w:styleId="EndNoteBibliography">
    <w:name w:val="EndNote Bibliography"/>
    <w:basedOn w:val="Normal"/>
    <w:link w:val="EndNoteBibliographyChar"/>
    <w:rsid w:val="00584597"/>
    <w:rPr>
      <w:rFonts w:ascii="Calibri" w:eastAsiaTheme="minorHAnsi" w:hAnsi="Calibri" w:cs="Calibri"/>
    </w:rPr>
  </w:style>
  <w:style w:type="character" w:customStyle="1" w:styleId="EndNoteBibliographyChar">
    <w:name w:val="EndNote Bibliography Char"/>
    <w:basedOn w:val="DefaultParagraphFont"/>
    <w:link w:val="EndNoteBibliography"/>
    <w:rsid w:val="00584597"/>
    <w:rPr>
      <w:rFonts w:ascii="Calibri" w:hAnsi="Calibri" w:cs="Calibri"/>
    </w:rPr>
  </w:style>
  <w:style w:type="table" w:styleId="TableGrid">
    <w:name w:val="Table Grid"/>
    <w:basedOn w:val="TableNormal"/>
    <w:uiPriority w:val="39"/>
    <w:rsid w:val="0058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927"/>
    <w:rPr>
      <w:sz w:val="16"/>
      <w:szCs w:val="16"/>
    </w:rPr>
  </w:style>
  <w:style w:type="paragraph" w:styleId="CommentText">
    <w:name w:val="annotation text"/>
    <w:basedOn w:val="Normal"/>
    <w:link w:val="CommentTextChar"/>
    <w:uiPriority w:val="99"/>
    <w:unhideWhenUsed/>
    <w:rsid w:val="00AB692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B6927"/>
    <w:rPr>
      <w:sz w:val="20"/>
      <w:szCs w:val="20"/>
    </w:rPr>
  </w:style>
  <w:style w:type="paragraph" w:styleId="CommentSubject">
    <w:name w:val="annotation subject"/>
    <w:basedOn w:val="CommentText"/>
    <w:next w:val="CommentText"/>
    <w:link w:val="CommentSubjectChar"/>
    <w:uiPriority w:val="99"/>
    <w:semiHidden/>
    <w:unhideWhenUsed/>
    <w:rsid w:val="00AB6927"/>
    <w:rPr>
      <w:b/>
      <w:bCs/>
    </w:rPr>
  </w:style>
  <w:style w:type="character" w:customStyle="1" w:styleId="CommentSubjectChar">
    <w:name w:val="Comment Subject Char"/>
    <w:basedOn w:val="CommentTextChar"/>
    <w:link w:val="CommentSubject"/>
    <w:uiPriority w:val="99"/>
    <w:semiHidden/>
    <w:rsid w:val="00AB6927"/>
    <w:rPr>
      <w:b/>
      <w:bCs/>
      <w:sz w:val="20"/>
      <w:szCs w:val="20"/>
    </w:rPr>
  </w:style>
  <w:style w:type="paragraph" w:styleId="BalloonText">
    <w:name w:val="Balloon Text"/>
    <w:basedOn w:val="Normal"/>
    <w:link w:val="BalloonTextChar"/>
    <w:uiPriority w:val="99"/>
    <w:semiHidden/>
    <w:unhideWhenUsed/>
    <w:rsid w:val="006518D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518DA"/>
    <w:rPr>
      <w:rFonts w:ascii="Segoe UI" w:hAnsi="Segoe UI" w:cs="Segoe UI"/>
      <w:sz w:val="18"/>
      <w:szCs w:val="18"/>
    </w:rPr>
  </w:style>
  <w:style w:type="paragraph" w:styleId="Revision">
    <w:name w:val="Revision"/>
    <w:hidden/>
    <w:uiPriority w:val="99"/>
    <w:semiHidden/>
    <w:rsid w:val="00AE79CC"/>
  </w:style>
  <w:style w:type="character" w:styleId="Hyperlink">
    <w:name w:val="Hyperlink"/>
    <w:basedOn w:val="DefaultParagraphFont"/>
    <w:uiPriority w:val="99"/>
    <w:unhideWhenUsed/>
    <w:rsid w:val="00A86109"/>
    <w:rPr>
      <w:color w:val="0000FF"/>
      <w:u w:val="single"/>
    </w:rPr>
  </w:style>
  <w:style w:type="character" w:styleId="UnresolvedMention">
    <w:name w:val="Unresolved Mention"/>
    <w:basedOn w:val="DefaultParagraphFont"/>
    <w:uiPriority w:val="99"/>
    <w:semiHidden/>
    <w:unhideWhenUsed/>
    <w:rsid w:val="00A8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2170">
      <w:bodyDiv w:val="1"/>
      <w:marLeft w:val="0"/>
      <w:marRight w:val="0"/>
      <w:marTop w:val="0"/>
      <w:marBottom w:val="0"/>
      <w:divBdr>
        <w:top w:val="none" w:sz="0" w:space="0" w:color="auto"/>
        <w:left w:val="none" w:sz="0" w:space="0" w:color="auto"/>
        <w:bottom w:val="none" w:sz="0" w:space="0" w:color="auto"/>
        <w:right w:val="none" w:sz="0" w:space="0" w:color="auto"/>
      </w:divBdr>
    </w:div>
    <w:div w:id="215043838">
      <w:bodyDiv w:val="1"/>
      <w:marLeft w:val="0"/>
      <w:marRight w:val="0"/>
      <w:marTop w:val="0"/>
      <w:marBottom w:val="0"/>
      <w:divBdr>
        <w:top w:val="none" w:sz="0" w:space="0" w:color="auto"/>
        <w:left w:val="none" w:sz="0" w:space="0" w:color="auto"/>
        <w:bottom w:val="none" w:sz="0" w:space="0" w:color="auto"/>
        <w:right w:val="none" w:sz="0" w:space="0" w:color="auto"/>
      </w:divBdr>
    </w:div>
    <w:div w:id="426388836">
      <w:bodyDiv w:val="1"/>
      <w:marLeft w:val="0"/>
      <w:marRight w:val="0"/>
      <w:marTop w:val="0"/>
      <w:marBottom w:val="0"/>
      <w:divBdr>
        <w:top w:val="none" w:sz="0" w:space="0" w:color="auto"/>
        <w:left w:val="none" w:sz="0" w:space="0" w:color="auto"/>
        <w:bottom w:val="none" w:sz="0" w:space="0" w:color="auto"/>
        <w:right w:val="none" w:sz="0" w:space="0" w:color="auto"/>
      </w:divBdr>
    </w:div>
    <w:div w:id="490755463">
      <w:bodyDiv w:val="1"/>
      <w:marLeft w:val="0"/>
      <w:marRight w:val="0"/>
      <w:marTop w:val="0"/>
      <w:marBottom w:val="0"/>
      <w:divBdr>
        <w:top w:val="none" w:sz="0" w:space="0" w:color="auto"/>
        <w:left w:val="none" w:sz="0" w:space="0" w:color="auto"/>
        <w:bottom w:val="none" w:sz="0" w:space="0" w:color="auto"/>
        <w:right w:val="none" w:sz="0" w:space="0" w:color="auto"/>
      </w:divBdr>
    </w:div>
    <w:div w:id="8192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 TargetMode="External"/><Relationship Id="rId18" Type="http://schemas.openxmlformats.org/officeDocument/2006/relationships/hyperlink" Target="https://doi" TargetMode="External"/><Relationship Id="rId26" Type="http://schemas.openxmlformats.org/officeDocument/2006/relationships/hyperlink" Target="https://doi" TargetMode="External"/><Relationship Id="rId39" Type="http://schemas.openxmlformats.org/officeDocument/2006/relationships/header" Target="header4.xml"/><Relationship Id="rId21" Type="http://schemas.openxmlformats.org/officeDocument/2006/relationships/hyperlink" Target="https://doi"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 TargetMode="External"/><Relationship Id="rId20" Type="http://schemas.openxmlformats.org/officeDocument/2006/relationships/hyperlink" Target="https://doi" TargetMode="External"/><Relationship Id="rId29" Type="http://schemas.openxmlformats.org/officeDocument/2006/relationships/hyperlink" Target="https://doi.org/10.1016/j.brat.2005.06.0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 TargetMode="External"/><Relationship Id="rId24" Type="http://schemas.openxmlformats.org/officeDocument/2006/relationships/hyperlink" Target="https://doi" TargetMode="External"/><Relationship Id="rId32" Type="http://schemas.openxmlformats.org/officeDocument/2006/relationships/hyperlink" Target="https://doi" TargetMode="External"/><Relationship Id="rId37" Type="http://schemas.openxmlformats.org/officeDocument/2006/relationships/footer" Target="footer2.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doi" TargetMode="External"/><Relationship Id="rId23" Type="http://schemas.openxmlformats.org/officeDocument/2006/relationships/hyperlink" Target="https://doi" TargetMode="External"/><Relationship Id="rId28" Type="http://schemas.openxmlformats.org/officeDocument/2006/relationships/hyperlink" Target="https://doi" TargetMode="External"/><Relationship Id="rId36" Type="http://schemas.openxmlformats.org/officeDocument/2006/relationships/footer" Target="footer1.xml"/><Relationship Id="rId10" Type="http://schemas.openxmlformats.org/officeDocument/2006/relationships/hyperlink" Target="https://doi" TargetMode="External"/><Relationship Id="rId19" Type="http://schemas.openxmlformats.org/officeDocument/2006/relationships/hyperlink" Target="https://doi" TargetMode="External"/><Relationship Id="rId31" Type="http://schemas.openxmlformats.org/officeDocument/2006/relationships/hyperlink" Target="https://doi" TargetMode="External"/><Relationship Id="rId4" Type="http://schemas.openxmlformats.org/officeDocument/2006/relationships/settings" Target="settings.xml"/><Relationship Id="rId9" Type="http://schemas.openxmlformats.org/officeDocument/2006/relationships/hyperlink" Target="https://doi" TargetMode="External"/><Relationship Id="rId14" Type="http://schemas.openxmlformats.org/officeDocument/2006/relationships/hyperlink" Target="https://doi" TargetMode="External"/><Relationship Id="rId22" Type="http://schemas.openxmlformats.org/officeDocument/2006/relationships/hyperlink" Target="https://doi" TargetMode="External"/><Relationship Id="rId27" Type="http://schemas.openxmlformats.org/officeDocument/2006/relationships/hyperlink" Target="https://doi" TargetMode="External"/><Relationship Id="rId30" Type="http://schemas.openxmlformats.org/officeDocument/2006/relationships/hyperlink" Target="https://doi" TargetMode="External"/><Relationship Id="rId35" Type="http://schemas.openxmlformats.org/officeDocument/2006/relationships/header" Target="header2.xml"/><Relationship Id="rId8" Type="http://schemas.openxmlformats.org/officeDocument/2006/relationships/hyperlink" Target="mailto:leila.capel@usu.edu" TargetMode="External"/><Relationship Id="rId3" Type="http://schemas.openxmlformats.org/officeDocument/2006/relationships/styles" Target="styles.xml"/><Relationship Id="rId12" Type="http://schemas.openxmlformats.org/officeDocument/2006/relationships/hyperlink" Target="https://doi" TargetMode="External"/><Relationship Id="rId17" Type="http://schemas.openxmlformats.org/officeDocument/2006/relationships/hyperlink" Target="https://doi" TargetMode="External"/><Relationship Id="rId25" Type="http://schemas.openxmlformats.org/officeDocument/2006/relationships/hyperlink" Target="https://doi" TargetMode="External"/><Relationship Id="rId33" Type="http://schemas.openxmlformats.org/officeDocument/2006/relationships/image" Target="media/image1.png"/><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D876-1663-4F95-A96A-E20C629A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9850</Words>
  <Characters>56151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Capel</dc:creator>
  <cp:keywords/>
  <dc:description/>
  <cp:lastModifiedBy>Leila Capel</cp:lastModifiedBy>
  <cp:revision>2</cp:revision>
  <dcterms:created xsi:type="dcterms:W3CDTF">2023-02-23T19:17:00Z</dcterms:created>
  <dcterms:modified xsi:type="dcterms:W3CDTF">2023-02-23T19:17:00Z</dcterms:modified>
</cp:coreProperties>
</file>