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567F9" w14:textId="4FB4C92F" w:rsidR="00EB3E00" w:rsidRPr="00FD6A4F" w:rsidRDefault="00EB3E00" w:rsidP="0087440A">
      <w:pPr>
        <w:spacing w:line="480" w:lineRule="auto"/>
        <w:rPr>
          <w:b/>
          <w:bCs/>
          <w:color w:val="000000" w:themeColor="text1"/>
        </w:rPr>
      </w:pPr>
    </w:p>
    <w:p w14:paraId="130F0060" w14:textId="418E12D4" w:rsidR="00EB3E00" w:rsidRPr="00FD6A4F" w:rsidRDefault="00EB3E00" w:rsidP="0087440A">
      <w:pPr>
        <w:spacing w:line="480" w:lineRule="auto"/>
        <w:rPr>
          <w:b/>
          <w:bCs/>
          <w:color w:val="000000" w:themeColor="text1"/>
        </w:rPr>
      </w:pPr>
    </w:p>
    <w:p w14:paraId="02753273" w14:textId="7A20B283" w:rsidR="00EB3E00" w:rsidRPr="00FD6A4F" w:rsidRDefault="00EB3E00" w:rsidP="0087440A">
      <w:pPr>
        <w:spacing w:line="480" w:lineRule="auto"/>
        <w:rPr>
          <w:color w:val="000000" w:themeColor="text1"/>
        </w:rPr>
      </w:pPr>
    </w:p>
    <w:p w14:paraId="5CA09EF0" w14:textId="7913D973" w:rsidR="0087440A" w:rsidRPr="00FD6A4F" w:rsidRDefault="001A037D" w:rsidP="0087440A">
      <w:pPr>
        <w:spacing w:line="480" w:lineRule="auto"/>
        <w:jc w:val="center"/>
        <w:rPr>
          <w:b/>
          <w:bCs/>
          <w:color w:val="000000" w:themeColor="text1"/>
        </w:rPr>
      </w:pPr>
      <w:r w:rsidRPr="00FD6A4F">
        <w:rPr>
          <w:b/>
          <w:bCs/>
          <w:color w:val="000000" w:themeColor="text1"/>
        </w:rPr>
        <w:t>Making Space: A Randomized Waitlist-Controlled Trial of an Acceptance and Commitment Therapy Website for Hoarding</w:t>
      </w:r>
    </w:p>
    <w:p w14:paraId="67157F03" w14:textId="77777777" w:rsidR="00F16C3C" w:rsidRDefault="00F16C3C" w:rsidP="00F16C3C">
      <w:pPr>
        <w:spacing w:line="480" w:lineRule="auto"/>
        <w:jc w:val="center"/>
        <w:rPr>
          <w:color w:val="000000" w:themeColor="text1"/>
        </w:rPr>
      </w:pPr>
    </w:p>
    <w:p w14:paraId="663B8AAE" w14:textId="66BC765B" w:rsidR="00F16C3C" w:rsidRPr="00FD6A4F" w:rsidRDefault="00F16C3C" w:rsidP="00F16C3C">
      <w:pPr>
        <w:spacing w:line="480" w:lineRule="auto"/>
        <w:jc w:val="center"/>
        <w:rPr>
          <w:color w:val="000000" w:themeColor="text1"/>
        </w:rPr>
      </w:pPr>
      <w:r w:rsidRPr="00FD6A4F">
        <w:rPr>
          <w:color w:val="000000" w:themeColor="text1"/>
        </w:rPr>
        <w:t>Jennifer Krafft</w:t>
      </w:r>
      <w:r w:rsidRPr="00FD6A4F">
        <w:rPr>
          <w:color w:val="000000" w:themeColor="text1"/>
          <w:vertAlign w:val="superscript"/>
        </w:rPr>
        <w:t>1</w:t>
      </w:r>
      <w:r>
        <w:rPr>
          <w:color w:val="000000" w:themeColor="text1"/>
          <w:vertAlign w:val="superscript"/>
        </w:rPr>
        <w:t>,2</w:t>
      </w:r>
      <w:r w:rsidRPr="00FD6A4F">
        <w:rPr>
          <w:color w:val="000000" w:themeColor="text1"/>
        </w:rPr>
        <w:t>*, Juli</w:t>
      </w:r>
      <w:r>
        <w:rPr>
          <w:color w:val="000000" w:themeColor="text1"/>
        </w:rPr>
        <w:t>e</w:t>
      </w:r>
      <w:r w:rsidRPr="00FD6A4F">
        <w:rPr>
          <w:color w:val="000000" w:themeColor="text1"/>
        </w:rPr>
        <w:t xml:space="preserve"> M. Petersen</w:t>
      </w:r>
      <w:r w:rsidRPr="00FD6A4F">
        <w:rPr>
          <w:color w:val="000000" w:themeColor="text1"/>
          <w:vertAlign w:val="superscript"/>
        </w:rPr>
        <w:t>1</w:t>
      </w:r>
      <w:r w:rsidRPr="00FD6A4F">
        <w:rPr>
          <w:color w:val="000000" w:themeColor="text1"/>
        </w:rPr>
        <w:t>, Clarissa W. Ong</w:t>
      </w:r>
      <w:r>
        <w:rPr>
          <w:color w:val="000000" w:themeColor="text1"/>
          <w:vertAlign w:val="superscript"/>
        </w:rPr>
        <w:t>1,3</w:t>
      </w:r>
      <w:r w:rsidRPr="00FD6A4F">
        <w:rPr>
          <w:color w:val="000000" w:themeColor="text1"/>
        </w:rPr>
        <w:t>, Michael P. Twohig</w:t>
      </w:r>
      <w:r w:rsidRPr="00FD6A4F">
        <w:rPr>
          <w:color w:val="000000" w:themeColor="text1"/>
          <w:vertAlign w:val="superscript"/>
        </w:rPr>
        <w:t>1</w:t>
      </w:r>
      <w:r w:rsidRPr="00FD6A4F">
        <w:rPr>
          <w:color w:val="000000" w:themeColor="text1"/>
        </w:rPr>
        <w:t>, and Michael E. Levin</w:t>
      </w:r>
      <w:r w:rsidRPr="00FD6A4F">
        <w:rPr>
          <w:color w:val="000000" w:themeColor="text1"/>
          <w:vertAlign w:val="superscript"/>
        </w:rPr>
        <w:t>1</w:t>
      </w:r>
    </w:p>
    <w:p w14:paraId="15442BFA" w14:textId="77777777" w:rsidR="00F16C3C" w:rsidRDefault="00F16C3C" w:rsidP="00F16C3C">
      <w:pPr>
        <w:spacing w:line="480" w:lineRule="auto"/>
        <w:jc w:val="center"/>
        <w:rPr>
          <w:color w:val="000000" w:themeColor="text1"/>
        </w:rPr>
      </w:pPr>
      <w:r w:rsidRPr="00FD6A4F">
        <w:rPr>
          <w:color w:val="000000" w:themeColor="text1"/>
          <w:vertAlign w:val="superscript"/>
        </w:rPr>
        <w:t>1</w:t>
      </w:r>
      <w:r w:rsidRPr="00FD6A4F">
        <w:rPr>
          <w:color w:val="000000" w:themeColor="text1"/>
        </w:rPr>
        <w:t>Department of Psychology, Utah State University, Logan,</w:t>
      </w:r>
      <w:r>
        <w:rPr>
          <w:color w:val="000000" w:themeColor="text1"/>
        </w:rPr>
        <w:t xml:space="preserve"> UT,</w:t>
      </w:r>
      <w:r w:rsidRPr="00FD6A4F">
        <w:rPr>
          <w:color w:val="000000" w:themeColor="text1"/>
        </w:rPr>
        <w:t xml:space="preserve"> United States of America</w:t>
      </w:r>
    </w:p>
    <w:p w14:paraId="7357C579" w14:textId="77777777" w:rsidR="00F16C3C" w:rsidRDefault="00F16C3C" w:rsidP="00F16C3C">
      <w:pPr>
        <w:spacing w:line="480" w:lineRule="auto"/>
        <w:jc w:val="center"/>
        <w:rPr>
          <w:color w:val="000000" w:themeColor="text1"/>
        </w:rPr>
      </w:pPr>
      <w:r>
        <w:rPr>
          <w:color w:val="000000" w:themeColor="text1"/>
          <w:vertAlign w:val="superscript"/>
        </w:rPr>
        <w:t>2</w:t>
      </w:r>
      <w:r w:rsidRPr="00FD6A4F">
        <w:rPr>
          <w:color w:val="000000" w:themeColor="text1"/>
        </w:rPr>
        <w:t xml:space="preserve">Department of Psychology, </w:t>
      </w:r>
      <w:r>
        <w:rPr>
          <w:color w:val="000000" w:themeColor="text1"/>
        </w:rPr>
        <w:t>Mississippi</w:t>
      </w:r>
      <w:r w:rsidRPr="00FD6A4F">
        <w:rPr>
          <w:color w:val="000000" w:themeColor="text1"/>
        </w:rPr>
        <w:t xml:space="preserve"> State University, </w:t>
      </w:r>
      <w:r>
        <w:t>Mississippi State, MS</w:t>
      </w:r>
      <w:r w:rsidRPr="00FD6A4F">
        <w:rPr>
          <w:color w:val="000000" w:themeColor="text1"/>
        </w:rPr>
        <w:t>, United States of America</w:t>
      </w:r>
    </w:p>
    <w:p w14:paraId="093FA0E1" w14:textId="77777777" w:rsidR="00F16C3C" w:rsidRPr="00DB5179" w:rsidRDefault="00F16C3C" w:rsidP="00F16C3C">
      <w:pPr>
        <w:spacing w:line="480" w:lineRule="auto"/>
        <w:jc w:val="center"/>
        <w:rPr>
          <w:color w:val="000000" w:themeColor="text1"/>
        </w:rPr>
      </w:pPr>
      <w:r>
        <w:rPr>
          <w:color w:val="000000" w:themeColor="text1"/>
          <w:vertAlign w:val="superscript"/>
        </w:rPr>
        <w:t>3</w:t>
      </w:r>
      <w:r>
        <w:rPr>
          <w:color w:val="000000" w:themeColor="text1"/>
        </w:rPr>
        <w:t>Department of Psychology, University of Toledo, Toledo, OH, United States of America</w:t>
      </w:r>
    </w:p>
    <w:p w14:paraId="690B9D32" w14:textId="77777777" w:rsidR="00F16C3C" w:rsidRPr="00FD6A4F" w:rsidRDefault="00F16C3C" w:rsidP="00F16C3C">
      <w:pPr>
        <w:spacing w:line="480" w:lineRule="auto"/>
        <w:jc w:val="center"/>
        <w:rPr>
          <w:color w:val="000000" w:themeColor="text1"/>
        </w:rPr>
      </w:pPr>
      <w:r w:rsidRPr="00FD6A4F">
        <w:rPr>
          <w:color w:val="000000" w:themeColor="text1"/>
        </w:rPr>
        <w:t>*Corresponding author</w:t>
      </w:r>
    </w:p>
    <w:p w14:paraId="7D9A6F9C" w14:textId="77777777" w:rsidR="00F16C3C" w:rsidRPr="00FD6A4F" w:rsidRDefault="00F16C3C" w:rsidP="00F16C3C">
      <w:pPr>
        <w:spacing w:line="480" w:lineRule="auto"/>
        <w:rPr>
          <w:color w:val="000000" w:themeColor="text1"/>
        </w:rPr>
      </w:pPr>
    </w:p>
    <w:p w14:paraId="28B8BBD1" w14:textId="77777777" w:rsidR="00F16C3C" w:rsidRPr="00FD6A4F" w:rsidRDefault="00F16C3C" w:rsidP="00F16C3C">
      <w:pPr>
        <w:spacing w:line="480" w:lineRule="auto"/>
        <w:rPr>
          <w:color w:val="000000" w:themeColor="text1"/>
        </w:rPr>
      </w:pPr>
    </w:p>
    <w:p w14:paraId="520A1C6A" w14:textId="77777777" w:rsidR="00F16C3C" w:rsidRPr="00FD6A4F" w:rsidRDefault="00F16C3C" w:rsidP="00F16C3C">
      <w:pPr>
        <w:jc w:val="center"/>
        <w:rPr>
          <w:b/>
          <w:bCs/>
          <w:color w:val="000000" w:themeColor="text1"/>
        </w:rPr>
      </w:pPr>
      <w:r w:rsidRPr="00FD6A4F">
        <w:rPr>
          <w:b/>
          <w:bCs/>
          <w:color w:val="000000" w:themeColor="text1"/>
        </w:rPr>
        <w:t>Author Note</w:t>
      </w:r>
    </w:p>
    <w:p w14:paraId="68F0E007" w14:textId="77777777" w:rsidR="00F16C3C" w:rsidRPr="00FD6A4F" w:rsidRDefault="00F16C3C" w:rsidP="00F16C3C">
      <w:pPr>
        <w:rPr>
          <w:color w:val="000000" w:themeColor="text1"/>
        </w:rPr>
      </w:pPr>
      <w:r w:rsidRPr="00FD6A4F">
        <w:rPr>
          <w:color w:val="000000" w:themeColor="text1"/>
        </w:rPr>
        <w:tab/>
        <w:t>The authors have no conflict of interest to report.</w:t>
      </w:r>
    </w:p>
    <w:p w14:paraId="7BCF5E5B" w14:textId="77777777" w:rsidR="00F16C3C" w:rsidRDefault="00F16C3C" w:rsidP="00F16C3C">
      <w:pPr>
        <w:rPr>
          <w:color w:val="000000" w:themeColor="text1"/>
        </w:rPr>
      </w:pPr>
      <w:r w:rsidRPr="00FD6A4F">
        <w:rPr>
          <w:color w:val="000000" w:themeColor="text1"/>
        </w:rPr>
        <w:tab/>
        <w:t>This study received funding from the Utah State University Graduate Research and Creative Opportunities Grant, the Utah State University Emma Eccles Jones College of Education and Human Services, and the Utah State University Department of Psychology.</w:t>
      </w:r>
      <w:r>
        <w:rPr>
          <w:color w:val="000000" w:themeColor="text1"/>
        </w:rPr>
        <w:t xml:space="preserve"> </w:t>
      </w:r>
      <w:r w:rsidRPr="000166AF">
        <w:rPr>
          <w:color w:val="000000" w:themeColor="text1"/>
        </w:rPr>
        <w:t>Sponsors had no role in study design, data collection or analysis, or manuscript preparation.</w:t>
      </w:r>
    </w:p>
    <w:p w14:paraId="5D63C5E3" w14:textId="77777777" w:rsidR="00F16C3C" w:rsidRPr="009C3535" w:rsidRDefault="00F16C3C" w:rsidP="00F16C3C">
      <w:r>
        <w:tab/>
      </w:r>
      <w:r w:rsidRPr="000166AF">
        <w:t>J. K. designed and directed the study under the supervision of M. L. J. K. and J. P. implemented the study procedures. All authors discussed the results and shaped the final manuscript. All authors have approved the final article.</w:t>
      </w:r>
    </w:p>
    <w:p w14:paraId="57AB86FB" w14:textId="77777777" w:rsidR="00F16C3C" w:rsidRPr="000166AF" w:rsidRDefault="00F16C3C" w:rsidP="00F16C3C">
      <w:pPr>
        <w:rPr>
          <w:b/>
          <w:bCs/>
        </w:rPr>
      </w:pPr>
      <w:r w:rsidRPr="00FD6A4F">
        <w:rPr>
          <w:color w:val="000000" w:themeColor="text1"/>
        </w:rPr>
        <w:tab/>
        <w:t xml:space="preserve">Correspondence concerning this article should be addressed to Jennifer Krafft, Department of Psychology, </w:t>
      </w:r>
      <w:r>
        <w:t>110 Magruder Hall, 255 Lee Blvd, Mississippi State, MS 39762</w:t>
      </w:r>
      <w:r w:rsidRPr="00FD6A4F">
        <w:rPr>
          <w:color w:val="000000" w:themeColor="text1"/>
        </w:rPr>
        <w:t xml:space="preserve">. Email: </w:t>
      </w:r>
      <w:r>
        <w:rPr>
          <w:color w:val="000000" w:themeColor="text1"/>
        </w:rPr>
        <w:t>jek299@msstate.edu</w:t>
      </w:r>
    </w:p>
    <w:p w14:paraId="167390AC" w14:textId="77777777" w:rsidR="0053504F" w:rsidRPr="00FD6A4F" w:rsidRDefault="0053504F" w:rsidP="007F083D">
      <w:pPr>
        <w:spacing w:line="480" w:lineRule="auto"/>
        <w:rPr>
          <w:color w:val="000000" w:themeColor="text1"/>
        </w:rPr>
      </w:pPr>
    </w:p>
    <w:p w14:paraId="27C92072" w14:textId="77777777" w:rsidR="002D6691" w:rsidRPr="00FD6A4F" w:rsidRDefault="002D6691" w:rsidP="002D6691">
      <w:pPr>
        <w:spacing w:line="480" w:lineRule="auto"/>
        <w:rPr>
          <w:color w:val="000000" w:themeColor="text1"/>
        </w:rPr>
      </w:pPr>
    </w:p>
    <w:p w14:paraId="186D5757" w14:textId="71AFCAA1" w:rsidR="00C910D6" w:rsidRPr="00F16C3C" w:rsidRDefault="00C910D6" w:rsidP="00F16C3C">
      <w:pPr>
        <w:autoSpaceDE w:val="0"/>
        <w:autoSpaceDN w:val="0"/>
        <w:adjustRightInd w:val="0"/>
        <w:spacing w:line="480" w:lineRule="auto"/>
        <w:jc w:val="center"/>
        <w:rPr>
          <w:color w:val="000000" w:themeColor="text1"/>
        </w:rPr>
      </w:pPr>
      <w:r w:rsidRPr="00F16C3C">
        <w:rPr>
          <w:b/>
          <w:color w:val="000000" w:themeColor="text1"/>
        </w:rPr>
        <w:lastRenderedPageBreak/>
        <w:t>Abstract</w:t>
      </w:r>
    </w:p>
    <w:p w14:paraId="6E7A8B06" w14:textId="77777777" w:rsidR="00463DC5" w:rsidRDefault="00463DC5" w:rsidP="004A375A">
      <w:pPr>
        <w:widowControl w:val="0"/>
        <w:spacing w:line="480" w:lineRule="auto"/>
        <w:rPr>
          <w:color w:val="000000" w:themeColor="text1"/>
        </w:rPr>
      </w:pPr>
      <w:r>
        <w:rPr>
          <w:color w:val="000000" w:themeColor="text1"/>
        </w:rPr>
        <w:t xml:space="preserve">Background: </w:t>
      </w:r>
      <w:r w:rsidR="003D07CC">
        <w:rPr>
          <w:color w:val="000000" w:themeColor="text1"/>
        </w:rPr>
        <w:t xml:space="preserve">Hoarding disorder causes significant impairment, but existing treatments have notable barriers to access and do not target several psychological processes </w:t>
      </w:r>
      <w:r w:rsidR="00A0409C">
        <w:rPr>
          <w:color w:val="000000" w:themeColor="text1"/>
        </w:rPr>
        <w:t>that may contribute</w:t>
      </w:r>
      <w:r w:rsidR="003D07CC">
        <w:rPr>
          <w:color w:val="000000" w:themeColor="text1"/>
        </w:rPr>
        <w:t xml:space="preserve"> to hoarding. Therefore, this study evaluated a</w:t>
      </w:r>
      <w:r w:rsidR="00A0409C">
        <w:rPr>
          <w:color w:val="000000" w:themeColor="text1"/>
        </w:rPr>
        <w:t>n</w:t>
      </w:r>
      <w:r w:rsidR="003D07CC">
        <w:rPr>
          <w:color w:val="000000" w:themeColor="text1"/>
        </w:rPr>
        <w:t xml:space="preserve"> acceptance and commitment therapy (ACT) self-help website for hoarding with minimal coaching in a randomized waitlist-controlled trial to evaluate initial feasibility and efficacy. </w:t>
      </w:r>
    </w:p>
    <w:p w14:paraId="415026C2" w14:textId="67FF32B2" w:rsidR="00463DC5" w:rsidRDefault="00463DC5" w:rsidP="004A375A">
      <w:pPr>
        <w:widowControl w:val="0"/>
        <w:spacing w:line="480" w:lineRule="auto"/>
        <w:rPr>
          <w:color w:val="000000" w:themeColor="text1"/>
        </w:rPr>
      </w:pPr>
      <w:r>
        <w:rPr>
          <w:color w:val="000000" w:themeColor="text1"/>
        </w:rPr>
        <w:t xml:space="preserve">Methods: </w:t>
      </w:r>
      <w:r w:rsidR="003D07CC">
        <w:rPr>
          <w:color w:val="000000" w:themeColor="text1"/>
        </w:rPr>
        <w:t xml:space="preserve">Participants were 73 </w:t>
      </w:r>
      <w:r w:rsidR="008A0727">
        <w:rPr>
          <w:color w:val="000000" w:themeColor="text1"/>
        </w:rPr>
        <w:t xml:space="preserve">U.S.-based </w:t>
      </w:r>
      <w:r w:rsidR="003D07CC">
        <w:rPr>
          <w:color w:val="000000" w:themeColor="text1"/>
        </w:rPr>
        <w:t xml:space="preserve">adults with clinically significant hoarding symptoms. The website comprised 16 </w:t>
      </w:r>
      <w:r w:rsidR="00A67334">
        <w:rPr>
          <w:color w:val="000000" w:themeColor="text1"/>
        </w:rPr>
        <w:t xml:space="preserve">self-help </w:t>
      </w:r>
      <w:r w:rsidR="003D07CC">
        <w:rPr>
          <w:color w:val="000000" w:themeColor="text1"/>
        </w:rPr>
        <w:t xml:space="preserve">sessions </w:t>
      </w:r>
      <w:r w:rsidR="00A67334">
        <w:rPr>
          <w:color w:val="000000" w:themeColor="text1"/>
        </w:rPr>
        <w:t xml:space="preserve">to </w:t>
      </w:r>
      <w:r w:rsidR="008A0727">
        <w:rPr>
          <w:color w:val="000000" w:themeColor="text1"/>
        </w:rPr>
        <w:t xml:space="preserve">be </w:t>
      </w:r>
      <w:r w:rsidR="00A67334">
        <w:rPr>
          <w:color w:val="000000" w:themeColor="text1"/>
        </w:rPr>
        <w:t>complete</w:t>
      </w:r>
      <w:r w:rsidR="008A0727">
        <w:rPr>
          <w:color w:val="000000" w:themeColor="text1"/>
        </w:rPr>
        <w:t>d</w:t>
      </w:r>
      <w:r w:rsidR="00A67334">
        <w:rPr>
          <w:color w:val="000000" w:themeColor="text1"/>
        </w:rPr>
        <w:t xml:space="preserve"> </w:t>
      </w:r>
      <w:r w:rsidR="008A0727">
        <w:rPr>
          <w:color w:val="000000" w:themeColor="text1"/>
        </w:rPr>
        <w:t xml:space="preserve">over </w:t>
      </w:r>
      <w:r w:rsidR="0070369B">
        <w:rPr>
          <w:color w:val="000000" w:themeColor="text1"/>
        </w:rPr>
        <w:t>8 weeks.</w:t>
      </w:r>
      <w:r w:rsidR="003D07CC">
        <w:rPr>
          <w:color w:val="000000" w:themeColor="text1"/>
        </w:rPr>
        <w:t xml:space="preserve"> </w:t>
      </w:r>
      <w:r w:rsidR="008A0727">
        <w:rPr>
          <w:color w:val="000000" w:themeColor="text1"/>
        </w:rPr>
        <w:t>M</w:t>
      </w:r>
      <w:r w:rsidR="003D07CC">
        <w:rPr>
          <w:color w:val="000000" w:themeColor="text1"/>
        </w:rPr>
        <w:t>easures were taken at baseline, posttreatment, and 1-month follow-up.</w:t>
      </w:r>
      <w:r w:rsidR="00FB0DF6">
        <w:rPr>
          <w:color w:val="000000" w:themeColor="text1"/>
        </w:rPr>
        <w:t xml:space="preserve"> </w:t>
      </w:r>
    </w:p>
    <w:p w14:paraId="700B93ED" w14:textId="4448D12C" w:rsidR="00463DC5" w:rsidRDefault="00463DC5" w:rsidP="004A375A">
      <w:pPr>
        <w:widowControl w:val="0"/>
        <w:spacing w:line="480" w:lineRule="auto"/>
        <w:rPr>
          <w:color w:val="000000" w:themeColor="text1"/>
        </w:rPr>
      </w:pPr>
      <w:r>
        <w:rPr>
          <w:color w:val="000000" w:themeColor="text1"/>
        </w:rPr>
        <w:t>Results: M</w:t>
      </w:r>
      <w:r w:rsidR="00FB0DF6">
        <w:rPr>
          <w:color w:val="000000" w:themeColor="text1"/>
        </w:rPr>
        <w:t>ultilevel models</w:t>
      </w:r>
      <w:r w:rsidR="008A0727">
        <w:rPr>
          <w:color w:val="000000" w:themeColor="text1"/>
        </w:rPr>
        <w:t xml:space="preserve"> indicated that</w:t>
      </w:r>
      <w:r w:rsidR="00FB0DF6">
        <w:rPr>
          <w:color w:val="000000" w:themeColor="text1"/>
        </w:rPr>
        <w:t xml:space="preserve"> the ACT condition improved significantly more than waitlist on hoarding symptom severity</w:t>
      </w:r>
      <w:r w:rsidR="008A0727">
        <w:rPr>
          <w:color w:val="000000" w:themeColor="text1"/>
        </w:rPr>
        <w:t xml:space="preserve"> (the primary outcome</w:t>
      </w:r>
      <w:r w:rsidR="00FB0DF6">
        <w:rPr>
          <w:color w:val="000000" w:themeColor="text1"/>
        </w:rPr>
        <w:t>;</w:t>
      </w:r>
      <w:r w:rsidR="00FB0DF6">
        <w:rPr>
          <w:color w:val="000000" w:themeColor="text1"/>
        </w:rPr>
        <w:sym w:font="Symbol" w:char="F020"/>
      </w:r>
      <w:r w:rsidR="00FB0DF6">
        <w:rPr>
          <w:color w:val="000000" w:themeColor="text1"/>
        </w:rPr>
        <w:sym w:font="Symbol" w:char="F062"/>
      </w:r>
      <w:r w:rsidR="00FB0DF6">
        <w:rPr>
          <w:color w:val="000000" w:themeColor="text1"/>
        </w:rPr>
        <w:t xml:space="preserve"> = </w:t>
      </w:r>
      <w:r w:rsidR="00FB0DF6" w:rsidRPr="00FD6A4F">
        <w:rPr>
          <w:color w:val="000000" w:themeColor="text1"/>
        </w:rPr>
        <w:t>0.74</w:t>
      </w:r>
      <w:r w:rsidR="00FB0DF6">
        <w:rPr>
          <w:color w:val="000000" w:themeColor="text1"/>
        </w:rPr>
        <w:t xml:space="preserve">, </w:t>
      </w:r>
      <w:r w:rsidR="00F76283">
        <w:rPr>
          <w:color w:val="000000" w:themeColor="text1"/>
        </w:rPr>
        <w:t xml:space="preserve">Holm-corrected </w:t>
      </w:r>
      <w:r w:rsidR="00FB0DF6">
        <w:rPr>
          <w:i/>
          <w:iCs/>
          <w:color w:val="000000" w:themeColor="text1"/>
        </w:rPr>
        <w:t>p</w:t>
      </w:r>
      <w:r w:rsidR="00FB0DF6">
        <w:rPr>
          <w:color w:val="000000" w:themeColor="text1"/>
        </w:rPr>
        <w:t xml:space="preserve"> </w:t>
      </w:r>
      <w:r w:rsidR="00667651">
        <w:rPr>
          <w:color w:val="000000" w:themeColor="text1"/>
        </w:rPr>
        <w:t>=</w:t>
      </w:r>
      <w:r w:rsidR="00FB0DF6">
        <w:rPr>
          <w:color w:val="000000" w:themeColor="text1"/>
        </w:rPr>
        <w:t xml:space="preserve"> .01) as well as secondary outcomes (e.g., functional impairment, well-being, and progress toward personal values, </w:t>
      </w:r>
      <w:r w:rsidR="003E1329">
        <w:rPr>
          <w:color w:val="000000" w:themeColor="text1"/>
        </w:rPr>
        <w:t xml:space="preserve">Holm-corrected </w:t>
      </w:r>
      <w:proofErr w:type="spellStart"/>
      <w:r w:rsidR="00FB0DF6">
        <w:rPr>
          <w:i/>
          <w:iCs/>
          <w:color w:val="000000" w:themeColor="text1"/>
        </w:rPr>
        <w:t>p</w:t>
      </w:r>
      <w:r w:rsidR="00FB0DF6">
        <w:rPr>
          <w:color w:val="000000" w:themeColor="text1"/>
        </w:rPr>
        <w:t>s</w:t>
      </w:r>
      <w:proofErr w:type="spellEnd"/>
      <w:r w:rsidR="00FB0DF6">
        <w:rPr>
          <w:color w:val="000000" w:themeColor="text1"/>
        </w:rPr>
        <w:t xml:space="preserve"> &lt; .05). Rates of reliable (34.61%) and clinically significant (11.54%) change </w:t>
      </w:r>
      <w:r w:rsidR="00F83971">
        <w:rPr>
          <w:color w:val="000000" w:themeColor="text1"/>
        </w:rPr>
        <w:t xml:space="preserve">at posttreatment </w:t>
      </w:r>
      <w:r w:rsidR="00FB0DF6">
        <w:rPr>
          <w:color w:val="000000" w:themeColor="text1"/>
        </w:rPr>
        <w:t>were limited</w:t>
      </w:r>
      <w:r w:rsidR="00F83971">
        <w:rPr>
          <w:color w:val="000000" w:themeColor="text1"/>
        </w:rPr>
        <w:t>, with no significant differences between groups</w:t>
      </w:r>
      <w:r w:rsidR="00FB0DF6">
        <w:rPr>
          <w:color w:val="000000" w:themeColor="text1"/>
        </w:rPr>
        <w:t xml:space="preserve">. Responses indicated that this intervention was acceptable, credible, and easy to use, although adherence </w:t>
      </w:r>
      <w:r w:rsidR="008A0727">
        <w:rPr>
          <w:color w:val="000000" w:themeColor="text1"/>
        </w:rPr>
        <w:t>could be further improved</w:t>
      </w:r>
      <w:r w:rsidR="00FB0DF6">
        <w:rPr>
          <w:color w:val="000000" w:themeColor="text1"/>
        </w:rPr>
        <w:t xml:space="preserve">. </w:t>
      </w:r>
    </w:p>
    <w:p w14:paraId="78480252" w14:textId="53DCC272" w:rsidR="003D07CC" w:rsidRPr="00FD6A4F" w:rsidRDefault="00463DC5" w:rsidP="004A375A">
      <w:pPr>
        <w:widowControl w:val="0"/>
        <w:spacing w:line="480" w:lineRule="auto"/>
        <w:rPr>
          <w:color w:val="000000" w:themeColor="text1"/>
        </w:rPr>
      </w:pPr>
      <w:r>
        <w:rPr>
          <w:color w:val="000000" w:themeColor="text1"/>
        </w:rPr>
        <w:t xml:space="preserve">Conclusions: </w:t>
      </w:r>
      <w:r w:rsidR="008A0727">
        <w:rPr>
          <w:color w:val="000000" w:themeColor="text1"/>
        </w:rPr>
        <w:t xml:space="preserve">Overall, results suggest that an ACT self-help program for hoarding can be acceptable and efficacious. </w:t>
      </w:r>
      <w:r w:rsidR="00FB0DF6">
        <w:rPr>
          <w:color w:val="000000" w:themeColor="text1"/>
        </w:rPr>
        <w:t>Limitations include a predominantly White and female sample and the lack of an active control</w:t>
      </w:r>
      <w:r w:rsidR="008A0727">
        <w:rPr>
          <w:color w:val="000000" w:themeColor="text1"/>
        </w:rPr>
        <w:t xml:space="preserve"> condition</w:t>
      </w:r>
      <w:r w:rsidR="00FB0DF6">
        <w:rPr>
          <w:color w:val="000000" w:themeColor="text1"/>
        </w:rPr>
        <w:t xml:space="preserve">. </w:t>
      </w:r>
    </w:p>
    <w:p w14:paraId="53CB3FA4" w14:textId="30684836" w:rsidR="00C910D6" w:rsidRPr="00C751CA" w:rsidRDefault="00C57E76" w:rsidP="00C57E76">
      <w:pPr>
        <w:widowControl w:val="0"/>
        <w:spacing w:line="480" w:lineRule="auto"/>
        <w:ind w:firstLine="720"/>
        <w:rPr>
          <w:iCs/>
          <w:color w:val="000000" w:themeColor="text1"/>
        </w:rPr>
      </w:pPr>
      <w:r w:rsidRPr="00FD6A4F">
        <w:rPr>
          <w:i/>
          <w:color w:val="000000" w:themeColor="text1"/>
        </w:rPr>
        <w:t xml:space="preserve">Keywords: </w:t>
      </w:r>
      <w:r w:rsidR="00C751CA">
        <w:rPr>
          <w:iCs/>
          <w:color w:val="000000" w:themeColor="text1"/>
        </w:rPr>
        <w:t>compulsive hoarding, eHealth, psychological flexibility, experiential avoidance, mindfulness</w:t>
      </w:r>
    </w:p>
    <w:p w14:paraId="7A734E08" w14:textId="77777777" w:rsidR="00462A25" w:rsidRPr="00FD6A4F" w:rsidRDefault="00462A25" w:rsidP="0087440A">
      <w:pPr>
        <w:rPr>
          <w:color w:val="000000" w:themeColor="text1"/>
        </w:rPr>
      </w:pPr>
      <w:r w:rsidRPr="00FD6A4F">
        <w:rPr>
          <w:color w:val="000000" w:themeColor="text1"/>
        </w:rPr>
        <w:br w:type="page"/>
      </w:r>
    </w:p>
    <w:p w14:paraId="192D3EBA" w14:textId="0B0D6FC0" w:rsidR="009A65E6" w:rsidRPr="00823CD0" w:rsidRDefault="004D598A" w:rsidP="00823CD0">
      <w:pPr>
        <w:spacing w:line="480" w:lineRule="auto"/>
        <w:jc w:val="center"/>
        <w:rPr>
          <w:b/>
          <w:bCs/>
          <w:color w:val="000000" w:themeColor="text1"/>
        </w:rPr>
      </w:pPr>
      <w:r w:rsidRPr="00FD6A4F">
        <w:rPr>
          <w:b/>
          <w:bCs/>
          <w:color w:val="000000" w:themeColor="text1"/>
        </w:rPr>
        <w:lastRenderedPageBreak/>
        <w:t>Making Space: A Randomized Waitlist-Controlled Trial of an Acceptance and Commitment Therapy Website for Hoarding</w:t>
      </w:r>
    </w:p>
    <w:p w14:paraId="1248107D" w14:textId="2A96C06B" w:rsidR="00823CD0" w:rsidRDefault="000739B9" w:rsidP="00823CD0">
      <w:pPr>
        <w:spacing w:line="480" w:lineRule="auto"/>
      </w:pPr>
      <w:r>
        <w:tab/>
      </w:r>
      <w:r w:rsidR="00823CD0">
        <w:t xml:space="preserve">Hoarding disorder (HD), defined by clutter interfering with living conditions and difficulty discarding items, is a mental health concern in need of greater attention by research. </w:t>
      </w:r>
      <w:r>
        <w:t>HD appears to be the most common of the obsessive-compulsive and related disorders; b</w:t>
      </w:r>
      <w:r w:rsidR="00823CD0">
        <w:t>ased on a recent meta-analysis, the prevalence of hoarding disorder is estimated at 2.5%</w:t>
      </w:r>
      <w:r w:rsidR="00E735C1">
        <w:t xml:space="preserve"> </w:t>
      </w:r>
      <w:r w:rsidR="00E735C1">
        <w:fldChar w:fldCharType="begin" w:fldLock="1"/>
      </w:r>
      <w:r w:rsidR="00E735C1">
        <w:instrText>ADDIN CSL_CITATION {"citationItems":[{"id":"ITEM-1","itemData":{"DOI":"10.1016/j.jad.2019.06.004","ISSN":"15732517","PMID":"31200169","abstract":"Currently there is uncertainty concerning the prevalence of Hoarding Disorder (HD) due to methodological issues in the evidence base. Estimates have widely ranged from between 1.5% and 6% of the general population. This systematic review and meta-analysis therefore aimed to summarise and reliably estimate the prevalence of HD by employing strict inclusion criteria and using studies with sufficiently large samples. A systematic literature search was conducted to identify all relevant prevalence studies. Inclusion criteria were studies that reported working age adult HD prevalence rates and had sample sizes of at least 1009 participants. Eleven studies met criteria (n = 53,378), had low risk of bias and were originally based in developed countries. A random effects meta-analysis was then conducted, with subgroup moderator analysis and meta-regression. The pooled estimated prevalence for HD was 2.5% (CI 1.7–3.6%) and subgroup analyses revealed that prevalence rates were similar for both males and females. Guidance on the manner in which HD is assessed in future prevalence studies is provided and the clinical implications of the results discussed.","author":[{"dropping-particle":"","family":"Postlethwaite","given":"Adam","non-dropping-particle":"","parse-names":false,"suffix":""},{"dropping-particle":"","family":"Kellett","given":"Stephen","non-dropping-particle":"","parse-names":false,"suffix":""},{"dropping-particle":"","family":"Mataix-Cols","given":"David","non-dropping-particle":"","parse-names":false,"suffix":""}],"container-title":"Journal of Affective Disorders","id":"ITEM-1","issue":"2019","issued":{"date-parts":[["2019"]]},"page":"309-316","publisher":"Elsevier B.V.","title":"Prevalence of hoarding disorder: A systematic review and meta-analysis","type":"article-journal","volume":"256"},"uris":["http://www.mendeley.com/documents/?uuid=79d9d965-271b-46a3-b462-31f40b524cf7"]}],"mendeley":{"formattedCitation":"(Postlethwaite et al., 2019)","plainTextFormattedCitation":"(Postlethwaite et al., 2019)","previouslyFormattedCitation":"(Postlethwaite et al., 2019)"},"properties":{"noteIndex":0},"schema":"https://github.com/citation-style-language/schema/raw/master/csl-citation.json"}</w:instrText>
      </w:r>
      <w:r w:rsidR="00E735C1">
        <w:fldChar w:fldCharType="separate"/>
      </w:r>
      <w:r w:rsidR="00E735C1" w:rsidRPr="00E735C1">
        <w:rPr>
          <w:noProof/>
        </w:rPr>
        <w:t>(Postlethwaite et al., 2019)</w:t>
      </w:r>
      <w:r w:rsidR="00E735C1">
        <w:fldChar w:fldCharType="end"/>
      </w:r>
      <w:r w:rsidR="00823CD0">
        <w:t xml:space="preserve">. HD has negative effects on the individual and broader public health. At the individual level, HD is highly comorbid with other disorders (e.g., 76.5% of those with HD have a comorbid anxiety or mood disorder; </w:t>
      </w:r>
      <w:r w:rsidR="00E735C1">
        <w:fldChar w:fldCharType="begin" w:fldLock="1"/>
      </w:r>
      <w:r w:rsidR="00F61C60">
        <w:instrText>ADDIN CSL_CITATION {"citationItems":[{"id":"ITEM-1","itemData":{"DOI":"10.1002/da.20861","ISBN":"1091-4269\\r1520-6394","ISSN":"10914269","PMID":"21770000","abstract":"BACKGROUND: Hoarding Disorder (HD) is currently under consideration for inclusion as a distinct disorder in DSM-5 (1). Few studies have examined comorbidity patterns in people who hoard, and the ones that have suffer from serious methodological shortcomings including drawing from populations already diagnosed with obsessive compulsive disorder (OCD), using outdated definitions of hoarding, and relying on inadequate assessments of hoarding. The present study is the first large-scale study of comorbidity in a sample of people meeting recently proposed criteria for hoarding disorder (1) and relying on validated assessment procedures.\\n\\nMETHODS: We compared psychiatric comorbidity in a large HD sample (n = 217) to 96 participants meeting criteria for OCD without HD.\\n\\nRESULTS: High comorbidity rates were observed for major depressive disorder (MDD) as well as acquisition-related impulse control disorders (compulsive buying, kleptomania, and acquiring free things). Fewer than 20% of HD participants met criteria for OCD, and the rate of OCD in HD was higher for men than women. Rates of MDD and acquisition-related impulse control disorders were higher among HD than OCD participants. No specific anxiety disorder was more frequent in HD, but social phobia was more frequent among men with HD than among men with OCD. Inattentive ADHD was diagnosed in 28% of HD participants and was significantly more frequent than among OCD participants (3%).\\n\\nCONCLUSIONS: These findings form important base rates for developing research and treatments for hoarding disorder.","author":[{"dropping-particle":"","family":"Frost","given":"Randy O.","non-dropping-particle":"","parse-names":false,"suffix":""},{"dropping-particle":"","family":"Steketee","given":"Gail","non-dropping-particle":"","parse-names":false,"suffix":""},{"dropping-particle":"","family":"Tolin","given":"David F.","non-dropping-particle":"","parse-names":false,"suffix":""}],"container-title":"Depression and Anxiety","id":"ITEM-1","issued":{"date-parts":[["2011"]]},"page":"876-884","title":"Comorbidity in hoarding disorder","type":"article-journal","volume":"28"},"uris":["http://www.mendeley.com/documents/?uuid=dda0f664-d594-4c64-97d0-748d05925e4d"]},{"id":"ITEM-2","itemData":{"DOI":"10.1016/j.jaac.2015.11.014","ISSN":"0890-8567","author":[{"dropping-particle":"","family":"Burton","given":"Christie L","non-dropping-particle":"","parse-names":false,"suffix":""},{"dropping-particle":"","family":"Crosbie","given":"Jennifer","non-dropping-particle":"","parse-names":false,"suffix":""},{"dropping-particle":"","family":"Dupuis","given":"Annie","non-dropping-particle":"","parse-names":false,"suffix":""},{"dropping-particle":"","family":"Mathews","given":"Carol A","non-dropping-particle":"","parse-names":false,"suffix":""},{"dropping-particle":"","family":"Soreni","given":"Noam","non-dropping-particle":"","parse-names":false,"suffix":""},{"dropping-particle":"","family":"Schachar","given":"Russell","non-dropping-particle":"","parse-names":false,"suffix":""},{"dropping-particle":"","family":"Arnold","given":"Paul D","non-dropping-particle":"","parse-names":false,"suffix":""}],"container-title":"Journal of the American Academy of Child &amp; Adolescent Psychiatry","id":"ITEM-2","issued":{"date-parts":[["2016"]]},"page":"114-121","title":"Clinical correlates of hoarding with and without comorbid obsessive-compulsive symptoms in a community pediatric sample","type":"article-journal","volume":"55"},"uris":["http://www.mendeley.com/documents/?uuid=507d0221-7db9-45d9-b75f-e69fa7106061"]}],"mendeley":{"formattedCitation":"(Burton et al., 2016; Frost, Steketee, et al., 2011)","plainTextFormattedCitation":"(Burton et al., 2016; Frost, Steketee, et al., 2011)","previouslyFormattedCitation":"(Burton et al., 2016; Frost, Steketee, et al., 2011)"},"properties":{"noteIndex":0},"schema":"https://github.com/citation-style-language/schema/raw/master/csl-citation.json"}</w:instrText>
      </w:r>
      <w:r w:rsidR="00E735C1">
        <w:fldChar w:fldCharType="separate"/>
      </w:r>
      <w:r w:rsidR="00F61C60" w:rsidRPr="00F61C60">
        <w:rPr>
          <w:noProof/>
        </w:rPr>
        <w:t>Burton et al., 2016; Frost, Steketee, et al., 2011)</w:t>
      </w:r>
      <w:r w:rsidR="00E735C1">
        <w:fldChar w:fldCharType="end"/>
      </w:r>
      <w:r w:rsidR="00E735C1">
        <w:t xml:space="preserve"> </w:t>
      </w:r>
      <w:r w:rsidR="00823CD0">
        <w:t>and interferes with functioning and impairment across domains of work, social life, and relationships</w:t>
      </w:r>
      <w:r w:rsidR="00E735C1">
        <w:t xml:space="preserve"> </w:t>
      </w:r>
      <w:r w:rsidR="00E735C1">
        <w:fldChar w:fldCharType="begin" w:fldLock="1"/>
      </w:r>
      <w:r w:rsidR="00E735C1">
        <w:instrText>ADDIN CSL_CITATION {"citationItems":[{"id":"ITEM-1","itemData":{"DOI":"10.1016/j.jad.2014.01.023","ISBN":"0773646736","ISSN":"15732517","PMID":"24679383","abstract":"Background Hoarding Disorder (HD), a new diagnostic entity in DSM-5, is associated with substantial functional impairment and family frustration but data from well-characterized samples is lacking. Method Participants were 37 individuals meeting DSM-5 criteria for HD, 55 relatives of individuals meeting criteria for HD, and comparison groups of 51 self-identified collectors and 25 relatives of collectors. All participants completed a clinician-administered diagnostic interview for HD and an online battery of standardized measures of health, well-being, and impairment. Results Substantial functional impairment was found for both HD individuals and their relatives. HD relatives reported significantly greater carer burden and accommodation of hoarding behaviors than relatives of collectors. Perceived level of squalor, co-habiting with, and increasing age of the HD individual were significant predictors of carer burden and functional impairment in the relatives. Limitations The use of self-identified HD individuals may have produced a bias towards participants with relatively good insight. Subjective biases in self-reported symptoms cannot be ruled out, although the use of informant-report data provided some independent validation. Conclusions HD is associated with substantial functional impairment for both sufferers and their relatives. The level of carer burden experienced by HD relatives was comparable to or greater than that reported in the literature by relatives of individuals with dementia. The findings indicate that relatives of individuals with HD may benefit from increased support and suggest that it may be beneficial to involve family members in the treatment of HD. © 2014 Elsevier B.V.","author":[{"dropping-particle":"","family":"Drury","given":"Helena","non-dropping-particle":"","parse-names":false,"suffix":""},{"dropping-particle":"","family":"Ajmi","given":"Sana","non-dropping-particle":"","parse-names":false,"suffix":""},{"dropping-particle":"","family":"Fernández De La Cruz","given":"Lorena","non-dropping-particle":"","parse-names":false,"suffix":""},{"dropping-particle":"","family":"Nordsletten","given":"Ashley E.","non-dropping-particle":"","parse-names":false,"suffix":""},{"dropping-particle":"","family":"Mataix-Cols","given":"David","non-dropping-particle":"","parse-names":false,"suffix":""}],"container-title":"Journal of Affective Disorders","id":"ITEM-1","issued":{"date-parts":[["2014"]]},"page":"7-14","title":"Caregiver burden, family accommodation, health, and well-being in relatives of individuals with hoarding disorder","type":"article-journal","volume":"159"},"uris":["http://www.mendeley.com/documents/?uuid=6ef23ba4-e298-4a74-a421-25fe6cd0c8ef"]},{"id":"ITEM-2","itemData":{"DOI":"10.1016/j.janxdis.2014.12.003","ISSN":"08876185","PMID":"25847547","abstract":"a b s t r a c t Hoarding, the acquisition and inability to let go of a large number of possessions, has been found to be associated with high levels of impairment that can compromise functioning and quality of life (QoL). Yet few studies have specifically investigated the relationship between hoarding and functioning/QoL. The present review aimed to summarize the current status of research on functioning and QoL in hoarding as well as identify knowledge gaps in the extant literature. We conducted systematic searches in ProQuest, PsycINFO, PubMed and ScienceDirect, and identified 37 relevant articles for inclusion. There was much evidence to indicate that hoarding has a significant impact on various aspects of functioning and that functioning can improve with treatment, though findings on the relationship between hoarding and QoL were more tenuous. The limitations of previous studies and implications of our findings are discussed.","author":[{"dropping-particle":"","family":"Ong","given":"C. W.","non-dropping-particle":"","parse-names":false,"suffix":""},{"dropping-particle":"","family":"Pang","given":"Shirlene","non-dropping-particle":"","parse-names":false,"suffix":""},{"dropping-particle":"","family":"Sagayadevan","given":"Vathsala","non-dropping-particle":"","parse-names":false,"suffix":""},{"dropping-particle":"","family":"Chong","given":"Siow Ann","non-dropping-particle":"","parse-names":false,"suffix":""},{"dropping-particle":"","family":"Subramaniam","given":"Mythily","non-dropping-particle":"","parse-names":false,"suffix":""}],"container-title":"Journal of Anxiety Disorders","id":"ITEM-2","issued":{"date-parts":[["2015"]]},"page":"17-30","publisher":"Elsevier Ltd","title":"Functioning and quality of life in hoarding: A systematic review","type":"article-journal","volume":"32"},"uris":["http://www.mendeley.com/documents/?uuid=064bead5-7791-46fb-a438-82dec75c13ca"]}],"mendeley":{"formattedCitation":"(Drury et al., 2014; Ong et al., 2015)","plainTextFormattedCitation":"(Drury et al., 2014; Ong et al., 2015)","previouslyFormattedCitation":"(Drury et al., 2014; Ong et al., 2015)"},"properties":{"noteIndex":0},"schema":"https://github.com/citation-style-language/schema/raw/master/csl-citation.json"}</w:instrText>
      </w:r>
      <w:r w:rsidR="00E735C1">
        <w:fldChar w:fldCharType="separate"/>
      </w:r>
      <w:r w:rsidR="00E735C1" w:rsidRPr="00E735C1">
        <w:rPr>
          <w:noProof/>
        </w:rPr>
        <w:t>(Drury et al., 2014; Ong et al., 2015)</w:t>
      </w:r>
      <w:r w:rsidR="00E735C1">
        <w:fldChar w:fldCharType="end"/>
      </w:r>
      <w:r w:rsidR="00E735C1">
        <w:t xml:space="preserve">. </w:t>
      </w:r>
      <w:r w:rsidR="00823CD0">
        <w:t>On a larger scale, HD has negative impacts on individuals</w:t>
      </w:r>
      <w:r w:rsidR="005A2095">
        <w:t>’</w:t>
      </w:r>
      <w:r w:rsidR="00823CD0">
        <w:t xml:space="preserve"> families, neighbors, and broader communities. For example, the majority of public health departments report hoarding cases with individuals who refuse or are reluctant to engage in treatment</w:t>
      </w:r>
      <w:r w:rsidR="00E735C1">
        <w:t xml:space="preserve"> </w:t>
      </w:r>
      <w:r w:rsidR="00E735C1">
        <w:fldChar w:fldCharType="begin" w:fldLock="1"/>
      </w:r>
      <w:r w:rsidR="00E735C1">
        <w:instrText>ADDIN CSL_CITATION {"citationItems":[{"id":"ITEM-1","itemData":{"DOI":"10.1046/j.1365-2524.2000.00245.x","ISSN":"0966-0410","PMID":"11560692","abstract":"Hoarding behaviour has been defined as the accumulation of possessions that are useless and that interfere with the ability to function. Severe hoarding may endanger not only the health and safety of the individual, but also their surrounding community. However, little information exists regarding the frequency and seriousness of this problem. This study represents the first attempt to determine the frequency of complaints about hoarding behaviour to responding health departments in one state (Massachusetts) and to explore the nature of these complaints. Eighty-eight health officers, serving a population of 1.79 million people, responded to a survey of complaints to local boards of health about hoarding behaviour. Sixty-four percent of the health officers reported at least one hoarding complaint during the five years under study; 471 case complaints were reported. In-depth information on the nature and circumstances of complaints was collected for 58 cases. Complaints typically involved multiple community agencies and occasionally resulted in significant cost to the community. Only half of the hoarders recognized the lack of sanitation in their home, and fewer than one third of complainants willingly co-operated to resolve the complaint against them. Hoarding behaviours were judged to seriously jeopardize the health of the individual and those around them. Hoarding behaviour that involved collecting animals was more serious and difficult to deal with than non-animal hoarding.","author":[{"dropping-particle":"","family":"Frost","given":"Randy O.","non-dropping-particle":"","parse-names":false,"suffix":""},{"dropping-particle":"","family":"Steketee","given":"Gail","non-dropping-particle":"","parse-names":false,"suffix":""},{"dropping-particle":"","family":"Williams","given":"Lauren","non-dropping-particle":"","parse-names":false,"suffix":""}],"container-title":"Health &amp; Social Care in the Community","id":"ITEM-1","issue":"4","issued":{"date-parts":[["2000"]]},"page":"229-234","title":"Hoarding: A community health problem","type":"article-journal","volume":"8"},"uris":["http://www.mendeley.com/documents/?uuid=6d168a39-0a26-437f-ad97-ee6ece7e4741"]}],"mendeley":{"formattedCitation":"(Frost et al., 2000)","plainTextFormattedCitation":"(Frost et al., 2000)","previouslyFormattedCitation":"(Frost et al., 2000)"},"properties":{"noteIndex":0},"schema":"https://github.com/citation-style-language/schema/raw/master/csl-citation.json"}</w:instrText>
      </w:r>
      <w:r w:rsidR="00E735C1">
        <w:fldChar w:fldCharType="separate"/>
      </w:r>
      <w:r w:rsidR="00E735C1" w:rsidRPr="00E735C1">
        <w:rPr>
          <w:noProof/>
        </w:rPr>
        <w:t>(Frost et al., 2000)</w:t>
      </w:r>
      <w:r w:rsidR="00E735C1">
        <w:fldChar w:fldCharType="end"/>
      </w:r>
      <w:r w:rsidR="00823CD0">
        <w:t xml:space="preserve">. Hoarding also can be a health risk for anyone living with the individual (e.g., unsanitary conditions, reduced visits from others; </w:t>
      </w:r>
      <w:r w:rsidR="00E735C1">
        <w:fldChar w:fldCharType="begin" w:fldLock="1"/>
      </w:r>
      <w:r w:rsidR="00E735C1">
        <w:instrText>ADDIN CSL_CITATION {"citationItems":[{"id":"ITEM-1","itemData":{"DOI":"10.1016/j.biotechadv.2011.08.021.Secreted","ISBN":"2122633255","ISSN":"15378276","PMID":"1000000221","author":[{"dropping-particle":"","family":"Tolin","given":"David F.","non-dropping-particle":"","parse-names":false,"suffix":""},{"dropping-particle":"","family":"Frost","given":"Randy O.","non-dropping-particle":"","parse-names":false,"suffix":""},{"dropping-particle":"","family":"Steketee","given":"Gail.","non-dropping-particle":"","parse-names":false,"suffix":""},{"dropping-particle":"","family":"Fitch","given":"Kristin E.","non-dropping-particle":"","parse-names":false,"suffix":""}],"container-title":"Behaviour Research and Therapy","id":"ITEM-1","issue":"3","issued":{"date-parts":[["2008"]]},"page":"334-344","title":"Family burden of compulsive hoarding: Results of an internet survey","type":"article-journal","volume":"46"},"uris":["http://www.mendeley.com/documents/?uuid=d92a5b04-caff-4047-8ce7-1b7ff5888eab"]},{"id":"ITEM-2","itemData":{"DOI":"10.1007/s10597-013-9665-8","ISSN":"00103853","PMID":"24292497","abstract":"The current study examined a new measure of squalor associated with hoarding, the Home Environment Index (HEI). Participants (N = 793) were recruited from a large database of individuals who sought information about hoarding following national media appearances and consented to an internet study. Participants completed measures of hoarding and related psychopathology, including the HEI. The HEI showed good internal consistency and construct validity and reflected a single factor of home squalor (15 items). The HEI correlated positively with measures of hoarding and mood psychopathology. Recommendations for future modifications and further study are provided.","author":[{"dropping-particle":"","family":"Rasmussen","given":"Jessica L.","non-dropping-particle":"","parse-names":false,"suffix":""},{"dropping-particle":"","family":"Steketee","given":"Gail","non-dropping-particle":"","parse-names":false,"suffix":""},{"dropping-particle":"","family":"Frost","given":"Randy O.","non-dropping-particle":"","parse-names":false,"suffix":""},{"dropping-particle":"","family":"Tolin","given":"David F.","non-dropping-particle":"","parse-names":false,"suffix":""},{"dropping-particle":"","family":"Brown","given":"Timothy a.","non-dropping-particle":"","parse-names":false,"suffix":""}],"container-title":"Community Mental Health Journal","id":"ITEM-2","issue":"5","issued":{"date-parts":[["2014"]]},"page":"591-596","title":"Assessing squalor in hoarding: The home environment index","type":"article-journal","volume":"50"},"uris":["http://www.mendeley.com/documents/?uuid=58bcf60d-5d3e-4086-856f-3f589d8867a7"]}],"mendeley":{"formattedCitation":"(Rasmussen et al., 2014; Tolin et al., 2008)","manualFormatting":"Rasmussen et al., 2014; Tolin et al., 2008)","plainTextFormattedCitation":"(Rasmussen et al., 2014; Tolin et al., 2008)","previouslyFormattedCitation":"(Rasmussen et al., 2014; Tolin et al., 2008)"},"properties":{"noteIndex":0},"schema":"https://github.com/citation-style-language/schema/raw/master/csl-citation.json"}</w:instrText>
      </w:r>
      <w:r w:rsidR="00E735C1">
        <w:fldChar w:fldCharType="separate"/>
      </w:r>
      <w:r w:rsidR="00E735C1" w:rsidRPr="00E735C1">
        <w:rPr>
          <w:noProof/>
        </w:rPr>
        <w:t>Rasmussen et al., 2014; Tolin et al., 2008)</w:t>
      </w:r>
      <w:r w:rsidR="00E735C1">
        <w:fldChar w:fldCharType="end"/>
      </w:r>
      <w:r w:rsidR="00823CD0">
        <w:t>. Thus, based on the communal and individual consequences of hoarding, it is essential to develop evidence-based treatments for HD that can be easily disseminated into communities.</w:t>
      </w:r>
    </w:p>
    <w:p w14:paraId="71AD4B3F" w14:textId="12671E9C" w:rsidR="00823CD0" w:rsidRDefault="00823CD0" w:rsidP="00823CD0">
      <w:pPr>
        <w:spacing w:line="480" w:lineRule="auto"/>
      </w:pPr>
      <w:r>
        <w:tab/>
        <w:t>Research on the treatment of HD is nascent</w:t>
      </w:r>
      <w:r w:rsidR="00E735C1">
        <w:t xml:space="preserve"> </w:t>
      </w:r>
      <w:r w:rsidR="00E735C1">
        <w:fldChar w:fldCharType="begin" w:fldLock="1"/>
      </w:r>
      <w:r w:rsidR="000D6A8A">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2015)","manualFormatting":"(e.g., Tolin et al., 2015)","plainTextFormattedCitation":"(Tolin et al., 2015)","previouslyFormattedCitation":"(Tolin et al., 2015)"},"properties":{"noteIndex":0},"schema":"https://github.com/citation-style-language/schema/raw/master/csl-citation.json"}</w:instrText>
      </w:r>
      <w:r w:rsidR="00E735C1">
        <w:fldChar w:fldCharType="separate"/>
      </w:r>
      <w:r w:rsidR="00E735C1" w:rsidRPr="00E735C1">
        <w:rPr>
          <w:noProof/>
        </w:rPr>
        <w:t>(</w:t>
      </w:r>
      <w:r w:rsidR="00E735C1">
        <w:rPr>
          <w:noProof/>
        </w:rPr>
        <w:t xml:space="preserve">e.g., </w:t>
      </w:r>
      <w:r w:rsidR="00E735C1" w:rsidRPr="00E735C1">
        <w:rPr>
          <w:noProof/>
        </w:rPr>
        <w:t>Tolin et al., 2015)</w:t>
      </w:r>
      <w:r w:rsidR="00E735C1">
        <w:fldChar w:fldCharType="end"/>
      </w:r>
      <w:r>
        <w:t>; however, there remains a need to explore beyond the current standard of care. Research to date has primarily focused on cognitive behavioral therapy (CBT) for HD, which includes the following elements: motivational interviewing, cognitive restructuring, exposure, organizational and problem-solving skills, and relapse prevention</w:t>
      </w:r>
      <w:r w:rsidR="000D6A8A">
        <w:t xml:space="preserve"> </w:t>
      </w:r>
      <w:r w:rsidR="000D6A8A">
        <w:fldChar w:fldCharType="begin" w:fldLock="1"/>
      </w:r>
      <w:r w:rsidR="000D6A8A">
        <w:instrText>ADDIN CSL_CITATION {"citationItems":[{"id":"ITEM-1","itemData":{"author":[{"dropping-particle":"","family":"Steketee","given":"Gail.","non-dropping-particle":"","parse-names":false,"suffix":""},{"dropping-particle":"","family":"Frost","given":"Randy O.","non-dropping-particle":"","parse-names":false,"suffix":""}],"id":"ITEM-1","issued":{"date-parts":[["2007"]]},"publisher":"Oxford University Press","publisher-place":"New York","title":"Compulsive Hoarding and Acquiring: Therapist Guide.","type":"book"},"uris":["http://www.mendeley.com/documents/?uuid=8252f6c7-3c10-4388-9a7c-66764543d4ef"]}],"mendeley":{"formattedCitation":"(Steketee &amp; Frost, 2007)","plainTextFormattedCitation":"(Steketee &amp; Frost, 2007)","previouslyFormattedCitation":"(Steketee &amp; Frost, 2007)"},"properties":{"noteIndex":0},"schema":"https://github.com/citation-style-language/schema/raw/master/csl-citation.json"}</w:instrText>
      </w:r>
      <w:r w:rsidR="000D6A8A">
        <w:fldChar w:fldCharType="separate"/>
      </w:r>
      <w:r w:rsidR="000D6A8A" w:rsidRPr="000D6A8A">
        <w:rPr>
          <w:noProof/>
        </w:rPr>
        <w:t>(Steketee &amp; Frost, 2007)</w:t>
      </w:r>
      <w:r w:rsidR="000D6A8A">
        <w:fldChar w:fldCharType="end"/>
      </w:r>
      <w:r w:rsidR="000D6A8A">
        <w:t xml:space="preserve">. </w:t>
      </w:r>
      <w:r>
        <w:t xml:space="preserve">CBT for HD has been tested in over ten </w:t>
      </w:r>
      <w:r>
        <w:lastRenderedPageBreak/>
        <w:t>trials</w:t>
      </w:r>
      <w:r w:rsidR="000D6A8A">
        <w:t xml:space="preserve"> </w:t>
      </w:r>
      <w:r w:rsidR="000D6A8A">
        <w:fldChar w:fldCharType="begin" w:fldLock="1"/>
      </w:r>
      <w:r w:rsidR="000D6A8A">
        <w:instrText>ADDIN CSL_CITATION {"citationItems":[{"id":"ITEM-1","itemData":{"DOI":"10.1016/j.psychres.2016.01.019.Treating","author":[{"dropping-particle":"","family":"Mathews","given":"Carol A","non-dropping-particle":"","parse-names":false,"suffix":""},{"dropping-particle":"","family":"Uhm","given":"Soo","non-dropping-particle":"","parse-names":false,"suffix":""},{"dropping-particle":"","family":"Chan","given":"Joanne","non-dropping-particle":"","parse-names":false,"suffix":""},{"dropping-particle":"","family":"Gause","given":"Michael","non-dropping-particle":"","parse-names":false,"suffix":""},{"dropping-particle":"","family":"Franklin","given":"John","non-dropping-particle":"","parse-names":false,"suffix":""},{"dropping-particle":"","family":"Plumadore","given":"Julian","non-dropping-particle":"","parse-names":false,"suffix":""},{"dropping-particle":"","family":"Stark","given":"Sandra J","non-dropping-particle":"","parse-names":false,"suffix":""},{"dropping-particle":"","family":"Yu","given":"Wendy","non-dropping-particle":"","parse-names":false,"suffix":""},{"dropping-particle":"","family":"Vigil","given":"Ofilio","non-dropping-particle":"","parse-names":false,"suffix":""},{"dropping-particle":"","family":"Salazar","given":"Mark","non-dropping-particle":"","parse-names":false,"suffix":""},{"dropping-particle":"","family":"Delucchi","given":"Kevin L","non-dropping-particle":"","parse-names":false,"suffix":""},{"dropping-particle":"","family":"Vega","given":"Eduardo","non-dropping-particle":"","parse-names":false,"suffix":""}],"container-title":"Psychiatry Research","id":"ITEM-1","issued":{"date-parts":[["2016"]]},"page":"331-338","title":"Treating hoarding disorder in a real-world setting: Results from the Mental Health Association of San Francisco","type":"article-journal","volume":"237"},"uris":["http://www.mendeley.com/documents/?uuid=976dfb90-e32f-401e-a7b7-42c05da6dafa"]},{"id":"ITEM-2","itemData":{"DOI":"https://doi.org/10.1016/j.jocrd.2018.05.002","ISSN":"2211-3649","abstract":"Individual office-based cognitive behavioral treatment (CBT) for hoarding disorder (HD) has demonstrated clear improvement in symptoms, although the extent of gains, length of treatment and lack of trained clinicians remain problematic. The current pilot study examined the feasibility and effectiveness of a home-based CBT delivered individually via webcam (CBT-W) technology for seven adults with HD. Three clients received weekly CBT-W over an average of 35 weeks and four received more intensive treatment that averaged 23 weeks. Standard measures of hoarding severity were collected at baseline, post-treatment, and 3-month follow-up. Acceptability and feasibility of treatment were demonstrated in client interest to enter CBT-W, good attendance at scheduled therapy sessions, high completion rates of assessments and treatment, strong therapeutic alliance ratings, and reported comfort with the use of technology during the therapy sessions. Most clients showed gains immediately following CBT-W, and two were clinically significantly improved. Self-reported follow-up assessments showed generally stable outcomes. Webcam and internet technology may increase access to empirically supported treatment for hoarding and reduce clinician time and costs of CBT through in-home delivery. Research on larger samples is needed to determine overall efficacy and durability of CBT-W and to examine factors that affect outcomes.","author":[{"dropping-particle":"","family":"Muroff","given":"Jordana","non-dropping-particle":"","parse-names":false,"suffix":""},{"dropping-particle":"","family":"Steketee","given":"Gail","non-dropping-particle":"","parse-names":false,"suffix":""}],"container-title":"Journal of Obsessive-Compulsive and Related Disorders","id":"ITEM-2","issued":{"date-parts":[["2018"]]},"page":"18-24","title":"Pilot trial of cognitive and behavioral treatment for hoarding disorder delivered via webcam: Feasibility and preliminary outcomes","type":"article-journal","volume":"18"},"uris":["http://www.mendeley.com/documents/?uuid=c6d514f2-000d-42bf-92f3-da2d0b37fa0f"]}],"mendeley":{"formattedCitation":"(Mathews et al., 2016; Muroff &amp; Steketee, 2018)","manualFormatting":"(e.g., Mathews et al., 2016; Muroff &amp; Steketee, 2018)","plainTextFormattedCitation":"(Mathews et al., 2016; Muroff &amp; Steketee, 2018)","previouslyFormattedCitation":"(Mathews et al., 2016; Muroff &amp; Steketee, 2018)"},"properties":{"noteIndex":0},"schema":"https://github.com/citation-style-language/schema/raw/master/csl-citation.json"}</w:instrText>
      </w:r>
      <w:r w:rsidR="000D6A8A">
        <w:fldChar w:fldCharType="separate"/>
      </w:r>
      <w:r w:rsidR="000D6A8A" w:rsidRPr="000D6A8A">
        <w:rPr>
          <w:noProof/>
        </w:rPr>
        <w:t>(</w:t>
      </w:r>
      <w:r w:rsidR="000D6A8A">
        <w:rPr>
          <w:noProof/>
        </w:rPr>
        <w:t xml:space="preserve">e.g., </w:t>
      </w:r>
      <w:r w:rsidR="000D6A8A" w:rsidRPr="000D6A8A">
        <w:rPr>
          <w:noProof/>
        </w:rPr>
        <w:t>Mathews et al., 2016; Muroff &amp; Steketee, 2018)</w:t>
      </w:r>
      <w:r w:rsidR="000D6A8A">
        <w:fldChar w:fldCharType="end"/>
      </w:r>
      <w:r>
        <w:t>, resulting in large effects on symptom severity and medium effects on impairment</w:t>
      </w:r>
      <w:r w:rsidR="000D6A8A">
        <w:t xml:space="preserve"> </w:t>
      </w:r>
      <w:r w:rsidR="000D6A8A">
        <w:fldChar w:fldCharType="begin" w:fldLock="1"/>
      </w:r>
      <w:r w:rsidR="00CC105F">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0D6A8A">
        <w:fldChar w:fldCharType="separate"/>
      </w:r>
      <w:r w:rsidR="000D6A8A" w:rsidRPr="000D6A8A">
        <w:rPr>
          <w:noProof/>
        </w:rPr>
        <w:t>(Tolin et al., 2015)</w:t>
      </w:r>
      <w:r w:rsidR="000D6A8A">
        <w:fldChar w:fldCharType="end"/>
      </w:r>
      <w:r>
        <w:t>. However, only 25-43.3% of individuals treated for hoarding report clinically significant change after CBT</w:t>
      </w:r>
      <w:r w:rsidR="00CC105F">
        <w:t xml:space="preserve"> </w:t>
      </w:r>
      <w:r w:rsidR="00CC105F">
        <w:fldChar w:fldCharType="begin" w:fldLock="1"/>
      </w:r>
      <w:r w:rsidR="00CC105F">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2015)","plainTextFormattedCitation":"(Tolin et al., 2015)","previouslyFormattedCitation":"(Tolin et al., 2015)"},"properties":{"noteIndex":0},"schema":"https://github.com/citation-style-language/schema/raw/master/csl-citation.json"}</w:instrText>
      </w:r>
      <w:r w:rsidR="00CC105F">
        <w:fldChar w:fldCharType="separate"/>
      </w:r>
      <w:r w:rsidR="00CC105F" w:rsidRPr="00CC105F">
        <w:rPr>
          <w:noProof/>
        </w:rPr>
        <w:t>(Tolin et al., 2015)</w:t>
      </w:r>
      <w:r w:rsidR="00CC105F">
        <w:fldChar w:fldCharType="end"/>
      </w:r>
      <w:r>
        <w:t>. Additionally, there are many barriers that prevent individuals in need of hoarding treatment from obtaining CBT. For example, very few therapists are trained to treat hoarding</w:t>
      </w:r>
      <w:r w:rsidR="00CC105F">
        <w:t xml:space="preserve"> </w:t>
      </w:r>
      <w:r w:rsidR="00CC105F">
        <w:fldChar w:fldCharType="begin" w:fldLock="1"/>
      </w:r>
      <w:r w:rsidR="00A94AB3">
        <w:instrText>ADDIN CSL_CITATION {"citationItems":[{"id":"ITEM-1","itemData":{"DOI":"10.1016/j.brat.2012.08.004","ISBN":"0005-7967","ISSN":"00057967","PMID":"22982080","abstract":"Hoarding is a serious form of psychopathology that has been associated with significant health and safety concerns, as well as the source of social and economic burden (Tolin, Frost, Steketee, &amp; Fitch, 2008; Tolin, Frost, Steketee, Gray, &amp; Fitch, 2008). Recent developments in the treatment of hoarding have met with some success for both individual and group treatments. Nevertheless, the cost and limited accessibility of these treatments leave many hoarding sufferers without options for help. One alternative is support groups that require relatively few resources. Frost, Pekareva-Kochergina, and Maxner (2011) reported significant declines in hoarding symptoms following a non-professionally run 13-week support group (The Buried in Treasures [BIT] Workshop). The BIT Workshop is a highly structured and short term support group. The present study extended these findings by reporting on the results of a waitlist control trial of the BIT Workshop. Significant declines in all hoarding symptom measures were observed compared to a waitlist control. The treatment response rate for the BIT Workshop was similar to that obtained by previous individual and group treatment studies, despite its shorter length and lack of a trained therapist. The BIT Workshop may be an effective adjunct to cognitive behavior therapy for hoarding disorder, or an alternative when cognitive behavior therapy is inaccessible. ?? 2012 Elsevier Ltd.","author":[{"dropping-particle":"","family":"Frost","given":"Randy O.","non-dropping-particle":"","parse-names":false,"suffix":""},{"dropping-particle":"","family":"Ruby","given":"Dylan","non-dropping-particle":"","parse-names":false,"suffix":""},{"dropping-particle":"","family":"Shuer","given":"Lee J.","non-dropping-particle":"","parse-names":false,"suffix":""}],"container-title":"Behaviour Research and Therapy","id":"ITEM-1","issue":"11","issued":{"date-parts":[["2012"]]},"page":"661-667","publisher":"Elsevier Ltd","title":"The buried in treasures workshop: Waitlist control trial of facilitated support groups for hoarding","type":"article-journal","volume":"50"},"uris":["http://www.mendeley.com/documents/?uuid=b599ec78-e247-4f40-8d13-9556330b42b5"]}],"mendeley":{"formattedCitation":"(Frost et al., 2012)","plainTextFormattedCitation":"(Frost et al., 2012)","previouslyFormattedCitation":"(Frost et al., 2012)"},"properties":{"noteIndex":0},"schema":"https://github.com/citation-style-language/schema/raw/master/csl-citation.json"}</w:instrText>
      </w:r>
      <w:r w:rsidR="00CC105F">
        <w:fldChar w:fldCharType="separate"/>
      </w:r>
      <w:r w:rsidR="00CC105F" w:rsidRPr="00CC105F">
        <w:rPr>
          <w:noProof/>
        </w:rPr>
        <w:t>(Frost et al., 2012)</w:t>
      </w:r>
      <w:r w:rsidR="00CC105F">
        <w:fldChar w:fldCharType="end"/>
      </w:r>
      <w:r w:rsidR="00CC105F">
        <w:t>.</w:t>
      </w:r>
      <w:r>
        <w:t xml:space="preserve"> If there are trained therapists available, the treatment is very time intensive (e.g., a range of 13-35 sessions; </w:t>
      </w:r>
      <w:r w:rsidR="00A94AB3">
        <w:fldChar w:fldCharType="begin" w:fldLock="1"/>
      </w:r>
      <w:r w:rsidR="00617256">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2015)","manualFormatting":"Tolin et al., 2015)","plainTextFormattedCitation":"(Tolin et al., 2015)","previouslyFormattedCitation":"(Tolin et al., 2015)"},"properties":{"noteIndex":0},"schema":"https://github.com/citation-style-language/schema/raw/master/csl-citation.json"}</w:instrText>
      </w:r>
      <w:r w:rsidR="00A94AB3">
        <w:fldChar w:fldCharType="separate"/>
      </w:r>
      <w:r w:rsidR="00A94AB3" w:rsidRPr="00A94AB3">
        <w:rPr>
          <w:noProof/>
        </w:rPr>
        <w:t>Tolin et al., 2015)</w:t>
      </w:r>
      <w:r w:rsidR="00A94AB3">
        <w:fldChar w:fldCharType="end"/>
      </w:r>
      <w:r w:rsidR="00A94AB3" w:rsidRPr="00A94AB3">
        <w:t xml:space="preserve"> </w:t>
      </w:r>
      <w:r>
        <w:t>and often requires home visits. Furthermore, individuals with HD also tend to report low help-seeking (e.g.,</w:t>
      </w:r>
      <w:r w:rsidR="00617256">
        <w:t xml:space="preserve"> </w:t>
      </w:r>
      <w:r w:rsidR="00617256">
        <w:fldChar w:fldCharType="begin" w:fldLock="1"/>
      </w:r>
      <w:r w:rsidR="008244BD">
        <w:instrText>ADDIN CSL_CITATION {"citationItems":[{"id":"ITEM-1","itemData":{"DOI":"10.1097/NMD.0b013e31823f678b","ISBN":"0022-3018\\r1539-736X","ISSN":"0022-3018","PMID":"22210369","abstract":"This study estimated the prevalence of hoarding disorder (HD) in individuals seeking help from Eviction Intervention Services Housing Research Center (EIS), a not-for-profit community organization in New York City (NYC) that aids clients with housing problems including eviction. One hundred fifteen EIS clients were screened for HD. The prevalence of HD among those seeking help from EIS was 22% (clinician-rated) and 23% (self-rated), which is nearly 5 to 10 times greater than the rate of hoarding (2% to 5%) in the general population. Of individuals seeking help from EIS who met the criteria for HD (n = 25), 32% were currently in legal eviction proceedings (i.e., threatened with imminent eviction), 44% had a history of previous legal eviction proceedings, and 20% had been evicted from their home one or more times, yet only 48% were currently seeking mental health treatment. Almost a quarter of individuals seeking help for housing problems from a community eviction prevention organization met the criteria for HD; only about half of these individuals were receiving mental health treatment. Future studies are needed to determine whether HD treatment can reduce the risk of eviction and homelessness in NYC.","author":[{"dropping-particle":"","family":"Rodriguez","given":"Carolyn I.","non-dropping-particle":"","parse-names":false,"suffix":""},{"dropping-particle":"","family":"Herman","given":"Dan","non-dropping-particle":"","parse-names":false,"suffix":""},{"dropping-particle":"","family":"Alcon","given":"Jehanny","non-dropping-particle":"","parse-names":false,"suffix":""},{"dropping-particle":"","family":"Chen","given":"Shaofu","non-dropping-particle":"","parse-names":false,"suffix":""},{"dropping-particle":"","family":"Tannen","given":"Audrey","non-dropping-particle":"","parse-names":false,"suffix":""},{"dropping-particle":"","family":"Essock","given":"Susan","non-dropping-particle":"","parse-names":false,"suffix":""},{"dropping-particle":"","family":"Simpson","given":"Helen Blair","non-dropping-particle":"","parse-names":false,"suffix":""}],"container-title":"The Journal of Nervous and Mental Disease","id":"ITEM-1","issued":{"date-parts":[["2012"]]},"page":"91-94","title":"Prevalence of hoarding disorder in individuals at potential risk of eviction in New York City","type":"article-journal","volume":"200"},"uris":["http://www.mendeley.com/documents/?uuid=31f16a52-41c0-4592-8bba-50efdc26fecd"]},{"id":"ITEM-2","itemData":{"DOI":"10.1016/j.jocrd.2017.12.006","ISSN":"22113657","abstract":"There are no systematic investigations of public stigma of hoarding disorder (HD), and although there have been some studies on the public perception of obsessive-compulsive disorder (OCD), such research has not examined three theoretically informed facets of stigma: difference (“They aren't like me”), disdain (“They are bad”), and blame (“They are to blame”). The current Internet study evaluated these three facets of stigma in a general sample of 591 adults by comparing ratings of public perception for HD, OCD, serious mental illness (SMI), substance use disorders (SUD), and those in jail. Results indicate that HD is mostly associated with a neutral or negative public perception across all stigma facets, but OCD is associated with mostly positive or neutral public perception. Across all stigma ratings, HD was viewed more negatively than OCD. Comparison of ratings across conditions and the three facets of stigma suggest a nuanced picture in which HD and OCD demonstrate differences in public perceptions compared to jail, SMI, and SUD, some in the positive direction and some in the negative. In addition, among those who scored in a clinically elevated range of HD symptom severity, one facet of public stigma (i.e., a proxy for self-stigma) was negatively correlated with an index of treatment-seeking willingness, implicating stigma as a potential factor in the treatment ambivalence commonly associated with HD treatment.","author":[{"dropping-particle":"","family":"Chasson","given":"Gregory S.","non-dropping-particle":"","parse-names":false,"suffix":""},{"dropping-particle":"","family":"Guy","given":"Arryn A.","non-dropping-particle":"","parse-names":false,"suffix":""},{"dropping-particle":"","family":"Bates","given":"Sage","non-dropping-particle":"","parse-names":false,"suffix":""},{"dropping-particle":"","family":"Corrigan","given":"Patrick W.","non-dropping-particle":"","parse-names":false,"suffix":""}],"container-title":"Journal of Obsessive-Compulsive and Related Disorders","id":"ITEM-2","issued":{"date-parts":[["2018"]]},"page":"56-65","publisher":"Elsevier Ltd","title":"They aren't like me, they are bad, and they are to blame: A theoretically-informed study of stigma of hoarding disorder and obsessive-compulsive disorder","type":"article-journal","volume":"16"},"uris":["http://www.mendeley.com/documents/?uuid=6a0a1533-144d-4dfb-970c-487065e8b77f"]}],"mendeley":{"formattedCitation":"(Chasson et al., 2018; Rodriguez et al., 2012)","manualFormatting":"Chasson et al., 2018; Rodriguez et al., 2012)","plainTextFormattedCitation":"(Chasson et al., 2018; Rodriguez et al., 2012)","previouslyFormattedCitation":"(Chasson et al., 2018; Rodriguez et al., 2012)"},"properties":{"noteIndex":0},"schema":"https://github.com/citation-style-language/schema/raw/master/csl-citation.json"}</w:instrText>
      </w:r>
      <w:r w:rsidR="00617256">
        <w:fldChar w:fldCharType="separate"/>
      </w:r>
      <w:r w:rsidR="00617256" w:rsidRPr="00617256">
        <w:rPr>
          <w:noProof/>
        </w:rPr>
        <w:t>Chasson et al., 2018; Rodriguez et al., 2012)</w:t>
      </w:r>
      <w:r w:rsidR="00617256">
        <w:fldChar w:fldCharType="end"/>
      </w:r>
      <w:r>
        <w:t xml:space="preserve">. </w:t>
      </w:r>
      <w:r w:rsidR="00322526">
        <w:t>Community samples</w:t>
      </w:r>
      <w:r w:rsidR="00EE263C">
        <w:t xml:space="preserve"> of those with HD appear to have more clutter and less insight than those who typically present in research samples (Woody et al., 2020)</w:t>
      </w:r>
      <w:r w:rsidR="008E7889">
        <w:t xml:space="preserve">. </w:t>
      </w:r>
      <w:r>
        <w:t>Refusal and dropout rates in hoarding treatment studies have also been high</w:t>
      </w:r>
      <w:r w:rsidR="008244BD">
        <w:t xml:space="preserve"> </w:t>
      </w:r>
      <w:r w:rsidR="008244BD">
        <w:fldChar w:fldCharType="begin" w:fldLock="1"/>
      </w:r>
      <w:r w:rsidR="008244BD">
        <w:instrText>ADDIN CSL_CITATION {"citationItems":[{"id":"ITEM-1","itemData":{"DOI":"10.1007/s10615-010-0311-4","ISBN":"0091-1674\\r1573-3343","ISSN":"00911674","abstract":"This article reviews the empirical literature on treating clients with hoarding behaviors, including psychosocial treatments, mainly cognitive behavioral, and pharmacotherapy. Standard treatments used for obsessive compulsive disorder (OCD) such as medication and/or behavior therapy have been associated with poor treatment response for those with hoarding. Recent prospective pharmacotherapy research suggests that serotonergic medication may be helpful to OCD patients with or without hoarding. A multi-component cognitive behavioral treatment (CBT) designed specifically for hoarding has shown promising results especially in trials of individual therapy with periodic home visits. Social work researchers have played a prominent role in the development and testing of this CBT intervention and development of instruments to assess hoarding treatment outcomes. This CBT intervention has demonstrated modest success when delivered individually in an open trial and a waitlist-controlled trial, and in quasi-experimental studies of group treatment modalities, including in-person and web-based groups as well as bibliotherapy-based support groups. Overall, evidence supports the use of specialized CBT methods to improve hoarding symptoms. Future testing may include controlled trials with more diverse samples.","author":[{"dropping-particle":"","family":"Muroff","given":"Jordana","non-dropping-particle":"","parse-names":false,"suffix":""},{"dropping-particle":"","family":"Bratiotis","given":"Christiana","non-dropping-particle":"","parse-names":false,"suffix":""},{"dropping-particle":"","family":"Steketee","given":"Gail","non-dropping-particle":"","parse-names":false,"suffix":""}],"container-title":"Clinical Social Work Journal","id":"ITEM-1","issued":{"date-parts":[["2011"]]},"page":"406-423","title":"Treatment for hoarding behaviors: A review of the evidence","type":"article-journal","volume":"39"},"uris":["http://www.mendeley.com/documents/?uuid=fae399b1-6e43-44c4-966b-1465985fa815"]}],"mendeley":{"formattedCitation":"(Muroff et al., 2011)","plainTextFormattedCitation":"(Muroff et al., 2011)","previouslyFormattedCitation":"(Muroff et al., 2011)"},"properties":{"noteIndex":0},"schema":"https://github.com/citation-style-language/schema/raw/master/csl-citation.json"}</w:instrText>
      </w:r>
      <w:r w:rsidR="008244BD">
        <w:fldChar w:fldCharType="separate"/>
      </w:r>
      <w:r w:rsidR="008244BD" w:rsidRPr="008244BD">
        <w:rPr>
          <w:noProof/>
        </w:rPr>
        <w:t>(Muroff et al., 2011)</w:t>
      </w:r>
      <w:r w:rsidR="008244BD">
        <w:fldChar w:fldCharType="end"/>
      </w:r>
      <w:r>
        <w:t>, suggesting that</w:t>
      </w:r>
      <w:r w:rsidR="002A1D49">
        <w:t xml:space="preserve"> some</w:t>
      </w:r>
      <w:r>
        <w:t xml:space="preserve"> individuals in need of treatment for hoarding are not satisfied with the current, most-supported treatment option available (i.e., CBT). In sum, there is a need to develop another evidence-based treatment option for HD that is accessible and palatable while providing robust, clinically significant change.</w:t>
      </w:r>
    </w:p>
    <w:p w14:paraId="202CA6CD" w14:textId="36AB2F69" w:rsidR="00823CD0" w:rsidRDefault="00823CD0" w:rsidP="00823CD0">
      <w:pPr>
        <w:spacing w:line="480" w:lineRule="auto"/>
      </w:pPr>
      <w:r>
        <w:tab/>
        <w:t>To improve access to and engagement in treatment, web-based interventions may provide a promising alternative to in-person care. Mobile and web-based interventions are a growing area of research due to their ease of access and scalability</w:t>
      </w:r>
      <w:r w:rsidR="008244BD">
        <w:t xml:space="preserve"> </w:t>
      </w:r>
      <w:r w:rsidR="008244BD">
        <w:fldChar w:fldCharType="begin" w:fldLock="1"/>
      </w:r>
      <w:r w:rsidR="009802A3">
        <w:instrText>ADDIN CSL_CITATION {"citationItems":[{"id":"ITEM-1","itemData":{"DOI":"10.1002/wps.20083","ISBN":"1723-8617; EN :2051-5545","ISSN":"17238617","PMID":"24497236","abstract":"Several Internet interventions have been developed and tested for common mental disorders, and the evidence to date shows that these treatments often result in similar outcomes as in face-to-face psychotherapy and that they are cost-effective. In this paper, we first review the pros and cons of how participants in Internet treatment trials have been recruited. We then comment on the assessment procedures often involved in Internet interventions and conclude that, while online questionnaires yield robust results, diagnoses cannot be determined without any contact with the patient. We then review the role of the therapist and conclude that, although treatments including guidance seem to lead to better outcomes than unguided treatments, this guidance can be mainly practical and supportive rather than explicitly therapeutic in orientation. Then we briefly describe the advantages and disadvantages of treatments for mood and anxiety disorders and comment on ways to handle comorbidity often associated with these disorders. Finally we discuss challenges when disseminating Internet interventions. In conclusion, there is now a large body of evidence suggesting that Internet interventions work. Several research questions remain open, including how Internet interventions can be blended with traditional forms of care.","author":[{"dropping-particle":"","family":"Andersson","given":"Gerhard","non-dropping-particle":"","parse-names":false,"suffix":""},{"dropping-particle":"","family":"Titov","given":"Nickolai","non-dropping-particle":"","parse-names":false,"suffix":""}],"container-title":"World Psychiatry","id":"ITEM-1","issued":{"date-parts":[["2014"]]},"page":"4-11","title":"Advantages and limitations of Internet-based interventions for common mental disorders","type":"article-journal","volume":"13"},"uris":["http://www.mendeley.com/documents/?uuid=b993daa7-294c-42a0-a39b-91984845223f"]}],"mendeley":{"formattedCitation":"(Andersson &amp; Titov, 2014)","plainTextFormattedCitation":"(Andersson &amp; Titov, 2014)","previouslyFormattedCitation":"(Andersson &amp; Titov, 2014)"},"properties":{"noteIndex":0},"schema":"https://github.com/citation-style-language/schema/raw/master/csl-citation.json"}</w:instrText>
      </w:r>
      <w:r w:rsidR="008244BD">
        <w:fldChar w:fldCharType="separate"/>
      </w:r>
      <w:r w:rsidR="008244BD" w:rsidRPr="008244BD">
        <w:rPr>
          <w:noProof/>
        </w:rPr>
        <w:t>(Andersson &amp; Titov, 2014)</w:t>
      </w:r>
      <w:r w:rsidR="008244BD">
        <w:fldChar w:fldCharType="end"/>
      </w:r>
      <w:r w:rsidR="008244BD">
        <w:t xml:space="preserve">. </w:t>
      </w:r>
      <w:r>
        <w:t>Online interventions also have the potential to mitigate defensiveness (a possible contributing factor to low engagement or help-seeking</w:t>
      </w:r>
      <w:r w:rsidR="009802A3">
        <w:t xml:space="preserve">; </w:t>
      </w:r>
      <w:r w:rsidR="009802A3">
        <w:fldChar w:fldCharType="begin" w:fldLock="1"/>
      </w:r>
      <w:r w:rsidR="009802A3">
        <w:instrText>ADDIN CSL_CITATION {"citationItems":[{"id":"ITEM-1","itemData":{"DOI":"10.1016/j.cbpra.2009.07.004","ISBN":"1077-7229","ISSN":"10777229","abstract":"Compulsive hoarding is a chronic and debilitating condition that has proven difficult to treat. The cognitive behavioral approaches that have otherwise been successful for people suffering from obsessive-compulsive disorder do not work very well for hoarding (Abramowitz, Franklin, Schwartz, &amp; Furr, 2003). Many have suggested that this is due to the ego-syntonic nature of the symptoms and the accompanying lack of insight. This paper describes several challenges related to insight that limit the effectiveness of traditional cognitive behavioral approaches for compulsive hoarding. Problems with anosognosia, overvalued ideation, and defensiveness that characterize hoarding are described and suggestions offered for dealing with them. ?? 2010.","author":[{"dropping-particle":"","family":"Frost","given":"Randy O.","non-dropping-particle":"","parse-names":false,"suffix":""},{"dropping-particle":"","family":"Tolin","given":"David F.","non-dropping-particle":"","parse-names":false,"suffix":""},{"dropping-particle":"","family":"Maltby","given":"Nicholas","non-dropping-particle":"","parse-names":false,"suffix":""}],"container-title":"Cognitive and Behavioral Practice","id":"ITEM-1","issue":"4","issued":{"date-parts":[["2010"]]},"page":"404-413","title":"Insight-related challenges in the treatment of hoarding","type":"article-journal","volume":"17"},"uris":["http://www.mendeley.com/documents/?uuid=b9e78223-eaee-4521-9bdd-e039df8dab70"]}],"mendeley":{"formattedCitation":"(Frost et al., 2010)","manualFormatting":"Frost et al., 2010)","plainTextFormattedCitation":"(Frost et al., 2010)","previouslyFormattedCitation":"(Frost et al., 2010)"},"properties":{"noteIndex":0},"schema":"https://github.com/citation-style-language/schema/raw/master/csl-citation.json"}</w:instrText>
      </w:r>
      <w:r w:rsidR="009802A3">
        <w:fldChar w:fldCharType="separate"/>
      </w:r>
      <w:r w:rsidR="009802A3" w:rsidRPr="009802A3">
        <w:rPr>
          <w:noProof/>
        </w:rPr>
        <w:t>Frost et al., 2010)</w:t>
      </w:r>
      <w:r w:rsidR="009802A3">
        <w:fldChar w:fldCharType="end"/>
      </w:r>
      <w:r>
        <w:t xml:space="preserve"> by allowing the individual to interact with a website instead of directly engaging with a therapist </w:t>
      </w:r>
      <w:r w:rsidR="009802A3">
        <w:fldChar w:fldCharType="begin" w:fldLock="1"/>
      </w:r>
      <w:r w:rsidR="00707EE3">
        <w:instrText>ADDIN CSL_CITATION {"citationItems":[{"id":"ITEM-1","itemData":{"DOI":"10.1080/07448481.2018.1440580","ISSN":"0744-8481","author":[{"dropping-particle":"","family":"Levin","given":"Michael E","non-dropping-particle":"","parse-names":false,"suffix":""},{"dropping-particle":"","family":"Krafft","given":"Jennifer","non-dropping-particle":"","parse-names":false,"suffix":""},{"dropping-particle":"","family":"Levin","given":"Crissa","non-dropping-particle":"","parse-names":false,"suffix":""}],"container-title":"Journal of American College Health","id":"ITEM-1","issue":"4","issued":{"date-parts":[["2018","5","19"]]},"note":"doi: 10.1080/07448481.2018.1440580","page":"302-309","publisher":"Taylor &amp; Francis","title":"Does self-help increase rates of help seeking for student mental health problems by minimizing stigma as a barrier?","type":"article-journal","volume":"66"},"uris":["http://www.mendeley.com/documents/?uuid=a2fbb2f0-b226-4d4e-b217-14149093466a"]}],"mendeley":{"formattedCitation":"(Levin et al., 2018)","plainTextFormattedCitation":"(Levin et al., 2018)","previouslyFormattedCitation":"(Levin et al., 2018)"},"properties":{"noteIndex":0},"schema":"https://github.com/citation-style-language/schema/raw/master/csl-citation.json"}</w:instrText>
      </w:r>
      <w:r w:rsidR="009802A3">
        <w:fldChar w:fldCharType="separate"/>
      </w:r>
      <w:r w:rsidR="009802A3" w:rsidRPr="009802A3">
        <w:rPr>
          <w:noProof/>
        </w:rPr>
        <w:t>(Levin et al., 2018)</w:t>
      </w:r>
      <w:r w:rsidR="009802A3">
        <w:fldChar w:fldCharType="end"/>
      </w:r>
      <w:r w:rsidR="009802A3">
        <w:t xml:space="preserve">. </w:t>
      </w:r>
      <w:r>
        <w:t xml:space="preserve">For example, </w:t>
      </w:r>
      <w:r w:rsidR="00EA5EF0">
        <w:t xml:space="preserve">one </w:t>
      </w:r>
      <w:r w:rsidRPr="00FE1DB4">
        <w:t xml:space="preserve">previous </w:t>
      </w:r>
      <w:r w:rsidR="00EA5EF0">
        <w:t>study</w:t>
      </w:r>
      <w:r>
        <w:t xml:space="preserve"> report</w:t>
      </w:r>
      <w:r w:rsidR="00EA5EF0">
        <w:t>ed</w:t>
      </w:r>
      <w:r>
        <w:t xml:space="preserve"> </w:t>
      </w:r>
      <w:r w:rsidRPr="00FE1DB4">
        <w:t xml:space="preserve">that </w:t>
      </w:r>
      <w:r>
        <w:t>individuals</w:t>
      </w:r>
      <w:r w:rsidRPr="00FE1DB4">
        <w:t xml:space="preserve"> with hoarding issues discard </w:t>
      </w:r>
      <w:r>
        <w:t xml:space="preserve">belongings </w:t>
      </w:r>
      <w:r w:rsidRPr="00FE1DB4">
        <w:t xml:space="preserve">more easily in low pressure scenarios </w:t>
      </w:r>
      <w:r>
        <w:t>as compared to in</w:t>
      </w:r>
      <w:r w:rsidRPr="00FE1DB4">
        <w:t xml:space="preserve"> therapy</w:t>
      </w:r>
      <w:r w:rsidR="00707EE3">
        <w:t xml:space="preserve"> </w:t>
      </w:r>
      <w:r w:rsidR="00707EE3">
        <w:fldChar w:fldCharType="begin" w:fldLock="1"/>
      </w:r>
      <w:r w:rsidR="00707EE3">
        <w:instrText>ADDIN CSL_CITATION {"citationItems":[{"id":"ITEM-1","itemData":{"DOI":"10.1038/nmeth.2839.A","ISBN":"6462654600","ISSN":"1527-5418","PMID":"28299348","author":[{"dropping-particle":"","family":"Frost","given":"Randy O","non-dropping-particle":"","parse-names":false,"suffix":""},{"dropping-particle":"","family":"Ong","given":"Clarissa","non-dropping-particle":"","parse-names":false,"suffix":""},{"dropping-particle":"","family":"Steketee","given":"Gail","non-dropping-particle":"","parse-names":false,"suffix":""},{"dropping-particle":"","family":"Tolin","given":"David F","non-dropping-particle":"","parse-names":false,"suffix":""}],"container-title":"Behavioral Research and Therapy","id":"ITEM-1","issued":{"date-parts":[["2016"]]},"page":"13-22","title":"Behavioral and emotional consequences of thought listing versus cognitive restructuring during discarding decisions in hoarding disorder","type":"article-journal","volume":"85"},"uris":["http://www.mendeley.com/documents/?uuid=a17cd443-45bc-41f7-87e9-fe0171a76227"]}],"mendeley":{"formattedCitation":"(Frost et al., 2016)","plainTextFormattedCitation":"(Frost et al., 2016)","previouslyFormattedCitation":"(Frost et al., 2016)"},"properties":{"noteIndex":0},"schema":"https://github.com/citation-style-language/schema/raw/master/csl-citation.json"}</w:instrText>
      </w:r>
      <w:r w:rsidR="00707EE3">
        <w:fldChar w:fldCharType="separate"/>
      </w:r>
      <w:r w:rsidR="00707EE3" w:rsidRPr="00707EE3">
        <w:rPr>
          <w:noProof/>
        </w:rPr>
        <w:t>(Frost et al., 2016)</w:t>
      </w:r>
      <w:r w:rsidR="00707EE3">
        <w:fldChar w:fldCharType="end"/>
      </w:r>
      <w:r>
        <w:t>; it is possible that</w:t>
      </w:r>
      <w:r w:rsidRPr="00FE1DB4">
        <w:t xml:space="preserve"> self-help </w:t>
      </w:r>
      <w:r w:rsidRPr="00FE1DB4">
        <w:lastRenderedPageBreak/>
        <w:t>interventions</w:t>
      </w:r>
      <w:r>
        <w:t xml:space="preserve"> for HD</w:t>
      </w:r>
      <w:r w:rsidRPr="00FE1DB4">
        <w:t xml:space="preserve"> can provide the ideal balance to </w:t>
      </w:r>
      <w:r>
        <w:t>improve</w:t>
      </w:r>
      <w:r w:rsidRPr="00FE1DB4">
        <w:t xml:space="preserve"> discarding</w:t>
      </w:r>
      <w:r w:rsidR="00707EE3">
        <w:t>.</w:t>
      </w:r>
      <w:r w:rsidRPr="00FE1DB4">
        <w:t xml:space="preserve"> </w:t>
      </w:r>
      <w:r>
        <w:t>Only one previous study examined a web-based</w:t>
      </w:r>
      <w:r w:rsidR="00707EE3">
        <w:t xml:space="preserve"> peer support group with CBT resources </w:t>
      </w:r>
      <w:r>
        <w:t>for hoarding</w:t>
      </w:r>
      <w:r w:rsidR="00707EE3">
        <w:t xml:space="preserve"> </w:t>
      </w:r>
      <w:r w:rsidR="00707EE3">
        <w:fldChar w:fldCharType="begin" w:fldLock="1"/>
      </w:r>
      <w:r w:rsidR="009B211C">
        <w:instrText>ADDIN CSL_CITATION {"citationItems":[{"id":"ITEM-1","itemData":{"DOI":"10.1016/j.brat.2009.09.006","ISBN":"0005-7967","ISSN":"00057967","PMID":"19800051","abstract":"This study tested the effectiveness of an existing private online CBT-based group intervention designed to help people with hoarding. Web-group participants were hypothesized to show more improvement in hoarding symptoms over time compared to those placed on a naturalistic waitlist. This web-based self-help group (N = 106 members, N = 155 waitlisted) includes a formal application process and requires that participants post action steps and progress at least once monthly. Members have access to educational resources on hoarding, cognitive strategies, and a chat-group. Potential research participants were invited to complete an anonymous web-based survey about their hoarding behaviors and clinical improvement on five occasions (3 months apart). The sample was mainly middle-aged, female and White. Regression analyses show that Recent members reported greater improvement and less clutter at 6 months (than Waitlist). Long-term members reported milder hoarding symptoms than Recent ones, suggesting benefits from group participation over time. All members showed reductions in clutter and hoarding symptoms over 15 months. Less posting activity was associated with greater hoarding severity. Online CBT-based self-help for hoarding appears to be a promising intervention strategy that may extend access to treatment. Evaluating the benefits of internet self-help groups is critical given growing popularity of and demand for web-based interventions. © 2009 Elsevier Ltd. All rights reserved.","author":[{"dropping-particle":"","family":"Muroff","given":"Jordana","non-dropping-particle":"","parse-names":false,"suffix":""},{"dropping-particle":"","family":"Steketee","given":"Gail","non-dropping-particle":"","parse-names":false,"suffix":""},{"dropping-particle":"","family":"Himle","given":"Joe","non-dropping-particle":"","parse-names":false,"suffix":""},{"dropping-particle":"","family":"Frost","given":"Randy","non-dropping-particle":"","parse-names":false,"suffix":""}],"container-title":"Behaviour Research and Therapy","id":"ITEM-1","issue":"1","issued":{"date-parts":[["2010"]]},"page":"79-85","publisher":"Elsevier Ltd","title":"Delivery of internet treatment for compulsive hoarding (D.I.T.C.H.)","type":"article-journal","volume":"48"},"uris":["http://www.mendeley.com/documents/?uuid=08b1458b-ad37-4bcb-a618-8469029ed80a"]}],"mendeley":{"formattedCitation":"(Muroff et al., 2010)","plainTextFormattedCitation":"(Muroff et al., 2010)","previouslyFormattedCitation":"(Muroff et al., 2010)"},"properties":{"noteIndex":0},"schema":"https://github.com/citation-style-language/schema/raw/master/csl-citation.json"}</w:instrText>
      </w:r>
      <w:r w:rsidR="00707EE3">
        <w:fldChar w:fldCharType="separate"/>
      </w:r>
      <w:r w:rsidR="00707EE3" w:rsidRPr="00707EE3">
        <w:rPr>
          <w:noProof/>
        </w:rPr>
        <w:t>(Muroff et al., 2010)</w:t>
      </w:r>
      <w:r w:rsidR="00707EE3">
        <w:fldChar w:fldCharType="end"/>
      </w:r>
      <w:r>
        <w:t xml:space="preserve">. In this study, participants reported improvements in hoarding symptom severity over 15 months, with long-term users showing greater improvement overall </w:t>
      </w:r>
      <w:r w:rsidR="009B211C">
        <w:fldChar w:fldCharType="begin" w:fldLock="1"/>
      </w:r>
      <w:r w:rsidR="009B211C">
        <w:instrText>ADDIN CSL_CITATION {"citationItems":[{"id":"ITEM-1","itemData":{"DOI":"10.1016/j.brat.2009.09.006","ISBN":"0005-7967","ISSN":"00057967","PMID":"19800051","abstract":"This study tested the effectiveness of an existing private online CBT-based group intervention designed to help people with hoarding. Web-group participants were hypothesized to show more improvement in hoarding symptoms over time compared to those placed on a naturalistic waitlist. This web-based self-help group (N = 106 members, N = 155 waitlisted) includes a formal application process and requires that participants post action steps and progress at least once monthly. Members have access to educational resources on hoarding, cognitive strategies, and a chat-group. Potential research participants were invited to complete an anonymous web-based survey about their hoarding behaviors and clinical improvement on five occasions (3 months apart). The sample was mainly middle-aged, female and White. Regression analyses show that Recent members reported greater improvement and less clutter at 6 months (than Waitlist). Long-term members reported milder hoarding symptoms than Recent ones, suggesting benefits from group participation over time. All members showed reductions in clutter and hoarding symptoms over 15 months. Less posting activity was associated with greater hoarding severity. Online CBT-based self-help for hoarding appears to be a promising intervention strategy that may extend access to treatment. Evaluating the benefits of internet self-help groups is critical given growing popularity of and demand for web-based interventions. © 2009 Elsevier Ltd. All rights reserved.","author":[{"dropping-particle":"","family":"Muroff","given":"Jordana","non-dropping-particle":"","parse-names":false,"suffix":""},{"dropping-particle":"","family":"Steketee","given":"Gail","non-dropping-particle":"","parse-names":false,"suffix":""},{"dropping-particle":"","family":"Himle","given":"Joe","non-dropping-particle":"","parse-names":false,"suffix":""},{"dropping-particle":"","family":"Frost","given":"Randy","non-dropping-particle":"","parse-names":false,"suffix":""}],"container-title":"Behaviour Research and Therapy","id":"ITEM-1","issue":"1","issued":{"date-parts":[["2010"]]},"page":"79-85","publisher":"Elsevier Ltd","title":"Delivery of internet treatment for compulsive hoarding (D.I.T.C.H.)","type":"article-journal","volume":"48"},"uris":["http://www.mendeley.com/documents/?uuid=08b1458b-ad37-4bcb-a618-8469029ed80a"]}],"mendeley":{"formattedCitation":"(Muroff et al., 2010)","plainTextFormattedCitation":"(Muroff et al., 2010)","previouslyFormattedCitation":"(Muroff et al., 2010)"},"properties":{"noteIndex":0},"schema":"https://github.com/citation-style-language/schema/raw/master/csl-citation.json"}</w:instrText>
      </w:r>
      <w:r w:rsidR="009B211C">
        <w:fldChar w:fldCharType="separate"/>
      </w:r>
      <w:r w:rsidR="009B211C" w:rsidRPr="009B211C">
        <w:rPr>
          <w:noProof/>
        </w:rPr>
        <w:t>(Muroff et al., 2010)</w:t>
      </w:r>
      <w:r w:rsidR="009B211C">
        <w:fldChar w:fldCharType="end"/>
      </w:r>
      <w:r w:rsidR="009B211C">
        <w:t>.</w:t>
      </w:r>
      <w:r>
        <w:t xml:space="preserve"> This study suggests that web-based treatments may be a feasible and effective option for people with HD, but it did not measure treatment acceptability nor utilize randomization</w:t>
      </w:r>
      <w:r w:rsidR="009B211C">
        <w:t xml:space="preserve"> </w:t>
      </w:r>
      <w:r w:rsidR="009B211C">
        <w:fldChar w:fldCharType="begin" w:fldLock="1"/>
      </w:r>
      <w:r w:rsidR="00035788">
        <w:instrText>ADDIN CSL_CITATION {"citationItems":[{"id":"ITEM-1","itemData":{"DOI":"10.1016/j.brat.2009.09.006","ISBN":"0005-7967","ISSN":"00057967","PMID":"19800051","abstract":"This study tested the effectiveness of an existing private online CBT-based group intervention designed to help people with hoarding. Web-group participants were hypothesized to show more improvement in hoarding symptoms over time compared to those placed on a naturalistic waitlist. This web-based self-help group (N = 106 members, N = 155 waitlisted) includes a formal application process and requires that participants post action steps and progress at least once monthly. Members have access to educational resources on hoarding, cognitive strategies, and a chat-group. Potential research participants were invited to complete an anonymous web-based survey about their hoarding behaviors and clinical improvement on five occasions (3 months apart). The sample was mainly middle-aged, female and White. Regression analyses show that Recent members reported greater improvement and less clutter at 6 months (than Waitlist). Long-term members reported milder hoarding symptoms than Recent ones, suggesting benefits from group participation over time. All members showed reductions in clutter and hoarding symptoms over 15 months. Less posting activity was associated with greater hoarding severity. Online CBT-based self-help for hoarding appears to be a promising intervention strategy that may extend access to treatment. Evaluating the benefits of internet self-help groups is critical given growing popularity of and demand for web-based interventions. © 2009 Elsevier Ltd. All rights reserved.","author":[{"dropping-particle":"","family":"Muroff","given":"Jordana","non-dropping-particle":"","parse-names":false,"suffix":""},{"dropping-particle":"","family":"Steketee","given":"Gail","non-dropping-particle":"","parse-names":false,"suffix":""},{"dropping-particle":"","family":"Himle","given":"Joe","non-dropping-particle":"","parse-names":false,"suffix":""},{"dropping-particle":"","family":"Frost","given":"Randy","non-dropping-particle":"","parse-names":false,"suffix":""}],"container-title":"Behaviour Research and Therapy","id":"ITEM-1","issue":"1","issued":{"date-parts":[["2010"]]},"page":"79-85","publisher":"Elsevier Ltd","title":"Delivery of internet treatment for compulsive hoarding (D.I.T.C.H.)","type":"article-journal","volume":"48"},"uris":["http://www.mendeley.com/documents/?uuid=08b1458b-ad37-4bcb-a618-8469029ed80a"]}],"mendeley":{"formattedCitation":"(Muroff et al., 2010)","plainTextFormattedCitation":"(Muroff et al., 2010)","previouslyFormattedCitation":"(Muroff et al., 2010)"},"properties":{"noteIndex":0},"schema":"https://github.com/citation-style-language/schema/raw/master/csl-citation.json"}</w:instrText>
      </w:r>
      <w:r w:rsidR="009B211C">
        <w:fldChar w:fldCharType="separate"/>
      </w:r>
      <w:r w:rsidR="009B211C" w:rsidRPr="009B211C">
        <w:rPr>
          <w:noProof/>
        </w:rPr>
        <w:t>(Muroff et al., 2010)</w:t>
      </w:r>
      <w:r w:rsidR="009B211C">
        <w:fldChar w:fldCharType="end"/>
      </w:r>
      <w:r>
        <w:t xml:space="preserve">. Therefore, further research is needed on web-based options for hoarding disorder to replicate this pilot study and gain a deeper understanding of online interventions for HD. </w:t>
      </w:r>
    </w:p>
    <w:p w14:paraId="6C07C423" w14:textId="2B761CAD" w:rsidR="00823CD0" w:rsidRDefault="00823CD0" w:rsidP="00823CD0">
      <w:pPr>
        <w:spacing w:line="480" w:lineRule="auto"/>
      </w:pPr>
      <w:r>
        <w:tab/>
        <w:t>Because there is so little treatment research available on HD overall, it would be helpful to test treatments other than CBT, such as acceptance and commitment therapy (ACT;</w:t>
      </w:r>
      <w:r w:rsidR="00035788">
        <w:t xml:space="preserve"> </w:t>
      </w:r>
      <w:r w:rsidR="00035788">
        <w:fldChar w:fldCharType="begin" w:fldLock="1"/>
      </w:r>
      <w:r w:rsidR="009F5B4E">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change","type":"book"},"uris":["http://www.mendeley.com/documents/?uuid=d6a54fc4-24c7-4597-a845-da3bb0224b2a"]}],"mendeley":{"formattedCitation":"(Hayes et al., 2012)","manualFormatting":"Hayes et al., 2012)","plainTextFormattedCitation":"(Hayes et al., 2012)","previouslyFormattedCitation":"(Hayes et al., 2012)"},"properties":{"noteIndex":0},"schema":"https://github.com/citation-style-language/schema/raw/master/csl-citation.json"}</w:instrText>
      </w:r>
      <w:r w:rsidR="00035788">
        <w:fldChar w:fldCharType="separate"/>
      </w:r>
      <w:r w:rsidR="00035788" w:rsidRPr="00035788">
        <w:rPr>
          <w:noProof/>
        </w:rPr>
        <w:t>Hayes et al., 2012)</w:t>
      </w:r>
      <w:r w:rsidR="00035788">
        <w:fldChar w:fldCharType="end"/>
      </w:r>
      <w:r>
        <w:t xml:space="preserve">. ACT targets psychological inflexibility, which is a core pathological process involved in HD. Psychological inflexibility is defined by the overregulation of behavior </w:t>
      </w:r>
      <w:r w:rsidR="00D75EE0">
        <w:t>by</w:t>
      </w:r>
      <w:r>
        <w:t xml:space="preserve"> internal experiences (e.g., thoughts, feelings) rather than attending and/or responding to chosen values or the </w:t>
      </w:r>
      <w:r w:rsidR="00D75EE0">
        <w:t xml:space="preserve">context of the </w:t>
      </w:r>
      <w:r>
        <w:t>present moment</w:t>
      </w:r>
      <w:r w:rsidR="00D75EE0">
        <w:t xml:space="preserve"> </w:t>
      </w:r>
      <w:r w:rsidR="00D75EE0">
        <w:fldChar w:fldCharType="begin" w:fldLock="1"/>
      </w:r>
      <w:r w:rsidR="009F5B4E">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change","type":"book"},"uris":["http://www.mendeley.com/documents/?uuid=d6a54fc4-24c7-4597-a845-da3bb0224b2a"]}],"mendeley":{"formattedCitation":"(Hayes et al., 2012)","plainTextFormattedCitation":"(Hayes et al., 2012)","previouslyFormattedCitation":"(Hayes et al., 2012)"},"properties":{"noteIndex":0},"schema":"https://github.com/citation-style-language/schema/raw/master/csl-citation.json"}</w:instrText>
      </w:r>
      <w:r w:rsidR="00D75EE0">
        <w:fldChar w:fldCharType="separate"/>
      </w:r>
      <w:r w:rsidR="009F5B4E" w:rsidRPr="009F5B4E">
        <w:rPr>
          <w:noProof/>
        </w:rPr>
        <w:t>(Hayes et al., 2012)</w:t>
      </w:r>
      <w:r w:rsidR="00D75EE0">
        <w:fldChar w:fldCharType="end"/>
      </w:r>
      <w:r>
        <w:t xml:space="preserve">. For example, individuals with HD often </w:t>
      </w:r>
      <w:r w:rsidRPr="00975B7B">
        <w:t>respond</w:t>
      </w:r>
      <w:r>
        <w:t xml:space="preserve"> </w:t>
      </w:r>
      <w:r w:rsidRPr="00975B7B">
        <w:t>to and engag</w:t>
      </w:r>
      <w:r>
        <w:t>e</w:t>
      </w:r>
      <w:r w:rsidRPr="00975B7B">
        <w:t xml:space="preserve"> with thoughts rigidly and literally</w:t>
      </w:r>
      <w:r w:rsidR="004F1D52">
        <w:t xml:space="preserve"> </w:t>
      </w:r>
      <w:r w:rsidR="004F1D52">
        <w:fldChar w:fldCharType="begin" w:fldLock="1"/>
      </w:r>
      <w:r w:rsidR="00E559C5">
        <w:instrText>ADDIN CSL_CITATION {"citationItems":[{"id":"ITEM-1","itemData":{"DOI":"10.1891/0889-8391.32.2.97","author":[{"dropping-particle":"","family":"Ong","given":"C.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Psychotherapy","id":"ITEM-1","issued":{"date-parts":[["2018"]]},"page":"97-111","title":"An examination of the role of psychological inflexibility in hoarding using multiple mediator models","type":"article-journal","volume":"32"},"uris":["http://www.mendeley.com/documents/?uuid=e9ed2510-b378-4617-9f97-d7390f005566"]}],"mendeley":{"formattedCitation":"(Ong et al., 2018)","plainTextFormattedCitation":"(Ong et al., 2018)","previouslyFormattedCitation":"(Ong et al., 2018)"},"properties":{"noteIndex":0},"schema":"https://github.com/citation-style-language/schema/raw/master/csl-citation.json"}</w:instrText>
      </w:r>
      <w:r w:rsidR="004F1D52">
        <w:fldChar w:fldCharType="separate"/>
      </w:r>
      <w:r w:rsidR="004F1D52" w:rsidRPr="004F1D52">
        <w:rPr>
          <w:noProof/>
        </w:rPr>
        <w:t>(Ong et al., 2018)</w:t>
      </w:r>
      <w:r w:rsidR="004F1D52">
        <w:fldChar w:fldCharType="end"/>
      </w:r>
      <w:r>
        <w:t>; t</w:t>
      </w:r>
      <w:r w:rsidRPr="00975B7B">
        <w:t xml:space="preserve">his </w:t>
      </w:r>
      <w:r>
        <w:t>process is visible</w:t>
      </w:r>
      <w:r w:rsidRPr="00975B7B">
        <w:t xml:space="preserve"> </w:t>
      </w:r>
      <w:r>
        <w:t>with</w:t>
      </w:r>
      <w:r w:rsidRPr="00975B7B">
        <w:t xml:space="preserve"> beliefs about possessions (e.g., </w:t>
      </w:r>
      <w:r>
        <w:t>hearing</w:t>
      </w:r>
      <w:r w:rsidRPr="00975B7B">
        <w:t xml:space="preserve"> the thought “It would be too wasteful to discard this” as absolute truth and thus refusing to discard objects</w:t>
      </w:r>
      <w:r w:rsidR="004F1D52">
        <w:t xml:space="preserve">). </w:t>
      </w:r>
      <w:r>
        <w:t xml:space="preserve">As another example, HD symptoms often result in a </w:t>
      </w:r>
      <w:r w:rsidRPr="00515778">
        <w:t>preoccup</w:t>
      </w:r>
      <w:r>
        <w:t>ation with</w:t>
      </w:r>
      <w:r w:rsidRPr="00515778">
        <w:t xml:space="preserve"> </w:t>
      </w:r>
      <w:r>
        <w:t xml:space="preserve">the </w:t>
      </w:r>
      <w:r w:rsidRPr="00515778">
        <w:t xml:space="preserve">future or </w:t>
      </w:r>
      <w:r>
        <w:t xml:space="preserve">an </w:t>
      </w:r>
      <w:r w:rsidRPr="00515778">
        <w:t xml:space="preserve">idealized past related to their belongings (e.g., “I might need this item in the future so I can’t throw it away” or “My loved one left this item behind and thus I </w:t>
      </w:r>
      <w:r>
        <w:t>cannot discard it</w:t>
      </w:r>
      <w:r w:rsidRPr="00515778">
        <w:t>”)</w:t>
      </w:r>
      <w:r w:rsidR="001A5422">
        <w:t>.</w:t>
      </w:r>
      <w:r>
        <w:t xml:space="preserve"> </w:t>
      </w:r>
      <w:r w:rsidRPr="00515778">
        <w:t xml:space="preserve">Multiple studies have found hoarding </w:t>
      </w:r>
      <w:r>
        <w:t>symptoms</w:t>
      </w:r>
      <w:r w:rsidRPr="00515778">
        <w:t xml:space="preserve"> linked to higher experiential avoidance </w:t>
      </w:r>
      <w:r>
        <w:t>and</w:t>
      </w:r>
      <w:r w:rsidRPr="00515778">
        <w:t xml:space="preserve"> general psychological inflexibility</w:t>
      </w:r>
      <w:r w:rsidR="00E559C5">
        <w:t xml:space="preserve"> </w:t>
      </w:r>
      <w:r w:rsidR="00E559C5">
        <w:fldChar w:fldCharType="begin" w:fldLock="1"/>
      </w:r>
      <w:r w:rsidR="002E3A4C">
        <w:instrText>ADDIN CSL_CITATION {"citationItems":[{"id":"ITEM-1","itemData":{"DOI":"10.1016/j.jbtep.2014.04.005","ISSN":"18737943","PMID":"24828750","abstract":"Background and objectives This study examined the relationship between experiential and behavioral avoidance and hoarding symptom severity, controlling for anxiety and depression symptoms, in 66 adult individuals (M age = 61.41; SD = 9.03) with HD. Methods Hierarchical regression was used to test the associations between hoarding severity, as defined by the Savings Inventory-Revised (SI-R) total and its three subscales, and avoidance, as defined by the Acceptance and Action Questionnaire II (AAQ-II) and two scales from the Brief COPE (Self-Distraction and Behavioral Disengagement) when controlling for anxiety and depression symptoms. Results Experiential avoidance (AAQ-II) and behavioral avoidance (Brief COPE subscales Self-Distraction and Behavioral Disengagement) uniquely accounted for aspects of hoarding severity (SI-R) in regression models. Behavioral avoidance contributed significant additional variance to the SI-R Clutter subscale, whereas experiential avoidance was uniquely predictive of additional variance in the SI-R Difficulty Discarding and the SI-R Acquisition subscales. Limitations Future research should examine the effect of experiential avoidance on hoarding behaviors experimentally. Conclusions Given that the AAQ-II and Self-Distraction and Behavioral Disengagement subscales were not correlated, these findings suggest that experiential and behavioral avoidance are two distinct processes contributing to the severity of specific HD. Results support the utility of avoidance in the cognitive-behavioral model for HD. © 2014 Elsevier Ltd. All rights reserved.","author":[{"dropping-particle":"","family":"Ayers","given":"Catherine R.","non-dropping-particle":"","parse-names":false,"suffix":""},{"dropping-particle":"","family":"Castriotta","given":"Natalie","non-dropping-particle":"","parse-names":false,"suffix":""},{"dropping-particle":"","family":"Dozier","given":"Mary E.","non-dropping-particle":"","parse-names":false,"suffix":""},{"dropping-particle":"","family":"Espejo","given":"Emmanuel P.","non-dropping-particle":"","parse-names":false,"suffix":""},{"dropping-particle":"","family":"Porter","given":"Ben","non-dropping-particle":"","parse-names":false,"suffix":""}],"container-title":"Journal of Behavior Therapy and Experimental Psychiatry","id":"ITEM-1","issued":{"date-parts":[["2014"]]},"page":"408-414","publisher":"Elsevier Ltd","title":"Behavioral and experiential avoidance in patients with hoarding disorder","type":"article-journal","volume":"45"},"uris":["http://www.mendeley.com/documents/?uuid=4c88640e-fe68-4f91-a7f3-abb2f3cfe816"]},{"id":"ITEM-2","itemData":{"DOI":"10.1016/j.janxdis.2013.01.004","ISBN":"0887-6185\\r1873-7897","ISSN":"08876185","PMID":"23474910","abstract":"Experiential avoidance can be defined as the tendency to avoid contact with unwanted internal experiences. Current conceptualizations of pathological hoarding appear broadly consistent with an experiential avoidant model. Eighty participants in four groups, namely hoarding disorder (HD) without comorbid obsessive-compulsive disorder (OCD), HD with comorbid OCD, non-hoarding OCD, and healthy controls, were administered measures of experiential avoidance and emotion regulation difficulties. Hoarding individuals reported higher levels of experiential avoidance and difficulties in emotion regulation compared to healthy but not to OCD participants. Both experiential avoidance and emotion regulation difficulties were significantly more prominent when HD was comorbid with OCD than when HD occurred without comorbid OCD. Correlation analyses further showed that both experiential avoidance and emotion regulation were moderately but significantly associated with obsessive-compulsive but not hoarding symptoms. Thus, experiential avoidance and emotion regulation difficulties are not specifically relevant to HD but to a broad range of psychopathologies. However, despite the lack of specificity, the findings raise some potentially useful clinical implications for the treatment of HD. © 2013 Elsevier Ltd.","author":[{"dropping-particle":"","family":"Fernández de la Cruz","given":"Lorena","non-dropping-particle":"","parse-names":false,"suffix":""},{"dropping-particle":"","family":"Landau","given":"Danielle","non-dropping-particle":"","parse-names":false,"suffix":""},{"dropping-particle":"","family":"Iervolino","given":"Alessandra C.","non-dropping-particle":"","parse-names":false,"suffix":""},{"dropping-particle":"","family":"Santo","given":"Susan","non-dropping-particle":"","parse-names":false,"suffix":""},{"dropping-particle":"","family":"Pertusa","given":"Alberto","non-dropping-particle":"","parse-names":false,"suffix":""},{"dropping-particle":"","family":"Singh","given":"Satwant","non-dropping-particle":"","parse-names":false,"suffix":""},{"dropping-particle":"","family":"Mataix-Cols","given":"David","non-dropping-particle":"","parse-names":false,"suffix":""}],"container-title":"Journal of Anxiety Disorders","id":"ITEM-2","issue":"2","issued":{"date-parts":[["2013"]]},"page":"204-209","title":"Experiential avoidance and emotion regulation difficulties in hoarding disorder","type":"article-journal","volume":"27"},"uris":["http://www.mendeley.com/documents/?uuid=140457ac-930f-4d08-b67d-dff1b19daf7d"]},{"id":"ITEM-3","itemData":{"DOI":"10.1016/j.jcbs.2018.08.003","ISSN":"22121447","abstract":"Psychological inflexibility is a psychopathological process referring to the tendency for behavior to be overly controlled by internal experiences to an extent that interferes with quality of life. Some studies indicate that psychological inflexibility is linked to hoarding, but findings have been mixed. This inconsistency may be due to reliance on general measures of psychological inflexibility in prior research as there was previously no validated measure to assess psychological inflexibility as it relates to hoarding. The present study developed and validated a measure of hoarding-related psychological inflexibility, the Acceptance and Action Questionnaire for Hoarding (AAQH) in a college student sample with elevated hoarding symptoms (n = 201). The AAQH demonstrated a two-factor structure and good internal consistency, construct validity, and incremental validity over a general measure of psychological inflexibility, the AAQ-II. The potential research and clinical utility of the AAQH as well as limitations of this preliminary validation study are discussed.","author":[{"dropping-particle":"","family":"Krafft","given":"Jennifer","non-dropping-particle":"","parse-names":false,"suffix":""},{"dropping-particle":"","family":"Ong","given":"Clarissa W.","non-dropping-particle":"","parse-names":false,"suffix":""},{"dropping-particle":"","family":"Twohig","given":"Michael P.","non-dropping-particle":"","parse-names":false,"suffix":""},{"dropping-particle":"","family":"Levin","given":"Michael E.","non-dropping-particle":"","parse-names":false,"suffix":""}],"container-title":"Journal of Contextual Behavioral Science","id":"ITEM-3","issue":"July 2017","issued":{"date-parts":[["2018"]]},"title":"Assessing psychological inflexibility in hoarding: The Acceptance and Action Questionnaire for Hoarding (AAQH)","type":"article-journal"},"uris":["http://www.mendeley.com/documents/?uuid=3e859e22-7f6d-4455-9f0d-d7d1ed73ef07"]},{"id":"ITEM-4","itemData":{"DOI":"10.1891/0889-8391.32.2.97","author":[{"dropping-particle":"","family":"Ong","given":"C. W.","non-dropping-particle":"","parse-names":false,"suffix":""},{"dropping-particle":"","family":"Krafft","given":"Jennifer","non-dropping-particle":"","parse-names":false,"suffix":""},{"dropping-particle":"","family":"Levin","given":"Michael E.","non-dropping-particle":"","parse-names":false,"suffix":""},{"dropping-particle":"","family":"Twohig","given":"Michael P.","non-dropping-particle":"","parse-names":false,"suffix":""}],"container-title":"Journal of Cognitive Psychotherapy","id":"ITEM-4","issued":{"date-parts":[["2018"]]},"page":"97-111","title":"An examination of the role of psychological inflexibility in hoarding using multiple mediator models","type":"article-journal","volume":"32"},"uris":["http://www.mendeley.com/documents/?uuid=e9ed2510-b378-4617-9f97-d7390f005566"]},{"id":"ITEM-5","itemData":{"DOI":"10.1007/s10608-010-9338-7","ISBN":"0147-5916\\r1573-2819","ISSN":"01475916","PMID":"2011663445","abstract":"The cognitive-behavioral approach to hoarding implicates dysfunctional beliefs about possessions (i.e.; \"saving cognitions\"). Acquiring and saving possessions can be conceptualized as avoidance behaviors that prevent feeling the distress provoked by such beliefs in certain situations (e.g.; discarding). Experiential avoidance (EA) involves an unwillingness to endure upsetting emotions, thoughts, memories, and other private experiences, and deliberate efforts to control or escape from them. EA has been investigated in several clinical disorders, but to date little investigation of the role of EA in hoarding has been made. The present study examined EA in the prediction of hoarding symptoms. A large sample of unscreened undergraduates completed measures of EA, saving cognitions, and hoarding symptoms. EA predicted the acquisition and clutter components of hoarding even after controlling for saving cognitions and general distress. However, EA was not uniquely associated with the difficulty discarding component of hoarding. Implications for future research are discussed. 2010 Springer Science+Business Media, LLC.","author":[{"dropping-particle":"","family":"Wheaton",</w:instrText>
      </w:r>
      <w:r w:rsidR="002E3A4C" w:rsidRPr="00B72D8B">
        <w:rPr>
          <w:lang w:val="fr-FR"/>
        </w:rPr>
        <w:instrText>"given":"Michael G.","non-dropping-particle":"","parse-names":false,"suffix":""},{"dropping-particle":"","family":"Abramowitz","given":"Jonathan S.","non-dropping-particle":"","parse-names":false,"suffix":""},{"dropping-particle":"","family":"Franklin","given":"Joseph C.","non-dropping-particle":"","parse-names":false,"suffix":""},{"dropping-particle":"","family":"Berman","given":"Noah C.","non-dropping-particle":"","parse-names":false,"suffix":""},{"dropping-particle":"","family":"Fabricant","given":"Laura E.","non-dropping-particle":"","parse-names":false,"suffix":""}],"container-title":"Cognitive Therapy and Research","id":"ITEM-5","issue":"6","issued":{"date-parts":[["2011"]]},"page":"511-516","title":"Experiential avoidance and saving cognitions in the prediction of hoarding symptoms","type":"article-journal","volume":"35"},"uris":["http://www.mendeley.com/documents/?uuid=8b94d629-bb0d-4966-b04d-9667e724d828"]}],"mendeley":{"formattedCitation":"(Ayers et al., 2014; Fernández de la Cruz et al., 2013; Krafft et al., 2018; Ong et al., 2018; Wheaton et al., 2011)","plainTextFormattedCitation":"(Ayers et al., 2014; Fernández de la Cruz et al., 2013; Krafft et al., 2018; Ong et al., 2018; Wheaton et al., 2011)","previouslyFormattedCitation":"(Ayers et al., 2014; Fernández de la Cruz et al., 2013; Krafft et al., 2018; Ong et al., 2018; Wheaton et al., 2011)"},"properties":{"noteIndex":0},"schema":"https://github.com/citation-style-language/schema/raw/master/csl-citation.json"}</w:instrText>
      </w:r>
      <w:r w:rsidR="00E559C5">
        <w:fldChar w:fldCharType="separate"/>
      </w:r>
      <w:r w:rsidR="00E559C5" w:rsidRPr="00B72D8B">
        <w:rPr>
          <w:noProof/>
          <w:lang w:val="fr-FR"/>
        </w:rPr>
        <w:t>(Ayers et al., 2014; Fernández de la Cruz et al., 2013; Krafft et al., 2018; Ong et al., 2018; Wheaton et al., 2011)</w:t>
      </w:r>
      <w:r w:rsidR="00E559C5">
        <w:fldChar w:fldCharType="end"/>
      </w:r>
      <w:r w:rsidR="00E559C5" w:rsidRPr="00B72D8B">
        <w:rPr>
          <w:lang w:val="fr-FR"/>
        </w:rPr>
        <w:t xml:space="preserve">. </w:t>
      </w:r>
      <w:r>
        <w:t>ACT is therefore theoretically a promising treatment for HD.</w:t>
      </w:r>
    </w:p>
    <w:p w14:paraId="00FC5F5D" w14:textId="6004856D" w:rsidR="00823CD0" w:rsidRDefault="00823CD0" w:rsidP="00823CD0">
      <w:pPr>
        <w:spacing w:line="480" w:lineRule="auto"/>
        <w:ind w:firstLine="720"/>
      </w:pPr>
      <w:r>
        <w:lastRenderedPageBreak/>
        <w:t>Additionally, extensive research has</w:t>
      </w:r>
      <w:r w:rsidRPr="00D642F3">
        <w:t xml:space="preserve"> </w:t>
      </w:r>
      <w:r>
        <w:t>supported the use of ACT as a</w:t>
      </w:r>
      <w:r w:rsidRPr="00D642F3">
        <w:t xml:space="preserve"> transdiagnostic treatment</w:t>
      </w:r>
      <w:r>
        <w:t xml:space="preserve">; a transdiagnostic approach </w:t>
      </w:r>
      <w:r w:rsidRPr="00D642F3">
        <w:t xml:space="preserve">is </w:t>
      </w:r>
      <w:r>
        <w:t xml:space="preserve">especially important for hoarding due to the high comorbidity rates. </w:t>
      </w:r>
      <w:r w:rsidRPr="001354D6">
        <w:t xml:space="preserve">ACT is also supported for disorders related to hoarding like </w:t>
      </w:r>
      <w:r>
        <w:t>obsessive-compulsive disorder (OCD),</w:t>
      </w:r>
      <w:r w:rsidRPr="001354D6">
        <w:t xml:space="preserve"> anxiety, and depression, for both in-person (e.g.,</w:t>
      </w:r>
      <w:r w:rsidR="002E3A4C">
        <w:t xml:space="preserve"> </w:t>
      </w:r>
      <w:r w:rsidR="002E3A4C">
        <w:fldChar w:fldCharType="begin" w:fldLock="1"/>
      </w:r>
      <w:r w:rsidR="00BD61E0">
        <w:instrText>ADDIN CSL_CITATION {"citationItems":[{"id":"ITEM-1","itemData":{"DOI":"10.1016/j.janxdis.2014.06.008","ISSN":"18737897","PMID":"25041735","abstract":"A fair amount of research exists on acceptance and commitment therapy (ACT) as a model and a treatment for anxiety disorders and OCD spectrum disorders; this paper offers a quantitative account of this research. A meta-analysis is presented examining the relationship between psychological flexibility, measured by versions of the Acceptance and Action Questionnaire (AAQ and AAQ-II) and measures of anxiety. Meta-analytic results showed positive and significant relationships between the AAQ and general measures of anxiety as well as disorder specific measures. Additionally, all outcome data to date on ACT for anxiety and OCD spectrum disorders are reviewed, as are data on mediation and moderation within ACT. Preliminary meta-analytic results show that ACT is equally effective as manualized treatments such as cognitive behavioral therapy. Future directions and limitations of the research are discussed. © 2014.","author":[{"dropping-particle":"","family":"Bluett","given":"Ellen J.","non-dropping-particle":"","parse-names":false,"suffix":""},{"dropping-particle":"","family":"Homan","given":"Kendra J.","non-dropping-particle":"","parse-names":false,"suffix":""},{"dropping-particle":"","family":"Morrison","given":"Kate L.","non-dropping-particle":"","parse-names":false,"suffix":""},{"dropping-particle":"","family":"Levin","given":"Michael E.","non-dropping-particle":"","parse-names":false,"suffix":""},{"dropping-particle":"","family":"Twohig","given":"Michael P.","non-dropping-particle":"","parse-names":false,"suffix":""}],"container-title":"Journal of Anxiety Disorders","id":"ITEM-1","issued":{"date-parts":[["2014"]]},"page":"612-624","publisher":"Elsevier Ltd","title":"Acceptance and commitment therapy for anxiety and OCD spectrum disorders: An empirical review","type":"article-journal","volume":"28"},"uris":["http://www.mendeley.com/documents/?uuid=1de5d9f0-e1a7-4dcf-83c0-5fc57b41b7d0"]}],"mendeley":{"formattedCitation":"(Bluett et al., 2014)","manualFormatting":"Bluett et al., 2014)","plainTextFormattedCitation":"(Bluett et al., 2014)","previouslyFormattedCitation":"(Bluett et al., 2014)"},"properties":{"noteIndex":0},"schema":"https://github.com/citation-style-language/schema/raw/master/csl-citation.json"}</w:instrText>
      </w:r>
      <w:r w:rsidR="002E3A4C">
        <w:fldChar w:fldCharType="separate"/>
      </w:r>
      <w:r w:rsidR="002E3A4C" w:rsidRPr="002E3A4C">
        <w:rPr>
          <w:noProof/>
        </w:rPr>
        <w:t>Bluett et al., 2014)</w:t>
      </w:r>
      <w:r w:rsidR="002E3A4C">
        <w:fldChar w:fldCharType="end"/>
      </w:r>
      <w:r w:rsidRPr="001354D6">
        <w:t xml:space="preserve"> and web-based self-help</w:t>
      </w:r>
      <w:r w:rsidR="00BD61E0">
        <w:t xml:space="preserve"> </w:t>
      </w:r>
      <w:r w:rsidR="00BD61E0">
        <w:fldChar w:fldCharType="begin" w:fldLock="1"/>
      </w:r>
      <w:r w:rsidR="00755230">
        <w:instrText>ADDIN CSL_CITATION {"citationItems":[{"id":"ITEM-1","itemData":{"DOI":"10.1016/j.beth.2020.07.002","ISSN":"18781888","PMID":"33622516","abstract":"Internet-based acceptance and commitment therapy (iACT) primarily targets the process of psychological flexibility. Its accessibility and low-intensity delivery are applicable across different treatment and prevention scenarios. This transdiagnostic meta-analysis reviews the effectiveness of iACT on anxiety, depression, quality of life, and psychological flexibility across individuals with different psychological and somatic conditions/complaints, or undiagnosed complaints. Seven databases were searched for randomized controlled trials that reported on anxiety, depression, quality of life, and psychological flexibility outcomes from iACT in any adult population. Engagement with iACT was summarized and methodological and population-related variables were investigated as potential moderators of effectiveness. Across 25 studies, small pooled effects were found for all outcomes at post-assessment and maintained at follow-up time-points. Interventions with therapist guidance demonstrated greater effectiveness in improving depression and psychological flexibility outcomes compared to nonguided iACT, and populations defined by a psychological condition or symptoms (e.g., depressed samples) demonstrated greater improvements in anxiety compared to nonclinical or somatic populations (e.g., chronic pain samples or students). Participants completed on average 75.77% of iACT treatments. While we found iACT to be effective in improving and maintaining mental health outcomes across diverse populations, there was limited evidence of reliable, clinically significant effects. PROSPERO registration number: CRD42020140086.","author":[{"dropping-particle":"","family":"Thompson","given":"Emma M.","non-dropping-particle":"","parse-names":false,"suffix":""},{"dropping-particle":"","family":"Destree","given":"Louise","non-dropping-particle":"","parse-names":false,"suffix":""},{"dropping-particle":"","family":"Albertella","given":"Lucy","non-dropping-particle":"","parse-names":false,"suffix":""},{"dropping-particle":"","family":"Fontenelle","given":"Leonardo F.","non-dropping-particle":"","parse-names":false,"suffix":""}],"container-title":"Behavior Therapy","id":"ITEM-1","issue":"2","issued":{"date-parts":[["2021"]]},"page":"492-507","publisher":"Elsevier Ltd","title":"Internet-based acceptance and commitment therapy: A transdiagnostic systematic review and meta-analysis for mental health outcomes","type":"article-journal","volume":"52"},"uris":["http://www.mendeley.com/documents/?uuid=69411ff7-face-4c26-b52a-5b63d00881ce"]}],"mendeley":{"formattedCitation":"(Thompson et al., 2021)","plainTextFormattedCitation":"(Thompson et al., 2021)","previouslyFormattedCitation":"(Thompson et al., 2021)"},"properties":{"noteIndex":0},"schema":"https://github.com/citation-style-language/schema/raw/master/csl-citation.json"}</w:instrText>
      </w:r>
      <w:r w:rsidR="00BD61E0">
        <w:fldChar w:fldCharType="separate"/>
      </w:r>
      <w:r w:rsidR="00BD61E0" w:rsidRPr="00BD61E0">
        <w:rPr>
          <w:noProof/>
        </w:rPr>
        <w:t>(Thompson et al., 2021)</w:t>
      </w:r>
      <w:r w:rsidR="00BD61E0">
        <w:fldChar w:fldCharType="end"/>
      </w:r>
      <w:r>
        <w:t xml:space="preserve">. </w:t>
      </w:r>
      <w:r w:rsidRPr="00FD6F42">
        <w:t>Only one study, a multiple baseline (</w:t>
      </w:r>
      <w:r w:rsidR="00755230">
        <w:t>n</w:t>
      </w:r>
      <w:r w:rsidRPr="00FD6F42">
        <w:t xml:space="preserve"> = 6), exists for the use of ACT for hoarding</w:t>
      </w:r>
      <w:r w:rsidR="00755230">
        <w:t xml:space="preserve"> </w:t>
      </w:r>
      <w:r w:rsidR="00755230">
        <w:fldChar w:fldCharType="begin" w:fldLock="1"/>
      </w:r>
      <w:r w:rsidR="008B500D">
        <w:instrText>ADDIN CSL_CITATION {"citationItems":[{"id":"ITEM-1","itemData":{"author":[{"dropping-particle":"","family":"Ong","given":"C. W.","non-dropping-particle":"","parse-names":false,"suffix":""},{"dropping-particle":"","family":"Krafft","given":"J.","non-dropping-particle":"","parse-names":false,"suffix":""},{"dropping-particle":"","family":"Panoussi","given":"F.","non-dropping-particle":"","parse-names":false,"suffix":""},{"dropping-particle":"","family":"Petersen","given":"J. M.","non-dropping-particle":"","parse-names":false,"suffix":""},{"dropping-particle":"","family":"Levin","given":"M. E.","non-dropping-particle":"","parse-names":false,"suffix":""},{"dropping-particle":"","family":"Twohig","given":"M. P.","non-dropping-particle":"","parse-names":false,"suffix":""}],"container-title":"Journal of Contextual Behavioral Science","id":"ITEM-1","issued":{"date-parts":[["2021"]]},"page":"108-117","title":"In-person and online-delivered acceptance and commitment therapy for hoarding disorder: A multiple baseline study.","type":"article-journal","volume":"20"},"uris":["http://www.mendeley.com/documents/?uuid=ed35a52c-d843-48a7-8e82-25d34f36e9fc"]}],"mendeley":{"formattedCitation":"(Ong et al., 2021)","plainTextFormattedCitation":"(Ong et al., 2021)","previouslyFormattedCitation":"(Ong et al., 2021)"},"properties":{"noteIndex":0},"schema":"https://github.com/citation-style-language/schema/raw/master/csl-citation.json"}</w:instrText>
      </w:r>
      <w:r w:rsidR="00755230">
        <w:fldChar w:fldCharType="separate"/>
      </w:r>
      <w:r w:rsidR="00755230" w:rsidRPr="00755230">
        <w:rPr>
          <w:noProof/>
        </w:rPr>
        <w:t>(Ong et al., 2021)</w:t>
      </w:r>
      <w:r w:rsidR="00755230">
        <w:fldChar w:fldCharType="end"/>
      </w:r>
      <w:r>
        <w:t xml:space="preserve">. In this study, participants received </w:t>
      </w:r>
      <w:r w:rsidRPr="00FD6F42">
        <w:t>10-16 sessions of individual ACT focused on hoarding either face-to-face or via telehealth</w:t>
      </w:r>
      <w:r>
        <w:t xml:space="preserve">. Five of six </w:t>
      </w:r>
      <w:r w:rsidRPr="00FD6F42">
        <w:t>individuals showed improvements on</w:t>
      </w:r>
      <w:r>
        <w:t xml:space="preserve"> their</w:t>
      </w:r>
      <w:r w:rsidRPr="00FD6F42">
        <w:t xml:space="preserve"> rate of discarding relative to acquisition, along with self-report measures at posttreatment</w:t>
      </w:r>
      <w:r w:rsidR="008B500D">
        <w:t xml:space="preserve"> </w:t>
      </w:r>
      <w:r w:rsidR="008B500D">
        <w:fldChar w:fldCharType="begin" w:fldLock="1"/>
      </w:r>
      <w:r w:rsidR="00E93CED">
        <w:instrText>ADDIN CSL_CITATION {"citationItems":[{"id":"ITEM-1","itemData":{"author":[{"dropping-particle":"","family":"Ong","given":"C. W.","non-dropping-particle":"","parse-names":false,"suffix":""},{"dropping-particle":"","family":"Krafft","given":"J.","non-dropping-particle":"","parse-names":false,"suffix":""},{"dropping-particle":"","family":"Panoussi","given":"F.","non-dropping-particle":"","parse-names":false,"suffix":""},{"dropping-particle":"","family":"Petersen","given":"J. M.","non-dropping-particle":"","parse-names":false,"suffix":""},{"dropping-particle":"","family":"Levin","given":"M. E.","non-dropping-particle":"","parse-names":false,"suffix":""},{"dropping-particle":"","family":"Twohig","given":"M. P.","non-dropping-particle":"","parse-names":false,"suffix":""}],"container-title":"Journal of Contextual Behavioral Science","id":"ITEM-1","issued":{"date-parts":[["2021"]]},"page":"108-117","title":"In-person and online-delivered acceptance and commitment therapy for hoarding disorder: A multiple baseline study.","type":"article-journal","volume":"20"},"uris":["http://www.mendeley.com/documents/?uuid=ed35a52c-d843-48a7-8e82-25d34f36e9fc"]}],"mendeley":{"formattedCitation":"(Ong et al., 2021)","plainTextFormattedCitation":"(Ong et al., 2021)","previouslyFormattedCitation":"(Ong et al., 2021)"},"properties":{"noteIndex":0},"schema":"https://github.com/citation-style-language/schema/raw/master/csl-citation.json"}</w:instrText>
      </w:r>
      <w:r w:rsidR="008B500D">
        <w:fldChar w:fldCharType="separate"/>
      </w:r>
      <w:r w:rsidR="008B500D" w:rsidRPr="008B500D">
        <w:rPr>
          <w:noProof/>
        </w:rPr>
        <w:t>(Ong et al., 2021)</w:t>
      </w:r>
      <w:r w:rsidR="008B500D">
        <w:fldChar w:fldCharType="end"/>
      </w:r>
      <w:r w:rsidR="008B500D">
        <w:t>.</w:t>
      </w:r>
      <w:r>
        <w:t xml:space="preserve"> </w:t>
      </w:r>
    </w:p>
    <w:p w14:paraId="08194E8A" w14:textId="2178BA52" w:rsidR="009831B2" w:rsidRPr="00452F6C" w:rsidRDefault="00823CD0" w:rsidP="009831B2">
      <w:pPr>
        <w:spacing w:line="480" w:lineRule="auto"/>
        <w:ind w:firstLine="720"/>
      </w:pPr>
      <w:r>
        <w:t xml:space="preserve">In sum, </w:t>
      </w:r>
      <w:r w:rsidRPr="001D5A1F">
        <w:t xml:space="preserve">ACT </w:t>
      </w:r>
      <w:r>
        <w:t>demonstrates</w:t>
      </w:r>
      <w:r w:rsidRPr="001D5A1F">
        <w:t xml:space="preserve"> initial promise </w:t>
      </w:r>
      <w:r>
        <w:t>as a treatment for HD</w:t>
      </w:r>
      <w:r w:rsidRPr="001D5A1F">
        <w:t xml:space="preserve"> from a theoretical standpoint and from</w:t>
      </w:r>
      <w:r>
        <w:t xml:space="preserve"> initial </w:t>
      </w:r>
      <w:r w:rsidR="001618A5">
        <w:t xml:space="preserve">multiple baseline data </w:t>
      </w:r>
      <w:r w:rsidR="00E93CED">
        <w:fldChar w:fldCharType="begin" w:fldLock="1"/>
      </w:r>
      <w:r w:rsidR="009F5B4E">
        <w:instrText>ADDIN CSL_CITATION {"citationItems":[{"id":"ITEM-1","itemData":{"author":[{"dropping-particle":"","family":"Ong","given":"C. W.","non-dropping-particle":"","parse-names":false,"suffix":""},{"dropping-particle":"","family":"Krafft","given":"J.","non-dropping-particle":"","parse-names":false,"suffix":""},{"dropping-particle":"","family":"Panoussi","given":"F.","non-dropping-particle":"","parse-names":false,"suffix":""},{"dropping-particle":"","family":"Petersen","given":"J. M.","non-dropping-particle":"","parse-names":false,"suffix":""},{"dropping-particle":"","family":"Levin","given":"M. E.","non-dropping-particle":"","parse-names":false,"suffix":""},{"dropping-particle":"","family":"Twohig","given":"M. P.","non-dropping-particle":"","parse-names":false,"suffix":""}],"container-title":"Journal of Contextual Behavioral Science","id":"ITEM-1","issued":{"date-parts":[["2021"]]},"page":"108-117","title":"In-person and online-delivered acceptance and commitment therapy for hoarding disorder: A multiple baseline study.","type":"article-journal","volume":"20"},"uris":["http://www.mendeley.com/documents/?uuid=ed35a52c-d843-48a7-8e82-25d34f36e9fc"]}],"mendeley":{"formattedCitation":"(Ong et al., 2021)","plainTextFormattedCitation":"(Ong et al., 2021)","previouslyFormattedCitation":"(Ong et al., 2021)"},"properties":{"noteIndex":0},"schema":"https://github.com/citation-style-language/schema/raw/master/csl-citation.json"}</w:instrText>
      </w:r>
      <w:r w:rsidR="00E93CED">
        <w:fldChar w:fldCharType="separate"/>
      </w:r>
      <w:r w:rsidR="00E93CED" w:rsidRPr="00E93CED">
        <w:rPr>
          <w:noProof/>
        </w:rPr>
        <w:t>(Ong et al., 2021)</w:t>
      </w:r>
      <w:r w:rsidR="00E93CED">
        <w:fldChar w:fldCharType="end"/>
      </w:r>
      <w:r>
        <w:t xml:space="preserve">. However, a study utilizing a </w:t>
      </w:r>
      <w:r w:rsidRPr="000A743F">
        <w:t xml:space="preserve">randomized-controlled trial </w:t>
      </w:r>
      <w:r>
        <w:t xml:space="preserve">(RCT) format </w:t>
      </w:r>
      <w:r w:rsidRPr="000A743F">
        <w:t>may help</w:t>
      </w:r>
      <w:r w:rsidRPr="000A743F">
        <w:rPr>
          <w:rFonts w:hint="eastAsia"/>
        </w:rPr>
        <w:t xml:space="preserve"> </w:t>
      </w:r>
      <w:r w:rsidRPr="000A743F">
        <w:t xml:space="preserve">to identify whether </w:t>
      </w:r>
      <w:r>
        <w:t>ACT is a viable treatment option for HD</w:t>
      </w:r>
      <w:r w:rsidRPr="000A743F">
        <w:t xml:space="preserve">. Given the limitations to both treatment provision and treatment seeking described previously, </w:t>
      </w:r>
      <w:r>
        <w:t>web-based self-help provides a promising treatment format based on potential scalability, accessibility, and ease of use. Thus, the p</w:t>
      </w:r>
      <w:r w:rsidRPr="000A743F">
        <w:t xml:space="preserve">resent study developed </w:t>
      </w:r>
      <w:r>
        <w:t xml:space="preserve">and tested </w:t>
      </w:r>
      <w:r w:rsidRPr="000A743F">
        <w:t>a</w:t>
      </w:r>
      <w:r>
        <w:t>n</w:t>
      </w:r>
      <w:r w:rsidRPr="000A743F">
        <w:t xml:space="preserve"> ACT-based website for hoarding </w:t>
      </w:r>
      <w:r>
        <w:t>in a</w:t>
      </w:r>
      <w:r w:rsidR="00590F3F">
        <w:t>n</w:t>
      </w:r>
      <w:r>
        <w:t xml:space="preserve"> RCT. </w:t>
      </w:r>
      <w:r w:rsidR="009831B2">
        <w:t>The first aim was to evaluate the efficacy of a</w:t>
      </w:r>
      <w:r w:rsidR="009831B2" w:rsidRPr="00452F6C">
        <w:t>n ACT-based guided self-help website for hoarding</w:t>
      </w:r>
      <w:r w:rsidR="009831B2">
        <w:t>.</w:t>
      </w:r>
      <w:r w:rsidR="009831B2" w:rsidRPr="00452F6C">
        <w:t xml:space="preserve"> The primary outcome of interest </w:t>
      </w:r>
      <w:r w:rsidR="009831B2">
        <w:t>was</w:t>
      </w:r>
      <w:r w:rsidR="009831B2" w:rsidRPr="00452F6C">
        <w:t xml:space="preserve"> hoarding symptoms, but important secondary outcomes </w:t>
      </w:r>
      <w:r w:rsidR="009831B2">
        <w:t>we</w:t>
      </w:r>
      <w:r w:rsidR="009831B2" w:rsidRPr="00452F6C">
        <w:t xml:space="preserve">re specific symptom dimensions, global improvement, functional impairment, </w:t>
      </w:r>
      <w:r w:rsidR="009831B2">
        <w:t xml:space="preserve">and </w:t>
      </w:r>
      <w:r w:rsidR="009831B2" w:rsidRPr="00452F6C">
        <w:t>overall well-</w:t>
      </w:r>
      <w:r w:rsidR="009831B2">
        <w:t>b</w:t>
      </w:r>
      <w:r w:rsidR="009831B2" w:rsidRPr="00452F6C">
        <w:t>eing</w:t>
      </w:r>
      <w:r w:rsidR="009831B2">
        <w:t>. The second aim was to evaluate the</w:t>
      </w:r>
      <w:r w:rsidR="009831B2" w:rsidRPr="00452F6C">
        <w:t xml:space="preserve"> </w:t>
      </w:r>
      <w:r w:rsidR="009831B2">
        <w:t xml:space="preserve">feasibility of delivering an </w:t>
      </w:r>
      <w:r w:rsidR="009831B2" w:rsidRPr="00452F6C">
        <w:t>ACT-based guided self-help website</w:t>
      </w:r>
      <w:r w:rsidR="009831B2">
        <w:t xml:space="preserve"> for hoarding as indicated by adherence to the intervention and self-reported acceptability. </w:t>
      </w:r>
    </w:p>
    <w:p w14:paraId="21E266BD" w14:textId="4DE6CB8A" w:rsidR="00823CD0" w:rsidRPr="005A7F03" w:rsidRDefault="00823CD0" w:rsidP="009831B2">
      <w:pPr>
        <w:spacing w:line="480" w:lineRule="auto"/>
        <w:ind w:firstLine="720"/>
        <w:jc w:val="center"/>
        <w:rPr>
          <w:b/>
          <w:bCs/>
        </w:rPr>
      </w:pPr>
      <w:r w:rsidRPr="006834D2">
        <w:rPr>
          <w:b/>
          <w:bCs/>
        </w:rPr>
        <w:t>Methods</w:t>
      </w:r>
    </w:p>
    <w:p w14:paraId="058C17E3" w14:textId="77777777" w:rsidR="00823CD0" w:rsidRDefault="00823CD0" w:rsidP="00823CD0">
      <w:pPr>
        <w:spacing w:line="480" w:lineRule="auto"/>
        <w:rPr>
          <w:b/>
          <w:bCs/>
        </w:rPr>
      </w:pPr>
      <w:r>
        <w:rPr>
          <w:b/>
          <w:bCs/>
        </w:rPr>
        <w:t>Participants</w:t>
      </w:r>
    </w:p>
    <w:p w14:paraId="492F2AFA" w14:textId="1776CC5E" w:rsidR="006374C8" w:rsidRPr="00A81ED6" w:rsidRDefault="006374C8" w:rsidP="006374C8">
      <w:pPr>
        <w:widowControl w:val="0"/>
        <w:autoSpaceDE w:val="0"/>
        <w:autoSpaceDN w:val="0"/>
        <w:adjustRightInd w:val="0"/>
        <w:spacing w:line="480" w:lineRule="auto"/>
        <w:rPr>
          <w:color w:val="000000" w:themeColor="text1"/>
        </w:rPr>
      </w:pPr>
      <w:r>
        <w:lastRenderedPageBreak/>
        <w:tab/>
      </w:r>
      <w:r w:rsidR="00823CD0" w:rsidRPr="00791A9E">
        <w:t>Participants (</w:t>
      </w:r>
      <w:r w:rsidR="00596760">
        <w:t>n</w:t>
      </w:r>
      <w:r w:rsidR="00823CD0" w:rsidRPr="00791A9E">
        <w:t xml:space="preserve"> = 73) were recruited via online advertisements and postings (e.g., Google ads</w:t>
      </w:r>
      <w:r>
        <w:t xml:space="preserve">, </w:t>
      </w:r>
      <w:r w:rsidR="00823CD0">
        <w:t>F</w:t>
      </w:r>
      <w:r w:rsidR="00823CD0" w:rsidRPr="00791A9E">
        <w:t xml:space="preserve">acebook, </w:t>
      </w:r>
      <w:r w:rsidR="00823CD0">
        <w:t>R</w:t>
      </w:r>
      <w:r w:rsidR="00823CD0" w:rsidRPr="00791A9E">
        <w:t>eddit), notifications to professional listservs and groups, contacting social services, and contributing to a newspaper article.</w:t>
      </w:r>
      <w:r w:rsidR="00823CD0">
        <w:t xml:space="preserve"> To participate in the study, participants had to meet the following inclusion criteria: </w:t>
      </w:r>
      <w:r w:rsidR="00023AC0">
        <w:t>at least</w:t>
      </w:r>
      <w:r w:rsidR="00823CD0">
        <w:t xml:space="preserve"> 18 years old, currently living in the United States, seeking help for clutter/hoarding, interested in testing a self-help website, and scoring at or above </w:t>
      </w:r>
      <w:r w:rsidR="00F612ED">
        <w:t xml:space="preserve">the </w:t>
      </w:r>
      <w:r w:rsidR="00823CD0">
        <w:t>clinical cutoff of 41 on the Saving Inventory (SI-R; Frost,</w:t>
      </w:r>
      <w:r w:rsidR="003E081A">
        <w:t xml:space="preserve"> et al.</w:t>
      </w:r>
      <w:r w:rsidR="00823CD0">
        <w:t xml:space="preserve"> 2004; Frost &amp; Hristova, 2011). Participants reported an average age of 47.67 (SD = 4.32) and were primarily female (87.67%), White (76.71%), and non-Hispanic/Latinx (93.15%).</w:t>
      </w:r>
      <w:r w:rsidR="00CD07ED">
        <w:t xml:space="preserve"> </w:t>
      </w:r>
      <w:r w:rsidR="00C6065F">
        <w:t>Only a small percentage had previously sought psychotherapy (</w:t>
      </w:r>
      <w:r w:rsidR="006F0E66">
        <w:t>24.66%) or medication (</w:t>
      </w:r>
      <w:r w:rsidR="007F60B2">
        <w:t>6.85%</w:t>
      </w:r>
      <w:r w:rsidR="006F0E66">
        <w:t>)</w:t>
      </w:r>
      <w:r w:rsidR="007F60B2">
        <w:t xml:space="preserve"> for hoarding.</w:t>
      </w:r>
      <w:r w:rsidR="00823CD0">
        <w:t xml:space="preserve"> Participant demographics are reported in Table 1 and participant flow can be found in Figure 1.</w:t>
      </w:r>
      <w:r w:rsidR="003B67E0">
        <w:t xml:space="preserve"> A sample size of 40-60 was predetermined as this would provide adequate (.80) to good (.95) power to detect a medium effect </w:t>
      </w:r>
      <w:r w:rsidR="003B67E0" w:rsidRPr="00836D05">
        <w:t>in a repeated-measures ANOVA</w:t>
      </w:r>
      <w:r w:rsidR="003B67E0">
        <w:t xml:space="preserve"> even with 27-30% missing data according to G*Power </w:t>
      </w:r>
      <w:r w:rsidR="003B67E0">
        <w:fldChar w:fldCharType="begin" w:fldLock="1"/>
      </w:r>
      <w:r w:rsidR="00021EA8">
        <w:instrText>ADDIN CSL_CITATION {"citationItems":[{"id":"ITEM-1","itemData":{"DOI":"10.3758/BF03193146","ISBN":"1554-351X","ISSN":"1554-351X","PMID":"17695343","author":[{"dropping-particle":"","family":"Faul","given":"Franz","non-dropping-particle":"","parse-names":false,"suffix":""},{"dropping-particle":"","family":"Erdfelder","given":"Edgar","non-dropping-particle":"","parse-names":false,"suffix":""},{"dropping-particle":"","family":"Lang","given":"Albert-Georg","non-dropping-particle":"","parse-names":false,"suffix":""},{"dropping-particle":"","family":"Buchner","given":"Axel","non-dropping-particle":"","parse-names":false,"suffix":""}],"container-title":"Behavior Research Methods","id":"ITEM-1","issued":{"date-parts":[["2007"]]},"page":"175-191","title":"G*Power 3: A flexible statistical power analysis program for the social, behavioral, and biomedical sciences","type":"article-journal","volume":"39"},"uris":["http://www.mendeley.com/documents/?uuid=b0aaaa47-78ff-46f6-9c21-8477d21725d1"]}],"mendeley":{"formattedCitation":"(Faul et al., 2007)","plainTextFormattedCitation":"(Faul et al., 2007)","previouslyFormattedCitation":"(Faul et al., 2007)"},"properties":{"noteIndex":0},"schema":"https://github.com/citation-style-language/schema/raw/master/csl-citation.json"}</w:instrText>
      </w:r>
      <w:r w:rsidR="003B67E0">
        <w:fldChar w:fldCharType="separate"/>
      </w:r>
      <w:r w:rsidR="003B67E0" w:rsidRPr="003B67E0">
        <w:rPr>
          <w:noProof/>
        </w:rPr>
        <w:t>(Faul et al., 2007)</w:t>
      </w:r>
      <w:r w:rsidR="003B67E0">
        <w:fldChar w:fldCharType="end"/>
      </w:r>
      <w:r w:rsidR="003B67E0">
        <w:t>.</w:t>
      </w:r>
      <w:r w:rsidR="000739B9" w:rsidRPr="000739B9">
        <w:rPr>
          <w:b/>
          <w:bCs/>
          <w:color w:val="000000" w:themeColor="text1"/>
        </w:rPr>
        <w:t xml:space="preserve"> </w:t>
      </w:r>
      <w:r w:rsidR="00E21A14">
        <w:rPr>
          <w:color w:val="000000" w:themeColor="text1"/>
        </w:rPr>
        <w:t>The study was powered for a medium effect given that</w:t>
      </w:r>
      <w:r w:rsidR="00D612A0">
        <w:rPr>
          <w:color w:val="000000" w:themeColor="text1"/>
        </w:rPr>
        <w:t xml:space="preserve"> CBT for hoarding typically has medium</w:t>
      </w:r>
      <w:r w:rsidR="00E632C2">
        <w:rPr>
          <w:color w:val="000000" w:themeColor="text1"/>
        </w:rPr>
        <w:t xml:space="preserve"> or </w:t>
      </w:r>
      <w:r w:rsidR="00D612A0">
        <w:rPr>
          <w:color w:val="000000" w:themeColor="text1"/>
        </w:rPr>
        <w:t>large effects</w:t>
      </w:r>
      <w:r w:rsidR="00B04950">
        <w:rPr>
          <w:color w:val="000000" w:themeColor="text1"/>
        </w:rPr>
        <w:t xml:space="preserve"> (Tolin et al., 2015)</w:t>
      </w:r>
      <w:r w:rsidR="00AB4D59">
        <w:rPr>
          <w:color w:val="000000" w:themeColor="text1"/>
        </w:rPr>
        <w:t xml:space="preserve">, </w:t>
      </w:r>
      <w:r w:rsidR="008F29AF">
        <w:rPr>
          <w:color w:val="000000" w:themeColor="text1"/>
        </w:rPr>
        <w:t>one</w:t>
      </w:r>
      <w:r w:rsidR="00AB4D59">
        <w:rPr>
          <w:color w:val="000000" w:themeColor="text1"/>
        </w:rPr>
        <w:t xml:space="preserve"> previous trial of internet-based self-help for hoarding found medium effects on hoarding severity </w:t>
      </w:r>
      <w:r w:rsidR="00BE2412">
        <w:rPr>
          <w:color w:val="000000" w:themeColor="text1"/>
        </w:rPr>
        <w:t>(Muroff et al., 2010), and the self-help content</w:t>
      </w:r>
      <w:r w:rsidR="005530BC">
        <w:rPr>
          <w:color w:val="000000" w:themeColor="text1"/>
        </w:rPr>
        <w:t xml:space="preserve"> tested in this trial</w:t>
      </w:r>
      <w:r w:rsidR="00BE2412">
        <w:rPr>
          <w:color w:val="000000" w:themeColor="text1"/>
        </w:rPr>
        <w:t xml:space="preserve"> was adapted from a previously </w:t>
      </w:r>
      <w:r w:rsidR="005530BC">
        <w:rPr>
          <w:color w:val="000000" w:themeColor="text1"/>
        </w:rPr>
        <w:t>evaluated</w:t>
      </w:r>
      <w:r w:rsidR="00BE2412">
        <w:rPr>
          <w:color w:val="000000" w:themeColor="text1"/>
        </w:rPr>
        <w:t xml:space="preserve"> transdiagnostic </w:t>
      </w:r>
      <w:r w:rsidR="008F29AF">
        <w:rPr>
          <w:color w:val="000000" w:themeColor="text1"/>
        </w:rPr>
        <w:t>web program that had medium-to-large effects</w:t>
      </w:r>
      <w:r w:rsidR="005530BC">
        <w:rPr>
          <w:color w:val="000000" w:themeColor="text1"/>
        </w:rPr>
        <w:t xml:space="preserve"> on mental health</w:t>
      </w:r>
      <w:r w:rsidR="008F29AF">
        <w:rPr>
          <w:color w:val="000000" w:themeColor="text1"/>
        </w:rPr>
        <w:t xml:space="preserve"> (</w:t>
      </w:r>
      <w:r w:rsidR="008F29AF">
        <w:rPr>
          <w:i/>
          <w:iCs/>
          <w:color w:val="000000" w:themeColor="text1"/>
        </w:rPr>
        <w:t>Citation removed</w:t>
      </w:r>
      <w:r w:rsidR="008F29AF">
        <w:rPr>
          <w:color w:val="000000" w:themeColor="text1"/>
        </w:rPr>
        <w:t>).</w:t>
      </w:r>
    </w:p>
    <w:tbl>
      <w:tblPr>
        <w:tblStyle w:val="TableGrid"/>
        <w:tblW w:w="9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7"/>
        <w:gridCol w:w="2497"/>
        <w:gridCol w:w="2497"/>
        <w:gridCol w:w="2523"/>
      </w:tblGrid>
      <w:tr w:rsidR="000739B9" w:rsidRPr="00FD6A4F" w14:paraId="6C116062" w14:textId="77777777">
        <w:trPr>
          <w:trHeight w:val="210"/>
        </w:trPr>
        <w:tc>
          <w:tcPr>
            <w:tcW w:w="2237" w:type="dxa"/>
            <w:tcBorders>
              <w:top w:val="single" w:sz="4" w:space="0" w:color="auto"/>
            </w:tcBorders>
          </w:tcPr>
          <w:p w14:paraId="619CBEA1" w14:textId="77777777" w:rsidR="000739B9" w:rsidRPr="00FD6A4F" w:rsidRDefault="000739B9">
            <w:pPr>
              <w:contextualSpacing/>
              <w:jc w:val="center"/>
              <w:rPr>
                <w:color w:val="000000" w:themeColor="text1"/>
              </w:rPr>
            </w:pPr>
            <w:r w:rsidRPr="00FD6A4F">
              <w:rPr>
                <w:color w:val="000000" w:themeColor="text1"/>
              </w:rPr>
              <w:t>Demographics</w:t>
            </w:r>
          </w:p>
        </w:tc>
        <w:tc>
          <w:tcPr>
            <w:tcW w:w="2497" w:type="dxa"/>
            <w:tcBorders>
              <w:top w:val="single" w:sz="4" w:space="0" w:color="auto"/>
              <w:bottom w:val="single" w:sz="4" w:space="0" w:color="auto"/>
            </w:tcBorders>
          </w:tcPr>
          <w:p w14:paraId="554A130F" w14:textId="77777777" w:rsidR="000739B9" w:rsidRPr="00FD6A4F" w:rsidRDefault="000739B9">
            <w:pPr>
              <w:contextualSpacing/>
              <w:jc w:val="center"/>
              <w:rPr>
                <w:color w:val="000000" w:themeColor="text1"/>
              </w:rPr>
            </w:pPr>
            <w:r w:rsidRPr="00FD6A4F">
              <w:rPr>
                <w:color w:val="000000" w:themeColor="text1"/>
              </w:rPr>
              <w:t>ACT (</w:t>
            </w:r>
            <w:r w:rsidRPr="00FD6A4F">
              <w:rPr>
                <w:i/>
                <w:iCs/>
                <w:color w:val="000000" w:themeColor="text1"/>
              </w:rPr>
              <w:t xml:space="preserve">n </w:t>
            </w:r>
            <w:r w:rsidRPr="00FD6A4F">
              <w:rPr>
                <w:color w:val="000000" w:themeColor="text1"/>
              </w:rPr>
              <w:t>= 38)</w:t>
            </w:r>
          </w:p>
          <w:p w14:paraId="15CA07DC" w14:textId="77777777" w:rsidR="000739B9" w:rsidRPr="00FD6A4F" w:rsidRDefault="000739B9">
            <w:pPr>
              <w:contextualSpacing/>
              <w:jc w:val="center"/>
              <w:rPr>
                <w:color w:val="000000" w:themeColor="text1"/>
              </w:rPr>
            </w:pPr>
          </w:p>
        </w:tc>
        <w:tc>
          <w:tcPr>
            <w:tcW w:w="2497" w:type="dxa"/>
            <w:tcBorders>
              <w:top w:val="single" w:sz="4" w:space="0" w:color="auto"/>
              <w:bottom w:val="single" w:sz="4" w:space="0" w:color="auto"/>
            </w:tcBorders>
          </w:tcPr>
          <w:p w14:paraId="029C3B7F" w14:textId="77777777" w:rsidR="000739B9" w:rsidRPr="00FD6A4F" w:rsidRDefault="000739B9">
            <w:pPr>
              <w:contextualSpacing/>
              <w:jc w:val="center"/>
              <w:rPr>
                <w:color w:val="000000" w:themeColor="text1"/>
              </w:rPr>
            </w:pPr>
            <w:r w:rsidRPr="00FD6A4F">
              <w:rPr>
                <w:color w:val="000000" w:themeColor="text1"/>
              </w:rPr>
              <w:t>Waitlist (</w:t>
            </w:r>
            <w:r w:rsidRPr="00FD6A4F">
              <w:rPr>
                <w:i/>
                <w:iCs/>
                <w:color w:val="000000" w:themeColor="text1"/>
              </w:rPr>
              <w:t>n</w:t>
            </w:r>
            <w:r w:rsidRPr="00FD6A4F">
              <w:rPr>
                <w:color w:val="000000" w:themeColor="text1"/>
              </w:rPr>
              <w:t xml:space="preserve"> = 35)</w:t>
            </w:r>
          </w:p>
          <w:p w14:paraId="3EA32FEF" w14:textId="77777777" w:rsidR="000739B9" w:rsidRPr="00FD6A4F" w:rsidRDefault="000739B9">
            <w:pPr>
              <w:contextualSpacing/>
              <w:jc w:val="center"/>
              <w:rPr>
                <w:color w:val="000000" w:themeColor="text1"/>
              </w:rPr>
            </w:pPr>
          </w:p>
        </w:tc>
        <w:tc>
          <w:tcPr>
            <w:tcW w:w="2523" w:type="dxa"/>
            <w:tcBorders>
              <w:top w:val="single" w:sz="4" w:space="0" w:color="auto"/>
            </w:tcBorders>
          </w:tcPr>
          <w:p w14:paraId="1572B188" w14:textId="77777777" w:rsidR="000739B9" w:rsidRPr="00FD6A4F" w:rsidRDefault="000739B9">
            <w:pPr>
              <w:contextualSpacing/>
              <w:jc w:val="center"/>
              <w:rPr>
                <w:color w:val="000000" w:themeColor="text1"/>
              </w:rPr>
            </w:pPr>
            <w:r w:rsidRPr="00FD6A4F">
              <w:rPr>
                <w:color w:val="000000" w:themeColor="text1"/>
              </w:rPr>
              <w:t>Group comparison at baseline</w:t>
            </w:r>
          </w:p>
        </w:tc>
      </w:tr>
      <w:tr w:rsidR="000739B9" w:rsidRPr="00FD6A4F" w14:paraId="63D35B66" w14:textId="77777777">
        <w:trPr>
          <w:trHeight w:val="210"/>
        </w:trPr>
        <w:tc>
          <w:tcPr>
            <w:tcW w:w="2237" w:type="dxa"/>
            <w:tcBorders>
              <w:bottom w:val="single" w:sz="4" w:space="0" w:color="auto"/>
            </w:tcBorders>
          </w:tcPr>
          <w:p w14:paraId="71AB6F5B" w14:textId="77777777" w:rsidR="000739B9" w:rsidRPr="00FD6A4F" w:rsidRDefault="000739B9">
            <w:pPr>
              <w:contextualSpacing/>
              <w:jc w:val="center"/>
              <w:rPr>
                <w:color w:val="000000" w:themeColor="text1"/>
              </w:rPr>
            </w:pPr>
          </w:p>
        </w:tc>
        <w:tc>
          <w:tcPr>
            <w:tcW w:w="2497" w:type="dxa"/>
            <w:tcBorders>
              <w:top w:val="single" w:sz="4" w:space="0" w:color="auto"/>
              <w:bottom w:val="single" w:sz="4" w:space="0" w:color="auto"/>
            </w:tcBorders>
          </w:tcPr>
          <w:p w14:paraId="58DBFBA8" w14:textId="77777777" w:rsidR="000739B9" w:rsidRPr="00FD6A4F" w:rsidRDefault="000739B9">
            <w:pPr>
              <w:contextualSpacing/>
              <w:jc w:val="center"/>
              <w:rPr>
                <w:color w:val="000000" w:themeColor="text1"/>
              </w:rPr>
            </w:pPr>
            <w:r w:rsidRPr="00FD6A4F">
              <w:rPr>
                <w:i/>
                <w:iCs/>
                <w:color w:val="000000" w:themeColor="text1"/>
              </w:rPr>
              <w:t>M</w:t>
            </w:r>
            <w:r w:rsidRPr="00FD6A4F">
              <w:rPr>
                <w:color w:val="000000" w:themeColor="text1"/>
              </w:rPr>
              <w:t>(SD)/%</w:t>
            </w:r>
          </w:p>
        </w:tc>
        <w:tc>
          <w:tcPr>
            <w:tcW w:w="2497" w:type="dxa"/>
            <w:tcBorders>
              <w:top w:val="single" w:sz="4" w:space="0" w:color="auto"/>
              <w:bottom w:val="single" w:sz="4" w:space="0" w:color="auto"/>
            </w:tcBorders>
          </w:tcPr>
          <w:p w14:paraId="0A5230C7" w14:textId="77777777" w:rsidR="000739B9" w:rsidRPr="00FD6A4F" w:rsidRDefault="000739B9">
            <w:pPr>
              <w:contextualSpacing/>
              <w:jc w:val="center"/>
              <w:rPr>
                <w:color w:val="000000" w:themeColor="text1"/>
              </w:rPr>
            </w:pPr>
            <w:r w:rsidRPr="00FD6A4F">
              <w:rPr>
                <w:i/>
                <w:iCs/>
                <w:color w:val="000000" w:themeColor="text1"/>
              </w:rPr>
              <w:t>M</w:t>
            </w:r>
            <w:r w:rsidRPr="00FD6A4F">
              <w:rPr>
                <w:color w:val="000000" w:themeColor="text1"/>
              </w:rPr>
              <w:t>(SD)/%</w:t>
            </w:r>
          </w:p>
        </w:tc>
        <w:tc>
          <w:tcPr>
            <w:tcW w:w="2523" w:type="dxa"/>
            <w:tcBorders>
              <w:bottom w:val="single" w:sz="4" w:space="0" w:color="auto"/>
            </w:tcBorders>
          </w:tcPr>
          <w:p w14:paraId="0E26067B" w14:textId="77777777" w:rsidR="000739B9" w:rsidRPr="00FD6A4F" w:rsidRDefault="000739B9">
            <w:pPr>
              <w:contextualSpacing/>
              <w:jc w:val="center"/>
              <w:rPr>
                <w:color w:val="000000" w:themeColor="text1"/>
              </w:rPr>
            </w:pPr>
          </w:p>
        </w:tc>
      </w:tr>
      <w:tr w:rsidR="000739B9" w:rsidRPr="00FD6A4F" w14:paraId="47AA3AAB" w14:textId="77777777">
        <w:trPr>
          <w:trHeight w:val="326"/>
        </w:trPr>
        <w:tc>
          <w:tcPr>
            <w:tcW w:w="2237" w:type="dxa"/>
            <w:tcBorders>
              <w:top w:val="single" w:sz="4" w:space="0" w:color="auto"/>
            </w:tcBorders>
          </w:tcPr>
          <w:p w14:paraId="3E66332B" w14:textId="77777777" w:rsidR="000739B9" w:rsidRPr="00FD6A4F" w:rsidRDefault="000739B9">
            <w:pPr>
              <w:contextualSpacing/>
              <w:rPr>
                <w:i/>
                <w:iCs/>
                <w:color w:val="000000" w:themeColor="text1"/>
              </w:rPr>
            </w:pPr>
          </w:p>
        </w:tc>
        <w:tc>
          <w:tcPr>
            <w:tcW w:w="2497" w:type="dxa"/>
            <w:tcBorders>
              <w:top w:val="single" w:sz="4" w:space="0" w:color="auto"/>
            </w:tcBorders>
          </w:tcPr>
          <w:p w14:paraId="71C5CDA9" w14:textId="77777777" w:rsidR="000739B9" w:rsidRPr="00FD6A4F" w:rsidRDefault="000739B9">
            <w:pPr>
              <w:contextualSpacing/>
              <w:rPr>
                <w:color w:val="000000" w:themeColor="text1"/>
              </w:rPr>
            </w:pPr>
          </w:p>
        </w:tc>
        <w:tc>
          <w:tcPr>
            <w:tcW w:w="2497" w:type="dxa"/>
            <w:tcBorders>
              <w:top w:val="single" w:sz="4" w:space="0" w:color="auto"/>
            </w:tcBorders>
          </w:tcPr>
          <w:p w14:paraId="4C6FD2D1" w14:textId="77777777" w:rsidR="000739B9" w:rsidRPr="00FD6A4F" w:rsidRDefault="000739B9">
            <w:pPr>
              <w:contextualSpacing/>
              <w:rPr>
                <w:color w:val="000000" w:themeColor="text1"/>
              </w:rPr>
            </w:pPr>
          </w:p>
        </w:tc>
        <w:tc>
          <w:tcPr>
            <w:tcW w:w="2523" w:type="dxa"/>
            <w:tcBorders>
              <w:top w:val="single" w:sz="4" w:space="0" w:color="auto"/>
            </w:tcBorders>
          </w:tcPr>
          <w:p w14:paraId="78F770AB" w14:textId="77777777" w:rsidR="000739B9" w:rsidRPr="00FD6A4F" w:rsidRDefault="000739B9">
            <w:pPr>
              <w:contextualSpacing/>
              <w:rPr>
                <w:color w:val="000000" w:themeColor="text1"/>
              </w:rPr>
            </w:pPr>
          </w:p>
        </w:tc>
      </w:tr>
      <w:tr w:rsidR="000739B9" w:rsidRPr="00FD6A4F" w14:paraId="463F6C9F" w14:textId="77777777">
        <w:trPr>
          <w:trHeight w:val="326"/>
        </w:trPr>
        <w:tc>
          <w:tcPr>
            <w:tcW w:w="2237" w:type="dxa"/>
          </w:tcPr>
          <w:p w14:paraId="68999759" w14:textId="77777777" w:rsidR="000739B9" w:rsidRPr="00FD6A4F" w:rsidRDefault="000739B9">
            <w:pPr>
              <w:contextualSpacing/>
              <w:rPr>
                <w:color w:val="000000" w:themeColor="text1"/>
              </w:rPr>
            </w:pPr>
            <w:r w:rsidRPr="00FD6A4F">
              <w:rPr>
                <w:color w:val="000000" w:themeColor="text1"/>
              </w:rPr>
              <w:t>Age</w:t>
            </w:r>
          </w:p>
        </w:tc>
        <w:tc>
          <w:tcPr>
            <w:tcW w:w="2497" w:type="dxa"/>
          </w:tcPr>
          <w:p w14:paraId="67501A61" w14:textId="77777777" w:rsidR="000739B9" w:rsidRPr="00FD6A4F" w:rsidRDefault="000739B9">
            <w:pPr>
              <w:contextualSpacing/>
              <w:jc w:val="center"/>
              <w:rPr>
                <w:color w:val="000000" w:themeColor="text1"/>
              </w:rPr>
            </w:pPr>
            <w:r w:rsidRPr="00FD6A4F">
              <w:rPr>
                <w:color w:val="000000" w:themeColor="text1"/>
              </w:rPr>
              <w:t>50.26 (13.39)</w:t>
            </w:r>
          </w:p>
        </w:tc>
        <w:tc>
          <w:tcPr>
            <w:tcW w:w="2497" w:type="dxa"/>
          </w:tcPr>
          <w:p w14:paraId="0710EE68" w14:textId="77777777" w:rsidR="000739B9" w:rsidRPr="00FD6A4F" w:rsidRDefault="000739B9">
            <w:pPr>
              <w:contextualSpacing/>
              <w:jc w:val="center"/>
              <w:rPr>
                <w:color w:val="000000" w:themeColor="text1"/>
              </w:rPr>
            </w:pPr>
            <w:r w:rsidRPr="00FD6A4F">
              <w:rPr>
                <w:color w:val="000000" w:themeColor="text1"/>
              </w:rPr>
              <w:t>44.86 (14.98)</w:t>
            </w:r>
          </w:p>
        </w:tc>
        <w:tc>
          <w:tcPr>
            <w:tcW w:w="2523" w:type="dxa"/>
          </w:tcPr>
          <w:p w14:paraId="2F96C63A" w14:textId="77777777" w:rsidR="000739B9" w:rsidRPr="00FD6A4F" w:rsidRDefault="000739B9">
            <w:pPr>
              <w:contextualSpacing/>
              <w:jc w:val="center"/>
              <w:rPr>
                <w:color w:val="000000" w:themeColor="text1"/>
              </w:rPr>
            </w:pPr>
            <w:proofErr w:type="gramStart"/>
            <w:r w:rsidRPr="00FD6A4F">
              <w:rPr>
                <w:i/>
                <w:iCs/>
                <w:color w:val="000000" w:themeColor="text1"/>
              </w:rPr>
              <w:t>t</w:t>
            </w:r>
            <w:r w:rsidRPr="00FD6A4F">
              <w:rPr>
                <w:color w:val="000000" w:themeColor="text1"/>
              </w:rPr>
              <w:t>(</w:t>
            </w:r>
            <w:proofErr w:type="gramEnd"/>
            <w:r w:rsidRPr="00FD6A4F">
              <w:rPr>
                <w:color w:val="000000" w:themeColor="text1"/>
              </w:rPr>
              <w:t xml:space="preserve">68.4) = -1.62, </w:t>
            </w:r>
            <w:r w:rsidRPr="00FD6A4F">
              <w:rPr>
                <w:i/>
                <w:iCs/>
                <w:color w:val="000000" w:themeColor="text1"/>
              </w:rPr>
              <w:t>p</w:t>
            </w:r>
            <w:r w:rsidRPr="00FD6A4F">
              <w:rPr>
                <w:color w:val="000000" w:themeColor="text1"/>
              </w:rPr>
              <w:t xml:space="preserve"> = .11</w:t>
            </w:r>
          </w:p>
        </w:tc>
      </w:tr>
      <w:tr w:rsidR="000739B9" w:rsidRPr="00FD6A4F" w14:paraId="55C3C75D" w14:textId="77777777">
        <w:trPr>
          <w:trHeight w:val="326"/>
        </w:trPr>
        <w:tc>
          <w:tcPr>
            <w:tcW w:w="2237" w:type="dxa"/>
          </w:tcPr>
          <w:p w14:paraId="0A36E988" w14:textId="77777777" w:rsidR="000739B9" w:rsidRPr="00FD6A4F" w:rsidRDefault="000739B9">
            <w:pPr>
              <w:contextualSpacing/>
              <w:rPr>
                <w:color w:val="000000" w:themeColor="text1"/>
              </w:rPr>
            </w:pPr>
            <w:r w:rsidRPr="00FD6A4F">
              <w:rPr>
                <w:color w:val="000000" w:themeColor="text1"/>
              </w:rPr>
              <w:t>Gender</w:t>
            </w:r>
          </w:p>
          <w:p w14:paraId="77A9AABE" w14:textId="77777777" w:rsidR="000739B9" w:rsidRPr="00FD6A4F" w:rsidRDefault="000739B9">
            <w:pPr>
              <w:ind w:left="340"/>
              <w:contextualSpacing/>
              <w:rPr>
                <w:color w:val="000000" w:themeColor="text1"/>
              </w:rPr>
            </w:pPr>
            <w:r w:rsidRPr="00FD6A4F">
              <w:rPr>
                <w:color w:val="000000" w:themeColor="text1"/>
              </w:rPr>
              <w:t>Female</w:t>
            </w:r>
          </w:p>
          <w:p w14:paraId="43083EE6" w14:textId="77777777" w:rsidR="000739B9" w:rsidRPr="00FD6A4F" w:rsidRDefault="000739B9">
            <w:pPr>
              <w:ind w:left="340"/>
              <w:contextualSpacing/>
              <w:rPr>
                <w:color w:val="000000" w:themeColor="text1"/>
              </w:rPr>
            </w:pPr>
            <w:r w:rsidRPr="00FD6A4F">
              <w:rPr>
                <w:color w:val="000000" w:themeColor="text1"/>
              </w:rPr>
              <w:t>Male</w:t>
            </w:r>
          </w:p>
        </w:tc>
        <w:tc>
          <w:tcPr>
            <w:tcW w:w="2497" w:type="dxa"/>
          </w:tcPr>
          <w:p w14:paraId="2E61CB68" w14:textId="77777777" w:rsidR="000739B9" w:rsidRPr="00FD6A4F" w:rsidRDefault="000739B9">
            <w:pPr>
              <w:contextualSpacing/>
              <w:jc w:val="center"/>
              <w:rPr>
                <w:color w:val="000000" w:themeColor="text1"/>
              </w:rPr>
            </w:pPr>
          </w:p>
          <w:p w14:paraId="78C5240D" w14:textId="77777777" w:rsidR="000739B9" w:rsidRPr="00FD6A4F" w:rsidRDefault="000739B9">
            <w:pPr>
              <w:contextualSpacing/>
              <w:jc w:val="center"/>
              <w:rPr>
                <w:color w:val="000000" w:themeColor="text1"/>
              </w:rPr>
            </w:pPr>
            <w:r w:rsidRPr="00FD6A4F">
              <w:rPr>
                <w:color w:val="000000" w:themeColor="text1"/>
              </w:rPr>
              <w:t>84.21%</w:t>
            </w:r>
          </w:p>
          <w:p w14:paraId="3E050DAB" w14:textId="77777777" w:rsidR="000739B9" w:rsidRPr="00FD6A4F" w:rsidRDefault="000739B9">
            <w:pPr>
              <w:contextualSpacing/>
              <w:jc w:val="center"/>
              <w:rPr>
                <w:color w:val="000000" w:themeColor="text1"/>
              </w:rPr>
            </w:pPr>
            <w:r w:rsidRPr="00FD6A4F">
              <w:rPr>
                <w:color w:val="000000" w:themeColor="text1"/>
              </w:rPr>
              <w:t>15.79%</w:t>
            </w:r>
          </w:p>
        </w:tc>
        <w:tc>
          <w:tcPr>
            <w:tcW w:w="2497" w:type="dxa"/>
          </w:tcPr>
          <w:p w14:paraId="62EA3834" w14:textId="77777777" w:rsidR="000739B9" w:rsidRPr="00FD6A4F" w:rsidRDefault="000739B9">
            <w:pPr>
              <w:contextualSpacing/>
              <w:jc w:val="center"/>
              <w:rPr>
                <w:color w:val="000000" w:themeColor="text1"/>
              </w:rPr>
            </w:pPr>
          </w:p>
          <w:p w14:paraId="4E7B0FFC" w14:textId="77777777" w:rsidR="000739B9" w:rsidRPr="00FD6A4F" w:rsidRDefault="000739B9">
            <w:pPr>
              <w:contextualSpacing/>
              <w:jc w:val="center"/>
              <w:rPr>
                <w:color w:val="000000" w:themeColor="text1"/>
              </w:rPr>
            </w:pPr>
            <w:r w:rsidRPr="00FD6A4F">
              <w:rPr>
                <w:color w:val="000000" w:themeColor="text1"/>
              </w:rPr>
              <w:t>91.43%</w:t>
            </w:r>
          </w:p>
          <w:p w14:paraId="6221225E" w14:textId="77777777" w:rsidR="000739B9" w:rsidRPr="00FD6A4F" w:rsidRDefault="000739B9">
            <w:pPr>
              <w:contextualSpacing/>
              <w:jc w:val="center"/>
              <w:rPr>
                <w:color w:val="000000" w:themeColor="text1"/>
              </w:rPr>
            </w:pPr>
            <w:r w:rsidRPr="00FD6A4F">
              <w:rPr>
                <w:color w:val="000000" w:themeColor="text1"/>
              </w:rPr>
              <w:t>8.57%</w:t>
            </w:r>
          </w:p>
        </w:tc>
        <w:tc>
          <w:tcPr>
            <w:tcW w:w="2523" w:type="dxa"/>
          </w:tcPr>
          <w:p w14:paraId="2C30589A" w14:textId="77777777" w:rsidR="000739B9" w:rsidRPr="00FD6A4F" w:rsidRDefault="000739B9">
            <w:pPr>
              <w:contextualSpacing/>
              <w:jc w:val="center"/>
              <w:rPr>
                <w:color w:val="000000" w:themeColor="text1"/>
              </w:rPr>
            </w:pPr>
            <w:r w:rsidRPr="00FD6A4F">
              <w:rPr>
                <w:color w:val="000000" w:themeColor="text1"/>
              </w:rPr>
              <w:sym w:font="Symbol" w:char="F063"/>
            </w:r>
            <w:r w:rsidRPr="00FD6A4F">
              <w:rPr>
                <w:color w:val="000000" w:themeColor="text1"/>
                <w:vertAlign w:val="superscript"/>
              </w:rPr>
              <w:t>2</w:t>
            </w:r>
            <w:r w:rsidRPr="00FD6A4F">
              <w:rPr>
                <w:color w:val="000000" w:themeColor="text1"/>
              </w:rPr>
              <w:t xml:space="preserve">(1) = </w:t>
            </w:r>
            <w:proofErr w:type="gramStart"/>
            <w:r w:rsidRPr="00FD6A4F">
              <w:rPr>
                <w:color w:val="000000" w:themeColor="text1"/>
              </w:rPr>
              <w:t>0.88 ,</w:t>
            </w:r>
            <w:proofErr w:type="gramEnd"/>
            <w:r w:rsidRPr="00FD6A4F">
              <w:rPr>
                <w:color w:val="000000" w:themeColor="text1"/>
              </w:rPr>
              <w:t xml:space="preserve"> </w:t>
            </w:r>
            <w:r w:rsidRPr="00FD6A4F">
              <w:rPr>
                <w:i/>
                <w:iCs/>
                <w:color w:val="000000" w:themeColor="text1"/>
              </w:rPr>
              <w:t>p</w:t>
            </w:r>
            <w:r w:rsidRPr="00FD6A4F">
              <w:rPr>
                <w:color w:val="000000" w:themeColor="text1"/>
              </w:rPr>
              <w:t xml:space="preserve"> = .35</w:t>
            </w:r>
          </w:p>
        </w:tc>
      </w:tr>
      <w:tr w:rsidR="000739B9" w:rsidRPr="00FD6A4F" w14:paraId="44D9EDAA" w14:textId="77777777">
        <w:trPr>
          <w:trHeight w:val="326"/>
        </w:trPr>
        <w:tc>
          <w:tcPr>
            <w:tcW w:w="2237" w:type="dxa"/>
          </w:tcPr>
          <w:p w14:paraId="52C41632" w14:textId="77777777" w:rsidR="000739B9" w:rsidRPr="00FD6A4F" w:rsidRDefault="000739B9">
            <w:pPr>
              <w:contextualSpacing/>
              <w:rPr>
                <w:color w:val="000000" w:themeColor="text1"/>
              </w:rPr>
            </w:pPr>
            <w:r w:rsidRPr="00FD6A4F">
              <w:rPr>
                <w:color w:val="000000" w:themeColor="text1"/>
              </w:rPr>
              <w:t>Ethnicity</w:t>
            </w:r>
          </w:p>
          <w:p w14:paraId="47946D15" w14:textId="77777777" w:rsidR="000739B9" w:rsidRPr="00FD6A4F" w:rsidRDefault="000739B9">
            <w:pPr>
              <w:ind w:left="340"/>
              <w:contextualSpacing/>
              <w:rPr>
                <w:color w:val="000000" w:themeColor="text1"/>
              </w:rPr>
            </w:pPr>
            <w:r w:rsidRPr="00FD6A4F">
              <w:rPr>
                <w:color w:val="000000" w:themeColor="text1"/>
              </w:rPr>
              <w:t>Hispanic</w:t>
            </w:r>
          </w:p>
          <w:p w14:paraId="24298E34" w14:textId="77777777" w:rsidR="000739B9" w:rsidRPr="00FD6A4F" w:rsidRDefault="000739B9">
            <w:pPr>
              <w:ind w:left="340"/>
              <w:contextualSpacing/>
              <w:rPr>
                <w:color w:val="000000" w:themeColor="text1"/>
              </w:rPr>
            </w:pPr>
            <w:r w:rsidRPr="00FD6A4F">
              <w:rPr>
                <w:color w:val="000000" w:themeColor="text1"/>
              </w:rPr>
              <w:lastRenderedPageBreak/>
              <w:t>Non-Hispanic</w:t>
            </w:r>
          </w:p>
        </w:tc>
        <w:tc>
          <w:tcPr>
            <w:tcW w:w="2497" w:type="dxa"/>
          </w:tcPr>
          <w:p w14:paraId="694136FB" w14:textId="77777777" w:rsidR="000739B9" w:rsidRPr="00FD6A4F" w:rsidRDefault="000739B9">
            <w:pPr>
              <w:contextualSpacing/>
              <w:jc w:val="center"/>
              <w:rPr>
                <w:color w:val="000000" w:themeColor="text1"/>
              </w:rPr>
            </w:pPr>
          </w:p>
          <w:p w14:paraId="05E73013" w14:textId="77777777" w:rsidR="000739B9" w:rsidRPr="00FD6A4F" w:rsidRDefault="000739B9">
            <w:pPr>
              <w:contextualSpacing/>
              <w:jc w:val="center"/>
              <w:rPr>
                <w:color w:val="000000" w:themeColor="text1"/>
              </w:rPr>
            </w:pPr>
            <w:r w:rsidRPr="00FD6A4F">
              <w:rPr>
                <w:color w:val="000000" w:themeColor="text1"/>
              </w:rPr>
              <w:t>10.53%</w:t>
            </w:r>
          </w:p>
          <w:p w14:paraId="112C0A2B" w14:textId="77777777" w:rsidR="000739B9" w:rsidRPr="00FD6A4F" w:rsidRDefault="000739B9">
            <w:pPr>
              <w:contextualSpacing/>
              <w:jc w:val="center"/>
              <w:rPr>
                <w:color w:val="000000" w:themeColor="text1"/>
              </w:rPr>
            </w:pPr>
            <w:r w:rsidRPr="00FD6A4F">
              <w:rPr>
                <w:color w:val="000000" w:themeColor="text1"/>
              </w:rPr>
              <w:lastRenderedPageBreak/>
              <w:t>89.47%</w:t>
            </w:r>
          </w:p>
        </w:tc>
        <w:tc>
          <w:tcPr>
            <w:tcW w:w="2497" w:type="dxa"/>
          </w:tcPr>
          <w:p w14:paraId="618ECF1D" w14:textId="77777777" w:rsidR="000739B9" w:rsidRPr="00FD6A4F" w:rsidRDefault="000739B9">
            <w:pPr>
              <w:contextualSpacing/>
              <w:jc w:val="center"/>
              <w:rPr>
                <w:color w:val="000000" w:themeColor="text1"/>
              </w:rPr>
            </w:pPr>
          </w:p>
          <w:p w14:paraId="3EAC6DEB" w14:textId="77777777" w:rsidR="000739B9" w:rsidRPr="00FD6A4F" w:rsidRDefault="000739B9">
            <w:pPr>
              <w:contextualSpacing/>
              <w:jc w:val="center"/>
              <w:rPr>
                <w:color w:val="000000" w:themeColor="text1"/>
              </w:rPr>
            </w:pPr>
            <w:r w:rsidRPr="00FD6A4F">
              <w:rPr>
                <w:color w:val="000000" w:themeColor="text1"/>
              </w:rPr>
              <w:t>2.86%</w:t>
            </w:r>
          </w:p>
          <w:p w14:paraId="780196CD" w14:textId="77777777" w:rsidR="000739B9" w:rsidRPr="00FD6A4F" w:rsidRDefault="000739B9">
            <w:pPr>
              <w:contextualSpacing/>
              <w:jc w:val="center"/>
              <w:rPr>
                <w:color w:val="000000" w:themeColor="text1"/>
              </w:rPr>
            </w:pPr>
            <w:r w:rsidRPr="00FD6A4F">
              <w:rPr>
                <w:color w:val="000000" w:themeColor="text1"/>
              </w:rPr>
              <w:lastRenderedPageBreak/>
              <w:t>97.14%</w:t>
            </w:r>
          </w:p>
        </w:tc>
        <w:tc>
          <w:tcPr>
            <w:tcW w:w="2523" w:type="dxa"/>
          </w:tcPr>
          <w:p w14:paraId="70032CC8" w14:textId="77777777" w:rsidR="000739B9" w:rsidRPr="00FD6A4F" w:rsidRDefault="000739B9">
            <w:pPr>
              <w:contextualSpacing/>
              <w:jc w:val="center"/>
              <w:rPr>
                <w:color w:val="000000" w:themeColor="text1"/>
              </w:rPr>
            </w:pPr>
            <w:r w:rsidRPr="00FD6A4F">
              <w:rPr>
                <w:color w:val="000000" w:themeColor="text1"/>
              </w:rPr>
              <w:lastRenderedPageBreak/>
              <w:sym w:font="Symbol" w:char="F063"/>
            </w:r>
            <w:r w:rsidRPr="00FD6A4F">
              <w:rPr>
                <w:color w:val="000000" w:themeColor="text1"/>
                <w:vertAlign w:val="superscript"/>
              </w:rPr>
              <w:t>2</w:t>
            </w:r>
            <w:r w:rsidRPr="00FD6A4F">
              <w:rPr>
                <w:color w:val="000000" w:themeColor="text1"/>
              </w:rPr>
              <w:t xml:space="preserve">(1) = 1.68, </w:t>
            </w:r>
            <w:r w:rsidRPr="00FD6A4F">
              <w:rPr>
                <w:i/>
                <w:iCs/>
                <w:color w:val="000000" w:themeColor="text1"/>
              </w:rPr>
              <w:t>p</w:t>
            </w:r>
            <w:r w:rsidRPr="00FD6A4F">
              <w:rPr>
                <w:color w:val="000000" w:themeColor="text1"/>
              </w:rPr>
              <w:t xml:space="preserve"> = .19</w:t>
            </w:r>
          </w:p>
        </w:tc>
      </w:tr>
      <w:tr w:rsidR="000739B9" w:rsidRPr="00FD6A4F" w14:paraId="3DFBF0AF" w14:textId="77777777">
        <w:trPr>
          <w:trHeight w:val="326"/>
        </w:trPr>
        <w:tc>
          <w:tcPr>
            <w:tcW w:w="2237" w:type="dxa"/>
          </w:tcPr>
          <w:p w14:paraId="777F7A15" w14:textId="77777777" w:rsidR="000739B9" w:rsidRPr="00FD6A4F" w:rsidRDefault="000739B9">
            <w:pPr>
              <w:contextualSpacing/>
              <w:rPr>
                <w:color w:val="000000" w:themeColor="text1"/>
              </w:rPr>
            </w:pPr>
            <w:r w:rsidRPr="00FD6A4F">
              <w:rPr>
                <w:color w:val="000000" w:themeColor="text1"/>
              </w:rPr>
              <w:t>Race</w:t>
            </w:r>
          </w:p>
          <w:p w14:paraId="707B63F9" w14:textId="77777777" w:rsidR="000739B9" w:rsidRPr="00FD6A4F" w:rsidRDefault="000739B9">
            <w:pPr>
              <w:ind w:left="340"/>
              <w:contextualSpacing/>
              <w:rPr>
                <w:color w:val="000000" w:themeColor="text1"/>
              </w:rPr>
            </w:pPr>
            <w:r w:rsidRPr="00FD6A4F">
              <w:rPr>
                <w:color w:val="000000" w:themeColor="text1"/>
              </w:rPr>
              <w:t>Asian American/Pacific Islander</w:t>
            </w:r>
          </w:p>
          <w:p w14:paraId="48B73A79" w14:textId="77777777" w:rsidR="000739B9" w:rsidRPr="00FD6A4F" w:rsidRDefault="000739B9">
            <w:pPr>
              <w:ind w:left="340"/>
              <w:contextualSpacing/>
              <w:rPr>
                <w:color w:val="000000" w:themeColor="text1"/>
              </w:rPr>
            </w:pPr>
            <w:r w:rsidRPr="00FD6A4F">
              <w:rPr>
                <w:color w:val="000000" w:themeColor="text1"/>
              </w:rPr>
              <w:t>Black</w:t>
            </w:r>
          </w:p>
          <w:p w14:paraId="384B06E7" w14:textId="77777777" w:rsidR="000739B9" w:rsidRPr="00FD6A4F" w:rsidRDefault="000739B9">
            <w:pPr>
              <w:ind w:left="340"/>
              <w:contextualSpacing/>
              <w:rPr>
                <w:color w:val="000000" w:themeColor="text1"/>
              </w:rPr>
            </w:pPr>
            <w:r w:rsidRPr="00FD6A4F">
              <w:rPr>
                <w:color w:val="000000" w:themeColor="text1"/>
              </w:rPr>
              <w:t>White</w:t>
            </w:r>
          </w:p>
          <w:p w14:paraId="3154A8AE" w14:textId="77777777" w:rsidR="000739B9" w:rsidRPr="00FD6A4F" w:rsidRDefault="000739B9">
            <w:pPr>
              <w:ind w:left="340"/>
              <w:contextualSpacing/>
              <w:rPr>
                <w:color w:val="000000" w:themeColor="text1"/>
              </w:rPr>
            </w:pPr>
            <w:r w:rsidRPr="00FD6A4F">
              <w:rPr>
                <w:color w:val="000000" w:themeColor="text1"/>
              </w:rPr>
              <w:t>Multiracial</w:t>
            </w:r>
          </w:p>
          <w:p w14:paraId="17D7F01C" w14:textId="77777777" w:rsidR="000739B9" w:rsidRPr="00FD6A4F" w:rsidRDefault="000739B9">
            <w:pPr>
              <w:ind w:left="340"/>
              <w:contextualSpacing/>
              <w:rPr>
                <w:color w:val="000000" w:themeColor="text1"/>
              </w:rPr>
            </w:pPr>
            <w:r w:rsidRPr="00FD6A4F">
              <w:rPr>
                <w:color w:val="000000" w:themeColor="text1"/>
              </w:rPr>
              <w:t>Other</w:t>
            </w:r>
          </w:p>
        </w:tc>
        <w:tc>
          <w:tcPr>
            <w:tcW w:w="2497" w:type="dxa"/>
          </w:tcPr>
          <w:p w14:paraId="52230DEE" w14:textId="77777777" w:rsidR="000739B9" w:rsidRPr="00FD6A4F" w:rsidRDefault="000739B9">
            <w:pPr>
              <w:contextualSpacing/>
              <w:jc w:val="center"/>
              <w:rPr>
                <w:color w:val="000000" w:themeColor="text1"/>
              </w:rPr>
            </w:pPr>
          </w:p>
          <w:p w14:paraId="25DA404D" w14:textId="77777777" w:rsidR="000739B9" w:rsidRPr="00FD6A4F" w:rsidRDefault="000739B9">
            <w:pPr>
              <w:contextualSpacing/>
              <w:jc w:val="center"/>
              <w:rPr>
                <w:color w:val="000000" w:themeColor="text1"/>
              </w:rPr>
            </w:pPr>
            <w:r w:rsidRPr="00FD6A4F">
              <w:rPr>
                <w:color w:val="000000" w:themeColor="text1"/>
              </w:rPr>
              <w:t>10.53%</w:t>
            </w:r>
          </w:p>
          <w:p w14:paraId="40E17F79" w14:textId="77777777" w:rsidR="000739B9" w:rsidRPr="00FD6A4F" w:rsidRDefault="000739B9">
            <w:pPr>
              <w:contextualSpacing/>
              <w:jc w:val="center"/>
              <w:rPr>
                <w:color w:val="000000" w:themeColor="text1"/>
              </w:rPr>
            </w:pPr>
          </w:p>
          <w:p w14:paraId="25E412F6" w14:textId="77777777" w:rsidR="000739B9" w:rsidRPr="00FD6A4F" w:rsidRDefault="000739B9">
            <w:pPr>
              <w:contextualSpacing/>
              <w:jc w:val="center"/>
              <w:rPr>
                <w:color w:val="000000" w:themeColor="text1"/>
              </w:rPr>
            </w:pPr>
          </w:p>
          <w:p w14:paraId="39B81E37" w14:textId="77777777" w:rsidR="000739B9" w:rsidRPr="00FD6A4F" w:rsidRDefault="000739B9">
            <w:pPr>
              <w:contextualSpacing/>
              <w:jc w:val="center"/>
              <w:rPr>
                <w:color w:val="000000" w:themeColor="text1"/>
              </w:rPr>
            </w:pPr>
            <w:r w:rsidRPr="00FD6A4F">
              <w:rPr>
                <w:color w:val="000000" w:themeColor="text1"/>
              </w:rPr>
              <w:t>5.26%</w:t>
            </w:r>
          </w:p>
          <w:p w14:paraId="676BFC52" w14:textId="77777777" w:rsidR="000739B9" w:rsidRPr="00FD6A4F" w:rsidRDefault="000739B9">
            <w:pPr>
              <w:contextualSpacing/>
              <w:jc w:val="center"/>
              <w:rPr>
                <w:color w:val="000000" w:themeColor="text1"/>
              </w:rPr>
            </w:pPr>
            <w:r w:rsidRPr="00FD6A4F">
              <w:rPr>
                <w:color w:val="000000" w:themeColor="text1"/>
              </w:rPr>
              <w:t>73.68%</w:t>
            </w:r>
          </w:p>
          <w:p w14:paraId="34BBB58C" w14:textId="77777777" w:rsidR="000739B9" w:rsidRPr="00FD6A4F" w:rsidRDefault="000739B9">
            <w:pPr>
              <w:contextualSpacing/>
              <w:jc w:val="center"/>
              <w:rPr>
                <w:color w:val="000000" w:themeColor="text1"/>
              </w:rPr>
            </w:pPr>
            <w:r w:rsidRPr="00FD6A4F">
              <w:rPr>
                <w:color w:val="000000" w:themeColor="text1"/>
              </w:rPr>
              <w:t>5.26%</w:t>
            </w:r>
          </w:p>
          <w:p w14:paraId="20309AF2" w14:textId="77777777" w:rsidR="000739B9" w:rsidRPr="00FD6A4F" w:rsidRDefault="000739B9">
            <w:pPr>
              <w:contextualSpacing/>
              <w:jc w:val="center"/>
              <w:rPr>
                <w:color w:val="000000" w:themeColor="text1"/>
              </w:rPr>
            </w:pPr>
            <w:r w:rsidRPr="00FD6A4F">
              <w:rPr>
                <w:color w:val="000000" w:themeColor="text1"/>
              </w:rPr>
              <w:t>5.26%</w:t>
            </w:r>
          </w:p>
        </w:tc>
        <w:tc>
          <w:tcPr>
            <w:tcW w:w="2497" w:type="dxa"/>
          </w:tcPr>
          <w:p w14:paraId="03B4FCA6" w14:textId="77777777" w:rsidR="000739B9" w:rsidRPr="00FD6A4F" w:rsidRDefault="000739B9">
            <w:pPr>
              <w:contextualSpacing/>
              <w:jc w:val="center"/>
              <w:rPr>
                <w:color w:val="000000" w:themeColor="text1"/>
              </w:rPr>
            </w:pPr>
          </w:p>
          <w:p w14:paraId="514D31C3" w14:textId="77777777" w:rsidR="000739B9" w:rsidRPr="00FD6A4F" w:rsidRDefault="000739B9">
            <w:pPr>
              <w:contextualSpacing/>
              <w:jc w:val="center"/>
              <w:rPr>
                <w:color w:val="000000" w:themeColor="text1"/>
              </w:rPr>
            </w:pPr>
            <w:r w:rsidRPr="00FD6A4F">
              <w:rPr>
                <w:color w:val="000000" w:themeColor="text1"/>
              </w:rPr>
              <w:t>2.86%</w:t>
            </w:r>
          </w:p>
          <w:p w14:paraId="197AEE4B" w14:textId="77777777" w:rsidR="000739B9" w:rsidRPr="00FD6A4F" w:rsidRDefault="000739B9">
            <w:pPr>
              <w:contextualSpacing/>
              <w:jc w:val="center"/>
              <w:rPr>
                <w:color w:val="000000" w:themeColor="text1"/>
              </w:rPr>
            </w:pPr>
          </w:p>
          <w:p w14:paraId="1C146EAB" w14:textId="77777777" w:rsidR="000739B9" w:rsidRPr="00FD6A4F" w:rsidRDefault="000739B9">
            <w:pPr>
              <w:contextualSpacing/>
              <w:jc w:val="center"/>
              <w:rPr>
                <w:color w:val="000000" w:themeColor="text1"/>
              </w:rPr>
            </w:pPr>
          </w:p>
          <w:p w14:paraId="56E64B2B" w14:textId="77777777" w:rsidR="000739B9" w:rsidRPr="00FD6A4F" w:rsidRDefault="000739B9">
            <w:pPr>
              <w:contextualSpacing/>
              <w:jc w:val="center"/>
              <w:rPr>
                <w:color w:val="000000" w:themeColor="text1"/>
              </w:rPr>
            </w:pPr>
            <w:r w:rsidRPr="00FD6A4F">
              <w:rPr>
                <w:color w:val="000000" w:themeColor="text1"/>
              </w:rPr>
              <w:t>2.86%</w:t>
            </w:r>
          </w:p>
          <w:p w14:paraId="5BDEA189" w14:textId="77777777" w:rsidR="000739B9" w:rsidRPr="00FD6A4F" w:rsidRDefault="000739B9">
            <w:pPr>
              <w:contextualSpacing/>
              <w:jc w:val="center"/>
              <w:rPr>
                <w:color w:val="000000" w:themeColor="text1"/>
              </w:rPr>
            </w:pPr>
            <w:r w:rsidRPr="00FD6A4F">
              <w:rPr>
                <w:color w:val="000000" w:themeColor="text1"/>
              </w:rPr>
              <w:t>80.00%</w:t>
            </w:r>
          </w:p>
          <w:p w14:paraId="06E7FAB6" w14:textId="77777777" w:rsidR="000739B9" w:rsidRPr="00FD6A4F" w:rsidRDefault="000739B9">
            <w:pPr>
              <w:contextualSpacing/>
              <w:jc w:val="center"/>
              <w:rPr>
                <w:color w:val="000000" w:themeColor="text1"/>
              </w:rPr>
            </w:pPr>
            <w:r w:rsidRPr="00FD6A4F">
              <w:rPr>
                <w:color w:val="000000" w:themeColor="text1"/>
              </w:rPr>
              <w:t>5.71%</w:t>
            </w:r>
          </w:p>
          <w:p w14:paraId="0C89C7DA" w14:textId="77777777" w:rsidR="000739B9" w:rsidRPr="00FD6A4F" w:rsidRDefault="000739B9">
            <w:pPr>
              <w:contextualSpacing/>
              <w:jc w:val="center"/>
              <w:rPr>
                <w:color w:val="000000" w:themeColor="text1"/>
              </w:rPr>
            </w:pPr>
            <w:r w:rsidRPr="00FD6A4F">
              <w:rPr>
                <w:color w:val="000000" w:themeColor="text1"/>
              </w:rPr>
              <w:t>8.57%</w:t>
            </w:r>
          </w:p>
        </w:tc>
        <w:tc>
          <w:tcPr>
            <w:tcW w:w="2523" w:type="dxa"/>
          </w:tcPr>
          <w:p w14:paraId="1CC49E5C" w14:textId="77777777" w:rsidR="000739B9" w:rsidRPr="00FD6A4F" w:rsidRDefault="000739B9">
            <w:pPr>
              <w:contextualSpacing/>
              <w:jc w:val="center"/>
              <w:rPr>
                <w:color w:val="000000" w:themeColor="text1"/>
              </w:rPr>
            </w:pPr>
            <w:r w:rsidRPr="00FD6A4F">
              <w:rPr>
                <w:color w:val="000000" w:themeColor="text1"/>
              </w:rPr>
              <w:sym w:font="Symbol" w:char="F063"/>
            </w:r>
            <w:r w:rsidRPr="00FD6A4F">
              <w:rPr>
                <w:color w:val="000000" w:themeColor="text1"/>
                <w:vertAlign w:val="superscript"/>
              </w:rPr>
              <w:t>2</w:t>
            </w:r>
            <w:r w:rsidRPr="00FD6A4F">
              <w:rPr>
                <w:color w:val="000000" w:themeColor="text1"/>
              </w:rPr>
              <w:t xml:space="preserve">(4) = 2.21, </w:t>
            </w:r>
            <w:r w:rsidRPr="00FD6A4F">
              <w:rPr>
                <w:i/>
                <w:iCs/>
                <w:color w:val="000000" w:themeColor="text1"/>
              </w:rPr>
              <w:t xml:space="preserve">p </w:t>
            </w:r>
            <w:r w:rsidRPr="00FD6A4F">
              <w:rPr>
                <w:color w:val="000000" w:themeColor="text1"/>
              </w:rPr>
              <w:t>= .70</w:t>
            </w:r>
          </w:p>
        </w:tc>
      </w:tr>
      <w:tr w:rsidR="000739B9" w:rsidRPr="00FD6A4F" w14:paraId="1C877B6F" w14:textId="77777777">
        <w:trPr>
          <w:trHeight w:val="326"/>
        </w:trPr>
        <w:tc>
          <w:tcPr>
            <w:tcW w:w="2237" w:type="dxa"/>
          </w:tcPr>
          <w:p w14:paraId="054D4B6F" w14:textId="77777777" w:rsidR="000739B9" w:rsidRPr="00FD6A4F" w:rsidRDefault="000739B9">
            <w:pPr>
              <w:contextualSpacing/>
              <w:rPr>
                <w:color w:val="000000" w:themeColor="text1"/>
              </w:rPr>
            </w:pPr>
            <w:r w:rsidRPr="00FD6A4F">
              <w:rPr>
                <w:color w:val="000000" w:themeColor="text1"/>
              </w:rPr>
              <w:t>Marital status</w:t>
            </w:r>
          </w:p>
          <w:p w14:paraId="01539D59" w14:textId="77777777" w:rsidR="000739B9" w:rsidRPr="00FD6A4F" w:rsidRDefault="000739B9">
            <w:pPr>
              <w:ind w:left="340"/>
              <w:contextualSpacing/>
              <w:rPr>
                <w:color w:val="000000" w:themeColor="text1"/>
              </w:rPr>
            </w:pPr>
            <w:r w:rsidRPr="00FD6A4F">
              <w:rPr>
                <w:color w:val="000000" w:themeColor="text1"/>
              </w:rPr>
              <w:t>Single</w:t>
            </w:r>
          </w:p>
          <w:p w14:paraId="7FC7FF66" w14:textId="77777777" w:rsidR="000739B9" w:rsidRPr="00FD6A4F" w:rsidRDefault="000739B9">
            <w:pPr>
              <w:ind w:left="340"/>
              <w:contextualSpacing/>
              <w:rPr>
                <w:color w:val="000000" w:themeColor="text1"/>
              </w:rPr>
            </w:pPr>
            <w:r w:rsidRPr="00FD6A4F">
              <w:rPr>
                <w:color w:val="000000" w:themeColor="text1"/>
              </w:rPr>
              <w:t>Married</w:t>
            </w:r>
          </w:p>
          <w:p w14:paraId="369DE25E" w14:textId="77777777" w:rsidR="000739B9" w:rsidRPr="00FD6A4F" w:rsidRDefault="000739B9">
            <w:pPr>
              <w:ind w:left="340"/>
              <w:contextualSpacing/>
              <w:rPr>
                <w:color w:val="000000" w:themeColor="text1"/>
              </w:rPr>
            </w:pPr>
            <w:r w:rsidRPr="00FD6A4F">
              <w:rPr>
                <w:color w:val="000000" w:themeColor="text1"/>
              </w:rPr>
              <w:t>Cohabitating</w:t>
            </w:r>
          </w:p>
          <w:p w14:paraId="62020E55" w14:textId="77777777" w:rsidR="000739B9" w:rsidRPr="00FD6A4F" w:rsidRDefault="000739B9">
            <w:pPr>
              <w:ind w:left="340"/>
              <w:contextualSpacing/>
              <w:rPr>
                <w:color w:val="000000" w:themeColor="text1"/>
              </w:rPr>
            </w:pPr>
            <w:r w:rsidRPr="00FD6A4F">
              <w:rPr>
                <w:color w:val="000000" w:themeColor="text1"/>
              </w:rPr>
              <w:t>Divorced</w:t>
            </w:r>
          </w:p>
          <w:p w14:paraId="03ECB916" w14:textId="77777777" w:rsidR="000739B9" w:rsidRPr="00FD6A4F" w:rsidRDefault="000739B9">
            <w:pPr>
              <w:ind w:left="340"/>
              <w:contextualSpacing/>
              <w:rPr>
                <w:color w:val="000000" w:themeColor="text1"/>
              </w:rPr>
            </w:pPr>
            <w:r w:rsidRPr="00FD6A4F">
              <w:rPr>
                <w:color w:val="000000" w:themeColor="text1"/>
              </w:rPr>
              <w:t>Widowed</w:t>
            </w:r>
          </w:p>
        </w:tc>
        <w:tc>
          <w:tcPr>
            <w:tcW w:w="2497" w:type="dxa"/>
          </w:tcPr>
          <w:p w14:paraId="2B852B2E" w14:textId="77777777" w:rsidR="000739B9" w:rsidRPr="00FD6A4F" w:rsidRDefault="000739B9">
            <w:pPr>
              <w:contextualSpacing/>
              <w:jc w:val="center"/>
              <w:rPr>
                <w:color w:val="000000" w:themeColor="text1"/>
              </w:rPr>
            </w:pPr>
          </w:p>
          <w:p w14:paraId="2ED6414E" w14:textId="77777777" w:rsidR="000739B9" w:rsidRPr="00FD6A4F" w:rsidRDefault="000739B9">
            <w:pPr>
              <w:contextualSpacing/>
              <w:jc w:val="center"/>
              <w:rPr>
                <w:color w:val="000000" w:themeColor="text1"/>
              </w:rPr>
            </w:pPr>
            <w:r w:rsidRPr="00FD6A4F">
              <w:rPr>
                <w:color w:val="000000" w:themeColor="text1"/>
              </w:rPr>
              <w:t>26.32%</w:t>
            </w:r>
          </w:p>
          <w:p w14:paraId="6C940CA6" w14:textId="77777777" w:rsidR="000739B9" w:rsidRPr="00FD6A4F" w:rsidRDefault="000739B9">
            <w:pPr>
              <w:contextualSpacing/>
              <w:jc w:val="center"/>
              <w:rPr>
                <w:color w:val="000000" w:themeColor="text1"/>
              </w:rPr>
            </w:pPr>
            <w:r w:rsidRPr="00FD6A4F">
              <w:rPr>
                <w:color w:val="000000" w:themeColor="text1"/>
              </w:rPr>
              <w:t>34.21%</w:t>
            </w:r>
          </w:p>
          <w:p w14:paraId="06B628CE" w14:textId="77777777" w:rsidR="000739B9" w:rsidRPr="00FD6A4F" w:rsidRDefault="000739B9">
            <w:pPr>
              <w:contextualSpacing/>
              <w:jc w:val="center"/>
              <w:rPr>
                <w:color w:val="000000" w:themeColor="text1"/>
              </w:rPr>
            </w:pPr>
            <w:r w:rsidRPr="00FD6A4F">
              <w:rPr>
                <w:color w:val="000000" w:themeColor="text1"/>
              </w:rPr>
              <w:t>13.16%</w:t>
            </w:r>
          </w:p>
          <w:p w14:paraId="15481AEA" w14:textId="77777777" w:rsidR="000739B9" w:rsidRPr="00FD6A4F" w:rsidRDefault="000739B9">
            <w:pPr>
              <w:contextualSpacing/>
              <w:jc w:val="center"/>
              <w:rPr>
                <w:color w:val="000000" w:themeColor="text1"/>
              </w:rPr>
            </w:pPr>
            <w:r w:rsidRPr="00FD6A4F">
              <w:rPr>
                <w:color w:val="000000" w:themeColor="text1"/>
              </w:rPr>
              <w:t>21.05%</w:t>
            </w:r>
          </w:p>
          <w:p w14:paraId="0A3D3FB4" w14:textId="77777777" w:rsidR="000739B9" w:rsidRPr="00FD6A4F" w:rsidRDefault="000739B9">
            <w:pPr>
              <w:contextualSpacing/>
              <w:jc w:val="center"/>
              <w:rPr>
                <w:color w:val="000000" w:themeColor="text1"/>
              </w:rPr>
            </w:pPr>
            <w:r w:rsidRPr="00FD6A4F">
              <w:rPr>
                <w:color w:val="000000" w:themeColor="text1"/>
              </w:rPr>
              <w:t>5.26%</w:t>
            </w:r>
          </w:p>
        </w:tc>
        <w:tc>
          <w:tcPr>
            <w:tcW w:w="2497" w:type="dxa"/>
          </w:tcPr>
          <w:p w14:paraId="6AC194CF" w14:textId="77777777" w:rsidR="000739B9" w:rsidRPr="00FD6A4F" w:rsidRDefault="000739B9">
            <w:pPr>
              <w:contextualSpacing/>
              <w:jc w:val="center"/>
              <w:rPr>
                <w:color w:val="000000" w:themeColor="text1"/>
              </w:rPr>
            </w:pPr>
          </w:p>
          <w:p w14:paraId="1F76C0C9" w14:textId="77777777" w:rsidR="000739B9" w:rsidRPr="00FD6A4F" w:rsidRDefault="000739B9">
            <w:pPr>
              <w:contextualSpacing/>
              <w:jc w:val="center"/>
              <w:rPr>
                <w:color w:val="000000" w:themeColor="text1"/>
              </w:rPr>
            </w:pPr>
            <w:r w:rsidRPr="00FD6A4F">
              <w:rPr>
                <w:color w:val="000000" w:themeColor="text1"/>
              </w:rPr>
              <w:t>37.14%</w:t>
            </w:r>
          </w:p>
          <w:p w14:paraId="29CEB4F7" w14:textId="77777777" w:rsidR="000739B9" w:rsidRPr="00FD6A4F" w:rsidRDefault="000739B9">
            <w:pPr>
              <w:contextualSpacing/>
              <w:jc w:val="center"/>
              <w:rPr>
                <w:color w:val="000000" w:themeColor="text1"/>
              </w:rPr>
            </w:pPr>
            <w:r w:rsidRPr="00FD6A4F">
              <w:rPr>
                <w:color w:val="000000" w:themeColor="text1"/>
              </w:rPr>
              <w:t>22.86%</w:t>
            </w:r>
          </w:p>
          <w:p w14:paraId="7A012851" w14:textId="77777777" w:rsidR="000739B9" w:rsidRPr="00FD6A4F" w:rsidRDefault="000739B9">
            <w:pPr>
              <w:contextualSpacing/>
              <w:jc w:val="center"/>
              <w:rPr>
                <w:color w:val="000000" w:themeColor="text1"/>
              </w:rPr>
            </w:pPr>
            <w:r w:rsidRPr="00FD6A4F">
              <w:rPr>
                <w:color w:val="000000" w:themeColor="text1"/>
              </w:rPr>
              <w:t>11.43%</w:t>
            </w:r>
          </w:p>
          <w:p w14:paraId="19749B4C" w14:textId="77777777" w:rsidR="000739B9" w:rsidRPr="00FD6A4F" w:rsidRDefault="000739B9">
            <w:pPr>
              <w:contextualSpacing/>
              <w:jc w:val="center"/>
              <w:rPr>
                <w:color w:val="000000" w:themeColor="text1"/>
              </w:rPr>
            </w:pPr>
            <w:r w:rsidRPr="00FD6A4F">
              <w:rPr>
                <w:color w:val="000000" w:themeColor="text1"/>
              </w:rPr>
              <w:t>20.00%</w:t>
            </w:r>
          </w:p>
          <w:p w14:paraId="29766D6E" w14:textId="77777777" w:rsidR="000739B9" w:rsidRPr="00FD6A4F" w:rsidRDefault="000739B9">
            <w:pPr>
              <w:contextualSpacing/>
              <w:jc w:val="center"/>
              <w:rPr>
                <w:color w:val="000000" w:themeColor="text1"/>
              </w:rPr>
            </w:pPr>
            <w:r w:rsidRPr="00FD6A4F">
              <w:rPr>
                <w:color w:val="000000" w:themeColor="text1"/>
              </w:rPr>
              <w:t>8.57%</w:t>
            </w:r>
          </w:p>
        </w:tc>
        <w:tc>
          <w:tcPr>
            <w:tcW w:w="2523" w:type="dxa"/>
          </w:tcPr>
          <w:p w14:paraId="3F50DEFE" w14:textId="77777777" w:rsidR="000739B9" w:rsidRPr="00FD6A4F" w:rsidRDefault="000739B9">
            <w:pPr>
              <w:contextualSpacing/>
              <w:jc w:val="center"/>
              <w:rPr>
                <w:color w:val="000000" w:themeColor="text1"/>
              </w:rPr>
            </w:pPr>
            <w:r w:rsidRPr="00FD6A4F">
              <w:rPr>
                <w:color w:val="000000" w:themeColor="text1"/>
              </w:rPr>
              <w:sym w:font="Symbol" w:char="F063"/>
            </w:r>
            <w:r w:rsidRPr="00FD6A4F">
              <w:rPr>
                <w:color w:val="000000" w:themeColor="text1"/>
                <w:vertAlign w:val="superscript"/>
              </w:rPr>
              <w:t>2</w:t>
            </w:r>
            <w:r w:rsidRPr="00FD6A4F">
              <w:rPr>
                <w:color w:val="000000" w:themeColor="text1"/>
              </w:rPr>
              <w:t xml:space="preserve">(4) = 1.84, </w:t>
            </w:r>
            <w:r w:rsidRPr="00FD6A4F">
              <w:rPr>
                <w:i/>
                <w:iCs/>
                <w:color w:val="000000" w:themeColor="text1"/>
              </w:rPr>
              <w:t>p</w:t>
            </w:r>
            <w:r w:rsidRPr="00FD6A4F">
              <w:rPr>
                <w:color w:val="000000" w:themeColor="text1"/>
              </w:rPr>
              <w:t xml:space="preserve"> = .77</w:t>
            </w:r>
          </w:p>
        </w:tc>
      </w:tr>
      <w:tr w:rsidR="000739B9" w:rsidRPr="00FD6A4F" w14:paraId="50F3D365" w14:textId="77777777">
        <w:trPr>
          <w:trHeight w:val="326"/>
        </w:trPr>
        <w:tc>
          <w:tcPr>
            <w:tcW w:w="2237" w:type="dxa"/>
          </w:tcPr>
          <w:p w14:paraId="14971DE7" w14:textId="343CFF98" w:rsidR="000739B9" w:rsidRPr="00FD6A4F" w:rsidRDefault="00F86AD6">
            <w:pPr>
              <w:contextualSpacing/>
              <w:rPr>
                <w:color w:val="000000" w:themeColor="text1"/>
              </w:rPr>
            </w:pPr>
            <w:r>
              <w:rPr>
                <w:color w:val="000000" w:themeColor="text1"/>
              </w:rPr>
              <w:t>Estimated h</w:t>
            </w:r>
            <w:r w:rsidR="000739B9" w:rsidRPr="00FD6A4F">
              <w:rPr>
                <w:color w:val="000000" w:themeColor="text1"/>
              </w:rPr>
              <w:t>ousehold income</w:t>
            </w:r>
          </w:p>
          <w:p w14:paraId="0462F2D3" w14:textId="77777777" w:rsidR="000739B9" w:rsidRPr="00FD6A4F" w:rsidRDefault="000739B9">
            <w:pPr>
              <w:ind w:left="340"/>
              <w:contextualSpacing/>
              <w:rPr>
                <w:color w:val="000000" w:themeColor="text1"/>
              </w:rPr>
            </w:pPr>
            <w:r w:rsidRPr="00FD6A4F">
              <w:rPr>
                <w:color w:val="000000" w:themeColor="text1"/>
              </w:rPr>
              <w:t>&lt; $20,000</w:t>
            </w:r>
          </w:p>
          <w:p w14:paraId="630A3C34" w14:textId="77777777" w:rsidR="000739B9" w:rsidRPr="00FD6A4F" w:rsidRDefault="000739B9">
            <w:pPr>
              <w:ind w:left="340"/>
              <w:contextualSpacing/>
              <w:rPr>
                <w:color w:val="000000" w:themeColor="text1"/>
              </w:rPr>
            </w:pPr>
            <w:r w:rsidRPr="00FD6A4F">
              <w:rPr>
                <w:color w:val="000000" w:themeColor="text1"/>
              </w:rPr>
              <w:t>$20,000-39,999</w:t>
            </w:r>
          </w:p>
          <w:p w14:paraId="1AB46F89" w14:textId="77777777" w:rsidR="000739B9" w:rsidRPr="00FD6A4F" w:rsidRDefault="000739B9">
            <w:pPr>
              <w:ind w:left="340"/>
              <w:contextualSpacing/>
              <w:rPr>
                <w:color w:val="000000" w:themeColor="text1"/>
              </w:rPr>
            </w:pPr>
            <w:r w:rsidRPr="00FD6A4F">
              <w:rPr>
                <w:color w:val="000000" w:themeColor="text1"/>
              </w:rPr>
              <w:t>$40,000-59,999</w:t>
            </w:r>
          </w:p>
          <w:p w14:paraId="172789AD" w14:textId="77777777" w:rsidR="000739B9" w:rsidRPr="00FD6A4F" w:rsidRDefault="000739B9">
            <w:pPr>
              <w:ind w:left="340"/>
              <w:contextualSpacing/>
              <w:rPr>
                <w:color w:val="000000" w:themeColor="text1"/>
              </w:rPr>
            </w:pPr>
            <w:r w:rsidRPr="00FD6A4F">
              <w:rPr>
                <w:color w:val="000000" w:themeColor="text1"/>
              </w:rPr>
              <w:t>$60,000-79,999</w:t>
            </w:r>
          </w:p>
          <w:p w14:paraId="62D98072" w14:textId="77777777" w:rsidR="000739B9" w:rsidRPr="00FD6A4F" w:rsidRDefault="000739B9">
            <w:pPr>
              <w:ind w:left="340"/>
              <w:contextualSpacing/>
              <w:rPr>
                <w:color w:val="000000" w:themeColor="text1"/>
              </w:rPr>
            </w:pPr>
            <w:r w:rsidRPr="00FD6A4F">
              <w:rPr>
                <w:color w:val="000000" w:themeColor="text1"/>
              </w:rPr>
              <w:t>$80,000-99,999</w:t>
            </w:r>
          </w:p>
          <w:p w14:paraId="4D218402" w14:textId="77777777" w:rsidR="000739B9" w:rsidRPr="00FD6A4F" w:rsidRDefault="000739B9">
            <w:pPr>
              <w:ind w:left="340"/>
              <w:contextualSpacing/>
              <w:rPr>
                <w:color w:val="000000" w:themeColor="text1"/>
              </w:rPr>
            </w:pPr>
            <w:r w:rsidRPr="00FD6A4F">
              <w:rPr>
                <w:color w:val="000000" w:themeColor="text1"/>
              </w:rPr>
              <w:t>&gt; $100,000</w:t>
            </w:r>
          </w:p>
          <w:p w14:paraId="19D21E77" w14:textId="77777777" w:rsidR="000739B9" w:rsidRPr="00FD6A4F" w:rsidRDefault="000739B9">
            <w:pPr>
              <w:ind w:left="340"/>
              <w:contextualSpacing/>
              <w:rPr>
                <w:color w:val="000000" w:themeColor="text1"/>
              </w:rPr>
            </w:pPr>
            <w:r w:rsidRPr="00FD6A4F">
              <w:rPr>
                <w:color w:val="000000" w:themeColor="text1"/>
              </w:rPr>
              <w:t>Unknown</w:t>
            </w:r>
          </w:p>
        </w:tc>
        <w:tc>
          <w:tcPr>
            <w:tcW w:w="2497" w:type="dxa"/>
          </w:tcPr>
          <w:p w14:paraId="2CE777A0" w14:textId="77777777" w:rsidR="000739B9" w:rsidRPr="00FD6A4F" w:rsidRDefault="000739B9">
            <w:pPr>
              <w:contextualSpacing/>
              <w:jc w:val="center"/>
              <w:rPr>
                <w:color w:val="000000" w:themeColor="text1"/>
              </w:rPr>
            </w:pPr>
          </w:p>
          <w:p w14:paraId="46E4F809" w14:textId="77777777" w:rsidR="000739B9" w:rsidRPr="00FD6A4F" w:rsidRDefault="000739B9">
            <w:pPr>
              <w:contextualSpacing/>
              <w:jc w:val="center"/>
              <w:rPr>
                <w:color w:val="000000" w:themeColor="text1"/>
              </w:rPr>
            </w:pPr>
          </w:p>
          <w:p w14:paraId="590C52FA" w14:textId="77777777" w:rsidR="000739B9" w:rsidRPr="00FD6A4F" w:rsidRDefault="000739B9">
            <w:pPr>
              <w:contextualSpacing/>
              <w:jc w:val="center"/>
              <w:rPr>
                <w:color w:val="000000" w:themeColor="text1"/>
              </w:rPr>
            </w:pPr>
            <w:r w:rsidRPr="00FD6A4F">
              <w:rPr>
                <w:color w:val="000000" w:themeColor="text1"/>
              </w:rPr>
              <w:t>10.53%</w:t>
            </w:r>
          </w:p>
          <w:p w14:paraId="48D81544" w14:textId="77777777" w:rsidR="000739B9" w:rsidRPr="00FD6A4F" w:rsidRDefault="000739B9">
            <w:pPr>
              <w:contextualSpacing/>
              <w:jc w:val="center"/>
              <w:rPr>
                <w:color w:val="000000" w:themeColor="text1"/>
              </w:rPr>
            </w:pPr>
            <w:r w:rsidRPr="00FD6A4F">
              <w:rPr>
                <w:color w:val="000000" w:themeColor="text1"/>
              </w:rPr>
              <w:t>10.53%</w:t>
            </w:r>
          </w:p>
          <w:p w14:paraId="24B4A061" w14:textId="77777777" w:rsidR="000739B9" w:rsidRPr="00FD6A4F" w:rsidRDefault="000739B9">
            <w:pPr>
              <w:contextualSpacing/>
              <w:jc w:val="center"/>
              <w:rPr>
                <w:color w:val="000000" w:themeColor="text1"/>
              </w:rPr>
            </w:pPr>
            <w:r w:rsidRPr="00FD6A4F">
              <w:rPr>
                <w:color w:val="000000" w:themeColor="text1"/>
              </w:rPr>
              <w:t>21.05%</w:t>
            </w:r>
          </w:p>
          <w:p w14:paraId="40797870" w14:textId="77777777" w:rsidR="000739B9" w:rsidRPr="00FD6A4F" w:rsidRDefault="000739B9">
            <w:pPr>
              <w:contextualSpacing/>
              <w:jc w:val="center"/>
              <w:rPr>
                <w:color w:val="000000" w:themeColor="text1"/>
              </w:rPr>
            </w:pPr>
            <w:r w:rsidRPr="00FD6A4F">
              <w:rPr>
                <w:color w:val="000000" w:themeColor="text1"/>
              </w:rPr>
              <w:t>13.16%</w:t>
            </w:r>
          </w:p>
          <w:p w14:paraId="0F0E3A4E" w14:textId="77777777" w:rsidR="000739B9" w:rsidRPr="00FD6A4F" w:rsidRDefault="000739B9">
            <w:pPr>
              <w:contextualSpacing/>
              <w:jc w:val="center"/>
              <w:rPr>
                <w:color w:val="000000" w:themeColor="text1"/>
              </w:rPr>
            </w:pPr>
            <w:r w:rsidRPr="00FD6A4F">
              <w:rPr>
                <w:color w:val="000000" w:themeColor="text1"/>
              </w:rPr>
              <w:t>15.79%</w:t>
            </w:r>
          </w:p>
          <w:p w14:paraId="2FDF7F1B" w14:textId="77777777" w:rsidR="000739B9" w:rsidRPr="00FD6A4F" w:rsidRDefault="000739B9">
            <w:pPr>
              <w:contextualSpacing/>
              <w:jc w:val="center"/>
              <w:rPr>
                <w:color w:val="000000" w:themeColor="text1"/>
              </w:rPr>
            </w:pPr>
            <w:r w:rsidRPr="00FD6A4F">
              <w:rPr>
                <w:color w:val="000000" w:themeColor="text1"/>
              </w:rPr>
              <w:t>18.42%</w:t>
            </w:r>
          </w:p>
          <w:p w14:paraId="2C1BEE33" w14:textId="77777777" w:rsidR="000739B9" w:rsidRPr="00FD6A4F" w:rsidRDefault="000739B9">
            <w:pPr>
              <w:contextualSpacing/>
              <w:jc w:val="center"/>
              <w:rPr>
                <w:color w:val="000000" w:themeColor="text1"/>
              </w:rPr>
            </w:pPr>
            <w:r w:rsidRPr="00FD6A4F">
              <w:rPr>
                <w:color w:val="000000" w:themeColor="text1"/>
              </w:rPr>
              <w:t>10.53%</w:t>
            </w:r>
          </w:p>
        </w:tc>
        <w:tc>
          <w:tcPr>
            <w:tcW w:w="2497" w:type="dxa"/>
          </w:tcPr>
          <w:p w14:paraId="468DE7A1" w14:textId="77777777" w:rsidR="000739B9" w:rsidRPr="00FD6A4F" w:rsidRDefault="000739B9">
            <w:pPr>
              <w:contextualSpacing/>
              <w:jc w:val="center"/>
              <w:rPr>
                <w:color w:val="000000" w:themeColor="text1"/>
              </w:rPr>
            </w:pPr>
          </w:p>
          <w:p w14:paraId="4CFBE1CE" w14:textId="77777777" w:rsidR="000739B9" w:rsidRPr="00FD6A4F" w:rsidRDefault="000739B9">
            <w:pPr>
              <w:contextualSpacing/>
              <w:jc w:val="center"/>
              <w:rPr>
                <w:color w:val="000000" w:themeColor="text1"/>
              </w:rPr>
            </w:pPr>
          </w:p>
          <w:p w14:paraId="76127F43" w14:textId="77777777" w:rsidR="000739B9" w:rsidRPr="00FD6A4F" w:rsidRDefault="000739B9">
            <w:pPr>
              <w:contextualSpacing/>
              <w:jc w:val="center"/>
              <w:rPr>
                <w:color w:val="000000" w:themeColor="text1"/>
              </w:rPr>
            </w:pPr>
            <w:r w:rsidRPr="00FD6A4F">
              <w:rPr>
                <w:color w:val="000000" w:themeColor="text1"/>
              </w:rPr>
              <w:t>22.86%</w:t>
            </w:r>
          </w:p>
          <w:p w14:paraId="3EA92EF7" w14:textId="77777777" w:rsidR="000739B9" w:rsidRPr="00FD6A4F" w:rsidRDefault="000739B9">
            <w:pPr>
              <w:contextualSpacing/>
              <w:jc w:val="center"/>
              <w:rPr>
                <w:color w:val="000000" w:themeColor="text1"/>
              </w:rPr>
            </w:pPr>
            <w:r w:rsidRPr="00FD6A4F">
              <w:rPr>
                <w:color w:val="000000" w:themeColor="text1"/>
              </w:rPr>
              <w:t>8.57%</w:t>
            </w:r>
          </w:p>
          <w:p w14:paraId="7B7B9CDB" w14:textId="77777777" w:rsidR="000739B9" w:rsidRPr="00FD6A4F" w:rsidRDefault="000739B9">
            <w:pPr>
              <w:contextualSpacing/>
              <w:jc w:val="center"/>
              <w:rPr>
                <w:color w:val="000000" w:themeColor="text1"/>
              </w:rPr>
            </w:pPr>
            <w:r w:rsidRPr="00FD6A4F">
              <w:rPr>
                <w:color w:val="000000" w:themeColor="text1"/>
              </w:rPr>
              <w:t>17.14%</w:t>
            </w:r>
          </w:p>
          <w:p w14:paraId="503D89AD" w14:textId="77777777" w:rsidR="000739B9" w:rsidRPr="00FD6A4F" w:rsidRDefault="000739B9">
            <w:pPr>
              <w:contextualSpacing/>
              <w:jc w:val="center"/>
              <w:rPr>
                <w:color w:val="000000" w:themeColor="text1"/>
              </w:rPr>
            </w:pPr>
            <w:r w:rsidRPr="00FD6A4F">
              <w:rPr>
                <w:color w:val="000000" w:themeColor="text1"/>
              </w:rPr>
              <w:t>11.43%</w:t>
            </w:r>
          </w:p>
          <w:p w14:paraId="63D77F19" w14:textId="77777777" w:rsidR="000739B9" w:rsidRPr="00FD6A4F" w:rsidRDefault="000739B9">
            <w:pPr>
              <w:contextualSpacing/>
              <w:jc w:val="center"/>
              <w:rPr>
                <w:color w:val="000000" w:themeColor="text1"/>
              </w:rPr>
            </w:pPr>
            <w:r w:rsidRPr="00FD6A4F">
              <w:rPr>
                <w:color w:val="000000" w:themeColor="text1"/>
              </w:rPr>
              <w:t>8.57%</w:t>
            </w:r>
          </w:p>
          <w:p w14:paraId="5D33C656" w14:textId="77777777" w:rsidR="000739B9" w:rsidRPr="00FD6A4F" w:rsidRDefault="000739B9">
            <w:pPr>
              <w:contextualSpacing/>
              <w:jc w:val="center"/>
              <w:rPr>
                <w:color w:val="000000" w:themeColor="text1"/>
              </w:rPr>
            </w:pPr>
            <w:r w:rsidRPr="00FD6A4F">
              <w:rPr>
                <w:color w:val="000000" w:themeColor="text1"/>
              </w:rPr>
              <w:t>20.00%</w:t>
            </w:r>
          </w:p>
          <w:p w14:paraId="264CAC6F" w14:textId="77777777" w:rsidR="000739B9" w:rsidRPr="00FD6A4F" w:rsidRDefault="000739B9">
            <w:pPr>
              <w:contextualSpacing/>
              <w:jc w:val="center"/>
              <w:rPr>
                <w:color w:val="000000" w:themeColor="text1"/>
              </w:rPr>
            </w:pPr>
            <w:r w:rsidRPr="00FD6A4F">
              <w:rPr>
                <w:color w:val="000000" w:themeColor="text1"/>
              </w:rPr>
              <w:t>11.43%</w:t>
            </w:r>
          </w:p>
        </w:tc>
        <w:tc>
          <w:tcPr>
            <w:tcW w:w="2523" w:type="dxa"/>
          </w:tcPr>
          <w:p w14:paraId="667FD3F9" w14:textId="77777777" w:rsidR="000739B9" w:rsidRPr="00FD6A4F" w:rsidRDefault="000739B9">
            <w:pPr>
              <w:contextualSpacing/>
              <w:jc w:val="center"/>
              <w:rPr>
                <w:color w:val="000000" w:themeColor="text1"/>
              </w:rPr>
            </w:pPr>
            <w:r w:rsidRPr="00FD6A4F">
              <w:rPr>
                <w:color w:val="000000" w:themeColor="text1"/>
              </w:rPr>
              <w:sym w:font="Symbol" w:char="F063"/>
            </w:r>
            <w:r w:rsidRPr="00FD6A4F">
              <w:rPr>
                <w:color w:val="000000" w:themeColor="text1"/>
                <w:vertAlign w:val="superscript"/>
              </w:rPr>
              <w:t>2</w:t>
            </w:r>
            <w:r w:rsidRPr="00FD6A4F">
              <w:rPr>
                <w:color w:val="000000" w:themeColor="text1"/>
              </w:rPr>
              <w:t xml:space="preserve">(6) = 2.75, </w:t>
            </w:r>
            <w:r w:rsidRPr="00FD6A4F">
              <w:rPr>
                <w:i/>
                <w:iCs/>
                <w:color w:val="000000" w:themeColor="text1"/>
              </w:rPr>
              <w:t>p</w:t>
            </w:r>
            <w:r w:rsidRPr="00FD6A4F">
              <w:rPr>
                <w:color w:val="000000" w:themeColor="text1"/>
              </w:rPr>
              <w:t xml:space="preserve"> = .84</w:t>
            </w:r>
          </w:p>
        </w:tc>
      </w:tr>
      <w:tr w:rsidR="000739B9" w:rsidRPr="00FD6A4F" w14:paraId="4AF73C6C" w14:textId="77777777">
        <w:trPr>
          <w:trHeight w:val="326"/>
        </w:trPr>
        <w:tc>
          <w:tcPr>
            <w:tcW w:w="2237" w:type="dxa"/>
          </w:tcPr>
          <w:p w14:paraId="35019EA9" w14:textId="77777777" w:rsidR="000739B9" w:rsidRPr="00FD6A4F" w:rsidRDefault="000739B9">
            <w:pPr>
              <w:contextualSpacing/>
              <w:rPr>
                <w:color w:val="000000" w:themeColor="text1"/>
              </w:rPr>
            </w:pPr>
            <w:r w:rsidRPr="00FD6A4F">
              <w:rPr>
                <w:color w:val="000000" w:themeColor="text1"/>
              </w:rPr>
              <w:t>Employment status</w:t>
            </w:r>
          </w:p>
          <w:p w14:paraId="1A30927D" w14:textId="77777777" w:rsidR="000739B9" w:rsidRPr="00FD6A4F" w:rsidRDefault="000739B9">
            <w:pPr>
              <w:ind w:left="340"/>
              <w:contextualSpacing/>
              <w:rPr>
                <w:color w:val="000000" w:themeColor="text1"/>
              </w:rPr>
            </w:pPr>
            <w:r w:rsidRPr="00FD6A4F">
              <w:rPr>
                <w:color w:val="000000" w:themeColor="text1"/>
              </w:rPr>
              <w:t>Working full-time</w:t>
            </w:r>
          </w:p>
          <w:p w14:paraId="547077C3" w14:textId="77777777" w:rsidR="000739B9" w:rsidRPr="00FD6A4F" w:rsidRDefault="000739B9">
            <w:pPr>
              <w:ind w:left="340"/>
              <w:contextualSpacing/>
              <w:rPr>
                <w:color w:val="000000" w:themeColor="text1"/>
              </w:rPr>
            </w:pPr>
            <w:r w:rsidRPr="00FD6A4F">
              <w:rPr>
                <w:color w:val="000000" w:themeColor="text1"/>
              </w:rPr>
              <w:t>Working part-time</w:t>
            </w:r>
          </w:p>
          <w:p w14:paraId="79AF5013" w14:textId="77777777" w:rsidR="000739B9" w:rsidRPr="00FD6A4F" w:rsidRDefault="000739B9">
            <w:pPr>
              <w:ind w:left="340"/>
              <w:contextualSpacing/>
              <w:rPr>
                <w:color w:val="000000" w:themeColor="text1"/>
              </w:rPr>
            </w:pPr>
            <w:r w:rsidRPr="00FD6A4F">
              <w:rPr>
                <w:color w:val="000000" w:themeColor="text1"/>
              </w:rPr>
              <w:t>Retired</w:t>
            </w:r>
          </w:p>
          <w:p w14:paraId="559FD9BE" w14:textId="77777777" w:rsidR="000739B9" w:rsidRPr="00FD6A4F" w:rsidRDefault="000739B9">
            <w:pPr>
              <w:ind w:left="340"/>
              <w:contextualSpacing/>
              <w:rPr>
                <w:color w:val="000000" w:themeColor="text1"/>
              </w:rPr>
            </w:pPr>
            <w:r w:rsidRPr="00FD6A4F">
              <w:rPr>
                <w:color w:val="000000" w:themeColor="text1"/>
              </w:rPr>
              <w:t>Unemployed</w:t>
            </w:r>
          </w:p>
          <w:p w14:paraId="70713D24" w14:textId="77777777" w:rsidR="000739B9" w:rsidRPr="00FD6A4F" w:rsidRDefault="000739B9">
            <w:pPr>
              <w:ind w:left="340"/>
              <w:contextualSpacing/>
              <w:rPr>
                <w:color w:val="000000" w:themeColor="text1"/>
              </w:rPr>
            </w:pPr>
            <w:r w:rsidRPr="00FD6A4F">
              <w:rPr>
                <w:color w:val="000000" w:themeColor="text1"/>
              </w:rPr>
              <w:t>Student</w:t>
            </w:r>
          </w:p>
          <w:p w14:paraId="4343763B" w14:textId="77777777" w:rsidR="000739B9" w:rsidRPr="00FD6A4F" w:rsidRDefault="000739B9">
            <w:pPr>
              <w:ind w:left="340"/>
              <w:contextualSpacing/>
              <w:rPr>
                <w:color w:val="000000" w:themeColor="text1"/>
              </w:rPr>
            </w:pPr>
            <w:r w:rsidRPr="00FD6A4F">
              <w:rPr>
                <w:color w:val="000000" w:themeColor="text1"/>
              </w:rPr>
              <w:t>Other</w:t>
            </w:r>
          </w:p>
        </w:tc>
        <w:tc>
          <w:tcPr>
            <w:tcW w:w="2497" w:type="dxa"/>
          </w:tcPr>
          <w:p w14:paraId="0E1B7B7F" w14:textId="77777777" w:rsidR="000739B9" w:rsidRPr="00FD6A4F" w:rsidRDefault="000739B9">
            <w:pPr>
              <w:contextualSpacing/>
              <w:jc w:val="center"/>
              <w:rPr>
                <w:color w:val="000000" w:themeColor="text1"/>
              </w:rPr>
            </w:pPr>
          </w:p>
          <w:p w14:paraId="4F5D643E" w14:textId="77777777" w:rsidR="000739B9" w:rsidRPr="00FD6A4F" w:rsidRDefault="000739B9">
            <w:pPr>
              <w:contextualSpacing/>
              <w:jc w:val="center"/>
              <w:rPr>
                <w:color w:val="000000" w:themeColor="text1"/>
              </w:rPr>
            </w:pPr>
            <w:r w:rsidRPr="00FD6A4F">
              <w:rPr>
                <w:color w:val="000000" w:themeColor="text1"/>
              </w:rPr>
              <w:t>34.21%</w:t>
            </w:r>
          </w:p>
          <w:p w14:paraId="4CDB85B3" w14:textId="77777777" w:rsidR="000739B9" w:rsidRPr="00FD6A4F" w:rsidRDefault="000739B9">
            <w:pPr>
              <w:contextualSpacing/>
              <w:jc w:val="center"/>
              <w:rPr>
                <w:color w:val="000000" w:themeColor="text1"/>
              </w:rPr>
            </w:pPr>
          </w:p>
          <w:p w14:paraId="1CA50271" w14:textId="77777777" w:rsidR="000739B9" w:rsidRPr="00FD6A4F" w:rsidRDefault="000739B9">
            <w:pPr>
              <w:contextualSpacing/>
              <w:jc w:val="center"/>
              <w:rPr>
                <w:color w:val="000000" w:themeColor="text1"/>
              </w:rPr>
            </w:pPr>
            <w:r w:rsidRPr="00FD6A4F">
              <w:rPr>
                <w:color w:val="000000" w:themeColor="text1"/>
              </w:rPr>
              <w:t>13.16%</w:t>
            </w:r>
          </w:p>
          <w:p w14:paraId="015B5770" w14:textId="77777777" w:rsidR="000739B9" w:rsidRPr="00FD6A4F" w:rsidRDefault="000739B9">
            <w:pPr>
              <w:contextualSpacing/>
              <w:jc w:val="center"/>
              <w:rPr>
                <w:color w:val="000000" w:themeColor="text1"/>
              </w:rPr>
            </w:pPr>
          </w:p>
          <w:p w14:paraId="28360183" w14:textId="77777777" w:rsidR="000739B9" w:rsidRPr="00FD6A4F" w:rsidRDefault="000739B9">
            <w:pPr>
              <w:contextualSpacing/>
              <w:jc w:val="center"/>
              <w:rPr>
                <w:color w:val="000000" w:themeColor="text1"/>
              </w:rPr>
            </w:pPr>
            <w:r w:rsidRPr="00FD6A4F">
              <w:rPr>
                <w:color w:val="000000" w:themeColor="text1"/>
              </w:rPr>
              <w:t>15.79%</w:t>
            </w:r>
          </w:p>
          <w:p w14:paraId="3AE4BD4E" w14:textId="77777777" w:rsidR="000739B9" w:rsidRPr="00FD6A4F" w:rsidRDefault="000739B9">
            <w:pPr>
              <w:contextualSpacing/>
              <w:jc w:val="center"/>
              <w:rPr>
                <w:color w:val="000000" w:themeColor="text1"/>
              </w:rPr>
            </w:pPr>
            <w:r w:rsidRPr="00FD6A4F">
              <w:rPr>
                <w:color w:val="000000" w:themeColor="text1"/>
              </w:rPr>
              <w:t>10.53%</w:t>
            </w:r>
          </w:p>
          <w:p w14:paraId="743F3FF3" w14:textId="77777777" w:rsidR="000739B9" w:rsidRPr="00FD6A4F" w:rsidRDefault="000739B9">
            <w:pPr>
              <w:contextualSpacing/>
              <w:jc w:val="center"/>
              <w:rPr>
                <w:color w:val="000000" w:themeColor="text1"/>
              </w:rPr>
            </w:pPr>
            <w:r w:rsidRPr="00FD6A4F">
              <w:rPr>
                <w:color w:val="000000" w:themeColor="text1"/>
              </w:rPr>
              <w:t>10.53%</w:t>
            </w:r>
          </w:p>
          <w:p w14:paraId="398530EF" w14:textId="77777777" w:rsidR="000739B9" w:rsidRPr="00FD6A4F" w:rsidRDefault="000739B9">
            <w:pPr>
              <w:contextualSpacing/>
              <w:jc w:val="center"/>
              <w:rPr>
                <w:color w:val="000000" w:themeColor="text1"/>
              </w:rPr>
            </w:pPr>
            <w:r w:rsidRPr="00FD6A4F">
              <w:rPr>
                <w:color w:val="000000" w:themeColor="text1"/>
              </w:rPr>
              <w:t>15.79%</w:t>
            </w:r>
          </w:p>
        </w:tc>
        <w:tc>
          <w:tcPr>
            <w:tcW w:w="2497" w:type="dxa"/>
          </w:tcPr>
          <w:p w14:paraId="45B30AC7" w14:textId="77777777" w:rsidR="000739B9" w:rsidRPr="00FD6A4F" w:rsidRDefault="000739B9">
            <w:pPr>
              <w:contextualSpacing/>
              <w:jc w:val="center"/>
              <w:rPr>
                <w:color w:val="000000" w:themeColor="text1"/>
              </w:rPr>
            </w:pPr>
          </w:p>
          <w:p w14:paraId="00B158DA" w14:textId="77777777" w:rsidR="000739B9" w:rsidRPr="00FD6A4F" w:rsidRDefault="000739B9">
            <w:pPr>
              <w:contextualSpacing/>
              <w:jc w:val="center"/>
              <w:rPr>
                <w:color w:val="000000" w:themeColor="text1"/>
              </w:rPr>
            </w:pPr>
            <w:r w:rsidRPr="00FD6A4F">
              <w:rPr>
                <w:color w:val="000000" w:themeColor="text1"/>
              </w:rPr>
              <w:t>34.29%</w:t>
            </w:r>
          </w:p>
          <w:p w14:paraId="2EAA4D88" w14:textId="77777777" w:rsidR="000739B9" w:rsidRPr="00FD6A4F" w:rsidRDefault="000739B9">
            <w:pPr>
              <w:contextualSpacing/>
              <w:jc w:val="center"/>
              <w:rPr>
                <w:color w:val="000000" w:themeColor="text1"/>
              </w:rPr>
            </w:pPr>
          </w:p>
          <w:p w14:paraId="566D25EF" w14:textId="77777777" w:rsidR="000739B9" w:rsidRPr="00FD6A4F" w:rsidRDefault="000739B9">
            <w:pPr>
              <w:contextualSpacing/>
              <w:jc w:val="center"/>
              <w:rPr>
                <w:color w:val="000000" w:themeColor="text1"/>
              </w:rPr>
            </w:pPr>
            <w:r w:rsidRPr="00FD6A4F">
              <w:rPr>
                <w:color w:val="000000" w:themeColor="text1"/>
              </w:rPr>
              <w:t>20.00%</w:t>
            </w:r>
          </w:p>
          <w:p w14:paraId="34552AC3" w14:textId="77777777" w:rsidR="000739B9" w:rsidRPr="00FD6A4F" w:rsidRDefault="000739B9">
            <w:pPr>
              <w:contextualSpacing/>
              <w:jc w:val="center"/>
              <w:rPr>
                <w:color w:val="000000" w:themeColor="text1"/>
              </w:rPr>
            </w:pPr>
          </w:p>
          <w:p w14:paraId="42565068" w14:textId="77777777" w:rsidR="000739B9" w:rsidRPr="00FD6A4F" w:rsidRDefault="000739B9">
            <w:pPr>
              <w:contextualSpacing/>
              <w:jc w:val="center"/>
              <w:rPr>
                <w:color w:val="000000" w:themeColor="text1"/>
              </w:rPr>
            </w:pPr>
            <w:r w:rsidRPr="00FD6A4F">
              <w:rPr>
                <w:color w:val="000000" w:themeColor="text1"/>
              </w:rPr>
              <w:t>5.71%</w:t>
            </w:r>
          </w:p>
          <w:p w14:paraId="04579042" w14:textId="77777777" w:rsidR="000739B9" w:rsidRPr="00FD6A4F" w:rsidRDefault="000739B9">
            <w:pPr>
              <w:contextualSpacing/>
              <w:jc w:val="center"/>
              <w:rPr>
                <w:color w:val="000000" w:themeColor="text1"/>
              </w:rPr>
            </w:pPr>
            <w:r w:rsidRPr="00FD6A4F">
              <w:rPr>
                <w:color w:val="000000" w:themeColor="text1"/>
              </w:rPr>
              <w:t>22.86%</w:t>
            </w:r>
          </w:p>
          <w:p w14:paraId="2E45EBBA" w14:textId="77777777" w:rsidR="000739B9" w:rsidRPr="00FD6A4F" w:rsidRDefault="000739B9">
            <w:pPr>
              <w:contextualSpacing/>
              <w:jc w:val="center"/>
              <w:rPr>
                <w:color w:val="000000" w:themeColor="text1"/>
              </w:rPr>
            </w:pPr>
            <w:r w:rsidRPr="00FD6A4F">
              <w:rPr>
                <w:color w:val="000000" w:themeColor="text1"/>
              </w:rPr>
              <w:t>2.86%</w:t>
            </w:r>
          </w:p>
          <w:p w14:paraId="4B70F771" w14:textId="77777777" w:rsidR="000739B9" w:rsidRPr="00FD6A4F" w:rsidRDefault="000739B9">
            <w:pPr>
              <w:contextualSpacing/>
              <w:jc w:val="center"/>
              <w:rPr>
                <w:color w:val="000000" w:themeColor="text1"/>
              </w:rPr>
            </w:pPr>
            <w:r w:rsidRPr="00FD6A4F">
              <w:rPr>
                <w:color w:val="000000" w:themeColor="text1"/>
              </w:rPr>
              <w:t>14.29%</w:t>
            </w:r>
          </w:p>
        </w:tc>
        <w:tc>
          <w:tcPr>
            <w:tcW w:w="2523" w:type="dxa"/>
          </w:tcPr>
          <w:p w14:paraId="47D17EB8" w14:textId="77777777" w:rsidR="000739B9" w:rsidRPr="00FD6A4F" w:rsidRDefault="000739B9">
            <w:pPr>
              <w:contextualSpacing/>
              <w:jc w:val="center"/>
              <w:rPr>
                <w:color w:val="000000" w:themeColor="text1"/>
              </w:rPr>
            </w:pPr>
            <w:r w:rsidRPr="00FD6A4F">
              <w:rPr>
                <w:color w:val="000000" w:themeColor="text1"/>
              </w:rPr>
              <w:sym w:font="Symbol" w:char="F063"/>
            </w:r>
            <w:r w:rsidRPr="00FD6A4F">
              <w:rPr>
                <w:color w:val="000000" w:themeColor="text1"/>
                <w:vertAlign w:val="superscript"/>
              </w:rPr>
              <w:t>2</w:t>
            </w:r>
            <w:r w:rsidRPr="00FD6A4F">
              <w:rPr>
                <w:color w:val="000000" w:themeColor="text1"/>
              </w:rPr>
              <w:t xml:space="preserve">(5) = 5.48, </w:t>
            </w:r>
            <w:r w:rsidRPr="00FD6A4F">
              <w:rPr>
                <w:i/>
                <w:iCs/>
                <w:color w:val="000000" w:themeColor="text1"/>
              </w:rPr>
              <w:t>p</w:t>
            </w:r>
            <w:r w:rsidRPr="00FD6A4F">
              <w:rPr>
                <w:color w:val="000000" w:themeColor="text1"/>
              </w:rPr>
              <w:t xml:space="preserve"> = .36</w:t>
            </w:r>
          </w:p>
        </w:tc>
      </w:tr>
      <w:tr w:rsidR="000739B9" w:rsidRPr="00FD6A4F" w14:paraId="73541E98" w14:textId="77777777">
        <w:trPr>
          <w:trHeight w:val="326"/>
        </w:trPr>
        <w:tc>
          <w:tcPr>
            <w:tcW w:w="2237" w:type="dxa"/>
            <w:tcBorders>
              <w:bottom w:val="single" w:sz="4" w:space="0" w:color="auto"/>
            </w:tcBorders>
          </w:tcPr>
          <w:p w14:paraId="09D5E470" w14:textId="77777777" w:rsidR="000739B9" w:rsidRPr="00FD6A4F" w:rsidRDefault="000739B9">
            <w:pPr>
              <w:contextualSpacing/>
              <w:rPr>
                <w:color w:val="000000" w:themeColor="text1"/>
              </w:rPr>
            </w:pPr>
            <w:r w:rsidRPr="00FD6A4F">
              <w:rPr>
                <w:color w:val="000000" w:themeColor="text1"/>
              </w:rPr>
              <w:t>COVID impact</w:t>
            </w:r>
          </w:p>
        </w:tc>
        <w:tc>
          <w:tcPr>
            <w:tcW w:w="2497" w:type="dxa"/>
            <w:tcBorders>
              <w:bottom w:val="single" w:sz="4" w:space="0" w:color="auto"/>
            </w:tcBorders>
          </w:tcPr>
          <w:p w14:paraId="6DA9510F" w14:textId="77777777" w:rsidR="000739B9" w:rsidRPr="00FD6A4F" w:rsidRDefault="000739B9">
            <w:pPr>
              <w:contextualSpacing/>
              <w:jc w:val="center"/>
              <w:rPr>
                <w:color w:val="000000" w:themeColor="text1"/>
              </w:rPr>
            </w:pPr>
            <w:r w:rsidRPr="00FD6A4F">
              <w:rPr>
                <w:color w:val="000000" w:themeColor="text1"/>
              </w:rPr>
              <w:t>5.71 (1.47)</w:t>
            </w:r>
          </w:p>
        </w:tc>
        <w:tc>
          <w:tcPr>
            <w:tcW w:w="2497" w:type="dxa"/>
            <w:tcBorders>
              <w:bottom w:val="single" w:sz="4" w:space="0" w:color="auto"/>
            </w:tcBorders>
          </w:tcPr>
          <w:p w14:paraId="1397AB61" w14:textId="77777777" w:rsidR="000739B9" w:rsidRPr="00FD6A4F" w:rsidRDefault="000739B9">
            <w:pPr>
              <w:contextualSpacing/>
              <w:jc w:val="center"/>
              <w:rPr>
                <w:color w:val="000000" w:themeColor="text1"/>
              </w:rPr>
            </w:pPr>
            <w:r w:rsidRPr="00FD6A4F">
              <w:rPr>
                <w:color w:val="000000" w:themeColor="text1"/>
              </w:rPr>
              <w:t>5.24 (1.68)</w:t>
            </w:r>
          </w:p>
        </w:tc>
        <w:tc>
          <w:tcPr>
            <w:tcW w:w="2523" w:type="dxa"/>
            <w:tcBorders>
              <w:bottom w:val="single" w:sz="4" w:space="0" w:color="auto"/>
            </w:tcBorders>
          </w:tcPr>
          <w:p w14:paraId="3C9676B0" w14:textId="77777777" w:rsidR="000739B9" w:rsidRPr="00FD6A4F" w:rsidRDefault="000739B9">
            <w:pPr>
              <w:contextualSpacing/>
              <w:jc w:val="center"/>
              <w:rPr>
                <w:color w:val="000000" w:themeColor="text1"/>
              </w:rPr>
            </w:pPr>
            <w:proofErr w:type="gramStart"/>
            <w:r w:rsidRPr="00FD6A4F">
              <w:rPr>
                <w:i/>
                <w:iCs/>
                <w:color w:val="000000" w:themeColor="text1"/>
              </w:rPr>
              <w:t>t</w:t>
            </w:r>
            <w:r w:rsidRPr="00FD6A4F">
              <w:rPr>
                <w:color w:val="000000" w:themeColor="text1"/>
              </w:rPr>
              <w:t>(</w:t>
            </w:r>
            <w:proofErr w:type="gramEnd"/>
            <w:r w:rsidRPr="00FD6A4F">
              <w:rPr>
                <w:color w:val="000000" w:themeColor="text1"/>
              </w:rPr>
              <w:t xml:space="preserve">63.3) = -1.00, </w:t>
            </w:r>
            <w:r w:rsidRPr="00FD6A4F">
              <w:rPr>
                <w:i/>
                <w:iCs/>
                <w:color w:val="000000" w:themeColor="text1"/>
              </w:rPr>
              <w:t>p</w:t>
            </w:r>
            <w:r w:rsidRPr="00FD6A4F">
              <w:rPr>
                <w:color w:val="000000" w:themeColor="text1"/>
              </w:rPr>
              <w:t xml:space="preserve"> = .23</w:t>
            </w:r>
          </w:p>
        </w:tc>
      </w:tr>
    </w:tbl>
    <w:p w14:paraId="7D269331" w14:textId="2C60A0BC" w:rsidR="000739B9" w:rsidRDefault="000739B9" w:rsidP="000739B9">
      <w:pPr>
        <w:rPr>
          <w:b/>
        </w:rPr>
      </w:pPr>
    </w:p>
    <w:p w14:paraId="34464266" w14:textId="0D1F74A7" w:rsidR="000739B9" w:rsidRDefault="000739B9" w:rsidP="000739B9">
      <w:pPr>
        <w:widowControl w:val="0"/>
        <w:autoSpaceDE w:val="0"/>
        <w:autoSpaceDN w:val="0"/>
        <w:adjustRightInd w:val="0"/>
        <w:spacing w:line="480" w:lineRule="auto"/>
        <w:ind w:left="480" w:hanging="480"/>
        <w:rPr>
          <w:b/>
          <w:bCs/>
          <w:i/>
          <w:iCs/>
          <w:color w:val="000000" w:themeColor="text1"/>
        </w:rPr>
      </w:pPr>
      <w:r w:rsidRPr="00FD6A4F">
        <w:rPr>
          <w:b/>
          <w:bCs/>
          <w:color w:val="000000" w:themeColor="text1"/>
        </w:rPr>
        <w:t xml:space="preserve">Table </w:t>
      </w:r>
      <w:r>
        <w:rPr>
          <w:b/>
          <w:bCs/>
          <w:color w:val="000000" w:themeColor="text1"/>
        </w:rPr>
        <w:t>1</w:t>
      </w:r>
      <w:r>
        <w:rPr>
          <w:color w:val="000000" w:themeColor="text1"/>
        </w:rPr>
        <w:t xml:space="preserve">. </w:t>
      </w:r>
      <w:r w:rsidRPr="00FD6A4F">
        <w:rPr>
          <w:b/>
          <w:bCs/>
          <w:i/>
          <w:iCs/>
          <w:color w:val="000000" w:themeColor="text1"/>
        </w:rPr>
        <w:t>Participant Demographics by Group at Baseline</w:t>
      </w:r>
    </w:p>
    <w:p w14:paraId="79527AEC" w14:textId="77777777" w:rsidR="006374C8" w:rsidRDefault="006374C8" w:rsidP="006374C8">
      <w:pPr>
        <w:rPr>
          <w:color w:val="000000" w:themeColor="text1"/>
        </w:rPr>
      </w:pPr>
      <w:r w:rsidRPr="00FD6A4F">
        <w:rPr>
          <w:noProof/>
          <w:color w:val="000000" w:themeColor="text1"/>
        </w:rPr>
        <w:lastRenderedPageBreak/>
        <w:drawing>
          <wp:inline distT="0" distB="0" distL="0" distR="0" wp14:anchorId="53FA2C3A" wp14:editId="4A6BE786">
            <wp:extent cx="5365819" cy="6833553"/>
            <wp:effectExtent l="0" t="0" r="63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8">
                      <a:extLst>
                        <a:ext uri="{28A0092B-C50C-407E-A947-70E740481C1C}">
                          <a14:useLocalDpi xmlns:a14="http://schemas.microsoft.com/office/drawing/2010/main" val="0"/>
                        </a:ext>
                      </a:extLst>
                    </a:blip>
                    <a:srcRect l="3846" t="2335" r="5121" b="10714"/>
                    <a:stretch/>
                  </pic:blipFill>
                  <pic:spPr bwMode="auto">
                    <a:xfrm>
                      <a:off x="0" y="0"/>
                      <a:ext cx="5365819" cy="6833553"/>
                    </a:xfrm>
                    <a:prstGeom prst="rect">
                      <a:avLst/>
                    </a:prstGeom>
                    <a:ln>
                      <a:noFill/>
                    </a:ln>
                    <a:extLst>
                      <a:ext uri="{53640926-AAD7-44D8-BBD7-CCE9431645EC}">
                        <a14:shadowObscured xmlns:a14="http://schemas.microsoft.com/office/drawing/2010/main"/>
                      </a:ext>
                    </a:extLst>
                  </pic:spPr>
                </pic:pic>
              </a:graphicData>
            </a:graphic>
          </wp:inline>
        </w:drawing>
      </w:r>
    </w:p>
    <w:p w14:paraId="097D52AA" w14:textId="77777777" w:rsidR="006374C8" w:rsidRDefault="006374C8" w:rsidP="006374C8">
      <w:pPr>
        <w:rPr>
          <w:b/>
          <w:bCs/>
          <w:color w:val="000000" w:themeColor="text1"/>
        </w:rPr>
      </w:pPr>
      <w:r w:rsidRPr="00FD6A4F">
        <w:rPr>
          <w:b/>
          <w:bCs/>
          <w:color w:val="000000" w:themeColor="text1"/>
        </w:rPr>
        <w:t>Figure 1</w:t>
      </w:r>
      <w:r>
        <w:rPr>
          <w:b/>
          <w:bCs/>
          <w:color w:val="000000" w:themeColor="text1"/>
        </w:rPr>
        <w:t xml:space="preserve">. </w:t>
      </w:r>
      <w:r w:rsidRPr="006374C8">
        <w:rPr>
          <w:b/>
          <w:bCs/>
          <w:i/>
          <w:iCs/>
          <w:color w:val="000000" w:themeColor="text1"/>
        </w:rPr>
        <w:t>Diagram of Study Enrollment</w:t>
      </w:r>
      <w:r w:rsidRPr="00FD6A4F">
        <w:rPr>
          <w:i/>
          <w:iCs/>
          <w:color w:val="000000" w:themeColor="text1"/>
        </w:rPr>
        <w:t xml:space="preserve"> </w:t>
      </w:r>
    </w:p>
    <w:p w14:paraId="4891B5FB" w14:textId="77777777" w:rsidR="006374C8" w:rsidRDefault="006374C8" w:rsidP="006374C8">
      <w:pPr>
        <w:rPr>
          <w:b/>
          <w:bCs/>
          <w:color w:val="000000" w:themeColor="text1"/>
        </w:rPr>
      </w:pPr>
    </w:p>
    <w:p w14:paraId="5A8BE1E3" w14:textId="27D8F091" w:rsidR="00823CD0" w:rsidRPr="006374C8" w:rsidRDefault="00823CD0" w:rsidP="006374C8">
      <w:pPr>
        <w:rPr>
          <w:b/>
          <w:bCs/>
          <w:color w:val="000000" w:themeColor="text1"/>
        </w:rPr>
      </w:pPr>
      <w:r>
        <w:rPr>
          <w:b/>
          <w:bCs/>
        </w:rPr>
        <w:t>Procedures</w:t>
      </w:r>
    </w:p>
    <w:p w14:paraId="0F7D0DBB" w14:textId="77777777" w:rsidR="006374C8" w:rsidRDefault="00823CD0" w:rsidP="00823CD0">
      <w:pPr>
        <w:spacing w:line="480" w:lineRule="auto"/>
      </w:pPr>
      <w:r>
        <w:tab/>
      </w:r>
    </w:p>
    <w:p w14:paraId="4365A26C" w14:textId="4FA57D93" w:rsidR="00823CD0" w:rsidRPr="00D47B30" w:rsidRDefault="006374C8" w:rsidP="00823CD0">
      <w:pPr>
        <w:spacing w:line="480" w:lineRule="auto"/>
      </w:pPr>
      <w:r>
        <w:lastRenderedPageBreak/>
        <w:tab/>
      </w:r>
      <w:r w:rsidR="00823CD0">
        <w:t xml:space="preserve">This study utilized a randomized controlled trial format with </w:t>
      </w:r>
      <w:r w:rsidR="00FE1C15">
        <w:t>parallel conditions and a 1:1 allocation ratio. A</w:t>
      </w:r>
      <w:r w:rsidR="00823CD0">
        <w:t>ll</w:t>
      </w:r>
      <w:r w:rsidR="00FE1C15">
        <w:t xml:space="preserve"> </w:t>
      </w:r>
      <w:r w:rsidR="00823CD0">
        <w:t xml:space="preserve">procedures </w:t>
      </w:r>
      <w:r w:rsidR="00A22AA4">
        <w:t xml:space="preserve">were </w:t>
      </w:r>
      <w:r w:rsidR="00823CD0">
        <w:t xml:space="preserve">approved by the university institutional review board. </w:t>
      </w:r>
      <w:r w:rsidR="009831B2">
        <w:t xml:space="preserve">Study aims and procedures were preregistered at ClinicalTrials.gov (ID# </w:t>
      </w:r>
      <w:r w:rsidR="00460579">
        <w:rPr>
          <w:i/>
          <w:iCs/>
        </w:rPr>
        <w:t>removed for masked review</w:t>
      </w:r>
      <w:r w:rsidR="009831B2">
        <w:t>).</w:t>
      </w:r>
      <w:r w:rsidR="00416B8D">
        <w:t xml:space="preserve"> The only change to study methods after trial registration was the addition of questions regarding the impact of the COVID-19 pandemic.</w:t>
      </w:r>
      <w:r w:rsidR="009831B2">
        <w:t xml:space="preserve"> </w:t>
      </w:r>
      <w:r w:rsidR="00823CD0">
        <w:t xml:space="preserve">All study procedures took place online apart from phone coaching (see Coaching section). Participants first completed a brief </w:t>
      </w:r>
      <w:r w:rsidR="00610C14">
        <w:t xml:space="preserve">automated </w:t>
      </w:r>
      <w:r w:rsidR="00823CD0">
        <w:t>online screening form for inclusion criteria and then, if eligible, provided informed consent and completed the baseline survey. After baseline completion, participants were randomly assigned to use the</w:t>
      </w:r>
      <w:r w:rsidR="0000776A">
        <w:t xml:space="preserve"> </w:t>
      </w:r>
      <w:r w:rsidR="0000776A">
        <w:rPr>
          <w:i/>
          <w:iCs/>
        </w:rPr>
        <w:t xml:space="preserve">Making Space </w:t>
      </w:r>
      <w:r w:rsidR="0000776A">
        <w:t>program (i.e.,</w:t>
      </w:r>
      <w:r w:rsidR="00823CD0">
        <w:t xml:space="preserve"> ACT self-help website and supportive coaching</w:t>
      </w:r>
      <w:r w:rsidR="0000776A">
        <w:t>)</w:t>
      </w:r>
      <w:r w:rsidR="00823CD0">
        <w:t xml:space="preserve"> for the next eight weeks or were placed on a waitlist. </w:t>
      </w:r>
      <w:r w:rsidR="00B57777">
        <w:t xml:space="preserve">Randomization was automated within Qualtrics with blocks of 10. </w:t>
      </w:r>
      <w:r w:rsidR="00823CD0">
        <w:t xml:space="preserve">After the eight weeks, all participants were sent a posttreatment survey and then a final follow-up survey four weeks later. Once the follow-up point was reached, waitlist participants received access to the website. Participants </w:t>
      </w:r>
      <w:r w:rsidR="00A20DC7">
        <w:t>received a $10 USD gift card after completing</w:t>
      </w:r>
      <w:r w:rsidR="00823CD0">
        <w:t xml:space="preserve"> </w:t>
      </w:r>
      <w:r w:rsidR="00A20DC7">
        <w:t xml:space="preserve">each </w:t>
      </w:r>
      <w:r w:rsidR="00823CD0">
        <w:t>of the final two questionnaires</w:t>
      </w:r>
      <w:r w:rsidR="00EC25E6">
        <w:t xml:space="preserve"> (at post-treatment and follow-up)</w:t>
      </w:r>
      <w:r w:rsidR="00823CD0">
        <w:t>.</w:t>
      </w:r>
      <w:r w:rsidR="00303845">
        <w:t xml:space="preserve"> </w:t>
      </w:r>
      <w:r w:rsidR="00BD7B43">
        <w:t xml:space="preserve">No financial incentives were provided for completing the baseline survey or website sessions. </w:t>
      </w:r>
      <w:r w:rsidR="00303845">
        <w:t>Measures were administered at all 3 timepoints unless otherwise noted.</w:t>
      </w:r>
      <w:r w:rsidR="00610C14">
        <w:t xml:space="preserve"> No </w:t>
      </w:r>
      <w:r w:rsidR="00CE30C9">
        <w:t>masking</w:t>
      </w:r>
      <w:r w:rsidR="00610C14">
        <w:t xml:space="preserve"> was employed, and </w:t>
      </w:r>
      <w:r w:rsidR="00AA3748">
        <w:t>outcome</w:t>
      </w:r>
      <w:r w:rsidR="00610C14">
        <w:t xml:space="preserve"> data were collected through online self-report.</w:t>
      </w:r>
      <w:r w:rsidR="00823CD0">
        <w:t xml:space="preserve"> Prior to data analysis, responses were screened for potentially invalid responses (e.g., bots); </w:t>
      </w:r>
      <w:r w:rsidR="00AF2DCD">
        <w:t xml:space="preserve">some </w:t>
      </w:r>
      <w:r w:rsidR="00823CD0">
        <w:t>responses (n = 23) were removed based on suspicious response patterns (e.g., consent lacking a valid signature, completing the study survey in less than five minutes).</w:t>
      </w:r>
      <w:r w:rsidR="00C379AC">
        <w:t xml:space="preserve"> Recruitment </w:t>
      </w:r>
      <w:r w:rsidR="00B45FF6">
        <w:t xml:space="preserve">and data collection </w:t>
      </w:r>
      <w:r w:rsidR="00C379AC">
        <w:t>began in February 2020</w:t>
      </w:r>
      <w:r w:rsidR="00B45FF6">
        <w:t>; recruitment ended in</w:t>
      </w:r>
      <w:r w:rsidR="00C379AC">
        <w:t xml:space="preserve"> </w:t>
      </w:r>
      <w:r w:rsidR="00B95543">
        <w:t>August 2020</w:t>
      </w:r>
      <w:r w:rsidR="00EA44F5">
        <w:t xml:space="preserve"> given requisite sample size was met,</w:t>
      </w:r>
      <w:r w:rsidR="00B45FF6">
        <w:t xml:space="preserve"> </w:t>
      </w:r>
      <w:r w:rsidR="00C379AC">
        <w:t>and data collection ended in November 2020.</w:t>
      </w:r>
    </w:p>
    <w:p w14:paraId="2D14E4B9" w14:textId="77777777" w:rsidR="00823CD0" w:rsidRDefault="00823CD0" w:rsidP="00823CD0">
      <w:pPr>
        <w:spacing w:line="480" w:lineRule="auto"/>
        <w:rPr>
          <w:b/>
          <w:bCs/>
        </w:rPr>
      </w:pPr>
      <w:r>
        <w:rPr>
          <w:b/>
          <w:bCs/>
        </w:rPr>
        <w:t>Intervention</w:t>
      </w:r>
    </w:p>
    <w:p w14:paraId="15975EBB" w14:textId="0181B12D" w:rsidR="00823CD0" w:rsidRPr="000F7468" w:rsidRDefault="00823CD0" w:rsidP="00823CD0">
      <w:pPr>
        <w:spacing w:line="480" w:lineRule="auto"/>
      </w:pPr>
      <w:r>
        <w:rPr>
          <w:b/>
          <w:bCs/>
        </w:rPr>
        <w:lastRenderedPageBreak/>
        <w:tab/>
        <w:t xml:space="preserve">Intervention structure. </w:t>
      </w:r>
      <w:r>
        <w:t xml:space="preserve">The self-help website </w:t>
      </w:r>
      <w:r w:rsidR="009967C5">
        <w:t xml:space="preserve">landing page </w:t>
      </w:r>
      <w:r>
        <w:t xml:space="preserve">was hosted on the Weebly platform, and the sessions were hosted through Qualtrics. The website consisted of 16 brief self-help sessions that took approximately 15-20 minutes </w:t>
      </w:r>
      <w:r w:rsidR="006D1444">
        <w:t xml:space="preserve">each </w:t>
      </w:r>
      <w:r>
        <w:t xml:space="preserve">to complete. Sessions were designed to be brief and engaging, ending with clear overviews and session summaries. Within each session, participants were able to select answers in response to various questions or exercises; the selected answers were then piped throughout the session(s) </w:t>
      </w:r>
      <w:r w:rsidRPr="000F7468">
        <w:t xml:space="preserve">to create interactivity and coherence. For example, a participant could identify “I might need this later” as a thought that they fuse with from a list of options. It would then be integrated into </w:t>
      </w:r>
      <w:r>
        <w:t xml:space="preserve">the skills being taught in session, such as a </w:t>
      </w:r>
      <w:proofErr w:type="spellStart"/>
      <w:r>
        <w:t>defusion</w:t>
      </w:r>
      <w:proofErr w:type="spellEnd"/>
      <w:r>
        <w:t xml:space="preserve"> metaphor asking the participant to </w:t>
      </w:r>
      <w:r w:rsidR="006D1444">
        <w:t>imagine</w:t>
      </w:r>
      <w:r>
        <w:t xml:space="preserve"> “I might need this later” as a passenger on a bus they are driving. Some sessions also included audio and/or visual components (e.g., guided meditation recordings). Sessions frequently included existing ACT exercises and metaphors (e.g., the tombstone exercise;</w:t>
      </w:r>
      <w:r w:rsidR="009F5B4E">
        <w:t xml:space="preserve"> </w:t>
      </w:r>
      <w:r w:rsidR="009F5B4E">
        <w:fldChar w:fldCharType="begin" w:fldLock="1"/>
      </w:r>
      <w:r w:rsidR="00052E28">
        <w:instrText>ADDIN CSL_CITATION {"citationItems":[{"id":"ITEM-1","itemData":{"author":[{"dropping-particle":"","family":"Hayes","given":"Steven C.","non-dropping-particle":"","parse-names":false,"suffix":""},{"dropping-particle":"","family":"Strosahl","given":"Kirk","non-dropping-particle":"","parse-names":false,"suffix":""},{"dropping-particle":"","family":"Wilson","given":"Kelly G.","non-dropping-particle":"","parse-names":false,"suffix":""}],"edition":"2nd","id":"ITEM-1","issued":{"date-parts":[["2012"]]},"publisher":"Guilford Press","publisher-place":"New York","title":"Acceptance and commitment therapy: The process and practice of mindful change","type":"book"},"uris":["http://www.mendeley.com/documents/?uuid=d6a54fc4-24c7-4597-a845-da3bb0224b2a"]}],"mendeley":{"formattedCitation":"(Hayes et al., 2012)","manualFormatting":"Hayes et al., 2012)","plainTextFormattedCitation":"(Hayes et al., 2012)","previouslyFormattedCitation":"(Hayes et al., 2012)"},"properties":{"noteIndex":0},"schema":"https://github.com/citation-style-language/schema/raw/master/csl-citation.json"}</w:instrText>
      </w:r>
      <w:r w:rsidR="009F5B4E">
        <w:fldChar w:fldCharType="separate"/>
      </w:r>
      <w:r w:rsidR="009F5B4E" w:rsidRPr="009F5B4E">
        <w:rPr>
          <w:noProof/>
        </w:rPr>
        <w:t>Hayes et al., 2012)</w:t>
      </w:r>
      <w:r w:rsidR="009F5B4E">
        <w:fldChar w:fldCharType="end"/>
      </w:r>
      <w:r>
        <w:t xml:space="preserve"> adapted for hoarding.</w:t>
      </w:r>
      <w:r w:rsidR="00AF69C1">
        <w:t xml:space="preserve"> Some sessions were adapted from transdiagnostic online ACT content that has been previously developed and evaluated </w:t>
      </w:r>
      <w:r w:rsidR="00AF69C1">
        <w:fldChar w:fldCharType="begin" w:fldLock="1"/>
      </w:r>
      <w:r w:rsidR="003B67E0">
        <w:instrText>ADDIN CSL_CITATION {"citationItems":[{"id":"ITEM-1","itemData":{"DOI":"10.1016/j.brat.2020.103557","ISSN":"1873622X","PMID":"32014692","abstract":"This dismantling trial compared the effects of a full online Acceptance and Commitment Therapy (ACT) intervention to the isolated effects of the Open (i.e., acceptance, cognitive defusion) and Engaged (i.e., values, committed action) components of ACT. A sample of 181 distressed college students were randomized to one of four conditions: a 12-session full ACT website (Full), a version targeting the Open components (Open), a version targeting the Engaged components (Engaged), or waitlist. Participants in active conditions were also randomized to receive phone coaching or just email prompts to increase program adherence. All three ACT conditions significantly improved over time relative to the waitlist condition on the primary outcome of mental health symptoms. The Engaged and Full conditions had greater rates of reliable change on the primary outcome relative to waitlist, but not the Open condition. Similarly, only Engaged and Full conditions improved on positive mental health relative to waitlist. The Full condition had greater improvements on a few ACT process measures relative to Engaged and Open conditions, particularly cognitive fusion. Overall, results indicate targeting only the Open components of ACT was somewhat less effective, and that including both the Open and Engaged components led to greater decreases in cognitive fusion.","author":[{"dropping-particle":"","family":"Levin","given":"Michael E","non-dropping-particle":"","parse-names":false,"suffix":""},{"dropping-particle":"","family":"Krafft","given":"Jennifer","non-dropping-particle":"","parse-names":false,"suffix":""},{"dropping-particle":"","family":"Hicks","given":"Elizabeth T.","non-dropping-particle":"","parse-names":false,"suffix":""},{"dropping-particle":"","family":"Pierce","given":"Benjamin","non-dropping-particle":"","parse-names":false,"suffix":""},{"dropping-particle":"","family":"Twohig","given":"Michael P.","non-dropping-particle":"","parse-names":false,"suffix":""}],"container-title":"Behaviour Research and Therapy","id":"ITEM-1","issue":"January","issued":{"date-parts":[["2020"]]},"page":"103557","publisher":"Elsevier","title":"A randomized dismantling trial of the open and engaged components of acceptance and commitment therapy in an online intervention for distressed college students","type":"article-journal","volume":"126"},"uris":["http://www.mendeley.com/documents/?uuid=5b99ad1b-4d1e-4d57-93d9-59b8627ae97c"]}],"mendeley":{"formattedCitation":"(Levin et al., 2020)","plainTextFormattedCitation":"(Levin et al., 2020)","previouslyFormattedCitation":"(Levin et al., 2020)"},"properties":{"noteIndex":0},"schema":"https://github.com/citation-style-language/schema/raw/master/csl-citation.json"}</w:instrText>
      </w:r>
      <w:r w:rsidR="00AF69C1">
        <w:fldChar w:fldCharType="separate"/>
      </w:r>
      <w:r w:rsidR="00AF69C1" w:rsidRPr="00AF69C1">
        <w:rPr>
          <w:noProof/>
        </w:rPr>
        <w:t>(Levin et al., 2020)</w:t>
      </w:r>
      <w:r w:rsidR="00AF69C1">
        <w:fldChar w:fldCharType="end"/>
      </w:r>
      <w:r w:rsidR="00AF69C1">
        <w:t>.</w:t>
      </w:r>
      <w:r>
        <w:t xml:space="preserve"> At the end of each session, participants were asked to develop a commitment to practice a skill they learned, </w:t>
      </w:r>
      <w:r w:rsidR="009F5B4E">
        <w:t>typically</w:t>
      </w:r>
      <w:r>
        <w:t xml:space="preserve"> in association with their hoarding symptoms</w:t>
      </w:r>
      <w:r w:rsidRPr="000F7468">
        <w:t xml:space="preserve"> (e.g., practicing mindful awareness while discarding an item in Session 10)</w:t>
      </w:r>
      <w:r>
        <w:t>.</w:t>
      </w:r>
    </w:p>
    <w:p w14:paraId="53CB8C32" w14:textId="01BC865D" w:rsidR="000739B9" w:rsidRPr="000739B9" w:rsidRDefault="00823CD0" w:rsidP="000739B9">
      <w:pPr>
        <w:spacing w:line="480" w:lineRule="auto"/>
      </w:pPr>
      <w:r>
        <w:rPr>
          <w:b/>
          <w:bCs/>
        </w:rPr>
        <w:tab/>
        <w:t xml:space="preserve">Session overview. </w:t>
      </w:r>
      <w:r>
        <w:t xml:space="preserve">The start of the program, session one, focused on psychoeducation and improving motivation. Participants also explored their current clutter and acquiring and saving behaviors with a focus on values. Sessions two and three then focused on identifying avoidance and practicing acceptance. Sessions five and six focused on identifying cognitive fusion and practicing </w:t>
      </w:r>
      <w:proofErr w:type="spellStart"/>
      <w:r>
        <w:t>defusion</w:t>
      </w:r>
      <w:proofErr w:type="spellEnd"/>
      <w:r>
        <w:t xml:space="preserve">. Sessions four and seven were aimed at applying ACT skills and concepts to shame and self-stigma to target barriers to treatment engagement and success. Session eight taught self-as-context, teaching participants a new perspective (i.e., the “observer </w:t>
      </w:r>
      <w:r>
        <w:lastRenderedPageBreak/>
        <w:t xml:space="preserve">self”) on their self, internal experiences, and behavior. Sessions nine and ten were </w:t>
      </w:r>
      <w:r w:rsidR="001B5009">
        <w:t>centered</w:t>
      </w:r>
      <w:r>
        <w:t xml:space="preserve"> on mindful awareness; participants practiced mindfulness and applied these concepts to discarding. Session 11 </w:t>
      </w:r>
      <w:r w:rsidR="00FF1A88">
        <w:t>returned</w:t>
      </w:r>
      <w:r>
        <w:t xml:space="preserve"> to values, </w:t>
      </w:r>
      <w:proofErr w:type="gramStart"/>
      <w:r>
        <w:t>similar to</w:t>
      </w:r>
      <w:proofErr w:type="gramEnd"/>
      <w:r>
        <w:t xml:space="preserve"> the concepts in session one. Sessions 12 and 13 then linked these values to specific behaviors via committed action. Sessions 13 and 14 presented a broader perspective by turning the focus to functioning and how psychological flexibility skills can help (as opposed to focusing on HD symptoms specifically). Lastly, session 16 was on relapse prevention; participants reviewed skills, prepared for possible lapses, and created an individualized plan for </w:t>
      </w:r>
      <w:r w:rsidR="00D111C6">
        <w:t>after</w:t>
      </w:r>
      <w:r>
        <w:t xml:space="preserve"> the program. </w:t>
      </w:r>
      <w:r w:rsidR="005B1185">
        <w:t xml:space="preserve">Table </w:t>
      </w:r>
      <w:r w:rsidR="003628F1">
        <w:t>2</w:t>
      </w:r>
      <w:r w:rsidR="005B1185">
        <w:t xml:space="preserve"> provides an overview of session-by-session 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700"/>
        <w:gridCol w:w="5665"/>
      </w:tblGrid>
      <w:tr w:rsidR="000739B9" w:rsidRPr="003628F1" w14:paraId="1A232135" w14:textId="77777777">
        <w:tc>
          <w:tcPr>
            <w:tcW w:w="985" w:type="dxa"/>
            <w:tcBorders>
              <w:top w:val="single" w:sz="4" w:space="0" w:color="auto"/>
              <w:bottom w:val="single" w:sz="4" w:space="0" w:color="auto"/>
            </w:tcBorders>
          </w:tcPr>
          <w:p w14:paraId="42CE3FEB" w14:textId="77777777" w:rsidR="000739B9" w:rsidRPr="003628F1" w:rsidRDefault="000739B9">
            <w:pPr>
              <w:outlineLvl w:val="0"/>
              <w:rPr>
                <w:bCs/>
              </w:rPr>
            </w:pPr>
            <w:r w:rsidRPr="003628F1">
              <w:rPr>
                <w:bCs/>
              </w:rPr>
              <w:t>Session</w:t>
            </w:r>
          </w:p>
        </w:tc>
        <w:tc>
          <w:tcPr>
            <w:tcW w:w="2700" w:type="dxa"/>
            <w:tcBorders>
              <w:top w:val="single" w:sz="4" w:space="0" w:color="auto"/>
              <w:bottom w:val="single" w:sz="4" w:space="0" w:color="auto"/>
            </w:tcBorders>
          </w:tcPr>
          <w:p w14:paraId="7D76F2EF" w14:textId="77777777" w:rsidR="000739B9" w:rsidRPr="003628F1" w:rsidRDefault="000739B9">
            <w:pPr>
              <w:outlineLvl w:val="0"/>
              <w:rPr>
                <w:bCs/>
              </w:rPr>
            </w:pPr>
            <w:r w:rsidRPr="003628F1">
              <w:rPr>
                <w:bCs/>
              </w:rPr>
              <w:t>Description</w:t>
            </w:r>
          </w:p>
        </w:tc>
        <w:tc>
          <w:tcPr>
            <w:tcW w:w="5665" w:type="dxa"/>
            <w:tcBorders>
              <w:top w:val="single" w:sz="4" w:space="0" w:color="auto"/>
              <w:bottom w:val="single" w:sz="4" w:space="0" w:color="auto"/>
            </w:tcBorders>
          </w:tcPr>
          <w:p w14:paraId="5752AF7D" w14:textId="77777777" w:rsidR="000739B9" w:rsidRPr="003628F1" w:rsidRDefault="000739B9">
            <w:pPr>
              <w:outlineLvl w:val="0"/>
              <w:rPr>
                <w:bCs/>
              </w:rPr>
            </w:pPr>
            <w:r w:rsidRPr="003628F1">
              <w:rPr>
                <w:bCs/>
              </w:rPr>
              <w:t>Session Content</w:t>
            </w:r>
          </w:p>
        </w:tc>
      </w:tr>
      <w:tr w:rsidR="000739B9" w:rsidRPr="003628F1" w14:paraId="019767FB" w14:textId="77777777">
        <w:tc>
          <w:tcPr>
            <w:tcW w:w="985" w:type="dxa"/>
            <w:tcBorders>
              <w:top w:val="single" w:sz="4" w:space="0" w:color="auto"/>
            </w:tcBorders>
          </w:tcPr>
          <w:p w14:paraId="50BDBD14" w14:textId="77777777" w:rsidR="000739B9" w:rsidRPr="003628F1" w:rsidRDefault="000739B9">
            <w:pPr>
              <w:outlineLvl w:val="0"/>
              <w:rPr>
                <w:bCs/>
              </w:rPr>
            </w:pPr>
            <w:r w:rsidRPr="003628F1">
              <w:rPr>
                <w:bCs/>
              </w:rPr>
              <w:t>1</w:t>
            </w:r>
          </w:p>
        </w:tc>
        <w:tc>
          <w:tcPr>
            <w:tcW w:w="2700" w:type="dxa"/>
            <w:tcBorders>
              <w:top w:val="single" w:sz="4" w:space="0" w:color="auto"/>
            </w:tcBorders>
          </w:tcPr>
          <w:p w14:paraId="1A0B8567" w14:textId="77777777" w:rsidR="000739B9" w:rsidRPr="003628F1" w:rsidRDefault="000739B9">
            <w:pPr>
              <w:outlineLvl w:val="0"/>
              <w:rPr>
                <w:bCs/>
              </w:rPr>
            </w:pPr>
            <w:r w:rsidRPr="003628F1">
              <w:rPr>
                <w:bCs/>
              </w:rPr>
              <w:t>Psychoeducation and Values</w:t>
            </w:r>
          </w:p>
        </w:tc>
        <w:tc>
          <w:tcPr>
            <w:tcW w:w="5665" w:type="dxa"/>
            <w:tcBorders>
              <w:top w:val="single" w:sz="4" w:space="0" w:color="auto"/>
            </w:tcBorders>
          </w:tcPr>
          <w:p w14:paraId="470991CA" w14:textId="77777777" w:rsidR="000739B9" w:rsidRPr="003628F1" w:rsidRDefault="000739B9">
            <w:pPr>
              <w:pStyle w:val="ListParagraph"/>
              <w:numPr>
                <w:ilvl w:val="0"/>
                <w:numId w:val="5"/>
              </w:numPr>
              <w:outlineLvl w:val="0"/>
              <w:rPr>
                <w:bCs/>
              </w:rPr>
            </w:pPr>
            <w:r w:rsidRPr="003628F1">
              <w:rPr>
                <w:bCs/>
              </w:rPr>
              <w:t>Psychoeducation on hoarding</w:t>
            </w:r>
          </w:p>
          <w:p w14:paraId="552AD643" w14:textId="77777777" w:rsidR="000739B9" w:rsidRPr="003628F1" w:rsidRDefault="000739B9">
            <w:pPr>
              <w:pStyle w:val="ListParagraph"/>
              <w:numPr>
                <w:ilvl w:val="0"/>
                <w:numId w:val="5"/>
              </w:numPr>
              <w:outlineLvl w:val="0"/>
              <w:rPr>
                <w:bCs/>
              </w:rPr>
            </w:pPr>
            <w:r w:rsidRPr="003628F1">
              <w:rPr>
                <w:bCs/>
              </w:rPr>
              <w:t>Reflecting on values and the impact of saving/acquiring on values</w:t>
            </w:r>
          </w:p>
          <w:p w14:paraId="676AA70C" w14:textId="77777777" w:rsidR="000739B9" w:rsidRPr="003628F1" w:rsidRDefault="000739B9">
            <w:pPr>
              <w:pStyle w:val="ListParagraph"/>
              <w:numPr>
                <w:ilvl w:val="0"/>
                <w:numId w:val="5"/>
              </w:numPr>
              <w:outlineLvl w:val="0"/>
              <w:rPr>
                <w:bCs/>
              </w:rPr>
            </w:pPr>
            <w:r w:rsidRPr="003628F1">
              <w:rPr>
                <w:bCs/>
              </w:rPr>
              <w:t>Identifying what is important about participation</w:t>
            </w:r>
          </w:p>
        </w:tc>
      </w:tr>
      <w:tr w:rsidR="000739B9" w:rsidRPr="003628F1" w14:paraId="37221A9F" w14:textId="77777777">
        <w:tc>
          <w:tcPr>
            <w:tcW w:w="985" w:type="dxa"/>
          </w:tcPr>
          <w:p w14:paraId="287CBBE3" w14:textId="77777777" w:rsidR="000739B9" w:rsidRPr="003628F1" w:rsidRDefault="000739B9">
            <w:pPr>
              <w:outlineLvl w:val="0"/>
              <w:rPr>
                <w:bCs/>
              </w:rPr>
            </w:pPr>
            <w:r w:rsidRPr="003628F1">
              <w:rPr>
                <w:bCs/>
              </w:rPr>
              <w:t>2</w:t>
            </w:r>
          </w:p>
        </w:tc>
        <w:tc>
          <w:tcPr>
            <w:tcW w:w="2700" w:type="dxa"/>
          </w:tcPr>
          <w:p w14:paraId="5440B3AE" w14:textId="77777777" w:rsidR="000739B9" w:rsidRPr="003628F1" w:rsidRDefault="000739B9">
            <w:pPr>
              <w:outlineLvl w:val="0"/>
              <w:rPr>
                <w:bCs/>
              </w:rPr>
            </w:pPr>
            <w:r w:rsidRPr="003628F1">
              <w:rPr>
                <w:bCs/>
              </w:rPr>
              <w:t>Noticing Avoidance</w:t>
            </w:r>
          </w:p>
        </w:tc>
        <w:tc>
          <w:tcPr>
            <w:tcW w:w="5665" w:type="dxa"/>
          </w:tcPr>
          <w:p w14:paraId="5139F2BD" w14:textId="77777777" w:rsidR="000739B9" w:rsidRPr="003628F1" w:rsidRDefault="000739B9">
            <w:pPr>
              <w:pStyle w:val="ListParagraph"/>
              <w:numPr>
                <w:ilvl w:val="0"/>
                <w:numId w:val="6"/>
              </w:numPr>
              <w:outlineLvl w:val="0"/>
              <w:rPr>
                <w:bCs/>
              </w:rPr>
            </w:pPr>
            <w:r w:rsidRPr="003628F1">
              <w:rPr>
                <w:bCs/>
              </w:rPr>
              <w:t>Noticing avoidance repertoire in relation to workability</w:t>
            </w:r>
          </w:p>
        </w:tc>
      </w:tr>
      <w:tr w:rsidR="000739B9" w:rsidRPr="003628F1" w14:paraId="56C4727E" w14:textId="77777777">
        <w:tc>
          <w:tcPr>
            <w:tcW w:w="985" w:type="dxa"/>
          </w:tcPr>
          <w:p w14:paraId="3264170F" w14:textId="77777777" w:rsidR="000739B9" w:rsidRPr="003628F1" w:rsidRDefault="000739B9">
            <w:pPr>
              <w:outlineLvl w:val="0"/>
              <w:rPr>
                <w:bCs/>
              </w:rPr>
            </w:pPr>
            <w:r w:rsidRPr="003628F1">
              <w:rPr>
                <w:bCs/>
              </w:rPr>
              <w:t>3</w:t>
            </w:r>
          </w:p>
        </w:tc>
        <w:tc>
          <w:tcPr>
            <w:tcW w:w="2700" w:type="dxa"/>
          </w:tcPr>
          <w:p w14:paraId="44D5775C" w14:textId="77777777" w:rsidR="000739B9" w:rsidRPr="003628F1" w:rsidRDefault="000739B9">
            <w:pPr>
              <w:outlineLvl w:val="0"/>
              <w:rPr>
                <w:bCs/>
              </w:rPr>
            </w:pPr>
            <w:r w:rsidRPr="003628F1">
              <w:rPr>
                <w:bCs/>
              </w:rPr>
              <w:t>Acceptance</w:t>
            </w:r>
          </w:p>
        </w:tc>
        <w:tc>
          <w:tcPr>
            <w:tcW w:w="5665" w:type="dxa"/>
          </w:tcPr>
          <w:p w14:paraId="4C50E740" w14:textId="77777777" w:rsidR="000739B9" w:rsidRPr="003628F1" w:rsidRDefault="000739B9">
            <w:pPr>
              <w:pStyle w:val="ListParagraph"/>
              <w:numPr>
                <w:ilvl w:val="0"/>
                <w:numId w:val="6"/>
              </w:numPr>
              <w:outlineLvl w:val="0"/>
              <w:rPr>
                <w:bCs/>
              </w:rPr>
            </w:pPr>
            <w:r w:rsidRPr="003628F1">
              <w:rPr>
                <w:bCs/>
              </w:rPr>
              <w:t>Teaching acceptance as an alternative to avoidance</w:t>
            </w:r>
          </w:p>
        </w:tc>
      </w:tr>
      <w:tr w:rsidR="000739B9" w:rsidRPr="003628F1" w14:paraId="1D0224C0" w14:textId="77777777">
        <w:tc>
          <w:tcPr>
            <w:tcW w:w="985" w:type="dxa"/>
          </w:tcPr>
          <w:p w14:paraId="4969295C" w14:textId="77777777" w:rsidR="000739B9" w:rsidRPr="003628F1" w:rsidRDefault="000739B9">
            <w:pPr>
              <w:outlineLvl w:val="0"/>
              <w:rPr>
                <w:bCs/>
              </w:rPr>
            </w:pPr>
            <w:r w:rsidRPr="003628F1">
              <w:rPr>
                <w:bCs/>
              </w:rPr>
              <w:t>4</w:t>
            </w:r>
          </w:p>
        </w:tc>
        <w:tc>
          <w:tcPr>
            <w:tcW w:w="2700" w:type="dxa"/>
          </w:tcPr>
          <w:p w14:paraId="6264833D" w14:textId="77777777" w:rsidR="000739B9" w:rsidRPr="003628F1" w:rsidRDefault="000739B9">
            <w:pPr>
              <w:outlineLvl w:val="0"/>
              <w:rPr>
                <w:bCs/>
              </w:rPr>
            </w:pPr>
            <w:r w:rsidRPr="003628F1">
              <w:rPr>
                <w:bCs/>
              </w:rPr>
              <w:t>Acceptance of shame and self-judgment</w:t>
            </w:r>
          </w:p>
        </w:tc>
        <w:tc>
          <w:tcPr>
            <w:tcW w:w="5665" w:type="dxa"/>
          </w:tcPr>
          <w:p w14:paraId="450BACAD" w14:textId="77777777" w:rsidR="000739B9" w:rsidRPr="003628F1" w:rsidRDefault="000739B9">
            <w:pPr>
              <w:pStyle w:val="ListParagraph"/>
              <w:numPr>
                <w:ilvl w:val="0"/>
                <w:numId w:val="6"/>
              </w:numPr>
              <w:outlineLvl w:val="0"/>
              <w:rPr>
                <w:bCs/>
              </w:rPr>
            </w:pPr>
            <w:r w:rsidRPr="003628F1">
              <w:rPr>
                <w:bCs/>
              </w:rPr>
              <w:t>Normalizing shame and self-judgment</w:t>
            </w:r>
          </w:p>
          <w:p w14:paraId="6BEC49CD" w14:textId="77777777" w:rsidR="000739B9" w:rsidRPr="003628F1" w:rsidRDefault="000739B9">
            <w:pPr>
              <w:pStyle w:val="ListParagraph"/>
              <w:numPr>
                <w:ilvl w:val="0"/>
                <w:numId w:val="6"/>
              </w:numPr>
              <w:outlineLvl w:val="0"/>
              <w:rPr>
                <w:bCs/>
              </w:rPr>
            </w:pPr>
            <w:r w:rsidRPr="003628F1">
              <w:rPr>
                <w:bCs/>
              </w:rPr>
              <w:t xml:space="preserve">Reflecting on why avoiding shame doesn’t </w:t>
            </w:r>
            <w:proofErr w:type="gramStart"/>
            <w:r w:rsidRPr="003628F1">
              <w:rPr>
                <w:bCs/>
              </w:rPr>
              <w:t>work</w:t>
            </w:r>
            <w:proofErr w:type="gramEnd"/>
          </w:p>
          <w:p w14:paraId="62D83F52" w14:textId="77777777" w:rsidR="000739B9" w:rsidRPr="003628F1" w:rsidRDefault="000739B9">
            <w:pPr>
              <w:pStyle w:val="ListParagraph"/>
              <w:numPr>
                <w:ilvl w:val="0"/>
                <w:numId w:val="6"/>
              </w:numPr>
              <w:outlineLvl w:val="0"/>
              <w:rPr>
                <w:bCs/>
              </w:rPr>
            </w:pPr>
            <w:r w:rsidRPr="003628F1">
              <w:rPr>
                <w:bCs/>
              </w:rPr>
              <w:t>“Passengers on the bus” metaphor</w:t>
            </w:r>
          </w:p>
        </w:tc>
      </w:tr>
      <w:tr w:rsidR="000739B9" w:rsidRPr="003628F1" w14:paraId="3663CE56" w14:textId="77777777">
        <w:tc>
          <w:tcPr>
            <w:tcW w:w="985" w:type="dxa"/>
          </w:tcPr>
          <w:p w14:paraId="7648AC2B" w14:textId="77777777" w:rsidR="000739B9" w:rsidRPr="003628F1" w:rsidRDefault="000739B9">
            <w:pPr>
              <w:outlineLvl w:val="0"/>
              <w:rPr>
                <w:bCs/>
              </w:rPr>
            </w:pPr>
            <w:r w:rsidRPr="003628F1">
              <w:rPr>
                <w:bCs/>
              </w:rPr>
              <w:t>5</w:t>
            </w:r>
          </w:p>
        </w:tc>
        <w:tc>
          <w:tcPr>
            <w:tcW w:w="2700" w:type="dxa"/>
          </w:tcPr>
          <w:p w14:paraId="5D01E654" w14:textId="77777777" w:rsidR="000739B9" w:rsidRPr="003628F1" w:rsidRDefault="000739B9">
            <w:pPr>
              <w:outlineLvl w:val="0"/>
              <w:rPr>
                <w:bCs/>
              </w:rPr>
            </w:pPr>
            <w:r w:rsidRPr="003628F1">
              <w:rPr>
                <w:bCs/>
              </w:rPr>
              <w:t>Noticing fusion</w:t>
            </w:r>
          </w:p>
        </w:tc>
        <w:tc>
          <w:tcPr>
            <w:tcW w:w="5665" w:type="dxa"/>
          </w:tcPr>
          <w:p w14:paraId="2CEE1655" w14:textId="77777777" w:rsidR="000739B9" w:rsidRPr="003628F1" w:rsidRDefault="000739B9">
            <w:pPr>
              <w:pStyle w:val="ListParagraph"/>
              <w:numPr>
                <w:ilvl w:val="0"/>
                <w:numId w:val="7"/>
              </w:numPr>
              <w:outlineLvl w:val="0"/>
              <w:rPr>
                <w:bCs/>
              </w:rPr>
            </w:pPr>
            <w:r w:rsidRPr="003628F1">
              <w:rPr>
                <w:bCs/>
              </w:rPr>
              <w:t xml:space="preserve">Introducing idea of being hooked by </w:t>
            </w:r>
            <w:proofErr w:type="gramStart"/>
            <w:r w:rsidRPr="003628F1">
              <w:rPr>
                <w:bCs/>
              </w:rPr>
              <w:t>thoughts</w:t>
            </w:r>
            <w:proofErr w:type="gramEnd"/>
          </w:p>
          <w:p w14:paraId="44DB9159" w14:textId="77777777" w:rsidR="000739B9" w:rsidRPr="003628F1" w:rsidRDefault="000739B9">
            <w:pPr>
              <w:pStyle w:val="ListParagraph"/>
              <w:numPr>
                <w:ilvl w:val="0"/>
                <w:numId w:val="7"/>
              </w:numPr>
              <w:outlineLvl w:val="0"/>
              <w:rPr>
                <w:bCs/>
              </w:rPr>
            </w:pPr>
            <w:r w:rsidRPr="003628F1">
              <w:rPr>
                <w:bCs/>
              </w:rPr>
              <w:t>Increasing awareness of what happens when fused and signs you are fused</w:t>
            </w:r>
          </w:p>
        </w:tc>
      </w:tr>
      <w:tr w:rsidR="000739B9" w:rsidRPr="003628F1" w14:paraId="70F2008E" w14:textId="77777777">
        <w:tc>
          <w:tcPr>
            <w:tcW w:w="985" w:type="dxa"/>
          </w:tcPr>
          <w:p w14:paraId="2DEF8C44" w14:textId="77777777" w:rsidR="000739B9" w:rsidRPr="003628F1" w:rsidRDefault="000739B9">
            <w:pPr>
              <w:outlineLvl w:val="0"/>
              <w:rPr>
                <w:bCs/>
              </w:rPr>
            </w:pPr>
            <w:r w:rsidRPr="003628F1">
              <w:rPr>
                <w:bCs/>
              </w:rPr>
              <w:t>6</w:t>
            </w:r>
          </w:p>
        </w:tc>
        <w:tc>
          <w:tcPr>
            <w:tcW w:w="2700" w:type="dxa"/>
          </w:tcPr>
          <w:p w14:paraId="59E4CA11" w14:textId="77777777" w:rsidR="000739B9" w:rsidRPr="003628F1" w:rsidRDefault="000739B9">
            <w:pPr>
              <w:outlineLvl w:val="0"/>
              <w:rPr>
                <w:bCs/>
              </w:rPr>
            </w:pPr>
            <w:proofErr w:type="spellStart"/>
            <w:r w:rsidRPr="003628F1">
              <w:rPr>
                <w:bCs/>
              </w:rPr>
              <w:t>Defusion</w:t>
            </w:r>
            <w:proofErr w:type="spellEnd"/>
          </w:p>
        </w:tc>
        <w:tc>
          <w:tcPr>
            <w:tcW w:w="5665" w:type="dxa"/>
          </w:tcPr>
          <w:p w14:paraId="3928E550" w14:textId="77777777" w:rsidR="000739B9" w:rsidRPr="003628F1" w:rsidRDefault="000739B9">
            <w:pPr>
              <w:pStyle w:val="ListParagraph"/>
              <w:numPr>
                <w:ilvl w:val="0"/>
                <w:numId w:val="8"/>
              </w:numPr>
              <w:outlineLvl w:val="0"/>
              <w:rPr>
                <w:bCs/>
              </w:rPr>
            </w:pPr>
            <w:r w:rsidRPr="003628F1">
              <w:rPr>
                <w:bCs/>
              </w:rPr>
              <w:t>Practicing defusing from thoughts with “Leaves on a stream” and “Labeling” exercises</w:t>
            </w:r>
          </w:p>
        </w:tc>
      </w:tr>
      <w:tr w:rsidR="000739B9" w:rsidRPr="003628F1" w14:paraId="6AF2EEAA" w14:textId="77777777">
        <w:tc>
          <w:tcPr>
            <w:tcW w:w="985" w:type="dxa"/>
          </w:tcPr>
          <w:p w14:paraId="0F0C4744" w14:textId="77777777" w:rsidR="000739B9" w:rsidRPr="003628F1" w:rsidRDefault="000739B9">
            <w:pPr>
              <w:outlineLvl w:val="0"/>
              <w:rPr>
                <w:bCs/>
              </w:rPr>
            </w:pPr>
            <w:r w:rsidRPr="003628F1">
              <w:rPr>
                <w:bCs/>
              </w:rPr>
              <w:t>7</w:t>
            </w:r>
          </w:p>
        </w:tc>
        <w:tc>
          <w:tcPr>
            <w:tcW w:w="2700" w:type="dxa"/>
          </w:tcPr>
          <w:p w14:paraId="6516C2F5" w14:textId="77777777" w:rsidR="000739B9" w:rsidRPr="003628F1" w:rsidRDefault="000739B9">
            <w:pPr>
              <w:outlineLvl w:val="0"/>
              <w:rPr>
                <w:bCs/>
              </w:rPr>
            </w:pPr>
            <w:proofErr w:type="spellStart"/>
            <w:r w:rsidRPr="003628F1">
              <w:rPr>
                <w:bCs/>
              </w:rPr>
              <w:t>Defusion</w:t>
            </w:r>
            <w:proofErr w:type="spellEnd"/>
            <w:r w:rsidRPr="003628F1">
              <w:rPr>
                <w:bCs/>
              </w:rPr>
              <w:t xml:space="preserve"> from self-stigmatizing thoughts</w:t>
            </w:r>
          </w:p>
        </w:tc>
        <w:tc>
          <w:tcPr>
            <w:tcW w:w="5665" w:type="dxa"/>
          </w:tcPr>
          <w:p w14:paraId="3542273E" w14:textId="77777777" w:rsidR="000739B9" w:rsidRPr="003628F1" w:rsidRDefault="000739B9">
            <w:pPr>
              <w:pStyle w:val="ListParagraph"/>
              <w:numPr>
                <w:ilvl w:val="0"/>
                <w:numId w:val="8"/>
              </w:numPr>
              <w:outlineLvl w:val="0"/>
              <w:rPr>
                <w:bCs/>
              </w:rPr>
            </w:pPr>
            <w:r w:rsidRPr="003628F1">
              <w:rPr>
                <w:bCs/>
              </w:rPr>
              <w:t>Normalizing self-judgment</w:t>
            </w:r>
          </w:p>
          <w:p w14:paraId="45E84120" w14:textId="77777777" w:rsidR="000739B9" w:rsidRPr="003628F1" w:rsidRDefault="000739B9">
            <w:pPr>
              <w:pStyle w:val="ListParagraph"/>
              <w:numPr>
                <w:ilvl w:val="0"/>
                <w:numId w:val="8"/>
              </w:numPr>
              <w:outlineLvl w:val="0"/>
              <w:rPr>
                <w:bCs/>
              </w:rPr>
            </w:pPr>
            <w:r w:rsidRPr="003628F1">
              <w:rPr>
                <w:bCs/>
              </w:rPr>
              <w:t>Identifying costs of fusing with self-judgment</w:t>
            </w:r>
          </w:p>
          <w:p w14:paraId="7A174D07" w14:textId="77777777" w:rsidR="000739B9" w:rsidRPr="003628F1" w:rsidRDefault="000739B9">
            <w:pPr>
              <w:pStyle w:val="ListParagraph"/>
              <w:numPr>
                <w:ilvl w:val="0"/>
                <w:numId w:val="8"/>
              </w:numPr>
              <w:outlineLvl w:val="0"/>
              <w:rPr>
                <w:bCs/>
              </w:rPr>
            </w:pPr>
            <w:r w:rsidRPr="003628F1">
              <w:rPr>
                <w:bCs/>
              </w:rPr>
              <w:t>“I can’t walk” exercise</w:t>
            </w:r>
          </w:p>
        </w:tc>
      </w:tr>
      <w:tr w:rsidR="000739B9" w:rsidRPr="003628F1" w14:paraId="2E47334B" w14:textId="77777777">
        <w:tc>
          <w:tcPr>
            <w:tcW w:w="985" w:type="dxa"/>
          </w:tcPr>
          <w:p w14:paraId="04BAE9F8" w14:textId="77777777" w:rsidR="000739B9" w:rsidRPr="003628F1" w:rsidRDefault="000739B9">
            <w:pPr>
              <w:outlineLvl w:val="0"/>
              <w:rPr>
                <w:bCs/>
              </w:rPr>
            </w:pPr>
            <w:r w:rsidRPr="003628F1">
              <w:rPr>
                <w:bCs/>
              </w:rPr>
              <w:t>8</w:t>
            </w:r>
          </w:p>
        </w:tc>
        <w:tc>
          <w:tcPr>
            <w:tcW w:w="2700" w:type="dxa"/>
          </w:tcPr>
          <w:p w14:paraId="11AE8C77" w14:textId="77777777" w:rsidR="000739B9" w:rsidRPr="003628F1" w:rsidRDefault="000739B9">
            <w:pPr>
              <w:outlineLvl w:val="0"/>
              <w:rPr>
                <w:bCs/>
              </w:rPr>
            </w:pPr>
            <w:r w:rsidRPr="003628F1">
              <w:rPr>
                <w:bCs/>
              </w:rPr>
              <w:t>Self-as-context</w:t>
            </w:r>
          </w:p>
        </w:tc>
        <w:tc>
          <w:tcPr>
            <w:tcW w:w="5665" w:type="dxa"/>
          </w:tcPr>
          <w:p w14:paraId="704F5BA3" w14:textId="77777777" w:rsidR="000739B9" w:rsidRPr="003628F1" w:rsidRDefault="000739B9">
            <w:pPr>
              <w:pStyle w:val="ListParagraph"/>
              <w:numPr>
                <w:ilvl w:val="0"/>
                <w:numId w:val="8"/>
              </w:numPr>
              <w:outlineLvl w:val="0"/>
              <w:rPr>
                <w:bCs/>
              </w:rPr>
            </w:pPr>
            <w:r w:rsidRPr="003628F1">
              <w:rPr>
                <w:bCs/>
              </w:rPr>
              <w:t xml:space="preserve">Experiential exercise observing thoughts, feelings, memories, and belongings as “paint on the canvas” of the self, rather than the whole </w:t>
            </w:r>
            <w:proofErr w:type="gramStart"/>
            <w:r w:rsidRPr="003628F1">
              <w:rPr>
                <w:bCs/>
              </w:rPr>
              <w:t>self</w:t>
            </w:r>
            <w:proofErr w:type="gramEnd"/>
          </w:p>
          <w:p w14:paraId="2F7B7513" w14:textId="77777777" w:rsidR="000739B9" w:rsidRPr="003628F1" w:rsidRDefault="000739B9">
            <w:pPr>
              <w:pStyle w:val="ListParagraph"/>
              <w:numPr>
                <w:ilvl w:val="0"/>
                <w:numId w:val="8"/>
              </w:numPr>
              <w:outlineLvl w:val="0"/>
              <w:rPr>
                <w:bCs/>
              </w:rPr>
            </w:pPr>
            <w:r w:rsidRPr="003628F1">
              <w:rPr>
                <w:bCs/>
              </w:rPr>
              <w:t>Audio exercise observing different “selves” over time</w:t>
            </w:r>
          </w:p>
        </w:tc>
      </w:tr>
      <w:tr w:rsidR="000739B9" w:rsidRPr="003628F1" w14:paraId="244E1C3A" w14:textId="77777777">
        <w:tc>
          <w:tcPr>
            <w:tcW w:w="985" w:type="dxa"/>
          </w:tcPr>
          <w:p w14:paraId="7C879278" w14:textId="77777777" w:rsidR="000739B9" w:rsidRPr="003628F1" w:rsidRDefault="000739B9">
            <w:pPr>
              <w:outlineLvl w:val="0"/>
              <w:rPr>
                <w:bCs/>
              </w:rPr>
            </w:pPr>
            <w:r w:rsidRPr="003628F1">
              <w:rPr>
                <w:bCs/>
              </w:rPr>
              <w:t>9</w:t>
            </w:r>
          </w:p>
        </w:tc>
        <w:tc>
          <w:tcPr>
            <w:tcW w:w="2700" w:type="dxa"/>
          </w:tcPr>
          <w:p w14:paraId="780AF7B5" w14:textId="77777777" w:rsidR="000739B9" w:rsidRPr="003628F1" w:rsidRDefault="000739B9">
            <w:pPr>
              <w:outlineLvl w:val="0"/>
              <w:rPr>
                <w:bCs/>
              </w:rPr>
            </w:pPr>
            <w:r w:rsidRPr="003628F1">
              <w:rPr>
                <w:bCs/>
              </w:rPr>
              <w:t>Awareness</w:t>
            </w:r>
          </w:p>
        </w:tc>
        <w:tc>
          <w:tcPr>
            <w:tcW w:w="5665" w:type="dxa"/>
          </w:tcPr>
          <w:p w14:paraId="57CDCD2B" w14:textId="77777777" w:rsidR="000739B9" w:rsidRPr="003628F1" w:rsidRDefault="000739B9">
            <w:pPr>
              <w:pStyle w:val="ListParagraph"/>
              <w:numPr>
                <w:ilvl w:val="0"/>
                <w:numId w:val="9"/>
              </w:numPr>
              <w:outlineLvl w:val="0"/>
              <w:rPr>
                <w:bCs/>
              </w:rPr>
            </w:pPr>
            <w:r w:rsidRPr="003628F1">
              <w:rPr>
                <w:bCs/>
              </w:rPr>
              <w:t>Teaching the difference between being present and not being present</w:t>
            </w:r>
          </w:p>
          <w:p w14:paraId="0D44D28D" w14:textId="77777777" w:rsidR="000739B9" w:rsidRPr="003628F1" w:rsidRDefault="000739B9">
            <w:pPr>
              <w:pStyle w:val="ListParagraph"/>
              <w:numPr>
                <w:ilvl w:val="0"/>
                <w:numId w:val="9"/>
              </w:numPr>
              <w:outlineLvl w:val="0"/>
              <w:rPr>
                <w:bCs/>
              </w:rPr>
            </w:pPr>
            <w:r w:rsidRPr="003628F1">
              <w:rPr>
                <w:bCs/>
              </w:rPr>
              <w:lastRenderedPageBreak/>
              <w:t>Teaching how to notice where your attention goes</w:t>
            </w:r>
            <w:r w:rsidRPr="003628F1" w:rsidDel="00470583">
              <w:rPr>
                <w:bCs/>
              </w:rPr>
              <w:t xml:space="preserve"> </w:t>
            </w:r>
          </w:p>
        </w:tc>
      </w:tr>
      <w:tr w:rsidR="000739B9" w:rsidRPr="003628F1" w14:paraId="53B534CE" w14:textId="77777777">
        <w:tc>
          <w:tcPr>
            <w:tcW w:w="985" w:type="dxa"/>
          </w:tcPr>
          <w:p w14:paraId="639DAEF7" w14:textId="77777777" w:rsidR="000739B9" w:rsidRPr="003628F1" w:rsidRDefault="000739B9">
            <w:pPr>
              <w:outlineLvl w:val="0"/>
              <w:rPr>
                <w:bCs/>
              </w:rPr>
            </w:pPr>
            <w:r w:rsidRPr="003628F1">
              <w:rPr>
                <w:bCs/>
              </w:rPr>
              <w:lastRenderedPageBreak/>
              <w:t>10</w:t>
            </w:r>
          </w:p>
        </w:tc>
        <w:tc>
          <w:tcPr>
            <w:tcW w:w="2700" w:type="dxa"/>
          </w:tcPr>
          <w:p w14:paraId="334E2807" w14:textId="77777777" w:rsidR="000739B9" w:rsidRPr="003628F1" w:rsidRDefault="000739B9">
            <w:pPr>
              <w:outlineLvl w:val="0"/>
              <w:rPr>
                <w:bCs/>
              </w:rPr>
            </w:pPr>
            <w:r w:rsidRPr="003628F1">
              <w:rPr>
                <w:bCs/>
              </w:rPr>
              <w:t>Awareness</w:t>
            </w:r>
          </w:p>
        </w:tc>
        <w:tc>
          <w:tcPr>
            <w:tcW w:w="5665" w:type="dxa"/>
          </w:tcPr>
          <w:p w14:paraId="58625667" w14:textId="77777777" w:rsidR="000739B9" w:rsidRPr="003628F1" w:rsidRDefault="000739B9">
            <w:pPr>
              <w:pStyle w:val="ListParagraph"/>
              <w:numPr>
                <w:ilvl w:val="0"/>
                <w:numId w:val="9"/>
              </w:numPr>
              <w:outlineLvl w:val="0"/>
              <w:rPr>
                <w:bCs/>
              </w:rPr>
            </w:pPr>
            <w:r w:rsidRPr="003628F1">
              <w:rPr>
                <w:bCs/>
              </w:rPr>
              <w:t xml:space="preserve">Teaching a series of brief skills to increase </w:t>
            </w:r>
            <w:proofErr w:type="gramStart"/>
            <w:r w:rsidRPr="003628F1">
              <w:rPr>
                <w:bCs/>
              </w:rPr>
              <w:t>present-moment</w:t>
            </w:r>
            <w:proofErr w:type="gramEnd"/>
            <w:r w:rsidRPr="003628F1">
              <w:rPr>
                <w:bCs/>
              </w:rPr>
              <w:t xml:space="preserve"> awareness</w:t>
            </w:r>
          </w:p>
          <w:p w14:paraId="4F99A0A8" w14:textId="77777777" w:rsidR="000739B9" w:rsidRPr="003628F1" w:rsidRDefault="000739B9">
            <w:pPr>
              <w:pStyle w:val="ListParagraph"/>
              <w:numPr>
                <w:ilvl w:val="0"/>
                <w:numId w:val="9"/>
              </w:numPr>
              <w:outlineLvl w:val="0"/>
              <w:rPr>
                <w:bCs/>
              </w:rPr>
            </w:pPr>
            <w:r w:rsidRPr="003628F1">
              <w:rPr>
                <w:bCs/>
              </w:rPr>
              <w:t>Practicing awareness while discarding</w:t>
            </w:r>
          </w:p>
        </w:tc>
      </w:tr>
      <w:tr w:rsidR="000739B9" w:rsidRPr="003628F1" w14:paraId="097B520E" w14:textId="77777777">
        <w:tc>
          <w:tcPr>
            <w:tcW w:w="985" w:type="dxa"/>
          </w:tcPr>
          <w:p w14:paraId="69B7B2A0" w14:textId="77777777" w:rsidR="000739B9" w:rsidRPr="003628F1" w:rsidRDefault="000739B9">
            <w:pPr>
              <w:outlineLvl w:val="0"/>
              <w:rPr>
                <w:bCs/>
              </w:rPr>
            </w:pPr>
            <w:r w:rsidRPr="003628F1">
              <w:rPr>
                <w:bCs/>
              </w:rPr>
              <w:t>11</w:t>
            </w:r>
          </w:p>
        </w:tc>
        <w:tc>
          <w:tcPr>
            <w:tcW w:w="2700" w:type="dxa"/>
          </w:tcPr>
          <w:p w14:paraId="474CA4A0" w14:textId="77777777" w:rsidR="000739B9" w:rsidRPr="003628F1" w:rsidRDefault="000739B9">
            <w:pPr>
              <w:outlineLvl w:val="0"/>
              <w:rPr>
                <w:bCs/>
              </w:rPr>
            </w:pPr>
            <w:r w:rsidRPr="003628F1">
              <w:rPr>
                <w:bCs/>
              </w:rPr>
              <w:t>Values</w:t>
            </w:r>
          </w:p>
        </w:tc>
        <w:tc>
          <w:tcPr>
            <w:tcW w:w="5665" w:type="dxa"/>
          </w:tcPr>
          <w:p w14:paraId="62547BAB" w14:textId="77777777" w:rsidR="000739B9" w:rsidRPr="003628F1" w:rsidRDefault="000739B9">
            <w:pPr>
              <w:pStyle w:val="ListParagraph"/>
              <w:numPr>
                <w:ilvl w:val="0"/>
                <w:numId w:val="2"/>
              </w:numPr>
              <w:rPr>
                <w:bCs/>
              </w:rPr>
            </w:pPr>
            <w:r w:rsidRPr="003628F1">
              <w:rPr>
                <w:bCs/>
              </w:rPr>
              <w:t>Identifying values as qualities of action</w:t>
            </w:r>
          </w:p>
          <w:p w14:paraId="5E193E63" w14:textId="77777777" w:rsidR="000739B9" w:rsidRPr="003628F1" w:rsidRDefault="000739B9">
            <w:pPr>
              <w:pStyle w:val="ListParagraph"/>
              <w:numPr>
                <w:ilvl w:val="0"/>
                <w:numId w:val="2"/>
              </w:numPr>
              <w:rPr>
                <w:bCs/>
              </w:rPr>
            </w:pPr>
            <w:r w:rsidRPr="003628F1">
              <w:rPr>
                <w:bCs/>
              </w:rPr>
              <w:t>Tombstone exercise</w:t>
            </w:r>
          </w:p>
        </w:tc>
      </w:tr>
      <w:tr w:rsidR="000739B9" w:rsidRPr="003628F1" w14:paraId="15BBD151" w14:textId="77777777">
        <w:tc>
          <w:tcPr>
            <w:tcW w:w="985" w:type="dxa"/>
          </w:tcPr>
          <w:p w14:paraId="5B07A0C0" w14:textId="77777777" w:rsidR="000739B9" w:rsidRPr="003628F1" w:rsidRDefault="000739B9">
            <w:pPr>
              <w:outlineLvl w:val="0"/>
              <w:rPr>
                <w:bCs/>
              </w:rPr>
            </w:pPr>
            <w:r w:rsidRPr="003628F1">
              <w:rPr>
                <w:bCs/>
              </w:rPr>
              <w:t>12</w:t>
            </w:r>
          </w:p>
        </w:tc>
        <w:tc>
          <w:tcPr>
            <w:tcW w:w="2700" w:type="dxa"/>
          </w:tcPr>
          <w:p w14:paraId="4EAED265" w14:textId="77777777" w:rsidR="000739B9" w:rsidRPr="003628F1" w:rsidRDefault="000739B9">
            <w:pPr>
              <w:outlineLvl w:val="0"/>
              <w:rPr>
                <w:bCs/>
              </w:rPr>
            </w:pPr>
            <w:r w:rsidRPr="003628F1">
              <w:rPr>
                <w:bCs/>
              </w:rPr>
              <w:t>Values and committed action</w:t>
            </w:r>
          </w:p>
        </w:tc>
        <w:tc>
          <w:tcPr>
            <w:tcW w:w="5665" w:type="dxa"/>
          </w:tcPr>
          <w:p w14:paraId="23CA5512" w14:textId="77777777" w:rsidR="000739B9" w:rsidRPr="003628F1" w:rsidRDefault="000739B9">
            <w:pPr>
              <w:pStyle w:val="ListParagraph"/>
              <w:numPr>
                <w:ilvl w:val="0"/>
                <w:numId w:val="3"/>
              </w:numPr>
              <w:rPr>
                <w:bCs/>
              </w:rPr>
            </w:pPr>
            <w:r w:rsidRPr="003628F1">
              <w:rPr>
                <w:bCs/>
              </w:rPr>
              <w:t xml:space="preserve">Values sorting </w:t>
            </w:r>
            <w:proofErr w:type="gramStart"/>
            <w:r w:rsidRPr="003628F1">
              <w:rPr>
                <w:bCs/>
              </w:rPr>
              <w:t>exercise</w:t>
            </w:r>
            <w:proofErr w:type="gramEnd"/>
          </w:p>
          <w:p w14:paraId="242E47FE" w14:textId="77777777" w:rsidR="000739B9" w:rsidRPr="003628F1" w:rsidRDefault="000739B9">
            <w:pPr>
              <w:pStyle w:val="ListParagraph"/>
              <w:numPr>
                <w:ilvl w:val="0"/>
                <w:numId w:val="3"/>
              </w:numPr>
              <w:rPr>
                <w:bCs/>
              </w:rPr>
            </w:pPr>
            <w:r w:rsidRPr="003628F1">
              <w:rPr>
                <w:bCs/>
              </w:rPr>
              <w:t xml:space="preserve">Identifying values that are served by saving and discarding </w:t>
            </w:r>
            <w:proofErr w:type="gramStart"/>
            <w:r w:rsidRPr="003628F1">
              <w:rPr>
                <w:bCs/>
              </w:rPr>
              <w:t>items</w:t>
            </w:r>
            <w:proofErr w:type="gramEnd"/>
          </w:p>
          <w:p w14:paraId="1E8C9472" w14:textId="77777777" w:rsidR="000739B9" w:rsidRPr="003628F1" w:rsidRDefault="000739B9">
            <w:pPr>
              <w:pStyle w:val="ListParagraph"/>
              <w:numPr>
                <w:ilvl w:val="0"/>
                <w:numId w:val="3"/>
              </w:numPr>
              <w:rPr>
                <w:bCs/>
              </w:rPr>
            </w:pPr>
            <w:r w:rsidRPr="003628F1">
              <w:rPr>
                <w:bCs/>
              </w:rPr>
              <w:t xml:space="preserve">Practice setting short-term and long-term </w:t>
            </w:r>
            <w:proofErr w:type="gramStart"/>
            <w:r w:rsidRPr="003628F1">
              <w:rPr>
                <w:bCs/>
              </w:rPr>
              <w:t>goals</w:t>
            </w:r>
            <w:proofErr w:type="gramEnd"/>
          </w:p>
          <w:p w14:paraId="1227A399" w14:textId="77777777" w:rsidR="000739B9" w:rsidRPr="003628F1" w:rsidRDefault="000739B9">
            <w:pPr>
              <w:pStyle w:val="ListParagraph"/>
              <w:numPr>
                <w:ilvl w:val="0"/>
                <w:numId w:val="3"/>
              </w:numPr>
              <w:rPr>
                <w:bCs/>
              </w:rPr>
            </w:pPr>
            <w:r w:rsidRPr="003628F1">
              <w:rPr>
                <w:bCs/>
              </w:rPr>
              <w:t>Brainstorming values-consistent alternatives to saving</w:t>
            </w:r>
          </w:p>
        </w:tc>
      </w:tr>
      <w:tr w:rsidR="000739B9" w:rsidRPr="003628F1" w14:paraId="242C7950" w14:textId="77777777">
        <w:tc>
          <w:tcPr>
            <w:tcW w:w="985" w:type="dxa"/>
          </w:tcPr>
          <w:p w14:paraId="6159D4C2" w14:textId="77777777" w:rsidR="000739B9" w:rsidRPr="003628F1" w:rsidRDefault="000739B9">
            <w:pPr>
              <w:outlineLvl w:val="0"/>
              <w:rPr>
                <w:bCs/>
              </w:rPr>
            </w:pPr>
            <w:r w:rsidRPr="003628F1">
              <w:rPr>
                <w:bCs/>
              </w:rPr>
              <w:t>13</w:t>
            </w:r>
          </w:p>
        </w:tc>
        <w:tc>
          <w:tcPr>
            <w:tcW w:w="2700" w:type="dxa"/>
          </w:tcPr>
          <w:p w14:paraId="4E44097E" w14:textId="77777777" w:rsidR="000739B9" w:rsidRPr="003628F1" w:rsidRDefault="000739B9">
            <w:pPr>
              <w:outlineLvl w:val="0"/>
              <w:rPr>
                <w:bCs/>
              </w:rPr>
            </w:pPr>
            <w:r w:rsidRPr="003628F1">
              <w:rPr>
                <w:bCs/>
              </w:rPr>
              <w:t>Committed action</w:t>
            </w:r>
          </w:p>
        </w:tc>
        <w:tc>
          <w:tcPr>
            <w:tcW w:w="5665" w:type="dxa"/>
          </w:tcPr>
          <w:p w14:paraId="232CF9A5" w14:textId="77777777" w:rsidR="000739B9" w:rsidRPr="003628F1" w:rsidRDefault="000739B9">
            <w:pPr>
              <w:pStyle w:val="ListParagraph"/>
              <w:numPr>
                <w:ilvl w:val="0"/>
                <w:numId w:val="4"/>
              </w:numPr>
              <w:rPr>
                <w:bCs/>
              </w:rPr>
            </w:pPr>
            <w:r w:rsidRPr="003628F1">
              <w:rPr>
                <w:bCs/>
              </w:rPr>
              <w:t xml:space="preserve">Introducing “fail-give up” and “fail-recommit” </w:t>
            </w:r>
            <w:proofErr w:type="gramStart"/>
            <w:r w:rsidRPr="003628F1">
              <w:rPr>
                <w:bCs/>
              </w:rPr>
              <w:t>patterns</w:t>
            </w:r>
            <w:proofErr w:type="gramEnd"/>
          </w:p>
          <w:p w14:paraId="0F7204BD" w14:textId="77777777" w:rsidR="000739B9" w:rsidRPr="003628F1" w:rsidRDefault="000739B9">
            <w:pPr>
              <w:pStyle w:val="ListParagraph"/>
              <w:numPr>
                <w:ilvl w:val="0"/>
                <w:numId w:val="4"/>
              </w:numPr>
              <w:rPr>
                <w:bCs/>
              </w:rPr>
            </w:pPr>
            <w:r w:rsidRPr="003628F1">
              <w:rPr>
                <w:bCs/>
              </w:rPr>
              <w:t>Identifying warning signs for drifting from commitments and ways to recommit</w:t>
            </w:r>
          </w:p>
        </w:tc>
      </w:tr>
      <w:tr w:rsidR="000739B9" w:rsidRPr="003628F1" w14:paraId="4E9FDB70" w14:textId="77777777">
        <w:tc>
          <w:tcPr>
            <w:tcW w:w="985" w:type="dxa"/>
          </w:tcPr>
          <w:p w14:paraId="5936C3CF" w14:textId="77777777" w:rsidR="000739B9" w:rsidRPr="003628F1" w:rsidRDefault="000739B9">
            <w:pPr>
              <w:outlineLvl w:val="0"/>
              <w:rPr>
                <w:bCs/>
              </w:rPr>
            </w:pPr>
            <w:r w:rsidRPr="003628F1">
              <w:rPr>
                <w:bCs/>
              </w:rPr>
              <w:t>14</w:t>
            </w:r>
          </w:p>
        </w:tc>
        <w:tc>
          <w:tcPr>
            <w:tcW w:w="2700" w:type="dxa"/>
          </w:tcPr>
          <w:p w14:paraId="2502BC8F" w14:textId="77777777" w:rsidR="000739B9" w:rsidRPr="003628F1" w:rsidRDefault="000739B9">
            <w:pPr>
              <w:outlineLvl w:val="0"/>
              <w:rPr>
                <w:bCs/>
              </w:rPr>
            </w:pPr>
            <w:r w:rsidRPr="003628F1">
              <w:rPr>
                <w:bCs/>
              </w:rPr>
              <w:t>Generalizing acceptance</w:t>
            </w:r>
          </w:p>
        </w:tc>
        <w:tc>
          <w:tcPr>
            <w:tcW w:w="5665" w:type="dxa"/>
          </w:tcPr>
          <w:p w14:paraId="7508840D" w14:textId="77777777" w:rsidR="000739B9" w:rsidRPr="003628F1" w:rsidRDefault="000739B9">
            <w:pPr>
              <w:pStyle w:val="ListParagraph"/>
              <w:numPr>
                <w:ilvl w:val="0"/>
                <w:numId w:val="4"/>
              </w:numPr>
              <w:rPr>
                <w:bCs/>
              </w:rPr>
            </w:pPr>
            <w:r w:rsidRPr="003628F1">
              <w:rPr>
                <w:bCs/>
              </w:rPr>
              <w:t>Identifying unwanted thoughts/feelings in life broadly</w:t>
            </w:r>
          </w:p>
          <w:p w14:paraId="62BED936" w14:textId="77777777" w:rsidR="000739B9" w:rsidRPr="003628F1" w:rsidRDefault="000739B9">
            <w:pPr>
              <w:pStyle w:val="ListParagraph"/>
              <w:numPr>
                <w:ilvl w:val="0"/>
                <w:numId w:val="4"/>
              </w:numPr>
              <w:rPr>
                <w:bCs/>
              </w:rPr>
            </w:pPr>
            <w:r w:rsidRPr="003628F1">
              <w:rPr>
                <w:bCs/>
              </w:rPr>
              <w:t xml:space="preserve">“Tin can monster” exercise to practice awareness, acceptance and </w:t>
            </w:r>
            <w:proofErr w:type="spellStart"/>
            <w:r w:rsidRPr="003628F1">
              <w:rPr>
                <w:bCs/>
              </w:rPr>
              <w:t>defusion</w:t>
            </w:r>
            <w:proofErr w:type="spellEnd"/>
          </w:p>
        </w:tc>
      </w:tr>
      <w:tr w:rsidR="000739B9" w:rsidRPr="003628F1" w14:paraId="4563C920" w14:textId="77777777">
        <w:tc>
          <w:tcPr>
            <w:tcW w:w="985" w:type="dxa"/>
          </w:tcPr>
          <w:p w14:paraId="65B223F6" w14:textId="77777777" w:rsidR="000739B9" w:rsidRPr="003628F1" w:rsidRDefault="000739B9">
            <w:pPr>
              <w:outlineLvl w:val="0"/>
              <w:rPr>
                <w:bCs/>
              </w:rPr>
            </w:pPr>
            <w:r w:rsidRPr="003628F1">
              <w:rPr>
                <w:bCs/>
              </w:rPr>
              <w:t>15</w:t>
            </w:r>
          </w:p>
        </w:tc>
        <w:tc>
          <w:tcPr>
            <w:tcW w:w="2700" w:type="dxa"/>
          </w:tcPr>
          <w:p w14:paraId="7E1A911F" w14:textId="77777777" w:rsidR="000739B9" w:rsidRPr="003628F1" w:rsidRDefault="000739B9">
            <w:pPr>
              <w:outlineLvl w:val="0"/>
              <w:rPr>
                <w:bCs/>
              </w:rPr>
            </w:pPr>
            <w:r w:rsidRPr="003628F1">
              <w:rPr>
                <w:bCs/>
              </w:rPr>
              <w:t>Generalizing committed action</w:t>
            </w:r>
          </w:p>
        </w:tc>
        <w:tc>
          <w:tcPr>
            <w:tcW w:w="5665" w:type="dxa"/>
          </w:tcPr>
          <w:p w14:paraId="5C3E3CA9" w14:textId="77777777" w:rsidR="000739B9" w:rsidRPr="003628F1" w:rsidRDefault="000739B9">
            <w:pPr>
              <w:pStyle w:val="ListParagraph"/>
              <w:numPr>
                <w:ilvl w:val="0"/>
                <w:numId w:val="10"/>
              </w:numPr>
              <w:rPr>
                <w:bCs/>
              </w:rPr>
            </w:pPr>
            <w:r w:rsidRPr="003628F1">
              <w:rPr>
                <w:bCs/>
              </w:rPr>
              <w:t>Describing common barriers</w:t>
            </w:r>
          </w:p>
          <w:p w14:paraId="5AA9F689" w14:textId="77777777" w:rsidR="000739B9" w:rsidRPr="003628F1" w:rsidRDefault="000739B9">
            <w:pPr>
              <w:pStyle w:val="ListParagraph"/>
              <w:numPr>
                <w:ilvl w:val="0"/>
                <w:numId w:val="10"/>
              </w:numPr>
              <w:rPr>
                <w:bCs/>
              </w:rPr>
            </w:pPr>
            <w:r w:rsidRPr="003628F1">
              <w:rPr>
                <w:bCs/>
              </w:rPr>
              <w:t>Teaching strategies to overcome barriers</w:t>
            </w:r>
          </w:p>
        </w:tc>
      </w:tr>
      <w:tr w:rsidR="000739B9" w:rsidRPr="003628F1" w14:paraId="3693A638" w14:textId="77777777">
        <w:tc>
          <w:tcPr>
            <w:tcW w:w="985" w:type="dxa"/>
            <w:tcBorders>
              <w:bottom w:val="single" w:sz="4" w:space="0" w:color="auto"/>
            </w:tcBorders>
          </w:tcPr>
          <w:p w14:paraId="2027A4EC" w14:textId="77777777" w:rsidR="000739B9" w:rsidRPr="003628F1" w:rsidRDefault="000739B9">
            <w:pPr>
              <w:outlineLvl w:val="0"/>
              <w:rPr>
                <w:bCs/>
              </w:rPr>
            </w:pPr>
            <w:r w:rsidRPr="003628F1">
              <w:rPr>
                <w:bCs/>
              </w:rPr>
              <w:t>16</w:t>
            </w:r>
          </w:p>
        </w:tc>
        <w:tc>
          <w:tcPr>
            <w:tcW w:w="2700" w:type="dxa"/>
            <w:tcBorders>
              <w:bottom w:val="single" w:sz="4" w:space="0" w:color="auto"/>
            </w:tcBorders>
          </w:tcPr>
          <w:p w14:paraId="2BEEB279" w14:textId="77777777" w:rsidR="000739B9" w:rsidRPr="003628F1" w:rsidRDefault="000739B9">
            <w:pPr>
              <w:outlineLvl w:val="0"/>
              <w:rPr>
                <w:bCs/>
              </w:rPr>
            </w:pPr>
            <w:r w:rsidRPr="003628F1">
              <w:rPr>
                <w:bCs/>
              </w:rPr>
              <w:t>Relapse prevention</w:t>
            </w:r>
          </w:p>
        </w:tc>
        <w:tc>
          <w:tcPr>
            <w:tcW w:w="5665" w:type="dxa"/>
            <w:tcBorders>
              <w:bottom w:val="single" w:sz="4" w:space="0" w:color="auto"/>
            </w:tcBorders>
          </w:tcPr>
          <w:p w14:paraId="7F41A365" w14:textId="77777777" w:rsidR="000739B9" w:rsidRPr="003628F1" w:rsidRDefault="000739B9">
            <w:pPr>
              <w:pStyle w:val="ListParagraph"/>
              <w:numPr>
                <w:ilvl w:val="0"/>
                <w:numId w:val="10"/>
              </w:numPr>
              <w:rPr>
                <w:bCs/>
              </w:rPr>
            </w:pPr>
            <w:r w:rsidRPr="003628F1">
              <w:rPr>
                <w:bCs/>
              </w:rPr>
              <w:t xml:space="preserve">Helping participants see progress by re-evaluating progress on goals and values </w:t>
            </w:r>
            <w:proofErr w:type="gramStart"/>
            <w:r w:rsidRPr="003628F1">
              <w:rPr>
                <w:bCs/>
              </w:rPr>
              <w:t>consistency</w:t>
            </w:r>
            <w:proofErr w:type="gramEnd"/>
          </w:p>
          <w:p w14:paraId="142658EC" w14:textId="77777777" w:rsidR="000739B9" w:rsidRPr="003628F1" w:rsidRDefault="000739B9">
            <w:pPr>
              <w:pStyle w:val="ListParagraph"/>
              <w:numPr>
                <w:ilvl w:val="0"/>
                <w:numId w:val="10"/>
              </w:numPr>
              <w:rPr>
                <w:bCs/>
              </w:rPr>
            </w:pPr>
            <w:r w:rsidRPr="003628F1">
              <w:rPr>
                <w:bCs/>
              </w:rPr>
              <w:t xml:space="preserve">Recapping core ideas from each session and guiding participants to explore what they learned and what they want to keep </w:t>
            </w:r>
            <w:proofErr w:type="gramStart"/>
            <w:r w:rsidRPr="003628F1">
              <w:rPr>
                <w:bCs/>
              </w:rPr>
              <w:t>practicing</w:t>
            </w:r>
            <w:proofErr w:type="gramEnd"/>
          </w:p>
          <w:p w14:paraId="1E2E19B2" w14:textId="77777777" w:rsidR="000739B9" w:rsidRPr="003628F1" w:rsidRDefault="000739B9">
            <w:pPr>
              <w:pStyle w:val="ListParagraph"/>
              <w:numPr>
                <w:ilvl w:val="0"/>
                <w:numId w:val="10"/>
              </w:numPr>
              <w:rPr>
                <w:bCs/>
              </w:rPr>
            </w:pPr>
            <w:r w:rsidRPr="003628F1">
              <w:rPr>
                <w:bCs/>
              </w:rPr>
              <w:t xml:space="preserve">Creating summary for clients of their main takeaways and what they’d like to continue </w:t>
            </w:r>
            <w:proofErr w:type="gramStart"/>
            <w:r w:rsidRPr="003628F1">
              <w:rPr>
                <w:bCs/>
              </w:rPr>
              <w:t>practicing</w:t>
            </w:r>
            <w:proofErr w:type="gramEnd"/>
          </w:p>
          <w:p w14:paraId="699C91D6" w14:textId="77777777" w:rsidR="000739B9" w:rsidRPr="003628F1" w:rsidRDefault="000739B9">
            <w:pPr>
              <w:pStyle w:val="ListParagraph"/>
              <w:numPr>
                <w:ilvl w:val="0"/>
                <w:numId w:val="10"/>
              </w:numPr>
              <w:rPr>
                <w:bCs/>
              </w:rPr>
            </w:pPr>
            <w:r w:rsidRPr="003628F1">
              <w:rPr>
                <w:bCs/>
              </w:rPr>
              <w:t>Sharing links to further resources: psychoeducation, hoarding treatment, ACT</w:t>
            </w:r>
          </w:p>
        </w:tc>
      </w:tr>
    </w:tbl>
    <w:p w14:paraId="595C8643" w14:textId="77777777" w:rsidR="000739B9" w:rsidRPr="00C6360C" w:rsidRDefault="000739B9" w:rsidP="000739B9"/>
    <w:p w14:paraId="75493DEC" w14:textId="1F519009" w:rsidR="000739B9" w:rsidRDefault="000739B9" w:rsidP="000739B9">
      <w:pPr>
        <w:rPr>
          <w:b/>
        </w:rPr>
      </w:pPr>
      <w:r w:rsidRPr="005B1185">
        <w:rPr>
          <w:b/>
        </w:rPr>
        <w:t xml:space="preserve">Table </w:t>
      </w:r>
      <w:r>
        <w:rPr>
          <w:b/>
        </w:rPr>
        <w:t xml:space="preserve">2. </w:t>
      </w:r>
      <w:r w:rsidRPr="005B1185">
        <w:rPr>
          <w:b/>
          <w:i/>
          <w:iCs/>
        </w:rPr>
        <w:t xml:space="preserve">Treatment </w:t>
      </w:r>
      <w:r>
        <w:rPr>
          <w:b/>
          <w:i/>
          <w:iCs/>
        </w:rPr>
        <w:t>O</w:t>
      </w:r>
      <w:r w:rsidRPr="005B1185">
        <w:rPr>
          <w:b/>
          <w:i/>
          <w:iCs/>
        </w:rPr>
        <w:t>utline</w:t>
      </w:r>
    </w:p>
    <w:p w14:paraId="170F79D2" w14:textId="77777777" w:rsidR="000739B9" w:rsidRPr="000739B9" w:rsidRDefault="000739B9" w:rsidP="000739B9">
      <w:pPr>
        <w:rPr>
          <w:b/>
        </w:rPr>
      </w:pPr>
    </w:p>
    <w:p w14:paraId="1B70D87B" w14:textId="1D12F789" w:rsidR="00823CD0" w:rsidRPr="00C270FA" w:rsidRDefault="00823CD0" w:rsidP="00823CD0">
      <w:pPr>
        <w:spacing w:line="480" w:lineRule="auto"/>
      </w:pPr>
      <w:r>
        <w:rPr>
          <w:b/>
          <w:bCs/>
        </w:rPr>
        <w:tab/>
        <w:t xml:space="preserve">Coaching. </w:t>
      </w:r>
      <w:r>
        <w:t>The active condition received coaching based on the supportive accountability model of e</w:t>
      </w:r>
      <w:r w:rsidR="00052E28">
        <w:t>H</w:t>
      </w:r>
      <w:r>
        <w:t>ealth</w:t>
      </w:r>
      <w:r w:rsidR="00052E28">
        <w:t xml:space="preserve"> </w:t>
      </w:r>
      <w:r w:rsidR="00052E28">
        <w:fldChar w:fldCharType="begin" w:fldLock="1"/>
      </w:r>
      <w:r w:rsidR="00FC51A2">
        <w:instrText>ADDIN CSL_CITATION {"citationItems":[{"id":"ITEM-1","itemData":{"DOI":"10.2196/jmir.1602","ISBN":"1438-8871 (Electronic)\\r1438-8871 (Linking)","ISSN":"14388871","PMID":"21393123","abstract":"The effectiveness of and adherence to eHealth interventions is enhanced by human support. However, human support has largely not been manualized and has usually not been guided by clear models. The objective of this paper is to develop a clear theoretical model, based on relevant empirical literature, that can guide research into human support components of eHealth interventions. A review of the literature revealed little relevant information from clinical sciences. Applicable literature was drawn primarily from organizational psychology, motivation theory, and computer-mediated communication (CMC) research. We have developed a model, referred to as \"Supportive Accountability.\" We argue that human support increases adherence through accountability to a coach who is seen as trustworthy, benevolent, and having expertise. Accountability should involve clear, process-oriented expectations that the patient is involved in determining. Reciprocity in the relationship, through which the patient derives clear benefits, should be explicit. The effect of accountability may be moderated by patient motivation. The more intrinsically motivated patients are, the less support they likely require. The process of support is also mediated by the communications medium (eg, telephone, instant messaging, email). Different communications media each have their own potential benefits and disadvantages. We discuss the specific components of accountability, motivation, and CMC medium in detail. The proposed model is a first step toward understanding how human support enhances adherence to eHealth interventions. Each component of the proposed model is a testable hypothesis. As we develop viable human support models, these should be manualized to facilitate dissemination.","author":[{"dropping-particle":"","family":"Mohr","given":"David C.","non-dropping-particle":"","parse-names":false,"suffix":""},{"dropping-particle":"","family":"Cuijpers","given":"Pim","non-dropping-particle":"","parse-names":false,"suffix":""},{"dropping-particle":"","family":"Lehman","given":"Kenneth","non-dropping-particle":"","parse-names":false,"suffix":""}],"container-title":"Journal of Medical Internet Research","id":"ITEM-1","issue":"1","issued":{"date-parts":[["2011"]]},"page":"1-11","title":"Supportive accountability: A model for providing human support to enhance adherence to eHealth interventions","type":"article-journal","volume":"13"},"uris":["http://www.mendeley.com/documents/?uuid=725f8964-4fc8-4454-84b0-00cf731200d6"]}],"mendeley":{"formattedCitation":"(Mohr et al., 2011)","plainTextFormattedCitation":"(Mohr et al., 2011)","previouslyFormattedCitation":"(Mohr et al., 2011)"},"properties":{"noteIndex":0},"schema":"https://github.com/citation-style-language/schema/raw/master/csl-citation.json"}</w:instrText>
      </w:r>
      <w:r w:rsidR="00052E28">
        <w:fldChar w:fldCharType="separate"/>
      </w:r>
      <w:r w:rsidR="00052E28" w:rsidRPr="00052E28">
        <w:rPr>
          <w:noProof/>
        </w:rPr>
        <w:t>(Mohr et al., 2011)</w:t>
      </w:r>
      <w:r w:rsidR="00052E28">
        <w:fldChar w:fldCharType="end"/>
      </w:r>
      <w:r w:rsidR="00052E28">
        <w:t>.</w:t>
      </w:r>
      <w:r>
        <w:t xml:space="preserve"> In this model, human support is fostered using trust, benevolence, and expertise to establish accountability and subsequently improve adherence. Coaching in the present study was broadly intended to aid participants in engaging with and </w:t>
      </w:r>
      <w:r>
        <w:lastRenderedPageBreak/>
        <w:t xml:space="preserve">adhering to the online intervention. The coaching protocol consisted of an initial phone call of 10-15 minutes at the start of treatment and then weekly supportive coaching emails throughout the eight-week period. </w:t>
      </w:r>
      <w:r w:rsidR="00F2651C">
        <w:t xml:space="preserve">Weekly coaching emails included </w:t>
      </w:r>
      <w:r w:rsidR="002D41D8">
        <w:t xml:space="preserve">in-depth discussion </w:t>
      </w:r>
      <w:r w:rsidR="007B2E83">
        <w:t>and feedback regarding</w:t>
      </w:r>
      <w:r w:rsidR="00EC47F9">
        <w:t xml:space="preserve"> adherence</w:t>
      </w:r>
      <w:r w:rsidR="00F2651C">
        <w:t>,</w:t>
      </w:r>
      <w:r>
        <w:t xml:space="preserve"> while </w:t>
      </w:r>
      <w:r w:rsidR="00F2651C">
        <w:t>additional emails sent were</w:t>
      </w:r>
      <w:r>
        <w:t xml:space="preserve"> </w:t>
      </w:r>
      <w:r w:rsidR="00F2651C">
        <w:t xml:space="preserve">1) responses to any replies regarding coaching emails and 2) </w:t>
      </w:r>
      <w:r>
        <w:t xml:space="preserve">reminders if participants were behind the two session-weekly </w:t>
      </w:r>
      <w:proofErr w:type="gramStart"/>
      <w:r>
        <w:t>schedule</w:t>
      </w:r>
      <w:proofErr w:type="gramEnd"/>
      <w:r>
        <w:t xml:space="preserve">. The initial phone call was designed to establish a relationship between the participant and the coach so that the participant views the coach was trustworthy, benevolent, and having expertise, along with setting clear engagement expectations linked to collaboratively established goals for each participant (Mohr et al., 2011). The coaching emails were focused on monitoring engagement, providing feedback, answering questions, and supportive problem-solving. </w:t>
      </w:r>
      <w:r w:rsidR="00140791">
        <w:t>Coaching was incorporated in the present study</w:t>
      </w:r>
      <w:r>
        <w:t xml:space="preserve"> based on successful past online interventions for anxiety and depression</w:t>
      </w:r>
      <w:r w:rsidR="003E081A">
        <w:t xml:space="preserve"> </w:t>
      </w:r>
      <w:r w:rsidR="003E081A">
        <w:fldChar w:fldCharType="begin" w:fldLock="1"/>
      </w:r>
      <w:r w:rsidR="003E081A">
        <w:instrText>ADDIN CSL_CITATION {"citationItems":[{"id":"ITEM-1","itemData":{"DOI":"10.1017/S0033291706008944","ISBN":"0033-2917","ISSN":"0033-2917","PMID":"17112400","abstract":"BACKGROUND: We studied to what extent internet-based cognitive behaviour therapy (CBT) programs for symptoms of depression and anxiety are effective. METHOD: A meta-analysis of 12 randomized controlled trials. RESULTS: The effects of internet-based CBT were compared to control conditions in 13 contrast groups with a total number of 2334 participants. A meta-analysis on treatment contrasts resulted in a moderate to large mean effect size [fixed effects analysis (FEA) d=0.40, mixed effects analysis (MEA) d=0.60] and significant heterogeneity. Therefore, two sets of post hoc subgroup analyses were carried out. Analyses on the type of symptoms revealed that interventions for symptoms of depression had a small mean effect size (FEA d=0.27, MEA d=0.32) and significant heterogeneity. Further analyses showed that one study could be regarded as an outlier. Analyses without this study showed a small mean effect size and moderate, non-significant heterogeneity. Interventions for anxiety had a large mean effect size (FEA and MEA d=0.96) and very low heterogeneity. When examining the second set of subgroups, based on therapist assistance, no significant heterogeneity was found. Interventions with therapist support (n=5) had a large mean effect size, while interventions without therapist support (n=6) had a small mean effect size (FEA d=0.24, MEA d=0.26). CONCLUSIONS: In general, effect sizes of internet-based interventions for symptoms of anxiety were larger than effect sizes for depressive symptoms; however, this might be explained by differences in the amount of therapist support.","author":[{"dropping-particle":"","family":"Spek","given":"Viola","non-dropping-particle":"","parse-names":false,"suffix":""},{"dropping-particle":"","family":"Cuijpers","given":"Pim","non-dropping-particle":"","parse-names":false,"suffix":""},{"dropping-particle":"","family":"Nylicek","given":"Ivan","non-dropping-particle":"","parse-names":false,"suffix":""},{"dropping-particle":"","family":"Riper","given":"Heleen","non-dropping-particle":"","parse-names":false,"suffix":""},{"dropping-particle":"","family":"Keyzer","given":"Jules","non-dropping-particle":"","parse-names":false,"suffix":""},{"dropping-particle":"","family":"Pop","given":"Victor","non-dropping-particle":"","parse-names":false,"suffix":""}],"container-title":"Psychological Medicine","id":"ITEM-1","issue":"03","issued":{"date-parts":[["2007"]]},"page":"319-328","title":"Internet-based cognitive behaviour therapy for symptoms of depression and anxiety: a meta-analysis","type":"article-journal","volume":"37"},"uris":["http://www.mendeley.com/documents/?uuid=b540a5f6-08f8-480c-91e1-4e9605c04f16"]}],"mendeley":{"formattedCitation":"(Spek et al., 2007)","plainTextFormattedCitation":"(Spek et al., 2007)"},"properties":{"noteIndex":0},"schema":"https://github.com/citation-style-language/schema/raw/master/csl-citation.json"}</w:instrText>
      </w:r>
      <w:r w:rsidR="003E081A">
        <w:fldChar w:fldCharType="separate"/>
      </w:r>
      <w:r w:rsidR="003E081A" w:rsidRPr="003E081A">
        <w:rPr>
          <w:noProof/>
        </w:rPr>
        <w:t>(Spek et al., 2007)</w:t>
      </w:r>
      <w:r w:rsidR="003E081A">
        <w:fldChar w:fldCharType="end"/>
      </w:r>
      <w:r w:rsidR="003E081A">
        <w:t>.</w:t>
      </w:r>
      <w:r w:rsidR="00385CCB">
        <w:t xml:space="preserve"> </w:t>
      </w:r>
      <w:r w:rsidR="002274D4">
        <w:t>In-person coaching has also been evaluated for hoarding with promising results</w:t>
      </w:r>
      <w:r w:rsidR="00F22CB8">
        <w:t xml:space="preserve"> (Crone et al., 2020; </w:t>
      </w:r>
      <w:proofErr w:type="spellStart"/>
      <w:r w:rsidR="00F22CB8">
        <w:t>Linkovski</w:t>
      </w:r>
      <w:proofErr w:type="spellEnd"/>
      <w:r w:rsidR="00F22CB8">
        <w:t xml:space="preserve"> et al., 2018)</w:t>
      </w:r>
      <w:r w:rsidR="00B76B00">
        <w:t>.</w:t>
      </w:r>
      <w:r w:rsidR="003E081A">
        <w:t xml:space="preserve"> </w:t>
      </w:r>
      <w:r>
        <w:t xml:space="preserve">Coaches were two graduate students trained in clinical psychology. </w:t>
      </w:r>
    </w:p>
    <w:p w14:paraId="532DA147" w14:textId="77777777" w:rsidR="00823CD0" w:rsidRDefault="00823CD0" w:rsidP="00823CD0">
      <w:pPr>
        <w:spacing w:line="480" w:lineRule="auto"/>
        <w:rPr>
          <w:b/>
          <w:bCs/>
        </w:rPr>
      </w:pPr>
      <w:r>
        <w:rPr>
          <w:b/>
          <w:bCs/>
        </w:rPr>
        <w:t>Measures</w:t>
      </w:r>
    </w:p>
    <w:p w14:paraId="1890FC48" w14:textId="3AFF9799" w:rsidR="00823CD0" w:rsidRPr="003F2276" w:rsidRDefault="00823CD0" w:rsidP="00823CD0">
      <w:pPr>
        <w:spacing w:line="480" w:lineRule="auto"/>
      </w:pPr>
      <w:r>
        <w:rPr>
          <w:b/>
          <w:bCs/>
        </w:rPr>
        <w:tab/>
        <w:t>Demographics</w:t>
      </w:r>
      <w:r>
        <w:t>. Participants completed standard demographics</w:t>
      </w:r>
      <w:r w:rsidR="00303845">
        <w:t xml:space="preserve"> at baseline</w:t>
      </w:r>
      <w:r>
        <w:t>: race, age, gender, ethnicity, marital status, employment status, and household income. Participants were also asked to report</w:t>
      </w:r>
      <w:r w:rsidR="00303845">
        <w:t xml:space="preserve"> </w:t>
      </w:r>
      <w:r>
        <w:t>counseling and psychotropic medication use.</w:t>
      </w:r>
    </w:p>
    <w:p w14:paraId="0D2B27AF" w14:textId="73572456" w:rsidR="00823CD0" w:rsidRPr="0091642F" w:rsidRDefault="00823CD0" w:rsidP="00823CD0">
      <w:pPr>
        <w:spacing w:line="480" w:lineRule="auto"/>
      </w:pPr>
      <w:r>
        <w:rPr>
          <w:b/>
          <w:bCs/>
        </w:rPr>
        <w:tab/>
        <w:t xml:space="preserve">Saving inventory-revised </w:t>
      </w:r>
      <w:r>
        <w:t xml:space="preserve">(SI-R; </w:t>
      </w:r>
      <w:r w:rsidR="00B65C4E">
        <w:fldChar w:fldCharType="begin" w:fldLock="1"/>
      </w:r>
      <w:r w:rsidR="00214315">
        <w:instrText>ADDIN CSL_CITATION {"citationItems":[{"id":"ITEM-1","itemData":{"DOI":"10.1016/j.brat.2003.07.006","ISSN":"00057967","author":[{"dropping-particle":"","family":"Frost","given":"Randy O.","non-dropping-particle":"","parse-names":false,"suffix":""},{"dropping-particle":"","family":"Steketee","given":"Gail","non-dropping-particle":"","parse-names":false,"suffix":""},{"dropping-particle":"","family":"Grisham","given":"Jessica","non-dropping-particle":"","parse-names":false,"suffix":""}],"container-title":"Behaviour Research and Therapy","id":"ITEM-1","issued":{"date-parts":[["2004"]]},"page":"1163-1182","title":"Measurement of compulsive hoarding: Saving inventory-revised","type":"article-journal","volume":"42"},"uris":["http://www.mendeley.com/documents/?uuid=f95b1376-a1ef-4340-9cf1-bed5e88c20a6"]}],"mendeley":{"formattedCitation":"(Frost et al., 2004)","manualFormatting":"Frost et al., 2004)","plainTextFormattedCitation":"(Frost et al., 2004)","previouslyFormattedCitation":"(Frost et al., 2004)"},"properties":{"noteIndex":0},"schema":"https://github.com/citation-style-language/schema/raw/master/csl-citation.json"}</w:instrText>
      </w:r>
      <w:r w:rsidR="00B65C4E">
        <w:fldChar w:fldCharType="separate"/>
      </w:r>
      <w:r w:rsidR="00B65C4E" w:rsidRPr="00B65C4E">
        <w:rPr>
          <w:noProof/>
        </w:rPr>
        <w:t>Frost et al., 2004)</w:t>
      </w:r>
      <w:r w:rsidR="00B65C4E">
        <w:fldChar w:fldCharType="end"/>
      </w:r>
      <w:r w:rsidR="00B65C4E">
        <w:t xml:space="preserve">. </w:t>
      </w:r>
      <w:r>
        <w:t xml:space="preserve">The SI-R is a 23-item measure of hoarding severity including three subscales of difficulty discarding, acquisition, and clutter. Participants are asked to rank each item on a 5-point Likert Scale (0 = </w:t>
      </w:r>
      <w:r>
        <w:rPr>
          <w:i/>
          <w:iCs/>
        </w:rPr>
        <w:t>Low frequency/intensity</w:t>
      </w:r>
      <w:r>
        <w:t xml:space="preserve">, </w:t>
      </w:r>
      <w:r w:rsidRPr="0091642F">
        <w:t xml:space="preserve">4 = </w:t>
      </w:r>
      <w:r>
        <w:rPr>
          <w:i/>
          <w:iCs/>
        </w:rPr>
        <w:t>High frequency/intensity</w:t>
      </w:r>
      <w:r>
        <w:t>). Higher scores indicate greater hoarding severity, with an overall cutoff score of 41 to indicate clinical levels</w:t>
      </w:r>
      <w:r w:rsidR="00FC51A2">
        <w:t xml:space="preserve"> </w:t>
      </w:r>
      <w:r w:rsidR="00FC51A2">
        <w:fldChar w:fldCharType="begin" w:fldLock="1"/>
      </w:r>
      <w:r w:rsidR="00B65C4E">
        <w:instrText>ADDIN CSL_CITATION {"citationItems":[{"id":"ITEM-1","itemData":{"DOI":"10.1002/jclp.20790","ISSN":"00219762","author":[{"dropping-particle":"","family":"Frost","given":"Randy O.","non-dropping-particle":"","parse-names":false,"suffix":""},{"dropping-particle":"","family":"Hristova","given":"Veselina","non-dropping-particle":"","parse-names":false,"suffix":""}],"container-title":"Journal of Clinical Psychology","id":"ITEM-1","issue":"5","issued":{"date-parts":[["2011"]]},"page":"456-466","title":"Assessment of hoarding","type":"article-journal","volume":"67"},"uris":["http://www.mendeley.com/documents/?uuid=e6af282f-3db1-4e65-b91f-cc935345c5e3"]}],"mendeley":{"formattedCitation":"(Frost &amp; Hristova, 2011)","plainTextFormattedCitation":"(Frost &amp; Hristova, 2011)","previouslyFormattedCitation":"(Frost &amp; Hristova, 2011)"},"properties":{"noteIndex":0},"schema":"https://github.com/citation-style-language/schema/raw/master/csl-citation.json"}</w:instrText>
      </w:r>
      <w:r w:rsidR="00FC51A2">
        <w:fldChar w:fldCharType="separate"/>
      </w:r>
      <w:r w:rsidR="00FC51A2" w:rsidRPr="00FC51A2">
        <w:rPr>
          <w:noProof/>
        </w:rPr>
        <w:t>(Frost &amp; Hristova, 2011)</w:t>
      </w:r>
      <w:r w:rsidR="00FC51A2">
        <w:fldChar w:fldCharType="end"/>
      </w:r>
      <w:r>
        <w:t xml:space="preserve">. Example items include “To </w:t>
      </w:r>
      <w:r>
        <w:lastRenderedPageBreak/>
        <w:t>what extent do you have so many things that your room(s) are cluttered?” and “How strong is your urge to save something you know you may never use?” The SI-R has established good consistency, reliability, and validity in clinical samples</w:t>
      </w:r>
      <w:r w:rsidR="00B65C4E">
        <w:t xml:space="preserve"> </w:t>
      </w:r>
      <w:r w:rsidR="00B65C4E">
        <w:fldChar w:fldCharType="begin" w:fldLock="1"/>
      </w:r>
      <w:r w:rsidR="00B65C4E">
        <w:instrText>ADDIN CSL_CITATION {"citationItems":[{"id":"ITEM-1","itemData":{"DOI":"10.1016/j.brat.2003.07.006","ISSN":"00057967","author":[{"dropping-particle":"","family":"Frost","given":"Randy O.","non-dropping-particle":"","parse-names":false,"suffix":""},{"dropping-particle":"","family":"Steketee","given":"Gail","non-dropping-particle":"","parse-names":false,"suffix":""},{"dropping-particle":"","family":"Grisham","given":"Jessica","non-dropping-particle":"","parse-names":false,"suffix":""}],"container-title":"Behaviour Research and Therapy","id":"ITEM-1","issued":{"date-parts":[["2004"]]},"page":"1163-1182","title":"Measurement of compulsive hoarding: Saving inventory-revised","type":"article-journal","volume":"42"},"uris":["http://www.mendeley.com/documents/?uuid=f95b1376-a1ef-4340-9cf1-bed5e88c20a6"]}],"mendeley":{"formattedCitation":"(Frost et al., 2004)","plainTextFormattedCitation":"(Frost et al., 2004)","previouslyFormattedCitation":"(Frost et al., 2004)"},"properties":{"noteIndex":0},"schema":"https://github.com/citation-style-language/schema/raw/master/csl-citation.json"}</w:instrText>
      </w:r>
      <w:r w:rsidR="00B65C4E">
        <w:fldChar w:fldCharType="separate"/>
      </w:r>
      <w:r w:rsidR="00B65C4E" w:rsidRPr="00B65C4E">
        <w:rPr>
          <w:noProof/>
        </w:rPr>
        <w:t>(Frost et al., 2004)</w:t>
      </w:r>
      <w:r w:rsidR="00B65C4E">
        <w:fldChar w:fldCharType="end"/>
      </w:r>
      <w:r w:rsidR="00B65C4E">
        <w:t>.</w:t>
      </w:r>
      <w:r>
        <w:t xml:space="preserve"> In the present study, internal consistency was excellent (</w:t>
      </w:r>
      <w:r w:rsidRPr="00D67F48">
        <w:t xml:space="preserve">Total </w:t>
      </w:r>
      <w:r w:rsidRPr="00D67F48">
        <w:sym w:font="Symbol" w:char="F061"/>
      </w:r>
      <w:r w:rsidRPr="00D67F48">
        <w:t xml:space="preserve"> = .93, Difficulty Discarding </w:t>
      </w:r>
      <w:r w:rsidRPr="00D67F48">
        <w:sym w:font="Symbol" w:char="F061"/>
      </w:r>
      <w:r w:rsidRPr="00D67F48">
        <w:t xml:space="preserve"> = .88, Excessive Acquisition </w:t>
      </w:r>
      <w:r w:rsidRPr="00D67F48">
        <w:sym w:font="Symbol" w:char="F061"/>
      </w:r>
      <w:r w:rsidRPr="00D67F48">
        <w:t xml:space="preserve"> = .85, and Clutter </w:t>
      </w:r>
      <w:r w:rsidRPr="00D67F48">
        <w:sym w:font="Symbol" w:char="F061"/>
      </w:r>
      <w:r w:rsidRPr="00D67F48">
        <w:t xml:space="preserve"> = .93</w:t>
      </w:r>
      <w:r>
        <w:t>).</w:t>
      </w:r>
    </w:p>
    <w:p w14:paraId="4B9E09AA" w14:textId="6E4FA351" w:rsidR="00823CD0" w:rsidRPr="00AA779F" w:rsidRDefault="00823CD0" w:rsidP="00823CD0">
      <w:pPr>
        <w:spacing w:line="480" w:lineRule="auto"/>
      </w:pPr>
      <w:r>
        <w:rPr>
          <w:b/>
          <w:bCs/>
        </w:rPr>
        <w:tab/>
        <w:t xml:space="preserve">Sheehan disability scale </w:t>
      </w:r>
      <w:r>
        <w:t>(SDS;</w:t>
      </w:r>
      <w:r w:rsidR="00B65C4E">
        <w:t xml:space="preserve"> </w:t>
      </w:r>
      <w:r w:rsidR="00B65C4E">
        <w:fldChar w:fldCharType="begin" w:fldLock="1"/>
      </w:r>
      <w:r w:rsidR="00B65C4E">
        <w:instrText>ADDIN CSL_CITATION {"citationItems":[{"id":"ITEM-1","itemData":{"ISSN":"1473-5857","author":[{"dropping-particle":"V","family":"Sheehan","given":"D","non-dropping-particle":"","parse-names":false,"suffix":""},{"dropping-particle":"","family":"Harnett-Sheehan","given":"K","non-dropping-particle":"","parse-names":false,"suffix":""},{"dropping-particle":"","family":"Raj","given":"B A","non-dropping-particle":"","parse-names":false,"suffix":""}],"container-title":"International clinical psychopharmacology","id":"ITEM-1","issued":{"date-parts":[["1996"]]},"publisher":"Lippincott Williams &amp; Wilkins","title":"The measurement of disability.","type":"article-journal"},"uris":["http://www.mendeley.com/documents/?uuid=4738b116-ffbf-4e1e-9654-22ad2d87c208"]}],"mendeley":{"formattedCitation":"(Sheehan et al., 1996)","manualFormatting":"Sheehan et al., 1996)","plainTextFormattedCitation":"(Sheehan et al., 1996)","previouslyFormattedCitation":"(Sheehan et al., 1996)"},"properties":{"noteIndex":0},"schema":"https://github.com/citation-style-language/schema/raw/master/csl-citation.json"}</w:instrText>
      </w:r>
      <w:r w:rsidR="00B65C4E">
        <w:fldChar w:fldCharType="separate"/>
      </w:r>
      <w:r w:rsidR="00B65C4E" w:rsidRPr="00B65C4E">
        <w:rPr>
          <w:noProof/>
        </w:rPr>
        <w:t>Sheehan et al., 1996)</w:t>
      </w:r>
      <w:r w:rsidR="00B65C4E">
        <w:fldChar w:fldCharType="end"/>
      </w:r>
      <w:r>
        <w:t>. The SDS is a three</w:t>
      </w:r>
      <w:r w:rsidR="00B41892">
        <w:t>-</w:t>
      </w:r>
      <w:r>
        <w:t>item measure of functional impairment in work, social life, and family domains. The SDS was slightly adapted for the present study to specify impairment due to hoarding, as done in previous research</w:t>
      </w:r>
      <w:r w:rsidR="00B65C4E">
        <w:t xml:space="preserve"> </w:t>
      </w:r>
      <w:r w:rsidR="00B65C4E">
        <w:fldChar w:fldCharType="begin" w:fldLock="1"/>
      </w:r>
      <w:r w:rsidR="00B758EC">
        <w:instrText>ADDIN CSL_CITATION {"citationItems":[{"id":"ITEM-1","itemData":{"DOI":"10.1016/j.jocrd.2013.02.006","ISBN":"2211-3649","ISSN":"22113649","PMID":"2013312178","abstract":"Cognitive-behavioral models of hoarding disorder have identified information processing deficits of categorization and organization, decision-making and indecisiveness, memory, and attention as contributors to hoarding symptoms. The purpose of the current study was to determine whether deficits of memory, attention, and indecisiveness found in hoarders are also present in nonclinical hoarders. Participants included 36 nonclinical hoarders (\"packrats\") and 37 controls low in hoarding symptoms. Participants completed neuropsychological tests of memory, sustained attention, and intelligence as well as a battery of questionnaires assessing various symptoms related to the study hypotheses, including hoarding disorder, obsessive-compulsive disorder, and attention-deficit/hyperactivity disorder (ADHD). Nonclinical hoarders reported higher levels of indecisiveness, more concern about memory and cognitive processes, more ADHD symptoms, and higher levels of impulsiveness on self-report questionnaires; however, they did not display impairments in memory, sustained attention, or impulsiveness on neuropsychological tests. The current study highlights potential risk factors of perceived cognitive deficits in the development of hoarding disorder. ?? 2013 Elsevier Ltd.","author":[{"dropping-particle":"","family":"Fitch","given":"Kristin E.","non-dropping-particle":"","parse-names":false,"suffix":""},{"dropping-particle":"","family":"Cougle","given":"Jesse R.","non-dropping-particle":"","parse-names":false,"suffix":""}],"container-title":"Journal of Obsessive-Compulsive and Related Disorders","id":"ITEM-1","issue":"2","issued":{"date-parts":[["2013"]]},"page":"192-199","publisher":"Elsevier","title":"Perceived and actual information processing deficits in nonclinical hoarding","type":"article-journal","volume":"2"},"uris":["http://www.mendeley.com/documents/?uuid=24f24e55-fa0b-431f-9ded-084a759835ac"]}],"mendeley":{"formattedCitation":"(Fitch &amp; Cougle, 2013)","plainTextFormattedCitation":"(Fitch &amp; Cougle, 2013)","previouslyFormattedCitation":"(Fitch &amp; Cougle, 2013)"},"properties":{"noteIndex":0},"schema":"https://github.com/citation-style-language/schema/raw/master/csl-citation.json"}</w:instrText>
      </w:r>
      <w:r w:rsidR="00B65C4E">
        <w:fldChar w:fldCharType="separate"/>
      </w:r>
      <w:r w:rsidR="00B65C4E" w:rsidRPr="00B65C4E">
        <w:rPr>
          <w:noProof/>
        </w:rPr>
        <w:t>(Fitch &amp; Cougle, 2013)</w:t>
      </w:r>
      <w:r w:rsidR="00B65C4E">
        <w:fldChar w:fldCharType="end"/>
      </w:r>
      <w:r w:rsidR="00B65C4E">
        <w:t>.</w:t>
      </w:r>
      <w:r>
        <w:t xml:space="preserve"> Participants rank each item on an 11-point Likert scale (0 = </w:t>
      </w:r>
      <w:r>
        <w:rPr>
          <w:i/>
          <w:iCs/>
        </w:rPr>
        <w:t>Not at all</w:t>
      </w:r>
      <w:r>
        <w:t xml:space="preserve">, 10 = </w:t>
      </w:r>
      <w:r>
        <w:rPr>
          <w:i/>
          <w:iCs/>
        </w:rPr>
        <w:t>Extremely</w:t>
      </w:r>
      <w:r>
        <w:t>), with higher scores indicating greater impairment. One sample item is “The symptoms have disrupted your work/schoolwork.” Internal consistency of the SDS is considered good in both past studies and the current sample (</w:t>
      </w:r>
      <w:r w:rsidRPr="00275C13">
        <w:sym w:font="Symbol" w:char="F061"/>
      </w:r>
      <w:r w:rsidRPr="00275C13">
        <w:t xml:space="preserve"> = .83</w:t>
      </w:r>
      <w:r>
        <w:t>).</w:t>
      </w:r>
    </w:p>
    <w:p w14:paraId="08E5953B" w14:textId="257E3DDB" w:rsidR="00823CD0" w:rsidRPr="00801470" w:rsidRDefault="00823CD0" w:rsidP="00823CD0">
      <w:pPr>
        <w:spacing w:line="480" w:lineRule="auto"/>
      </w:pPr>
      <w:r>
        <w:rPr>
          <w:b/>
          <w:bCs/>
        </w:rPr>
        <w:tab/>
        <w:t xml:space="preserve">Clinical global impression – improvement </w:t>
      </w:r>
      <w:r>
        <w:t xml:space="preserve">(CGI-I; </w:t>
      </w:r>
      <w:r w:rsidR="00B758EC">
        <w:fldChar w:fldCharType="begin" w:fldLock="1"/>
      </w:r>
      <w:r w:rsidR="00B758EC">
        <w:instrText>ADDIN CSL_CITATION {"citationItems":[{"id":"ITEM-1","itemData":{"author":[{"dropping-particle":"","family":"Guy","given":"W","non-dropping-particle":"","parse-names":false,"suffix":""}],"id":"ITEM-1","issued":{"date-parts":[["1976"]]},"number-of-pages":"218-222","publisher":"National Institute of Mental Health","publisher-place":"Rockville, MD","title":"Clinical Global Impressions ECDEU Assessment Manual for Psychopharmacology, Revised (DHEW Publ. No. ADM 76-338).","type":"book"},"uris":["http://www.mendeley.com/documents/?uuid=876beea7-3f29-4ead-a104-dc447cdc99f3"]}],"mendeley":{"formattedCitation":"(Guy, 1976)","manualFormatting":"Guy, 1976)","plainTextFormattedCitation":"(Guy, 1976)","previouslyFormattedCitation":"(Guy, 1976)"},"properties":{"noteIndex":0},"schema":"https://github.com/citation-style-language/schema/raw/master/csl-citation.json"}</w:instrText>
      </w:r>
      <w:r w:rsidR="00B758EC">
        <w:fldChar w:fldCharType="separate"/>
      </w:r>
      <w:r w:rsidR="00B758EC" w:rsidRPr="00B758EC">
        <w:rPr>
          <w:noProof/>
        </w:rPr>
        <w:t>Guy, 1976)</w:t>
      </w:r>
      <w:r w:rsidR="00B758EC">
        <w:fldChar w:fldCharType="end"/>
      </w:r>
      <w:r>
        <w:t>. The CGI-I is a single</w:t>
      </w:r>
      <w:r w:rsidR="00C96197">
        <w:t>-</w:t>
      </w:r>
      <w:r>
        <w:t>item measure of symptom improvement. The CGI-I is typically clinician-rate</w:t>
      </w:r>
      <w:r w:rsidR="00C96197">
        <w:t>d</w:t>
      </w:r>
      <w:r>
        <w:t xml:space="preserve"> but was adapted into self-report for the current study. At posttreatment, participants rated their own perceptions of their symptom improvement over the last eight weeks on a 7-point Likert scale (1 = </w:t>
      </w:r>
      <w:r>
        <w:rPr>
          <w:i/>
          <w:iCs/>
        </w:rPr>
        <w:t xml:space="preserve">Very much </w:t>
      </w:r>
      <w:r w:rsidRPr="0002085C">
        <w:rPr>
          <w:i/>
          <w:iCs/>
        </w:rPr>
        <w:t>improved</w:t>
      </w:r>
      <w:r>
        <w:t xml:space="preserve">, 7 = </w:t>
      </w:r>
      <w:r w:rsidRPr="0002085C">
        <w:rPr>
          <w:i/>
          <w:iCs/>
        </w:rPr>
        <w:t>Very much worse</w:t>
      </w:r>
      <w:r>
        <w:t xml:space="preserve">); higher scores indicate worsening of symptoms. </w:t>
      </w:r>
      <w:r w:rsidRPr="0002085C">
        <w:t>The</w:t>
      </w:r>
      <w:r>
        <w:t xml:space="preserve"> CGI-I has demonstrated sufficient sensitivity in previous hoarding research</w:t>
      </w:r>
      <w:r w:rsidR="00B758EC">
        <w:t xml:space="preserve"> </w:t>
      </w:r>
      <w:r w:rsidR="00B758EC">
        <w:fldChar w:fldCharType="begin" w:fldLock="1"/>
      </w:r>
      <w:r w:rsidR="00B758EC">
        <w:instrText>ADDIN CSL_CITATION {"citationItems":[{"id":"ITEM-1","itemData":{"DOI":"10.1016/j.brat.2009.09.006","ISBN":"0005-7967","ISSN":"00057967","PMID":"19800051","abstract":"This study tested the effectiveness of an existing private online CBT-based group intervention designed to help people with hoarding. Web-group participants were hypothesized to show more improvement in hoarding symptoms over time compared to those placed on a naturalistic waitlist. This web-based self-help group (N = 106 members, N = 155 waitlisted) includes a formal application process and requires that participants post action steps and progress at least once monthly. Members have access to educational resources on hoarding, cognitive strategies, and a chat-group. Potential research participants were invited to complete an anonymous web-based survey about their hoarding behaviors and clinical improvement on five occasions (3 months apart). The sample was mainly middle-aged, female and White. Regression analyses show that Recent members reported greater improvement and less clutter at 6 months (than Waitlist). Long-term members reported milder hoarding symptoms than Recent ones, suggesting benefits from group participation over time. All members showed reductions in clutter and hoarding symptoms over 15 months. Less posting activity was associated with greater hoarding severity. Online CBT-based self-help for hoarding appears to be a promising intervention strategy that may extend access to treatment. Evaluating the benefits of internet self-help groups is critical given growing popularity of and demand for web-based interventions. © 2009 Elsevier Ltd. All rights reserved.","author":[{"dropping-particle":"","family":"Muroff","given":"Jordana","non-dropping-particle":"","parse-names":false,"suffix":""},{"dropping-particle":"","family":"Steketee","given":"Gail","non-dropping-particle":"","parse-names":false,"suffix":""},{"dropping-particle":"","family":"Himle","given":"Joe","non-dropping-particle":"","parse-names":false,"suffix":""},{"dropping-particle":"","family":"Frost","given":"Randy","non-dropping-particle":"","parse-names":false,"suffix":""}],"container-title":"Behaviour Research and Therapy","id":"ITEM-1","issue":"1","issued":{"date-parts":[["2010"]]},"page":"79-85","publisher":"Elsevier Ltd","title":"Delivery of internet treatment for compulsive hoarding (D.I.T.C.H.)","type":"article-journal","volume":"48"},"uris":["http://www.mendeley.com/documents/?uuid=08b1458b-ad37-4bcb-a618-8469029ed80a"]}],"mendeley":{"formattedCitation":"(Muroff et al., 2010)","plainTextFormattedCitation":"(Muroff et al., 2010)","previouslyFormattedCitation":"(Muroff et al., 2010)"},"properties":{"noteIndex":0},"schema":"https://github.com/citation-style-language/schema/raw/master/csl-citation.json"}</w:instrText>
      </w:r>
      <w:r w:rsidR="00B758EC">
        <w:fldChar w:fldCharType="separate"/>
      </w:r>
      <w:r w:rsidR="00B758EC" w:rsidRPr="00B758EC">
        <w:rPr>
          <w:noProof/>
        </w:rPr>
        <w:t>(Muroff et al., 2010)</w:t>
      </w:r>
      <w:r w:rsidR="00B758EC">
        <w:fldChar w:fldCharType="end"/>
      </w:r>
      <w:r w:rsidR="00B758EC">
        <w:t>.</w:t>
      </w:r>
    </w:p>
    <w:p w14:paraId="6A9A9D12" w14:textId="202763D4" w:rsidR="00823CD0" w:rsidRPr="00257256" w:rsidRDefault="00823CD0" w:rsidP="00823CD0">
      <w:pPr>
        <w:spacing w:line="480" w:lineRule="auto"/>
      </w:pPr>
      <w:r>
        <w:rPr>
          <w:b/>
          <w:bCs/>
        </w:rPr>
        <w:tab/>
        <w:t xml:space="preserve">General health questionnaire-12 </w:t>
      </w:r>
      <w:r>
        <w:t xml:space="preserve">(GHQ-12; </w:t>
      </w:r>
      <w:r w:rsidR="00B758EC">
        <w:fldChar w:fldCharType="begin" w:fldLock="1"/>
      </w:r>
      <w:r w:rsidR="00B758EC">
        <w:instrText>ADDIN CSL_CITATION {"citationItems":[{"id":"ITEM-1","itemData":{"author":[{"dropping-particle":"","family":"Goldberg","given":"D. P.","non-dropping-particle":"","parse-names":false,"suffix":""}],"id":"ITEM-1","issued":{"date-parts":[["1978"]]},"publisher":"NFER","publisher-place":"Windsor","title":"Manual of the GHQ.","type":"book"},"uris":["http://www.mendeley.com/documents/?uuid=fa757c08-17c1-48be-adfd-8d33941de51f"]}],"mendeley":{"formattedCitation":"(Goldberg, 1978)","manualFormatting":"Goldberg, 1978)","plainTextFormattedCitation":"(Goldberg, 1978)","previouslyFormattedCitation":"(Goldberg, 1978)"},"properties":{"noteIndex":0},"schema":"https://github.com/citation-style-language/schema/raw/master/csl-citation.json"}</w:instrText>
      </w:r>
      <w:r w:rsidR="00B758EC">
        <w:fldChar w:fldCharType="separate"/>
      </w:r>
      <w:r w:rsidR="00B758EC" w:rsidRPr="00B758EC">
        <w:rPr>
          <w:noProof/>
        </w:rPr>
        <w:t>Goldberg, 1978)</w:t>
      </w:r>
      <w:r w:rsidR="00B758EC">
        <w:fldChar w:fldCharType="end"/>
      </w:r>
      <w:r>
        <w:t xml:space="preserve">. The GHQ-12 is a 12-item measure of overall well-being. Participants rate each item on a 4-point Likert scale (1 = </w:t>
      </w:r>
      <w:r>
        <w:rPr>
          <w:i/>
          <w:iCs/>
        </w:rPr>
        <w:t>Much less than usual</w:t>
      </w:r>
      <w:r>
        <w:t xml:space="preserve">, 4 = </w:t>
      </w:r>
      <w:r>
        <w:rPr>
          <w:i/>
          <w:iCs/>
        </w:rPr>
        <w:t>Better than usual</w:t>
      </w:r>
      <w:r>
        <w:t>). Higher scores represent greater distress (i.e., lower well-being). Sample items include “Have you recently lost much sleep over worry</w:t>
      </w:r>
      <w:r w:rsidR="00340A83">
        <w:t>?</w:t>
      </w:r>
      <w:r>
        <w:t xml:space="preserve">” and “Have you recently been thinking of yourself as a worthless person?” The GHQ-12 is a commonly used </w:t>
      </w:r>
      <w:r>
        <w:lastRenderedPageBreak/>
        <w:t>measure and has established good validity</w:t>
      </w:r>
      <w:r w:rsidR="00B758EC">
        <w:t xml:space="preserve"> </w:t>
      </w:r>
      <w:r w:rsidR="00B758EC">
        <w:fldChar w:fldCharType="begin" w:fldLock="1"/>
      </w:r>
      <w:r w:rsidR="00B758EC">
        <w:instrText>ADDIN CSL_CITATION {"citationItems":[{"id":"ITEM-1","itemData":{"DOI":"10.1017/S0033291796004242","ISBN":"0033-2917","ISSN":"00332917","PMID":"9122299","abstract":"BACKGROUND: In recent years the 12-item General Health Questionnaire (GHQ-12) has been extensively used as a short screening instrument, producing results that are comparable to longer versions of the GHQ. METHODS: The validity of the GHQ-12 was compared with the GHQ-28 in a World Health organization study of psychological disorders in general health care. Results are presented for 5438 patients interviewed in 15 centres using the primary care version of the Composite International Diagnostic Instrument, or CIDI-PC. RESULTS: Results were uniformly good, with the average area under the ROC curve 88, range from 83 to 95. Minor variations in the criteria used for defining a case made little difference to the validity of the GHQ, and complex scoring methods offered no advantages over simpler ones. The GHQ was translated into 10 other languages for the purposes of this study, and validity coefficients were almost as high as in the original language. There was no tendency for the GHQ to work less efficiently in developing countries. Finally gender, age and educational level are shown to have no significant effect on the validity of the GHQ. CONCLUSIONS: If investigators wish to use a screening instrument as a case detector, the shorter GHQ is remarkably robust and works as well as the longer instrument. The latter should only be preferred if there is an interest in the scaled scores provided in addition to the total score.","author":[{"dropping-particle":"","family":"Goldberg","given":"D. P.","non-dropping-particle":"","parse-names":false,"suffix":""},{"dropping-particle":"","family":"Gater","given":"R.","non-dropping-particle":"","parse-names":false,"suffix":""},{"dropping-particle":"","family":"Sartorius","given":"N.","non-dropping-particle":"","parse-names":false,"suffix":""},{"dropping-particle":"","family":"Ustun","given":"T. B.","non-dropping-particle":"","parse-names":false,"suffix":""},{"dropping-particle":"","family":"Piccinelli","given":"M.","non-dropping-particle":"","parse-names":false,"suffix":""},{"dropping-particle":"","family":"Gureje","given":"O.","non-dropping-particle":"","parse-names":false,"suffix":""},{"dropping-particle":"","family":"Rutter","given":"C.","non-dropping-particle":"","parse-names":false,"suffix":""}],"container-title":"Psychological Medicine","id":"ITEM-1","issue":"1","issued":{"date-parts":[["1997"]]},"page":"191-197","title":"The validity of two versions of the GHQ in the WHO study of mental illness in general health care","type":"article-journal","volume":"27"},"uris":["http://www.mendeley.com/documents/?uuid=14348f4a-b49e-4d05-9ab9-7cb4f6163219"]}],"mendeley":{"formattedCitation":"(Goldberg et al., 1997)","plainTextFormattedCitation":"(Goldberg et al., 1997)","previouslyFormattedCitation":"(Goldberg et al., 1997)"},"properties":{"noteIndex":0},"schema":"https://github.com/citation-style-language/schema/raw/master/csl-citation.json"}</w:instrText>
      </w:r>
      <w:r w:rsidR="00B758EC">
        <w:fldChar w:fldCharType="separate"/>
      </w:r>
      <w:r w:rsidR="00B758EC" w:rsidRPr="00B758EC">
        <w:rPr>
          <w:noProof/>
        </w:rPr>
        <w:t>(Goldberg et al., 1997)</w:t>
      </w:r>
      <w:r w:rsidR="00B758EC">
        <w:fldChar w:fldCharType="end"/>
      </w:r>
      <w:r>
        <w:t xml:space="preserve">. The internal consistency in the present study was excellent </w:t>
      </w:r>
      <w:r w:rsidRPr="00606E98">
        <w:t>(</w:t>
      </w:r>
      <w:r w:rsidRPr="00606E98">
        <w:sym w:font="Symbol" w:char="F061"/>
      </w:r>
      <w:r w:rsidRPr="00606E98">
        <w:t xml:space="preserve"> = .91</w:t>
      </w:r>
      <w:r>
        <w:t>).</w:t>
      </w:r>
    </w:p>
    <w:p w14:paraId="4888B4EC" w14:textId="403585B3" w:rsidR="00823CD0" w:rsidRPr="00EF65AA" w:rsidRDefault="00823CD0" w:rsidP="00823CD0">
      <w:pPr>
        <w:spacing w:line="480" w:lineRule="auto"/>
      </w:pPr>
      <w:r>
        <w:rPr>
          <w:b/>
          <w:bCs/>
        </w:rPr>
        <w:tab/>
        <w:t xml:space="preserve">Credibility/expectancy questionnaire </w:t>
      </w:r>
      <w:r>
        <w:t>(CEQ;</w:t>
      </w:r>
      <w:r w:rsidR="00B758EC">
        <w:t xml:space="preserve"> </w:t>
      </w:r>
      <w:r w:rsidR="00B758EC">
        <w:fldChar w:fldCharType="begin" w:fldLock="1"/>
      </w:r>
      <w:r w:rsidR="00B758EC">
        <w:instrText>ADDIN CSL_CITATION {"citationItems":[{"id":"ITEM-1","itemData":{"DOI":"10.1016/S0005-7916(00)00012-4","ISBN":"6138344944","ISSN":"00057916","PMID":"11132119","abstract":"The present research evaluated the psychometric properties of the credibility/expectancy questionnaire, a quick and easy-to-administer scale for measuring treatment expectancy and rationale credibility for use in clinical outcome studies. The results suggested that this questionnaire derives the two predicted factors (cognitively based credibility and relatively more affectively based expectancy) and that these factors are stable across different populations. Furthermore, the questionnaire demonstrated high internal consistency within each factor and good test-retest reliability. The expectancy factor predicted outcome on some measures, whereas the credibility factor was unrelated to outcome. The questionnaire is appended to the paper, yet the authors stress care when utilizing the scale. During the administration of the questionnaire, the participant sees two sections - one related to thinking and one related to feeling. However, the researcher needs to be aware that the 2 factors derived are not grouped into those questions. Instead credibility was found to be derived from the first three think questions and expectancy was derived from the fourth think question and the two feel questions. (C) 2000 Elsevier Science Ltd.","author":[{"dropping-particle":"","family":"Devilly","given":"Grant J.","non-dropping-particle":"","parse-names":false,"suffix":""},{"dropping-particle":"","family":"Borkovec","given":"Thomas D.","non-dropping-particle":"","parse-names":false,"suffix":""}],"container-title":"Journal of Behavior Therapy and Experimental Psychiatry","id":"ITEM-1","issue":"2","issued":{"date-parts":[["2000"]]},"page":"73-86","title":"Psychometric properties of the credibility/expectancy questionnaire","type":"article-journal","volume":"31"},"uris":["http://www.mendeley.com/documents/?uuid=232d539c-c84a-496f-8277-4dacc44f759e"]}],"mendeley":{"formattedCitation":"(Devilly &amp; Borkovec, 2000)","manualFormatting":"Devilly &amp; Borkovec, 2000)","plainTextFormattedCitation":"(Devilly &amp; Borkovec, 2000)","previouslyFormattedCitation":"(Devilly &amp; Borkovec, 2000)"},"properties":{"noteIndex":0},"schema":"https://github.com/citation-style-language/schema/raw/master/csl-citation.json"}</w:instrText>
      </w:r>
      <w:r w:rsidR="00B758EC">
        <w:fldChar w:fldCharType="separate"/>
      </w:r>
      <w:r w:rsidR="00B758EC" w:rsidRPr="00B758EC">
        <w:rPr>
          <w:noProof/>
        </w:rPr>
        <w:t>Devilly &amp; Borkovec, 2000)</w:t>
      </w:r>
      <w:r w:rsidR="00B758EC">
        <w:fldChar w:fldCharType="end"/>
      </w:r>
      <w:r>
        <w:t>. The CEQ is a 6-item self-report measure of treatment credibility and expectancy. In the present study, the CEQ was slightly altered so that</w:t>
      </w:r>
      <w:r w:rsidRPr="008E1B77">
        <w:t xml:space="preserve"> all</w:t>
      </w:r>
      <w:r>
        <w:t xml:space="preserve"> items</w:t>
      </w:r>
      <w:r w:rsidRPr="008E1B77">
        <w:t xml:space="preserve"> referred to “treatment” rather than “therapy,” and to “clutter and/or hoarding” rather than “anxiety” symptoms</w:t>
      </w:r>
      <w:r>
        <w:t xml:space="preserve">. </w:t>
      </w:r>
      <w:r w:rsidR="00303845">
        <w:t xml:space="preserve">This measure was administered directly after completion of the first website session. </w:t>
      </w:r>
      <w:r>
        <w:t>Participants rank some items on a 9-point Likert scale and others on a scale of 0-100%. In the current study, i</w:t>
      </w:r>
      <w:r w:rsidRPr="00370EFE">
        <w:t>nternal consistency was inadequate for credibility (</w:t>
      </w:r>
      <w:r w:rsidRPr="008E1B77">
        <w:sym w:font="Symbol" w:char="F061"/>
      </w:r>
      <w:r w:rsidRPr="00370EFE">
        <w:t xml:space="preserve"> = .59) and good for expectancy (</w:t>
      </w:r>
      <w:r w:rsidRPr="008E1B77">
        <w:sym w:font="Symbol" w:char="F061"/>
      </w:r>
      <w:r w:rsidRPr="00370EFE">
        <w:t xml:space="preserve"> = .82).</w:t>
      </w:r>
    </w:p>
    <w:p w14:paraId="3F91A577" w14:textId="488742F0" w:rsidR="00823CD0" w:rsidRPr="00A11DD4" w:rsidRDefault="00823CD0" w:rsidP="00823CD0">
      <w:pPr>
        <w:spacing w:line="480" w:lineRule="auto"/>
      </w:pPr>
      <w:r>
        <w:rPr>
          <w:b/>
          <w:bCs/>
        </w:rPr>
        <w:tab/>
        <w:t xml:space="preserve">System usability scale </w:t>
      </w:r>
      <w:r>
        <w:t xml:space="preserve">(SUS; </w:t>
      </w:r>
      <w:r w:rsidR="00B758EC">
        <w:fldChar w:fldCharType="begin" w:fldLock="1"/>
      </w:r>
      <w:r w:rsidR="00B758EC">
        <w:instrText>ADDIN CSL_CITATION {"citationItems":[{"id":"ITEM-1","itemData":{"author":[{"dropping-particle":"","family":"Tullis","given":"T","non-dropping-particle":"","parse-names":false,"suffix":""},{"dropping-particle":"","family":"Albert","given":"W","non-dropping-particle":"","parse-names":false,"suffix":""}],"id":"ITEM-1","issued":{"date-parts":[["2008"]]},"publisher":"Morgan Kaufmann","publisher-place":"San Francisco, CA","title":"Measuring the user experience","type":"book"},"uris":["http://www.mendeley.com/documents/?uuid=a8268cde-929d-48cd-a6de-27df0c288727"]}],"mendeley":{"formattedCitation":"(Tullis &amp; Albert, 2008)","manualFormatting":"Tullis &amp; Albert, 2008)","plainTextFormattedCitation":"(Tullis &amp; Albert, 2008)","previouslyFormattedCitation":"(Tullis &amp; Albert, 2008)"},"properties":{"noteIndex":0},"schema":"https://github.com/citation-style-language/schema/raw/master/csl-citation.json"}</w:instrText>
      </w:r>
      <w:r w:rsidR="00B758EC">
        <w:fldChar w:fldCharType="separate"/>
      </w:r>
      <w:r w:rsidR="00B758EC" w:rsidRPr="00B758EC">
        <w:rPr>
          <w:noProof/>
        </w:rPr>
        <w:t>Tullis &amp; Albert, 2008)</w:t>
      </w:r>
      <w:r w:rsidR="00B758EC">
        <w:fldChar w:fldCharType="end"/>
      </w:r>
      <w:r w:rsidR="00B758EC">
        <w:t xml:space="preserve">. </w:t>
      </w:r>
      <w:r>
        <w:t xml:space="preserve">The SUS is a 10-item questionnaire assessing the usability of technological systems. </w:t>
      </w:r>
      <w:r w:rsidR="00303845">
        <w:t>T</w:t>
      </w:r>
      <w:r>
        <w:t xml:space="preserve">he </w:t>
      </w:r>
      <w:r w:rsidRPr="003067D7">
        <w:rPr>
          <w:color w:val="000000" w:themeColor="text1"/>
        </w:rPr>
        <w:t>present study adapted the SUS to refer specifically to the self-help website for hoarding</w:t>
      </w:r>
      <w:r w:rsidR="00303845">
        <w:rPr>
          <w:color w:val="000000" w:themeColor="text1"/>
        </w:rPr>
        <w:t>; this measure was administered at posttreatment only</w:t>
      </w:r>
      <w:r w:rsidRPr="003067D7">
        <w:rPr>
          <w:color w:val="000000" w:themeColor="text1"/>
        </w:rPr>
        <w:t xml:space="preserve">. </w:t>
      </w:r>
      <w:r>
        <w:rPr>
          <w:color w:val="000000" w:themeColor="text1"/>
          <w:shd w:val="clear" w:color="auto" w:fill="FFFFFF"/>
        </w:rPr>
        <w:t>Participants rank</w:t>
      </w:r>
      <w:r w:rsidR="00214315">
        <w:rPr>
          <w:color w:val="000000" w:themeColor="text1"/>
          <w:shd w:val="clear" w:color="auto" w:fill="FFFFFF"/>
        </w:rPr>
        <w:t>ed</w:t>
      </w:r>
      <w:r>
        <w:rPr>
          <w:color w:val="000000" w:themeColor="text1"/>
          <w:shd w:val="clear" w:color="auto" w:fill="FFFFFF"/>
        </w:rPr>
        <w:t xml:space="preserve"> each item on a 5-point Likert scale (1 = </w:t>
      </w:r>
      <w:r>
        <w:rPr>
          <w:i/>
          <w:iCs/>
          <w:color w:val="000000" w:themeColor="text1"/>
          <w:shd w:val="clear" w:color="auto" w:fill="FFFFFF"/>
        </w:rPr>
        <w:t>Strongly disagree</w:t>
      </w:r>
      <w:r>
        <w:rPr>
          <w:color w:val="000000" w:themeColor="text1"/>
          <w:shd w:val="clear" w:color="auto" w:fill="FFFFFF"/>
        </w:rPr>
        <w:t xml:space="preserve">, 5 = </w:t>
      </w:r>
      <w:r>
        <w:rPr>
          <w:i/>
          <w:iCs/>
          <w:color w:val="000000" w:themeColor="text1"/>
          <w:shd w:val="clear" w:color="auto" w:fill="FFFFFF"/>
        </w:rPr>
        <w:t>Strongly agree</w:t>
      </w:r>
      <w:r>
        <w:rPr>
          <w:color w:val="000000" w:themeColor="text1"/>
          <w:shd w:val="clear" w:color="auto" w:fill="FFFFFF"/>
        </w:rPr>
        <w:t xml:space="preserve">). In the present study, internal consistency was good </w:t>
      </w:r>
      <w:r w:rsidRPr="00370EFE">
        <w:t>(</w:t>
      </w:r>
      <w:r w:rsidRPr="008E1B77">
        <w:sym w:font="Symbol" w:char="F061"/>
      </w:r>
      <w:r w:rsidRPr="00370EFE">
        <w:t xml:space="preserve"> = .8</w:t>
      </w:r>
      <w:r>
        <w:t>7).</w:t>
      </w:r>
    </w:p>
    <w:p w14:paraId="51859701" w14:textId="5FE424A6" w:rsidR="00823CD0" w:rsidRDefault="00823CD0" w:rsidP="00823CD0">
      <w:pPr>
        <w:spacing w:line="480" w:lineRule="auto"/>
        <w:ind w:firstLine="720"/>
      </w:pPr>
      <w:r>
        <w:rPr>
          <w:b/>
          <w:bCs/>
        </w:rPr>
        <w:t>Treatment evaluation inventory</w:t>
      </w:r>
      <w:r w:rsidR="00340A83">
        <w:rPr>
          <w:b/>
          <w:bCs/>
        </w:rPr>
        <w:t>-</w:t>
      </w:r>
      <w:r>
        <w:rPr>
          <w:b/>
          <w:bCs/>
        </w:rPr>
        <w:t xml:space="preserve">short form </w:t>
      </w:r>
      <w:r>
        <w:t xml:space="preserve">(TEI-SF; </w:t>
      </w:r>
      <w:r w:rsidR="00B758EC">
        <w:fldChar w:fldCharType="begin" w:fldLock="1"/>
      </w:r>
      <w:r w:rsidR="00B758EC">
        <w:instrText>ADDIN CSL_CITATION {"citationItems":[{"id":"ITEM-1","itemData":{"author":[{"dropping-particle":"","family":"Kelley","given":"M. L.","non-dropping-particle":"","parse-names":false,"suffix":""},{"dropping-particle":"","family":"Heffer","given":"R. W.","non-dropping-particle":"","parse-names":false,"suffix":""},{"dropping-particle":"","family":"Gresham","given":"F. M.","non-dropping-particle":"","parse-names":false,"suffix":""},{"dropping-particle":"","family":"Elliott","given":"S. N.","non-dropping-particle":"","parse-names":false,"suffix":""}],"container-title":"Journal of Psychopathology and Behavioral Assessment","id":"ITEM-1","issued":{"date-parts":[["1989"]]},"page":"235-247","title":"Development of a modified treatment evaluation inventory","type":"article-journal","volume":"11"},"uris":["http://www.mendeley.com/documents/?uuid=176867c6-8395-44e9-9861-c4ea8463c9c0"]}],"mendeley":{"formattedCitation":"(Kelley et al., 1989)","manualFormatting":"Kelley et al., 1989)","plainTextFormattedCitation":"(Kelley et al., 1989)","previouslyFormattedCitation":"(Kelley et al., 1989)"},"properties":{"noteIndex":0},"schema":"https://github.com/citation-style-language/schema/raw/master/csl-citation.json"}</w:instrText>
      </w:r>
      <w:r w:rsidR="00B758EC">
        <w:fldChar w:fldCharType="separate"/>
      </w:r>
      <w:r w:rsidR="00B758EC" w:rsidRPr="00B758EC">
        <w:rPr>
          <w:noProof/>
        </w:rPr>
        <w:t>Kelley et al., 1989)</w:t>
      </w:r>
      <w:r w:rsidR="00B758EC">
        <w:fldChar w:fldCharType="end"/>
      </w:r>
      <w:r w:rsidR="00B758EC">
        <w:t xml:space="preserve">. </w:t>
      </w:r>
      <w:r>
        <w:t>The TEI-SF is a 9-item questionnaire of treatment acceptability</w:t>
      </w:r>
      <w:r w:rsidR="00303845">
        <w:t>; it was administered at posttreatment</w:t>
      </w:r>
      <w:r>
        <w:t>. In past studies and the present study, the measure was revised to include only seven of the original nine items, as two were not applicable to an adult sample</w:t>
      </w:r>
      <w:r w:rsidR="00B758EC">
        <w:t xml:space="preserve"> </w:t>
      </w:r>
      <w:r w:rsidR="00B758EC">
        <w:fldChar w:fldCharType="begin" w:fldLock="1"/>
      </w:r>
      <w:r w:rsidR="00A5539A">
        <w:instrText>ADDIN CSL_CITATION {"citationItems":[{"id":"ITEM-1","itemData":{"DOI":"10.1037/a0020508.A","abstract":"Objective—Effective treatments for adult OCD exist, but refusal and drop-out rates are high and treatments are not effective for all individuals who complete them. Thus, additional treatment options are needed. This study investigated the effectiveness of eight sessions of Acceptance and Commitment Therapy (ACT) for adult obsessive compulsive disorder (OCD) compared to Progressive Relaxation Training (PRT). Method—79 adults (66% Female) diagnosed with OCD (M age=37, 89% Caucasian) participated in a randomized clinical trial of 8 sessions of ACT or PRT with no in-session exposure. The following assessments were completed at pretreatment, posttreatment, and three month follow-up by an assessor who was unaware of treatment conditions: Yale-Brown Obsessive Compulsive Scale (Y- BOCS), Beck Depression Inventory-II, Quality of Life Scale, Acceptance and Action Questionnaire, Thought Action Fusion Scale, and Thought Control Questionnaire. The Treatment Evaluation Inventory-Short Form was completed at posttreatment. Results—ACT produced greater changes at posttreatment and follow-up over PRT on OCD severity (Y-BOCS: ACT pre=24.22, post=12.76, follow-up=11.79; PRT pre=25.4, post=18.67, follow-up=16.23), and produced greater change on depression among those reporting at least mild depression before treatment. Clinically significant change in OCD severity occurred more in the ACT condition than PRT using multiple criteria (clinical response rates: ACT post=46-56%, follow-up 46-66%; PRT post=13%-18%, follow-up 16-18%). Quality of life improved in both conditions but was marginally in favor of ACT at post. Finally, treatment refusal (2.4% ACT, 7.8% PRT) and drop-out (9.8% ACT, 13.2% PRT) were low in both conditions. Conclusions—ACT is worth exploring further as a treatment for OCD.","author":[{"dropping-particle":"","family":"Twohig","given":"Michael P","non-dropping-particle":"","parse-names":false,"suffix":""},{"dropping-particle":"","family":"Hayes","given":"Steven C","non-dropping-particle":"","parse-names":false,"suffix":""},{"dropping-particle":"","family":"Plumb","given":"Jennifer C","non-dropping-particle":"","parse-names":false,"suffix":""},{"dropping-particle":"","family":"Pruitt","given":"Larry D","non-dropping-particle":"","parse-names":false,"suffix":""},{"dropping-particle":"","family":"Collins","given":"Angela B","non-dropping-particle":"","parse-names":false,"suffix":""},{"dropping-particle":"","family":"Hazlette-Stevens","given":"Holly","non-dropping-particle":"","parse-names":false,"suffix":""},{"dropping-particle":"","family":"Woidneck","given":"Michelle R","non-dropping-particle":"","parse-names":false,"suffix":""}],"container-title":"Journal of Consulting and Clinical Psychology","id":"ITEM-1","issue":"5","issued":{"date-parts":[["2010"]]},"page":"705-716","title":"A randomized clinical trial of Acceptance and Commitment Therapy vs. Progressive Relaxation Training for obsessive compulsive disorder","type":"article-journal","volume":"78"},"uris":["http://www.mendeley.com/documents/?uuid=7fd0bb9e-a96a-458a-9cf2-42be55e204a6"]}],"mendeley":{"formattedCitation":"(Twohig et al., 2010)","plainTextFormattedCitation":"(Twohig et al., 2010)","previouslyFormattedCitation":"(Twohig et al., 2010)"},"properties":{"noteIndex":0},"schema":"https://github.com/citation-style-language/schema/raw/master/csl-citation.json"}</w:instrText>
      </w:r>
      <w:r w:rsidR="00B758EC">
        <w:fldChar w:fldCharType="separate"/>
      </w:r>
      <w:r w:rsidR="00B758EC" w:rsidRPr="00B758EC">
        <w:rPr>
          <w:noProof/>
        </w:rPr>
        <w:t>(Twohig et al., 2010)</w:t>
      </w:r>
      <w:r w:rsidR="00B758EC">
        <w:fldChar w:fldCharType="end"/>
      </w:r>
      <w:r w:rsidR="00B758EC">
        <w:t>.</w:t>
      </w:r>
      <w:r>
        <w:t xml:space="preserve"> One item was also revised to specify “clutter and/or hoarding” rather than “anxiety.” Participants are asked to rank each item on a 5-point Likert scale (1 = </w:t>
      </w:r>
      <w:r>
        <w:rPr>
          <w:i/>
          <w:iCs/>
        </w:rPr>
        <w:t>Strongly disagree</w:t>
      </w:r>
      <w:r>
        <w:t xml:space="preserve">, 5 = </w:t>
      </w:r>
      <w:r>
        <w:rPr>
          <w:i/>
          <w:iCs/>
        </w:rPr>
        <w:t>Strongly agree</w:t>
      </w:r>
      <w:r>
        <w:t xml:space="preserve">). The TEI-SF </w:t>
      </w:r>
      <w:r w:rsidR="00214315">
        <w:t>had</w:t>
      </w:r>
      <w:r>
        <w:t xml:space="preserve"> good </w:t>
      </w:r>
      <w:r w:rsidR="00340A83">
        <w:t xml:space="preserve">internal </w:t>
      </w:r>
      <w:r>
        <w:t xml:space="preserve">consistency in the present study </w:t>
      </w:r>
      <w:r w:rsidRPr="00370EFE">
        <w:t>(</w:t>
      </w:r>
      <w:r w:rsidRPr="008E1B77">
        <w:sym w:font="Symbol" w:char="F061"/>
      </w:r>
      <w:r w:rsidRPr="00370EFE">
        <w:t xml:space="preserve"> = .8</w:t>
      </w:r>
      <w:r>
        <w:t>9).</w:t>
      </w:r>
    </w:p>
    <w:p w14:paraId="0CFED3DD" w14:textId="1BB048BD" w:rsidR="00823CD0" w:rsidRPr="00211384" w:rsidRDefault="00823CD0" w:rsidP="00823CD0">
      <w:pPr>
        <w:spacing w:line="480" w:lineRule="auto"/>
        <w:ind w:firstLine="720"/>
      </w:pPr>
      <w:r>
        <w:rPr>
          <w:b/>
          <w:bCs/>
        </w:rPr>
        <w:t>General satisfaction</w:t>
      </w:r>
      <w:r>
        <w:t>. Participants were asked to respond to ten questions assessing satisfaction, suitability, and effectiveness of the self-help website</w:t>
      </w:r>
      <w:r w:rsidR="00303845">
        <w:t xml:space="preserve"> at posttreatment</w:t>
      </w:r>
      <w:r>
        <w:t xml:space="preserve">. Participants </w:t>
      </w:r>
      <w:r>
        <w:lastRenderedPageBreak/>
        <w:t xml:space="preserve">ranked each item on a 6-point Likert scale (1 = </w:t>
      </w:r>
      <w:r>
        <w:rPr>
          <w:i/>
          <w:iCs/>
        </w:rPr>
        <w:t>Strongly disagree</w:t>
      </w:r>
      <w:r>
        <w:t xml:space="preserve">, 6 = </w:t>
      </w:r>
      <w:r>
        <w:rPr>
          <w:i/>
          <w:iCs/>
        </w:rPr>
        <w:t>Strongly agree</w:t>
      </w:r>
      <w:r>
        <w:t>). Previous studies have used similar questions to assess satisfaction with technological mental health interventions (e.g.,</w:t>
      </w:r>
      <w:r w:rsidR="00A5539A">
        <w:t xml:space="preserve"> </w:t>
      </w:r>
      <w:r w:rsidR="00A5539A">
        <w:fldChar w:fldCharType="begin" w:fldLock="1"/>
      </w:r>
      <w:r w:rsidR="0031520D">
        <w:instrText>ADDIN CSL_CITATION {"citationItems":[{"id":"ITEM-1","itemData":{"DOI":"10.1177/0145445517748561","ISSN":"0145-4455","PMID":"29262693","abstract":"Mobile apps may be useful in teaching psychological skills in a high-frequency, low-intensity intervention. The acceptance and commitment therapy (ACT) matrix is a visual tool to help develop psychological flexibility by categorizing moment-to-moment experience and is well suited to a mobile app. This pilot study tested the effects of a simple and complex version of a novel app using the ACT matrix in two distinct samples: help-seeking individuals ( n = 35) and students receiving SONA credit ( n = 63). Findings indicated no differences between app conditions and a waitlist condition in the SONA credit sample. However, in the help-seeking sample, improvements were found on well-being and valued action in participants who used the app, with greater improvements and app adoption for those using a complex version with additional skills. A mobile app based on the ACT matrix has benefits for help-seeking individuals, but supplementary features may be necessary to support consistent use and benefits.","author":[{"dropping-particle":"","family":"Krafft","given":"Jennifer","non-dropping-particle":"","parse-names":false,"suffix":""},{"dropping-particle":"","family":"Potts","given":"Sarah","non-dropping-particle":"","parse-names":false,"suffix":""},{"dropping-particle":"","family":"Schoendorff","given":"Benjamin","non-dropping-particle":"","parse-names":false,"suffix":""},{"dropping-particle":"","family":"Levin","given":"Michael E.","non-dropping-particle":"","parse-names":false,"suffix":""}],"container-title":"Behavior Modification","id":"ITEM-1","issued":{"date-parts":[["2017"]]},"page":"246-272","title":"A randomized controlled trial of multiple versions of an acceptance and commitment therapy matrix app for well-being","type":"article-journal","volume":"43"},"uris":["http://www.mendeley.com/documents/?uuid=537750bb-5d46-42bb-9748-b7c04bffb970"]},{"id":"ITEM-2","itemData":{"DOI":"10.1177/0145445516659645","ISBN":"0145-4455","ISSN":"0145-4455","PMID":"27440189","author":[{"dropping-particle":"","family":"Levin","given":"Michael E.","non-dropping-particle":"","parse-names":false,"suffix":""},{"dropping-particle":"","family":"Haeger","given":"Jack A.","non-dropping-particle":"","parse-names":false,"suffix":""},{"dropping-particle":"","family":"Pierce","given":"Benjamin G.","non-dropping-particle":"","parse-names":false,"suffix":""},{"dropping-particle":"","family":"Twohig","given":"Michael P.","non-dropping-particle":"","parse-names":false,"suffix":""}],"container-title":"Behavior Modification","id":"ITEM-2","issued":{"date-parts":[["2017"]]},"page":"141-162","title":"Web-based acceptance and commitment therapy for mental health problems in college students","type":"article-journal","volume":"41"},"uris":["http://www.mendeley.com/documents/?uuid=938407d3-bd7b-4d20-9900-39f189fe0328"]}],"mendeley":{"formattedCitation":"(Krafft et al., 2017; Levin et al., 2017)","manualFormatting":"Krafft et al., 2017; Levin et al., 2017)","plainTextFormattedCitation":"(Krafft et al., 2017; Levin et al., 2017)","previouslyFormattedCitation":"(Krafft et al., 2017; Levin et al., 2017)"},"properties":{"noteIndex":0},"schema":"https://github.com/citation-style-language/schema/raw/master/csl-citation.json"}</w:instrText>
      </w:r>
      <w:r w:rsidR="00A5539A">
        <w:fldChar w:fldCharType="separate"/>
      </w:r>
      <w:r w:rsidR="00A5539A" w:rsidRPr="00A5539A">
        <w:rPr>
          <w:noProof/>
        </w:rPr>
        <w:t>Krafft et al., 2017; Levin et al., 2017)</w:t>
      </w:r>
      <w:r w:rsidR="00A5539A">
        <w:fldChar w:fldCharType="end"/>
      </w:r>
      <w:r>
        <w:t xml:space="preserve">. </w:t>
      </w:r>
    </w:p>
    <w:p w14:paraId="6ECD984D" w14:textId="7F88D714" w:rsidR="003B57BE" w:rsidRPr="00FD6A4F" w:rsidRDefault="00EB3E00" w:rsidP="00D7264B">
      <w:pPr>
        <w:spacing w:line="480" w:lineRule="auto"/>
        <w:rPr>
          <w:b/>
          <w:color w:val="000000" w:themeColor="text1"/>
        </w:rPr>
      </w:pPr>
      <w:r w:rsidRPr="00FD6A4F">
        <w:rPr>
          <w:b/>
          <w:color w:val="000000" w:themeColor="text1"/>
        </w:rPr>
        <w:t>A</w:t>
      </w:r>
      <w:r w:rsidR="003B57BE" w:rsidRPr="00FD6A4F">
        <w:rPr>
          <w:b/>
          <w:color w:val="000000" w:themeColor="text1"/>
        </w:rPr>
        <w:t xml:space="preserve">nalysis </w:t>
      </w:r>
      <w:r w:rsidR="004A375A" w:rsidRPr="00FD6A4F">
        <w:rPr>
          <w:b/>
          <w:color w:val="000000" w:themeColor="text1"/>
        </w:rPr>
        <w:t>Plan</w:t>
      </w:r>
    </w:p>
    <w:p w14:paraId="73810343" w14:textId="23306899" w:rsidR="00CD5E66" w:rsidRDefault="00CD5E66" w:rsidP="00FA41C0">
      <w:pPr>
        <w:spacing w:line="480" w:lineRule="auto"/>
        <w:contextualSpacing/>
        <w:rPr>
          <w:bCs/>
          <w:color w:val="000000" w:themeColor="text1"/>
        </w:rPr>
      </w:pPr>
      <w:r>
        <w:rPr>
          <w:b/>
          <w:color w:val="000000" w:themeColor="text1"/>
        </w:rPr>
        <w:tab/>
      </w:r>
      <w:r w:rsidRPr="00CD5E66">
        <w:rPr>
          <w:bCs/>
          <w:color w:val="000000" w:themeColor="text1"/>
        </w:rPr>
        <w:t>Groups were compared on baseline variables</w:t>
      </w:r>
      <w:r w:rsidR="00E605F9" w:rsidRPr="00CD5E66">
        <w:rPr>
          <w:bCs/>
          <w:color w:val="000000" w:themeColor="text1"/>
        </w:rPr>
        <w:tab/>
      </w:r>
      <w:r>
        <w:rPr>
          <w:bCs/>
          <w:color w:val="000000" w:themeColor="text1"/>
        </w:rPr>
        <w:t xml:space="preserve"> and any variables that differed significantly were included as covariates in analyses. Variables were inspected for normality. Missingness was evaluated and a series of generalized linear models were used to assess whether potential predictors of missingness </w:t>
      </w:r>
      <w:r w:rsidR="00230186">
        <w:rPr>
          <w:bCs/>
          <w:color w:val="000000" w:themeColor="text1"/>
        </w:rPr>
        <w:t xml:space="preserve">on the primary outcome </w:t>
      </w:r>
      <w:r>
        <w:rPr>
          <w:bCs/>
          <w:color w:val="000000" w:themeColor="text1"/>
        </w:rPr>
        <w:t>were statistically significant.</w:t>
      </w:r>
    </w:p>
    <w:p w14:paraId="36D6277D" w14:textId="15DF601E" w:rsidR="00CD5E66" w:rsidRDefault="00CD5E66" w:rsidP="00FA41C0">
      <w:pPr>
        <w:spacing w:line="480" w:lineRule="auto"/>
        <w:contextualSpacing/>
        <w:rPr>
          <w:bCs/>
          <w:color w:val="000000" w:themeColor="text1"/>
        </w:rPr>
      </w:pPr>
      <w:r>
        <w:rPr>
          <w:bCs/>
          <w:color w:val="000000" w:themeColor="text1"/>
        </w:rPr>
        <w:tab/>
        <w:t xml:space="preserve">Treatment acceptability, credibility, and ease of use were evaluated </w:t>
      </w:r>
      <w:r w:rsidR="009725F0">
        <w:rPr>
          <w:bCs/>
          <w:color w:val="000000" w:themeColor="text1"/>
        </w:rPr>
        <w:t xml:space="preserve">among posttreatment responders and </w:t>
      </w:r>
      <w:r>
        <w:rPr>
          <w:bCs/>
          <w:color w:val="000000" w:themeColor="text1"/>
        </w:rPr>
        <w:t>compared to pre-determined benchmarks. Treatment adherence was calculated, and the association between adherence and change on the SI-R was evaluated in a linear regression model</w:t>
      </w:r>
      <w:r w:rsidR="0012316A">
        <w:rPr>
          <w:bCs/>
          <w:color w:val="000000" w:themeColor="text1"/>
        </w:rPr>
        <w:t xml:space="preserve"> (among those with adequate data to calculate change scores).</w:t>
      </w:r>
    </w:p>
    <w:p w14:paraId="73D1645B" w14:textId="64390433" w:rsidR="00CD5E66" w:rsidRDefault="00CD5E66" w:rsidP="00FA41C0">
      <w:pPr>
        <w:spacing w:line="480" w:lineRule="auto"/>
        <w:contextualSpacing/>
        <w:rPr>
          <w:bCs/>
          <w:color w:val="000000" w:themeColor="text1"/>
        </w:rPr>
      </w:pPr>
      <w:r>
        <w:rPr>
          <w:bCs/>
          <w:color w:val="000000" w:themeColor="text1"/>
        </w:rPr>
        <w:tab/>
        <w:t>Efficacy was investigated using a series of multilevel models with</w:t>
      </w:r>
      <w:r w:rsidR="00C75A16">
        <w:rPr>
          <w:bCs/>
          <w:color w:val="000000" w:themeColor="text1"/>
        </w:rPr>
        <w:t xml:space="preserve"> time by condition interactions (i.e., determining whether the intervention group improved significantly more on outcomes compared to the waitlist group from baseline to follow-up.) These models included</w:t>
      </w:r>
      <w:r>
        <w:rPr>
          <w:bCs/>
          <w:color w:val="000000" w:themeColor="text1"/>
        </w:rPr>
        <w:t xml:space="preserve"> random intercepts (modeling varying values of the dependent variable by participant). Random slopes (modeling</w:t>
      </w:r>
      <w:r w:rsidR="00B323FB">
        <w:rPr>
          <w:bCs/>
          <w:color w:val="000000" w:themeColor="text1"/>
        </w:rPr>
        <w:t xml:space="preserve"> varying slopes for the dependent variable by participant) were </w:t>
      </w:r>
      <w:r w:rsidR="00C75A16">
        <w:rPr>
          <w:bCs/>
          <w:color w:val="000000" w:themeColor="text1"/>
        </w:rPr>
        <w:t xml:space="preserve">also </w:t>
      </w:r>
      <w:r w:rsidR="00B323FB">
        <w:rPr>
          <w:bCs/>
          <w:color w:val="000000" w:themeColor="text1"/>
        </w:rPr>
        <w:t>tested to determine if they improved model fit for each dependent variable.</w:t>
      </w:r>
      <w:r>
        <w:rPr>
          <w:bCs/>
          <w:color w:val="000000" w:themeColor="text1"/>
        </w:rPr>
        <w:t xml:space="preserve"> Maximum likelihood estimation was used; this method provides accurate parameter estimates </w:t>
      </w:r>
      <w:r w:rsidR="00BF4C98">
        <w:rPr>
          <w:bCs/>
          <w:color w:val="000000" w:themeColor="text1"/>
        </w:rPr>
        <w:t>assuming</w:t>
      </w:r>
      <w:r>
        <w:rPr>
          <w:bCs/>
          <w:color w:val="000000" w:themeColor="text1"/>
        </w:rPr>
        <w:t xml:space="preserve"> data are missing at random </w:t>
      </w:r>
      <w:r>
        <w:rPr>
          <w:bCs/>
          <w:color w:val="000000" w:themeColor="text1"/>
        </w:rPr>
        <w:fldChar w:fldCharType="begin" w:fldLock="1"/>
      </w:r>
      <w:r w:rsidR="00FF1137">
        <w:rPr>
          <w:bCs/>
          <w:color w:val="000000" w:themeColor="text1"/>
        </w:rPr>
        <w:instrText>ADDIN CSL_CITATION {"citationItems":[{"id":"ITEM-1","itemData":{"DOI":"10.1037/a0012765","ISSN":"00905550","abstract":"Objective: The use and quality of longitudinal research designs has increased over the past 2 decades, and new approaches for analyzing longitudinal data, including multilevel modeling (MLM) and latent growth modeling (LGM), have been developed. The purpose of this article is to demonstrate the use of MLM and its advantages in analyzing longitudinal data. Research Method: Data from a sample of individuals with intra-articular fractures of the lower extremity from the University of Alabama at Birmingham's Injury Control Research Center are analyzed using both SAS PROC MIXED and SPSS MIXED. Results: The authors begin their presentation with a discussion of data preparation for MLM analyses. The authors then provide example analyses of different growth models, including a simple linear growth model and a model with a time-invariant covariate, with interpretation for all the parameters in the models. Implications: More complicated growth models with different between- and within-individual covariance structures and nonlinear models are discussed. Finally, information related to MLM analysis, such as online resources, is provided at the end of the article. © 2008 American Psychological Association.","author":[{"dropping-particle":"","family":"Kwok","given":"Oi Man","non-dropping-particle":"","parse-names":false,"suffix":""},{"dropping-particle":"","family":"Underhill","given":"Andrea T.","non-dropping-particle":"","parse-names":false,"suffix":""},{"dropping-particle":"","family":"Berry","given":"Jack W.","non-dropping-particle":"","parse-names":false,"suffix":""},{"dropping-particle":"","family":"Luo","given":"Wen","non-dropping-particle":"","parse-names":false,"suffix":""},{"dropping-particle":"","family":"Elliott","given":"Timothy R.","non-dropping-particle":"","parse-names":false,"suffix":""},{"dropping-particle":"","family":"Yoon","given":"Myeongsun","non-dropping-particle":"","parse-names":false,"suffix":""}],"container-title":"Rehabilitation Psychology","id":"ITEM-1","issue":"3","issued":{"date-parts":[["2008"]]},"page":"370-386","title":"Analyzing longitudinal data with multilevel models: An example with individuals living with lower extremity intra-articular fractures","type":"article-journal","volume":"53"},"uris":["http://www.mendeley.com/documents/?uuid=85f34e93-ebd1-4333-ab92-9ec71db064e0"]}],"mendeley":{"formattedCitation":"(Kwok et al., 2008)","plainTextFormattedCitation":"(Kwok et al., 2008)","previouslyFormattedCitation":"(Kwok et al., 2008)"},"properties":{"noteIndex":0},"schema":"https://github.com/citation-style-language/schema/raw/master/csl-citation.json"}</w:instrText>
      </w:r>
      <w:r>
        <w:rPr>
          <w:bCs/>
          <w:color w:val="000000" w:themeColor="text1"/>
        </w:rPr>
        <w:fldChar w:fldCharType="separate"/>
      </w:r>
      <w:r w:rsidRPr="00CD5E66">
        <w:rPr>
          <w:bCs/>
          <w:noProof/>
          <w:color w:val="000000" w:themeColor="text1"/>
        </w:rPr>
        <w:t>(Kwok et al., 2008)</w:t>
      </w:r>
      <w:r>
        <w:rPr>
          <w:bCs/>
          <w:color w:val="000000" w:themeColor="text1"/>
        </w:rPr>
        <w:fldChar w:fldCharType="end"/>
      </w:r>
      <w:r>
        <w:rPr>
          <w:bCs/>
          <w:color w:val="000000" w:themeColor="text1"/>
        </w:rPr>
        <w:t xml:space="preserve">. </w:t>
      </w:r>
      <w:r w:rsidR="00FF1137">
        <w:rPr>
          <w:bCs/>
          <w:color w:val="000000" w:themeColor="text1"/>
        </w:rPr>
        <w:t xml:space="preserve">Statistical significance was determined using the </w:t>
      </w:r>
      <w:proofErr w:type="spellStart"/>
      <w:r w:rsidR="00FF1137">
        <w:rPr>
          <w:bCs/>
          <w:color w:val="000000" w:themeColor="text1"/>
        </w:rPr>
        <w:t>lmerTest</w:t>
      </w:r>
      <w:proofErr w:type="spellEnd"/>
      <w:r w:rsidR="00FF1137">
        <w:rPr>
          <w:bCs/>
          <w:color w:val="000000" w:themeColor="text1"/>
        </w:rPr>
        <w:t xml:space="preserve"> package </w:t>
      </w:r>
      <w:r w:rsidR="00FF1137">
        <w:rPr>
          <w:bCs/>
          <w:color w:val="000000" w:themeColor="text1"/>
        </w:rPr>
        <w:fldChar w:fldCharType="begin" w:fldLock="1"/>
      </w:r>
      <w:r w:rsidR="00FF1137">
        <w:rPr>
          <w:bCs/>
          <w:color w:val="000000" w:themeColor="text1"/>
        </w:rPr>
        <w:instrText>ADDIN CSL_CITATION {"citationItems":[{"id":"ITEM-1","itemData":{"ISSN":"1548-7660","author":[{"dropping-particle":"","family":"Kuznetsova","given":"Alexandra","non-dropping-particle":"","parse-names":false,"suffix":""},{"dropping-particle":"","family":"Brockhoff","given":"Per B","non-dropping-particle":"","parse-names":false,"suffix":""},{"dropping-particle":"","family":"Christensen","given":"Rune Haubo Bojesen","non-dropping-particle":"","parse-names":false,"suffix":""}],"container-title":"Journal of statistical software","id":"ITEM-1","issued":{"date-parts":[["2017"]]},"publisher":"The Foundation for Open Access Statistics","title":"lmerTest package: tests in linear mixed effects models","type":"article-journal","volume":"82"},"uris":["http://www.mendeley.com/documents/?uuid=5fcac400-24fd-4ce6-95d3-1a06ac15f922"]}],"mendeley":{"formattedCitation":"(Kuznetsova et al., 2017)","plainTextFormattedCitation":"(Kuznetsova et al., 2017)","previouslyFormattedCitation":"(Kuznetsova et al., 2017)"},"properties":{"noteIndex":0},"schema":"https://github.com/citation-style-language/schema/raw/master/csl-citation.json"}</w:instrText>
      </w:r>
      <w:r w:rsidR="00FF1137">
        <w:rPr>
          <w:bCs/>
          <w:color w:val="000000" w:themeColor="text1"/>
        </w:rPr>
        <w:fldChar w:fldCharType="separate"/>
      </w:r>
      <w:r w:rsidR="00FF1137" w:rsidRPr="00FF1137">
        <w:rPr>
          <w:bCs/>
          <w:noProof/>
          <w:color w:val="000000" w:themeColor="text1"/>
        </w:rPr>
        <w:t>(Kuznetsova et al., 2017)</w:t>
      </w:r>
      <w:r w:rsidR="00FF1137">
        <w:rPr>
          <w:bCs/>
          <w:color w:val="000000" w:themeColor="text1"/>
        </w:rPr>
        <w:fldChar w:fldCharType="end"/>
      </w:r>
      <w:r w:rsidR="00FF1137">
        <w:rPr>
          <w:bCs/>
          <w:color w:val="000000" w:themeColor="text1"/>
        </w:rPr>
        <w:t xml:space="preserve">, which appears to provide accurate </w:t>
      </w:r>
      <w:r w:rsidR="00FF1137">
        <w:rPr>
          <w:bCs/>
          <w:i/>
          <w:iCs/>
          <w:color w:val="000000" w:themeColor="text1"/>
        </w:rPr>
        <w:t>p</w:t>
      </w:r>
      <w:r w:rsidR="00FF1137">
        <w:rPr>
          <w:bCs/>
          <w:color w:val="000000" w:themeColor="text1"/>
        </w:rPr>
        <w:t xml:space="preserve">-values </w:t>
      </w:r>
      <w:r w:rsidR="00FF1137">
        <w:rPr>
          <w:bCs/>
          <w:color w:val="000000" w:themeColor="text1"/>
        </w:rPr>
        <w:fldChar w:fldCharType="begin" w:fldLock="1"/>
      </w:r>
      <w:r w:rsidR="00FF1137">
        <w:rPr>
          <w:bCs/>
          <w:color w:val="000000" w:themeColor="text1"/>
        </w:rPr>
        <w:instrText>ADDIN CSL_CITATION {"citationItems":[{"id":"ITEM-1","itemData":{"DOI":"10.3758/s13428-016-0809-y","ISSN":"15543528","abstract":"Mixed-effects models are being used ever more frequently in the analysis of experimental data. However, in the lme4 package in R the standards for evaluating significance of fixed effects in these models (i.e., obtaining p-values) are somewhat vague. There are good reasons for this, but as researchers who are using these models are required in many cases to report p-values, some method for evaluating the significance of the model output is needed. This paper reports the results of simulations showing that the two most common methods for evaluating significance, using likelihood ratio tests and applying the z distribution to the Wald t values from the model output (t-as-z), are somewhat anti-conservative, especially for smaller sample sizes. Other methods for evaluating significance, including parametric bootstrapping and the Kenward-Roger and Satterthwaite approximations for degrees of freedom, were also evaluated. The results of these simulations suggest that Type 1 error rates are closest to.05 when models are fitted using REML and p-values are derived using the Kenward-Roger or Satterthwaite approximations, as these approximations both produced acceptable Type 1 error rates even for smaller samples.","author":[{"dropping-particle":"","family":"Luke","given":"Steven G.","non-dropping-particle":"","parse-names":false,"suffix":""}],"container-title":"Behavior Research Methods","id":"ITEM-1","issued":{"date-parts":[["2017"]]},"page":"1494-1502","publisher":"Behavior Research Methods","title":"Evaluating significance in linear mixed-effects models in R","type":"article-journal","volume":"49"},"uris":["http://www.mendeley.com/documents/?uuid=3a253fdc-2661-4df7-99dd-b5d81b4964af"]}],"mendeley":{"formattedCitation":"(Luke, 2017)","plainTextFormattedCitation":"(Luke, 2017)","previouslyFormattedCitation":"(Luke, 2017)"},"properties":{"noteIndex":0},"schema":"https://github.com/citation-style-language/schema/raw/master/csl-citation.json"}</w:instrText>
      </w:r>
      <w:r w:rsidR="00FF1137">
        <w:rPr>
          <w:bCs/>
          <w:color w:val="000000" w:themeColor="text1"/>
        </w:rPr>
        <w:fldChar w:fldCharType="separate"/>
      </w:r>
      <w:r w:rsidR="00FF1137" w:rsidRPr="00FF1137">
        <w:rPr>
          <w:bCs/>
          <w:noProof/>
          <w:color w:val="000000" w:themeColor="text1"/>
        </w:rPr>
        <w:t>(Luke, 2017)</w:t>
      </w:r>
      <w:r w:rsidR="00FF1137">
        <w:rPr>
          <w:bCs/>
          <w:color w:val="000000" w:themeColor="text1"/>
        </w:rPr>
        <w:fldChar w:fldCharType="end"/>
      </w:r>
      <w:r w:rsidR="00FF1137">
        <w:rPr>
          <w:bCs/>
          <w:color w:val="000000" w:themeColor="text1"/>
        </w:rPr>
        <w:t>.</w:t>
      </w:r>
    </w:p>
    <w:p w14:paraId="43027DCC" w14:textId="2B511D0F" w:rsidR="00FF1137" w:rsidRDefault="00FF1137" w:rsidP="00FA41C0">
      <w:pPr>
        <w:spacing w:line="480" w:lineRule="auto"/>
        <w:contextualSpacing/>
        <w:rPr>
          <w:bCs/>
          <w:noProof/>
          <w:color w:val="000000" w:themeColor="text1"/>
        </w:rPr>
      </w:pPr>
      <w:r>
        <w:rPr>
          <w:bCs/>
          <w:color w:val="000000" w:themeColor="text1"/>
        </w:rPr>
        <w:lastRenderedPageBreak/>
        <w:tab/>
        <w:t xml:space="preserve">Condition was dummy coded with 0 representing the waitlist group and 1 the ACT group. Time was dummy coded with 0 representing the baseline timepoint, 0.67 representing the posttreatment timepoint, and 1 representing the follow-up timepoint. This dummy coding helps make results readily interpretable. Outcome variables were standardized in these models using grand mean centering to provide a standardized metric for interpreting effect size </w:t>
      </w:r>
      <w:r>
        <w:rPr>
          <w:bCs/>
          <w:color w:val="000000" w:themeColor="text1"/>
        </w:rPr>
        <w:fldChar w:fldCharType="begin" w:fldLock="1"/>
      </w:r>
      <w:r>
        <w:rPr>
          <w:bCs/>
          <w:color w:val="000000" w:themeColor="text1"/>
        </w:rPr>
        <w:instrText>ADDIN CSL_CITATION {"citationItems":[{"id":"ITEM-1","itemData":{"DOI":"10.1186/s40536-018-0061-2","ISBN":"4053601800612","ISSN":"21960739","abstract":"Effect size reporting is crucial for interpretation of applied research results and for conducting meta-analysis. However, clear guidelines for reporting effect size in multilevel models have not been provided. This report suggests and demonstrates appropriate effect size measures including the ICC for random effects and standardized regression coefficients or f 2 for fixed effects. Following this, complexities associated with reporting R 2 as an effect size measure are explored, as well as appropriate effect size measures for more complex models including the three-level model and the random slopes model. An example using TIMSS data is provided.","author":[{"dropping-particle":"","family":"Lorah","given":"Julie","non-dropping-particle":"","parse-names":false,"suffix":""}],"container-title":"Large-Scale Assessments in Education","id":"ITEM-1","issued":{"date-parts":[["2018"]]},"publisher":"Springer US","title":"Effect size measures for multilevel models: definition, interpretation, and TIMSS example","type":"article-journal","volume":"6"},"uris":["http://www.mendeley.com/documents/?uuid=0282632b-bcac-4935-a780-02bf30c6e967"]}],"mendeley":{"formattedCitation":"(Lorah, 2018)","plainTextFormattedCitation":"(Lorah, 2018)","previouslyFormattedCitation":"(Lorah, 2018)"},"properties":{"noteIndex":0},"schema":"https://github.com/citation-style-language/schema/raw/master/csl-citation.json"}</w:instrText>
      </w:r>
      <w:r>
        <w:rPr>
          <w:bCs/>
          <w:color w:val="000000" w:themeColor="text1"/>
        </w:rPr>
        <w:fldChar w:fldCharType="separate"/>
      </w:r>
      <w:r w:rsidRPr="00FF1137">
        <w:rPr>
          <w:bCs/>
          <w:noProof/>
          <w:color w:val="000000" w:themeColor="text1"/>
        </w:rPr>
        <w:t>(Lorah, 2018)</w:t>
      </w:r>
      <w:r>
        <w:rPr>
          <w:bCs/>
          <w:color w:val="000000" w:themeColor="text1"/>
        </w:rPr>
        <w:fldChar w:fldCharType="end"/>
      </w:r>
      <w:r>
        <w:rPr>
          <w:bCs/>
          <w:color w:val="000000" w:themeColor="text1"/>
        </w:rPr>
        <w:t xml:space="preserve">. </w:t>
      </w:r>
      <w:r w:rsidR="00262530">
        <w:rPr>
          <w:bCs/>
          <w:color w:val="000000" w:themeColor="text1"/>
        </w:rPr>
        <w:t xml:space="preserve">As such, time by condition coefficients indicate the change in treatment (relative to waitlist) from baseline to follow-up. While these coefficients are not exactly comparable to Cohen’s </w:t>
      </w:r>
      <w:r w:rsidR="00262530" w:rsidRPr="00F372C6">
        <w:rPr>
          <w:bCs/>
          <w:i/>
          <w:iCs/>
          <w:color w:val="000000" w:themeColor="text1"/>
        </w:rPr>
        <w:t>d</w:t>
      </w:r>
      <w:r w:rsidR="00C05DD8">
        <w:rPr>
          <w:bCs/>
          <w:color w:val="000000" w:themeColor="text1"/>
        </w:rPr>
        <w:t xml:space="preserve">, given that they account for other effects within the multilevel models, they are similar in that they estimate change in terms of standard deviations. </w:t>
      </w:r>
      <w:r>
        <w:rPr>
          <w:bCs/>
          <w:color w:val="000000" w:themeColor="text1"/>
        </w:rPr>
        <w:t xml:space="preserve">Model fit was assessed using residual plots. R statistical software was used for all analyses </w:t>
      </w:r>
      <w:r>
        <w:rPr>
          <w:bCs/>
          <w:color w:val="000000" w:themeColor="text1"/>
        </w:rPr>
        <w:fldChar w:fldCharType="begin" w:fldLock="1"/>
      </w:r>
      <w:r w:rsidR="00021EA8">
        <w:rPr>
          <w:bCs/>
          <w:color w:val="000000" w:themeColor="text1"/>
        </w:rPr>
        <w:instrText>ADDIN CSL_CITATION {"citationItems":[{"id":"ITEM-1","itemData":{"author":[{"dropping-particle":"","family":"R Core Team","given":"","non-dropping-particle":"","parse-names":false,"suffix":""}],"id":"ITEM-1","issued":{"date-parts":[["2018"]]},"publisher":"R Foundation for Statistical Computing","publisher-place":"Vienna, Austria","title":"R: A language and environment for statistical computing","type":"book"},"uris":["http://www.mendeley.com/documents/?uuid=c6c3de26-331a-4a46-aaf6-592b8acfcb47"]}],"mendeley":{"formattedCitation":"(R Core Team, 2018)","manualFormatting":"(R \rCore Team, 2018)","plainTextFormattedCitation":"(R Core Team, 2018)","previouslyFormattedCitation":"(R Core Team, 2018)"},"properties":{"noteIndex":0},"schema":"https://github.com/citation-style-language/schema/raw/master/csl-citation.json"}</w:instrText>
      </w:r>
      <w:r>
        <w:rPr>
          <w:bCs/>
          <w:color w:val="000000" w:themeColor="text1"/>
        </w:rPr>
        <w:fldChar w:fldCharType="separate"/>
      </w:r>
      <w:r w:rsidRPr="00FF1137">
        <w:rPr>
          <w:bCs/>
          <w:noProof/>
          <w:color w:val="000000" w:themeColor="text1"/>
        </w:rPr>
        <w:t>(R Core Team, 2018)</w:t>
      </w:r>
      <w:r>
        <w:rPr>
          <w:bCs/>
          <w:color w:val="000000" w:themeColor="text1"/>
        </w:rPr>
        <w:fldChar w:fldCharType="end"/>
      </w:r>
      <w:r>
        <w:rPr>
          <w:bCs/>
          <w:color w:val="000000" w:themeColor="text1"/>
        </w:rPr>
        <w:t>.</w:t>
      </w:r>
    </w:p>
    <w:p w14:paraId="6DBA47AD" w14:textId="3936ED8E" w:rsidR="00E605F9" w:rsidRPr="00DA523F" w:rsidRDefault="00FF1137" w:rsidP="009C6065">
      <w:pPr>
        <w:spacing w:line="480" w:lineRule="auto"/>
        <w:contextualSpacing/>
        <w:rPr>
          <w:bCs/>
          <w:color w:val="000000" w:themeColor="text1"/>
        </w:rPr>
      </w:pPr>
      <w:r>
        <w:rPr>
          <w:bCs/>
          <w:color w:val="000000" w:themeColor="text1"/>
        </w:rPr>
        <w:tab/>
        <w:t>Rates of reliable change and clinically significant change were calculated for those who completed the posttreatment survey</w:t>
      </w:r>
      <w:r w:rsidR="00722122">
        <w:rPr>
          <w:bCs/>
          <w:color w:val="000000" w:themeColor="text1"/>
        </w:rPr>
        <w:t xml:space="preserve"> (n = 51)</w:t>
      </w:r>
      <w:r>
        <w:rPr>
          <w:bCs/>
          <w:color w:val="000000" w:themeColor="text1"/>
        </w:rPr>
        <w:t xml:space="preserve">. </w:t>
      </w:r>
      <w:r w:rsidR="002D5868">
        <w:rPr>
          <w:bCs/>
          <w:color w:val="000000" w:themeColor="text1"/>
        </w:rPr>
        <w:t>Reliable change was calculated according to the Jacobson and Truax (</w:t>
      </w:r>
      <w:r w:rsidR="002F5658">
        <w:rPr>
          <w:bCs/>
          <w:color w:val="000000" w:themeColor="text1"/>
        </w:rPr>
        <w:t>1991</w:t>
      </w:r>
      <w:r w:rsidR="002D5868">
        <w:rPr>
          <w:bCs/>
          <w:color w:val="000000" w:themeColor="text1"/>
        </w:rPr>
        <w:t>)</w:t>
      </w:r>
      <w:r w:rsidR="002F5658">
        <w:rPr>
          <w:bCs/>
          <w:color w:val="000000" w:themeColor="text1"/>
        </w:rPr>
        <w:t xml:space="preserve"> guidelines using</w:t>
      </w:r>
      <w:r>
        <w:rPr>
          <w:bCs/>
          <w:color w:val="000000" w:themeColor="text1"/>
        </w:rPr>
        <w:t xml:space="preserve"> norms </w:t>
      </w:r>
      <w:r w:rsidR="00736819">
        <w:rPr>
          <w:bCs/>
          <w:color w:val="000000" w:themeColor="text1"/>
        </w:rPr>
        <w:t>(</w:t>
      </w:r>
      <w:r w:rsidR="006737CE" w:rsidRPr="006737CE">
        <w:rPr>
          <w:bCs/>
          <w:color w:val="000000" w:themeColor="text1"/>
        </w:rPr>
        <w:t>M = 59.17, SD = 13.56</w:t>
      </w:r>
      <w:r w:rsidR="006737CE">
        <w:rPr>
          <w:bCs/>
          <w:color w:val="000000" w:themeColor="text1"/>
        </w:rPr>
        <w:t xml:space="preserve">) </w:t>
      </w:r>
      <w:r w:rsidR="002F5658">
        <w:rPr>
          <w:bCs/>
          <w:color w:val="000000" w:themeColor="text1"/>
        </w:rPr>
        <w:t>obtained from</w:t>
      </w:r>
      <w:r>
        <w:rPr>
          <w:bCs/>
          <w:color w:val="000000" w:themeColor="text1"/>
        </w:rPr>
        <w:t xml:space="preserve"> a recent</w:t>
      </w:r>
      <w:r w:rsidR="002F5658">
        <w:rPr>
          <w:bCs/>
          <w:color w:val="000000" w:themeColor="text1"/>
        </w:rPr>
        <w:t>, large</w:t>
      </w:r>
      <w:r>
        <w:rPr>
          <w:bCs/>
          <w:color w:val="000000" w:themeColor="text1"/>
        </w:rPr>
        <w:t xml:space="preserve"> study of the SI-R </w:t>
      </w:r>
      <w:r>
        <w:rPr>
          <w:bCs/>
          <w:color w:val="000000" w:themeColor="text1"/>
        </w:rPr>
        <w:fldChar w:fldCharType="begin" w:fldLock="1"/>
      </w:r>
      <w:r>
        <w:rPr>
          <w:bCs/>
          <w:color w:val="000000" w:themeColor="text1"/>
        </w:rPr>
        <w:instrText>ADDIN CSL_CITATION {"citationItems":[{"id":"ITEM-1","itemData":{"DOI":"10.1016/j.jad.2019.04.007","ISSN":"15732517","PMID":"30999092","abstract":"Background: The Saving Inventory – Revised (SI-R) is the most widely used self-report measure of hoarding symptom severity. The goal of this study is to establish a firm empirical basis for a cutoff score on the SI-R and to examine the functioning of the SI-R as a screening tool and indicator of hoarding symptom severity across the lifespan. Methods: This study used archival data from 1,116 participants diagnosed with a clinical interview in 14 studies conducted by research groups who focus on hoarding. We used receiver operating characteristic (ROC) analysis and the Youden's J statistic to determine optimal cutoff scores for classifying participants who would be likely to receive a hoarding diagnosis. Results: Overall, the discriminant performance of the SI-R Total score and each of the three subscales was high, confirming the status of the SI-R is an excellent screening tool for differentiating hoarding from non-hoarding cases. The optimal SI-R Total cutoff score is 39, although analyses suggested that older adults require a significantly lower cutoff and adults younger than 40 years require a significantly higher cutoff score. Limitations: The confidence interval around the optimal cutoff for the SI-R Total score for oldest age group was wide in comparison to those reported for the younger groups, creating more uncertainty around the optimal cutoff score for this group. Conclusions: This paper provides investigators and clinicians with the data necessary to select evidence-based cutoff scores on the SI-R that optimally suit their relative need for sensitivity and specificity in different age groups.","author":[{"dropping-particle":"","family":"Kellman-McFarlane","given":"Kirstie","non-dropping-particle":"","parse-names":false,"suffix":""},{"dropping-particle":"","family":"Stewart","given":"Brent","non-dropping-particle":"","parse-names":false,"suffix":""},{"dropping-particle":"","family":"Woody","given":"Sheila","non-dropping-particle":"","parse-names":false,"suffix":""},{"dropping-particle":"","family":"Ayers","given":"Catherine","non-dropping-particle":"","parse-names":false,"suffix":""},{"dropping-particle":"","family":"Dozier","given":"Mary","non-dropping-particle":"","parse-names":false,"suffix":""},{"dropping-particle":"","family":"Frost","given":"Randy O.","non-dropping-particle":"","parse-names":false,"suffix":""},{"dropping-particle":"","family":"Grisham","given":"Jessica","non-dropping-particle":"","parse-names":false,"suffix":""},{"dropping-particle":"","family":"Isemann","given":"Simone","non-dropping-particle":"","parse-names":false,"suffix":""},{"dropping-particle":"","family":"Steketee","given":"Gail","non-dropping-particle":"","parse-names":false,"suffix":""},{"dropping-particle":"","family":"Tolin","given":"David F.","non-dropping-particle":"","parse-names":false,"suffix":""},{"dropping-particle":"","family":"Welsted","given":"Alison","non-dropping-particle":"","parse-names":false,"suffix":""}],"container-title":"Journal of Affective Disorders","id":"ITEM-1","issue":"April","issued":{"date-parts":[["2019"]]},"page":"358-364","publisher":"Elsevier B.V.","title":"Saving inventory – Revised: Psychometric performance across the lifespan","type":"article-journal","volume":"252"},"uris":["http://www.mendeley.com/documents/?uuid=aa3a5511-ad4a-456c-8717-f81f3c848784"]}],"mendeley":{"formattedCitation":"(Kellman-McFarlane et al., 2019)","plainTextFormattedCitation":"(Kellman-McFarlane et al., 2019)","previouslyFormattedCitation":"(Kellman-McFarlane et al., 2019)"},"properties":{"noteIndex":0},"schema":"https://github.com/citation-style-language/schema/raw/master/csl-citation.json"}</w:instrText>
      </w:r>
      <w:r>
        <w:rPr>
          <w:bCs/>
          <w:color w:val="000000" w:themeColor="text1"/>
        </w:rPr>
        <w:fldChar w:fldCharType="separate"/>
      </w:r>
      <w:r w:rsidRPr="00FF1137">
        <w:rPr>
          <w:bCs/>
          <w:noProof/>
          <w:color w:val="000000" w:themeColor="text1"/>
        </w:rPr>
        <w:t>(Kellman-McFarlane et al., 2019)</w:t>
      </w:r>
      <w:r>
        <w:rPr>
          <w:bCs/>
          <w:color w:val="000000" w:themeColor="text1"/>
        </w:rPr>
        <w:fldChar w:fldCharType="end"/>
      </w:r>
      <w:r w:rsidR="005C6CD5">
        <w:rPr>
          <w:bCs/>
          <w:color w:val="000000" w:themeColor="text1"/>
        </w:rPr>
        <w:t xml:space="preserve"> and published test-retest reliability</w:t>
      </w:r>
      <w:r w:rsidR="005C6CD5" w:rsidRPr="007E4F87">
        <w:t xml:space="preserve"> (α = .86</w:t>
      </w:r>
      <w:r w:rsidR="005C6CD5">
        <w:t>; Frost et al., 2004</w:t>
      </w:r>
      <w:r w:rsidR="005C6CD5" w:rsidRPr="007E4F87">
        <w:t>)</w:t>
      </w:r>
      <w:r w:rsidR="004C15E6">
        <w:t>, which resulted in a cutoff of 15 or more points of change on the SI-R</w:t>
      </w:r>
      <w:r w:rsidR="00233F70">
        <w:t xml:space="preserve"> indicating reliable change</w:t>
      </w:r>
      <w:r w:rsidR="007E446F">
        <w:rPr>
          <w:bCs/>
          <w:color w:val="000000" w:themeColor="text1"/>
        </w:rPr>
        <w:t>.</w:t>
      </w:r>
      <w:r>
        <w:rPr>
          <w:bCs/>
          <w:color w:val="000000" w:themeColor="text1"/>
        </w:rPr>
        <w:t xml:space="preserve"> </w:t>
      </w:r>
      <w:r w:rsidR="007E446F">
        <w:rPr>
          <w:bCs/>
          <w:color w:val="000000" w:themeColor="text1"/>
        </w:rPr>
        <w:t>C</w:t>
      </w:r>
      <w:r>
        <w:rPr>
          <w:bCs/>
          <w:color w:val="000000" w:themeColor="text1"/>
        </w:rPr>
        <w:t>linical</w:t>
      </w:r>
      <w:r w:rsidR="007E446F">
        <w:rPr>
          <w:bCs/>
          <w:color w:val="000000" w:themeColor="text1"/>
        </w:rPr>
        <w:t>ly</w:t>
      </w:r>
      <w:r>
        <w:rPr>
          <w:bCs/>
          <w:color w:val="000000" w:themeColor="text1"/>
        </w:rPr>
        <w:t xml:space="preserve"> </w:t>
      </w:r>
      <w:r w:rsidR="007E446F">
        <w:rPr>
          <w:bCs/>
          <w:color w:val="000000" w:themeColor="text1"/>
        </w:rPr>
        <w:t>significant change was defined as falling below the clinical cutoff score of 41 on the</w:t>
      </w:r>
      <w:r>
        <w:rPr>
          <w:bCs/>
          <w:color w:val="000000" w:themeColor="text1"/>
        </w:rPr>
        <w:t xml:space="preserve"> SI-R </w:t>
      </w:r>
      <w:r>
        <w:rPr>
          <w:bCs/>
          <w:color w:val="000000" w:themeColor="text1"/>
        </w:rPr>
        <w:fldChar w:fldCharType="begin" w:fldLock="1"/>
      </w:r>
      <w:r w:rsidR="00E735C1">
        <w:rPr>
          <w:bCs/>
          <w:color w:val="000000" w:themeColor="text1"/>
        </w:rPr>
        <w:instrText>ADDIN CSL_CITATION {"citationItems":[{"id":"ITEM-1","itemData":{"DOI":"10.1002/jclp.20790","ISSN":"00219762","author":[{"dropping-particle":"","family":"Frost","given":"Randy O.","non-dropping-particle":"","parse-names":false,"suffix":""},{"dropping-particle":"","family":"Hristova","given":"Veselina","non-dropping-particle":"","parse-names":false,"suffix":""}],"container-title":"Journal of Clinical Psychology","id":"ITEM-1","issue":"5","issued":{"date-parts":[["2011"]]},"page":"456-466","title":"Assessment of hoarding","type":"article-journal","volume":"67"},"uris":["http://www.mendeley.com/documents/?uuid=e6af282f-3db1-4e65-b91f-cc935345c5e3"]}],"mendeley":{"formattedCitation":"(Frost &amp; Hristova, 2011)","plainTextFormattedCitation":"(Frost &amp; Hristova, 2011)","previouslyFormattedCitation":"(Frost &amp; Hristova, 2011)"},"properties":{"noteIndex":0},"schema":"https://github.com/citation-style-language/schema/raw/master/csl-citation.json"}</w:instrText>
      </w:r>
      <w:r>
        <w:rPr>
          <w:bCs/>
          <w:color w:val="000000" w:themeColor="text1"/>
        </w:rPr>
        <w:fldChar w:fldCharType="separate"/>
      </w:r>
      <w:r w:rsidRPr="00FF1137">
        <w:rPr>
          <w:bCs/>
          <w:noProof/>
          <w:color w:val="000000" w:themeColor="text1"/>
        </w:rPr>
        <w:t>(Frost &amp; Hristova, 2011)</w:t>
      </w:r>
      <w:r>
        <w:rPr>
          <w:bCs/>
          <w:color w:val="000000" w:themeColor="text1"/>
        </w:rPr>
        <w:fldChar w:fldCharType="end"/>
      </w:r>
      <w:r w:rsidR="00F81DB1">
        <w:rPr>
          <w:bCs/>
          <w:color w:val="000000" w:themeColor="text1"/>
        </w:rPr>
        <w:t>.</w:t>
      </w:r>
      <w:r w:rsidR="00403358">
        <w:rPr>
          <w:bCs/>
          <w:color w:val="000000" w:themeColor="text1"/>
        </w:rPr>
        <w:t xml:space="preserve"> Given the large number of </w:t>
      </w:r>
      <w:r w:rsidR="00230793">
        <w:rPr>
          <w:bCs/>
          <w:color w:val="000000" w:themeColor="text1"/>
        </w:rPr>
        <w:t xml:space="preserve">study </w:t>
      </w:r>
      <w:r w:rsidR="00403358">
        <w:rPr>
          <w:bCs/>
          <w:color w:val="000000" w:themeColor="text1"/>
        </w:rPr>
        <w:t xml:space="preserve">hypotheses tested, the Holm correction was used to </w:t>
      </w:r>
      <w:r w:rsidR="000D3F86">
        <w:rPr>
          <w:bCs/>
          <w:color w:val="000000" w:themeColor="text1"/>
        </w:rPr>
        <w:t>control the family-wise error rate (Holm, 1979)</w:t>
      </w:r>
      <w:r w:rsidR="00DA523F">
        <w:rPr>
          <w:bCs/>
          <w:color w:val="000000" w:themeColor="text1"/>
        </w:rPr>
        <w:t xml:space="preserve"> and </w:t>
      </w:r>
      <w:r w:rsidR="00DA523F">
        <w:rPr>
          <w:bCs/>
          <w:i/>
          <w:iCs/>
          <w:color w:val="000000" w:themeColor="text1"/>
        </w:rPr>
        <w:t>p</w:t>
      </w:r>
      <w:r w:rsidR="00DA523F">
        <w:rPr>
          <w:bCs/>
          <w:color w:val="000000" w:themeColor="text1"/>
        </w:rPr>
        <w:t>-values were adjusted accordingly.</w:t>
      </w:r>
    </w:p>
    <w:p w14:paraId="5B836618" w14:textId="77777777" w:rsidR="003B57BE" w:rsidRPr="00FD6A4F" w:rsidRDefault="003B57BE" w:rsidP="003B57BE">
      <w:pPr>
        <w:spacing w:line="480" w:lineRule="auto"/>
        <w:jc w:val="center"/>
        <w:rPr>
          <w:b/>
          <w:color w:val="000000" w:themeColor="text1"/>
        </w:rPr>
      </w:pPr>
      <w:r w:rsidRPr="00FD6A4F">
        <w:rPr>
          <w:b/>
          <w:color w:val="000000" w:themeColor="text1"/>
        </w:rPr>
        <w:t>Results</w:t>
      </w:r>
    </w:p>
    <w:p w14:paraId="1A7EE9F3" w14:textId="77777777" w:rsidR="00626DDE" w:rsidRDefault="00927525" w:rsidP="00FA41C0">
      <w:pPr>
        <w:pStyle w:val="ListParagraph"/>
        <w:spacing w:line="480" w:lineRule="auto"/>
        <w:ind w:left="0"/>
        <w:rPr>
          <w:bCs/>
          <w:color w:val="000000" w:themeColor="text1"/>
        </w:rPr>
      </w:pPr>
      <w:r>
        <w:rPr>
          <w:b/>
          <w:color w:val="5B9BD5" w:themeColor="accent1"/>
        </w:rPr>
        <w:tab/>
      </w:r>
      <w:r w:rsidRPr="00927525">
        <w:rPr>
          <w:bCs/>
          <w:color w:val="000000" w:themeColor="text1"/>
        </w:rPr>
        <w:t xml:space="preserve">The two groups differed significantly on one variable (CGI-I score) at baseline, and this was included as a covariate in analyses. </w:t>
      </w:r>
      <w:r>
        <w:rPr>
          <w:bCs/>
          <w:color w:val="000000" w:themeColor="text1"/>
        </w:rPr>
        <w:t xml:space="preserve">All </w:t>
      </w:r>
      <w:r w:rsidR="00FA1818">
        <w:rPr>
          <w:bCs/>
          <w:color w:val="000000" w:themeColor="text1"/>
        </w:rPr>
        <w:t>variables</w:t>
      </w:r>
      <w:r>
        <w:rPr>
          <w:bCs/>
          <w:color w:val="000000" w:themeColor="text1"/>
        </w:rPr>
        <w:t xml:space="preserve"> used for further analyses were </w:t>
      </w:r>
      <w:proofErr w:type="gramStart"/>
      <w:r>
        <w:rPr>
          <w:bCs/>
          <w:color w:val="000000" w:themeColor="text1"/>
        </w:rPr>
        <w:t>adequately</w:t>
      </w:r>
      <w:proofErr w:type="gramEnd"/>
      <w:r>
        <w:rPr>
          <w:bCs/>
          <w:color w:val="000000" w:themeColor="text1"/>
        </w:rPr>
        <w:t xml:space="preserve"> </w:t>
      </w:r>
    </w:p>
    <w:p w14:paraId="3BB7AF68" w14:textId="342F6D3F" w:rsidR="00927525" w:rsidRDefault="00927525" w:rsidP="00FA41C0">
      <w:pPr>
        <w:pStyle w:val="ListParagraph"/>
        <w:spacing w:line="480" w:lineRule="auto"/>
        <w:ind w:left="0"/>
        <w:rPr>
          <w:bCs/>
          <w:color w:val="000000" w:themeColor="text1"/>
        </w:rPr>
      </w:pPr>
      <w:r>
        <w:rPr>
          <w:bCs/>
          <w:color w:val="000000" w:themeColor="text1"/>
        </w:rPr>
        <w:lastRenderedPageBreak/>
        <w:t xml:space="preserve">normally distributed. Descriptive statistics were calculated for demographics (Table 1) and other variables (Table </w:t>
      </w:r>
      <w:r w:rsidR="00080824">
        <w:rPr>
          <w:bCs/>
          <w:color w:val="000000" w:themeColor="text1"/>
        </w:rPr>
        <w:t>3</w:t>
      </w:r>
      <w:r>
        <w:rPr>
          <w:bCs/>
          <w:color w:val="000000" w:themeColor="text1"/>
        </w:rPr>
        <w:t>). Residuals for multilevel models were adequately normally distributed. When modeling predicted vs. observed values, some nonlinearity was observed. However, it was not feasible to improve model fit as nonlinearity was not consistent across conditions.</w:t>
      </w:r>
    </w:p>
    <w:p w14:paraId="6AD92F49" w14:textId="77777777" w:rsidR="008430D3" w:rsidRDefault="008430D3" w:rsidP="008430D3">
      <w:pPr>
        <w:contextualSpacing/>
        <w:rPr>
          <w:b/>
          <w:bCs/>
          <w:color w:val="000000" w:themeColor="text1"/>
        </w:rPr>
      </w:pPr>
    </w:p>
    <w:p w14:paraId="491ED6B8" w14:textId="4B9D9188" w:rsidR="008430D3" w:rsidRDefault="008430D3" w:rsidP="002B4B5F">
      <w:pPr>
        <w:contextualSpacing/>
        <w:rPr>
          <w:b/>
          <w:bCs/>
          <w:i/>
          <w:iCs/>
          <w:color w:val="000000" w:themeColor="text1"/>
        </w:rPr>
      </w:pPr>
      <w:r w:rsidRPr="00FD6A4F">
        <w:rPr>
          <w:b/>
          <w:bCs/>
          <w:color w:val="000000" w:themeColor="text1"/>
        </w:rPr>
        <w:t xml:space="preserve">Table </w:t>
      </w:r>
      <w:r>
        <w:rPr>
          <w:b/>
          <w:bCs/>
          <w:color w:val="000000" w:themeColor="text1"/>
        </w:rPr>
        <w:t xml:space="preserve">3. </w:t>
      </w:r>
      <w:r w:rsidRPr="00FD6A4F">
        <w:rPr>
          <w:b/>
          <w:bCs/>
          <w:i/>
          <w:iCs/>
          <w:color w:val="000000" w:themeColor="text1"/>
        </w:rPr>
        <w:t>Descriptive Statistics by Group at Baseline, Posttreatment and Follow-up</w:t>
      </w:r>
    </w:p>
    <w:p w14:paraId="76E4FB59" w14:textId="77777777" w:rsidR="002B4B5F" w:rsidRPr="002B4B5F" w:rsidRDefault="002B4B5F" w:rsidP="004C26C7">
      <w:pPr>
        <w:contextualSpacing/>
        <w:jc w:val="center"/>
        <w:rPr>
          <w:b/>
          <w:bCs/>
          <w:color w:val="000000" w:themeColor="text1"/>
        </w:rPr>
      </w:pPr>
    </w:p>
    <w:tbl>
      <w:tblPr>
        <w:tblStyle w:val="TableGrid"/>
        <w:tblpPr w:leftFromText="180" w:rightFromText="180" w:vertAnchor="page" w:horzAnchor="page" w:tblpXSpec="center" w:tblpY="4426"/>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1101"/>
        <w:gridCol w:w="1126"/>
        <w:gridCol w:w="2038"/>
        <w:gridCol w:w="1136"/>
        <w:gridCol w:w="1092"/>
        <w:gridCol w:w="1121"/>
        <w:gridCol w:w="1106"/>
      </w:tblGrid>
      <w:tr w:rsidR="004C26C7" w:rsidRPr="008430D3" w14:paraId="1A32D5BB" w14:textId="77777777" w:rsidTr="006B09A8">
        <w:trPr>
          <w:trHeight w:val="181"/>
        </w:trPr>
        <w:tc>
          <w:tcPr>
            <w:tcW w:w="1273" w:type="dxa"/>
            <w:tcBorders>
              <w:top w:val="single" w:sz="4" w:space="0" w:color="auto"/>
            </w:tcBorders>
            <w:shd w:val="clear" w:color="auto" w:fill="auto"/>
            <w:vAlign w:val="center"/>
          </w:tcPr>
          <w:p w14:paraId="6BE601A6" w14:textId="77777777" w:rsidR="004C26C7" w:rsidRPr="008430D3" w:rsidRDefault="004C26C7" w:rsidP="004C26C7">
            <w:pPr>
              <w:rPr>
                <w:color w:val="000000" w:themeColor="text1"/>
                <w:sz w:val="16"/>
                <w:szCs w:val="16"/>
              </w:rPr>
            </w:pPr>
          </w:p>
        </w:tc>
        <w:tc>
          <w:tcPr>
            <w:tcW w:w="0" w:type="auto"/>
            <w:gridSpan w:val="2"/>
            <w:tcBorders>
              <w:top w:val="single" w:sz="4" w:space="0" w:color="auto"/>
              <w:bottom w:val="single" w:sz="4" w:space="0" w:color="auto"/>
            </w:tcBorders>
            <w:shd w:val="clear" w:color="auto" w:fill="auto"/>
            <w:vAlign w:val="center"/>
          </w:tcPr>
          <w:p w14:paraId="71DA23E1" w14:textId="77777777" w:rsidR="004C26C7" w:rsidRPr="008430D3" w:rsidRDefault="004C26C7" w:rsidP="004C26C7">
            <w:pPr>
              <w:jc w:val="center"/>
              <w:rPr>
                <w:color w:val="000000" w:themeColor="text1"/>
                <w:sz w:val="16"/>
                <w:szCs w:val="16"/>
              </w:rPr>
            </w:pPr>
            <w:r w:rsidRPr="008430D3">
              <w:rPr>
                <w:color w:val="000000" w:themeColor="text1"/>
                <w:sz w:val="16"/>
                <w:szCs w:val="16"/>
              </w:rPr>
              <w:t>Baseline</w:t>
            </w:r>
          </w:p>
        </w:tc>
        <w:tc>
          <w:tcPr>
            <w:tcW w:w="0" w:type="auto"/>
            <w:tcBorders>
              <w:top w:val="single" w:sz="4" w:space="0" w:color="auto"/>
            </w:tcBorders>
            <w:shd w:val="clear" w:color="auto" w:fill="auto"/>
            <w:vAlign w:val="center"/>
          </w:tcPr>
          <w:p w14:paraId="589F6234" w14:textId="77777777" w:rsidR="004C26C7" w:rsidRPr="008430D3" w:rsidRDefault="004C26C7" w:rsidP="004C26C7">
            <w:pPr>
              <w:jc w:val="center"/>
              <w:rPr>
                <w:color w:val="000000" w:themeColor="text1"/>
                <w:sz w:val="16"/>
                <w:szCs w:val="16"/>
              </w:rPr>
            </w:pPr>
            <w:r w:rsidRPr="008430D3">
              <w:rPr>
                <w:color w:val="000000" w:themeColor="text1"/>
                <w:sz w:val="16"/>
                <w:szCs w:val="16"/>
              </w:rPr>
              <w:t>Group comparison at baseline</w:t>
            </w:r>
          </w:p>
        </w:tc>
        <w:tc>
          <w:tcPr>
            <w:tcW w:w="0" w:type="auto"/>
            <w:gridSpan w:val="2"/>
            <w:tcBorders>
              <w:top w:val="single" w:sz="4" w:space="0" w:color="auto"/>
              <w:bottom w:val="single" w:sz="4" w:space="0" w:color="auto"/>
            </w:tcBorders>
            <w:shd w:val="clear" w:color="auto" w:fill="auto"/>
            <w:vAlign w:val="center"/>
          </w:tcPr>
          <w:p w14:paraId="75873B48" w14:textId="77777777" w:rsidR="004C26C7" w:rsidRPr="008430D3" w:rsidRDefault="004C26C7" w:rsidP="004C26C7">
            <w:pPr>
              <w:jc w:val="center"/>
              <w:rPr>
                <w:color w:val="000000" w:themeColor="text1"/>
                <w:sz w:val="16"/>
                <w:szCs w:val="16"/>
              </w:rPr>
            </w:pPr>
            <w:r w:rsidRPr="008430D3">
              <w:rPr>
                <w:color w:val="000000" w:themeColor="text1"/>
                <w:sz w:val="16"/>
                <w:szCs w:val="16"/>
              </w:rPr>
              <w:t>Posttreatment</w:t>
            </w:r>
          </w:p>
        </w:tc>
        <w:tc>
          <w:tcPr>
            <w:tcW w:w="0" w:type="auto"/>
            <w:gridSpan w:val="2"/>
            <w:tcBorders>
              <w:top w:val="single" w:sz="4" w:space="0" w:color="auto"/>
              <w:bottom w:val="single" w:sz="4" w:space="0" w:color="auto"/>
            </w:tcBorders>
            <w:shd w:val="clear" w:color="auto" w:fill="auto"/>
            <w:vAlign w:val="center"/>
          </w:tcPr>
          <w:p w14:paraId="5FFA238E" w14:textId="77777777" w:rsidR="004C26C7" w:rsidRPr="008430D3" w:rsidRDefault="004C26C7" w:rsidP="004C26C7">
            <w:pPr>
              <w:jc w:val="center"/>
              <w:rPr>
                <w:color w:val="000000" w:themeColor="text1"/>
                <w:sz w:val="16"/>
                <w:szCs w:val="16"/>
              </w:rPr>
            </w:pPr>
            <w:r w:rsidRPr="008430D3">
              <w:rPr>
                <w:color w:val="000000" w:themeColor="text1"/>
                <w:sz w:val="16"/>
                <w:szCs w:val="16"/>
              </w:rPr>
              <w:t>Follow-up</w:t>
            </w:r>
          </w:p>
        </w:tc>
      </w:tr>
      <w:tr w:rsidR="004C26C7" w:rsidRPr="008430D3" w14:paraId="7E439B13" w14:textId="77777777" w:rsidTr="006B09A8">
        <w:trPr>
          <w:trHeight w:val="181"/>
        </w:trPr>
        <w:tc>
          <w:tcPr>
            <w:tcW w:w="1273" w:type="dxa"/>
            <w:tcBorders>
              <w:bottom w:val="single" w:sz="4" w:space="0" w:color="auto"/>
            </w:tcBorders>
            <w:shd w:val="clear" w:color="auto" w:fill="auto"/>
            <w:vAlign w:val="center"/>
          </w:tcPr>
          <w:p w14:paraId="2B3E23ED" w14:textId="77777777" w:rsidR="004C26C7" w:rsidRPr="008430D3" w:rsidRDefault="004C26C7" w:rsidP="004C26C7">
            <w:pPr>
              <w:rPr>
                <w:color w:val="000000" w:themeColor="text1"/>
                <w:sz w:val="16"/>
                <w:szCs w:val="16"/>
              </w:rPr>
            </w:pPr>
          </w:p>
        </w:tc>
        <w:tc>
          <w:tcPr>
            <w:tcW w:w="1101" w:type="dxa"/>
            <w:tcBorders>
              <w:top w:val="single" w:sz="4" w:space="0" w:color="auto"/>
              <w:bottom w:val="single" w:sz="4" w:space="0" w:color="auto"/>
            </w:tcBorders>
            <w:shd w:val="clear" w:color="auto" w:fill="auto"/>
            <w:vAlign w:val="center"/>
          </w:tcPr>
          <w:p w14:paraId="09F50F65" w14:textId="77777777" w:rsidR="004C26C7" w:rsidRPr="008430D3" w:rsidRDefault="004C26C7" w:rsidP="004C26C7">
            <w:pPr>
              <w:jc w:val="center"/>
              <w:rPr>
                <w:color w:val="000000" w:themeColor="text1"/>
                <w:sz w:val="16"/>
                <w:szCs w:val="16"/>
              </w:rPr>
            </w:pPr>
            <w:r w:rsidRPr="008430D3">
              <w:rPr>
                <w:color w:val="000000" w:themeColor="text1"/>
                <w:sz w:val="16"/>
                <w:szCs w:val="16"/>
              </w:rPr>
              <w:t>ACT (n = 38)</w:t>
            </w:r>
          </w:p>
          <w:p w14:paraId="195C566F"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c>
          <w:tcPr>
            <w:tcW w:w="1126" w:type="dxa"/>
            <w:tcBorders>
              <w:top w:val="single" w:sz="4" w:space="0" w:color="auto"/>
              <w:bottom w:val="single" w:sz="4" w:space="0" w:color="auto"/>
            </w:tcBorders>
            <w:shd w:val="clear" w:color="auto" w:fill="auto"/>
            <w:vAlign w:val="center"/>
          </w:tcPr>
          <w:p w14:paraId="066C9168" w14:textId="77777777" w:rsidR="004C26C7" w:rsidRPr="008430D3" w:rsidRDefault="004C26C7" w:rsidP="004C26C7">
            <w:pPr>
              <w:jc w:val="center"/>
              <w:rPr>
                <w:color w:val="000000" w:themeColor="text1"/>
                <w:sz w:val="16"/>
                <w:szCs w:val="16"/>
              </w:rPr>
            </w:pPr>
            <w:r w:rsidRPr="008430D3">
              <w:rPr>
                <w:color w:val="000000" w:themeColor="text1"/>
                <w:sz w:val="16"/>
                <w:szCs w:val="16"/>
              </w:rPr>
              <w:t>Waitlist (n = 35)</w:t>
            </w:r>
          </w:p>
          <w:p w14:paraId="0E12F549"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c>
          <w:tcPr>
            <w:tcW w:w="0" w:type="auto"/>
            <w:tcBorders>
              <w:bottom w:val="single" w:sz="4" w:space="0" w:color="auto"/>
            </w:tcBorders>
            <w:shd w:val="clear" w:color="auto" w:fill="auto"/>
            <w:vAlign w:val="center"/>
          </w:tcPr>
          <w:p w14:paraId="0858B555" w14:textId="77777777" w:rsidR="004C26C7" w:rsidRPr="008430D3" w:rsidRDefault="004C26C7" w:rsidP="004C26C7">
            <w:pPr>
              <w:jc w:val="center"/>
              <w:rPr>
                <w:color w:val="000000" w:themeColor="text1"/>
                <w:sz w:val="16"/>
                <w:szCs w:val="16"/>
              </w:rPr>
            </w:pPr>
          </w:p>
        </w:tc>
        <w:tc>
          <w:tcPr>
            <w:tcW w:w="1136" w:type="dxa"/>
            <w:tcBorders>
              <w:top w:val="single" w:sz="4" w:space="0" w:color="auto"/>
              <w:bottom w:val="single" w:sz="4" w:space="0" w:color="auto"/>
            </w:tcBorders>
            <w:shd w:val="clear" w:color="auto" w:fill="auto"/>
            <w:vAlign w:val="center"/>
          </w:tcPr>
          <w:p w14:paraId="4E31401D" w14:textId="77777777" w:rsidR="004C26C7" w:rsidRPr="008430D3" w:rsidRDefault="004C26C7" w:rsidP="004C26C7">
            <w:pPr>
              <w:jc w:val="center"/>
              <w:rPr>
                <w:color w:val="000000" w:themeColor="text1"/>
                <w:sz w:val="16"/>
                <w:szCs w:val="16"/>
              </w:rPr>
            </w:pPr>
            <w:r w:rsidRPr="008430D3">
              <w:rPr>
                <w:color w:val="000000" w:themeColor="text1"/>
                <w:sz w:val="16"/>
                <w:szCs w:val="16"/>
              </w:rPr>
              <w:t>ACT (n = 26)</w:t>
            </w:r>
          </w:p>
          <w:p w14:paraId="52758841"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c>
          <w:tcPr>
            <w:tcW w:w="1092" w:type="dxa"/>
            <w:tcBorders>
              <w:top w:val="single" w:sz="4" w:space="0" w:color="auto"/>
              <w:bottom w:val="single" w:sz="4" w:space="0" w:color="auto"/>
            </w:tcBorders>
            <w:shd w:val="clear" w:color="auto" w:fill="auto"/>
            <w:vAlign w:val="center"/>
          </w:tcPr>
          <w:p w14:paraId="01F8F8CA" w14:textId="77777777" w:rsidR="004C26C7" w:rsidRPr="008430D3" w:rsidRDefault="004C26C7" w:rsidP="004C26C7">
            <w:pPr>
              <w:jc w:val="center"/>
              <w:rPr>
                <w:color w:val="000000" w:themeColor="text1"/>
                <w:sz w:val="16"/>
                <w:szCs w:val="16"/>
              </w:rPr>
            </w:pPr>
            <w:r w:rsidRPr="008430D3">
              <w:rPr>
                <w:color w:val="000000" w:themeColor="text1"/>
                <w:sz w:val="16"/>
                <w:szCs w:val="16"/>
              </w:rPr>
              <w:t>Waitlist (n = 26)</w:t>
            </w:r>
          </w:p>
          <w:p w14:paraId="476D0253"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c>
          <w:tcPr>
            <w:tcW w:w="1121" w:type="dxa"/>
            <w:tcBorders>
              <w:top w:val="single" w:sz="4" w:space="0" w:color="auto"/>
              <w:bottom w:val="single" w:sz="4" w:space="0" w:color="auto"/>
            </w:tcBorders>
            <w:shd w:val="clear" w:color="auto" w:fill="auto"/>
            <w:vAlign w:val="center"/>
          </w:tcPr>
          <w:p w14:paraId="3BFEF2B0" w14:textId="77777777" w:rsidR="004C26C7" w:rsidRPr="008430D3" w:rsidRDefault="004C26C7" w:rsidP="004C26C7">
            <w:pPr>
              <w:jc w:val="center"/>
              <w:rPr>
                <w:color w:val="000000" w:themeColor="text1"/>
                <w:sz w:val="16"/>
                <w:szCs w:val="16"/>
              </w:rPr>
            </w:pPr>
            <w:r w:rsidRPr="008430D3">
              <w:rPr>
                <w:color w:val="000000" w:themeColor="text1"/>
                <w:sz w:val="16"/>
                <w:szCs w:val="16"/>
              </w:rPr>
              <w:t>ACT (n = 25)</w:t>
            </w:r>
          </w:p>
          <w:p w14:paraId="3EB10DD3"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c>
          <w:tcPr>
            <w:tcW w:w="1106" w:type="dxa"/>
            <w:tcBorders>
              <w:top w:val="single" w:sz="4" w:space="0" w:color="auto"/>
              <w:bottom w:val="single" w:sz="4" w:space="0" w:color="auto"/>
            </w:tcBorders>
            <w:shd w:val="clear" w:color="auto" w:fill="auto"/>
            <w:vAlign w:val="center"/>
          </w:tcPr>
          <w:p w14:paraId="296C20DC" w14:textId="77777777" w:rsidR="004C26C7" w:rsidRPr="008430D3" w:rsidRDefault="004C26C7" w:rsidP="004C26C7">
            <w:pPr>
              <w:jc w:val="center"/>
              <w:rPr>
                <w:color w:val="000000" w:themeColor="text1"/>
                <w:sz w:val="16"/>
                <w:szCs w:val="16"/>
              </w:rPr>
            </w:pPr>
            <w:r w:rsidRPr="008430D3">
              <w:rPr>
                <w:color w:val="000000" w:themeColor="text1"/>
                <w:sz w:val="16"/>
                <w:szCs w:val="16"/>
              </w:rPr>
              <w:t>Waitlist (n = 29)</w:t>
            </w:r>
          </w:p>
          <w:p w14:paraId="34355D28" w14:textId="77777777" w:rsidR="004C26C7" w:rsidRPr="008430D3" w:rsidRDefault="004C26C7" w:rsidP="004C26C7">
            <w:pPr>
              <w:jc w:val="center"/>
              <w:rPr>
                <w:color w:val="000000" w:themeColor="text1"/>
                <w:sz w:val="16"/>
                <w:szCs w:val="16"/>
              </w:rPr>
            </w:pPr>
            <w:r w:rsidRPr="008430D3">
              <w:rPr>
                <w:color w:val="000000" w:themeColor="text1"/>
                <w:sz w:val="16"/>
                <w:szCs w:val="16"/>
              </w:rPr>
              <w:t>M(SD)/%</w:t>
            </w:r>
          </w:p>
        </w:tc>
      </w:tr>
      <w:tr w:rsidR="004C26C7" w:rsidRPr="008430D3" w14:paraId="0AC4C175" w14:textId="77777777" w:rsidTr="006B09A8">
        <w:trPr>
          <w:trHeight w:val="281"/>
        </w:trPr>
        <w:tc>
          <w:tcPr>
            <w:tcW w:w="1273" w:type="dxa"/>
            <w:tcBorders>
              <w:top w:val="single" w:sz="4" w:space="0" w:color="auto"/>
            </w:tcBorders>
            <w:shd w:val="clear" w:color="auto" w:fill="auto"/>
            <w:vAlign w:val="center"/>
          </w:tcPr>
          <w:p w14:paraId="02A1160D" w14:textId="77777777" w:rsidR="004C26C7" w:rsidRPr="008430D3" w:rsidRDefault="004C26C7" w:rsidP="004C26C7">
            <w:pPr>
              <w:rPr>
                <w:color w:val="000000" w:themeColor="text1"/>
                <w:sz w:val="16"/>
                <w:szCs w:val="16"/>
              </w:rPr>
            </w:pPr>
            <w:r w:rsidRPr="008430D3">
              <w:rPr>
                <w:color w:val="000000" w:themeColor="text1"/>
                <w:sz w:val="16"/>
                <w:szCs w:val="16"/>
              </w:rPr>
              <w:t>SI-R Total</w:t>
            </w:r>
          </w:p>
        </w:tc>
        <w:tc>
          <w:tcPr>
            <w:tcW w:w="1101" w:type="dxa"/>
            <w:tcBorders>
              <w:top w:val="single" w:sz="4" w:space="0" w:color="auto"/>
            </w:tcBorders>
            <w:shd w:val="clear" w:color="auto" w:fill="auto"/>
            <w:vAlign w:val="center"/>
          </w:tcPr>
          <w:p w14:paraId="78D7A4CB" w14:textId="77777777" w:rsidR="004C26C7" w:rsidRPr="008430D3" w:rsidRDefault="004C26C7" w:rsidP="004C26C7">
            <w:pPr>
              <w:jc w:val="center"/>
              <w:rPr>
                <w:color w:val="000000" w:themeColor="text1"/>
                <w:sz w:val="16"/>
                <w:szCs w:val="16"/>
              </w:rPr>
            </w:pPr>
            <w:r w:rsidRPr="008430D3">
              <w:rPr>
                <w:color w:val="000000" w:themeColor="text1"/>
                <w:sz w:val="16"/>
                <w:szCs w:val="16"/>
              </w:rPr>
              <w:t>66.25 (11.96)</w:t>
            </w:r>
          </w:p>
        </w:tc>
        <w:tc>
          <w:tcPr>
            <w:tcW w:w="1126" w:type="dxa"/>
            <w:tcBorders>
              <w:top w:val="single" w:sz="4" w:space="0" w:color="auto"/>
            </w:tcBorders>
            <w:shd w:val="clear" w:color="auto" w:fill="auto"/>
            <w:vAlign w:val="center"/>
          </w:tcPr>
          <w:p w14:paraId="03DA092C" w14:textId="77777777" w:rsidR="004C26C7" w:rsidRPr="008430D3" w:rsidRDefault="004C26C7" w:rsidP="004C26C7">
            <w:pPr>
              <w:jc w:val="center"/>
              <w:rPr>
                <w:color w:val="000000" w:themeColor="text1"/>
                <w:sz w:val="16"/>
                <w:szCs w:val="16"/>
              </w:rPr>
            </w:pPr>
            <w:r w:rsidRPr="008430D3">
              <w:rPr>
                <w:color w:val="000000" w:themeColor="text1"/>
                <w:sz w:val="16"/>
                <w:szCs w:val="16"/>
              </w:rPr>
              <w:t>67.18 (14.84)</w:t>
            </w:r>
          </w:p>
        </w:tc>
        <w:tc>
          <w:tcPr>
            <w:tcW w:w="0" w:type="auto"/>
            <w:tcBorders>
              <w:top w:val="single" w:sz="4" w:space="0" w:color="auto"/>
            </w:tcBorders>
            <w:shd w:val="clear" w:color="auto" w:fill="auto"/>
            <w:vAlign w:val="center"/>
          </w:tcPr>
          <w:p w14:paraId="5E9E861E"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65.4) = -0.734, p = .47</w:t>
            </w:r>
          </w:p>
        </w:tc>
        <w:tc>
          <w:tcPr>
            <w:tcW w:w="1136" w:type="dxa"/>
            <w:tcBorders>
              <w:top w:val="single" w:sz="4" w:space="0" w:color="auto"/>
            </w:tcBorders>
            <w:shd w:val="clear" w:color="auto" w:fill="auto"/>
            <w:vAlign w:val="center"/>
          </w:tcPr>
          <w:p w14:paraId="028C2264" w14:textId="77777777" w:rsidR="004C26C7" w:rsidRPr="008430D3" w:rsidRDefault="004C26C7" w:rsidP="004C26C7">
            <w:pPr>
              <w:jc w:val="center"/>
              <w:rPr>
                <w:color w:val="000000" w:themeColor="text1"/>
                <w:sz w:val="16"/>
                <w:szCs w:val="16"/>
              </w:rPr>
            </w:pPr>
            <w:r w:rsidRPr="008430D3">
              <w:rPr>
                <w:color w:val="000000" w:themeColor="text1"/>
                <w:sz w:val="16"/>
                <w:szCs w:val="16"/>
              </w:rPr>
              <w:t>54.46 (13.40)</w:t>
            </w:r>
          </w:p>
        </w:tc>
        <w:tc>
          <w:tcPr>
            <w:tcW w:w="1092" w:type="dxa"/>
            <w:tcBorders>
              <w:top w:val="single" w:sz="4" w:space="0" w:color="auto"/>
            </w:tcBorders>
            <w:shd w:val="clear" w:color="auto" w:fill="auto"/>
            <w:vAlign w:val="center"/>
          </w:tcPr>
          <w:p w14:paraId="5510029C" w14:textId="77777777" w:rsidR="004C26C7" w:rsidRPr="008430D3" w:rsidRDefault="004C26C7" w:rsidP="004C26C7">
            <w:pPr>
              <w:jc w:val="center"/>
              <w:rPr>
                <w:color w:val="000000" w:themeColor="text1"/>
                <w:sz w:val="16"/>
                <w:szCs w:val="16"/>
              </w:rPr>
            </w:pPr>
            <w:r w:rsidRPr="008430D3">
              <w:rPr>
                <w:color w:val="000000" w:themeColor="text1"/>
                <w:sz w:val="16"/>
                <w:szCs w:val="16"/>
              </w:rPr>
              <w:t>59.15 (12.18)</w:t>
            </w:r>
          </w:p>
        </w:tc>
        <w:tc>
          <w:tcPr>
            <w:tcW w:w="1121" w:type="dxa"/>
            <w:tcBorders>
              <w:top w:val="single" w:sz="4" w:space="0" w:color="auto"/>
            </w:tcBorders>
            <w:shd w:val="clear" w:color="auto" w:fill="auto"/>
            <w:vAlign w:val="center"/>
          </w:tcPr>
          <w:p w14:paraId="624101EC" w14:textId="77777777" w:rsidR="004C26C7" w:rsidRPr="008430D3" w:rsidRDefault="004C26C7" w:rsidP="004C26C7">
            <w:pPr>
              <w:jc w:val="center"/>
              <w:rPr>
                <w:color w:val="000000" w:themeColor="text1"/>
                <w:sz w:val="16"/>
                <w:szCs w:val="16"/>
              </w:rPr>
            </w:pPr>
            <w:r w:rsidRPr="008430D3">
              <w:rPr>
                <w:color w:val="000000" w:themeColor="text1"/>
                <w:sz w:val="16"/>
                <w:szCs w:val="16"/>
              </w:rPr>
              <w:t>46.72 (13.40)</w:t>
            </w:r>
          </w:p>
        </w:tc>
        <w:tc>
          <w:tcPr>
            <w:tcW w:w="1106" w:type="dxa"/>
            <w:tcBorders>
              <w:top w:val="single" w:sz="4" w:space="0" w:color="auto"/>
            </w:tcBorders>
            <w:shd w:val="clear" w:color="auto" w:fill="auto"/>
            <w:vAlign w:val="center"/>
          </w:tcPr>
          <w:p w14:paraId="72F3B71D" w14:textId="77777777" w:rsidR="004C26C7" w:rsidRPr="008430D3" w:rsidRDefault="004C26C7" w:rsidP="004C26C7">
            <w:pPr>
              <w:jc w:val="center"/>
              <w:rPr>
                <w:color w:val="000000" w:themeColor="text1"/>
                <w:sz w:val="16"/>
                <w:szCs w:val="16"/>
              </w:rPr>
            </w:pPr>
            <w:r w:rsidRPr="008430D3">
              <w:rPr>
                <w:color w:val="000000" w:themeColor="text1"/>
                <w:sz w:val="16"/>
                <w:szCs w:val="16"/>
              </w:rPr>
              <w:t>55.55 (14.86)</w:t>
            </w:r>
          </w:p>
        </w:tc>
      </w:tr>
      <w:tr w:rsidR="004C26C7" w:rsidRPr="008430D3" w14:paraId="34AEF1C2" w14:textId="77777777" w:rsidTr="006B09A8">
        <w:trPr>
          <w:trHeight w:val="281"/>
        </w:trPr>
        <w:tc>
          <w:tcPr>
            <w:tcW w:w="1273" w:type="dxa"/>
            <w:shd w:val="clear" w:color="auto" w:fill="auto"/>
            <w:vAlign w:val="center"/>
          </w:tcPr>
          <w:p w14:paraId="393E6AF7" w14:textId="77777777" w:rsidR="004C26C7" w:rsidRPr="008430D3" w:rsidRDefault="004C26C7" w:rsidP="004C26C7">
            <w:pPr>
              <w:rPr>
                <w:color w:val="000000" w:themeColor="text1"/>
                <w:sz w:val="16"/>
                <w:szCs w:val="16"/>
              </w:rPr>
            </w:pPr>
            <w:r w:rsidRPr="008430D3">
              <w:rPr>
                <w:color w:val="000000" w:themeColor="text1"/>
                <w:sz w:val="16"/>
                <w:szCs w:val="16"/>
              </w:rPr>
              <w:t>SI-R Difficulty Discarding</w:t>
            </w:r>
          </w:p>
        </w:tc>
        <w:tc>
          <w:tcPr>
            <w:tcW w:w="1101" w:type="dxa"/>
            <w:shd w:val="clear" w:color="auto" w:fill="auto"/>
            <w:vAlign w:val="center"/>
          </w:tcPr>
          <w:p w14:paraId="2A9A47D2" w14:textId="77777777" w:rsidR="004C26C7" w:rsidRPr="008430D3" w:rsidRDefault="004C26C7" w:rsidP="004C26C7">
            <w:pPr>
              <w:jc w:val="center"/>
              <w:rPr>
                <w:color w:val="000000" w:themeColor="text1"/>
                <w:sz w:val="16"/>
                <w:szCs w:val="16"/>
              </w:rPr>
            </w:pPr>
            <w:r w:rsidRPr="008430D3">
              <w:rPr>
                <w:color w:val="000000" w:themeColor="text1"/>
                <w:sz w:val="16"/>
                <w:szCs w:val="16"/>
              </w:rPr>
              <w:t>20.94 (4.20)</w:t>
            </w:r>
          </w:p>
        </w:tc>
        <w:tc>
          <w:tcPr>
            <w:tcW w:w="1126" w:type="dxa"/>
            <w:shd w:val="clear" w:color="auto" w:fill="auto"/>
            <w:vAlign w:val="center"/>
          </w:tcPr>
          <w:p w14:paraId="7BC1FEB4" w14:textId="77777777" w:rsidR="004C26C7" w:rsidRPr="008430D3" w:rsidRDefault="004C26C7" w:rsidP="004C26C7">
            <w:pPr>
              <w:jc w:val="center"/>
              <w:rPr>
                <w:color w:val="000000" w:themeColor="text1"/>
                <w:sz w:val="16"/>
                <w:szCs w:val="16"/>
              </w:rPr>
            </w:pPr>
            <w:r w:rsidRPr="008430D3">
              <w:rPr>
                <w:color w:val="000000" w:themeColor="text1"/>
                <w:sz w:val="16"/>
                <w:szCs w:val="16"/>
              </w:rPr>
              <w:t>20.88 (5.48)</w:t>
            </w:r>
          </w:p>
        </w:tc>
        <w:tc>
          <w:tcPr>
            <w:tcW w:w="0" w:type="auto"/>
            <w:shd w:val="clear" w:color="auto" w:fill="auto"/>
            <w:vAlign w:val="center"/>
          </w:tcPr>
          <w:p w14:paraId="5C55412A"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60.2) = -0.68, p = .50</w:t>
            </w:r>
          </w:p>
        </w:tc>
        <w:tc>
          <w:tcPr>
            <w:tcW w:w="1136" w:type="dxa"/>
            <w:shd w:val="clear" w:color="auto" w:fill="auto"/>
            <w:vAlign w:val="center"/>
          </w:tcPr>
          <w:p w14:paraId="4DB1D92D" w14:textId="77777777" w:rsidR="004C26C7" w:rsidRPr="008430D3" w:rsidRDefault="004C26C7" w:rsidP="004C26C7">
            <w:pPr>
              <w:jc w:val="center"/>
              <w:rPr>
                <w:color w:val="000000" w:themeColor="text1"/>
                <w:sz w:val="16"/>
                <w:szCs w:val="16"/>
              </w:rPr>
            </w:pPr>
            <w:r w:rsidRPr="008430D3">
              <w:rPr>
                <w:color w:val="000000" w:themeColor="text1"/>
                <w:sz w:val="16"/>
                <w:szCs w:val="16"/>
              </w:rPr>
              <w:t>17.62 (4.53)</w:t>
            </w:r>
          </w:p>
        </w:tc>
        <w:tc>
          <w:tcPr>
            <w:tcW w:w="1092" w:type="dxa"/>
            <w:shd w:val="clear" w:color="auto" w:fill="auto"/>
            <w:vAlign w:val="center"/>
          </w:tcPr>
          <w:p w14:paraId="3AE562EC" w14:textId="77777777" w:rsidR="004C26C7" w:rsidRPr="008430D3" w:rsidRDefault="004C26C7" w:rsidP="004C26C7">
            <w:pPr>
              <w:jc w:val="center"/>
              <w:rPr>
                <w:color w:val="000000" w:themeColor="text1"/>
                <w:sz w:val="16"/>
                <w:szCs w:val="16"/>
              </w:rPr>
            </w:pPr>
            <w:r w:rsidRPr="008430D3">
              <w:rPr>
                <w:color w:val="000000" w:themeColor="text1"/>
                <w:sz w:val="16"/>
                <w:szCs w:val="16"/>
              </w:rPr>
              <w:t>18.58 (4.43)</w:t>
            </w:r>
          </w:p>
        </w:tc>
        <w:tc>
          <w:tcPr>
            <w:tcW w:w="1121" w:type="dxa"/>
            <w:shd w:val="clear" w:color="auto" w:fill="auto"/>
            <w:vAlign w:val="center"/>
          </w:tcPr>
          <w:p w14:paraId="0D10CDD5" w14:textId="77777777" w:rsidR="004C26C7" w:rsidRPr="008430D3" w:rsidRDefault="004C26C7" w:rsidP="004C26C7">
            <w:pPr>
              <w:jc w:val="center"/>
              <w:rPr>
                <w:color w:val="000000" w:themeColor="text1"/>
                <w:sz w:val="16"/>
                <w:szCs w:val="16"/>
              </w:rPr>
            </w:pPr>
            <w:r w:rsidRPr="008430D3">
              <w:rPr>
                <w:color w:val="000000" w:themeColor="text1"/>
                <w:sz w:val="16"/>
                <w:szCs w:val="16"/>
              </w:rPr>
              <w:t>14.68 (4.54)</w:t>
            </w:r>
          </w:p>
        </w:tc>
        <w:tc>
          <w:tcPr>
            <w:tcW w:w="1106" w:type="dxa"/>
            <w:shd w:val="clear" w:color="auto" w:fill="auto"/>
            <w:vAlign w:val="center"/>
          </w:tcPr>
          <w:p w14:paraId="58B50C8A" w14:textId="77777777" w:rsidR="004C26C7" w:rsidRPr="008430D3" w:rsidRDefault="004C26C7" w:rsidP="004C26C7">
            <w:pPr>
              <w:jc w:val="center"/>
              <w:rPr>
                <w:color w:val="000000" w:themeColor="text1"/>
                <w:sz w:val="16"/>
                <w:szCs w:val="16"/>
              </w:rPr>
            </w:pPr>
            <w:r w:rsidRPr="008430D3">
              <w:rPr>
                <w:color w:val="000000" w:themeColor="text1"/>
                <w:sz w:val="16"/>
                <w:szCs w:val="16"/>
              </w:rPr>
              <w:t>17.93 (4.61)</w:t>
            </w:r>
          </w:p>
        </w:tc>
      </w:tr>
      <w:tr w:rsidR="004C26C7" w:rsidRPr="008430D3" w14:paraId="42EE4C1A" w14:textId="77777777" w:rsidTr="006B09A8">
        <w:trPr>
          <w:trHeight w:val="281"/>
        </w:trPr>
        <w:tc>
          <w:tcPr>
            <w:tcW w:w="1273" w:type="dxa"/>
            <w:shd w:val="clear" w:color="auto" w:fill="auto"/>
            <w:vAlign w:val="center"/>
          </w:tcPr>
          <w:p w14:paraId="367D8155" w14:textId="77777777" w:rsidR="004C26C7" w:rsidRPr="008430D3" w:rsidRDefault="004C26C7" w:rsidP="004C26C7">
            <w:pPr>
              <w:rPr>
                <w:color w:val="000000" w:themeColor="text1"/>
                <w:sz w:val="16"/>
                <w:szCs w:val="16"/>
              </w:rPr>
            </w:pPr>
            <w:r w:rsidRPr="008430D3">
              <w:rPr>
                <w:color w:val="000000" w:themeColor="text1"/>
                <w:sz w:val="16"/>
                <w:szCs w:val="16"/>
              </w:rPr>
              <w:t>SI-R Excessive Acquisition</w:t>
            </w:r>
          </w:p>
        </w:tc>
        <w:tc>
          <w:tcPr>
            <w:tcW w:w="1101" w:type="dxa"/>
            <w:shd w:val="clear" w:color="auto" w:fill="auto"/>
            <w:vAlign w:val="center"/>
          </w:tcPr>
          <w:p w14:paraId="07D77C43" w14:textId="77777777" w:rsidR="004C26C7" w:rsidRPr="008430D3" w:rsidRDefault="004C26C7" w:rsidP="004C26C7">
            <w:pPr>
              <w:jc w:val="center"/>
              <w:rPr>
                <w:color w:val="000000" w:themeColor="text1"/>
                <w:sz w:val="16"/>
                <w:szCs w:val="16"/>
              </w:rPr>
            </w:pPr>
            <w:r w:rsidRPr="008430D3">
              <w:rPr>
                <w:color w:val="000000" w:themeColor="text1"/>
                <w:sz w:val="16"/>
                <w:szCs w:val="16"/>
              </w:rPr>
              <w:t>17.69 (5.02)</w:t>
            </w:r>
          </w:p>
        </w:tc>
        <w:tc>
          <w:tcPr>
            <w:tcW w:w="1126" w:type="dxa"/>
            <w:shd w:val="clear" w:color="auto" w:fill="auto"/>
            <w:vAlign w:val="center"/>
          </w:tcPr>
          <w:p w14:paraId="70C6DCC5" w14:textId="77777777" w:rsidR="004C26C7" w:rsidRPr="008430D3" w:rsidRDefault="004C26C7" w:rsidP="004C26C7">
            <w:pPr>
              <w:jc w:val="center"/>
              <w:rPr>
                <w:color w:val="000000" w:themeColor="text1"/>
                <w:sz w:val="16"/>
                <w:szCs w:val="16"/>
              </w:rPr>
            </w:pPr>
            <w:r w:rsidRPr="008430D3">
              <w:rPr>
                <w:color w:val="000000" w:themeColor="text1"/>
                <w:sz w:val="16"/>
                <w:szCs w:val="16"/>
              </w:rPr>
              <w:t>18.59 (4.50)</w:t>
            </w:r>
          </w:p>
        </w:tc>
        <w:tc>
          <w:tcPr>
            <w:tcW w:w="0" w:type="auto"/>
            <w:shd w:val="clear" w:color="auto" w:fill="auto"/>
            <w:vAlign w:val="center"/>
          </w:tcPr>
          <w:p w14:paraId="181067E2"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70) = -0.30, p = .77</w:t>
            </w:r>
          </w:p>
        </w:tc>
        <w:tc>
          <w:tcPr>
            <w:tcW w:w="1136" w:type="dxa"/>
            <w:shd w:val="clear" w:color="auto" w:fill="auto"/>
            <w:vAlign w:val="center"/>
          </w:tcPr>
          <w:p w14:paraId="486DF562" w14:textId="77777777" w:rsidR="004C26C7" w:rsidRPr="008430D3" w:rsidRDefault="004C26C7" w:rsidP="004C26C7">
            <w:pPr>
              <w:jc w:val="center"/>
              <w:rPr>
                <w:color w:val="000000" w:themeColor="text1"/>
                <w:sz w:val="16"/>
                <w:szCs w:val="16"/>
              </w:rPr>
            </w:pPr>
            <w:r w:rsidRPr="008430D3">
              <w:rPr>
                <w:color w:val="000000" w:themeColor="text1"/>
                <w:sz w:val="16"/>
                <w:szCs w:val="16"/>
              </w:rPr>
              <w:t>14.15 (4.09)</w:t>
            </w:r>
          </w:p>
        </w:tc>
        <w:tc>
          <w:tcPr>
            <w:tcW w:w="1092" w:type="dxa"/>
            <w:shd w:val="clear" w:color="auto" w:fill="auto"/>
            <w:vAlign w:val="center"/>
          </w:tcPr>
          <w:p w14:paraId="3D6B97DA" w14:textId="77777777" w:rsidR="004C26C7" w:rsidRPr="008430D3" w:rsidRDefault="004C26C7" w:rsidP="004C26C7">
            <w:pPr>
              <w:jc w:val="center"/>
              <w:rPr>
                <w:color w:val="000000" w:themeColor="text1"/>
                <w:sz w:val="16"/>
                <w:szCs w:val="16"/>
              </w:rPr>
            </w:pPr>
            <w:r w:rsidRPr="008430D3">
              <w:rPr>
                <w:color w:val="000000" w:themeColor="text1"/>
                <w:sz w:val="16"/>
                <w:szCs w:val="16"/>
              </w:rPr>
              <w:t>16.19 (4.62)</w:t>
            </w:r>
          </w:p>
        </w:tc>
        <w:tc>
          <w:tcPr>
            <w:tcW w:w="1121" w:type="dxa"/>
            <w:shd w:val="clear" w:color="auto" w:fill="auto"/>
            <w:vAlign w:val="center"/>
          </w:tcPr>
          <w:p w14:paraId="63AD6B92" w14:textId="77777777" w:rsidR="004C26C7" w:rsidRPr="008430D3" w:rsidRDefault="004C26C7" w:rsidP="004C26C7">
            <w:pPr>
              <w:jc w:val="center"/>
              <w:rPr>
                <w:color w:val="000000" w:themeColor="text1"/>
                <w:sz w:val="16"/>
                <w:szCs w:val="16"/>
              </w:rPr>
            </w:pPr>
            <w:r w:rsidRPr="008430D3">
              <w:rPr>
                <w:color w:val="000000" w:themeColor="text1"/>
                <w:sz w:val="16"/>
                <w:szCs w:val="16"/>
              </w:rPr>
              <w:t>11.52 (4.81)</w:t>
            </w:r>
          </w:p>
        </w:tc>
        <w:tc>
          <w:tcPr>
            <w:tcW w:w="1106" w:type="dxa"/>
            <w:shd w:val="clear" w:color="auto" w:fill="auto"/>
            <w:vAlign w:val="center"/>
          </w:tcPr>
          <w:p w14:paraId="0F04B707" w14:textId="77777777" w:rsidR="004C26C7" w:rsidRPr="008430D3" w:rsidRDefault="004C26C7" w:rsidP="004C26C7">
            <w:pPr>
              <w:jc w:val="center"/>
              <w:rPr>
                <w:color w:val="000000" w:themeColor="text1"/>
                <w:sz w:val="16"/>
                <w:szCs w:val="16"/>
              </w:rPr>
            </w:pPr>
            <w:r w:rsidRPr="008430D3">
              <w:rPr>
                <w:color w:val="000000" w:themeColor="text1"/>
                <w:sz w:val="16"/>
                <w:szCs w:val="16"/>
              </w:rPr>
              <w:t>15.07 (5.06)</w:t>
            </w:r>
          </w:p>
        </w:tc>
      </w:tr>
      <w:tr w:rsidR="004C26C7" w:rsidRPr="008430D3" w14:paraId="29353A83" w14:textId="77777777" w:rsidTr="006B09A8">
        <w:trPr>
          <w:trHeight w:val="281"/>
        </w:trPr>
        <w:tc>
          <w:tcPr>
            <w:tcW w:w="1273" w:type="dxa"/>
            <w:shd w:val="clear" w:color="auto" w:fill="auto"/>
            <w:vAlign w:val="center"/>
          </w:tcPr>
          <w:p w14:paraId="4AEA6300" w14:textId="77777777" w:rsidR="004C26C7" w:rsidRPr="008430D3" w:rsidRDefault="004C26C7" w:rsidP="004C26C7">
            <w:pPr>
              <w:rPr>
                <w:color w:val="000000" w:themeColor="text1"/>
                <w:sz w:val="16"/>
                <w:szCs w:val="16"/>
              </w:rPr>
            </w:pPr>
            <w:r w:rsidRPr="008430D3">
              <w:rPr>
                <w:color w:val="000000" w:themeColor="text1"/>
                <w:sz w:val="16"/>
                <w:szCs w:val="16"/>
              </w:rPr>
              <w:t>SI-R Clutter</w:t>
            </w:r>
          </w:p>
        </w:tc>
        <w:tc>
          <w:tcPr>
            <w:tcW w:w="1101" w:type="dxa"/>
            <w:shd w:val="clear" w:color="auto" w:fill="auto"/>
            <w:vAlign w:val="center"/>
          </w:tcPr>
          <w:p w14:paraId="1CE4E3E0" w14:textId="77777777" w:rsidR="004C26C7" w:rsidRPr="008430D3" w:rsidRDefault="004C26C7" w:rsidP="004C26C7">
            <w:pPr>
              <w:jc w:val="center"/>
              <w:rPr>
                <w:color w:val="000000" w:themeColor="text1"/>
                <w:sz w:val="16"/>
                <w:szCs w:val="16"/>
              </w:rPr>
            </w:pPr>
            <w:r w:rsidRPr="008430D3">
              <w:rPr>
                <w:color w:val="000000" w:themeColor="text1"/>
                <w:sz w:val="16"/>
                <w:szCs w:val="16"/>
              </w:rPr>
              <w:t>27.62 (5.95)</w:t>
            </w:r>
          </w:p>
        </w:tc>
        <w:tc>
          <w:tcPr>
            <w:tcW w:w="1126" w:type="dxa"/>
            <w:shd w:val="clear" w:color="auto" w:fill="auto"/>
            <w:vAlign w:val="center"/>
          </w:tcPr>
          <w:p w14:paraId="1406B8EE" w14:textId="77777777" w:rsidR="004C26C7" w:rsidRPr="008430D3" w:rsidRDefault="004C26C7" w:rsidP="004C26C7">
            <w:pPr>
              <w:jc w:val="center"/>
              <w:rPr>
                <w:color w:val="000000" w:themeColor="text1"/>
                <w:sz w:val="16"/>
                <w:szCs w:val="16"/>
              </w:rPr>
            </w:pPr>
            <w:r w:rsidRPr="008430D3">
              <w:rPr>
                <w:color w:val="000000" w:themeColor="text1"/>
                <w:sz w:val="16"/>
                <w:szCs w:val="16"/>
              </w:rPr>
              <w:t>27.71 (7.61)</w:t>
            </w:r>
          </w:p>
        </w:tc>
        <w:tc>
          <w:tcPr>
            <w:tcW w:w="0" w:type="auto"/>
            <w:shd w:val="clear" w:color="auto" w:fill="auto"/>
            <w:vAlign w:val="center"/>
          </w:tcPr>
          <w:p w14:paraId="60F150E9"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68) = -0.76, p = .45</w:t>
            </w:r>
          </w:p>
        </w:tc>
        <w:tc>
          <w:tcPr>
            <w:tcW w:w="1136" w:type="dxa"/>
            <w:shd w:val="clear" w:color="auto" w:fill="auto"/>
            <w:vAlign w:val="center"/>
          </w:tcPr>
          <w:p w14:paraId="24B9DB4E" w14:textId="77777777" w:rsidR="004C26C7" w:rsidRPr="008430D3" w:rsidRDefault="004C26C7" w:rsidP="004C26C7">
            <w:pPr>
              <w:jc w:val="center"/>
              <w:rPr>
                <w:color w:val="000000" w:themeColor="text1"/>
                <w:sz w:val="16"/>
                <w:szCs w:val="16"/>
              </w:rPr>
            </w:pPr>
            <w:r w:rsidRPr="008430D3">
              <w:rPr>
                <w:color w:val="000000" w:themeColor="text1"/>
                <w:sz w:val="16"/>
                <w:szCs w:val="16"/>
              </w:rPr>
              <w:t>22.69 (7.17)</w:t>
            </w:r>
          </w:p>
        </w:tc>
        <w:tc>
          <w:tcPr>
            <w:tcW w:w="1092" w:type="dxa"/>
            <w:shd w:val="clear" w:color="auto" w:fill="auto"/>
            <w:vAlign w:val="center"/>
          </w:tcPr>
          <w:p w14:paraId="091EFEF4" w14:textId="77777777" w:rsidR="004C26C7" w:rsidRPr="008430D3" w:rsidRDefault="004C26C7" w:rsidP="004C26C7">
            <w:pPr>
              <w:jc w:val="center"/>
              <w:rPr>
                <w:color w:val="000000" w:themeColor="text1"/>
                <w:sz w:val="16"/>
                <w:szCs w:val="16"/>
              </w:rPr>
            </w:pPr>
            <w:r w:rsidRPr="008430D3">
              <w:rPr>
                <w:color w:val="000000" w:themeColor="text1"/>
                <w:sz w:val="16"/>
                <w:szCs w:val="16"/>
              </w:rPr>
              <w:t>24.38 (6.46)</w:t>
            </w:r>
          </w:p>
        </w:tc>
        <w:tc>
          <w:tcPr>
            <w:tcW w:w="1121" w:type="dxa"/>
            <w:shd w:val="clear" w:color="auto" w:fill="auto"/>
            <w:vAlign w:val="center"/>
          </w:tcPr>
          <w:p w14:paraId="0527924A" w14:textId="77777777" w:rsidR="004C26C7" w:rsidRPr="008430D3" w:rsidRDefault="004C26C7" w:rsidP="004C26C7">
            <w:pPr>
              <w:jc w:val="center"/>
              <w:rPr>
                <w:color w:val="000000" w:themeColor="text1"/>
                <w:sz w:val="16"/>
                <w:szCs w:val="16"/>
              </w:rPr>
            </w:pPr>
            <w:r w:rsidRPr="008430D3">
              <w:rPr>
                <w:color w:val="000000" w:themeColor="text1"/>
                <w:sz w:val="16"/>
                <w:szCs w:val="16"/>
              </w:rPr>
              <w:t>20.52 (6.93)</w:t>
            </w:r>
          </w:p>
        </w:tc>
        <w:tc>
          <w:tcPr>
            <w:tcW w:w="1106" w:type="dxa"/>
            <w:shd w:val="clear" w:color="auto" w:fill="auto"/>
            <w:vAlign w:val="center"/>
          </w:tcPr>
          <w:p w14:paraId="5A23C479" w14:textId="77777777" w:rsidR="004C26C7" w:rsidRPr="008430D3" w:rsidRDefault="004C26C7" w:rsidP="004C26C7">
            <w:pPr>
              <w:jc w:val="center"/>
              <w:rPr>
                <w:color w:val="000000" w:themeColor="text1"/>
                <w:sz w:val="16"/>
                <w:szCs w:val="16"/>
              </w:rPr>
            </w:pPr>
            <w:r w:rsidRPr="008430D3">
              <w:rPr>
                <w:color w:val="000000" w:themeColor="text1"/>
                <w:sz w:val="16"/>
                <w:szCs w:val="16"/>
              </w:rPr>
              <w:t>22.55 (7.23)</w:t>
            </w:r>
          </w:p>
        </w:tc>
      </w:tr>
      <w:tr w:rsidR="004C26C7" w:rsidRPr="008430D3" w14:paraId="4944B202" w14:textId="77777777" w:rsidTr="006B09A8">
        <w:trPr>
          <w:trHeight w:val="281"/>
        </w:trPr>
        <w:tc>
          <w:tcPr>
            <w:tcW w:w="1273" w:type="dxa"/>
            <w:shd w:val="clear" w:color="auto" w:fill="auto"/>
            <w:vAlign w:val="center"/>
          </w:tcPr>
          <w:p w14:paraId="7A128449" w14:textId="77777777" w:rsidR="004C26C7" w:rsidRPr="008430D3" w:rsidRDefault="004C26C7" w:rsidP="004C26C7">
            <w:pPr>
              <w:rPr>
                <w:color w:val="000000" w:themeColor="text1"/>
                <w:sz w:val="16"/>
                <w:szCs w:val="16"/>
              </w:rPr>
            </w:pPr>
            <w:r w:rsidRPr="008430D3">
              <w:rPr>
                <w:color w:val="000000" w:themeColor="text1"/>
                <w:sz w:val="16"/>
                <w:szCs w:val="16"/>
              </w:rPr>
              <w:t>SDS Total</w:t>
            </w:r>
          </w:p>
        </w:tc>
        <w:tc>
          <w:tcPr>
            <w:tcW w:w="1101" w:type="dxa"/>
            <w:shd w:val="clear" w:color="auto" w:fill="auto"/>
            <w:vAlign w:val="center"/>
          </w:tcPr>
          <w:p w14:paraId="3369D669" w14:textId="77777777" w:rsidR="004C26C7" w:rsidRPr="008430D3" w:rsidRDefault="004C26C7" w:rsidP="004C26C7">
            <w:pPr>
              <w:jc w:val="center"/>
              <w:rPr>
                <w:color w:val="000000" w:themeColor="text1"/>
                <w:sz w:val="16"/>
                <w:szCs w:val="16"/>
              </w:rPr>
            </w:pPr>
            <w:r w:rsidRPr="008430D3">
              <w:rPr>
                <w:color w:val="000000" w:themeColor="text1"/>
                <w:sz w:val="16"/>
                <w:szCs w:val="16"/>
              </w:rPr>
              <w:t>22.06 (6.17)</w:t>
            </w:r>
          </w:p>
        </w:tc>
        <w:tc>
          <w:tcPr>
            <w:tcW w:w="1126" w:type="dxa"/>
            <w:shd w:val="clear" w:color="auto" w:fill="auto"/>
            <w:vAlign w:val="center"/>
          </w:tcPr>
          <w:p w14:paraId="7E535794" w14:textId="77777777" w:rsidR="004C26C7" w:rsidRPr="008430D3" w:rsidRDefault="004C26C7" w:rsidP="004C26C7">
            <w:pPr>
              <w:jc w:val="center"/>
              <w:rPr>
                <w:color w:val="000000" w:themeColor="text1"/>
                <w:sz w:val="16"/>
                <w:szCs w:val="16"/>
              </w:rPr>
            </w:pPr>
            <w:r w:rsidRPr="008430D3">
              <w:rPr>
                <w:color w:val="000000" w:themeColor="text1"/>
                <w:sz w:val="16"/>
                <w:szCs w:val="16"/>
              </w:rPr>
              <w:t>22.94 (6.04)</w:t>
            </w:r>
          </w:p>
        </w:tc>
        <w:tc>
          <w:tcPr>
            <w:tcW w:w="0" w:type="auto"/>
            <w:shd w:val="clear" w:color="auto" w:fill="auto"/>
            <w:vAlign w:val="center"/>
          </w:tcPr>
          <w:p w14:paraId="5E53B602"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52.6) = 0.75, p = .46</w:t>
            </w:r>
          </w:p>
        </w:tc>
        <w:tc>
          <w:tcPr>
            <w:tcW w:w="1136" w:type="dxa"/>
            <w:shd w:val="clear" w:color="auto" w:fill="auto"/>
            <w:vAlign w:val="center"/>
          </w:tcPr>
          <w:p w14:paraId="4C7A64A2" w14:textId="77777777" w:rsidR="004C26C7" w:rsidRPr="008430D3" w:rsidRDefault="004C26C7" w:rsidP="004C26C7">
            <w:pPr>
              <w:jc w:val="center"/>
              <w:rPr>
                <w:color w:val="000000" w:themeColor="text1"/>
                <w:sz w:val="16"/>
                <w:szCs w:val="16"/>
              </w:rPr>
            </w:pPr>
            <w:r w:rsidRPr="008430D3">
              <w:rPr>
                <w:color w:val="000000" w:themeColor="text1"/>
                <w:sz w:val="16"/>
                <w:szCs w:val="16"/>
              </w:rPr>
              <w:t>16.88 (6.64)</w:t>
            </w:r>
          </w:p>
        </w:tc>
        <w:tc>
          <w:tcPr>
            <w:tcW w:w="1092" w:type="dxa"/>
            <w:shd w:val="clear" w:color="auto" w:fill="auto"/>
            <w:vAlign w:val="center"/>
          </w:tcPr>
          <w:p w14:paraId="0E738900" w14:textId="77777777" w:rsidR="004C26C7" w:rsidRPr="008430D3" w:rsidRDefault="004C26C7" w:rsidP="004C26C7">
            <w:pPr>
              <w:jc w:val="center"/>
              <w:rPr>
                <w:color w:val="000000" w:themeColor="text1"/>
                <w:sz w:val="16"/>
                <w:szCs w:val="16"/>
              </w:rPr>
            </w:pPr>
            <w:r w:rsidRPr="008430D3">
              <w:rPr>
                <w:color w:val="000000" w:themeColor="text1"/>
                <w:sz w:val="16"/>
                <w:szCs w:val="16"/>
              </w:rPr>
              <w:t>19.23 (7.86)</w:t>
            </w:r>
          </w:p>
        </w:tc>
        <w:tc>
          <w:tcPr>
            <w:tcW w:w="1121" w:type="dxa"/>
            <w:shd w:val="clear" w:color="auto" w:fill="auto"/>
            <w:vAlign w:val="center"/>
          </w:tcPr>
          <w:p w14:paraId="015B78EE" w14:textId="77777777" w:rsidR="004C26C7" w:rsidRPr="008430D3" w:rsidRDefault="004C26C7" w:rsidP="004C26C7">
            <w:pPr>
              <w:jc w:val="center"/>
              <w:rPr>
                <w:color w:val="000000" w:themeColor="text1"/>
                <w:sz w:val="16"/>
                <w:szCs w:val="16"/>
              </w:rPr>
            </w:pPr>
            <w:r w:rsidRPr="008430D3">
              <w:rPr>
                <w:color w:val="000000" w:themeColor="text1"/>
                <w:sz w:val="16"/>
                <w:szCs w:val="16"/>
              </w:rPr>
              <w:t>13.40 (7.99)</w:t>
            </w:r>
          </w:p>
        </w:tc>
        <w:tc>
          <w:tcPr>
            <w:tcW w:w="1106" w:type="dxa"/>
            <w:shd w:val="clear" w:color="auto" w:fill="auto"/>
            <w:vAlign w:val="center"/>
          </w:tcPr>
          <w:p w14:paraId="2D3AF138" w14:textId="77777777" w:rsidR="004C26C7" w:rsidRPr="008430D3" w:rsidRDefault="004C26C7" w:rsidP="004C26C7">
            <w:pPr>
              <w:jc w:val="center"/>
              <w:rPr>
                <w:color w:val="000000" w:themeColor="text1"/>
                <w:sz w:val="16"/>
                <w:szCs w:val="16"/>
              </w:rPr>
            </w:pPr>
            <w:r w:rsidRPr="008430D3">
              <w:rPr>
                <w:color w:val="000000" w:themeColor="text1"/>
                <w:sz w:val="16"/>
                <w:szCs w:val="16"/>
              </w:rPr>
              <w:t>18.79 (7.84)</w:t>
            </w:r>
          </w:p>
        </w:tc>
      </w:tr>
      <w:tr w:rsidR="004C26C7" w:rsidRPr="008430D3" w14:paraId="33E1F473" w14:textId="77777777" w:rsidTr="006B09A8">
        <w:trPr>
          <w:trHeight w:val="281"/>
        </w:trPr>
        <w:tc>
          <w:tcPr>
            <w:tcW w:w="1273" w:type="dxa"/>
            <w:shd w:val="clear" w:color="auto" w:fill="auto"/>
            <w:vAlign w:val="center"/>
          </w:tcPr>
          <w:p w14:paraId="6B6DD2B3" w14:textId="77777777" w:rsidR="004C26C7" w:rsidRPr="008430D3" w:rsidRDefault="004C26C7" w:rsidP="004C26C7">
            <w:pPr>
              <w:rPr>
                <w:color w:val="000000" w:themeColor="text1"/>
                <w:sz w:val="16"/>
                <w:szCs w:val="16"/>
              </w:rPr>
            </w:pPr>
            <w:r w:rsidRPr="008430D3">
              <w:rPr>
                <w:color w:val="000000" w:themeColor="text1"/>
                <w:sz w:val="16"/>
                <w:szCs w:val="16"/>
              </w:rPr>
              <w:t>SDS Work</w:t>
            </w:r>
          </w:p>
        </w:tc>
        <w:tc>
          <w:tcPr>
            <w:tcW w:w="1101" w:type="dxa"/>
            <w:shd w:val="clear" w:color="auto" w:fill="auto"/>
            <w:vAlign w:val="center"/>
          </w:tcPr>
          <w:p w14:paraId="6F39089F" w14:textId="77777777" w:rsidR="004C26C7" w:rsidRPr="008430D3" w:rsidRDefault="004C26C7" w:rsidP="004C26C7">
            <w:pPr>
              <w:jc w:val="center"/>
              <w:rPr>
                <w:color w:val="000000" w:themeColor="text1"/>
                <w:sz w:val="16"/>
                <w:szCs w:val="16"/>
              </w:rPr>
            </w:pPr>
            <w:r w:rsidRPr="008430D3">
              <w:rPr>
                <w:color w:val="000000" w:themeColor="text1"/>
                <w:sz w:val="16"/>
                <w:szCs w:val="16"/>
              </w:rPr>
              <w:t>6.38 (2.75)</w:t>
            </w:r>
          </w:p>
        </w:tc>
        <w:tc>
          <w:tcPr>
            <w:tcW w:w="1126" w:type="dxa"/>
            <w:shd w:val="clear" w:color="auto" w:fill="auto"/>
            <w:vAlign w:val="center"/>
          </w:tcPr>
          <w:p w14:paraId="7A0CB5AB" w14:textId="77777777" w:rsidR="004C26C7" w:rsidRPr="008430D3" w:rsidRDefault="004C26C7" w:rsidP="004C26C7">
            <w:pPr>
              <w:jc w:val="center"/>
              <w:rPr>
                <w:color w:val="000000" w:themeColor="text1"/>
                <w:sz w:val="16"/>
                <w:szCs w:val="16"/>
              </w:rPr>
            </w:pPr>
            <w:r w:rsidRPr="008430D3">
              <w:rPr>
                <w:color w:val="000000" w:themeColor="text1"/>
                <w:sz w:val="16"/>
                <w:szCs w:val="16"/>
              </w:rPr>
              <w:t>6.94 (2.25)</w:t>
            </w:r>
          </w:p>
        </w:tc>
        <w:tc>
          <w:tcPr>
            <w:tcW w:w="0" w:type="auto"/>
            <w:shd w:val="clear" w:color="auto" w:fill="auto"/>
            <w:vAlign w:val="center"/>
          </w:tcPr>
          <w:p w14:paraId="54A24F57"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52.9) = 0.42, p = .67</w:t>
            </w:r>
          </w:p>
        </w:tc>
        <w:tc>
          <w:tcPr>
            <w:tcW w:w="1136" w:type="dxa"/>
            <w:shd w:val="clear" w:color="auto" w:fill="auto"/>
            <w:vAlign w:val="center"/>
          </w:tcPr>
          <w:p w14:paraId="71CA9DEF" w14:textId="77777777" w:rsidR="004C26C7" w:rsidRPr="008430D3" w:rsidRDefault="004C26C7" w:rsidP="004C26C7">
            <w:pPr>
              <w:jc w:val="center"/>
              <w:rPr>
                <w:color w:val="000000" w:themeColor="text1"/>
                <w:sz w:val="16"/>
                <w:szCs w:val="16"/>
              </w:rPr>
            </w:pPr>
            <w:r w:rsidRPr="008430D3">
              <w:rPr>
                <w:color w:val="000000" w:themeColor="text1"/>
                <w:sz w:val="16"/>
                <w:szCs w:val="16"/>
              </w:rPr>
              <w:t>4.58 (2.82)</w:t>
            </w:r>
          </w:p>
        </w:tc>
        <w:tc>
          <w:tcPr>
            <w:tcW w:w="1092" w:type="dxa"/>
            <w:shd w:val="clear" w:color="auto" w:fill="auto"/>
            <w:vAlign w:val="center"/>
          </w:tcPr>
          <w:p w14:paraId="0519D828" w14:textId="77777777" w:rsidR="004C26C7" w:rsidRPr="008430D3" w:rsidRDefault="004C26C7" w:rsidP="004C26C7">
            <w:pPr>
              <w:jc w:val="center"/>
              <w:rPr>
                <w:color w:val="000000" w:themeColor="text1"/>
                <w:sz w:val="16"/>
                <w:szCs w:val="16"/>
              </w:rPr>
            </w:pPr>
            <w:r w:rsidRPr="008430D3">
              <w:rPr>
                <w:color w:val="000000" w:themeColor="text1"/>
                <w:sz w:val="16"/>
                <w:szCs w:val="16"/>
              </w:rPr>
              <w:t>5.38 (2.87)</w:t>
            </w:r>
          </w:p>
        </w:tc>
        <w:tc>
          <w:tcPr>
            <w:tcW w:w="1121" w:type="dxa"/>
            <w:shd w:val="clear" w:color="auto" w:fill="auto"/>
            <w:vAlign w:val="center"/>
          </w:tcPr>
          <w:p w14:paraId="4B863399" w14:textId="77777777" w:rsidR="004C26C7" w:rsidRPr="008430D3" w:rsidRDefault="004C26C7" w:rsidP="004C26C7">
            <w:pPr>
              <w:jc w:val="center"/>
              <w:rPr>
                <w:color w:val="000000" w:themeColor="text1"/>
                <w:sz w:val="16"/>
                <w:szCs w:val="16"/>
              </w:rPr>
            </w:pPr>
            <w:r w:rsidRPr="008430D3">
              <w:rPr>
                <w:color w:val="000000" w:themeColor="text1"/>
                <w:sz w:val="16"/>
                <w:szCs w:val="16"/>
              </w:rPr>
              <w:t>3.92 (2.80)</w:t>
            </w:r>
          </w:p>
        </w:tc>
        <w:tc>
          <w:tcPr>
            <w:tcW w:w="1106" w:type="dxa"/>
            <w:shd w:val="clear" w:color="auto" w:fill="auto"/>
            <w:vAlign w:val="center"/>
          </w:tcPr>
          <w:p w14:paraId="76764FD7" w14:textId="77777777" w:rsidR="004C26C7" w:rsidRPr="008430D3" w:rsidRDefault="004C26C7" w:rsidP="004C26C7">
            <w:pPr>
              <w:jc w:val="center"/>
              <w:rPr>
                <w:color w:val="000000" w:themeColor="text1"/>
                <w:sz w:val="16"/>
                <w:szCs w:val="16"/>
              </w:rPr>
            </w:pPr>
            <w:r w:rsidRPr="008430D3">
              <w:rPr>
                <w:color w:val="000000" w:themeColor="text1"/>
                <w:sz w:val="16"/>
                <w:szCs w:val="16"/>
              </w:rPr>
              <w:t>5.55 (3.04)</w:t>
            </w:r>
          </w:p>
        </w:tc>
      </w:tr>
      <w:tr w:rsidR="004C26C7" w:rsidRPr="008430D3" w14:paraId="04618F1F" w14:textId="77777777" w:rsidTr="006B09A8">
        <w:trPr>
          <w:trHeight w:val="281"/>
        </w:trPr>
        <w:tc>
          <w:tcPr>
            <w:tcW w:w="1273" w:type="dxa"/>
            <w:shd w:val="clear" w:color="auto" w:fill="auto"/>
            <w:vAlign w:val="center"/>
          </w:tcPr>
          <w:p w14:paraId="7E6BB7AA" w14:textId="77777777" w:rsidR="004C26C7" w:rsidRPr="008430D3" w:rsidRDefault="004C26C7" w:rsidP="004C26C7">
            <w:pPr>
              <w:rPr>
                <w:color w:val="000000" w:themeColor="text1"/>
                <w:sz w:val="16"/>
                <w:szCs w:val="16"/>
              </w:rPr>
            </w:pPr>
            <w:r w:rsidRPr="008430D3">
              <w:rPr>
                <w:color w:val="000000" w:themeColor="text1"/>
                <w:sz w:val="16"/>
                <w:szCs w:val="16"/>
              </w:rPr>
              <w:t>SDS Social</w:t>
            </w:r>
          </w:p>
        </w:tc>
        <w:tc>
          <w:tcPr>
            <w:tcW w:w="1101" w:type="dxa"/>
            <w:shd w:val="clear" w:color="auto" w:fill="auto"/>
            <w:vAlign w:val="center"/>
          </w:tcPr>
          <w:p w14:paraId="0571F770" w14:textId="77777777" w:rsidR="004C26C7" w:rsidRPr="008430D3" w:rsidRDefault="004C26C7" w:rsidP="004C26C7">
            <w:pPr>
              <w:jc w:val="center"/>
              <w:rPr>
                <w:color w:val="000000" w:themeColor="text1"/>
                <w:sz w:val="16"/>
                <w:szCs w:val="16"/>
              </w:rPr>
            </w:pPr>
            <w:r w:rsidRPr="008430D3">
              <w:rPr>
                <w:color w:val="000000" w:themeColor="text1"/>
                <w:sz w:val="16"/>
                <w:szCs w:val="16"/>
              </w:rPr>
              <w:t>7.69 (1.99)</w:t>
            </w:r>
          </w:p>
        </w:tc>
        <w:tc>
          <w:tcPr>
            <w:tcW w:w="1126" w:type="dxa"/>
            <w:shd w:val="clear" w:color="auto" w:fill="auto"/>
            <w:vAlign w:val="center"/>
          </w:tcPr>
          <w:p w14:paraId="002E2EC7" w14:textId="77777777" w:rsidR="004C26C7" w:rsidRPr="008430D3" w:rsidRDefault="004C26C7" w:rsidP="004C26C7">
            <w:pPr>
              <w:jc w:val="center"/>
              <w:rPr>
                <w:color w:val="000000" w:themeColor="text1"/>
                <w:sz w:val="16"/>
                <w:szCs w:val="16"/>
              </w:rPr>
            </w:pPr>
            <w:r w:rsidRPr="008430D3">
              <w:rPr>
                <w:color w:val="000000" w:themeColor="text1"/>
                <w:sz w:val="16"/>
                <w:szCs w:val="16"/>
              </w:rPr>
              <w:t>7.88 (2.69)</w:t>
            </w:r>
          </w:p>
        </w:tc>
        <w:tc>
          <w:tcPr>
            <w:tcW w:w="0" w:type="auto"/>
            <w:shd w:val="clear" w:color="auto" w:fill="auto"/>
            <w:vAlign w:val="center"/>
          </w:tcPr>
          <w:p w14:paraId="06C5266B"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69.8) = 0.09, p = .93</w:t>
            </w:r>
          </w:p>
        </w:tc>
        <w:tc>
          <w:tcPr>
            <w:tcW w:w="1136" w:type="dxa"/>
            <w:shd w:val="clear" w:color="auto" w:fill="auto"/>
            <w:vAlign w:val="center"/>
          </w:tcPr>
          <w:p w14:paraId="545F8B19" w14:textId="77777777" w:rsidR="004C26C7" w:rsidRPr="008430D3" w:rsidRDefault="004C26C7" w:rsidP="004C26C7">
            <w:pPr>
              <w:jc w:val="center"/>
              <w:rPr>
                <w:color w:val="000000" w:themeColor="text1"/>
                <w:sz w:val="16"/>
                <w:szCs w:val="16"/>
              </w:rPr>
            </w:pPr>
            <w:r w:rsidRPr="008430D3">
              <w:rPr>
                <w:color w:val="000000" w:themeColor="text1"/>
                <w:sz w:val="16"/>
                <w:szCs w:val="16"/>
              </w:rPr>
              <w:t>6.00 (2.67)</w:t>
            </w:r>
          </w:p>
        </w:tc>
        <w:tc>
          <w:tcPr>
            <w:tcW w:w="1092" w:type="dxa"/>
            <w:shd w:val="clear" w:color="auto" w:fill="auto"/>
            <w:vAlign w:val="center"/>
          </w:tcPr>
          <w:p w14:paraId="70681716" w14:textId="77777777" w:rsidR="004C26C7" w:rsidRPr="008430D3" w:rsidRDefault="004C26C7" w:rsidP="004C26C7">
            <w:pPr>
              <w:jc w:val="center"/>
              <w:rPr>
                <w:color w:val="000000" w:themeColor="text1"/>
                <w:sz w:val="16"/>
                <w:szCs w:val="16"/>
              </w:rPr>
            </w:pPr>
            <w:r w:rsidRPr="008430D3">
              <w:rPr>
                <w:color w:val="000000" w:themeColor="text1"/>
                <w:sz w:val="16"/>
                <w:szCs w:val="16"/>
              </w:rPr>
              <w:t>6.77 (2.97)</w:t>
            </w:r>
          </w:p>
        </w:tc>
        <w:tc>
          <w:tcPr>
            <w:tcW w:w="1121" w:type="dxa"/>
            <w:shd w:val="clear" w:color="auto" w:fill="auto"/>
            <w:vAlign w:val="center"/>
          </w:tcPr>
          <w:p w14:paraId="644A8FD1" w14:textId="77777777" w:rsidR="004C26C7" w:rsidRPr="008430D3" w:rsidRDefault="004C26C7" w:rsidP="004C26C7">
            <w:pPr>
              <w:jc w:val="center"/>
              <w:rPr>
                <w:color w:val="000000" w:themeColor="text1"/>
                <w:sz w:val="16"/>
                <w:szCs w:val="16"/>
              </w:rPr>
            </w:pPr>
            <w:r w:rsidRPr="008430D3">
              <w:rPr>
                <w:color w:val="000000" w:themeColor="text1"/>
                <w:sz w:val="16"/>
                <w:szCs w:val="16"/>
              </w:rPr>
              <w:t>4.04 (2.95)</w:t>
            </w:r>
          </w:p>
        </w:tc>
        <w:tc>
          <w:tcPr>
            <w:tcW w:w="1106" w:type="dxa"/>
            <w:shd w:val="clear" w:color="auto" w:fill="auto"/>
            <w:vAlign w:val="center"/>
          </w:tcPr>
          <w:p w14:paraId="1B7C2343" w14:textId="77777777" w:rsidR="004C26C7" w:rsidRPr="008430D3" w:rsidRDefault="004C26C7" w:rsidP="004C26C7">
            <w:pPr>
              <w:jc w:val="center"/>
              <w:rPr>
                <w:color w:val="000000" w:themeColor="text1"/>
                <w:sz w:val="16"/>
                <w:szCs w:val="16"/>
              </w:rPr>
            </w:pPr>
            <w:r w:rsidRPr="008430D3">
              <w:rPr>
                <w:color w:val="000000" w:themeColor="text1"/>
                <w:sz w:val="16"/>
                <w:szCs w:val="16"/>
              </w:rPr>
              <w:t>6.86 (2.59)</w:t>
            </w:r>
          </w:p>
        </w:tc>
      </w:tr>
      <w:tr w:rsidR="004C26C7" w:rsidRPr="008430D3" w14:paraId="0428D19A" w14:textId="77777777" w:rsidTr="006B09A8">
        <w:trPr>
          <w:trHeight w:val="281"/>
        </w:trPr>
        <w:tc>
          <w:tcPr>
            <w:tcW w:w="1273" w:type="dxa"/>
            <w:shd w:val="clear" w:color="auto" w:fill="auto"/>
            <w:vAlign w:val="center"/>
          </w:tcPr>
          <w:p w14:paraId="2DBC3A35" w14:textId="77777777" w:rsidR="004C26C7" w:rsidRPr="008430D3" w:rsidRDefault="004C26C7" w:rsidP="004C26C7">
            <w:pPr>
              <w:rPr>
                <w:color w:val="000000" w:themeColor="text1"/>
                <w:sz w:val="16"/>
                <w:szCs w:val="16"/>
              </w:rPr>
            </w:pPr>
            <w:r w:rsidRPr="008430D3">
              <w:rPr>
                <w:color w:val="000000" w:themeColor="text1"/>
                <w:sz w:val="16"/>
                <w:szCs w:val="16"/>
              </w:rPr>
              <w:t>SDS Home</w:t>
            </w:r>
          </w:p>
        </w:tc>
        <w:tc>
          <w:tcPr>
            <w:tcW w:w="1101" w:type="dxa"/>
            <w:shd w:val="clear" w:color="auto" w:fill="auto"/>
            <w:vAlign w:val="center"/>
          </w:tcPr>
          <w:p w14:paraId="2911C199" w14:textId="77777777" w:rsidR="004C26C7" w:rsidRPr="008430D3" w:rsidRDefault="004C26C7" w:rsidP="004C26C7">
            <w:pPr>
              <w:jc w:val="center"/>
              <w:rPr>
                <w:color w:val="000000" w:themeColor="text1"/>
                <w:sz w:val="16"/>
                <w:szCs w:val="16"/>
              </w:rPr>
            </w:pPr>
            <w:r w:rsidRPr="008430D3">
              <w:rPr>
                <w:color w:val="000000" w:themeColor="text1"/>
                <w:sz w:val="16"/>
                <w:szCs w:val="16"/>
              </w:rPr>
              <w:t>8.00 (2.07)</w:t>
            </w:r>
          </w:p>
        </w:tc>
        <w:tc>
          <w:tcPr>
            <w:tcW w:w="1126" w:type="dxa"/>
            <w:shd w:val="clear" w:color="auto" w:fill="auto"/>
            <w:vAlign w:val="center"/>
          </w:tcPr>
          <w:p w14:paraId="293CC2DB" w14:textId="77777777" w:rsidR="004C26C7" w:rsidRPr="008430D3" w:rsidRDefault="004C26C7" w:rsidP="004C26C7">
            <w:pPr>
              <w:jc w:val="center"/>
              <w:rPr>
                <w:color w:val="000000" w:themeColor="text1"/>
                <w:sz w:val="16"/>
                <w:szCs w:val="16"/>
              </w:rPr>
            </w:pPr>
            <w:r w:rsidRPr="008430D3">
              <w:rPr>
                <w:color w:val="000000" w:themeColor="text1"/>
                <w:sz w:val="16"/>
                <w:szCs w:val="16"/>
              </w:rPr>
              <w:t>8.12 (2.42)</w:t>
            </w:r>
          </w:p>
        </w:tc>
        <w:tc>
          <w:tcPr>
            <w:tcW w:w="0" w:type="auto"/>
            <w:shd w:val="clear" w:color="auto" w:fill="auto"/>
            <w:vAlign w:val="center"/>
          </w:tcPr>
          <w:p w14:paraId="1B0C0ED9"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70) = -0.79, p = .43</w:t>
            </w:r>
          </w:p>
        </w:tc>
        <w:tc>
          <w:tcPr>
            <w:tcW w:w="1136" w:type="dxa"/>
            <w:shd w:val="clear" w:color="auto" w:fill="auto"/>
            <w:vAlign w:val="center"/>
          </w:tcPr>
          <w:p w14:paraId="38A252A8" w14:textId="77777777" w:rsidR="004C26C7" w:rsidRPr="008430D3" w:rsidRDefault="004C26C7" w:rsidP="004C26C7">
            <w:pPr>
              <w:jc w:val="center"/>
              <w:rPr>
                <w:color w:val="000000" w:themeColor="text1"/>
                <w:sz w:val="16"/>
                <w:szCs w:val="16"/>
              </w:rPr>
            </w:pPr>
            <w:r w:rsidRPr="008430D3">
              <w:rPr>
                <w:color w:val="000000" w:themeColor="text1"/>
                <w:sz w:val="16"/>
                <w:szCs w:val="16"/>
              </w:rPr>
              <w:t>6.31 (2.45)</w:t>
            </w:r>
          </w:p>
        </w:tc>
        <w:tc>
          <w:tcPr>
            <w:tcW w:w="1092" w:type="dxa"/>
            <w:shd w:val="clear" w:color="auto" w:fill="auto"/>
            <w:vAlign w:val="center"/>
          </w:tcPr>
          <w:p w14:paraId="4649B6DF" w14:textId="77777777" w:rsidR="004C26C7" w:rsidRPr="008430D3" w:rsidRDefault="004C26C7" w:rsidP="004C26C7">
            <w:pPr>
              <w:jc w:val="center"/>
              <w:rPr>
                <w:color w:val="000000" w:themeColor="text1"/>
                <w:sz w:val="16"/>
                <w:szCs w:val="16"/>
              </w:rPr>
            </w:pPr>
            <w:r w:rsidRPr="008430D3">
              <w:rPr>
                <w:color w:val="000000" w:themeColor="text1"/>
                <w:sz w:val="16"/>
                <w:szCs w:val="16"/>
              </w:rPr>
              <w:t>7.08 (2.74)</w:t>
            </w:r>
          </w:p>
        </w:tc>
        <w:tc>
          <w:tcPr>
            <w:tcW w:w="1121" w:type="dxa"/>
            <w:shd w:val="clear" w:color="auto" w:fill="auto"/>
            <w:vAlign w:val="center"/>
          </w:tcPr>
          <w:p w14:paraId="14F95990" w14:textId="77777777" w:rsidR="004C26C7" w:rsidRPr="008430D3" w:rsidRDefault="004C26C7" w:rsidP="004C26C7">
            <w:pPr>
              <w:jc w:val="center"/>
              <w:rPr>
                <w:color w:val="000000" w:themeColor="text1"/>
                <w:sz w:val="16"/>
                <w:szCs w:val="16"/>
              </w:rPr>
            </w:pPr>
            <w:r w:rsidRPr="008430D3">
              <w:rPr>
                <w:color w:val="000000" w:themeColor="text1"/>
                <w:sz w:val="16"/>
                <w:szCs w:val="16"/>
              </w:rPr>
              <w:t>5.44 (3.24)</w:t>
            </w:r>
          </w:p>
        </w:tc>
        <w:tc>
          <w:tcPr>
            <w:tcW w:w="1106" w:type="dxa"/>
            <w:shd w:val="clear" w:color="auto" w:fill="auto"/>
            <w:vAlign w:val="center"/>
          </w:tcPr>
          <w:p w14:paraId="3CEDA6E7" w14:textId="77777777" w:rsidR="004C26C7" w:rsidRPr="008430D3" w:rsidRDefault="004C26C7" w:rsidP="004C26C7">
            <w:pPr>
              <w:jc w:val="center"/>
              <w:rPr>
                <w:color w:val="000000" w:themeColor="text1"/>
                <w:sz w:val="16"/>
                <w:szCs w:val="16"/>
              </w:rPr>
            </w:pPr>
            <w:r w:rsidRPr="008430D3">
              <w:rPr>
                <w:color w:val="000000" w:themeColor="text1"/>
                <w:sz w:val="16"/>
                <w:szCs w:val="16"/>
              </w:rPr>
              <w:t>6.38 (2.74)</w:t>
            </w:r>
          </w:p>
        </w:tc>
      </w:tr>
      <w:tr w:rsidR="004C26C7" w:rsidRPr="008430D3" w14:paraId="45C8040E" w14:textId="77777777" w:rsidTr="006B09A8">
        <w:trPr>
          <w:trHeight w:val="281"/>
        </w:trPr>
        <w:tc>
          <w:tcPr>
            <w:tcW w:w="1273" w:type="dxa"/>
            <w:shd w:val="clear" w:color="auto" w:fill="auto"/>
            <w:vAlign w:val="center"/>
          </w:tcPr>
          <w:p w14:paraId="2CFDA0B7" w14:textId="77777777" w:rsidR="004C26C7" w:rsidRPr="008430D3" w:rsidRDefault="004C26C7" w:rsidP="004C26C7">
            <w:pPr>
              <w:rPr>
                <w:color w:val="000000" w:themeColor="text1"/>
                <w:sz w:val="16"/>
                <w:szCs w:val="16"/>
              </w:rPr>
            </w:pPr>
            <w:r w:rsidRPr="008430D3">
              <w:rPr>
                <w:color w:val="000000" w:themeColor="text1"/>
                <w:sz w:val="16"/>
                <w:szCs w:val="16"/>
              </w:rPr>
              <w:t>CGI-I</w:t>
            </w:r>
          </w:p>
        </w:tc>
        <w:tc>
          <w:tcPr>
            <w:tcW w:w="1101" w:type="dxa"/>
            <w:shd w:val="clear" w:color="auto" w:fill="auto"/>
            <w:vAlign w:val="center"/>
          </w:tcPr>
          <w:p w14:paraId="190B66EC" w14:textId="77777777" w:rsidR="004C26C7" w:rsidRPr="008430D3" w:rsidRDefault="004C26C7" w:rsidP="004C26C7">
            <w:pPr>
              <w:jc w:val="center"/>
              <w:rPr>
                <w:color w:val="000000" w:themeColor="text1"/>
                <w:sz w:val="16"/>
                <w:szCs w:val="16"/>
              </w:rPr>
            </w:pPr>
            <w:r w:rsidRPr="008430D3">
              <w:rPr>
                <w:color w:val="000000" w:themeColor="text1"/>
                <w:sz w:val="16"/>
                <w:szCs w:val="16"/>
              </w:rPr>
              <w:t>4.31 (0.87)</w:t>
            </w:r>
          </w:p>
        </w:tc>
        <w:tc>
          <w:tcPr>
            <w:tcW w:w="1126" w:type="dxa"/>
            <w:shd w:val="clear" w:color="auto" w:fill="auto"/>
            <w:vAlign w:val="center"/>
          </w:tcPr>
          <w:p w14:paraId="6578286D" w14:textId="77777777" w:rsidR="004C26C7" w:rsidRPr="008430D3" w:rsidRDefault="004C26C7" w:rsidP="004C26C7">
            <w:pPr>
              <w:jc w:val="center"/>
              <w:rPr>
                <w:color w:val="000000" w:themeColor="text1"/>
                <w:sz w:val="16"/>
                <w:szCs w:val="16"/>
              </w:rPr>
            </w:pPr>
            <w:r w:rsidRPr="008430D3">
              <w:rPr>
                <w:color w:val="000000" w:themeColor="text1"/>
                <w:sz w:val="16"/>
                <w:szCs w:val="16"/>
              </w:rPr>
              <w:t>3.76 (0.90)</w:t>
            </w:r>
          </w:p>
        </w:tc>
        <w:tc>
          <w:tcPr>
            <w:tcW w:w="0" w:type="auto"/>
            <w:shd w:val="clear" w:color="auto" w:fill="auto"/>
            <w:vAlign w:val="center"/>
          </w:tcPr>
          <w:p w14:paraId="4DB3BC62"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68.3) = -2.81, p = .006</w:t>
            </w:r>
          </w:p>
        </w:tc>
        <w:tc>
          <w:tcPr>
            <w:tcW w:w="1136" w:type="dxa"/>
            <w:shd w:val="clear" w:color="auto" w:fill="auto"/>
            <w:vAlign w:val="center"/>
          </w:tcPr>
          <w:p w14:paraId="034ECCD4" w14:textId="77777777" w:rsidR="004C26C7" w:rsidRPr="008430D3" w:rsidRDefault="004C26C7" w:rsidP="004C26C7">
            <w:pPr>
              <w:jc w:val="center"/>
              <w:rPr>
                <w:color w:val="000000" w:themeColor="text1"/>
                <w:sz w:val="16"/>
                <w:szCs w:val="16"/>
              </w:rPr>
            </w:pPr>
            <w:r w:rsidRPr="008430D3">
              <w:rPr>
                <w:color w:val="000000" w:themeColor="text1"/>
                <w:sz w:val="16"/>
                <w:szCs w:val="16"/>
              </w:rPr>
              <w:t>2.69 (0.79)</w:t>
            </w:r>
          </w:p>
        </w:tc>
        <w:tc>
          <w:tcPr>
            <w:tcW w:w="1092" w:type="dxa"/>
            <w:shd w:val="clear" w:color="auto" w:fill="auto"/>
            <w:vAlign w:val="center"/>
          </w:tcPr>
          <w:p w14:paraId="01149099" w14:textId="77777777" w:rsidR="004C26C7" w:rsidRPr="008430D3" w:rsidRDefault="004C26C7" w:rsidP="004C26C7">
            <w:pPr>
              <w:jc w:val="center"/>
              <w:rPr>
                <w:color w:val="000000" w:themeColor="text1"/>
                <w:sz w:val="16"/>
                <w:szCs w:val="16"/>
              </w:rPr>
            </w:pPr>
            <w:r w:rsidRPr="008430D3">
              <w:rPr>
                <w:color w:val="000000" w:themeColor="text1"/>
                <w:sz w:val="16"/>
                <w:szCs w:val="16"/>
              </w:rPr>
              <w:t>3.65 (1.38)</w:t>
            </w:r>
          </w:p>
        </w:tc>
        <w:tc>
          <w:tcPr>
            <w:tcW w:w="1121" w:type="dxa"/>
            <w:shd w:val="clear" w:color="auto" w:fill="auto"/>
            <w:vAlign w:val="center"/>
          </w:tcPr>
          <w:p w14:paraId="0CFBFE2D" w14:textId="77777777" w:rsidR="004C26C7" w:rsidRPr="008430D3" w:rsidRDefault="004C26C7" w:rsidP="004C26C7">
            <w:pPr>
              <w:jc w:val="center"/>
              <w:rPr>
                <w:color w:val="000000" w:themeColor="text1"/>
                <w:sz w:val="16"/>
                <w:szCs w:val="16"/>
              </w:rPr>
            </w:pPr>
            <w:r w:rsidRPr="008430D3">
              <w:rPr>
                <w:color w:val="000000" w:themeColor="text1"/>
                <w:sz w:val="16"/>
                <w:szCs w:val="16"/>
              </w:rPr>
              <w:br/>
              <w:t>2.76 (1.05)</w:t>
            </w:r>
          </w:p>
          <w:p w14:paraId="3A52BE7D" w14:textId="77777777" w:rsidR="004C26C7" w:rsidRPr="008430D3" w:rsidRDefault="004C26C7" w:rsidP="004C26C7">
            <w:pPr>
              <w:jc w:val="center"/>
              <w:rPr>
                <w:color w:val="000000" w:themeColor="text1"/>
                <w:sz w:val="16"/>
                <w:szCs w:val="16"/>
              </w:rPr>
            </w:pPr>
          </w:p>
        </w:tc>
        <w:tc>
          <w:tcPr>
            <w:tcW w:w="1106" w:type="dxa"/>
            <w:shd w:val="clear" w:color="auto" w:fill="auto"/>
            <w:vAlign w:val="center"/>
          </w:tcPr>
          <w:p w14:paraId="13628654" w14:textId="77777777" w:rsidR="004C26C7" w:rsidRPr="008430D3" w:rsidRDefault="004C26C7" w:rsidP="004C26C7">
            <w:pPr>
              <w:jc w:val="center"/>
              <w:rPr>
                <w:color w:val="000000" w:themeColor="text1"/>
                <w:sz w:val="16"/>
                <w:szCs w:val="16"/>
              </w:rPr>
            </w:pPr>
            <w:r w:rsidRPr="008430D3">
              <w:rPr>
                <w:color w:val="000000" w:themeColor="text1"/>
                <w:sz w:val="16"/>
                <w:szCs w:val="16"/>
              </w:rPr>
              <w:t>3.66 (1.01)</w:t>
            </w:r>
          </w:p>
        </w:tc>
      </w:tr>
      <w:tr w:rsidR="004C26C7" w:rsidRPr="008430D3" w14:paraId="3DA6D43E" w14:textId="77777777" w:rsidTr="006B09A8">
        <w:trPr>
          <w:trHeight w:val="281"/>
        </w:trPr>
        <w:tc>
          <w:tcPr>
            <w:tcW w:w="1273" w:type="dxa"/>
            <w:shd w:val="clear" w:color="auto" w:fill="auto"/>
            <w:vAlign w:val="center"/>
          </w:tcPr>
          <w:p w14:paraId="25506820" w14:textId="77777777" w:rsidR="004C26C7" w:rsidRPr="008430D3" w:rsidRDefault="004C26C7" w:rsidP="004C26C7">
            <w:pPr>
              <w:rPr>
                <w:color w:val="000000" w:themeColor="text1"/>
                <w:sz w:val="16"/>
                <w:szCs w:val="16"/>
              </w:rPr>
            </w:pPr>
            <w:r w:rsidRPr="008430D3">
              <w:rPr>
                <w:color w:val="000000" w:themeColor="text1"/>
                <w:sz w:val="16"/>
                <w:szCs w:val="16"/>
              </w:rPr>
              <w:t>GHQ-12</w:t>
            </w:r>
          </w:p>
        </w:tc>
        <w:tc>
          <w:tcPr>
            <w:tcW w:w="1101" w:type="dxa"/>
            <w:shd w:val="clear" w:color="auto" w:fill="auto"/>
            <w:vAlign w:val="center"/>
          </w:tcPr>
          <w:p w14:paraId="18B761B4" w14:textId="77777777" w:rsidR="004C26C7" w:rsidRPr="008430D3" w:rsidRDefault="004C26C7" w:rsidP="004C26C7">
            <w:pPr>
              <w:jc w:val="center"/>
              <w:rPr>
                <w:color w:val="000000" w:themeColor="text1"/>
                <w:sz w:val="16"/>
                <w:szCs w:val="16"/>
              </w:rPr>
            </w:pPr>
            <w:r w:rsidRPr="008430D3">
              <w:rPr>
                <w:color w:val="000000" w:themeColor="text1"/>
                <w:sz w:val="16"/>
                <w:szCs w:val="16"/>
              </w:rPr>
              <w:t>26.19 (7.39)</w:t>
            </w:r>
          </w:p>
        </w:tc>
        <w:tc>
          <w:tcPr>
            <w:tcW w:w="1126" w:type="dxa"/>
            <w:shd w:val="clear" w:color="auto" w:fill="auto"/>
            <w:vAlign w:val="center"/>
          </w:tcPr>
          <w:p w14:paraId="4E2BF435" w14:textId="77777777" w:rsidR="004C26C7" w:rsidRPr="008430D3" w:rsidRDefault="004C26C7" w:rsidP="004C26C7">
            <w:pPr>
              <w:jc w:val="center"/>
              <w:rPr>
                <w:color w:val="000000" w:themeColor="text1"/>
                <w:sz w:val="16"/>
                <w:szCs w:val="16"/>
              </w:rPr>
            </w:pPr>
            <w:r w:rsidRPr="008430D3">
              <w:rPr>
                <w:color w:val="000000" w:themeColor="text1"/>
                <w:sz w:val="16"/>
                <w:szCs w:val="16"/>
              </w:rPr>
              <w:t>27.35 (8.01)</w:t>
            </w:r>
          </w:p>
        </w:tc>
        <w:tc>
          <w:tcPr>
            <w:tcW w:w="0" w:type="auto"/>
            <w:shd w:val="clear" w:color="auto" w:fill="auto"/>
            <w:vAlign w:val="center"/>
          </w:tcPr>
          <w:p w14:paraId="0744697A"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70.6) = 1.75, p = .08</w:t>
            </w:r>
          </w:p>
        </w:tc>
        <w:tc>
          <w:tcPr>
            <w:tcW w:w="1136" w:type="dxa"/>
            <w:shd w:val="clear" w:color="auto" w:fill="auto"/>
            <w:vAlign w:val="center"/>
          </w:tcPr>
          <w:p w14:paraId="668F2717" w14:textId="77777777" w:rsidR="004C26C7" w:rsidRPr="008430D3" w:rsidRDefault="004C26C7" w:rsidP="004C26C7">
            <w:pPr>
              <w:jc w:val="center"/>
              <w:rPr>
                <w:color w:val="000000" w:themeColor="text1"/>
                <w:sz w:val="16"/>
                <w:szCs w:val="16"/>
              </w:rPr>
            </w:pPr>
            <w:r w:rsidRPr="008430D3">
              <w:rPr>
                <w:color w:val="000000" w:themeColor="text1"/>
                <w:sz w:val="16"/>
                <w:szCs w:val="16"/>
              </w:rPr>
              <w:t>36.15 (6.93)</w:t>
            </w:r>
          </w:p>
        </w:tc>
        <w:tc>
          <w:tcPr>
            <w:tcW w:w="1092" w:type="dxa"/>
            <w:shd w:val="clear" w:color="auto" w:fill="auto"/>
            <w:vAlign w:val="center"/>
          </w:tcPr>
          <w:p w14:paraId="1CDB78EC" w14:textId="77777777" w:rsidR="004C26C7" w:rsidRPr="008430D3" w:rsidRDefault="004C26C7" w:rsidP="004C26C7">
            <w:pPr>
              <w:jc w:val="center"/>
              <w:rPr>
                <w:color w:val="000000" w:themeColor="text1"/>
                <w:sz w:val="16"/>
                <w:szCs w:val="16"/>
              </w:rPr>
            </w:pPr>
            <w:r w:rsidRPr="008430D3">
              <w:rPr>
                <w:color w:val="000000" w:themeColor="text1"/>
                <w:sz w:val="16"/>
                <w:szCs w:val="16"/>
              </w:rPr>
              <w:t>30.35 (6.51)</w:t>
            </w:r>
          </w:p>
        </w:tc>
        <w:tc>
          <w:tcPr>
            <w:tcW w:w="1121" w:type="dxa"/>
            <w:shd w:val="clear" w:color="auto" w:fill="auto"/>
            <w:vAlign w:val="center"/>
          </w:tcPr>
          <w:p w14:paraId="2ABAA7DD" w14:textId="77777777" w:rsidR="004C26C7" w:rsidRPr="008430D3" w:rsidRDefault="004C26C7" w:rsidP="004C26C7">
            <w:pPr>
              <w:jc w:val="center"/>
              <w:rPr>
                <w:color w:val="000000" w:themeColor="text1"/>
                <w:sz w:val="16"/>
                <w:szCs w:val="16"/>
              </w:rPr>
            </w:pPr>
            <w:r w:rsidRPr="008430D3">
              <w:rPr>
                <w:color w:val="000000" w:themeColor="text1"/>
                <w:sz w:val="16"/>
                <w:szCs w:val="16"/>
              </w:rPr>
              <w:t>36.12 (7.21)</w:t>
            </w:r>
          </w:p>
        </w:tc>
        <w:tc>
          <w:tcPr>
            <w:tcW w:w="1106" w:type="dxa"/>
            <w:shd w:val="clear" w:color="auto" w:fill="auto"/>
            <w:vAlign w:val="center"/>
          </w:tcPr>
          <w:p w14:paraId="55C6909E" w14:textId="77777777" w:rsidR="004C26C7" w:rsidRPr="008430D3" w:rsidRDefault="004C26C7" w:rsidP="004C26C7">
            <w:pPr>
              <w:jc w:val="center"/>
              <w:rPr>
                <w:color w:val="000000" w:themeColor="text1"/>
                <w:sz w:val="16"/>
                <w:szCs w:val="16"/>
              </w:rPr>
            </w:pPr>
            <w:r w:rsidRPr="008430D3">
              <w:rPr>
                <w:color w:val="000000" w:themeColor="text1"/>
                <w:sz w:val="16"/>
                <w:szCs w:val="16"/>
              </w:rPr>
              <w:t>31.76 (5.37)</w:t>
            </w:r>
          </w:p>
        </w:tc>
      </w:tr>
      <w:tr w:rsidR="004C26C7" w:rsidRPr="008430D3" w14:paraId="6EB1FC34" w14:textId="77777777" w:rsidTr="006B09A8">
        <w:trPr>
          <w:trHeight w:val="281"/>
        </w:trPr>
        <w:tc>
          <w:tcPr>
            <w:tcW w:w="1273" w:type="dxa"/>
            <w:tcBorders>
              <w:bottom w:val="single" w:sz="4" w:space="0" w:color="auto"/>
            </w:tcBorders>
            <w:shd w:val="clear" w:color="auto" w:fill="auto"/>
            <w:vAlign w:val="center"/>
          </w:tcPr>
          <w:p w14:paraId="44291601" w14:textId="77777777" w:rsidR="004C26C7" w:rsidRPr="008430D3" w:rsidRDefault="004C26C7" w:rsidP="004C26C7">
            <w:pPr>
              <w:rPr>
                <w:color w:val="000000" w:themeColor="text1"/>
                <w:sz w:val="16"/>
                <w:szCs w:val="16"/>
              </w:rPr>
            </w:pPr>
            <w:r w:rsidRPr="008430D3">
              <w:rPr>
                <w:color w:val="000000" w:themeColor="text1"/>
                <w:sz w:val="16"/>
                <w:szCs w:val="16"/>
              </w:rPr>
              <w:t>VQ Progress</w:t>
            </w:r>
          </w:p>
        </w:tc>
        <w:tc>
          <w:tcPr>
            <w:tcW w:w="1101" w:type="dxa"/>
            <w:tcBorders>
              <w:bottom w:val="single" w:sz="4" w:space="0" w:color="auto"/>
            </w:tcBorders>
            <w:shd w:val="clear" w:color="auto" w:fill="auto"/>
            <w:vAlign w:val="center"/>
          </w:tcPr>
          <w:p w14:paraId="773E0924" w14:textId="77777777" w:rsidR="004C26C7" w:rsidRPr="008430D3" w:rsidRDefault="004C26C7" w:rsidP="004C26C7">
            <w:pPr>
              <w:jc w:val="center"/>
              <w:rPr>
                <w:color w:val="000000" w:themeColor="text1"/>
                <w:sz w:val="16"/>
                <w:szCs w:val="16"/>
              </w:rPr>
            </w:pPr>
            <w:r w:rsidRPr="008430D3">
              <w:rPr>
                <w:color w:val="000000" w:themeColor="text1"/>
                <w:sz w:val="16"/>
                <w:szCs w:val="16"/>
              </w:rPr>
              <w:t>12.06 (7.08</w:t>
            </w:r>
          </w:p>
        </w:tc>
        <w:tc>
          <w:tcPr>
            <w:tcW w:w="1126" w:type="dxa"/>
            <w:tcBorders>
              <w:bottom w:val="single" w:sz="4" w:space="0" w:color="auto"/>
            </w:tcBorders>
            <w:shd w:val="clear" w:color="auto" w:fill="auto"/>
            <w:vAlign w:val="center"/>
          </w:tcPr>
          <w:p w14:paraId="21F18FAF" w14:textId="77777777" w:rsidR="004C26C7" w:rsidRPr="008430D3" w:rsidRDefault="004C26C7" w:rsidP="004C26C7">
            <w:pPr>
              <w:jc w:val="center"/>
              <w:rPr>
                <w:color w:val="000000" w:themeColor="text1"/>
                <w:sz w:val="16"/>
                <w:szCs w:val="16"/>
              </w:rPr>
            </w:pPr>
            <w:r w:rsidRPr="008430D3">
              <w:rPr>
                <w:color w:val="000000" w:themeColor="text1"/>
                <w:sz w:val="16"/>
                <w:szCs w:val="16"/>
              </w:rPr>
              <w:t>12.82 (7.60)</w:t>
            </w:r>
          </w:p>
        </w:tc>
        <w:tc>
          <w:tcPr>
            <w:tcW w:w="0" w:type="auto"/>
            <w:tcBorders>
              <w:bottom w:val="single" w:sz="4" w:space="0" w:color="auto"/>
            </w:tcBorders>
            <w:shd w:val="clear" w:color="auto" w:fill="auto"/>
            <w:vAlign w:val="center"/>
          </w:tcPr>
          <w:p w14:paraId="4B21EBBD" w14:textId="77777777" w:rsidR="004C26C7" w:rsidRPr="008430D3" w:rsidRDefault="004C26C7" w:rsidP="004C26C7">
            <w:pPr>
              <w:jc w:val="center"/>
              <w:rPr>
                <w:color w:val="000000" w:themeColor="text1"/>
                <w:sz w:val="16"/>
                <w:szCs w:val="16"/>
              </w:rPr>
            </w:pPr>
            <w:proofErr w:type="gramStart"/>
            <w:r w:rsidRPr="008430D3">
              <w:rPr>
                <w:color w:val="000000" w:themeColor="text1"/>
                <w:sz w:val="16"/>
                <w:szCs w:val="16"/>
              </w:rPr>
              <w:t>t(</w:t>
            </w:r>
            <w:proofErr w:type="gramEnd"/>
            <w:r w:rsidRPr="008430D3">
              <w:rPr>
                <w:color w:val="000000" w:themeColor="text1"/>
                <w:sz w:val="16"/>
                <w:szCs w:val="16"/>
              </w:rPr>
              <w:t>70.6) = 1.24, p = .22</w:t>
            </w:r>
          </w:p>
        </w:tc>
        <w:tc>
          <w:tcPr>
            <w:tcW w:w="1136" w:type="dxa"/>
            <w:tcBorders>
              <w:bottom w:val="single" w:sz="4" w:space="0" w:color="auto"/>
            </w:tcBorders>
            <w:shd w:val="clear" w:color="auto" w:fill="auto"/>
            <w:vAlign w:val="center"/>
          </w:tcPr>
          <w:p w14:paraId="6F5D9038" w14:textId="77777777" w:rsidR="004C26C7" w:rsidRPr="008430D3" w:rsidRDefault="004C26C7" w:rsidP="004C26C7">
            <w:pPr>
              <w:jc w:val="center"/>
              <w:rPr>
                <w:color w:val="000000" w:themeColor="text1"/>
                <w:sz w:val="16"/>
                <w:szCs w:val="16"/>
              </w:rPr>
            </w:pPr>
            <w:r w:rsidRPr="008430D3">
              <w:rPr>
                <w:color w:val="000000" w:themeColor="text1"/>
                <w:sz w:val="16"/>
                <w:szCs w:val="16"/>
              </w:rPr>
              <w:t>17.27 (6.85)</w:t>
            </w:r>
          </w:p>
        </w:tc>
        <w:tc>
          <w:tcPr>
            <w:tcW w:w="1092" w:type="dxa"/>
            <w:tcBorders>
              <w:bottom w:val="single" w:sz="4" w:space="0" w:color="auto"/>
            </w:tcBorders>
            <w:shd w:val="clear" w:color="auto" w:fill="auto"/>
            <w:vAlign w:val="center"/>
          </w:tcPr>
          <w:p w14:paraId="73729706" w14:textId="77777777" w:rsidR="004C26C7" w:rsidRPr="008430D3" w:rsidRDefault="004C26C7" w:rsidP="004C26C7">
            <w:pPr>
              <w:jc w:val="center"/>
              <w:rPr>
                <w:color w:val="000000" w:themeColor="text1"/>
                <w:sz w:val="16"/>
                <w:szCs w:val="16"/>
              </w:rPr>
            </w:pPr>
            <w:r w:rsidRPr="008430D3">
              <w:rPr>
                <w:color w:val="000000" w:themeColor="text1"/>
                <w:sz w:val="16"/>
                <w:szCs w:val="16"/>
              </w:rPr>
              <w:t>13.58 (7.74)</w:t>
            </w:r>
          </w:p>
        </w:tc>
        <w:tc>
          <w:tcPr>
            <w:tcW w:w="1121" w:type="dxa"/>
            <w:tcBorders>
              <w:bottom w:val="single" w:sz="4" w:space="0" w:color="auto"/>
            </w:tcBorders>
            <w:shd w:val="clear" w:color="auto" w:fill="auto"/>
            <w:vAlign w:val="center"/>
          </w:tcPr>
          <w:p w14:paraId="0E18A390" w14:textId="77777777" w:rsidR="004C26C7" w:rsidRPr="008430D3" w:rsidRDefault="004C26C7" w:rsidP="004C26C7">
            <w:pPr>
              <w:jc w:val="center"/>
              <w:rPr>
                <w:color w:val="000000" w:themeColor="text1"/>
                <w:sz w:val="16"/>
                <w:szCs w:val="16"/>
              </w:rPr>
            </w:pPr>
            <w:r w:rsidRPr="008430D3">
              <w:rPr>
                <w:color w:val="000000" w:themeColor="text1"/>
                <w:sz w:val="16"/>
                <w:szCs w:val="16"/>
              </w:rPr>
              <w:t>18.36 (7.58)</w:t>
            </w:r>
          </w:p>
        </w:tc>
        <w:tc>
          <w:tcPr>
            <w:tcW w:w="1106" w:type="dxa"/>
            <w:tcBorders>
              <w:bottom w:val="single" w:sz="4" w:space="0" w:color="auto"/>
            </w:tcBorders>
            <w:shd w:val="clear" w:color="auto" w:fill="auto"/>
            <w:vAlign w:val="center"/>
          </w:tcPr>
          <w:p w14:paraId="624791D1" w14:textId="77777777" w:rsidR="004C26C7" w:rsidRPr="008430D3" w:rsidRDefault="004C26C7" w:rsidP="004C26C7">
            <w:pPr>
              <w:jc w:val="center"/>
              <w:rPr>
                <w:color w:val="000000" w:themeColor="text1"/>
                <w:sz w:val="16"/>
                <w:szCs w:val="16"/>
              </w:rPr>
            </w:pPr>
            <w:r w:rsidRPr="008430D3">
              <w:rPr>
                <w:color w:val="000000" w:themeColor="text1"/>
                <w:sz w:val="16"/>
                <w:szCs w:val="16"/>
              </w:rPr>
              <w:t>15.14 (6.02)</w:t>
            </w:r>
          </w:p>
        </w:tc>
      </w:tr>
    </w:tbl>
    <w:p w14:paraId="7E6301C3" w14:textId="3F202A9C" w:rsidR="00230186" w:rsidRDefault="008430D3" w:rsidP="00FA41C0">
      <w:pPr>
        <w:pStyle w:val="ListParagraph"/>
        <w:spacing w:line="480" w:lineRule="auto"/>
        <w:ind w:left="0"/>
        <w:rPr>
          <w:bCs/>
          <w:color w:val="000000" w:themeColor="text1"/>
        </w:rPr>
      </w:pPr>
      <w:r>
        <w:rPr>
          <w:bCs/>
          <w:color w:val="000000" w:themeColor="text1"/>
        </w:rPr>
        <w:tab/>
      </w:r>
      <w:r w:rsidR="00230186">
        <w:rPr>
          <w:bCs/>
          <w:color w:val="000000" w:themeColor="text1"/>
        </w:rPr>
        <w:t xml:space="preserve">There were 52 respondents at posttreatment (71.23%) and 56 at follow-up (76.71%). </w:t>
      </w:r>
      <w:r w:rsidR="00701213">
        <w:rPr>
          <w:bCs/>
          <w:color w:val="000000" w:themeColor="text1"/>
        </w:rPr>
        <w:t>No variables tested (baseline scores on outcome variables, baseline treatment utilization, age, gender, and credibility and expectancy) significantly predicted missingness on the SI-R at</w:t>
      </w:r>
      <w:r w:rsidR="00AF1981">
        <w:rPr>
          <w:bCs/>
          <w:color w:val="000000" w:themeColor="text1"/>
        </w:rPr>
        <w:t xml:space="preserve"> posttreatment.</w:t>
      </w:r>
    </w:p>
    <w:p w14:paraId="51C2D15B" w14:textId="31D000EB" w:rsidR="00AF1981" w:rsidRDefault="00AF1981" w:rsidP="00FA41C0">
      <w:pPr>
        <w:pStyle w:val="ListParagraph"/>
        <w:spacing w:line="480" w:lineRule="auto"/>
        <w:ind w:left="0"/>
        <w:rPr>
          <w:bCs/>
          <w:color w:val="000000" w:themeColor="text1"/>
        </w:rPr>
      </w:pPr>
      <w:r>
        <w:rPr>
          <w:bCs/>
          <w:color w:val="000000" w:themeColor="text1"/>
        </w:rPr>
        <w:tab/>
        <w:t>Participants</w:t>
      </w:r>
      <w:r w:rsidR="000554D9">
        <w:rPr>
          <w:bCs/>
          <w:color w:val="000000" w:themeColor="text1"/>
        </w:rPr>
        <w:t xml:space="preserve"> generally</w:t>
      </w:r>
      <w:r>
        <w:rPr>
          <w:bCs/>
          <w:color w:val="000000" w:themeColor="text1"/>
        </w:rPr>
        <w:t xml:space="preserve"> reported at baseline that the COVID-19 pandemic had made it harder to function recently (see Table 1). However, responses for ACT condition participants at posttreatment did not suggest that the COVID-19 pandemic created substantial barriers to using the intervention. 44% reported it made study participation easier, compared to 24% who said it neither helped nor hurt, and 32% who reported it made participation harder. Questions on </w:t>
      </w:r>
      <w:r>
        <w:rPr>
          <w:bCs/>
          <w:color w:val="000000" w:themeColor="text1"/>
        </w:rPr>
        <w:lastRenderedPageBreak/>
        <w:t xml:space="preserve">COVID-19 were added after the study launched, and not administered in </w:t>
      </w:r>
      <w:r w:rsidR="00FA1818">
        <w:rPr>
          <w:bCs/>
          <w:color w:val="000000" w:themeColor="text1"/>
        </w:rPr>
        <w:t xml:space="preserve">the earliest </w:t>
      </w:r>
      <w:r>
        <w:rPr>
          <w:bCs/>
          <w:color w:val="000000" w:themeColor="text1"/>
        </w:rPr>
        <w:t>baseline</w:t>
      </w:r>
      <w:r w:rsidR="000C65F1">
        <w:rPr>
          <w:bCs/>
          <w:color w:val="000000" w:themeColor="text1"/>
        </w:rPr>
        <w:t xml:space="preserve"> (n = 5)</w:t>
      </w:r>
      <w:r>
        <w:rPr>
          <w:bCs/>
          <w:color w:val="000000" w:themeColor="text1"/>
        </w:rPr>
        <w:t xml:space="preserve"> and posttreatment</w:t>
      </w:r>
      <w:r w:rsidR="000C65F1">
        <w:rPr>
          <w:bCs/>
          <w:color w:val="000000" w:themeColor="text1"/>
        </w:rPr>
        <w:t xml:space="preserve"> (n = 2)</w:t>
      </w:r>
      <w:r>
        <w:rPr>
          <w:bCs/>
          <w:color w:val="000000" w:themeColor="text1"/>
        </w:rPr>
        <w:t xml:space="preserve"> surveys.</w:t>
      </w:r>
    </w:p>
    <w:p w14:paraId="1E86A1AF" w14:textId="1FF4CA0D" w:rsidR="00B913EE" w:rsidRDefault="00B913EE" w:rsidP="00FA41C0">
      <w:pPr>
        <w:pStyle w:val="ListParagraph"/>
        <w:spacing w:line="480" w:lineRule="auto"/>
        <w:ind w:left="0"/>
        <w:rPr>
          <w:b/>
          <w:color w:val="000000" w:themeColor="text1"/>
        </w:rPr>
      </w:pPr>
      <w:r>
        <w:rPr>
          <w:b/>
          <w:color w:val="000000" w:themeColor="text1"/>
        </w:rPr>
        <w:t>Treatment Acceptability</w:t>
      </w:r>
    </w:p>
    <w:p w14:paraId="239109DF" w14:textId="49C7C82F" w:rsidR="00FA41C0" w:rsidRPr="00FD7510" w:rsidRDefault="009725F0" w:rsidP="00FA41C0">
      <w:pPr>
        <w:pStyle w:val="ListParagraph"/>
        <w:spacing w:line="480" w:lineRule="auto"/>
        <w:ind w:left="0"/>
        <w:rPr>
          <w:bCs/>
          <w:color w:val="000000" w:themeColor="text1"/>
        </w:rPr>
      </w:pPr>
      <w:r>
        <w:rPr>
          <w:b/>
          <w:color w:val="000000" w:themeColor="text1"/>
        </w:rPr>
        <w:tab/>
      </w:r>
      <w:r>
        <w:rPr>
          <w:bCs/>
          <w:color w:val="000000" w:themeColor="text1"/>
        </w:rPr>
        <w:t>Average TEI-SF score (</w:t>
      </w:r>
      <w:r>
        <w:rPr>
          <w:bCs/>
          <w:i/>
          <w:iCs/>
          <w:color w:val="000000" w:themeColor="text1"/>
        </w:rPr>
        <w:t>M</w:t>
      </w:r>
      <w:r>
        <w:rPr>
          <w:bCs/>
          <w:color w:val="000000" w:themeColor="text1"/>
        </w:rPr>
        <w:t xml:space="preserve"> = 25.46</w:t>
      </w:r>
      <w:r w:rsidR="001B5704">
        <w:rPr>
          <w:bCs/>
          <w:color w:val="000000" w:themeColor="text1"/>
        </w:rPr>
        <w:t>, SD = 6.33) exceeded the cutoff of 21</w:t>
      </w:r>
      <w:r w:rsidR="0031520D">
        <w:rPr>
          <w:bCs/>
          <w:color w:val="000000" w:themeColor="text1"/>
        </w:rPr>
        <w:t xml:space="preserve"> </w:t>
      </w:r>
      <w:r w:rsidR="0031520D">
        <w:rPr>
          <w:bCs/>
          <w:color w:val="000000" w:themeColor="text1"/>
        </w:rPr>
        <w:fldChar w:fldCharType="begin" w:fldLock="1"/>
      </w:r>
      <w:r w:rsidR="0031520D">
        <w:rPr>
          <w:bCs/>
          <w:color w:val="000000" w:themeColor="text1"/>
        </w:rPr>
        <w:instrText>ADDIN CSL_CITATION {"citationItems":[{"id":"ITEM-1","itemData":{"DOI":"10.1016/j.beth.2005.02.001","ISSN":"0005-7894","PMID":"16942956","abstract":"This study evaluated the effectiveness of an 8-session Acceptance and Commitment Therapy for OCD intervention in a nonconcurrent multiple-baseline, across-participants design. Results on self-reported compulsions showed that the intervention produced clinically significant reductions in compulsions by the end of treatment for all participants, with results maintained at 3-month follow-up. Self-monitoring was supported with similar decreases in scores on standardized measures of OCD. Positive changes in anxiety and depression were found for all participants as well as expected process changes in the form of decreased experiential avoidance, believability of obsessions, and need to respond to obsessions. All participants found the treatment to be highly acceptable. Implications and future directions are discussed.","author":[{"dropping-particle":"","family":"Twohig","given":"Michael P.","non-dropping-particle":"","parse-names":false,"suffix":""},{"dropping-particle":"","family":"Hayes","given":"Steven C.","non-dropping-particle":"","parse-names":false,"suffix":""},{"dropping-particle":"","family":"Masuda","given":"Akihiko","non-dropping-particle":"","parse-names":false,"suffix":""}],"container-title":"Behavior Therapy","id":"ITEM-1","issued":{"date-parts":[["2006"]]},"page":"3-13","title":"Increasing willingness to experience obsessions: Acceptance and Commitment Therapy as a treatment for Obsessive-Compulsive Disorder","type":"article-journal","volume":"37"},"uris":["http://www.mendeley.com/documents/?uuid=6b42a8a4-4d43-4070-99f8-4915d5cfcc60"]}],"mendeley":{"formattedCitation":"(Twohig et al., 2006)","plainTextFormattedCitation":"(Twohig et al., 2006)","previouslyFormattedCitation":"(Twohig et al., 2006)"},"properties":{"noteIndex":0},"schema":"https://github.com/citation-style-language/schema/raw/master/csl-citation.json"}</w:instrText>
      </w:r>
      <w:r w:rsidR="0031520D">
        <w:rPr>
          <w:bCs/>
          <w:color w:val="000000" w:themeColor="text1"/>
        </w:rPr>
        <w:fldChar w:fldCharType="separate"/>
      </w:r>
      <w:r w:rsidR="0031520D" w:rsidRPr="0031520D">
        <w:rPr>
          <w:bCs/>
          <w:noProof/>
          <w:color w:val="000000" w:themeColor="text1"/>
        </w:rPr>
        <w:t>(Twohig et al., 2006)</w:t>
      </w:r>
      <w:r w:rsidR="0031520D">
        <w:rPr>
          <w:bCs/>
          <w:color w:val="000000" w:themeColor="text1"/>
        </w:rPr>
        <w:fldChar w:fldCharType="end"/>
      </w:r>
      <w:r w:rsidR="001B5704">
        <w:rPr>
          <w:bCs/>
          <w:color w:val="000000" w:themeColor="text1"/>
        </w:rPr>
        <w:t>. Average CEQ-Credibility score (</w:t>
      </w:r>
      <w:r w:rsidR="001B5704">
        <w:rPr>
          <w:bCs/>
          <w:i/>
          <w:iCs/>
          <w:color w:val="000000" w:themeColor="text1"/>
        </w:rPr>
        <w:t>M</w:t>
      </w:r>
      <w:r w:rsidR="001B5704">
        <w:rPr>
          <w:bCs/>
          <w:color w:val="000000" w:themeColor="text1"/>
        </w:rPr>
        <w:t xml:space="preserve"> = 6.62, SD = 1.23) and CEQ-Expectancy score (</w:t>
      </w:r>
      <w:r w:rsidR="001B5704">
        <w:rPr>
          <w:bCs/>
          <w:i/>
          <w:iCs/>
          <w:color w:val="000000" w:themeColor="text1"/>
        </w:rPr>
        <w:t>M</w:t>
      </w:r>
      <w:r w:rsidR="001B5704">
        <w:rPr>
          <w:bCs/>
          <w:color w:val="000000" w:themeColor="text1"/>
        </w:rPr>
        <w:t xml:space="preserve"> = 61.09, SD = 21.27) also exceeded </w:t>
      </w:r>
      <w:r w:rsidR="0031520D">
        <w:rPr>
          <w:bCs/>
          <w:color w:val="000000" w:themeColor="text1"/>
        </w:rPr>
        <w:t xml:space="preserve">pre-specified </w:t>
      </w:r>
      <w:r w:rsidR="001B5704">
        <w:rPr>
          <w:bCs/>
          <w:color w:val="000000" w:themeColor="text1"/>
        </w:rPr>
        <w:t>cutoffs of 6 and 60.</w:t>
      </w:r>
      <w:r w:rsidR="003C6902">
        <w:rPr>
          <w:bCs/>
          <w:color w:val="000000" w:themeColor="text1"/>
        </w:rPr>
        <w:t xml:space="preserve"> Average SUS score (</w:t>
      </w:r>
      <w:r w:rsidR="003C6902">
        <w:rPr>
          <w:bCs/>
          <w:i/>
          <w:iCs/>
          <w:color w:val="000000" w:themeColor="text1"/>
        </w:rPr>
        <w:t>M</w:t>
      </w:r>
      <w:r w:rsidR="003C6902">
        <w:rPr>
          <w:bCs/>
          <w:color w:val="000000" w:themeColor="text1"/>
        </w:rPr>
        <w:t xml:space="preserve"> = 86.46</w:t>
      </w:r>
      <w:r w:rsidR="002A4C0B">
        <w:rPr>
          <w:bCs/>
          <w:color w:val="000000" w:themeColor="text1"/>
        </w:rPr>
        <w:t xml:space="preserve">, SD = 13.43) met the cutoff of 85.58 </w:t>
      </w:r>
      <w:r w:rsidR="0031520D">
        <w:rPr>
          <w:bCs/>
          <w:color w:val="000000" w:themeColor="text1"/>
        </w:rPr>
        <w:fldChar w:fldCharType="begin" w:fldLock="1"/>
      </w:r>
      <w:r w:rsidR="00C11921">
        <w:rPr>
          <w:bCs/>
          <w:color w:val="000000" w:themeColor="text1"/>
        </w:rPr>
        <w:instrText>ADDIN CSL_CITATION {"citationItems":[{"id":"ITEM-1","itemData":{"author":[{"dropping-particle":"","family":"Bangor","given":"Aaron","non-dropping-particle":"","parse-names":false,"suffix":""},{"dropping-particle":"","family":"Kortum","given":"Philip T","non-dropping-particle":"","parse-names":false,"suffix":""},{"dropping-particle":"","family":"Miller","given":"James T","non-dropping-particle":"","parse-names":false,"suffix":""}],"container-title":"International Journal of Human-Computer Interaction","id":"ITEM-1","issued":{"date-parts":[["2008"]]},"page":"574-594","title":"An empirical evaluation of the System Usability Scale","type":"article-journal","volume":"24"},"uris":["http://www.mendeley.com/documents/?uuid=4dad583e-8398-487a-93ef-33e3a846e764"]}],"mendeley":{"formattedCitation":"(Bangor et al., 2008)","plainTextFormattedCitation":"(Bangor et al., 2008)","previouslyFormattedCitation":"(Bangor et al., 2008)"},"properties":{"noteIndex":0},"schema":"https://github.com/citation-style-language/schema/raw/master/csl-citation.json"}</w:instrText>
      </w:r>
      <w:r w:rsidR="0031520D">
        <w:rPr>
          <w:bCs/>
          <w:color w:val="000000" w:themeColor="text1"/>
        </w:rPr>
        <w:fldChar w:fldCharType="separate"/>
      </w:r>
      <w:r w:rsidR="0031520D" w:rsidRPr="0031520D">
        <w:rPr>
          <w:bCs/>
          <w:noProof/>
          <w:color w:val="000000" w:themeColor="text1"/>
        </w:rPr>
        <w:t>(Bangor et al., 2008)</w:t>
      </w:r>
      <w:r w:rsidR="0031520D">
        <w:rPr>
          <w:bCs/>
          <w:color w:val="000000" w:themeColor="text1"/>
        </w:rPr>
        <w:fldChar w:fldCharType="end"/>
      </w:r>
      <w:r w:rsidR="0031520D">
        <w:rPr>
          <w:bCs/>
          <w:color w:val="000000" w:themeColor="text1"/>
        </w:rPr>
        <w:t xml:space="preserve"> </w:t>
      </w:r>
      <w:r w:rsidR="002A4C0B">
        <w:rPr>
          <w:bCs/>
          <w:color w:val="000000" w:themeColor="text1"/>
        </w:rPr>
        <w:t>for excellent ease of use.</w:t>
      </w:r>
      <w:r w:rsidR="00FD7510">
        <w:rPr>
          <w:bCs/>
          <w:color w:val="000000" w:themeColor="text1"/>
        </w:rPr>
        <w:t xml:space="preserve"> </w:t>
      </w:r>
      <w:r w:rsidR="00FD7510" w:rsidRPr="00FD7510">
        <w:rPr>
          <w:bCs/>
          <w:color w:val="000000" w:themeColor="text1"/>
        </w:rPr>
        <w:t xml:space="preserve">Scores on novel individual satisfaction items also indicated </w:t>
      </w:r>
      <w:r w:rsidR="00021965">
        <w:rPr>
          <w:bCs/>
          <w:color w:val="000000" w:themeColor="text1"/>
        </w:rPr>
        <w:t>adequate</w:t>
      </w:r>
      <w:r w:rsidR="00FD7510" w:rsidRPr="00FD7510">
        <w:rPr>
          <w:bCs/>
          <w:color w:val="000000" w:themeColor="text1"/>
        </w:rPr>
        <w:t xml:space="preserve"> acceptability, with scores between “4 </w:t>
      </w:r>
      <w:r w:rsidR="0041102D">
        <w:rPr>
          <w:bCs/>
          <w:color w:val="000000" w:themeColor="text1"/>
        </w:rPr>
        <w:t>-</w:t>
      </w:r>
      <w:r w:rsidR="00FD7510" w:rsidRPr="00FD7510">
        <w:rPr>
          <w:bCs/>
          <w:color w:val="000000" w:themeColor="text1"/>
        </w:rPr>
        <w:t xml:space="preserve"> slightly agree” and “5 -</w:t>
      </w:r>
      <w:r w:rsidR="0041102D">
        <w:rPr>
          <w:bCs/>
          <w:color w:val="000000" w:themeColor="text1"/>
        </w:rPr>
        <w:t xml:space="preserve"> </w:t>
      </w:r>
      <w:r w:rsidR="00FD7510" w:rsidRPr="00FD7510">
        <w:rPr>
          <w:bCs/>
          <w:color w:val="000000" w:themeColor="text1"/>
        </w:rPr>
        <w:t xml:space="preserve">agree” </w:t>
      </w:r>
      <w:r w:rsidR="0011239C">
        <w:rPr>
          <w:bCs/>
          <w:color w:val="000000" w:themeColor="text1"/>
        </w:rPr>
        <w:t xml:space="preserve">(6 “strongly agree” is the maximum) </w:t>
      </w:r>
      <w:r w:rsidR="00FD7510" w:rsidRPr="00FD7510">
        <w:rPr>
          <w:bCs/>
          <w:color w:val="000000" w:themeColor="text1"/>
        </w:rPr>
        <w:t>for: “Overall, I was satisfied with the quality of the program” (</w:t>
      </w:r>
      <w:r w:rsidR="00FD7510" w:rsidRPr="00FD7510">
        <w:rPr>
          <w:bCs/>
          <w:i/>
          <w:iCs/>
          <w:color w:val="000000" w:themeColor="text1"/>
        </w:rPr>
        <w:t xml:space="preserve">M </w:t>
      </w:r>
      <w:r w:rsidR="00FD7510" w:rsidRPr="00FD7510">
        <w:rPr>
          <w:bCs/>
          <w:color w:val="000000" w:themeColor="text1"/>
        </w:rPr>
        <w:t>= 4.69, SD = 1.26)</w:t>
      </w:r>
      <w:r w:rsidR="00846775">
        <w:rPr>
          <w:bCs/>
          <w:color w:val="000000" w:themeColor="text1"/>
        </w:rPr>
        <w:t xml:space="preserve">, </w:t>
      </w:r>
      <w:r w:rsidR="00FD7510" w:rsidRPr="00FD7510">
        <w:rPr>
          <w:bCs/>
          <w:color w:val="000000" w:themeColor="text1"/>
        </w:rPr>
        <w:t>“I felt the program was made for someone like me” (</w:t>
      </w:r>
      <w:r w:rsidR="00FD7510" w:rsidRPr="00FD7510">
        <w:rPr>
          <w:bCs/>
          <w:i/>
          <w:iCs/>
          <w:color w:val="000000" w:themeColor="text1"/>
        </w:rPr>
        <w:t>M</w:t>
      </w:r>
      <w:r w:rsidR="00FD7510" w:rsidRPr="00FD7510">
        <w:rPr>
          <w:bCs/>
          <w:color w:val="000000" w:themeColor="text1"/>
        </w:rPr>
        <w:t xml:space="preserve"> = </w:t>
      </w:r>
      <w:r w:rsidR="00FD7510" w:rsidRPr="00FD7510">
        <w:rPr>
          <w:color w:val="000000" w:themeColor="text1"/>
        </w:rPr>
        <w:t>4.73</w:t>
      </w:r>
      <w:r w:rsidR="00FD7510" w:rsidRPr="00FD7510">
        <w:rPr>
          <w:bCs/>
          <w:color w:val="000000" w:themeColor="text1"/>
        </w:rPr>
        <w:t xml:space="preserve">, SD = </w:t>
      </w:r>
      <w:r w:rsidR="00FD7510" w:rsidRPr="00FD7510">
        <w:rPr>
          <w:color w:val="000000" w:themeColor="text1"/>
        </w:rPr>
        <w:t>1.46</w:t>
      </w:r>
      <w:r w:rsidR="00FD7510" w:rsidRPr="00FD7510">
        <w:rPr>
          <w:bCs/>
          <w:color w:val="000000" w:themeColor="text1"/>
        </w:rPr>
        <w:t>), “I would recommend the program to other people with a clutter and/or hoarding problem” (</w:t>
      </w:r>
      <w:r w:rsidR="00FD7510" w:rsidRPr="00FD7510">
        <w:rPr>
          <w:bCs/>
          <w:i/>
          <w:iCs/>
          <w:color w:val="000000" w:themeColor="text1"/>
        </w:rPr>
        <w:t>M</w:t>
      </w:r>
      <w:r w:rsidR="00FD7510" w:rsidRPr="00FD7510">
        <w:rPr>
          <w:bCs/>
          <w:color w:val="000000" w:themeColor="text1"/>
        </w:rPr>
        <w:t xml:space="preserve"> = </w:t>
      </w:r>
      <w:r w:rsidR="00FD7510" w:rsidRPr="00FD7510">
        <w:rPr>
          <w:color w:val="000000" w:themeColor="text1"/>
        </w:rPr>
        <w:t>4.88</w:t>
      </w:r>
      <w:r w:rsidR="00FD7510" w:rsidRPr="00FD7510">
        <w:rPr>
          <w:bCs/>
          <w:color w:val="000000" w:themeColor="text1"/>
        </w:rPr>
        <w:t xml:space="preserve">, SD = </w:t>
      </w:r>
      <w:r w:rsidR="00FD7510" w:rsidRPr="00FD7510">
        <w:rPr>
          <w:color w:val="000000" w:themeColor="text1"/>
        </w:rPr>
        <w:t>1.40</w:t>
      </w:r>
      <w:r w:rsidR="00FD7510" w:rsidRPr="00FD7510">
        <w:rPr>
          <w:bCs/>
          <w:color w:val="000000" w:themeColor="text1"/>
        </w:rPr>
        <w:t>), “The psychological skills taught (ex. mindfulness, opening up) were helpful to me” (</w:t>
      </w:r>
      <w:r w:rsidR="00FD7510" w:rsidRPr="00FD7510">
        <w:rPr>
          <w:bCs/>
          <w:i/>
          <w:iCs/>
          <w:color w:val="000000" w:themeColor="text1"/>
        </w:rPr>
        <w:t>M</w:t>
      </w:r>
      <w:r w:rsidR="00FD7510" w:rsidRPr="00FD7510">
        <w:rPr>
          <w:bCs/>
          <w:color w:val="000000" w:themeColor="text1"/>
        </w:rPr>
        <w:t xml:space="preserve"> = </w:t>
      </w:r>
      <w:r w:rsidR="00FD7510" w:rsidRPr="00FD7510">
        <w:rPr>
          <w:color w:val="000000" w:themeColor="text1"/>
        </w:rPr>
        <w:t>4.96</w:t>
      </w:r>
      <w:r w:rsidR="00FD7510" w:rsidRPr="00FD7510">
        <w:rPr>
          <w:bCs/>
          <w:color w:val="000000" w:themeColor="text1"/>
        </w:rPr>
        <w:t xml:space="preserve">, SD = </w:t>
      </w:r>
      <w:r w:rsidR="00FD7510" w:rsidRPr="00FD7510">
        <w:rPr>
          <w:color w:val="000000" w:themeColor="text1"/>
        </w:rPr>
        <w:t>1.37</w:t>
      </w:r>
      <w:r w:rsidR="00FD7510" w:rsidRPr="00FD7510">
        <w:rPr>
          <w:bCs/>
          <w:color w:val="000000" w:themeColor="text1"/>
        </w:rPr>
        <w:t>), and “Overall, I was satisfied with the coaching that I received” (</w:t>
      </w:r>
      <w:r w:rsidR="00FD7510" w:rsidRPr="00FD7510">
        <w:rPr>
          <w:bCs/>
          <w:i/>
          <w:iCs/>
          <w:color w:val="000000" w:themeColor="text1"/>
        </w:rPr>
        <w:t>M</w:t>
      </w:r>
      <w:r w:rsidR="00FD7510" w:rsidRPr="00FD7510">
        <w:rPr>
          <w:bCs/>
          <w:color w:val="000000" w:themeColor="text1"/>
        </w:rPr>
        <w:t xml:space="preserve"> = </w:t>
      </w:r>
      <w:r w:rsidR="00FD7510" w:rsidRPr="00FD7510">
        <w:rPr>
          <w:color w:val="000000" w:themeColor="text1"/>
        </w:rPr>
        <w:t>4.73</w:t>
      </w:r>
      <w:r w:rsidR="00FD7510" w:rsidRPr="00FD7510">
        <w:rPr>
          <w:bCs/>
          <w:color w:val="000000" w:themeColor="text1"/>
        </w:rPr>
        <w:t xml:space="preserve">, SD = </w:t>
      </w:r>
      <w:r w:rsidR="00FD7510" w:rsidRPr="00FD7510">
        <w:rPr>
          <w:color w:val="000000" w:themeColor="text1"/>
        </w:rPr>
        <w:t>1.43</w:t>
      </w:r>
      <w:r w:rsidR="00FD7510" w:rsidRPr="00FD7510">
        <w:rPr>
          <w:bCs/>
          <w:color w:val="000000" w:themeColor="text1"/>
        </w:rPr>
        <w:t>)</w:t>
      </w:r>
    </w:p>
    <w:p w14:paraId="411581AB" w14:textId="77777777" w:rsidR="00FA41C0" w:rsidRPr="00DF3895" w:rsidRDefault="00FA41C0" w:rsidP="00FA41C0">
      <w:pPr>
        <w:rPr>
          <w:b/>
          <w:color w:val="000000" w:themeColor="text1"/>
        </w:rPr>
      </w:pPr>
      <w:r w:rsidRPr="00DF3895">
        <w:rPr>
          <w:b/>
          <w:color w:val="000000" w:themeColor="text1"/>
        </w:rPr>
        <w:t>Treatment Adherence</w:t>
      </w:r>
    </w:p>
    <w:p w14:paraId="711C5E13" w14:textId="77777777" w:rsidR="00FA41C0" w:rsidRPr="00CD5E66" w:rsidRDefault="00FA41C0" w:rsidP="00FA41C0">
      <w:pPr>
        <w:rPr>
          <w:b/>
          <w:i/>
          <w:iCs/>
          <w:color w:val="5B9BD5" w:themeColor="accent1"/>
        </w:rPr>
      </w:pPr>
      <w:r w:rsidRPr="00CD5E66">
        <w:rPr>
          <w:b/>
          <w:i/>
          <w:iCs/>
          <w:color w:val="5B9BD5" w:themeColor="accent1"/>
        </w:rPr>
        <w:t xml:space="preserve"> </w:t>
      </w:r>
    </w:p>
    <w:p w14:paraId="71DFD94C" w14:textId="527B01A9" w:rsidR="0012316A" w:rsidRDefault="00FA41C0" w:rsidP="00FA41C0">
      <w:pPr>
        <w:spacing w:line="480" w:lineRule="auto"/>
        <w:rPr>
          <w:bCs/>
          <w:color w:val="000000" w:themeColor="text1"/>
        </w:rPr>
      </w:pPr>
      <w:r w:rsidRPr="00B718AA">
        <w:rPr>
          <w:b/>
          <w:color w:val="000000" w:themeColor="text1"/>
        </w:rPr>
        <w:tab/>
      </w:r>
      <w:r w:rsidR="00846775" w:rsidRPr="00B718AA">
        <w:rPr>
          <w:bCs/>
          <w:color w:val="000000" w:themeColor="text1"/>
        </w:rPr>
        <w:t>The average number of sessions completed by participants assigned to use the ACT website was 6.89 (SD = 5.71) by posttreatment.</w:t>
      </w:r>
      <w:r w:rsidR="005025C9">
        <w:rPr>
          <w:bCs/>
          <w:color w:val="000000" w:themeColor="text1"/>
        </w:rPr>
        <w:t xml:space="preserve"> At posttreatment, </w:t>
      </w:r>
      <w:r w:rsidR="00851658">
        <w:rPr>
          <w:bCs/>
          <w:color w:val="000000" w:themeColor="text1"/>
        </w:rPr>
        <w:t xml:space="preserve">out of the 38 individuals assigned to use the website, </w:t>
      </w:r>
      <w:r w:rsidR="003927EC">
        <w:rPr>
          <w:bCs/>
          <w:color w:val="000000" w:themeColor="text1"/>
        </w:rPr>
        <w:t xml:space="preserve">9 had completed no sessions, </w:t>
      </w:r>
      <w:r w:rsidR="00BF52AE">
        <w:rPr>
          <w:bCs/>
          <w:color w:val="000000" w:themeColor="text1"/>
        </w:rPr>
        <w:t>7 had completed between 2 and 4 sessions, 5 had completed between 5 and 7 sessions,</w:t>
      </w:r>
      <w:r w:rsidR="00483E58">
        <w:rPr>
          <w:bCs/>
          <w:color w:val="000000" w:themeColor="text1"/>
        </w:rPr>
        <w:t xml:space="preserve"> 4 had completed between 8 and 10 sessions, 8 had completed between 11 and 13 sessions, and </w:t>
      </w:r>
      <w:r w:rsidR="003777CE">
        <w:rPr>
          <w:bCs/>
          <w:color w:val="000000" w:themeColor="text1"/>
        </w:rPr>
        <w:t xml:space="preserve">only </w:t>
      </w:r>
      <w:r w:rsidR="00483E58">
        <w:rPr>
          <w:bCs/>
          <w:color w:val="000000" w:themeColor="text1"/>
        </w:rPr>
        <w:t>5 had completed all 16 sessions</w:t>
      </w:r>
      <w:r w:rsidR="003777CE">
        <w:rPr>
          <w:bCs/>
          <w:color w:val="000000" w:themeColor="text1"/>
        </w:rPr>
        <w:t>.</w:t>
      </w:r>
      <w:r w:rsidR="00BF52AE">
        <w:rPr>
          <w:bCs/>
          <w:color w:val="000000" w:themeColor="text1"/>
        </w:rPr>
        <w:t xml:space="preserve"> </w:t>
      </w:r>
      <w:r w:rsidR="003777CE">
        <w:rPr>
          <w:bCs/>
          <w:color w:val="000000" w:themeColor="text1"/>
        </w:rPr>
        <w:t xml:space="preserve">Thus, adherence was variable, but only a small minority (13.2%) completed all website content </w:t>
      </w:r>
      <w:r w:rsidR="00E9647F">
        <w:rPr>
          <w:bCs/>
          <w:color w:val="000000" w:themeColor="text1"/>
        </w:rPr>
        <w:t xml:space="preserve">within the planned timeframe. Although participants in the treatment condition could access all sessions at any time, they were encouraged to complete sessions in sequence and almost always did. </w:t>
      </w:r>
      <w:r w:rsidR="00E9647F">
        <w:rPr>
          <w:bCs/>
          <w:color w:val="000000" w:themeColor="text1"/>
        </w:rPr>
        <w:lastRenderedPageBreak/>
        <w:t xml:space="preserve">Thus, participants had greater exposure to topics covered in early sessions (e.g., acceptance, </w:t>
      </w:r>
      <w:proofErr w:type="spellStart"/>
      <w:r w:rsidR="00E9647F">
        <w:rPr>
          <w:bCs/>
          <w:color w:val="000000" w:themeColor="text1"/>
        </w:rPr>
        <w:t>defusion</w:t>
      </w:r>
      <w:proofErr w:type="spellEnd"/>
      <w:r w:rsidR="00E9647F">
        <w:rPr>
          <w:bCs/>
          <w:color w:val="000000" w:themeColor="text1"/>
        </w:rPr>
        <w:t>) compared to other topics (e.g., values, committed action).</w:t>
      </w:r>
      <w:r w:rsidR="0005344E">
        <w:rPr>
          <w:bCs/>
          <w:color w:val="000000" w:themeColor="text1"/>
        </w:rPr>
        <w:t xml:space="preserve"> </w:t>
      </w:r>
      <w:r w:rsidR="00B718AA" w:rsidRPr="00B718AA">
        <w:rPr>
          <w:bCs/>
          <w:color w:val="000000" w:themeColor="text1"/>
        </w:rPr>
        <w:t>The number of sessions a participant had done by posttreatment was not significantly related to SI-R change score (</w:t>
      </w:r>
      <w:r w:rsidR="00B25053" w:rsidRPr="00B718AA">
        <w:rPr>
          <w:bCs/>
          <w:i/>
          <w:iCs/>
          <w:color w:val="000000" w:themeColor="text1"/>
        </w:rPr>
        <w:t>b</w:t>
      </w:r>
      <w:r w:rsidR="00B25053" w:rsidRPr="00B718AA">
        <w:rPr>
          <w:bCs/>
          <w:color w:val="000000" w:themeColor="text1"/>
        </w:rPr>
        <w:t xml:space="preserve"> =</w:t>
      </w:r>
      <w:r w:rsidR="00B718AA" w:rsidRPr="00B718AA">
        <w:rPr>
          <w:bCs/>
          <w:color w:val="000000" w:themeColor="text1"/>
        </w:rPr>
        <w:t xml:space="preserve"> -0.21, SE = 0.47, </w:t>
      </w:r>
      <w:r w:rsidR="00B718AA" w:rsidRPr="00B718AA">
        <w:rPr>
          <w:bCs/>
          <w:i/>
          <w:iCs/>
          <w:color w:val="000000" w:themeColor="text1"/>
        </w:rPr>
        <w:t>p</w:t>
      </w:r>
      <w:r w:rsidR="00B718AA" w:rsidRPr="00B718AA">
        <w:rPr>
          <w:bCs/>
          <w:color w:val="000000" w:themeColor="text1"/>
        </w:rPr>
        <w:t xml:space="preserve"> = </w:t>
      </w:r>
      <w:r w:rsidR="0081563E">
        <w:rPr>
          <w:bCs/>
          <w:color w:val="000000" w:themeColor="text1"/>
        </w:rPr>
        <w:t>1</w:t>
      </w:r>
      <w:r w:rsidR="00B718AA" w:rsidRPr="00B718AA">
        <w:rPr>
          <w:bCs/>
          <w:color w:val="000000" w:themeColor="text1"/>
        </w:rPr>
        <w:t>).</w:t>
      </w:r>
      <w:r w:rsidR="00603870">
        <w:rPr>
          <w:bCs/>
          <w:color w:val="000000" w:themeColor="text1"/>
        </w:rPr>
        <w:t xml:space="preserve"> Baseline hoarding s</w:t>
      </w:r>
      <w:r w:rsidR="00E42B7C">
        <w:rPr>
          <w:bCs/>
          <w:color w:val="000000" w:themeColor="text1"/>
        </w:rPr>
        <w:t>everity did not significantly predict number of sessions completed (</w:t>
      </w:r>
      <w:r w:rsidR="00E42B7C">
        <w:rPr>
          <w:bCs/>
          <w:i/>
          <w:iCs/>
          <w:color w:val="000000" w:themeColor="text1"/>
        </w:rPr>
        <w:t>b</w:t>
      </w:r>
      <w:r w:rsidR="00E42B7C">
        <w:rPr>
          <w:bCs/>
          <w:color w:val="000000" w:themeColor="text1"/>
        </w:rPr>
        <w:t xml:space="preserve"> = </w:t>
      </w:r>
      <w:r w:rsidR="006E7CC7">
        <w:rPr>
          <w:bCs/>
          <w:color w:val="000000" w:themeColor="text1"/>
        </w:rPr>
        <w:t>-0.03, SE = 0.08</w:t>
      </w:r>
      <w:r w:rsidR="00A74419">
        <w:rPr>
          <w:bCs/>
          <w:color w:val="000000" w:themeColor="text1"/>
        </w:rPr>
        <w:t xml:space="preserve">, </w:t>
      </w:r>
      <w:r w:rsidR="00A74419">
        <w:rPr>
          <w:bCs/>
          <w:i/>
          <w:iCs/>
          <w:color w:val="000000" w:themeColor="text1"/>
        </w:rPr>
        <w:t>p</w:t>
      </w:r>
      <w:r w:rsidR="00A74419">
        <w:rPr>
          <w:bCs/>
          <w:color w:val="000000" w:themeColor="text1"/>
        </w:rPr>
        <w:t xml:space="preserve"> = </w:t>
      </w:r>
      <w:r w:rsidR="009E0EEA">
        <w:rPr>
          <w:bCs/>
          <w:color w:val="000000" w:themeColor="text1"/>
        </w:rPr>
        <w:t>1</w:t>
      </w:r>
      <w:r w:rsidR="006E7CC7">
        <w:rPr>
          <w:bCs/>
          <w:color w:val="000000" w:themeColor="text1"/>
        </w:rPr>
        <w:t>).</w:t>
      </w:r>
      <w:r w:rsidR="00B718AA">
        <w:rPr>
          <w:bCs/>
          <w:color w:val="000000" w:themeColor="text1"/>
        </w:rPr>
        <w:t xml:space="preserve"> Regarding treatment dropout, there was only one individual who explicitly withdrew from participating in the study (see Figure 1).</w:t>
      </w:r>
    </w:p>
    <w:p w14:paraId="4FA7E866" w14:textId="22FC8FC2" w:rsidR="0000716F" w:rsidRDefault="0000716F" w:rsidP="00FA41C0">
      <w:pPr>
        <w:spacing w:line="480" w:lineRule="auto"/>
        <w:rPr>
          <w:bCs/>
          <w:color w:val="000000" w:themeColor="text1"/>
        </w:rPr>
      </w:pPr>
      <w:r>
        <w:tab/>
        <w:t>I</w:t>
      </w:r>
      <w:r w:rsidRPr="000D74EB">
        <w:t>nitial phone</w:t>
      </w:r>
      <w:r>
        <w:t xml:space="preserve"> coaching</w:t>
      </w:r>
      <w:r w:rsidRPr="000D74EB">
        <w:t xml:space="preserve"> call length ranged from 12 to 28 minutes (</w:t>
      </w:r>
      <w:r w:rsidRPr="00BF0746">
        <w:rPr>
          <w:i/>
          <w:iCs/>
        </w:rPr>
        <w:t>M</w:t>
      </w:r>
      <w:r w:rsidRPr="000D74EB">
        <w:t xml:space="preserve"> = 19.05 minutes, </w:t>
      </w:r>
      <w:r w:rsidRPr="00BF0746">
        <w:rPr>
          <w:i/>
          <w:iCs/>
        </w:rPr>
        <w:t>SD</w:t>
      </w:r>
      <w:r w:rsidRPr="000D74EB">
        <w:t xml:space="preserve"> = 5.07), while 28.95% of participants (n = 11) never scheduled a phone call</w:t>
      </w:r>
      <w:r>
        <w:t xml:space="preserve"> to begin coaching</w:t>
      </w:r>
      <w:r w:rsidRPr="000D74EB">
        <w:t>, and 2.63% (n = 1) opted to begin coaching over email instead. On average, coaches spent 32.92 minutes (</w:t>
      </w:r>
      <w:r w:rsidRPr="001A476D">
        <w:rPr>
          <w:i/>
          <w:iCs/>
        </w:rPr>
        <w:t>SD</w:t>
      </w:r>
      <w:r w:rsidRPr="000D74EB">
        <w:t xml:space="preserve"> = 18.14) emailing each participant. Overall, approximately 52 minutes of </w:t>
      </w:r>
      <w:r>
        <w:t xml:space="preserve">total </w:t>
      </w:r>
      <w:r w:rsidRPr="000D74EB">
        <w:t xml:space="preserve">coaching time </w:t>
      </w:r>
      <w:r>
        <w:t xml:space="preserve">(phone and email) </w:t>
      </w:r>
      <w:r w:rsidRPr="000D74EB">
        <w:t>was required per participant</w:t>
      </w:r>
      <w:r>
        <w:t xml:space="preserve"> on average</w:t>
      </w:r>
      <w:r w:rsidRPr="000D74EB">
        <w:t>.</w:t>
      </w:r>
    </w:p>
    <w:p w14:paraId="79863485" w14:textId="698D5724" w:rsidR="00B718AA" w:rsidRPr="00B718AA" w:rsidRDefault="00B718AA" w:rsidP="00FA41C0">
      <w:pPr>
        <w:spacing w:line="480" w:lineRule="auto"/>
        <w:rPr>
          <w:bCs/>
          <w:color w:val="000000" w:themeColor="text1"/>
        </w:rPr>
      </w:pPr>
      <w:r>
        <w:rPr>
          <w:b/>
          <w:color w:val="000000" w:themeColor="text1"/>
        </w:rPr>
        <w:t>Outcome Analyses</w:t>
      </w:r>
    </w:p>
    <w:p w14:paraId="76EA5A9C" w14:textId="27B1BB04" w:rsidR="00B718AA" w:rsidRDefault="00B718AA" w:rsidP="00FA41C0">
      <w:pPr>
        <w:spacing w:line="480" w:lineRule="auto"/>
        <w:rPr>
          <w:bCs/>
          <w:color w:val="000000" w:themeColor="text1"/>
        </w:rPr>
      </w:pPr>
      <w:r>
        <w:rPr>
          <w:bCs/>
          <w:color w:val="000000" w:themeColor="text1"/>
        </w:rPr>
        <w:tab/>
      </w:r>
      <w:r w:rsidR="002E08DC">
        <w:rPr>
          <w:bCs/>
          <w:color w:val="000000" w:themeColor="text1"/>
        </w:rPr>
        <w:t>Random slopes were found to significantly improve the fit of models for all dependent variables (</w:t>
      </w:r>
      <w:proofErr w:type="spellStart"/>
      <w:r w:rsidR="002E08DC">
        <w:rPr>
          <w:bCs/>
          <w:i/>
          <w:iCs/>
          <w:color w:val="000000" w:themeColor="text1"/>
        </w:rPr>
        <w:t>p</w:t>
      </w:r>
      <w:r w:rsidR="002E08DC">
        <w:rPr>
          <w:bCs/>
          <w:color w:val="000000" w:themeColor="text1"/>
        </w:rPr>
        <w:t>s</w:t>
      </w:r>
      <w:proofErr w:type="spellEnd"/>
      <w:r w:rsidR="002E08DC">
        <w:rPr>
          <w:bCs/>
          <w:color w:val="000000" w:themeColor="text1"/>
        </w:rPr>
        <w:t xml:space="preserve"> &lt; .05) and were consequently retained.</w:t>
      </w:r>
    </w:p>
    <w:p w14:paraId="0F8C9799" w14:textId="5F61C2D6" w:rsidR="002E08DC" w:rsidRDefault="002E08DC" w:rsidP="00FA41C0">
      <w:pPr>
        <w:spacing w:line="480" w:lineRule="auto"/>
        <w:rPr>
          <w:bCs/>
          <w:color w:val="000000" w:themeColor="text1"/>
        </w:rPr>
      </w:pPr>
      <w:r>
        <w:rPr>
          <w:bCs/>
          <w:color w:val="000000" w:themeColor="text1"/>
        </w:rPr>
        <w:tab/>
        <w:t xml:space="preserve">The interaction of time and condition significantly predicted </w:t>
      </w:r>
      <w:r w:rsidR="00C3258F">
        <w:rPr>
          <w:bCs/>
          <w:color w:val="000000" w:themeColor="text1"/>
        </w:rPr>
        <w:t>SI-R total</w:t>
      </w:r>
      <w:r w:rsidR="00D50057">
        <w:rPr>
          <w:bCs/>
          <w:color w:val="000000" w:themeColor="text1"/>
        </w:rPr>
        <w:t xml:space="preserve"> (the pre-specified primary outcome</w:t>
      </w:r>
      <w:r w:rsidR="00380A64">
        <w:rPr>
          <w:bCs/>
          <w:color w:val="000000" w:themeColor="text1"/>
        </w:rPr>
        <w:t xml:space="preserve">), </w:t>
      </w:r>
      <w:r w:rsidR="00380A64" w:rsidRPr="002E08DC">
        <w:rPr>
          <w:bCs/>
          <w:color w:val="000000" w:themeColor="text1"/>
        </w:rPr>
        <w:t>SI-R Difficulty Discarding, SI-R Excessive Acquisition, SDS total, SDS Social/Leisure</w:t>
      </w:r>
      <w:r w:rsidR="00380A64" w:rsidRPr="002E08DC">
        <w:rPr>
          <w:color w:val="000000" w:themeColor="text1"/>
        </w:rPr>
        <w:t xml:space="preserve">, </w:t>
      </w:r>
      <w:r w:rsidR="00380A64" w:rsidRPr="002E08DC">
        <w:rPr>
          <w:bCs/>
          <w:color w:val="000000" w:themeColor="text1"/>
        </w:rPr>
        <w:t>SDS Family/Home</w:t>
      </w:r>
      <w:r w:rsidR="00380A64" w:rsidRPr="002E08DC">
        <w:rPr>
          <w:color w:val="000000" w:themeColor="text1"/>
        </w:rPr>
        <w:t xml:space="preserve">, </w:t>
      </w:r>
      <w:r w:rsidR="00380A64" w:rsidRPr="002E08DC">
        <w:rPr>
          <w:bCs/>
          <w:color w:val="000000" w:themeColor="text1"/>
        </w:rPr>
        <w:t>CGI-I, GHQ-12, and VQ Progress</w:t>
      </w:r>
      <w:r>
        <w:rPr>
          <w:bCs/>
          <w:color w:val="000000" w:themeColor="text1"/>
        </w:rPr>
        <w:t xml:space="preserve">, with superior outcomes for the ACT website condition relative to the waitlist (see Table </w:t>
      </w:r>
      <w:r w:rsidR="00080824">
        <w:rPr>
          <w:bCs/>
          <w:color w:val="000000" w:themeColor="text1"/>
        </w:rPr>
        <w:t>4</w:t>
      </w:r>
      <w:r>
        <w:rPr>
          <w:bCs/>
          <w:color w:val="000000" w:themeColor="text1"/>
        </w:rPr>
        <w:t>).</w:t>
      </w:r>
      <w:r w:rsidR="009748D2">
        <w:rPr>
          <w:bCs/>
          <w:color w:val="000000" w:themeColor="text1"/>
        </w:rPr>
        <w:t xml:space="preserve"> Time by condition did not significantly predict</w:t>
      </w:r>
      <w:r w:rsidR="00517FDB">
        <w:rPr>
          <w:bCs/>
          <w:color w:val="000000" w:themeColor="text1"/>
        </w:rPr>
        <w:t xml:space="preserve"> SIR Clutter or SDS Work using Holm-adjusted </w:t>
      </w:r>
      <w:r w:rsidR="009E0EEA" w:rsidRPr="00A81ED6">
        <w:rPr>
          <w:bCs/>
          <w:color w:val="000000" w:themeColor="text1"/>
        </w:rPr>
        <w:t>p</w:t>
      </w:r>
      <w:r w:rsidR="009E0EEA">
        <w:rPr>
          <w:bCs/>
          <w:color w:val="000000" w:themeColor="text1"/>
        </w:rPr>
        <w:t>-value</w:t>
      </w:r>
      <w:r w:rsidR="00517FDB" w:rsidRPr="009E0EEA">
        <w:rPr>
          <w:bCs/>
          <w:color w:val="000000" w:themeColor="text1"/>
        </w:rPr>
        <w:t>s</w:t>
      </w:r>
      <w:r w:rsidR="00517FDB">
        <w:rPr>
          <w:bCs/>
          <w:color w:val="000000" w:themeColor="text1"/>
        </w:rPr>
        <w:t>.</w:t>
      </w:r>
      <w:r>
        <w:rPr>
          <w:bCs/>
          <w:color w:val="000000" w:themeColor="text1"/>
        </w:rPr>
        <w:t xml:space="preserve"> </w:t>
      </w:r>
    </w:p>
    <w:p w14:paraId="1C4EF4D8" w14:textId="77777777" w:rsidR="006374C8" w:rsidRPr="00FD6A4F" w:rsidRDefault="006374C8" w:rsidP="006374C8">
      <w:pPr>
        <w:contextualSpacing/>
        <w:rPr>
          <w:i/>
          <w:iCs/>
          <w:color w:val="000000" w:themeColor="text1"/>
        </w:rPr>
      </w:pPr>
    </w:p>
    <w:tbl>
      <w:tblPr>
        <w:tblStyle w:val="TableGrid"/>
        <w:tblW w:w="8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1"/>
        <w:gridCol w:w="1082"/>
        <w:gridCol w:w="1325"/>
        <w:gridCol w:w="1851"/>
        <w:gridCol w:w="1322"/>
        <w:gridCol w:w="1163"/>
      </w:tblGrid>
      <w:tr w:rsidR="009E0EEA" w:rsidRPr="00FD6A4F" w14:paraId="1451CE95" w14:textId="77777777" w:rsidTr="00A81ED6">
        <w:tc>
          <w:tcPr>
            <w:tcW w:w="1601" w:type="dxa"/>
            <w:tcBorders>
              <w:top w:val="single" w:sz="4" w:space="0" w:color="auto"/>
              <w:bottom w:val="single" w:sz="4" w:space="0" w:color="auto"/>
            </w:tcBorders>
          </w:tcPr>
          <w:p w14:paraId="1C13CFF2" w14:textId="77777777" w:rsidR="009E0EEA" w:rsidRPr="00FD6A4F" w:rsidRDefault="009E0EEA">
            <w:pPr>
              <w:jc w:val="center"/>
              <w:rPr>
                <w:color w:val="000000" w:themeColor="text1"/>
              </w:rPr>
            </w:pPr>
            <w:r w:rsidRPr="00FD6A4F">
              <w:rPr>
                <w:color w:val="000000" w:themeColor="text1"/>
              </w:rPr>
              <w:t>Outcome</w:t>
            </w:r>
          </w:p>
        </w:tc>
        <w:tc>
          <w:tcPr>
            <w:tcW w:w="1082" w:type="dxa"/>
            <w:tcBorders>
              <w:top w:val="single" w:sz="4" w:space="0" w:color="auto"/>
              <w:bottom w:val="single" w:sz="4" w:space="0" w:color="auto"/>
            </w:tcBorders>
          </w:tcPr>
          <w:p w14:paraId="3F1D49B6" w14:textId="77777777" w:rsidR="009E0EEA" w:rsidRPr="00FD6A4F" w:rsidRDefault="009E0EEA">
            <w:pPr>
              <w:jc w:val="center"/>
              <w:rPr>
                <w:color w:val="000000" w:themeColor="text1"/>
              </w:rPr>
            </w:pPr>
            <w:r w:rsidRPr="00FD6A4F">
              <w:rPr>
                <w:color w:val="000000" w:themeColor="text1"/>
              </w:rPr>
              <w:t xml:space="preserve">Time </w:t>
            </w:r>
            <w:r w:rsidRPr="00FD6A4F">
              <w:rPr>
                <w:i/>
                <w:iCs/>
                <w:color w:val="000000" w:themeColor="text1"/>
              </w:rPr>
              <w:sym w:font="Symbol" w:char="F062"/>
            </w:r>
          </w:p>
        </w:tc>
        <w:tc>
          <w:tcPr>
            <w:tcW w:w="1325" w:type="dxa"/>
            <w:tcBorders>
              <w:top w:val="single" w:sz="4" w:space="0" w:color="auto"/>
              <w:bottom w:val="single" w:sz="4" w:space="0" w:color="auto"/>
            </w:tcBorders>
          </w:tcPr>
          <w:p w14:paraId="61A199F1" w14:textId="77777777" w:rsidR="009E0EEA" w:rsidRPr="00FD6A4F" w:rsidRDefault="009E0EEA">
            <w:pPr>
              <w:jc w:val="center"/>
              <w:rPr>
                <w:color w:val="000000" w:themeColor="text1"/>
              </w:rPr>
            </w:pPr>
            <w:r w:rsidRPr="00FD6A4F">
              <w:rPr>
                <w:color w:val="000000" w:themeColor="text1"/>
              </w:rPr>
              <w:t xml:space="preserve">Condition </w:t>
            </w:r>
            <w:r w:rsidRPr="00FD6A4F">
              <w:rPr>
                <w:i/>
                <w:iCs/>
                <w:color w:val="000000" w:themeColor="text1"/>
              </w:rPr>
              <w:sym w:font="Symbol" w:char="F062"/>
            </w:r>
          </w:p>
        </w:tc>
        <w:tc>
          <w:tcPr>
            <w:tcW w:w="1851" w:type="dxa"/>
            <w:tcBorders>
              <w:top w:val="single" w:sz="4" w:space="0" w:color="auto"/>
              <w:bottom w:val="single" w:sz="4" w:space="0" w:color="auto"/>
            </w:tcBorders>
          </w:tcPr>
          <w:p w14:paraId="0F9B8FB1" w14:textId="77777777" w:rsidR="009E0EEA" w:rsidRPr="00FD6A4F" w:rsidRDefault="009E0EEA">
            <w:pPr>
              <w:jc w:val="center"/>
              <w:rPr>
                <w:color w:val="000000" w:themeColor="text1"/>
              </w:rPr>
            </w:pPr>
            <w:r w:rsidRPr="00FD6A4F">
              <w:rPr>
                <w:color w:val="000000" w:themeColor="text1"/>
              </w:rPr>
              <w:t xml:space="preserve">Time*Condition </w:t>
            </w:r>
            <w:r w:rsidRPr="00FD6A4F">
              <w:rPr>
                <w:i/>
                <w:iCs/>
                <w:color w:val="000000" w:themeColor="text1"/>
              </w:rPr>
              <w:sym w:font="Symbol" w:char="F062"/>
            </w:r>
          </w:p>
        </w:tc>
        <w:tc>
          <w:tcPr>
            <w:tcW w:w="1322" w:type="dxa"/>
            <w:tcBorders>
              <w:top w:val="single" w:sz="4" w:space="0" w:color="auto"/>
              <w:bottom w:val="single" w:sz="4" w:space="0" w:color="auto"/>
            </w:tcBorders>
          </w:tcPr>
          <w:p w14:paraId="0391C5F5" w14:textId="4F68FBD3" w:rsidR="009E0EEA" w:rsidRPr="00EA15F4" w:rsidRDefault="009E0EEA">
            <w:pPr>
              <w:jc w:val="center"/>
              <w:rPr>
                <w:color w:val="000000" w:themeColor="text1"/>
              </w:rPr>
            </w:pPr>
            <w:r>
              <w:rPr>
                <w:color w:val="000000" w:themeColor="text1"/>
              </w:rPr>
              <w:t xml:space="preserve">Holm-adjusted </w:t>
            </w:r>
            <w:r>
              <w:rPr>
                <w:i/>
                <w:iCs/>
                <w:color w:val="000000" w:themeColor="text1"/>
              </w:rPr>
              <w:t>p</w:t>
            </w:r>
            <w:r>
              <w:rPr>
                <w:color w:val="000000" w:themeColor="text1"/>
              </w:rPr>
              <w:t xml:space="preserve"> value</w:t>
            </w:r>
          </w:p>
        </w:tc>
        <w:tc>
          <w:tcPr>
            <w:tcW w:w="1163" w:type="dxa"/>
            <w:tcBorders>
              <w:top w:val="single" w:sz="4" w:space="0" w:color="auto"/>
              <w:bottom w:val="single" w:sz="4" w:space="0" w:color="auto"/>
            </w:tcBorders>
          </w:tcPr>
          <w:p w14:paraId="5DE4244F" w14:textId="3160FA66" w:rsidR="009E0EEA" w:rsidRPr="00FD6A4F" w:rsidRDefault="009E0EEA">
            <w:pPr>
              <w:jc w:val="center"/>
              <w:rPr>
                <w:color w:val="000000" w:themeColor="text1"/>
              </w:rPr>
            </w:pPr>
            <w:r w:rsidRPr="00FD6A4F">
              <w:rPr>
                <w:color w:val="000000" w:themeColor="text1"/>
              </w:rPr>
              <w:t xml:space="preserve">Baseline CGI-I </w:t>
            </w:r>
            <w:r w:rsidRPr="00FD6A4F">
              <w:rPr>
                <w:i/>
                <w:iCs/>
                <w:color w:val="000000" w:themeColor="text1"/>
              </w:rPr>
              <w:sym w:font="Symbol" w:char="F062"/>
            </w:r>
          </w:p>
        </w:tc>
      </w:tr>
      <w:tr w:rsidR="009E0EEA" w:rsidRPr="00FD6A4F" w14:paraId="180DEE6C" w14:textId="77777777" w:rsidTr="00A81ED6">
        <w:tc>
          <w:tcPr>
            <w:tcW w:w="1601" w:type="dxa"/>
            <w:tcBorders>
              <w:top w:val="single" w:sz="4" w:space="0" w:color="auto"/>
            </w:tcBorders>
          </w:tcPr>
          <w:p w14:paraId="216EE27A" w14:textId="77777777" w:rsidR="009E0EEA" w:rsidRPr="00FD6A4F" w:rsidRDefault="009E0EEA">
            <w:pPr>
              <w:rPr>
                <w:i/>
                <w:iCs/>
                <w:color w:val="000000" w:themeColor="text1"/>
              </w:rPr>
            </w:pPr>
          </w:p>
        </w:tc>
        <w:tc>
          <w:tcPr>
            <w:tcW w:w="1082" w:type="dxa"/>
            <w:tcBorders>
              <w:top w:val="single" w:sz="4" w:space="0" w:color="auto"/>
            </w:tcBorders>
          </w:tcPr>
          <w:p w14:paraId="35F32C93" w14:textId="77777777" w:rsidR="009E0EEA" w:rsidRPr="00FD6A4F" w:rsidRDefault="009E0EEA">
            <w:pPr>
              <w:rPr>
                <w:i/>
                <w:iCs/>
                <w:color w:val="000000" w:themeColor="text1"/>
              </w:rPr>
            </w:pPr>
          </w:p>
        </w:tc>
        <w:tc>
          <w:tcPr>
            <w:tcW w:w="1325" w:type="dxa"/>
            <w:tcBorders>
              <w:top w:val="single" w:sz="4" w:space="0" w:color="auto"/>
            </w:tcBorders>
          </w:tcPr>
          <w:p w14:paraId="4D01DD77" w14:textId="77777777" w:rsidR="009E0EEA" w:rsidRPr="00FD6A4F" w:rsidRDefault="009E0EEA">
            <w:pPr>
              <w:rPr>
                <w:i/>
                <w:iCs/>
                <w:color w:val="000000" w:themeColor="text1"/>
              </w:rPr>
            </w:pPr>
          </w:p>
        </w:tc>
        <w:tc>
          <w:tcPr>
            <w:tcW w:w="1851" w:type="dxa"/>
            <w:tcBorders>
              <w:top w:val="single" w:sz="4" w:space="0" w:color="auto"/>
            </w:tcBorders>
          </w:tcPr>
          <w:p w14:paraId="5B9A04CE" w14:textId="77777777" w:rsidR="009E0EEA" w:rsidRPr="00FD6A4F" w:rsidRDefault="009E0EEA">
            <w:pPr>
              <w:rPr>
                <w:i/>
                <w:iCs/>
                <w:color w:val="000000" w:themeColor="text1"/>
              </w:rPr>
            </w:pPr>
          </w:p>
        </w:tc>
        <w:tc>
          <w:tcPr>
            <w:tcW w:w="1322" w:type="dxa"/>
            <w:tcBorders>
              <w:top w:val="single" w:sz="4" w:space="0" w:color="auto"/>
            </w:tcBorders>
          </w:tcPr>
          <w:p w14:paraId="1E70CB9B" w14:textId="77777777" w:rsidR="009E0EEA" w:rsidRPr="00FD6A4F" w:rsidRDefault="009E0EEA">
            <w:pPr>
              <w:rPr>
                <w:i/>
                <w:iCs/>
                <w:color w:val="000000" w:themeColor="text1"/>
              </w:rPr>
            </w:pPr>
          </w:p>
        </w:tc>
        <w:tc>
          <w:tcPr>
            <w:tcW w:w="1163" w:type="dxa"/>
            <w:tcBorders>
              <w:top w:val="single" w:sz="4" w:space="0" w:color="auto"/>
            </w:tcBorders>
          </w:tcPr>
          <w:p w14:paraId="3EB7463A" w14:textId="6B6E74A9" w:rsidR="009E0EEA" w:rsidRPr="00FD6A4F" w:rsidRDefault="009E0EEA">
            <w:pPr>
              <w:rPr>
                <w:i/>
                <w:iCs/>
                <w:color w:val="000000" w:themeColor="text1"/>
              </w:rPr>
            </w:pPr>
          </w:p>
        </w:tc>
      </w:tr>
      <w:tr w:rsidR="009E0EEA" w:rsidRPr="00FD6A4F" w14:paraId="0D247140" w14:textId="77777777" w:rsidTr="00A81ED6">
        <w:tc>
          <w:tcPr>
            <w:tcW w:w="1601" w:type="dxa"/>
          </w:tcPr>
          <w:p w14:paraId="6980666B" w14:textId="77777777" w:rsidR="009E0EEA" w:rsidRPr="00FD6A4F" w:rsidRDefault="009E0EEA">
            <w:pPr>
              <w:rPr>
                <w:color w:val="000000" w:themeColor="text1"/>
              </w:rPr>
            </w:pPr>
            <w:r w:rsidRPr="00FD6A4F">
              <w:rPr>
                <w:color w:val="000000" w:themeColor="text1"/>
              </w:rPr>
              <w:t>SI-R Total</w:t>
            </w:r>
          </w:p>
        </w:tc>
        <w:tc>
          <w:tcPr>
            <w:tcW w:w="1082" w:type="dxa"/>
          </w:tcPr>
          <w:p w14:paraId="7DE6181E" w14:textId="77777777" w:rsidR="009E0EEA" w:rsidRPr="00FD6A4F" w:rsidRDefault="009E0EEA">
            <w:pPr>
              <w:jc w:val="center"/>
              <w:rPr>
                <w:color w:val="000000" w:themeColor="text1"/>
              </w:rPr>
            </w:pPr>
            <w:r w:rsidRPr="00FD6A4F">
              <w:rPr>
                <w:color w:val="000000" w:themeColor="text1"/>
              </w:rPr>
              <w:t>-0.59***</w:t>
            </w:r>
          </w:p>
        </w:tc>
        <w:tc>
          <w:tcPr>
            <w:tcW w:w="1325" w:type="dxa"/>
          </w:tcPr>
          <w:p w14:paraId="7F3843C3" w14:textId="77777777" w:rsidR="009E0EEA" w:rsidRPr="00FD6A4F" w:rsidRDefault="009E0EEA">
            <w:pPr>
              <w:jc w:val="center"/>
              <w:rPr>
                <w:color w:val="000000" w:themeColor="text1"/>
              </w:rPr>
            </w:pPr>
            <w:r w:rsidRPr="00FD6A4F">
              <w:rPr>
                <w:color w:val="000000" w:themeColor="text1"/>
              </w:rPr>
              <w:t>0.04</w:t>
            </w:r>
          </w:p>
        </w:tc>
        <w:tc>
          <w:tcPr>
            <w:tcW w:w="1851" w:type="dxa"/>
          </w:tcPr>
          <w:p w14:paraId="2C8C7C43" w14:textId="1DD5498E" w:rsidR="009E0EEA" w:rsidRPr="00FD6A4F" w:rsidRDefault="009E0EEA">
            <w:pPr>
              <w:jc w:val="center"/>
              <w:rPr>
                <w:color w:val="000000" w:themeColor="text1"/>
              </w:rPr>
            </w:pPr>
            <w:r w:rsidRPr="00FD6A4F">
              <w:rPr>
                <w:color w:val="000000" w:themeColor="text1"/>
              </w:rPr>
              <w:t>-0.74</w:t>
            </w:r>
            <w:r w:rsidR="00123749">
              <w:rPr>
                <w:color w:val="000000" w:themeColor="text1"/>
              </w:rPr>
              <w:t>*</w:t>
            </w:r>
          </w:p>
        </w:tc>
        <w:tc>
          <w:tcPr>
            <w:tcW w:w="1322" w:type="dxa"/>
          </w:tcPr>
          <w:p w14:paraId="1BA76609" w14:textId="3CFFE5CA" w:rsidR="009E0EEA" w:rsidRPr="00FD6A4F" w:rsidRDefault="009E0EEA">
            <w:pPr>
              <w:jc w:val="center"/>
              <w:rPr>
                <w:color w:val="000000" w:themeColor="text1"/>
              </w:rPr>
            </w:pPr>
            <w:r w:rsidRPr="00191455">
              <w:rPr>
                <w:color w:val="000000" w:themeColor="text1"/>
              </w:rPr>
              <w:t>0.0</w:t>
            </w:r>
            <w:r w:rsidR="003E6AC1">
              <w:rPr>
                <w:color w:val="000000" w:themeColor="text1"/>
              </w:rPr>
              <w:t>1</w:t>
            </w:r>
          </w:p>
        </w:tc>
        <w:tc>
          <w:tcPr>
            <w:tcW w:w="1163" w:type="dxa"/>
          </w:tcPr>
          <w:p w14:paraId="2487E9E3" w14:textId="53E2CA37" w:rsidR="009E0EEA" w:rsidRPr="00FD6A4F" w:rsidRDefault="009E0EEA">
            <w:pPr>
              <w:jc w:val="center"/>
              <w:rPr>
                <w:color w:val="000000" w:themeColor="text1"/>
              </w:rPr>
            </w:pPr>
            <w:r w:rsidRPr="00FD6A4F">
              <w:rPr>
                <w:color w:val="000000" w:themeColor="text1"/>
              </w:rPr>
              <w:t>0.14</w:t>
            </w:r>
          </w:p>
        </w:tc>
      </w:tr>
      <w:tr w:rsidR="009E0EEA" w:rsidRPr="00FD6A4F" w14:paraId="201055A4" w14:textId="77777777" w:rsidTr="00A81ED6">
        <w:tc>
          <w:tcPr>
            <w:tcW w:w="1601" w:type="dxa"/>
          </w:tcPr>
          <w:p w14:paraId="4A19582D" w14:textId="77777777" w:rsidR="009E0EEA" w:rsidRPr="00FD6A4F" w:rsidRDefault="009E0EEA">
            <w:pPr>
              <w:rPr>
                <w:color w:val="000000" w:themeColor="text1"/>
              </w:rPr>
            </w:pPr>
            <w:r w:rsidRPr="00FD6A4F">
              <w:rPr>
                <w:color w:val="000000" w:themeColor="text1"/>
              </w:rPr>
              <w:lastRenderedPageBreak/>
              <w:t>SI-R Difficulty Discarding</w:t>
            </w:r>
          </w:p>
        </w:tc>
        <w:tc>
          <w:tcPr>
            <w:tcW w:w="1082" w:type="dxa"/>
          </w:tcPr>
          <w:p w14:paraId="49588B77" w14:textId="77777777" w:rsidR="009E0EEA" w:rsidRPr="00FD6A4F" w:rsidRDefault="009E0EEA">
            <w:pPr>
              <w:jc w:val="center"/>
              <w:rPr>
                <w:color w:val="000000" w:themeColor="text1"/>
              </w:rPr>
            </w:pPr>
            <w:r w:rsidRPr="00FD6A4F">
              <w:rPr>
                <w:color w:val="000000" w:themeColor="text1"/>
              </w:rPr>
              <w:t>-0.46**</w:t>
            </w:r>
          </w:p>
        </w:tc>
        <w:tc>
          <w:tcPr>
            <w:tcW w:w="1325" w:type="dxa"/>
          </w:tcPr>
          <w:p w14:paraId="64EB3B41" w14:textId="77777777" w:rsidR="009E0EEA" w:rsidRPr="00FD6A4F" w:rsidRDefault="009E0EEA">
            <w:pPr>
              <w:jc w:val="center"/>
              <w:rPr>
                <w:color w:val="000000" w:themeColor="text1"/>
              </w:rPr>
            </w:pPr>
            <w:r w:rsidRPr="00FD6A4F">
              <w:rPr>
                <w:color w:val="000000" w:themeColor="text1"/>
              </w:rPr>
              <w:t>0.11</w:t>
            </w:r>
          </w:p>
        </w:tc>
        <w:tc>
          <w:tcPr>
            <w:tcW w:w="1851" w:type="dxa"/>
          </w:tcPr>
          <w:p w14:paraId="2F4D2373" w14:textId="3C9E0B1C" w:rsidR="009E0EEA" w:rsidRPr="00FD6A4F" w:rsidRDefault="009E0EEA">
            <w:pPr>
              <w:jc w:val="center"/>
              <w:rPr>
                <w:color w:val="000000" w:themeColor="text1"/>
              </w:rPr>
            </w:pPr>
            <w:r w:rsidRPr="00FD6A4F">
              <w:rPr>
                <w:color w:val="000000" w:themeColor="text1"/>
              </w:rPr>
              <w:t>-0.74</w:t>
            </w:r>
            <w:r w:rsidR="00C97472">
              <w:rPr>
                <w:color w:val="000000" w:themeColor="text1"/>
              </w:rPr>
              <w:t>*</w:t>
            </w:r>
          </w:p>
        </w:tc>
        <w:tc>
          <w:tcPr>
            <w:tcW w:w="1322" w:type="dxa"/>
          </w:tcPr>
          <w:p w14:paraId="2E586147" w14:textId="0925210A" w:rsidR="009E0EEA" w:rsidRPr="00FD6A4F" w:rsidRDefault="009E0EEA">
            <w:pPr>
              <w:jc w:val="center"/>
              <w:rPr>
                <w:color w:val="000000" w:themeColor="text1"/>
              </w:rPr>
            </w:pPr>
            <w:r w:rsidRPr="00191455">
              <w:rPr>
                <w:color w:val="000000" w:themeColor="text1"/>
              </w:rPr>
              <w:t>0.0</w:t>
            </w:r>
            <w:r w:rsidR="00717993">
              <w:rPr>
                <w:color w:val="000000" w:themeColor="text1"/>
              </w:rPr>
              <w:t>2</w:t>
            </w:r>
          </w:p>
        </w:tc>
        <w:tc>
          <w:tcPr>
            <w:tcW w:w="1163" w:type="dxa"/>
          </w:tcPr>
          <w:p w14:paraId="3D55CFC4" w14:textId="4CEA3C21" w:rsidR="009E0EEA" w:rsidRPr="00FD6A4F" w:rsidRDefault="009E0EEA">
            <w:pPr>
              <w:jc w:val="center"/>
              <w:rPr>
                <w:color w:val="000000" w:themeColor="text1"/>
              </w:rPr>
            </w:pPr>
            <w:r w:rsidRPr="00FD6A4F">
              <w:rPr>
                <w:color w:val="000000" w:themeColor="text1"/>
              </w:rPr>
              <w:t>0.07</w:t>
            </w:r>
          </w:p>
        </w:tc>
      </w:tr>
      <w:tr w:rsidR="009E0EEA" w:rsidRPr="00FD6A4F" w14:paraId="49B12E24" w14:textId="77777777" w:rsidTr="00A81ED6">
        <w:tc>
          <w:tcPr>
            <w:tcW w:w="1601" w:type="dxa"/>
          </w:tcPr>
          <w:p w14:paraId="2DB23A56" w14:textId="77777777" w:rsidR="009E0EEA" w:rsidRPr="00FD6A4F" w:rsidRDefault="009E0EEA">
            <w:pPr>
              <w:rPr>
                <w:color w:val="000000" w:themeColor="text1"/>
              </w:rPr>
            </w:pPr>
            <w:r w:rsidRPr="00FD6A4F">
              <w:rPr>
                <w:color w:val="000000" w:themeColor="text1"/>
              </w:rPr>
              <w:t>SI-R Excessive Acquisition</w:t>
            </w:r>
          </w:p>
        </w:tc>
        <w:tc>
          <w:tcPr>
            <w:tcW w:w="1082" w:type="dxa"/>
          </w:tcPr>
          <w:p w14:paraId="2974D334" w14:textId="77777777" w:rsidR="009E0EEA" w:rsidRPr="00FD6A4F" w:rsidRDefault="009E0EEA">
            <w:pPr>
              <w:jc w:val="center"/>
              <w:rPr>
                <w:color w:val="000000" w:themeColor="text1"/>
              </w:rPr>
            </w:pPr>
            <w:r w:rsidRPr="00FD6A4F">
              <w:rPr>
                <w:color w:val="000000" w:themeColor="text1"/>
              </w:rPr>
              <w:t>-0.51***</w:t>
            </w:r>
          </w:p>
        </w:tc>
        <w:tc>
          <w:tcPr>
            <w:tcW w:w="1325" w:type="dxa"/>
          </w:tcPr>
          <w:p w14:paraId="01D74331" w14:textId="77777777" w:rsidR="009E0EEA" w:rsidRPr="00FD6A4F" w:rsidRDefault="009E0EEA">
            <w:pPr>
              <w:jc w:val="center"/>
              <w:rPr>
                <w:color w:val="000000" w:themeColor="text1"/>
              </w:rPr>
            </w:pPr>
            <w:r w:rsidRPr="00FD6A4F">
              <w:rPr>
                <w:color w:val="000000" w:themeColor="text1"/>
              </w:rPr>
              <w:t>-0.05</w:t>
            </w:r>
          </w:p>
        </w:tc>
        <w:tc>
          <w:tcPr>
            <w:tcW w:w="1851" w:type="dxa"/>
          </w:tcPr>
          <w:p w14:paraId="3A396559" w14:textId="161CF882" w:rsidR="009E0EEA" w:rsidRPr="00FD6A4F" w:rsidRDefault="009E0EEA">
            <w:pPr>
              <w:jc w:val="center"/>
              <w:rPr>
                <w:color w:val="000000" w:themeColor="text1"/>
              </w:rPr>
            </w:pPr>
            <w:r w:rsidRPr="00FD6A4F">
              <w:rPr>
                <w:color w:val="000000" w:themeColor="text1"/>
              </w:rPr>
              <w:t>-0.78</w:t>
            </w:r>
            <w:r w:rsidR="00C97472">
              <w:rPr>
                <w:color w:val="000000" w:themeColor="text1"/>
              </w:rPr>
              <w:t>**</w:t>
            </w:r>
          </w:p>
        </w:tc>
        <w:tc>
          <w:tcPr>
            <w:tcW w:w="1322" w:type="dxa"/>
          </w:tcPr>
          <w:p w14:paraId="4D1357A4" w14:textId="09F1F668" w:rsidR="009E0EEA" w:rsidRPr="00FD6A4F" w:rsidRDefault="009E0EEA">
            <w:pPr>
              <w:jc w:val="center"/>
              <w:rPr>
                <w:color w:val="000000" w:themeColor="text1"/>
              </w:rPr>
            </w:pPr>
            <w:r w:rsidRPr="00AD4075">
              <w:rPr>
                <w:color w:val="000000" w:themeColor="text1"/>
              </w:rPr>
              <w:t>0.00</w:t>
            </w:r>
            <w:r w:rsidR="003F1F2B">
              <w:rPr>
                <w:color w:val="000000" w:themeColor="text1"/>
              </w:rPr>
              <w:t>4</w:t>
            </w:r>
          </w:p>
        </w:tc>
        <w:tc>
          <w:tcPr>
            <w:tcW w:w="1163" w:type="dxa"/>
          </w:tcPr>
          <w:p w14:paraId="46F1EA2A" w14:textId="6893ACB6" w:rsidR="009E0EEA" w:rsidRPr="00FD6A4F" w:rsidRDefault="009E0EEA">
            <w:pPr>
              <w:jc w:val="center"/>
              <w:rPr>
                <w:color w:val="000000" w:themeColor="text1"/>
              </w:rPr>
            </w:pPr>
            <w:r w:rsidRPr="00FD6A4F">
              <w:rPr>
                <w:color w:val="000000" w:themeColor="text1"/>
              </w:rPr>
              <w:t>0.16</w:t>
            </w:r>
          </w:p>
        </w:tc>
      </w:tr>
      <w:tr w:rsidR="009E0EEA" w:rsidRPr="00FD6A4F" w14:paraId="3B7FB835" w14:textId="77777777" w:rsidTr="00A81ED6">
        <w:tc>
          <w:tcPr>
            <w:tcW w:w="1601" w:type="dxa"/>
          </w:tcPr>
          <w:p w14:paraId="2D43EF99" w14:textId="77777777" w:rsidR="009E0EEA" w:rsidRPr="00FD6A4F" w:rsidRDefault="009E0EEA">
            <w:pPr>
              <w:rPr>
                <w:color w:val="000000" w:themeColor="text1"/>
              </w:rPr>
            </w:pPr>
            <w:r w:rsidRPr="00FD6A4F">
              <w:rPr>
                <w:color w:val="000000" w:themeColor="text1"/>
              </w:rPr>
              <w:t>SI-R Clutter</w:t>
            </w:r>
          </w:p>
        </w:tc>
        <w:tc>
          <w:tcPr>
            <w:tcW w:w="1082" w:type="dxa"/>
          </w:tcPr>
          <w:p w14:paraId="224B963A" w14:textId="77777777" w:rsidR="009E0EEA" w:rsidRPr="00FD6A4F" w:rsidRDefault="009E0EEA">
            <w:pPr>
              <w:jc w:val="center"/>
              <w:rPr>
                <w:color w:val="000000" w:themeColor="text1"/>
              </w:rPr>
            </w:pPr>
            <w:r w:rsidRPr="00FD6A4F">
              <w:rPr>
                <w:color w:val="000000" w:themeColor="text1"/>
              </w:rPr>
              <w:t>-0.53***</w:t>
            </w:r>
          </w:p>
        </w:tc>
        <w:tc>
          <w:tcPr>
            <w:tcW w:w="1325" w:type="dxa"/>
          </w:tcPr>
          <w:p w14:paraId="48CEFA26" w14:textId="77777777" w:rsidR="009E0EEA" w:rsidRPr="00FD6A4F" w:rsidRDefault="009E0EEA">
            <w:pPr>
              <w:jc w:val="center"/>
              <w:rPr>
                <w:color w:val="000000" w:themeColor="text1"/>
              </w:rPr>
            </w:pPr>
            <w:r w:rsidRPr="00FD6A4F">
              <w:rPr>
                <w:color w:val="000000" w:themeColor="text1"/>
              </w:rPr>
              <w:t>0.05</w:t>
            </w:r>
          </w:p>
        </w:tc>
        <w:tc>
          <w:tcPr>
            <w:tcW w:w="1851" w:type="dxa"/>
          </w:tcPr>
          <w:p w14:paraId="475F5DCB" w14:textId="3537DF9B" w:rsidR="009E0EEA" w:rsidRPr="00FD6A4F" w:rsidRDefault="009E0EEA">
            <w:pPr>
              <w:jc w:val="center"/>
              <w:rPr>
                <w:color w:val="000000" w:themeColor="text1"/>
              </w:rPr>
            </w:pPr>
            <w:r w:rsidRPr="00FD6A4F">
              <w:rPr>
                <w:color w:val="000000" w:themeColor="text1"/>
              </w:rPr>
              <w:t>-0.45</w:t>
            </w:r>
          </w:p>
        </w:tc>
        <w:tc>
          <w:tcPr>
            <w:tcW w:w="1322" w:type="dxa"/>
          </w:tcPr>
          <w:p w14:paraId="5450F506" w14:textId="6248822F" w:rsidR="009E0EEA" w:rsidRPr="00FD6A4F" w:rsidRDefault="009E0EEA">
            <w:pPr>
              <w:jc w:val="center"/>
              <w:rPr>
                <w:color w:val="000000" w:themeColor="text1"/>
              </w:rPr>
            </w:pPr>
            <w:r w:rsidRPr="007B46E9">
              <w:rPr>
                <w:color w:val="000000" w:themeColor="text1"/>
              </w:rPr>
              <w:t>0.</w:t>
            </w:r>
            <w:r w:rsidR="003F1F2B">
              <w:rPr>
                <w:color w:val="000000" w:themeColor="text1"/>
              </w:rPr>
              <w:t>23</w:t>
            </w:r>
          </w:p>
        </w:tc>
        <w:tc>
          <w:tcPr>
            <w:tcW w:w="1163" w:type="dxa"/>
          </w:tcPr>
          <w:p w14:paraId="309E145B" w14:textId="7DE8E0E0" w:rsidR="009E0EEA" w:rsidRPr="00FD6A4F" w:rsidRDefault="009E0EEA">
            <w:pPr>
              <w:jc w:val="center"/>
              <w:rPr>
                <w:color w:val="000000" w:themeColor="text1"/>
              </w:rPr>
            </w:pPr>
            <w:r w:rsidRPr="00FD6A4F">
              <w:rPr>
                <w:color w:val="000000" w:themeColor="text1"/>
              </w:rPr>
              <w:t>0.11</w:t>
            </w:r>
          </w:p>
        </w:tc>
      </w:tr>
      <w:tr w:rsidR="009E0EEA" w:rsidRPr="00FD6A4F" w14:paraId="021EACCB" w14:textId="77777777" w:rsidTr="00A81ED6">
        <w:tc>
          <w:tcPr>
            <w:tcW w:w="1601" w:type="dxa"/>
          </w:tcPr>
          <w:p w14:paraId="2DCA983B" w14:textId="77777777" w:rsidR="009E0EEA" w:rsidRPr="00FD6A4F" w:rsidRDefault="009E0EEA">
            <w:pPr>
              <w:rPr>
                <w:color w:val="000000" w:themeColor="text1"/>
              </w:rPr>
            </w:pPr>
            <w:r w:rsidRPr="00FD6A4F">
              <w:rPr>
                <w:color w:val="000000" w:themeColor="text1"/>
              </w:rPr>
              <w:t>SDS Total</w:t>
            </w:r>
          </w:p>
        </w:tc>
        <w:tc>
          <w:tcPr>
            <w:tcW w:w="1082" w:type="dxa"/>
          </w:tcPr>
          <w:p w14:paraId="503ED424" w14:textId="77777777" w:rsidR="009E0EEA" w:rsidRPr="00FD6A4F" w:rsidRDefault="009E0EEA">
            <w:pPr>
              <w:jc w:val="center"/>
              <w:rPr>
                <w:color w:val="000000" w:themeColor="text1"/>
              </w:rPr>
            </w:pPr>
            <w:r w:rsidRPr="00FD6A4F">
              <w:rPr>
                <w:color w:val="000000" w:themeColor="text1"/>
              </w:rPr>
              <w:t>-0.28*</w:t>
            </w:r>
          </w:p>
        </w:tc>
        <w:tc>
          <w:tcPr>
            <w:tcW w:w="1325" w:type="dxa"/>
          </w:tcPr>
          <w:p w14:paraId="155D5893" w14:textId="77777777" w:rsidR="009E0EEA" w:rsidRPr="00FD6A4F" w:rsidRDefault="009E0EEA">
            <w:pPr>
              <w:jc w:val="center"/>
              <w:rPr>
                <w:color w:val="000000" w:themeColor="text1"/>
              </w:rPr>
            </w:pPr>
            <w:r w:rsidRPr="00FD6A4F">
              <w:rPr>
                <w:color w:val="000000" w:themeColor="text1"/>
              </w:rPr>
              <w:t>-0.05</w:t>
            </w:r>
          </w:p>
        </w:tc>
        <w:tc>
          <w:tcPr>
            <w:tcW w:w="1851" w:type="dxa"/>
          </w:tcPr>
          <w:p w14:paraId="391BBDAB" w14:textId="07ED23DF" w:rsidR="009E0EEA" w:rsidRPr="00FD6A4F" w:rsidRDefault="009E0EEA">
            <w:pPr>
              <w:jc w:val="center"/>
              <w:rPr>
                <w:color w:val="000000" w:themeColor="text1"/>
              </w:rPr>
            </w:pPr>
            <w:r w:rsidRPr="00FD6A4F">
              <w:rPr>
                <w:color w:val="000000" w:themeColor="text1"/>
              </w:rPr>
              <w:t>-0.73</w:t>
            </w:r>
            <w:r w:rsidR="00C97472">
              <w:rPr>
                <w:color w:val="000000" w:themeColor="text1"/>
              </w:rPr>
              <w:t>**</w:t>
            </w:r>
          </w:p>
        </w:tc>
        <w:tc>
          <w:tcPr>
            <w:tcW w:w="1322" w:type="dxa"/>
          </w:tcPr>
          <w:p w14:paraId="50D56A65" w14:textId="0E5A9F5F" w:rsidR="009E0EEA" w:rsidRPr="00FD6A4F" w:rsidRDefault="009E0EEA">
            <w:pPr>
              <w:jc w:val="center"/>
              <w:rPr>
                <w:color w:val="000000" w:themeColor="text1"/>
              </w:rPr>
            </w:pPr>
            <w:r w:rsidRPr="0045503D">
              <w:rPr>
                <w:color w:val="000000" w:themeColor="text1"/>
              </w:rPr>
              <w:t>0.00</w:t>
            </w:r>
            <w:r w:rsidR="003F1F2B">
              <w:rPr>
                <w:color w:val="000000" w:themeColor="text1"/>
              </w:rPr>
              <w:t>3</w:t>
            </w:r>
          </w:p>
        </w:tc>
        <w:tc>
          <w:tcPr>
            <w:tcW w:w="1163" w:type="dxa"/>
          </w:tcPr>
          <w:p w14:paraId="784820C9" w14:textId="68EA9572" w:rsidR="009E0EEA" w:rsidRPr="00FD6A4F" w:rsidRDefault="009E0EEA">
            <w:pPr>
              <w:jc w:val="center"/>
              <w:rPr>
                <w:color w:val="000000" w:themeColor="text1"/>
              </w:rPr>
            </w:pPr>
            <w:r w:rsidRPr="00FD6A4F">
              <w:rPr>
                <w:color w:val="000000" w:themeColor="text1"/>
              </w:rPr>
              <w:t>0.05</w:t>
            </w:r>
          </w:p>
        </w:tc>
      </w:tr>
      <w:tr w:rsidR="009E0EEA" w:rsidRPr="00FD6A4F" w14:paraId="1B1ADFEB" w14:textId="77777777" w:rsidTr="00A81ED6">
        <w:tc>
          <w:tcPr>
            <w:tcW w:w="1601" w:type="dxa"/>
          </w:tcPr>
          <w:p w14:paraId="6DD79F44" w14:textId="77777777" w:rsidR="009E0EEA" w:rsidRPr="00FD6A4F" w:rsidRDefault="009E0EEA">
            <w:pPr>
              <w:rPr>
                <w:color w:val="000000" w:themeColor="text1"/>
              </w:rPr>
            </w:pPr>
            <w:r w:rsidRPr="00FD6A4F">
              <w:rPr>
                <w:color w:val="000000" w:themeColor="text1"/>
              </w:rPr>
              <w:t>SDS Work/School</w:t>
            </w:r>
          </w:p>
        </w:tc>
        <w:tc>
          <w:tcPr>
            <w:tcW w:w="1082" w:type="dxa"/>
          </w:tcPr>
          <w:p w14:paraId="0405E467" w14:textId="77777777" w:rsidR="009E0EEA" w:rsidRPr="00FD6A4F" w:rsidRDefault="009E0EEA">
            <w:pPr>
              <w:jc w:val="center"/>
              <w:rPr>
                <w:color w:val="000000" w:themeColor="text1"/>
              </w:rPr>
            </w:pPr>
            <w:r w:rsidRPr="00FD6A4F">
              <w:rPr>
                <w:color w:val="000000" w:themeColor="text1"/>
              </w:rPr>
              <w:t>-0.15</w:t>
            </w:r>
          </w:p>
        </w:tc>
        <w:tc>
          <w:tcPr>
            <w:tcW w:w="1325" w:type="dxa"/>
          </w:tcPr>
          <w:p w14:paraId="7117EECC" w14:textId="77777777" w:rsidR="009E0EEA" w:rsidRPr="00FD6A4F" w:rsidRDefault="009E0EEA">
            <w:pPr>
              <w:jc w:val="center"/>
              <w:rPr>
                <w:color w:val="000000" w:themeColor="text1"/>
              </w:rPr>
            </w:pPr>
            <w:r w:rsidRPr="00FD6A4F">
              <w:rPr>
                <w:color w:val="000000" w:themeColor="text1"/>
              </w:rPr>
              <w:t>-0.04</w:t>
            </w:r>
          </w:p>
        </w:tc>
        <w:tc>
          <w:tcPr>
            <w:tcW w:w="1851" w:type="dxa"/>
          </w:tcPr>
          <w:p w14:paraId="3E310ED5" w14:textId="79B4B6FB" w:rsidR="009E0EEA" w:rsidRPr="00FD6A4F" w:rsidRDefault="009E0EEA">
            <w:pPr>
              <w:jc w:val="center"/>
              <w:rPr>
                <w:color w:val="000000" w:themeColor="text1"/>
              </w:rPr>
            </w:pPr>
            <w:r w:rsidRPr="00FD6A4F">
              <w:rPr>
                <w:color w:val="000000" w:themeColor="text1"/>
              </w:rPr>
              <w:t>-0.57</w:t>
            </w:r>
          </w:p>
        </w:tc>
        <w:tc>
          <w:tcPr>
            <w:tcW w:w="1322" w:type="dxa"/>
          </w:tcPr>
          <w:p w14:paraId="224B68E7" w14:textId="03CD988E" w:rsidR="009E0EEA" w:rsidRPr="00FD6A4F" w:rsidRDefault="00F16F4A">
            <w:pPr>
              <w:jc w:val="center"/>
              <w:rPr>
                <w:color w:val="000000" w:themeColor="text1"/>
              </w:rPr>
            </w:pPr>
            <w:r>
              <w:rPr>
                <w:color w:val="000000" w:themeColor="text1"/>
              </w:rPr>
              <w:t>0.12</w:t>
            </w:r>
          </w:p>
        </w:tc>
        <w:tc>
          <w:tcPr>
            <w:tcW w:w="1163" w:type="dxa"/>
          </w:tcPr>
          <w:p w14:paraId="7B12CBA1" w14:textId="50C0168C" w:rsidR="009E0EEA" w:rsidRPr="00FD6A4F" w:rsidRDefault="009E0EEA">
            <w:pPr>
              <w:jc w:val="center"/>
              <w:rPr>
                <w:color w:val="000000" w:themeColor="text1"/>
              </w:rPr>
            </w:pPr>
            <w:r w:rsidRPr="00FD6A4F">
              <w:rPr>
                <w:color w:val="000000" w:themeColor="text1"/>
              </w:rPr>
              <w:t>0.03</w:t>
            </w:r>
          </w:p>
        </w:tc>
      </w:tr>
      <w:tr w:rsidR="009E0EEA" w:rsidRPr="00FD6A4F" w14:paraId="72D0D6F3" w14:textId="77777777" w:rsidTr="00A81ED6">
        <w:tc>
          <w:tcPr>
            <w:tcW w:w="1601" w:type="dxa"/>
          </w:tcPr>
          <w:p w14:paraId="710CFABB" w14:textId="77777777" w:rsidR="009E0EEA" w:rsidRPr="00FD6A4F" w:rsidRDefault="009E0EEA">
            <w:pPr>
              <w:rPr>
                <w:color w:val="000000" w:themeColor="text1"/>
              </w:rPr>
            </w:pPr>
            <w:r w:rsidRPr="00FD6A4F">
              <w:rPr>
                <w:color w:val="000000" w:themeColor="text1"/>
              </w:rPr>
              <w:t>SDS Social</w:t>
            </w:r>
          </w:p>
        </w:tc>
        <w:tc>
          <w:tcPr>
            <w:tcW w:w="1082" w:type="dxa"/>
          </w:tcPr>
          <w:p w14:paraId="19FBD943" w14:textId="77777777" w:rsidR="009E0EEA" w:rsidRPr="00FD6A4F" w:rsidRDefault="009E0EEA">
            <w:pPr>
              <w:jc w:val="center"/>
              <w:rPr>
                <w:color w:val="000000" w:themeColor="text1"/>
              </w:rPr>
            </w:pPr>
            <w:r w:rsidRPr="00FD6A4F">
              <w:rPr>
                <w:color w:val="000000" w:themeColor="text1"/>
              </w:rPr>
              <w:t>-0.17</w:t>
            </w:r>
          </w:p>
        </w:tc>
        <w:tc>
          <w:tcPr>
            <w:tcW w:w="1325" w:type="dxa"/>
          </w:tcPr>
          <w:p w14:paraId="6DCAA698" w14:textId="77777777" w:rsidR="009E0EEA" w:rsidRPr="00FD6A4F" w:rsidRDefault="009E0EEA">
            <w:pPr>
              <w:jc w:val="center"/>
              <w:rPr>
                <w:color w:val="000000" w:themeColor="text1"/>
              </w:rPr>
            </w:pPr>
            <w:r w:rsidRPr="00FD6A4F">
              <w:rPr>
                <w:color w:val="000000" w:themeColor="text1"/>
              </w:rPr>
              <w:t>-0.02</w:t>
            </w:r>
          </w:p>
        </w:tc>
        <w:tc>
          <w:tcPr>
            <w:tcW w:w="1851" w:type="dxa"/>
          </w:tcPr>
          <w:p w14:paraId="12660B75" w14:textId="60A69B98" w:rsidR="009E0EEA" w:rsidRPr="00FD6A4F" w:rsidRDefault="009E0EEA">
            <w:pPr>
              <w:jc w:val="center"/>
              <w:rPr>
                <w:color w:val="000000" w:themeColor="text1"/>
              </w:rPr>
            </w:pPr>
            <w:r w:rsidRPr="00FD6A4F">
              <w:rPr>
                <w:color w:val="000000" w:themeColor="text1"/>
              </w:rPr>
              <w:t>-0.90</w:t>
            </w:r>
            <w:r w:rsidR="00C97472">
              <w:rPr>
                <w:color w:val="000000" w:themeColor="text1"/>
              </w:rPr>
              <w:t>***</w:t>
            </w:r>
          </w:p>
        </w:tc>
        <w:tc>
          <w:tcPr>
            <w:tcW w:w="1322" w:type="dxa"/>
          </w:tcPr>
          <w:p w14:paraId="1863B2DF" w14:textId="6C1D90F3" w:rsidR="009E0EEA" w:rsidRPr="00FD6A4F" w:rsidRDefault="009E0EEA">
            <w:pPr>
              <w:jc w:val="center"/>
              <w:rPr>
                <w:color w:val="000000" w:themeColor="text1"/>
              </w:rPr>
            </w:pPr>
            <w:r w:rsidRPr="00CE725F">
              <w:rPr>
                <w:color w:val="000000" w:themeColor="text1"/>
              </w:rPr>
              <w:t>0.000</w:t>
            </w:r>
            <w:r w:rsidR="00F16F4A">
              <w:rPr>
                <w:color w:val="000000" w:themeColor="text1"/>
              </w:rPr>
              <w:t>8</w:t>
            </w:r>
          </w:p>
        </w:tc>
        <w:tc>
          <w:tcPr>
            <w:tcW w:w="1163" w:type="dxa"/>
          </w:tcPr>
          <w:p w14:paraId="6FD25341" w14:textId="65FCEFC4" w:rsidR="009E0EEA" w:rsidRPr="00FD6A4F" w:rsidRDefault="009E0EEA">
            <w:pPr>
              <w:jc w:val="center"/>
              <w:rPr>
                <w:color w:val="000000" w:themeColor="text1"/>
              </w:rPr>
            </w:pPr>
            <w:r w:rsidRPr="00FD6A4F">
              <w:rPr>
                <w:color w:val="000000" w:themeColor="text1"/>
              </w:rPr>
              <w:t>0.13</w:t>
            </w:r>
          </w:p>
        </w:tc>
      </w:tr>
      <w:tr w:rsidR="009E0EEA" w:rsidRPr="00FD6A4F" w14:paraId="2E26B144" w14:textId="77777777" w:rsidTr="00A81ED6">
        <w:tc>
          <w:tcPr>
            <w:tcW w:w="1601" w:type="dxa"/>
          </w:tcPr>
          <w:p w14:paraId="50D32FAC" w14:textId="77777777" w:rsidR="009E0EEA" w:rsidRPr="00FD6A4F" w:rsidRDefault="009E0EEA">
            <w:pPr>
              <w:rPr>
                <w:color w:val="000000" w:themeColor="text1"/>
              </w:rPr>
            </w:pPr>
            <w:r w:rsidRPr="00FD6A4F">
              <w:rPr>
                <w:color w:val="000000" w:themeColor="text1"/>
              </w:rPr>
              <w:t>SDS Home/Family</w:t>
            </w:r>
          </w:p>
        </w:tc>
        <w:tc>
          <w:tcPr>
            <w:tcW w:w="1082" w:type="dxa"/>
          </w:tcPr>
          <w:p w14:paraId="50D8BC04" w14:textId="77777777" w:rsidR="009E0EEA" w:rsidRPr="00FD6A4F" w:rsidRDefault="009E0EEA">
            <w:pPr>
              <w:jc w:val="center"/>
              <w:rPr>
                <w:color w:val="000000" w:themeColor="text1"/>
              </w:rPr>
            </w:pPr>
            <w:r w:rsidRPr="00FD6A4F">
              <w:rPr>
                <w:color w:val="000000" w:themeColor="text1"/>
              </w:rPr>
              <w:t>-0.33*</w:t>
            </w:r>
          </w:p>
        </w:tc>
        <w:tc>
          <w:tcPr>
            <w:tcW w:w="1325" w:type="dxa"/>
          </w:tcPr>
          <w:p w14:paraId="25B1B9D3" w14:textId="77777777" w:rsidR="009E0EEA" w:rsidRPr="00FD6A4F" w:rsidRDefault="009E0EEA">
            <w:pPr>
              <w:jc w:val="center"/>
              <w:rPr>
                <w:color w:val="000000" w:themeColor="text1"/>
              </w:rPr>
            </w:pPr>
            <w:r w:rsidRPr="00FD6A4F">
              <w:rPr>
                <w:color w:val="000000" w:themeColor="text1"/>
              </w:rPr>
              <w:t>0.07</w:t>
            </w:r>
          </w:p>
        </w:tc>
        <w:tc>
          <w:tcPr>
            <w:tcW w:w="1851" w:type="dxa"/>
          </w:tcPr>
          <w:p w14:paraId="2E329B5C" w14:textId="72ABF154" w:rsidR="009E0EEA" w:rsidRPr="00FD6A4F" w:rsidRDefault="009E0EEA">
            <w:pPr>
              <w:jc w:val="center"/>
              <w:rPr>
                <w:color w:val="000000" w:themeColor="text1"/>
              </w:rPr>
            </w:pPr>
            <w:r w:rsidRPr="00FD6A4F">
              <w:rPr>
                <w:color w:val="000000" w:themeColor="text1"/>
              </w:rPr>
              <w:t>-0.66</w:t>
            </w:r>
            <w:r w:rsidR="00C97472">
              <w:rPr>
                <w:color w:val="000000" w:themeColor="text1"/>
              </w:rPr>
              <w:t>*</w:t>
            </w:r>
          </w:p>
        </w:tc>
        <w:tc>
          <w:tcPr>
            <w:tcW w:w="1322" w:type="dxa"/>
          </w:tcPr>
          <w:p w14:paraId="03DBEB3E" w14:textId="3E65825B" w:rsidR="009E0EEA" w:rsidRPr="00FD6A4F" w:rsidRDefault="009E0EEA">
            <w:pPr>
              <w:jc w:val="center"/>
              <w:rPr>
                <w:color w:val="000000" w:themeColor="text1"/>
              </w:rPr>
            </w:pPr>
            <w:r w:rsidRPr="009F448C">
              <w:rPr>
                <w:color w:val="000000" w:themeColor="text1"/>
              </w:rPr>
              <w:t>0.0</w:t>
            </w:r>
            <w:r w:rsidR="00307F13">
              <w:rPr>
                <w:color w:val="000000" w:themeColor="text1"/>
              </w:rPr>
              <w:t>4</w:t>
            </w:r>
          </w:p>
        </w:tc>
        <w:tc>
          <w:tcPr>
            <w:tcW w:w="1163" w:type="dxa"/>
          </w:tcPr>
          <w:p w14:paraId="667EEBBD" w14:textId="3A164562" w:rsidR="009E0EEA" w:rsidRPr="00FD6A4F" w:rsidRDefault="009E0EEA">
            <w:pPr>
              <w:jc w:val="center"/>
              <w:rPr>
                <w:color w:val="000000" w:themeColor="text1"/>
              </w:rPr>
            </w:pPr>
            <w:r w:rsidRPr="00FD6A4F">
              <w:rPr>
                <w:color w:val="000000" w:themeColor="text1"/>
              </w:rPr>
              <w:t>0.08</w:t>
            </w:r>
          </w:p>
        </w:tc>
      </w:tr>
      <w:tr w:rsidR="009E0EEA" w:rsidRPr="00FD6A4F" w14:paraId="4948F597" w14:textId="77777777" w:rsidTr="00A81ED6">
        <w:tc>
          <w:tcPr>
            <w:tcW w:w="1601" w:type="dxa"/>
          </w:tcPr>
          <w:p w14:paraId="1D6B3DFE" w14:textId="77777777" w:rsidR="009E0EEA" w:rsidRPr="00FD6A4F" w:rsidRDefault="009E0EEA">
            <w:pPr>
              <w:rPr>
                <w:color w:val="000000" w:themeColor="text1"/>
              </w:rPr>
            </w:pPr>
            <w:r w:rsidRPr="00FD6A4F">
              <w:rPr>
                <w:color w:val="000000" w:themeColor="text1"/>
              </w:rPr>
              <w:t>CGI-I</w:t>
            </w:r>
          </w:p>
        </w:tc>
        <w:tc>
          <w:tcPr>
            <w:tcW w:w="1082" w:type="dxa"/>
          </w:tcPr>
          <w:p w14:paraId="36360D45" w14:textId="77777777" w:rsidR="009E0EEA" w:rsidRPr="00FD6A4F" w:rsidRDefault="009E0EEA">
            <w:pPr>
              <w:jc w:val="center"/>
              <w:rPr>
                <w:color w:val="000000" w:themeColor="text1"/>
              </w:rPr>
            </w:pPr>
            <w:r w:rsidRPr="00FD6A4F">
              <w:rPr>
                <w:color w:val="000000" w:themeColor="text1"/>
              </w:rPr>
              <w:t>-0.17</w:t>
            </w:r>
          </w:p>
        </w:tc>
        <w:tc>
          <w:tcPr>
            <w:tcW w:w="1325" w:type="dxa"/>
          </w:tcPr>
          <w:p w14:paraId="52A7DB4B" w14:textId="77777777" w:rsidR="009E0EEA" w:rsidRPr="00FD6A4F" w:rsidRDefault="009E0EEA">
            <w:pPr>
              <w:jc w:val="center"/>
              <w:rPr>
                <w:color w:val="000000" w:themeColor="text1"/>
              </w:rPr>
            </w:pPr>
            <w:r w:rsidRPr="00FD6A4F">
              <w:rPr>
                <w:color w:val="000000" w:themeColor="text1"/>
              </w:rPr>
              <w:t>0.44*</w:t>
            </w:r>
          </w:p>
        </w:tc>
        <w:tc>
          <w:tcPr>
            <w:tcW w:w="1851" w:type="dxa"/>
          </w:tcPr>
          <w:p w14:paraId="0C94B42D" w14:textId="35B4E121" w:rsidR="009E0EEA" w:rsidRPr="00FD6A4F" w:rsidRDefault="009E0EEA">
            <w:pPr>
              <w:jc w:val="center"/>
              <w:rPr>
                <w:color w:val="000000" w:themeColor="text1"/>
              </w:rPr>
            </w:pPr>
            <w:r w:rsidRPr="00FD6A4F">
              <w:rPr>
                <w:color w:val="000000" w:themeColor="text1"/>
              </w:rPr>
              <w:t>-1.42</w:t>
            </w:r>
            <w:r w:rsidR="005C35EA">
              <w:rPr>
                <w:color w:val="000000" w:themeColor="text1"/>
              </w:rPr>
              <w:t>***</w:t>
            </w:r>
          </w:p>
        </w:tc>
        <w:tc>
          <w:tcPr>
            <w:tcW w:w="1322" w:type="dxa"/>
          </w:tcPr>
          <w:p w14:paraId="235577AA" w14:textId="50471F9C" w:rsidR="009E0EEA" w:rsidRPr="00FD6A4F" w:rsidRDefault="009E0EEA">
            <w:pPr>
              <w:jc w:val="center"/>
              <w:rPr>
                <w:color w:val="000000" w:themeColor="text1"/>
              </w:rPr>
            </w:pPr>
            <w:r w:rsidRPr="00065708">
              <w:rPr>
                <w:color w:val="000000" w:themeColor="text1"/>
              </w:rPr>
              <w:t>0.0000</w:t>
            </w:r>
            <w:r w:rsidR="00307F13">
              <w:rPr>
                <w:color w:val="000000" w:themeColor="text1"/>
              </w:rPr>
              <w:t>9</w:t>
            </w:r>
          </w:p>
        </w:tc>
        <w:tc>
          <w:tcPr>
            <w:tcW w:w="1163" w:type="dxa"/>
          </w:tcPr>
          <w:p w14:paraId="3FD0D35A" w14:textId="4BAB3D43" w:rsidR="009E0EEA" w:rsidRPr="00FD6A4F" w:rsidRDefault="009E0EEA">
            <w:pPr>
              <w:jc w:val="center"/>
              <w:rPr>
                <w:color w:val="000000" w:themeColor="text1"/>
              </w:rPr>
            </w:pPr>
          </w:p>
        </w:tc>
      </w:tr>
      <w:tr w:rsidR="009E0EEA" w:rsidRPr="00FD6A4F" w14:paraId="6C155E08" w14:textId="77777777" w:rsidTr="00A81ED6">
        <w:tc>
          <w:tcPr>
            <w:tcW w:w="1601" w:type="dxa"/>
          </w:tcPr>
          <w:p w14:paraId="0F029027" w14:textId="77777777" w:rsidR="009E0EEA" w:rsidRPr="00FD6A4F" w:rsidRDefault="009E0EEA">
            <w:pPr>
              <w:rPr>
                <w:color w:val="000000" w:themeColor="text1"/>
              </w:rPr>
            </w:pPr>
            <w:r w:rsidRPr="00FD6A4F">
              <w:rPr>
                <w:color w:val="000000" w:themeColor="text1"/>
              </w:rPr>
              <w:t>GHQ</w:t>
            </w:r>
          </w:p>
        </w:tc>
        <w:tc>
          <w:tcPr>
            <w:tcW w:w="1082" w:type="dxa"/>
          </w:tcPr>
          <w:p w14:paraId="7060EA07" w14:textId="77777777" w:rsidR="009E0EEA" w:rsidRPr="00FD6A4F" w:rsidRDefault="009E0EEA">
            <w:pPr>
              <w:jc w:val="center"/>
              <w:rPr>
                <w:color w:val="000000" w:themeColor="text1"/>
              </w:rPr>
            </w:pPr>
            <w:r w:rsidRPr="00FD6A4F">
              <w:rPr>
                <w:color w:val="000000" w:themeColor="text1"/>
              </w:rPr>
              <w:t>0.45*</w:t>
            </w:r>
          </w:p>
        </w:tc>
        <w:tc>
          <w:tcPr>
            <w:tcW w:w="1325" w:type="dxa"/>
          </w:tcPr>
          <w:p w14:paraId="50FF01C8" w14:textId="77777777" w:rsidR="009E0EEA" w:rsidRPr="00FD6A4F" w:rsidRDefault="009E0EEA">
            <w:pPr>
              <w:jc w:val="center"/>
              <w:rPr>
                <w:color w:val="000000" w:themeColor="text1"/>
              </w:rPr>
            </w:pPr>
            <w:r w:rsidRPr="00FD6A4F">
              <w:rPr>
                <w:color w:val="000000" w:themeColor="text1"/>
              </w:rPr>
              <w:t>-0.17*</w:t>
            </w:r>
          </w:p>
        </w:tc>
        <w:tc>
          <w:tcPr>
            <w:tcW w:w="1851" w:type="dxa"/>
          </w:tcPr>
          <w:p w14:paraId="61F43D94" w14:textId="15AC5597" w:rsidR="009E0EEA" w:rsidRPr="00FD6A4F" w:rsidRDefault="009E0EEA">
            <w:pPr>
              <w:jc w:val="center"/>
              <w:rPr>
                <w:color w:val="000000" w:themeColor="text1"/>
              </w:rPr>
            </w:pPr>
            <w:r w:rsidRPr="00FD6A4F">
              <w:rPr>
                <w:color w:val="000000" w:themeColor="text1"/>
              </w:rPr>
              <w:t>1.14</w:t>
            </w:r>
            <w:r w:rsidR="00C97472">
              <w:rPr>
                <w:color w:val="000000" w:themeColor="text1"/>
              </w:rPr>
              <w:t>**</w:t>
            </w:r>
          </w:p>
        </w:tc>
        <w:tc>
          <w:tcPr>
            <w:tcW w:w="1322" w:type="dxa"/>
          </w:tcPr>
          <w:p w14:paraId="3A52D979" w14:textId="470E111A" w:rsidR="009E0EEA" w:rsidRPr="00FD6A4F" w:rsidRDefault="009E0EEA">
            <w:pPr>
              <w:jc w:val="center"/>
              <w:rPr>
                <w:color w:val="000000" w:themeColor="text1"/>
              </w:rPr>
            </w:pPr>
            <w:r w:rsidRPr="0045503D">
              <w:rPr>
                <w:color w:val="000000" w:themeColor="text1"/>
              </w:rPr>
              <w:t>0.00</w:t>
            </w:r>
            <w:r w:rsidR="00307F13">
              <w:rPr>
                <w:color w:val="000000" w:themeColor="text1"/>
              </w:rPr>
              <w:t>3</w:t>
            </w:r>
          </w:p>
        </w:tc>
        <w:tc>
          <w:tcPr>
            <w:tcW w:w="1163" w:type="dxa"/>
          </w:tcPr>
          <w:p w14:paraId="71EB547E" w14:textId="742697AC" w:rsidR="009E0EEA" w:rsidRPr="00FD6A4F" w:rsidRDefault="009E0EEA">
            <w:pPr>
              <w:jc w:val="center"/>
              <w:rPr>
                <w:color w:val="000000" w:themeColor="text1"/>
              </w:rPr>
            </w:pPr>
            <w:r w:rsidRPr="00FD6A4F">
              <w:rPr>
                <w:color w:val="000000" w:themeColor="text1"/>
              </w:rPr>
              <w:t>-0.29***</w:t>
            </w:r>
          </w:p>
        </w:tc>
      </w:tr>
      <w:tr w:rsidR="009E0EEA" w:rsidRPr="00FD6A4F" w14:paraId="2816B56D" w14:textId="77777777" w:rsidTr="00A81ED6">
        <w:tc>
          <w:tcPr>
            <w:tcW w:w="1601" w:type="dxa"/>
          </w:tcPr>
          <w:p w14:paraId="0AC54747" w14:textId="77777777" w:rsidR="009E0EEA" w:rsidRPr="00FD6A4F" w:rsidRDefault="009E0EEA">
            <w:pPr>
              <w:rPr>
                <w:color w:val="000000" w:themeColor="text1"/>
              </w:rPr>
            </w:pPr>
            <w:r w:rsidRPr="00FD6A4F">
              <w:rPr>
                <w:color w:val="000000" w:themeColor="text1"/>
              </w:rPr>
              <w:t>VQ Progress</w:t>
            </w:r>
          </w:p>
        </w:tc>
        <w:tc>
          <w:tcPr>
            <w:tcW w:w="1082" w:type="dxa"/>
          </w:tcPr>
          <w:p w14:paraId="4D4C37B3" w14:textId="77777777" w:rsidR="009E0EEA" w:rsidRPr="00FD6A4F" w:rsidRDefault="009E0EEA">
            <w:pPr>
              <w:jc w:val="center"/>
              <w:rPr>
                <w:color w:val="000000" w:themeColor="text1"/>
              </w:rPr>
            </w:pPr>
            <w:r w:rsidRPr="00FD6A4F">
              <w:rPr>
                <w:color w:val="000000" w:themeColor="text1"/>
              </w:rPr>
              <w:t>0.09</w:t>
            </w:r>
          </w:p>
        </w:tc>
        <w:tc>
          <w:tcPr>
            <w:tcW w:w="1325" w:type="dxa"/>
          </w:tcPr>
          <w:p w14:paraId="00019DC1" w14:textId="77777777" w:rsidR="009E0EEA" w:rsidRPr="00FD6A4F" w:rsidRDefault="009E0EEA">
            <w:pPr>
              <w:jc w:val="center"/>
              <w:rPr>
                <w:color w:val="000000" w:themeColor="text1"/>
              </w:rPr>
            </w:pPr>
            <w:r w:rsidRPr="00FD6A4F">
              <w:rPr>
                <w:color w:val="000000" w:themeColor="text1"/>
              </w:rPr>
              <w:t>-0.03</w:t>
            </w:r>
          </w:p>
        </w:tc>
        <w:tc>
          <w:tcPr>
            <w:tcW w:w="1851" w:type="dxa"/>
          </w:tcPr>
          <w:p w14:paraId="590DB2C7" w14:textId="6173A429" w:rsidR="009E0EEA" w:rsidRPr="00FD6A4F" w:rsidRDefault="009E0EEA">
            <w:pPr>
              <w:jc w:val="center"/>
              <w:rPr>
                <w:color w:val="000000" w:themeColor="text1"/>
              </w:rPr>
            </w:pPr>
            <w:r w:rsidRPr="00FD6A4F">
              <w:rPr>
                <w:color w:val="000000" w:themeColor="text1"/>
              </w:rPr>
              <w:t>0.91</w:t>
            </w:r>
            <w:r w:rsidR="00C97472">
              <w:rPr>
                <w:color w:val="000000" w:themeColor="text1"/>
              </w:rPr>
              <w:t>**</w:t>
            </w:r>
          </w:p>
        </w:tc>
        <w:tc>
          <w:tcPr>
            <w:tcW w:w="1322" w:type="dxa"/>
          </w:tcPr>
          <w:p w14:paraId="5C44818F" w14:textId="00529606" w:rsidR="009E0EEA" w:rsidRPr="00FD6A4F" w:rsidRDefault="009E0EEA">
            <w:pPr>
              <w:jc w:val="center"/>
              <w:rPr>
                <w:color w:val="000000" w:themeColor="text1"/>
              </w:rPr>
            </w:pPr>
            <w:r w:rsidRPr="00AD4075">
              <w:rPr>
                <w:color w:val="000000" w:themeColor="text1"/>
              </w:rPr>
              <w:t>0.00</w:t>
            </w:r>
            <w:r w:rsidR="00717993">
              <w:rPr>
                <w:color w:val="000000" w:themeColor="text1"/>
              </w:rPr>
              <w:t>3</w:t>
            </w:r>
          </w:p>
        </w:tc>
        <w:tc>
          <w:tcPr>
            <w:tcW w:w="1163" w:type="dxa"/>
          </w:tcPr>
          <w:p w14:paraId="7D9068F0" w14:textId="4A675E13" w:rsidR="009E0EEA" w:rsidRPr="00FD6A4F" w:rsidRDefault="009E0EEA">
            <w:pPr>
              <w:jc w:val="center"/>
              <w:rPr>
                <w:color w:val="000000" w:themeColor="text1"/>
              </w:rPr>
            </w:pPr>
            <w:r w:rsidRPr="00FD6A4F">
              <w:rPr>
                <w:color w:val="000000" w:themeColor="text1"/>
              </w:rPr>
              <w:t>-0.35***</w:t>
            </w:r>
          </w:p>
        </w:tc>
      </w:tr>
    </w:tbl>
    <w:p w14:paraId="2827FF44" w14:textId="77777777" w:rsidR="006374C8" w:rsidRPr="00FD6A4F" w:rsidRDefault="006374C8" w:rsidP="006374C8">
      <w:pPr>
        <w:spacing w:line="480" w:lineRule="auto"/>
        <w:rPr>
          <w:color w:val="000000" w:themeColor="text1"/>
        </w:rPr>
      </w:pPr>
      <w:r w:rsidRPr="00FD6A4F">
        <w:rPr>
          <w:i/>
          <w:iCs/>
          <w:color w:val="000000" w:themeColor="text1"/>
        </w:rPr>
        <w:t>Notes</w:t>
      </w:r>
      <w:r w:rsidRPr="00FD6A4F">
        <w:rPr>
          <w:color w:val="000000" w:themeColor="text1"/>
        </w:rPr>
        <w:t>. *</w:t>
      </w:r>
      <w:r w:rsidRPr="00FD6A4F">
        <w:rPr>
          <w:i/>
          <w:iCs/>
          <w:color w:val="000000" w:themeColor="text1"/>
        </w:rPr>
        <w:t>p</w:t>
      </w:r>
      <w:r w:rsidRPr="00FD6A4F">
        <w:rPr>
          <w:color w:val="000000" w:themeColor="text1"/>
        </w:rPr>
        <w:t xml:space="preserve"> &lt; 0.05, **</w:t>
      </w:r>
      <w:r w:rsidRPr="00FD6A4F">
        <w:rPr>
          <w:i/>
          <w:iCs/>
          <w:color w:val="000000" w:themeColor="text1"/>
        </w:rPr>
        <w:t>p</w:t>
      </w:r>
      <w:r w:rsidRPr="00FD6A4F">
        <w:rPr>
          <w:color w:val="000000" w:themeColor="text1"/>
        </w:rPr>
        <w:t xml:space="preserve"> &lt; 0.01, ***</w:t>
      </w:r>
      <w:r w:rsidRPr="00FD6A4F">
        <w:rPr>
          <w:i/>
          <w:iCs/>
          <w:color w:val="000000" w:themeColor="text1"/>
        </w:rPr>
        <w:t>p</w:t>
      </w:r>
      <w:r w:rsidRPr="00FD6A4F">
        <w:rPr>
          <w:color w:val="000000" w:themeColor="text1"/>
        </w:rPr>
        <w:t xml:space="preserve"> &lt; 0.001. Time is coded as 0 = Baseline, .67 = Posttreatment, 1 = Follow-up. Condition is coded as 0 = Waitlist, 1 = ACT.</w:t>
      </w:r>
      <w:r w:rsidRPr="00FD6A4F">
        <w:rPr>
          <w:color w:val="000000" w:themeColor="text1"/>
        </w:rPr>
        <w:tab/>
      </w:r>
    </w:p>
    <w:p w14:paraId="234800AF" w14:textId="2A9002BC" w:rsidR="006374C8" w:rsidRPr="006374C8" w:rsidRDefault="006374C8" w:rsidP="00FA41C0">
      <w:pPr>
        <w:spacing w:line="480" w:lineRule="auto"/>
        <w:rPr>
          <w:color w:val="000000" w:themeColor="text1"/>
        </w:rPr>
      </w:pPr>
      <w:r w:rsidRPr="00FD6A4F">
        <w:rPr>
          <w:b/>
          <w:bCs/>
          <w:color w:val="000000" w:themeColor="text1"/>
        </w:rPr>
        <w:t xml:space="preserve">Table </w:t>
      </w:r>
      <w:r>
        <w:rPr>
          <w:b/>
          <w:bCs/>
          <w:color w:val="000000" w:themeColor="text1"/>
        </w:rPr>
        <w:t>4</w:t>
      </w:r>
      <w:r>
        <w:rPr>
          <w:color w:val="000000" w:themeColor="text1"/>
        </w:rPr>
        <w:t xml:space="preserve">. </w:t>
      </w:r>
      <w:r w:rsidRPr="00FD6A4F">
        <w:rPr>
          <w:b/>
          <w:bCs/>
          <w:i/>
          <w:iCs/>
          <w:color w:val="000000" w:themeColor="text1"/>
        </w:rPr>
        <w:t>Time by Condition Models</w:t>
      </w:r>
    </w:p>
    <w:p w14:paraId="1420D884" w14:textId="22C8AF83" w:rsidR="00ED0D90" w:rsidRPr="002E08DC" w:rsidRDefault="00ED0D90" w:rsidP="00722122">
      <w:pPr>
        <w:spacing w:line="480" w:lineRule="auto"/>
        <w:rPr>
          <w:bCs/>
          <w:color w:val="000000" w:themeColor="text1"/>
        </w:rPr>
      </w:pPr>
      <w:r>
        <w:rPr>
          <w:bCs/>
          <w:color w:val="000000" w:themeColor="text1"/>
        </w:rPr>
        <w:tab/>
        <w:t>These models indicate that the ACT condition improved by 1.33 SD on SI-R total, 1.20 SD on SI-R Difficulty Discarding, 1.29 SD on SI-R Excessive Acquisition, 0.98 SD on SI-R Clutter, 1.01 SD on SDS total, 0.72 SD on SDS Work, 1.07 SD on SDS Social/Leisure, 0.99 SD on SDS Family/Home, 1.59 SD on CGI-I, 1.59 SD on GHQ-12, and 1.00 SD on VQ Progress from baseline to follow-up.</w:t>
      </w:r>
      <w:r w:rsidR="00E51C5E">
        <w:rPr>
          <w:bCs/>
          <w:color w:val="000000" w:themeColor="text1"/>
        </w:rPr>
        <w:t xml:space="preserve"> In contrast, the waitlist condition improved by 0.59 SD on SI-R total, 0.46 SD on SI-R Difficulty Discarding, 0.51 SD on SI-R Excessive Acquisition, 0.53 SD on SI-R Clutter, 0.27 SD on SDS Total, 0.15 SD on SDS Work, 0.17 SD on SDS Social/Leisure, 0.33 SD on SDS Family/Home, 0.17 SD on CGI-I, </w:t>
      </w:r>
      <w:r w:rsidR="009955A4">
        <w:rPr>
          <w:bCs/>
          <w:color w:val="000000" w:themeColor="text1"/>
        </w:rPr>
        <w:t>0.44 SD on GHQ-12, and 0.08 SD on VQ Progress from baseline to follow-up.</w:t>
      </w:r>
    </w:p>
    <w:p w14:paraId="58249F7C" w14:textId="118B1A80" w:rsidR="00FA41C0" w:rsidRDefault="00ED0D90" w:rsidP="00722122">
      <w:pPr>
        <w:spacing w:line="480" w:lineRule="auto"/>
        <w:contextualSpacing/>
        <w:rPr>
          <w:b/>
          <w:color w:val="000000" w:themeColor="text1"/>
        </w:rPr>
      </w:pPr>
      <w:r w:rsidRPr="00ED0D90">
        <w:rPr>
          <w:b/>
          <w:color w:val="000000" w:themeColor="text1"/>
        </w:rPr>
        <w:t>Treatment Response</w:t>
      </w:r>
    </w:p>
    <w:p w14:paraId="3A2ADEF1" w14:textId="5A0FA60D" w:rsidR="00722122" w:rsidRPr="00722122" w:rsidRDefault="00722122" w:rsidP="00722122">
      <w:pPr>
        <w:spacing w:line="480" w:lineRule="auto"/>
        <w:contextualSpacing/>
        <w:rPr>
          <w:bCs/>
          <w:color w:val="000000" w:themeColor="text1"/>
        </w:rPr>
      </w:pPr>
      <w:r>
        <w:rPr>
          <w:b/>
          <w:color w:val="000000" w:themeColor="text1"/>
        </w:rPr>
        <w:tab/>
      </w:r>
      <w:r>
        <w:rPr>
          <w:bCs/>
          <w:color w:val="000000" w:themeColor="text1"/>
        </w:rPr>
        <w:t>By posttreatment, 34.61% of participants in the ACT condition had achieved reliable change</w:t>
      </w:r>
      <w:r>
        <w:rPr>
          <w:b/>
          <w:color w:val="000000" w:themeColor="text1"/>
        </w:rPr>
        <w:t xml:space="preserve"> </w:t>
      </w:r>
      <w:r>
        <w:rPr>
          <w:bCs/>
          <w:color w:val="000000" w:themeColor="text1"/>
        </w:rPr>
        <w:t>(n = 9)</w:t>
      </w:r>
      <w:r w:rsidR="00135C28">
        <w:rPr>
          <w:bCs/>
          <w:color w:val="000000" w:themeColor="text1"/>
        </w:rPr>
        <w:t xml:space="preserve">. </w:t>
      </w:r>
      <w:r>
        <w:rPr>
          <w:bCs/>
          <w:color w:val="000000" w:themeColor="text1"/>
        </w:rPr>
        <w:t xml:space="preserve">This was not a statistically significant difference compared to rates of reliable </w:t>
      </w:r>
      <w:r>
        <w:rPr>
          <w:bCs/>
          <w:color w:val="000000" w:themeColor="text1"/>
        </w:rPr>
        <w:lastRenderedPageBreak/>
        <w:t xml:space="preserve">change in the waitlist </w:t>
      </w:r>
      <w:r w:rsidRPr="00722122">
        <w:rPr>
          <w:bCs/>
          <w:color w:val="000000" w:themeColor="text1"/>
        </w:rPr>
        <w:t>condition (</w:t>
      </w:r>
      <w:r w:rsidRPr="00722122">
        <w:rPr>
          <w:rFonts w:ascii="Symbol" w:hAnsi="Symbol"/>
          <w:bCs/>
          <w:color w:val="000000" w:themeColor="text1"/>
        </w:rPr>
        <w:t>c</w:t>
      </w:r>
      <w:r w:rsidRPr="00722122">
        <w:rPr>
          <w:bCs/>
          <w:color w:val="000000" w:themeColor="text1"/>
          <w:vertAlign w:val="superscript"/>
        </w:rPr>
        <w:t>2</w:t>
      </w:r>
      <w:r w:rsidRPr="00722122">
        <w:rPr>
          <w:bCs/>
          <w:color w:val="000000" w:themeColor="text1"/>
        </w:rPr>
        <w:t xml:space="preserve">(1) = 1.45, </w:t>
      </w:r>
      <w:r w:rsidR="00717993">
        <w:rPr>
          <w:bCs/>
          <w:color w:val="000000" w:themeColor="text1"/>
        </w:rPr>
        <w:t xml:space="preserve">Holm-corrected </w:t>
      </w:r>
      <w:r w:rsidRPr="00722122">
        <w:rPr>
          <w:bCs/>
          <w:i/>
          <w:iCs/>
          <w:color w:val="000000" w:themeColor="text1"/>
        </w:rPr>
        <w:t>p</w:t>
      </w:r>
      <w:r w:rsidRPr="00722122">
        <w:rPr>
          <w:bCs/>
          <w:color w:val="000000" w:themeColor="text1"/>
        </w:rPr>
        <w:t xml:space="preserve"> = 0.</w:t>
      </w:r>
      <w:r w:rsidR="00CE6BEA">
        <w:rPr>
          <w:bCs/>
          <w:color w:val="000000" w:themeColor="text1"/>
        </w:rPr>
        <w:t>92</w:t>
      </w:r>
      <w:r w:rsidRPr="00722122">
        <w:rPr>
          <w:bCs/>
          <w:color w:val="000000" w:themeColor="text1"/>
        </w:rPr>
        <w:t>).</w:t>
      </w:r>
      <w:r>
        <w:rPr>
          <w:bCs/>
          <w:color w:val="000000" w:themeColor="text1"/>
        </w:rPr>
        <w:t xml:space="preserve"> Additionally, only 11.54% of participants in the ACT condition achieved clinically significant change by posttreatment (n = 3). Rates of clinically significant change were also equivalent between the ACT condition and waitlist at </w:t>
      </w:r>
      <w:r w:rsidRPr="00722122">
        <w:rPr>
          <w:bCs/>
          <w:color w:val="000000" w:themeColor="text1"/>
        </w:rPr>
        <w:t>posttreatment (</w:t>
      </w:r>
      <w:r w:rsidRPr="00722122">
        <w:rPr>
          <w:rFonts w:ascii="Symbol" w:hAnsi="Symbol"/>
          <w:bCs/>
          <w:color w:val="000000" w:themeColor="text1"/>
        </w:rPr>
        <w:t>c</w:t>
      </w:r>
      <w:r w:rsidRPr="00722122">
        <w:rPr>
          <w:bCs/>
          <w:color w:val="000000" w:themeColor="text1"/>
          <w:vertAlign w:val="superscript"/>
        </w:rPr>
        <w:t>2</w:t>
      </w:r>
      <w:r w:rsidRPr="00722122">
        <w:rPr>
          <w:bCs/>
          <w:color w:val="000000" w:themeColor="text1"/>
        </w:rPr>
        <w:t xml:space="preserve">(1) = 0.00, </w:t>
      </w:r>
      <w:r w:rsidRPr="00722122">
        <w:rPr>
          <w:bCs/>
          <w:i/>
          <w:iCs/>
          <w:color w:val="000000" w:themeColor="text1"/>
        </w:rPr>
        <w:t>p</w:t>
      </w:r>
      <w:r w:rsidRPr="00722122">
        <w:rPr>
          <w:bCs/>
          <w:color w:val="000000" w:themeColor="text1"/>
        </w:rPr>
        <w:t xml:space="preserve"> = 1.00).</w:t>
      </w:r>
    </w:p>
    <w:p w14:paraId="2DBECB65" w14:textId="5DA21BD6" w:rsidR="00FA41C0" w:rsidRPr="00FD6A4F" w:rsidRDefault="00FF6EC6" w:rsidP="00A81ED6">
      <w:pPr>
        <w:spacing w:line="480" w:lineRule="auto"/>
        <w:contextualSpacing/>
        <w:rPr>
          <w:b/>
          <w:color w:val="000000" w:themeColor="text1"/>
        </w:rPr>
      </w:pPr>
      <w:r w:rsidRPr="00135C28">
        <w:rPr>
          <w:b/>
          <w:color w:val="000000" w:themeColor="text1"/>
        </w:rPr>
        <w:tab/>
      </w:r>
      <w:r w:rsidRPr="00135C28">
        <w:rPr>
          <w:bCs/>
          <w:color w:val="000000" w:themeColor="text1"/>
        </w:rPr>
        <w:t xml:space="preserve">Post-hoc exploratory analyses were conducted evaluating reliable and clinically significant change at follow-up. </w:t>
      </w:r>
      <w:r w:rsidR="00135C28" w:rsidRPr="00135C28">
        <w:rPr>
          <w:bCs/>
          <w:color w:val="000000" w:themeColor="text1"/>
        </w:rPr>
        <w:t xml:space="preserve">At this timepoint, 64.00% of participants in the ACT condition (n = 16) achieved reliable change, which was </w:t>
      </w:r>
      <w:r w:rsidR="0023027B">
        <w:rPr>
          <w:bCs/>
          <w:color w:val="000000" w:themeColor="text1"/>
        </w:rPr>
        <w:t>not significantly different to the waitlist</w:t>
      </w:r>
      <w:r w:rsidR="00135C28" w:rsidRPr="00135C28">
        <w:rPr>
          <w:bCs/>
          <w:color w:val="000000" w:themeColor="text1"/>
        </w:rPr>
        <w:t xml:space="preserve"> condition (</w:t>
      </w:r>
      <w:r w:rsidR="00135C28" w:rsidRPr="00135C28">
        <w:rPr>
          <w:rFonts w:ascii="Symbol" w:hAnsi="Symbol"/>
          <w:bCs/>
          <w:color w:val="000000" w:themeColor="text1"/>
        </w:rPr>
        <w:t>c</w:t>
      </w:r>
      <w:r w:rsidR="00135C28" w:rsidRPr="00135C28">
        <w:rPr>
          <w:bCs/>
          <w:color w:val="000000" w:themeColor="text1"/>
          <w:vertAlign w:val="superscript"/>
        </w:rPr>
        <w:t>2</w:t>
      </w:r>
      <w:r w:rsidR="00135C28" w:rsidRPr="00135C28">
        <w:rPr>
          <w:bCs/>
          <w:color w:val="000000" w:themeColor="text1"/>
        </w:rPr>
        <w:t>(1) = 5.30,</w:t>
      </w:r>
      <w:r w:rsidR="00CE6BEA">
        <w:rPr>
          <w:bCs/>
          <w:color w:val="000000" w:themeColor="text1"/>
        </w:rPr>
        <w:t xml:space="preserve"> Holm-corrected</w:t>
      </w:r>
      <w:r w:rsidR="00135C28" w:rsidRPr="00135C28">
        <w:rPr>
          <w:bCs/>
          <w:color w:val="000000" w:themeColor="text1"/>
        </w:rPr>
        <w:t xml:space="preserve"> </w:t>
      </w:r>
      <w:r w:rsidR="00135C28" w:rsidRPr="00135C28">
        <w:rPr>
          <w:bCs/>
          <w:i/>
          <w:iCs/>
          <w:color w:val="000000" w:themeColor="text1"/>
        </w:rPr>
        <w:t>p</w:t>
      </w:r>
      <w:r w:rsidR="00135C28" w:rsidRPr="00135C28">
        <w:rPr>
          <w:bCs/>
          <w:color w:val="000000" w:themeColor="text1"/>
        </w:rPr>
        <w:t xml:space="preserve"> = .</w:t>
      </w:r>
      <w:r w:rsidR="00100492">
        <w:rPr>
          <w:bCs/>
          <w:color w:val="000000" w:themeColor="text1"/>
        </w:rPr>
        <w:t>14</w:t>
      </w:r>
      <w:r w:rsidR="00135C28" w:rsidRPr="00135C28">
        <w:rPr>
          <w:bCs/>
          <w:color w:val="000000" w:themeColor="text1"/>
        </w:rPr>
        <w:t>). Finally, 37.04% of participants in the ACT condition (n = 10) achieved clinically significant change by follow-up, which was not significantly different from waitlist (</w:t>
      </w:r>
      <w:r w:rsidR="00135C28" w:rsidRPr="00135C28">
        <w:rPr>
          <w:rFonts w:ascii="Symbol" w:hAnsi="Symbol"/>
          <w:bCs/>
          <w:color w:val="000000" w:themeColor="text1"/>
        </w:rPr>
        <w:t>c</w:t>
      </w:r>
      <w:r w:rsidR="00135C28" w:rsidRPr="00135C28">
        <w:rPr>
          <w:bCs/>
          <w:color w:val="000000" w:themeColor="text1"/>
          <w:vertAlign w:val="superscript"/>
        </w:rPr>
        <w:t>2</w:t>
      </w:r>
      <w:r w:rsidR="00135C28" w:rsidRPr="00135C28">
        <w:rPr>
          <w:bCs/>
          <w:color w:val="000000" w:themeColor="text1"/>
        </w:rPr>
        <w:t xml:space="preserve">(1) = 1.67, </w:t>
      </w:r>
      <w:r w:rsidR="00100492">
        <w:rPr>
          <w:bCs/>
          <w:color w:val="000000" w:themeColor="text1"/>
        </w:rPr>
        <w:t xml:space="preserve">Holm-corrected </w:t>
      </w:r>
      <w:r w:rsidR="00135C28" w:rsidRPr="00135C28">
        <w:rPr>
          <w:bCs/>
          <w:i/>
          <w:iCs/>
          <w:color w:val="000000" w:themeColor="text1"/>
        </w:rPr>
        <w:t>p</w:t>
      </w:r>
      <w:r w:rsidR="00135C28" w:rsidRPr="00135C28">
        <w:rPr>
          <w:bCs/>
          <w:color w:val="000000" w:themeColor="text1"/>
        </w:rPr>
        <w:t xml:space="preserve"> = .</w:t>
      </w:r>
      <w:r w:rsidR="00100492">
        <w:rPr>
          <w:bCs/>
          <w:color w:val="000000" w:themeColor="text1"/>
        </w:rPr>
        <w:t>1</w:t>
      </w:r>
      <w:r w:rsidR="00135C28" w:rsidRPr="00135C28">
        <w:rPr>
          <w:bCs/>
          <w:color w:val="000000" w:themeColor="text1"/>
        </w:rPr>
        <w:t>)</w:t>
      </w:r>
    </w:p>
    <w:p w14:paraId="4D438094" w14:textId="3DC147FD" w:rsidR="00434953" w:rsidRDefault="00434953" w:rsidP="00434953">
      <w:pPr>
        <w:spacing w:line="480" w:lineRule="auto"/>
        <w:jc w:val="center"/>
        <w:rPr>
          <w:b/>
          <w:color w:val="000000" w:themeColor="text1"/>
        </w:rPr>
      </w:pPr>
      <w:r w:rsidRPr="00FD6A4F">
        <w:rPr>
          <w:b/>
          <w:color w:val="000000" w:themeColor="text1"/>
        </w:rPr>
        <w:t>Discussion</w:t>
      </w:r>
    </w:p>
    <w:p w14:paraId="614F7BC6" w14:textId="5209E70D" w:rsidR="00A23624" w:rsidRPr="00A23624" w:rsidRDefault="00A23624" w:rsidP="00A23624">
      <w:pPr>
        <w:spacing w:line="480" w:lineRule="auto"/>
        <w:rPr>
          <w:bCs/>
          <w:color w:val="000000" w:themeColor="text1"/>
        </w:rPr>
      </w:pPr>
      <w:r w:rsidRPr="00A23624">
        <w:rPr>
          <w:b/>
          <w:color w:val="000000" w:themeColor="text1"/>
        </w:rPr>
        <w:tab/>
      </w:r>
      <w:r w:rsidRPr="00A23624">
        <w:rPr>
          <w:bCs/>
          <w:color w:val="000000" w:themeColor="text1"/>
        </w:rPr>
        <w:t xml:space="preserve">In the current study, we examined the acceptability and efficacy of an ACT </w:t>
      </w:r>
      <w:r w:rsidR="004957AA">
        <w:rPr>
          <w:bCs/>
          <w:color w:val="000000" w:themeColor="text1"/>
        </w:rPr>
        <w:t xml:space="preserve">self-help </w:t>
      </w:r>
      <w:r w:rsidRPr="00A23624">
        <w:rPr>
          <w:bCs/>
          <w:color w:val="000000" w:themeColor="text1"/>
        </w:rPr>
        <w:t xml:space="preserve">website for hoarding, </w:t>
      </w:r>
      <w:r w:rsidRPr="00A23624">
        <w:rPr>
          <w:bCs/>
          <w:i/>
          <w:iCs/>
          <w:color w:val="000000" w:themeColor="text1"/>
        </w:rPr>
        <w:t>Making Space</w:t>
      </w:r>
      <w:r w:rsidRPr="00A23624">
        <w:rPr>
          <w:bCs/>
          <w:color w:val="000000" w:themeColor="text1"/>
        </w:rPr>
        <w:t xml:space="preserve">. </w:t>
      </w:r>
      <w:r w:rsidR="004957AA">
        <w:rPr>
          <w:bCs/>
          <w:color w:val="000000" w:themeColor="text1"/>
        </w:rPr>
        <w:t>The primary reason for using a</w:t>
      </w:r>
      <w:r w:rsidRPr="00A23624">
        <w:rPr>
          <w:bCs/>
          <w:color w:val="000000" w:themeColor="text1"/>
        </w:rPr>
        <w:t>n online-delivered format was to increase accessibility of the intervention, especially for people living in rural areas or far from healthcare providers experienced in treating hoarding. In addition, the format of the website may have the secondary effect of circumventing treatment barriers related to affordability and beliefs about need for self-reliance</w:t>
      </w:r>
      <w:r w:rsidR="00C11921">
        <w:rPr>
          <w:bCs/>
          <w:color w:val="000000" w:themeColor="text1"/>
        </w:rPr>
        <w:t xml:space="preserve"> </w:t>
      </w:r>
      <w:r w:rsidR="00C11921">
        <w:rPr>
          <w:bCs/>
          <w:color w:val="000000" w:themeColor="text1"/>
        </w:rPr>
        <w:fldChar w:fldCharType="begin" w:fldLock="1"/>
      </w:r>
      <w:r w:rsidR="00E86339">
        <w:rPr>
          <w:bCs/>
          <w:color w:val="000000" w:themeColor="text1"/>
        </w:rPr>
        <w:instrText>ADDIN CSL_CITATION {"citationItems":[{"id":"ITEM-1","itemData":{"DOI":"10.1016/j.jocrd.2020.100560","ISSN":"22113657","abstract":"Hoarding Disorder (HD) is a common and debilitating mental health condition that is characterized by low treatment uptake and high drop-out rates. The aim of the present study was to 1) provide a preliminary evaluation of the barriers to psychological help-seeking and 2) understand psychological treatment preferences of individuals with clinically significant symptoms of HD. Fifty participants (82% female; M age = 47.82, SD = 12.92) completed the study. The most frequently cited barriers to treatment were related to cost (66%), self-reliance (58%), and lack of knowledge about treatment options (42%). Likelihood of seeking treatment for HD symptoms was low and past-treatment predicted treatment-seeking intention, while symptom severity, depression, and internalized stigma were non-significant predictors (F(4, 44) = 9.40, p &lt;.001; R2 = 0.49). Participants indicated a preference for individually-administered treatment (41.3%) or remote low intensity treatments (30.4%), over accelerated or group therapy approaches. The study highlights that individuals with HD experience significant barriers to accessing psychological treatment for HD and providing a variety of low cost, evidence-based treatment approaches may enhance treatment uptake for this population.","author":[{"dropping-particle":"","family":"Robertson","given":"Lea","non-dropping-particle":"","parse-names":false,"suffix":""},{"dropping-particle":"","family":"Paparo","given":"Josephine","non-dropping-particle":"","parse-names":false,"suffix":""},{"dropping-particle":"","family":"Wootton","given":"Bethany M.","non-dropping-particle":"","parse-names":false,"suffix":""}],"container-title":"Journal of Obsessive-Compulsive and Related Disorders","id":"ITEM-1","issue":"July","issued":{"date-parts":[["2020"]]},"page":"100560","publisher":"Elsevier Inc.","title":"Understanding barriers to treatment and treatment delivery preferences for individuals with symptoms of hoarding disorder: A preliminary study","type":"article-journal","volume":"26"},"uris":["http://www.mendeley.com/documents/?uuid=e217edb4-a124-4dc3-83c4-08e672e9af80"]}],"mendeley":{"formattedCitation":"(Robertson et al., 2020)","plainTextFormattedCitation":"(Robertson et al., 2020)","previouslyFormattedCitation":"(Robertson et al., 2020)"},"properties":{"noteIndex":0},"schema":"https://github.com/citation-style-language/schema/raw/master/csl-citation.json"}</w:instrText>
      </w:r>
      <w:r w:rsidR="00C11921">
        <w:rPr>
          <w:bCs/>
          <w:color w:val="000000" w:themeColor="text1"/>
        </w:rPr>
        <w:fldChar w:fldCharType="separate"/>
      </w:r>
      <w:r w:rsidR="00C11921" w:rsidRPr="00C11921">
        <w:rPr>
          <w:bCs/>
          <w:noProof/>
          <w:color w:val="000000" w:themeColor="text1"/>
        </w:rPr>
        <w:t>(Robertson et al., 2020)</w:t>
      </w:r>
      <w:r w:rsidR="00C11921">
        <w:rPr>
          <w:bCs/>
          <w:color w:val="000000" w:themeColor="text1"/>
        </w:rPr>
        <w:fldChar w:fldCharType="end"/>
      </w:r>
      <w:r w:rsidR="00C11921">
        <w:rPr>
          <w:bCs/>
          <w:color w:val="000000" w:themeColor="text1"/>
        </w:rPr>
        <w:t>.</w:t>
      </w:r>
    </w:p>
    <w:p w14:paraId="5ECC84EC" w14:textId="5B53AF66" w:rsidR="00E616BF" w:rsidRDefault="00F61C60" w:rsidP="00F61C60">
      <w:pPr>
        <w:spacing w:line="480" w:lineRule="auto"/>
        <w:ind w:firstLine="720"/>
        <w:rPr>
          <w:bCs/>
          <w:color w:val="000000" w:themeColor="text1"/>
        </w:rPr>
      </w:pPr>
      <w:r>
        <w:rPr>
          <w:bCs/>
          <w:color w:val="000000" w:themeColor="text1"/>
        </w:rPr>
        <w:t>P</w:t>
      </w:r>
      <w:r w:rsidRPr="00A23624">
        <w:rPr>
          <w:bCs/>
          <w:color w:val="000000" w:themeColor="text1"/>
        </w:rPr>
        <w:t xml:space="preserve">articipants </w:t>
      </w:r>
      <w:r w:rsidR="00825EA0">
        <w:rPr>
          <w:bCs/>
          <w:color w:val="000000" w:themeColor="text1"/>
        </w:rPr>
        <w:t xml:space="preserve">in the ACT condition </w:t>
      </w:r>
      <w:r w:rsidRPr="00A23624">
        <w:rPr>
          <w:bCs/>
          <w:color w:val="000000" w:themeColor="text1"/>
        </w:rPr>
        <w:t xml:space="preserve">on average reported improvement </w:t>
      </w:r>
      <w:r w:rsidR="00D13727">
        <w:rPr>
          <w:bCs/>
          <w:color w:val="000000" w:themeColor="text1"/>
        </w:rPr>
        <w:t xml:space="preserve">relative to waitlist </w:t>
      </w:r>
      <w:r w:rsidR="00EF3AFB">
        <w:rPr>
          <w:bCs/>
          <w:color w:val="000000" w:themeColor="text1"/>
        </w:rPr>
        <w:t>across nearly all outcomes measured</w:t>
      </w:r>
      <w:r>
        <w:rPr>
          <w:bCs/>
          <w:color w:val="000000" w:themeColor="text1"/>
        </w:rPr>
        <w:t xml:space="preserve"> including </w:t>
      </w:r>
      <w:r w:rsidRPr="00A23624">
        <w:rPr>
          <w:bCs/>
          <w:color w:val="000000" w:themeColor="text1"/>
        </w:rPr>
        <w:t xml:space="preserve">hoarding severity, functioning, </w:t>
      </w:r>
      <w:r w:rsidR="00A14202">
        <w:rPr>
          <w:bCs/>
          <w:color w:val="000000" w:themeColor="text1"/>
        </w:rPr>
        <w:t xml:space="preserve">well-being, </w:t>
      </w:r>
      <w:r w:rsidRPr="00A23624">
        <w:rPr>
          <w:bCs/>
          <w:color w:val="000000" w:themeColor="text1"/>
        </w:rPr>
        <w:t>and valued action over the course of the study</w:t>
      </w:r>
      <w:r w:rsidR="00B25053">
        <w:rPr>
          <w:bCs/>
          <w:color w:val="000000" w:themeColor="text1"/>
        </w:rPr>
        <w:t>, consistent with findings from a previous multiple baseline trial that supported the efficacy of ACT for hoarding disorder (Ong et al., 2021)</w:t>
      </w:r>
      <w:r w:rsidRPr="00A23624">
        <w:rPr>
          <w:bCs/>
          <w:color w:val="000000" w:themeColor="text1"/>
        </w:rPr>
        <w:t xml:space="preserve">. </w:t>
      </w:r>
      <w:r w:rsidR="00557F0F">
        <w:rPr>
          <w:bCs/>
          <w:color w:val="000000" w:themeColor="text1"/>
        </w:rPr>
        <w:t>There were no significant differences between groups</w:t>
      </w:r>
      <w:r w:rsidR="00262BB5">
        <w:rPr>
          <w:bCs/>
          <w:color w:val="000000" w:themeColor="text1"/>
        </w:rPr>
        <w:t xml:space="preserve"> on rates of reliable and clinically significant change at posttreatment or follow-up</w:t>
      </w:r>
      <w:r w:rsidRPr="00A23624">
        <w:rPr>
          <w:bCs/>
          <w:color w:val="000000" w:themeColor="text1"/>
        </w:rPr>
        <w:t xml:space="preserve">. Together, this pattern of results suggests that the treatment </w:t>
      </w:r>
      <w:r w:rsidRPr="00A23624">
        <w:rPr>
          <w:bCs/>
          <w:color w:val="000000" w:themeColor="text1"/>
        </w:rPr>
        <w:lastRenderedPageBreak/>
        <w:t>was effective over</w:t>
      </w:r>
      <w:r w:rsidR="00262BB5">
        <w:rPr>
          <w:bCs/>
          <w:color w:val="000000" w:themeColor="text1"/>
        </w:rPr>
        <w:t>all</w:t>
      </w:r>
      <w:r w:rsidRPr="00A23624">
        <w:rPr>
          <w:bCs/>
          <w:color w:val="000000" w:themeColor="text1"/>
        </w:rPr>
        <w:t xml:space="preserve"> but </w:t>
      </w:r>
      <w:r w:rsidR="00171C6B">
        <w:rPr>
          <w:bCs/>
          <w:color w:val="000000" w:themeColor="text1"/>
        </w:rPr>
        <w:t xml:space="preserve">lacks evidence for </w:t>
      </w:r>
      <w:r w:rsidR="00262BB5">
        <w:rPr>
          <w:bCs/>
          <w:color w:val="000000" w:themeColor="text1"/>
        </w:rPr>
        <w:t xml:space="preserve">reliable and </w:t>
      </w:r>
      <w:r w:rsidRPr="00A23624">
        <w:rPr>
          <w:bCs/>
          <w:color w:val="000000" w:themeColor="text1"/>
        </w:rPr>
        <w:t>clinically significant change (rates in other studies range from 25 to 43%;</w:t>
      </w:r>
      <w:r w:rsidR="00A14202">
        <w:rPr>
          <w:bCs/>
          <w:color w:val="000000" w:themeColor="text1"/>
        </w:rPr>
        <w:t xml:space="preserve"> </w:t>
      </w:r>
      <w:r w:rsidR="00A14202">
        <w:rPr>
          <w:bCs/>
          <w:color w:val="000000" w:themeColor="text1"/>
        </w:rPr>
        <w:fldChar w:fldCharType="begin" w:fldLock="1"/>
      </w:r>
      <w:r w:rsidR="00AF69C1">
        <w:rPr>
          <w:bCs/>
          <w:color w:val="000000" w:themeColor="text1"/>
        </w:rPr>
        <w:instrText>ADDIN CSL_CITATION {"citationItems":[{"id":"ITEM-1","itemData":{"DOI":"10.1002/da.22327","ISSN":"10914269","author":[{"dropping-particle":"","family":"Tolin","given":"David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Anxiety","id":"ITEM-1","issued":{"date-parts":[["2015"]]},"page":"158-166","title":"Cognitive behavioral therapy for hoarding disorder: A meta-analysis","type":"article-journal","volume":"32"},"uris":["http://www.mendeley.com/documents/?uuid=d6a717d0-bb9d-4ecf-ad4b-e4699b30f7a5"]}],"mendeley":{"formattedCitation":"(Tolin et al., 2015)","manualFormatting":"Tolin et al., 2015)","plainTextFormattedCitation":"(Tolin et al., 2015)","previouslyFormattedCitation":"(Tolin et al., 2015)"},"properties":{"noteIndex":0},"schema":"https://github.com/citation-style-language/schema/raw/master/csl-citation.json"}</w:instrText>
      </w:r>
      <w:r w:rsidR="00A14202">
        <w:rPr>
          <w:bCs/>
          <w:color w:val="000000" w:themeColor="text1"/>
        </w:rPr>
        <w:fldChar w:fldCharType="separate"/>
      </w:r>
      <w:r w:rsidR="00A14202" w:rsidRPr="00A14202">
        <w:rPr>
          <w:bCs/>
          <w:noProof/>
          <w:color w:val="000000" w:themeColor="text1"/>
        </w:rPr>
        <w:t>Tolin et al., 2015)</w:t>
      </w:r>
      <w:r w:rsidR="00A14202">
        <w:rPr>
          <w:bCs/>
          <w:color w:val="000000" w:themeColor="text1"/>
        </w:rPr>
        <w:fldChar w:fldCharType="end"/>
      </w:r>
      <w:r w:rsidR="00A14202">
        <w:rPr>
          <w:bCs/>
          <w:color w:val="000000" w:themeColor="text1"/>
        </w:rPr>
        <w:t>.</w:t>
      </w:r>
      <w:r w:rsidRPr="00A23624">
        <w:rPr>
          <w:bCs/>
          <w:color w:val="000000" w:themeColor="text1"/>
        </w:rPr>
        <w:t xml:space="preserve"> It is possible that the website may </w:t>
      </w:r>
      <w:r>
        <w:rPr>
          <w:bCs/>
          <w:color w:val="000000" w:themeColor="text1"/>
        </w:rPr>
        <w:t xml:space="preserve">be limited in the degree of change evoked, which is similar to findings for online ACT interventions for other concerns </w:t>
      </w:r>
      <w:r>
        <w:rPr>
          <w:bCs/>
          <w:color w:val="000000" w:themeColor="text1"/>
        </w:rPr>
        <w:fldChar w:fldCharType="begin" w:fldLock="1"/>
      </w:r>
      <w:r w:rsidR="00A14202">
        <w:rPr>
          <w:bCs/>
          <w:color w:val="000000" w:themeColor="text1"/>
        </w:rPr>
        <w:instrText>ADDIN CSL_CITATION {"citationItems":[{"id":"ITEM-1","itemData":{"DOI":"10.1016/j.beth.2020.07.002","ISSN":"18781888","PMID":"33622516","abstract":"Internet-based acceptance and commitment therapy (iACT) primarily targets the process of psychological flexibility. Its accessibility and low-intensity delivery are applicable across different treatment and prevention scenarios. This transdiagnostic meta-analysis reviews the effectiveness of iACT on anxiety, depression, quality of life, and psychological flexibility across individuals with different psychological and somatic conditions/complaints, or undiagnosed complaints. Seven databases were searched for randomized controlled trials that reported on anxiety, depression, quality of life, and psychological flexibility outcomes from iACT in any adult population. Engagement with iACT was summarized and methodological and population-related variables were investigated as potential moderators of effectiveness. Across 25 studies, small pooled effects were found for all outcomes at post-assessment and maintained at follow-up time-points. Interventions with therapist guidance demonstrated greater effectiveness in improving depression and psychological flexibility outcomes compared to nonguided iACT, and populations defined by a psychological condition or symptoms (e.g., depressed samples) demonstrated greater improvements in anxiety compared to nonclinical or somatic populations (e.g., chronic pain samples or students). Participants completed on average 75.77% of iACT treatments. While we found iACT to be effective in improving and maintaining mental health outcomes across diverse populations, there was limited evidence of reliable, clinically significant effects. PROSPERO registration number: CRD42020140086.","author":[{"dropping-particle":"","family":"Thompson","given":"Emma M.","non-dropping-particle":"","parse-names":false,"suffix":""},{"dropping-particle":"","family":"Destree","given":"Louise","non-dropping-particle":"","parse-names":false,"suffix":""},{"dropping-particle":"","family":"Albertella","given":"Lucy","non-dropping-particle":"","parse-names":false,"suffix":""},{"dropping-particle":"","family":"Fontenelle","given":"Leonardo F.","non-dropping-particle":"","parse-names":false,"suffix":""}],"container-title":"Behavior Therapy","id":"ITEM-1","issue":"2","issued":{"date-parts":[["2021"]]},"page":"492-507","publisher":"Elsevier Ltd","title":"Internet-based acceptance and commitment therapy: A transdiagnostic systematic review and meta-analysis for mental health outcomes","type":"article-journal","volume":"52"},"uris":["http://www.mendeley.com/documents/?uuid=69411ff7-face-4c26-b52a-5b63d00881ce"]}],"mendeley":{"formattedCitation":"(Thompson et al., 2021)","plainTextFormattedCitation":"(Thompson et al., 2021)","previouslyFormattedCitation":"(Thompson et al., 2021)"},"properties":{"noteIndex":0},"schema":"https://github.com/citation-style-language/schema/raw/master/csl-citation.json"}</w:instrText>
      </w:r>
      <w:r>
        <w:rPr>
          <w:bCs/>
          <w:color w:val="000000" w:themeColor="text1"/>
        </w:rPr>
        <w:fldChar w:fldCharType="separate"/>
      </w:r>
      <w:r w:rsidRPr="00F61C60">
        <w:rPr>
          <w:bCs/>
          <w:noProof/>
          <w:color w:val="000000" w:themeColor="text1"/>
        </w:rPr>
        <w:t>(Thompson et al., 2021)</w:t>
      </w:r>
      <w:r>
        <w:rPr>
          <w:bCs/>
          <w:color w:val="000000" w:themeColor="text1"/>
        </w:rPr>
        <w:fldChar w:fldCharType="end"/>
      </w:r>
      <w:r w:rsidRPr="00A23624">
        <w:rPr>
          <w:bCs/>
          <w:color w:val="000000" w:themeColor="text1"/>
        </w:rPr>
        <w:t>. Thus, it may be more useful as an introduction to treatment—especially for people without easy access to individual or group therapy—which is then followed up with more intensive treatment</w:t>
      </w:r>
      <w:r w:rsidR="004957AA">
        <w:rPr>
          <w:bCs/>
          <w:color w:val="000000" w:themeColor="text1"/>
        </w:rPr>
        <w:t xml:space="preserve"> </w:t>
      </w:r>
      <w:r w:rsidR="004957AA" w:rsidRPr="004957AA">
        <w:rPr>
          <w:bCs/>
          <w:color w:val="000000" w:themeColor="text1"/>
        </w:rPr>
        <w:t>à</w:t>
      </w:r>
      <w:r w:rsidR="004957AA">
        <w:rPr>
          <w:bCs/>
          <w:color w:val="000000" w:themeColor="text1"/>
        </w:rPr>
        <w:t xml:space="preserve"> la</w:t>
      </w:r>
      <w:r>
        <w:rPr>
          <w:bCs/>
          <w:color w:val="000000" w:themeColor="text1"/>
        </w:rPr>
        <w:t xml:space="preserve"> a</w:t>
      </w:r>
      <w:r w:rsidRPr="00A23624">
        <w:rPr>
          <w:bCs/>
          <w:color w:val="000000" w:themeColor="text1"/>
        </w:rPr>
        <w:t xml:space="preserve"> stepped care model. </w:t>
      </w:r>
    </w:p>
    <w:p w14:paraId="3616AC80" w14:textId="177C3FDE" w:rsidR="00F61C60" w:rsidRPr="00A23624" w:rsidRDefault="00F61C60" w:rsidP="00F61C60">
      <w:pPr>
        <w:spacing w:line="480" w:lineRule="auto"/>
        <w:ind w:firstLine="720"/>
        <w:rPr>
          <w:bCs/>
          <w:color w:val="000000" w:themeColor="text1"/>
        </w:rPr>
      </w:pPr>
      <w:r w:rsidRPr="00A23624">
        <w:rPr>
          <w:bCs/>
          <w:color w:val="000000" w:themeColor="text1"/>
        </w:rPr>
        <w:t xml:space="preserve">Using the website as an initial intervention may be particularly important for providing psychoeducation and exposure to </w:t>
      </w:r>
      <w:r w:rsidR="00FF477F">
        <w:rPr>
          <w:bCs/>
          <w:color w:val="000000" w:themeColor="text1"/>
        </w:rPr>
        <w:t>psychological skills</w:t>
      </w:r>
      <w:r w:rsidRPr="00A23624">
        <w:rPr>
          <w:bCs/>
          <w:color w:val="000000" w:themeColor="text1"/>
        </w:rPr>
        <w:t xml:space="preserve">, increasing users’ amenability to evidence-based treatment </w:t>
      </w:r>
      <w:proofErr w:type="gramStart"/>
      <w:r w:rsidRPr="00A23624">
        <w:rPr>
          <w:bCs/>
          <w:color w:val="000000" w:themeColor="text1"/>
        </w:rPr>
        <w:t>later on</w:t>
      </w:r>
      <w:proofErr w:type="gramEnd"/>
      <w:r w:rsidRPr="00A23624">
        <w:rPr>
          <w:bCs/>
          <w:color w:val="000000" w:themeColor="text1"/>
        </w:rPr>
        <w:t xml:space="preserve">. </w:t>
      </w:r>
      <w:r>
        <w:rPr>
          <w:bCs/>
          <w:color w:val="000000" w:themeColor="text1"/>
        </w:rPr>
        <w:t xml:space="preserve">Additionally, it may be useful </w:t>
      </w:r>
      <w:r w:rsidR="004957AA">
        <w:rPr>
          <w:bCs/>
          <w:color w:val="000000" w:themeColor="text1"/>
        </w:rPr>
        <w:t xml:space="preserve">in future research </w:t>
      </w:r>
      <w:r>
        <w:rPr>
          <w:bCs/>
          <w:color w:val="000000" w:themeColor="text1"/>
        </w:rPr>
        <w:t>to identify moderators that predict treatment response when using online interventions for hoarding, to help guide decision-making.</w:t>
      </w:r>
      <w:r w:rsidR="00A14202">
        <w:rPr>
          <w:bCs/>
          <w:color w:val="000000" w:themeColor="text1"/>
        </w:rPr>
        <w:t xml:space="preserve"> Despite limitations to the degree of change, it is promising that improvements generalized across a range of important outcomes, including not only hoarding symptoms but also overall well-being and progress toward personal values, which </w:t>
      </w:r>
      <w:r w:rsidR="004957AA">
        <w:rPr>
          <w:bCs/>
          <w:color w:val="000000" w:themeColor="text1"/>
        </w:rPr>
        <w:t xml:space="preserve">is consistent </w:t>
      </w:r>
      <w:r w:rsidR="00FA302A">
        <w:rPr>
          <w:bCs/>
          <w:color w:val="000000" w:themeColor="text1"/>
        </w:rPr>
        <w:t>with the primary aims</w:t>
      </w:r>
      <w:r w:rsidR="00A14202">
        <w:rPr>
          <w:bCs/>
          <w:color w:val="000000" w:themeColor="text1"/>
        </w:rPr>
        <w:t xml:space="preserve"> of ACT.</w:t>
      </w:r>
    </w:p>
    <w:p w14:paraId="414C3AD7" w14:textId="3F80A7E0" w:rsidR="00A23624" w:rsidRPr="00A23624" w:rsidRDefault="00F61C60" w:rsidP="00A23624">
      <w:pPr>
        <w:spacing w:line="480" w:lineRule="auto"/>
        <w:rPr>
          <w:bCs/>
          <w:color w:val="000000" w:themeColor="text1"/>
        </w:rPr>
      </w:pPr>
      <w:r>
        <w:rPr>
          <w:bCs/>
          <w:color w:val="000000" w:themeColor="text1"/>
        </w:rPr>
        <w:tab/>
      </w:r>
      <w:r w:rsidR="00A23624" w:rsidRPr="00A23624">
        <w:rPr>
          <w:bCs/>
          <w:color w:val="000000" w:themeColor="text1"/>
        </w:rPr>
        <w:t xml:space="preserve">On average, our sample reported that treatment was </w:t>
      </w:r>
      <w:proofErr w:type="gramStart"/>
      <w:r w:rsidR="00A23624" w:rsidRPr="00A23624">
        <w:rPr>
          <w:bCs/>
          <w:color w:val="000000" w:themeColor="text1"/>
        </w:rPr>
        <w:t>acceptable</w:t>
      </w:r>
      <w:proofErr w:type="gramEnd"/>
      <w:r w:rsidR="00A23624" w:rsidRPr="00A23624">
        <w:rPr>
          <w:bCs/>
          <w:color w:val="000000" w:themeColor="text1"/>
        </w:rPr>
        <w:t xml:space="preserve"> and the coaching component was useful. The additional accountability afforded by regular coaching may have been helpful for keeping participants on track and clarifying any confusion with the website. However, these participants appear to have been in the minority as we observed a completion rate of 13.2 %</w:t>
      </w:r>
      <w:r w:rsidR="00230C16">
        <w:rPr>
          <w:bCs/>
          <w:color w:val="000000" w:themeColor="text1"/>
        </w:rPr>
        <w:t xml:space="preserve"> for the full treatment</w:t>
      </w:r>
      <w:r w:rsidR="00A23624" w:rsidRPr="00A23624">
        <w:rPr>
          <w:bCs/>
          <w:color w:val="000000" w:themeColor="text1"/>
        </w:rPr>
        <w:t xml:space="preserve"> (44.7% completed at least half of the treatment), indicating that most participants did not fully engage with the treatment as designed. It could be that the ratio of self-directed to guided content was inadequate for bolstering engagement and other forms of accountability may have been helpful for boosting retention (e.g., weekly meetings with other study participants).</w:t>
      </w:r>
    </w:p>
    <w:p w14:paraId="247A10C4" w14:textId="40FB23F5" w:rsidR="00A23624" w:rsidRPr="00A23624" w:rsidRDefault="00A23624" w:rsidP="00A23624">
      <w:pPr>
        <w:spacing w:line="480" w:lineRule="auto"/>
        <w:rPr>
          <w:bCs/>
          <w:color w:val="000000" w:themeColor="text1"/>
        </w:rPr>
      </w:pPr>
      <w:r w:rsidRPr="00A23624">
        <w:rPr>
          <w:bCs/>
          <w:color w:val="000000" w:themeColor="text1"/>
        </w:rPr>
        <w:lastRenderedPageBreak/>
        <w:tab/>
        <w:t xml:space="preserve">The low completion rate </w:t>
      </w:r>
      <w:r w:rsidR="00021EA8">
        <w:rPr>
          <w:bCs/>
          <w:color w:val="000000" w:themeColor="text1"/>
        </w:rPr>
        <w:t xml:space="preserve">is not surprising as adherence has been a noted problem in both past hoarding studies </w:t>
      </w:r>
      <w:r w:rsidR="00021EA8">
        <w:rPr>
          <w:bCs/>
          <w:color w:val="000000" w:themeColor="text1"/>
        </w:rPr>
        <w:fldChar w:fldCharType="begin" w:fldLock="1"/>
      </w:r>
      <w:r w:rsidR="00021EA8">
        <w:rPr>
          <w:bCs/>
          <w:color w:val="000000" w:themeColor="text1"/>
        </w:rPr>
        <w:instrText>ADDIN CSL_CITATION {"citationItems":[{"id":"ITEM-1","itemData":{"DOI":"10.1017/S1352465800003064","ISBN":"1352-4658","ISSN":"13524658","abstract":"Examined the effects of a cognitive and behavioral intervention (CBI) specifically designed to address components of the model for hoarding described by R. O. Frost and T. Hartl (see record 1996-01004-005). Ss were 7 individuals (aged 36-61 yrs) seeking treatment for problems with excessive hoarding. All Ss were diagnosed with clinical compulsive hoarding. Treatment consisted of 6 Ss receiving CBI (group and individual) for a period of 20 wks. Three Ss continued in treatment for a period of 48 wks. The remaining client received 20 weekly-sessions of individual treatment only. The CBI focused on 5 general areas: education about hoarding, practice in decision-making, organizing skills training, behavioral exposure, and cognitive restructuring. Outcome was assessed by the Yale-Brown Obsessive Compulsive Scale (adapted for hoarding behavior). Also, Ss rated their improvement in specific areas targeted. The findings show that, after 20 wks, a noticeable improvement in several hoarding symptoms was experience by 5 of the 7 Ss. Further, 3 of the 4 Ss who continued treatment for about 1 yr showed even greater improvement although none felt entirely recovered. The client individually treated also made substantial gains but later became depressed and experienced a return of symptoms. (PsycINFO Database Record (c) 2016 APA, all rights reserved)","author":[{"dropping-particle":"","family":"Steketee","given":"Gail","non-dropping-particle":"","parse-names":false,"suffix":""},{"dropping-particle":"","family":"Frost","given":"Randy O.","non-dropping-particle":"","parse-names":false,"suffix":""},{"dropping-particle":"","family":"Wincze","given":"Jeff","non-dropping-particle":"","parse-names":false,"suffix":""},{"dropping-particle":"","family":"Greene","given":"Kamala A.I.","non-dropping-particle":"","parse-names":false,"suffix":""},{"dropping-particle":"","family":"Douglass","given":"Heidi","non-dropping-particle":"","parse-names":false,"suffix":""}],"container-title":"Behavioural and Cognitive Psychotherapy","id":"ITEM-1","issue":"3","issued":{"date-parts":[["2000"]]},"page":"259-268","title":"Group and individual treatment of compulsive hoarding: A pilot study","type":"article-journal","volume":"28"},"uris":["http://www.mendeley.com/documents/?uuid=978252b1-cb5a-4c29-a971-132a61b50814"]},{"id":"ITEM-2","itemData":{"DOI":"10.1016/j.brat.2007.01.001","ISSN":"0005-7967","PMID":"17306221","abstract":"The aim of the present study was to provide preliminary data on the efficacy of a new cognitive- behavioral treatment (CBT) for compulsive hoarding. Fourteen adults with compulsive hoarding (10 treatment completers) were seen in two specialty CBT clinics. Participants were included if they met research criteria for compulsive hoarding according to a semistructured interview, were age 18 or above, considered hoarding their main psychiatric problem, and were not receiving mental health treatment. Patients received 26 individual sessions of CBT, including frequent home visits, over a 7–12 month period between December 2003-February 2005. Primary outcome measures were the Saving Inventory-Revised (SI-R), Clutter Image Rating (CIR), and Clinician’s Global Impression (CGI). Significant decreases from pre- to post-treatment were noted on the SI-R and CIR, but not the CGI-severity rating. CGI-Improvement ratings indicated that at mid-treatment, 40% (n = 4) of treatment completers were rated “much improved” or “very much improved;” at post-treatment, 50% (n = 5) received this rating. Adherence to homework assignments was strongly related to symptom improvement. CBT with specialized components to address problems with motivation, organizing, acquiring and removing clutter appears to be a promising intervention for compulsive hoarding, a condition traditionally thought to be resistant to treatment. Keywords","author":[{"dropping-particle":"","family":"Tolin","given":"David F.","non-dropping-particle":"","parse-names":false,"suffix":""},{"dropping-particle":"","family":"Frost","given":"R. O.","non-dropping-particle":"","parse-names":false,"suffix":""},{"dropping-particle":"","family":"Steketee","given":"G.","non-dropping-particle":"","parse-names":false,"suffix":""}],"container-title":"Behaviour research and therapy","id":"ITEM-2","issue":"7","issued":{"date-parts":[["2007"]]},"page":"1461-1470","title":"An open trial of cognitive-behavioural therapy for compulsive hoarding","type":"article-journal","volume":"45"},"uris":["http://www.mendeley.com/documents/?uuid=f80d2c38-06f7-4946-a18b-cec7d8f02ea9"]}],"mendeley":{"formattedCitation":"(Steketee et al., 2000; Tolin et al., 2007)","plainTextFormattedCitation":"(Steketee et al., 2000; Tolin et al., 2007)","previouslyFormattedCitation":"(Steketee et al., 2000; Tolin et al., 2007)"},"properties":{"noteIndex":0},"schema":"https://github.com/citation-style-language/schema/raw/master/csl-citation.json"}</w:instrText>
      </w:r>
      <w:r w:rsidR="00021EA8">
        <w:rPr>
          <w:bCs/>
          <w:color w:val="000000" w:themeColor="text1"/>
        </w:rPr>
        <w:fldChar w:fldCharType="separate"/>
      </w:r>
      <w:r w:rsidR="00021EA8" w:rsidRPr="00021EA8">
        <w:rPr>
          <w:bCs/>
          <w:noProof/>
          <w:color w:val="000000" w:themeColor="text1"/>
        </w:rPr>
        <w:t>(Steketee et al., 2000; Tolin et al., 2007)</w:t>
      </w:r>
      <w:r w:rsidR="00021EA8">
        <w:rPr>
          <w:bCs/>
          <w:color w:val="000000" w:themeColor="text1"/>
        </w:rPr>
        <w:fldChar w:fldCharType="end"/>
      </w:r>
      <w:r w:rsidR="00021EA8">
        <w:rPr>
          <w:bCs/>
          <w:color w:val="000000" w:themeColor="text1"/>
        </w:rPr>
        <w:t xml:space="preserve"> and web-based interventions broadly </w:t>
      </w:r>
      <w:r w:rsidR="00021EA8">
        <w:rPr>
          <w:bCs/>
          <w:color w:val="000000" w:themeColor="text1"/>
        </w:rPr>
        <w:fldChar w:fldCharType="begin" w:fldLock="1"/>
      </w:r>
      <w:r w:rsidR="003E081A">
        <w:rPr>
          <w:bCs/>
          <w:color w:val="000000" w:themeColor="text1"/>
        </w:rPr>
        <w:instrText>ADDIN CSL_CITATION {"citationItems":[{"id":"ITEM-1","itemData":{"DOI":"10.2196/jmir.2104","ISSN":"14388871","PMID":"23151820","abstract":"Background: Although web-based interventions for promoting health and health-related behavior can be effective, poor adherence is a common issue that needs to be addressed. Technology as a means to communicate the content in web-based interventions has been neglected in research. Indeed, technology is often seen as a black-box, a mere tool that has no effect or value and serves only as a vehicle to deliver intervention content. In this paper we examine technology from a holistic perspective. We see it as a vital and inseparable aspect of web-based interventions to help explain and understand adherence. Objective: This study aims to review the literature on web-based health interventions to investigate whether intervention characteristics and persuasive design affect adherence to a web-based intervention. Methods: We conducted a systematic review of studies into web-based health interventions. Per intervention, intervention characteristics, persuasive technology elements and adherence were coded. We performed a multiple regression analysis to investigate whether these variables could predict adherence. Results: We included 101 articles on 83 interventions. The typical web-based intervention is meant to be used once a week, is modular in set-up, is updated once a week, lasts for 10 weeks, includes interaction with the system and a counselor and peers on the web, includes some persuasive technology elements, and about 50% of the participants adhere to the intervention. Regarding persuasive technology, we see that primary task support elements are most commonly employed (mean 2.9 out of a possible 7.0). Dialogue support and social support are less commonly employed (mean 1.5 and 1.2 out of a possible 7.0, respectively). When comparing the interventions of the different health care areas, we find significant differences in intended usage (p = .004), setup (p &lt; .001), updates (p &lt; .001), frequency of interaction with a counselor (p &lt; .001), the system (p = .003) and peers (p = .017), duration (F = 6.068, p = .004), adherence (F = 4.833, p = .010) and the number of primary task support elements (F = 5.631, p = .005). Our final regression model explained 55% of the variance in adherence. In this model, a RCT study as opposed to an observational study, increased interaction with a counselor, more frequent intended usage, more frequent updates and more extensive employment of dialogue support significantly predicted better adherence. Conclusions: Using interventi…","author":[{"dropping-particle":"","family":"Kelders","given":"Saskia M.","non-dropping-particle":"","parse-names":false,"suffix":""},{"dropping-particle":"","family":"Kok","given":"Robin N.","non-dropping-particle":"","parse-names":false,"suffix":""},{"dropping-particle":"","family":"Ossebaard","given":"Hans C.","non-dropping-particle":"","parse-names":false,"suffix":""},{"dropping-particle":"","family":"Gemert-Pijnen","given":"Julia E.W.C.","non-dropping-particle":"Van","parse-names":false,"suffix":""}],"container-title":"Journal of Medical Internet Research","id":"ITEM-1","issue":"6","issued":{"date-parts":[["2012"]]},"title":"Persuasive system design does matter: A systematic review of adherence to web-based interventions","type":"article-journal","volume":"14"},"uris":["http://www.mendeley.com/documents/?uuid=7c6901bf-aa3f-40af-b3e8-5e8054c0328f"]}],"mendeley":{"formattedCitation":"(Kelders et al., 2012)","plainTextFormattedCitation":"(Kelders et al., 2012)","previouslyFormattedCitation":"(Kelders et al., 2012)"},"properties":{"noteIndex":0},"schema":"https://github.com/citation-style-language/schema/raw/master/csl-citation.json"}</w:instrText>
      </w:r>
      <w:r w:rsidR="00021EA8">
        <w:rPr>
          <w:bCs/>
          <w:color w:val="000000" w:themeColor="text1"/>
        </w:rPr>
        <w:fldChar w:fldCharType="separate"/>
      </w:r>
      <w:r w:rsidR="00021EA8" w:rsidRPr="00021EA8">
        <w:rPr>
          <w:bCs/>
          <w:noProof/>
          <w:color w:val="000000" w:themeColor="text1"/>
        </w:rPr>
        <w:t>(Kelders et al., 2012)</w:t>
      </w:r>
      <w:r w:rsidR="00021EA8">
        <w:rPr>
          <w:bCs/>
          <w:color w:val="000000" w:themeColor="text1"/>
        </w:rPr>
        <w:fldChar w:fldCharType="end"/>
      </w:r>
      <w:r w:rsidR="00021EA8">
        <w:rPr>
          <w:bCs/>
          <w:color w:val="000000" w:themeColor="text1"/>
        </w:rPr>
        <w:t>.</w:t>
      </w:r>
      <w:r w:rsidRPr="00A23624">
        <w:rPr>
          <w:bCs/>
          <w:color w:val="000000" w:themeColor="text1"/>
        </w:rPr>
        <w:t xml:space="preserve"> At the same time, people with significant hoarding symptoms have reported a preference for low-intensity remote interventions</w:t>
      </w:r>
      <w:r w:rsidR="00A86707">
        <w:rPr>
          <w:bCs/>
          <w:color w:val="000000" w:themeColor="text1"/>
        </w:rPr>
        <w:t xml:space="preserve"> </w:t>
      </w:r>
      <w:r w:rsidR="00A86707">
        <w:rPr>
          <w:bCs/>
          <w:color w:val="000000" w:themeColor="text1"/>
        </w:rPr>
        <w:fldChar w:fldCharType="begin" w:fldLock="1"/>
      </w:r>
      <w:r w:rsidR="00F61C60">
        <w:rPr>
          <w:bCs/>
          <w:color w:val="000000" w:themeColor="text1"/>
        </w:rPr>
        <w:instrText>ADDIN CSL_CITATION {"citationItems":[{"id":"ITEM-1","itemData":{"DOI":"10.1016/j.jocrd.2020.100560","ISSN":"22113657","abstract":"Hoarding Disorder (HD) is a common and debilitating mental health condition that is characterized by low treatment uptake and high drop-out rates. The aim of the present study was to 1) provide a preliminary evaluation of the barriers to psychological help-seeking and 2) understand psychological treatment preferences of individuals with clinically significant symptoms of HD. Fifty participants (82% female; M age = 47.82, SD = 12.92) completed the study. The most frequently cited barriers to treatment were related to cost (66%), self-reliance (58%), and lack of knowledge about treatment options (42%). Likelihood of seeking treatment for HD symptoms was low and past-treatment predicted treatment-seeking intention, while symptom severity, depression, and internalized stigma were non-significant predictors (F(4, 44) = 9.40, p &lt;.001; R2 = 0.49). Participants indicated a preference for individually-administered treatment (41.3%) or remote low intensity treatments (30.4%), over accelerated or group therapy approaches. The study highlights that individuals with HD experience significant barriers to accessing psychological treatment for HD and providing a variety of low cost, evidence-based treatment approaches may enhance treatment uptake for this population.","author":[{"dropping-particle":"","family":"Robertson","given":"Lea","non-dropping-particle":"","parse-names":false,"suffix":""},{"dropping-particle":"","family":"Paparo","given":"Josephine","non-dropping-particle":"","parse-names":false,"suffix":""},{"dropping-particle":"","family":"Wootton","given":"Bethany M.","non-dropping-particle":"","parse-names":false,"suffix":""}],"container-title":"Journal of Obsessive-Compulsive and Related Disorders","id":"ITEM-1","issue":"July","issued":{"date-parts":[["2020"]]},"page":"100560","publisher":"Elsevier Inc.","title":"Understanding barriers to treatment and treatment delivery preferences for individuals with symptoms of hoarding disorder: A preliminary study","type":"article-journal","volume":"26"},"uris":["http://www.mendeley.com/documents/?uuid=e217edb4-a124-4dc3-83c4-08e672e9af80"]}],"mendeley":{"formattedCitation":"(Robertson et al., 2020)","plainTextFormattedCitation":"(Robertson et al., 2020)","previouslyFormattedCitation":"(Robertson et al., 2020)"},"properties":{"noteIndex":0},"schema":"https://github.com/citation-style-language/schema/raw/master/csl-citation.json"}</w:instrText>
      </w:r>
      <w:r w:rsidR="00A86707">
        <w:rPr>
          <w:bCs/>
          <w:color w:val="000000" w:themeColor="text1"/>
        </w:rPr>
        <w:fldChar w:fldCharType="separate"/>
      </w:r>
      <w:r w:rsidR="00A86707" w:rsidRPr="00A86707">
        <w:rPr>
          <w:bCs/>
          <w:noProof/>
          <w:color w:val="000000" w:themeColor="text1"/>
        </w:rPr>
        <w:t>(Robertson et al., 2020)</w:t>
      </w:r>
      <w:r w:rsidR="00A86707">
        <w:rPr>
          <w:bCs/>
          <w:color w:val="000000" w:themeColor="text1"/>
        </w:rPr>
        <w:fldChar w:fldCharType="end"/>
      </w:r>
      <w:r w:rsidRPr="00A23624">
        <w:rPr>
          <w:bCs/>
          <w:color w:val="000000" w:themeColor="text1"/>
        </w:rPr>
        <w:t>.</w:t>
      </w:r>
      <w:r w:rsidR="00924B90">
        <w:rPr>
          <w:bCs/>
          <w:color w:val="000000" w:themeColor="text1"/>
        </w:rPr>
        <w:t xml:space="preserve"> It is notable that adherence was not related to change in hoarding symptoms</w:t>
      </w:r>
      <w:r w:rsidR="00F439DA">
        <w:rPr>
          <w:bCs/>
          <w:color w:val="000000" w:themeColor="text1"/>
        </w:rPr>
        <w:t xml:space="preserve">; however, previous self-help trials have also found that adherence is not always </w:t>
      </w:r>
      <w:r w:rsidR="00406E71">
        <w:rPr>
          <w:bCs/>
          <w:color w:val="000000" w:themeColor="text1"/>
        </w:rPr>
        <w:t>necessary for improvement</w:t>
      </w:r>
      <w:r w:rsidR="000D02A7">
        <w:rPr>
          <w:bCs/>
          <w:color w:val="000000" w:themeColor="text1"/>
        </w:rPr>
        <w:t xml:space="preserve"> (</w:t>
      </w:r>
      <w:proofErr w:type="spellStart"/>
      <w:r w:rsidR="00406E71">
        <w:rPr>
          <w:bCs/>
          <w:color w:val="000000" w:themeColor="text1"/>
        </w:rPr>
        <w:t>Farvolden</w:t>
      </w:r>
      <w:proofErr w:type="spellEnd"/>
      <w:r w:rsidR="00406E71">
        <w:rPr>
          <w:bCs/>
          <w:color w:val="000000" w:themeColor="text1"/>
        </w:rPr>
        <w:t xml:space="preserve"> et al., 2005</w:t>
      </w:r>
      <w:r w:rsidR="000D02A7">
        <w:rPr>
          <w:bCs/>
          <w:color w:val="000000" w:themeColor="text1"/>
        </w:rPr>
        <w:t>)</w:t>
      </w:r>
      <w:r w:rsidR="005E3B76">
        <w:rPr>
          <w:bCs/>
          <w:color w:val="000000" w:themeColor="text1"/>
        </w:rPr>
        <w:t xml:space="preserve">. The </w:t>
      </w:r>
      <w:r w:rsidR="000D02A7">
        <w:rPr>
          <w:bCs/>
          <w:color w:val="000000" w:themeColor="text1"/>
        </w:rPr>
        <w:t>non</w:t>
      </w:r>
      <w:r w:rsidR="005E3B76">
        <w:rPr>
          <w:bCs/>
          <w:color w:val="000000" w:themeColor="text1"/>
        </w:rPr>
        <w:t>significant relationship</w:t>
      </w:r>
      <w:r w:rsidR="000D02A7">
        <w:rPr>
          <w:bCs/>
          <w:color w:val="000000" w:themeColor="text1"/>
        </w:rPr>
        <w:t xml:space="preserve"> between adherence and improvement</w:t>
      </w:r>
      <w:r w:rsidR="005E3B76">
        <w:rPr>
          <w:bCs/>
          <w:color w:val="000000" w:themeColor="text1"/>
        </w:rPr>
        <w:t xml:space="preserve"> could also be due to low power or to the impact of the COVID-19 pandemic</w:t>
      </w:r>
      <w:r w:rsidR="000D02A7">
        <w:rPr>
          <w:bCs/>
          <w:color w:val="000000" w:themeColor="text1"/>
        </w:rPr>
        <w:t>.</w:t>
      </w:r>
      <w:r w:rsidRPr="00A23624">
        <w:rPr>
          <w:bCs/>
          <w:color w:val="000000" w:themeColor="text1"/>
        </w:rPr>
        <w:t xml:space="preserve"> </w:t>
      </w:r>
      <w:r w:rsidR="00021EA8">
        <w:rPr>
          <w:bCs/>
          <w:color w:val="000000" w:themeColor="text1"/>
        </w:rPr>
        <w:t xml:space="preserve">Future research should </w:t>
      </w:r>
      <w:r w:rsidR="00EB215B">
        <w:rPr>
          <w:bCs/>
        </w:rPr>
        <w:t xml:space="preserve">assess adherence in more depth (e.g., measuring time spent practicing skills between sessions) and </w:t>
      </w:r>
      <w:r w:rsidR="00021EA8">
        <w:rPr>
          <w:bCs/>
          <w:color w:val="000000" w:themeColor="text1"/>
        </w:rPr>
        <w:t xml:space="preserve">examine potential predictors of adherence such as baseline motivation and inattention. It will also be important to evaluate potential methods for improving adherence, such as increasing the initial focus on values clarification to facilitate motivation, involving supportive friends or family in reinforcing progress and encouraging adherence, combining regular online peer support with this program, or integrating reminders into users’ phones or calendars. </w:t>
      </w:r>
    </w:p>
    <w:p w14:paraId="79E1EDB1" w14:textId="276C0FA7" w:rsidR="00A23624" w:rsidRPr="00A23624" w:rsidRDefault="00A23624" w:rsidP="00A23624">
      <w:pPr>
        <w:spacing w:line="480" w:lineRule="auto"/>
        <w:ind w:firstLine="720"/>
        <w:rPr>
          <w:bCs/>
          <w:color w:val="000000" w:themeColor="text1"/>
        </w:rPr>
      </w:pPr>
      <w:r w:rsidRPr="00A23624">
        <w:rPr>
          <w:bCs/>
          <w:color w:val="000000" w:themeColor="text1"/>
        </w:rPr>
        <w:t>It is difficult to compare attrition in this study with those in other trials because most studies to date examined individual therapy, group therapy, or peer-led self-help groups, all of which incorporate stronger accountability measures (e.g., meeting with a therapist face-to-face, reporting back to other group members). In addition to less accountability, it may be that the ability to choose among modules in our website was challenging or aversive to participants, given that inattention and indecisiveness are common in hoarding</w:t>
      </w:r>
      <w:r w:rsidR="00F61C60">
        <w:rPr>
          <w:bCs/>
          <w:color w:val="000000" w:themeColor="text1"/>
        </w:rPr>
        <w:t xml:space="preserve"> </w:t>
      </w:r>
      <w:r w:rsidR="00F61C60">
        <w:rPr>
          <w:bCs/>
          <w:color w:val="000000" w:themeColor="text1"/>
        </w:rPr>
        <w:fldChar w:fldCharType="begin" w:fldLock="1"/>
      </w:r>
      <w:r w:rsidR="00F61C60">
        <w:rPr>
          <w:bCs/>
          <w:color w:val="000000" w:themeColor="text1"/>
        </w:rPr>
        <w:instrText>ADDIN CSL_CITATION {"citationItems":[{"id":"ITEM-1","itemData":{"DOI":"10.1016/j.brat.2010.12.002","ISBN":"0005-7967","ISSN":"00057967","PMID":"21193171","abstract":"Hoarding Disorder (HD), defined as the acquisition of and failure to discard large volumes of possessions, resulting in clutter that precludes normal use of living spaces, is a common and debilitating condition. Although hoarding has historically been conceptualized as a variant of obsessive-compulsive disorder (OCD), increasing evidence suggests that hoarding might be more closely associated with the symptoms of attention deficit-hyperactivity disorder (ADHD). The aim of the present study was to clarify the relationship between the core features of hoarding (clutter, difficulty discarding, acquiring), OCD symptoms, and ADHD symptoms. HD (N = 39), non-hoarding OCD (N = 26), and healthy control (N = 36) participants underwent careful diagnostic interviewing and completed standardized self-report measures of the core features of hoarding (clutter, difficulty discarding, acquiring), OCD symptoms, negative affect, and the inattentive and hyperactive/impulsive symptoms of ADHD. Multiple linear regressions demonstrated that after controlling for global negative affect, OCD symptoms did not significantly predict any of the core features of HD. Conversely, the inattentive (but not hyperactive/impulsive) symptoms of ADHD significantly predicted severity of clutter, difficulty discarding, and acquiring. These results challenge current conceptualizations of hoarding as a subtype of OCD, and suggest an association with neurocognitive impairment. © 2010 Elsevier Ltd.","author":[{"dropping-particle":"","family":"Tolin","given":"David F.","non-dropping-particle":"","parse-names":false,"suffix":""},{"dropping-particle":"","family":"Villavicencio","given":"Anna","non-dropping-particle":"","parse-names":false,"suffix":""}],"container-title":"Behaviour Research and Therapy","id":"ITEM-1","issue":"2","issued":{"date-parts":[["2011"]]},"page":"120-125","publisher":"Elsevier Ltd","title":"Inattention, but not OCD, predicts the core features of Hoarding Disorder","type":"article-journal","volume":"49"},"uris":["http://www.mendeley.com/documents/?uuid=90a566bf-d0ad-4892-bc3b-c1fbe9446866"]},{"id":"ITEM-2","itemData":{"ISSN":"1937-1209","author":[{"dropping-particle":"","family":"Frost","given":"Randy O","non-dropping-particle":"","parse-names":false,"suffix":""},{"dropping-particle":"","family":"Tolin","given":"David F","non-dropping-particle":"","parse-names":false,"suffix":""},{"dropping-particle":"","family":"Steketee","given":"Gail","non-dropping-particle":"","parse-names":false,"suffix":""},{"dropping-particle":"","family":"Oh","given":"Milim","non-dropping-particle":"","parse-names":false,"suffix":""}],"container-title":"International Journal of Cognitive Therapy","id":"ITEM-2","issue":"3","issued":{"date-parts":[["2011"]]},"page":"253-262","publisher":"Guilford Press","title":"Indecisiveness and hoarding","type":"article-journal","volume":"4"},"uris":["http://www.mendeley.com/documents/?uuid=a454d367-2eb9-4600-8e87-cd4f51ba9cb3"]}],"mendeley":{"formattedCitation":"(Frost, Tolin, et al., 2011; Tolin &amp; Villavicencio, 2011)","plainTextFormattedCitation":"(Frost, Tolin, et al., 2011; Tolin &amp; Villavicencio, 2011)","previouslyFormattedCitation":"(Frost, Tolin, et al., 2011; Tolin &amp; Villavicencio, 2011)"},"properties":{"noteIndex":0},"schema":"https://github.com/citation-style-language/schema/raw/master/csl-citation.json"}</w:instrText>
      </w:r>
      <w:r w:rsidR="00F61C60">
        <w:rPr>
          <w:bCs/>
          <w:color w:val="000000" w:themeColor="text1"/>
        </w:rPr>
        <w:fldChar w:fldCharType="separate"/>
      </w:r>
      <w:r w:rsidR="00F61C60" w:rsidRPr="00F61C60">
        <w:rPr>
          <w:bCs/>
          <w:noProof/>
          <w:color w:val="000000" w:themeColor="text1"/>
        </w:rPr>
        <w:t>(Frost, Tolin, et al., 2011; Tolin &amp; Villavicencio, 2011)</w:t>
      </w:r>
      <w:r w:rsidR="00F61C60">
        <w:rPr>
          <w:bCs/>
          <w:color w:val="000000" w:themeColor="text1"/>
        </w:rPr>
        <w:fldChar w:fldCharType="end"/>
      </w:r>
      <w:r w:rsidR="00F61C60">
        <w:rPr>
          <w:bCs/>
          <w:color w:val="000000" w:themeColor="text1"/>
        </w:rPr>
        <w:t>.</w:t>
      </w:r>
      <w:r w:rsidRPr="00A23624">
        <w:rPr>
          <w:bCs/>
          <w:color w:val="000000" w:themeColor="text1"/>
        </w:rPr>
        <w:t xml:space="preserve"> For instance, participants may have gotten distracted or felt overwhelmed by the multiple options available to them. If this is the case, a more directed treatment plan, at least initially, may do a better job of supporting treatment engagement.</w:t>
      </w:r>
    </w:p>
    <w:p w14:paraId="24CACB7F" w14:textId="77777777" w:rsidR="00A23624" w:rsidRPr="00A23624" w:rsidRDefault="00A23624" w:rsidP="00A23624">
      <w:pPr>
        <w:spacing w:line="480" w:lineRule="auto"/>
        <w:rPr>
          <w:b/>
          <w:color w:val="000000" w:themeColor="text1"/>
        </w:rPr>
      </w:pPr>
      <w:r w:rsidRPr="00A23624">
        <w:rPr>
          <w:b/>
          <w:color w:val="000000" w:themeColor="text1"/>
        </w:rPr>
        <w:lastRenderedPageBreak/>
        <w:t>Limitations</w:t>
      </w:r>
    </w:p>
    <w:p w14:paraId="4A423613" w14:textId="347CCA93" w:rsidR="00956B60" w:rsidRDefault="00A23624" w:rsidP="00A23624">
      <w:pPr>
        <w:spacing w:line="480" w:lineRule="auto"/>
        <w:rPr>
          <w:bCs/>
          <w:color w:val="000000" w:themeColor="text1"/>
        </w:rPr>
      </w:pPr>
      <w:r w:rsidRPr="00A23624">
        <w:rPr>
          <w:bCs/>
          <w:color w:val="000000" w:themeColor="text1"/>
        </w:rPr>
        <w:tab/>
      </w:r>
      <w:r w:rsidR="00E058F5">
        <w:rPr>
          <w:bCs/>
          <w:color w:val="000000" w:themeColor="text1"/>
        </w:rPr>
        <w:t xml:space="preserve">A major limitation of this study is the use of a waitlist control; it is unclear </w:t>
      </w:r>
      <w:r w:rsidR="00543CDF">
        <w:rPr>
          <w:bCs/>
          <w:color w:val="000000" w:themeColor="text1"/>
        </w:rPr>
        <w:t>how</w:t>
      </w:r>
      <w:r w:rsidR="00E058F5">
        <w:rPr>
          <w:bCs/>
          <w:color w:val="000000" w:themeColor="text1"/>
        </w:rPr>
        <w:t xml:space="preserve"> </w:t>
      </w:r>
      <w:r w:rsidR="00543CDF">
        <w:rPr>
          <w:bCs/>
          <w:color w:val="000000" w:themeColor="text1"/>
        </w:rPr>
        <w:t xml:space="preserve">efficacy </w:t>
      </w:r>
      <w:r w:rsidR="00EB2DD7">
        <w:rPr>
          <w:bCs/>
          <w:color w:val="000000" w:themeColor="text1"/>
        </w:rPr>
        <w:t xml:space="preserve">would </w:t>
      </w:r>
      <w:r w:rsidR="00543CDF">
        <w:rPr>
          <w:bCs/>
          <w:color w:val="000000" w:themeColor="text1"/>
        </w:rPr>
        <w:t>compare to an active treatment, and RCTs that use waitlist controls generally have larger effect sizes than those that employ other types of controls (</w:t>
      </w:r>
      <w:r w:rsidR="00BC227A">
        <w:rPr>
          <w:bCs/>
          <w:color w:val="000000" w:themeColor="text1"/>
        </w:rPr>
        <w:t>Furukawa et al., 2014</w:t>
      </w:r>
      <w:r w:rsidR="00543CDF">
        <w:rPr>
          <w:bCs/>
          <w:color w:val="000000" w:themeColor="text1"/>
        </w:rPr>
        <w:t xml:space="preserve">). </w:t>
      </w:r>
      <w:r w:rsidRPr="00A23624">
        <w:rPr>
          <w:bCs/>
          <w:color w:val="000000" w:themeColor="text1"/>
        </w:rPr>
        <w:t xml:space="preserve">Data for this study were collected during the COVID-19 pandemic, which may have uniquely affected participants’ functioning. While we found that the pandemic had mixed effects on study participation (easier for some, more </w:t>
      </w:r>
      <w:r w:rsidR="00EF58DE">
        <w:rPr>
          <w:bCs/>
          <w:color w:val="000000" w:themeColor="text1"/>
        </w:rPr>
        <w:t>challenging</w:t>
      </w:r>
      <w:r w:rsidR="00EF58DE" w:rsidRPr="00A23624">
        <w:rPr>
          <w:bCs/>
          <w:color w:val="000000" w:themeColor="text1"/>
        </w:rPr>
        <w:t xml:space="preserve"> </w:t>
      </w:r>
      <w:r w:rsidRPr="00A23624">
        <w:rPr>
          <w:bCs/>
          <w:color w:val="000000" w:themeColor="text1"/>
        </w:rPr>
        <w:t xml:space="preserve">for others), it may be difficult to quantify its overall impact on participants’ lives and concomitant effects on their research participation. For example, the isolation imposed by quarantine and physical distancing requirements might have exacerbated a sense of loneliness that was not captured by current measures. In addition, the low completion rate makes it challenging to determine exactly how efficacious the website </w:t>
      </w:r>
      <w:r w:rsidR="00E616BF">
        <w:rPr>
          <w:bCs/>
          <w:color w:val="000000" w:themeColor="text1"/>
        </w:rPr>
        <w:t>would be</w:t>
      </w:r>
      <w:r w:rsidRPr="00A23624">
        <w:rPr>
          <w:bCs/>
          <w:color w:val="000000" w:themeColor="text1"/>
        </w:rPr>
        <w:t xml:space="preserve"> if more people engaged with it as designed. On one hand, this could indicate poor ability of the website to keep users engaged. On the other hand, it is possible that low engagement was related to the pandemic rather than website content. Thus, we cannot be certain of the generalizability of our findings and replication attempts post-pandemic are needed.</w:t>
      </w:r>
      <w:r w:rsidR="00E616BF">
        <w:rPr>
          <w:bCs/>
          <w:color w:val="000000" w:themeColor="text1"/>
        </w:rPr>
        <w:t xml:space="preserve"> </w:t>
      </w:r>
    </w:p>
    <w:p w14:paraId="3AF3822A" w14:textId="667FA74E" w:rsidR="00A23624" w:rsidRDefault="00557C0B" w:rsidP="00A81ED6">
      <w:pPr>
        <w:spacing w:line="480" w:lineRule="auto"/>
        <w:ind w:firstLine="720"/>
        <w:rPr>
          <w:bCs/>
          <w:color w:val="000000" w:themeColor="text1"/>
        </w:rPr>
      </w:pPr>
      <w:r>
        <w:rPr>
          <w:bCs/>
          <w:color w:val="000000" w:themeColor="text1"/>
        </w:rPr>
        <w:t>Additionally</w:t>
      </w:r>
      <w:r w:rsidR="00E616BF">
        <w:rPr>
          <w:bCs/>
          <w:color w:val="000000" w:themeColor="text1"/>
        </w:rPr>
        <w:t xml:space="preserve">, while this sample was slightly more racially diverse than is common in hoarding research </w:t>
      </w:r>
      <w:r w:rsidR="00E616BF">
        <w:rPr>
          <w:bCs/>
          <w:color w:val="000000" w:themeColor="text1"/>
        </w:rPr>
        <w:fldChar w:fldCharType="begin" w:fldLock="1"/>
      </w:r>
      <w:r w:rsidR="00AF69C1">
        <w:rPr>
          <w:bCs/>
          <w:color w:val="000000" w:themeColor="text1"/>
        </w:rPr>
        <w:instrText>ADDIN CSL_CITATION {"citationItems":[{"id":"ITEM-1","itemData":{"DOI":"10.1007/s10615-010-0311-4","ISBN":"0091-1674\\r1573-3343","ISSN":"00911674","abstract":"This article reviews the empirical literature on treating clients with hoarding behaviors, including psychosocial treatments, mainly cognitive behavioral, and pharmacotherapy. Standard treatments used for obsessive compulsive disorder (OCD) such as medication and/or behavior therapy have been associated with poor treatment response for those with hoarding. Recent prospective pharmacotherapy research suggests that serotonergic medication may be helpful to OCD patients with or without hoarding. A multi-component cognitive behavioral treatment (CBT) designed specifically for hoarding has shown promising results especially in trials of individual therapy with periodic home visits. Social work researchers have played a prominent role in the development and testing of this CBT intervention and development of instruments to assess hoarding treatment outcomes. This CBT intervention has demonstrated modest success when delivered individually in an open trial and a waitlist-controlled trial, and in quasi-experimental studies of group treatment modalities, including in-person and web-based groups as well as bibliotherapy-based support groups. Overall, evidence supports the use of specialized CBT methods to improve hoarding symptoms. Future testing may include controlled trials with more diverse samples.","author":[{"dropping-particle":"","family":"Muroff","given":"Jordana","non-dropping-particle":"","parse-names":false,"suffix":""},{"dropping-particle":"","family":"Bratiotis","given":"Christiana","non-dropping-particle":"","parse-names":false,"suffix":""},{"dropping-particle":"","family":"Steketee","given":"Gail","non-dropping-particle":"","parse-names":false,"suffix":""}],"container-title":"Clinical Social Work Journal","id":"ITEM-1","issued":{"date-parts":[["2011"]]},"page":"406-423","title":"Treatment for hoarding behaviors: A review of the evidence","type":"article-journal","volume":"39"},"uris":["http://www.mendeley.com/documents/?uuid=fae399b1-6e43-44c4-966b-1465985fa815"]},{"id":"ITEM-2","itemData":{"DOI":"10.1016/j.brat.2009.09.006","ISBN":"0005-7967","ISSN":"00057967","PMID":"19800051","abstract":"This study tested the effectiveness of an existing private online CBT-based group intervention designed to help people with hoarding. Web-group participants were hypothesized to show more improvement in hoarding symptoms over time compared to those placed on a naturalistic waitlist. This web-based self-help group (N = 106 members, N = 155 waitlisted) includes a formal application process and requires that participants post action steps and progress at least once monthly. Members have access to educational resources on hoarding, cognitive strategies, and a chat-group. Potential research participants were invited to complete an anonymous web-based survey about their hoarding behaviors and clinical improvement on five occasions (3 months apart). The sample was mainly middle-aged, female and White. Regression analyses show that Recent members reported greater improvement and less clutter at 6 months (than Waitlist). Long-term members reported milder hoarding symptoms than Recent ones, suggesting benefits from group participation over time. All members showed reductions in clutter and hoarding symptoms over 15 months. Less posting activity was associated with greater hoarding severity. Online CBT-based self-help for hoarding appears to be a promising intervention strategy that may extend access to treatment. Evaluating the benefits of internet self-help groups is critical given growing popularity of and demand for web-based interventions. © 2009 Elsevier Ltd. All rights reserved.","author":[{"dropping-particle":"","family":"Muroff","given":"Jordana","non-dropping-particle":"","parse-names":false,"suffix":""},{"dropping-particle":"","family":"Steketee","given":"Gail","non-dropping-particle":"","parse-names":false,"suffix":""},{"dropping-particle":"","family":"Himle","given":"Joe","non-dropping-particle":"","parse-names":false,"suffix":""},{"dropping-particle":"","family":"Frost","given":"Randy","non-dropping-particle":"","parse-names":false,"suffix":""}],"container-title":"Behaviour Research and Therapy","id":"ITEM-2","issue":"1","issued":{"date-parts":[["2010"]]},"page":"79-85","publisher":"Elsevier Ltd","title":"Delivery of internet treatment for compulsive hoarding (D.I.T.C.H.)","type":"article-journal","volume":"48"},"uris":["http://www.mendeley.com/documents/?uuid=08b1458b-ad37-4bcb-a618-8469029ed80a"]}],"mendeley":{"formattedCitation":"(Muroff et al., 2010, 2011)","plainTextFormattedCitation":"(Muroff et al., 2010, 2011)","previouslyFormattedCitation":"(Muroff et al., 2010, 2011)"},"properties":{"noteIndex":0},"schema":"https://github.com/citation-style-language/schema/raw/master/csl-citation.json"}</w:instrText>
      </w:r>
      <w:r w:rsidR="00E616BF">
        <w:rPr>
          <w:bCs/>
          <w:color w:val="000000" w:themeColor="text1"/>
        </w:rPr>
        <w:fldChar w:fldCharType="separate"/>
      </w:r>
      <w:r w:rsidR="00E616BF" w:rsidRPr="00E616BF">
        <w:rPr>
          <w:bCs/>
          <w:noProof/>
          <w:color w:val="000000" w:themeColor="text1"/>
        </w:rPr>
        <w:t>(Muroff et al., 2010, 2011)</w:t>
      </w:r>
      <w:r w:rsidR="00E616BF">
        <w:rPr>
          <w:bCs/>
          <w:color w:val="000000" w:themeColor="text1"/>
        </w:rPr>
        <w:fldChar w:fldCharType="end"/>
      </w:r>
      <w:r w:rsidR="00E616BF">
        <w:rPr>
          <w:bCs/>
          <w:color w:val="000000" w:themeColor="text1"/>
        </w:rPr>
        <w:t xml:space="preserve">, participants were largely non-Hispanic White and female, similar to past hoarding intervention studies </w:t>
      </w:r>
      <w:r w:rsidR="00E616BF">
        <w:rPr>
          <w:bCs/>
          <w:color w:val="000000" w:themeColor="text1"/>
        </w:rPr>
        <w:fldChar w:fldCharType="begin" w:fldLock="1"/>
      </w:r>
      <w:r w:rsidR="00E616BF">
        <w:rPr>
          <w:bCs/>
          <w:color w:val="000000" w:themeColor="text1"/>
        </w:rPr>
        <w:instrText>ADDIN CSL_CITATION {"citationItems":[{"id":"ITEM-1","itemData":{"DOI":"10.1007/s10615-010-0311-4","ISBN":"0091-1674\\r1573-3343","ISSN":"00911674","abstract":"This article reviews the empirical literature on treating clients with hoarding behaviors, including psychosocial treatments, mainly cognitive behavioral, and pharmacotherapy. Standard treatments used for obsessive compulsive disorder (OCD) such as medication and/or behavior therapy have been associated with poor treatment response for those with hoarding. Recent prospective pharmacotherapy research suggests that serotonergic medication may be helpful to OCD patients with or without hoarding. A multi-component cognitive behavioral treatment (CBT) designed specifically for hoarding has shown promising results especially in trials of individual therapy with periodic home visits. Social work researchers have played a prominent role in the development and testing of this CBT intervention and development of instruments to assess hoarding treatment outcomes. This CBT intervention has demonstrated modest success when delivered individually in an open trial and a waitlist-controlled trial, and in quasi-experimental studies of group treatment modalities, including in-person and web-based groups as well as bibliotherapy-based support groups. Overall, evidence supports the use of specialized CBT methods to improve hoarding symptoms. Future testing may include controlled trials with more diverse samples.","author":[{"dropping-particle":"","family":"Muroff","given":"Jordana","non-dropping-particle":"","parse-names":false,"suffix":""},{"dropping-particle":"","family":"Bratiotis","given":"Christiana","non-dropping-particle":"","parse-names":false,"suffix":""},{"dropping-particle":"","family":"Steketee","given":"Gail","non-dropping-particle":"","parse-names":false,"suffix":""}],"container-title":"Clinical Social Work Journal","id":"ITEM-1","issued":{"date-parts":[["2011"]]},"page":"406-423","title":"Treatment for hoarding behaviors: A review of the evidence","type":"article-journal","volume":"39"},"uris":["http://www.mendeley.com/documents/?uuid=fae399b1-6e43-44c4-966b-1465985fa815"]},{"id":"ITEM-2","itemData":{"DOI":"10.1002/da.22327","ISSN":"10914269","author":[{"dropping-particle":"","family":"Tolin","given":"David F.","non-dropping-particle":"","parse-names":false,"suffix":""},{"dropping-particle":"","family":"Frost","given":"Randy O.","non-dropping-particle":"","parse-names":false,"suffix":""},{"dropping-particle":"","family":"Steketee","given":"Gail","non-dropping-particle":"","parse-names":false,"suffix":""},{"dropping-particle":"","family":"Muroff","given":"Jordana","non-dropping-particle":"","parse-names":false,"suffix":""}],"container-title":"Depression and Anxiety","id":"ITEM-2","issued":{"date-parts":[["2015"]]},"page":"158-166","title":"Cognitive behavioral therapy for hoarding disorder: A meta-analysis","type":"article-journal","volume":"32"},"uris":["http://www.mendeley.com/documents/?uuid=d6a717d0-bb9d-4ecf-ad4b-e4699b30f7a5"]}],"mendeley":{"formattedCitation":"(Muroff et al., 2011; Tolin et al., 2015)","plainTextFormattedCitation":"(Muroff et al., 2011; Tolin et al., 2015)","previouslyFormattedCitation":"(Muroff et al., 2011; Tolin et al., 2015)"},"properties":{"noteIndex":0},"schema":"https://github.com/citation-style-language/schema/raw/master/csl-citation.json"}</w:instrText>
      </w:r>
      <w:r w:rsidR="00E616BF">
        <w:rPr>
          <w:bCs/>
          <w:color w:val="000000" w:themeColor="text1"/>
        </w:rPr>
        <w:fldChar w:fldCharType="separate"/>
      </w:r>
      <w:r w:rsidR="00E616BF" w:rsidRPr="00E616BF">
        <w:rPr>
          <w:bCs/>
          <w:noProof/>
          <w:color w:val="000000" w:themeColor="text1"/>
        </w:rPr>
        <w:t>(Muroff et al., 2011; Tolin et al., 2015)</w:t>
      </w:r>
      <w:r w:rsidR="00E616BF">
        <w:rPr>
          <w:bCs/>
          <w:color w:val="000000" w:themeColor="text1"/>
        </w:rPr>
        <w:fldChar w:fldCharType="end"/>
      </w:r>
      <w:r w:rsidR="00E616BF">
        <w:rPr>
          <w:bCs/>
          <w:color w:val="000000" w:themeColor="text1"/>
        </w:rPr>
        <w:t>, and replication of these findings among diverse individuals is essential.</w:t>
      </w:r>
      <w:r w:rsidR="00DA01A9">
        <w:rPr>
          <w:bCs/>
          <w:color w:val="000000" w:themeColor="text1"/>
        </w:rPr>
        <w:t xml:space="preserve"> </w:t>
      </w:r>
      <w:r>
        <w:rPr>
          <w:bCs/>
          <w:color w:val="000000" w:themeColor="text1"/>
        </w:rPr>
        <w:t>Finally, p</w:t>
      </w:r>
      <w:r w:rsidR="00DA01A9">
        <w:rPr>
          <w:bCs/>
          <w:color w:val="000000" w:themeColor="text1"/>
        </w:rPr>
        <w:t>articipants were not formally diagnosed with hoarding disorder</w:t>
      </w:r>
      <w:r>
        <w:rPr>
          <w:bCs/>
          <w:color w:val="000000" w:themeColor="text1"/>
        </w:rPr>
        <w:t xml:space="preserve">. </w:t>
      </w:r>
      <w:r w:rsidR="005C1BEF">
        <w:rPr>
          <w:bCs/>
          <w:color w:val="000000" w:themeColor="text1"/>
        </w:rPr>
        <w:t xml:space="preserve">This may have been helpful in reaching individuals who face barriers to accessing professional </w:t>
      </w:r>
      <w:proofErr w:type="gramStart"/>
      <w:r w:rsidR="005C1BEF">
        <w:rPr>
          <w:bCs/>
          <w:color w:val="000000" w:themeColor="text1"/>
        </w:rPr>
        <w:t>treatment, bu</w:t>
      </w:r>
      <w:r w:rsidR="00E24C70">
        <w:rPr>
          <w:bCs/>
          <w:color w:val="000000" w:themeColor="text1"/>
        </w:rPr>
        <w:t>t</w:t>
      </w:r>
      <w:proofErr w:type="gramEnd"/>
      <w:r w:rsidR="00E24C70">
        <w:rPr>
          <w:bCs/>
          <w:color w:val="000000" w:themeColor="text1"/>
        </w:rPr>
        <w:t xml:space="preserve"> limits</w:t>
      </w:r>
      <w:r w:rsidR="00796DC6">
        <w:rPr>
          <w:bCs/>
          <w:color w:val="000000" w:themeColor="text1"/>
        </w:rPr>
        <w:t xml:space="preserve"> our ability to determine whether this intervention is adequate for the treatment of clinical hoarding disorder.</w:t>
      </w:r>
    </w:p>
    <w:p w14:paraId="7251F803" w14:textId="1C1F3D31" w:rsidR="00B47E7B" w:rsidRPr="00A23624" w:rsidRDefault="00B47E7B" w:rsidP="00A23624">
      <w:pPr>
        <w:spacing w:line="480" w:lineRule="auto"/>
        <w:rPr>
          <w:bCs/>
          <w:color w:val="000000" w:themeColor="text1"/>
        </w:rPr>
      </w:pPr>
      <w:r>
        <w:rPr>
          <w:bCs/>
          <w:color w:val="000000" w:themeColor="text1"/>
        </w:rPr>
        <w:lastRenderedPageBreak/>
        <w:tab/>
      </w:r>
      <w:r w:rsidR="00130073">
        <w:rPr>
          <w:bCs/>
          <w:color w:val="000000" w:themeColor="text1"/>
        </w:rPr>
        <w:t xml:space="preserve">This study evaluated an online self-help ACT intervention with supportive coaching for hoarding. Despite adherence that fell below benchmarks, the results suggested such an intervention holds significant promise. Improvements occurred across </w:t>
      </w:r>
      <w:r w:rsidR="00046E02">
        <w:rPr>
          <w:bCs/>
          <w:color w:val="000000" w:themeColor="text1"/>
        </w:rPr>
        <w:t xml:space="preserve">nearly </w:t>
      </w:r>
      <w:r w:rsidR="00130073">
        <w:rPr>
          <w:bCs/>
          <w:color w:val="000000" w:themeColor="text1"/>
        </w:rPr>
        <w:t xml:space="preserve">all outcomes of interest for those in the ACT condition relative to the waitlist, including not only hoarding symptoms, but functional impairment, well-being, and values progress. Additionally, the intervention was perceived as credible and acceptable. </w:t>
      </w:r>
      <w:r w:rsidR="003167E5">
        <w:rPr>
          <w:bCs/>
          <w:color w:val="000000" w:themeColor="text1"/>
        </w:rPr>
        <w:t>This intervention has the potential to help provide efficacious hoarding treatment while overcoming barriers of access, cost, and stigma.</w:t>
      </w:r>
    </w:p>
    <w:p w14:paraId="03442192" w14:textId="2F3E3A9E" w:rsidR="00E948B7" w:rsidRPr="00FD6A4F" w:rsidRDefault="00E948B7" w:rsidP="001D0A94">
      <w:pPr>
        <w:spacing w:line="480" w:lineRule="auto"/>
        <w:rPr>
          <w:b/>
          <w:color w:val="000000" w:themeColor="text1"/>
        </w:rPr>
      </w:pPr>
      <w:r w:rsidRPr="00FD6A4F">
        <w:rPr>
          <w:b/>
          <w:color w:val="000000" w:themeColor="text1"/>
        </w:rPr>
        <w:br w:type="page"/>
      </w:r>
    </w:p>
    <w:p w14:paraId="717F176A" w14:textId="3954BF85" w:rsidR="00462A25" w:rsidRPr="00FD6A4F" w:rsidRDefault="00462A25" w:rsidP="00891052">
      <w:pPr>
        <w:spacing w:line="480" w:lineRule="auto"/>
        <w:contextualSpacing/>
        <w:jc w:val="center"/>
        <w:rPr>
          <w:b/>
          <w:color w:val="000000" w:themeColor="text1"/>
        </w:rPr>
      </w:pPr>
      <w:r w:rsidRPr="00FD6A4F">
        <w:rPr>
          <w:b/>
          <w:color w:val="000000" w:themeColor="text1"/>
        </w:rPr>
        <w:lastRenderedPageBreak/>
        <w:t>References</w:t>
      </w:r>
    </w:p>
    <w:p w14:paraId="3BA2FEC3" w14:textId="29005647" w:rsidR="003E081A" w:rsidRPr="003E081A" w:rsidRDefault="00A42C7C" w:rsidP="003E081A">
      <w:pPr>
        <w:widowControl w:val="0"/>
        <w:autoSpaceDE w:val="0"/>
        <w:autoSpaceDN w:val="0"/>
        <w:adjustRightInd w:val="0"/>
        <w:spacing w:line="480" w:lineRule="auto"/>
        <w:ind w:left="480" w:hanging="480"/>
        <w:rPr>
          <w:noProof/>
        </w:rPr>
      </w:pPr>
      <w:r w:rsidRPr="00FD6A4F">
        <w:rPr>
          <w:color w:val="000000" w:themeColor="text1"/>
        </w:rPr>
        <w:fldChar w:fldCharType="begin" w:fldLock="1"/>
      </w:r>
      <w:r w:rsidRPr="00FD6A4F">
        <w:rPr>
          <w:color w:val="000000" w:themeColor="text1"/>
        </w:rPr>
        <w:instrText xml:space="preserve">ADDIN Mendeley Bibliography CSL_BIBLIOGRAPHY </w:instrText>
      </w:r>
      <w:r w:rsidRPr="00FD6A4F">
        <w:rPr>
          <w:color w:val="000000" w:themeColor="text1"/>
        </w:rPr>
        <w:fldChar w:fldCharType="separate"/>
      </w:r>
      <w:r w:rsidR="003E081A" w:rsidRPr="003E081A">
        <w:rPr>
          <w:noProof/>
        </w:rPr>
        <w:t xml:space="preserve">Andersson, G., &amp; Titov, N. (2014). Advantages and limitations of Internet-based interventions for common mental disorders. </w:t>
      </w:r>
      <w:r w:rsidR="003E081A" w:rsidRPr="003E081A">
        <w:rPr>
          <w:i/>
          <w:iCs/>
          <w:noProof/>
        </w:rPr>
        <w:t>World Psychiatry</w:t>
      </w:r>
      <w:r w:rsidR="003E081A" w:rsidRPr="003E081A">
        <w:rPr>
          <w:noProof/>
        </w:rPr>
        <w:t xml:space="preserve">, </w:t>
      </w:r>
      <w:r w:rsidR="003E081A" w:rsidRPr="003E081A">
        <w:rPr>
          <w:i/>
          <w:iCs/>
          <w:noProof/>
        </w:rPr>
        <w:t>13</w:t>
      </w:r>
      <w:r w:rsidR="003E081A" w:rsidRPr="003E081A">
        <w:rPr>
          <w:noProof/>
        </w:rPr>
        <w:t>, 4–11. https://doi.org/10.1002/wps.20083</w:t>
      </w:r>
    </w:p>
    <w:p w14:paraId="7714589A"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Ayers, C. R., Castriotta, N., Dozier, M. E., Espejo, E. P., &amp; Porter, B. (2014). Behavioral and experiential avoidance in patients with hoarding disorder. </w:t>
      </w:r>
      <w:r w:rsidRPr="003E081A">
        <w:rPr>
          <w:i/>
          <w:iCs/>
          <w:noProof/>
        </w:rPr>
        <w:t>Journal of Behavior Therapy and Experimental Psychiatry</w:t>
      </w:r>
      <w:r w:rsidRPr="003E081A">
        <w:rPr>
          <w:noProof/>
        </w:rPr>
        <w:t xml:space="preserve">, </w:t>
      </w:r>
      <w:r w:rsidRPr="003E081A">
        <w:rPr>
          <w:i/>
          <w:iCs/>
          <w:noProof/>
        </w:rPr>
        <w:t>45</w:t>
      </w:r>
      <w:r w:rsidRPr="003E081A">
        <w:rPr>
          <w:noProof/>
        </w:rPr>
        <w:t>, 408–414. https://doi.org/10.1016/j.jbtep.2014.04.005</w:t>
      </w:r>
    </w:p>
    <w:p w14:paraId="6297FD03" w14:textId="77777777" w:rsidR="003E081A" w:rsidRPr="003E081A" w:rsidRDefault="003E081A" w:rsidP="003E081A">
      <w:pPr>
        <w:widowControl w:val="0"/>
        <w:autoSpaceDE w:val="0"/>
        <w:autoSpaceDN w:val="0"/>
        <w:adjustRightInd w:val="0"/>
        <w:spacing w:line="480" w:lineRule="auto"/>
        <w:ind w:left="480" w:hanging="480"/>
        <w:rPr>
          <w:noProof/>
        </w:rPr>
      </w:pPr>
      <w:r w:rsidRPr="00B04950">
        <w:rPr>
          <w:noProof/>
          <w:lang w:val="fr-FR"/>
        </w:rPr>
        <w:t xml:space="preserve">Bangor, A., Kortum, P. T., &amp; Miller, J. T. (2008). </w:t>
      </w:r>
      <w:r w:rsidRPr="003E081A">
        <w:rPr>
          <w:noProof/>
        </w:rPr>
        <w:t xml:space="preserve">An empirical evaluation of the System Usability Scale. </w:t>
      </w:r>
      <w:r w:rsidRPr="003E081A">
        <w:rPr>
          <w:i/>
          <w:iCs/>
          <w:noProof/>
        </w:rPr>
        <w:t>International Journal of Human-Computer Interaction</w:t>
      </w:r>
      <w:r w:rsidRPr="003E081A">
        <w:rPr>
          <w:noProof/>
        </w:rPr>
        <w:t xml:space="preserve">, </w:t>
      </w:r>
      <w:r w:rsidRPr="003E081A">
        <w:rPr>
          <w:i/>
          <w:iCs/>
          <w:noProof/>
        </w:rPr>
        <w:t>24</w:t>
      </w:r>
      <w:r w:rsidRPr="003E081A">
        <w:rPr>
          <w:noProof/>
        </w:rPr>
        <w:t>, 574–594.</w:t>
      </w:r>
    </w:p>
    <w:p w14:paraId="7BD239AC"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Bluett, E. J., Homan, K. J., Morrison, K. L., Levin, M. E., &amp; Twohig, M. P. (2014). Acceptance and commitment therapy for anxiety and OCD spectrum disorders: An empirical review. </w:t>
      </w:r>
      <w:r w:rsidRPr="003E081A">
        <w:rPr>
          <w:i/>
          <w:iCs/>
          <w:noProof/>
        </w:rPr>
        <w:t>Journal of Anxiety Disorders</w:t>
      </w:r>
      <w:r w:rsidRPr="003E081A">
        <w:rPr>
          <w:noProof/>
        </w:rPr>
        <w:t xml:space="preserve">, </w:t>
      </w:r>
      <w:r w:rsidRPr="003E081A">
        <w:rPr>
          <w:i/>
          <w:iCs/>
          <w:noProof/>
        </w:rPr>
        <w:t>28</w:t>
      </w:r>
      <w:r w:rsidRPr="003E081A">
        <w:rPr>
          <w:noProof/>
        </w:rPr>
        <w:t>, 612–624. https://doi.org/10.1016/j.janxdis.2014.06.008</w:t>
      </w:r>
    </w:p>
    <w:p w14:paraId="4AFB76AB"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Burton, C. L., Crosbie, J., Dupuis, A., Mathews, C. A., Soreni, N., Schachar, R., &amp; Arnold, P. D. (2016). Clinical correlates of hoarding with and without comorbid obsessive-compulsive symptoms in a community pediatric sample. </w:t>
      </w:r>
      <w:r w:rsidRPr="003E081A">
        <w:rPr>
          <w:i/>
          <w:iCs/>
          <w:noProof/>
        </w:rPr>
        <w:t>Journal of the American Academy of Child &amp; Adolescent Psychiatry</w:t>
      </w:r>
      <w:r w:rsidRPr="003E081A">
        <w:rPr>
          <w:noProof/>
        </w:rPr>
        <w:t xml:space="preserve">, </w:t>
      </w:r>
      <w:r w:rsidRPr="003E081A">
        <w:rPr>
          <w:i/>
          <w:iCs/>
          <w:noProof/>
        </w:rPr>
        <w:t>55</w:t>
      </w:r>
      <w:r w:rsidRPr="003E081A">
        <w:rPr>
          <w:noProof/>
        </w:rPr>
        <w:t>, 114–121. https://doi.org/10.1016/j.jaac.2015.11.014</w:t>
      </w:r>
    </w:p>
    <w:p w14:paraId="2C044947" w14:textId="7E87F778" w:rsidR="003E081A" w:rsidRDefault="003E081A" w:rsidP="003E081A">
      <w:pPr>
        <w:widowControl w:val="0"/>
        <w:autoSpaceDE w:val="0"/>
        <w:autoSpaceDN w:val="0"/>
        <w:adjustRightInd w:val="0"/>
        <w:spacing w:line="480" w:lineRule="auto"/>
        <w:ind w:left="480" w:hanging="480"/>
        <w:rPr>
          <w:noProof/>
        </w:rPr>
      </w:pPr>
      <w:r w:rsidRPr="00B04950">
        <w:rPr>
          <w:noProof/>
          <w:lang w:val="es-ES"/>
        </w:rPr>
        <w:t xml:space="preserve">Chasson, G. S., Guy, A. A., Bates, S., &amp; Corrigan, P. W. (2018). </w:t>
      </w:r>
      <w:r w:rsidRPr="003E081A">
        <w:rPr>
          <w:noProof/>
        </w:rPr>
        <w:t xml:space="preserve">They aren’t like me, they are bad, and they are to blame: A theoretically-informed study of stigma of hoarding disorder and obsessive-compulsive disorder. </w:t>
      </w:r>
      <w:r w:rsidRPr="003E081A">
        <w:rPr>
          <w:i/>
          <w:iCs/>
          <w:noProof/>
        </w:rPr>
        <w:t>Journal of Obsessive-Compulsive and Related Disorders</w:t>
      </w:r>
      <w:r w:rsidRPr="003E081A">
        <w:rPr>
          <w:noProof/>
        </w:rPr>
        <w:t xml:space="preserve">, </w:t>
      </w:r>
      <w:r w:rsidRPr="003E081A">
        <w:rPr>
          <w:i/>
          <w:iCs/>
          <w:noProof/>
        </w:rPr>
        <w:t>16</w:t>
      </w:r>
      <w:r w:rsidRPr="003E081A">
        <w:rPr>
          <w:noProof/>
        </w:rPr>
        <w:t>, 56–65. https://doi.org/10.1016/j.jocrd.2017.12.006</w:t>
      </w:r>
    </w:p>
    <w:p w14:paraId="412DAFC1" w14:textId="63EAA004" w:rsidR="00DA473C" w:rsidRPr="00DA473C" w:rsidRDefault="00DA473C" w:rsidP="003E081A">
      <w:pPr>
        <w:widowControl w:val="0"/>
        <w:autoSpaceDE w:val="0"/>
        <w:autoSpaceDN w:val="0"/>
        <w:adjustRightInd w:val="0"/>
        <w:spacing w:line="480" w:lineRule="auto"/>
        <w:ind w:left="480" w:hanging="480"/>
        <w:rPr>
          <w:noProof/>
        </w:rPr>
      </w:pPr>
      <w:r w:rsidRPr="00A81ED6">
        <w:t xml:space="preserve">Crone, C., Angel, Z., Isemann, S., &amp; Norberg, M. M. (2020). Clutter-Buddies: A volunteer program to assist clients undergoing group cognitive behavioural therapy. </w:t>
      </w:r>
      <w:r w:rsidRPr="00DA473C">
        <w:rPr>
          <w:i/>
          <w:iCs/>
        </w:rPr>
        <w:t>Journal of Obsessive-Compulsive and Related Disorders</w:t>
      </w:r>
      <w:r w:rsidRPr="00A81ED6">
        <w:t xml:space="preserve">, </w:t>
      </w:r>
      <w:r w:rsidRPr="00DA473C">
        <w:rPr>
          <w:i/>
          <w:iCs/>
        </w:rPr>
        <w:t>27</w:t>
      </w:r>
      <w:r w:rsidRPr="00A81ED6">
        <w:t>, 100559.</w:t>
      </w:r>
    </w:p>
    <w:p w14:paraId="3B7BE363"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lastRenderedPageBreak/>
        <w:t xml:space="preserve">Devilly, G. J., &amp; Borkovec, T. D. (2000). Psychometric properties of the credibility/expectancy questionnaire. </w:t>
      </w:r>
      <w:r w:rsidRPr="003E081A">
        <w:rPr>
          <w:i/>
          <w:iCs/>
          <w:noProof/>
        </w:rPr>
        <w:t>Journal of Behavior Therapy and Experimental Psychiatry</w:t>
      </w:r>
      <w:r w:rsidRPr="003E081A">
        <w:rPr>
          <w:noProof/>
        </w:rPr>
        <w:t xml:space="preserve">, </w:t>
      </w:r>
      <w:r w:rsidRPr="003E081A">
        <w:rPr>
          <w:i/>
          <w:iCs/>
          <w:noProof/>
        </w:rPr>
        <w:t>31</w:t>
      </w:r>
      <w:r w:rsidRPr="003E081A">
        <w:rPr>
          <w:noProof/>
        </w:rPr>
        <w:t>(2), 73–86. https://doi.org/10.1016/S0005-7916(00)00012-4</w:t>
      </w:r>
    </w:p>
    <w:p w14:paraId="1ACF2874" w14:textId="3F6C8019" w:rsidR="003E081A" w:rsidRDefault="003E081A" w:rsidP="003E081A">
      <w:pPr>
        <w:widowControl w:val="0"/>
        <w:autoSpaceDE w:val="0"/>
        <w:autoSpaceDN w:val="0"/>
        <w:adjustRightInd w:val="0"/>
        <w:spacing w:line="480" w:lineRule="auto"/>
        <w:ind w:left="480" w:hanging="480"/>
        <w:rPr>
          <w:noProof/>
        </w:rPr>
      </w:pPr>
      <w:r w:rsidRPr="00B04950">
        <w:rPr>
          <w:noProof/>
          <w:lang w:val="fr-FR"/>
        </w:rPr>
        <w:t xml:space="preserve">Drury, H., Ajmi, S., Fernández De La Cruz, L., Nordsletten, A. E., &amp; Mataix-Cols, D. (2014). </w:t>
      </w:r>
      <w:r w:rsidRPr="003E081A">
        <w:rPr>
          <w:noProof/>
        </w:rPr>
        <w:t xml:space="preserve">Caregiver burden, family accommodation, health, and well-being in relatives of individuals with hoarding disorder. </w:t>
      </w:r>
      <w:r w:rsidRPr="003E081A">
        <w:rPr>
          <w:i/>
          <w:iCs/>
          <w:noProof/>
        </w:rPr>
        <w:t>Journal of Affective Disorders</w:t>
      </w:r>
      <w:r w:rsidRPr="003E081A">
        <w:rPr>
          <w:noProof/>
        </w:rPr>
        <w:t xml:space="preserve">, </w:t>
      </w:r>
      <w:r w:rsidRPr="003E081A">
        <w:rPr>
          <w:i/>
          <w:iCs/>
          <w:noProof/>
        </w:rPr>
        <w:t>159</w:t>
      </w:r>
      <w:r w:rsidRPr="003E081A">
        <w:rPr>
          <w:noProof/>
        </w:rPr>
        <w:t>, 7–14. https://doi.org/10.1016/j.jad.2014.01.023</w:t>
      </w:r>
    </w:p>
    <w:p w14:paraId="407B1639" w14:textId="6F62BA76" w:rsidR="003F05BD" w:rsidRPr="003E081A" w:rsidRDefault="003F05BD" w:rsidP="003F05BD">
      <w:pPr>
        <w:widowControl w:val="0"/>
        <w:autoSpaceDE w:val="0"/>
        <w:autoSpaceDN w:val="0"/>
        <w:adjustRightInd w:val="0"/>
        <w:spacing w:line="480" w:lineRule="auto"/>
        <w:ind w:left="480" w:hanging="480"/>
        <w:rPr>
          <w:noProof/>
        </w:rPr>
      </w:pPr>
      <w:r w:rsidRPr="002C4BF1">
        <w:rPr>
          <w:noProof/>
        </w:rPr>
        <w:t xml:space="preserve">Farvolden, P., Denisoff, E., Selby, P., Bagby, R. M., &amp; Rudy, L. (2005). Usage and longitudinal effectiveness of a web-based self-help cognitive behavioral therapy program for panic disorder. </w:t>
      </w:r>
      <w:r w:rsidRPr="002C4BF1">
        <w:rPr>
          <w:i/>
          <w:iCs/>
          <w:noProof/>
        </w:rPr>
        <w:t>Journal of Medical Internet Research</w:t>
      </w:r>
      <w:r w:rsidRPr="002C4BF1">
        <w:rPr>
          <w:noProof/>
        </w:rPr>
        <w:t xml:space="preserve">, </w:t>
      </w:r>
      <w:r w:rsidRPr="002C4BF1">
        <w:rPr>
          <w:i/>
          <w:iCs/>
          <w:noProof/>
        </w:rPr>
        <w:t>7</w:t>
      </w:r>
      <w:r w:rsidRPr="002C4BF1">
        <w:rPr>
          <w:noProof/>
        </w:rPr>
        <w:t>(1), 1–16. https://doi.org/10.2196/jmir.7.1.e7</w:t>
      </w:r>
    </w:p>
    <w:p w14:paraId="184FBBAA"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Faul, F., Erdfelder, E., Lang, A.-G., &amp; Buchner, A. (2007). G*Power 3: A flexible statistical power analysis program for the social, behavioral, and biomedical sciences. </w:t>
      </w:r>
      <w:r w:rsidRPr="003E081A">
        <w:rPr>
          <w:i/>
          <w:iCs/>
          <w:noProof/>
        </w:rPr>
        <w:t>Behavior Research Methods</w:t>
      </w:r>
      <w:r w:rsidRPr="003E081A">
        <w:rPr>
          <w:noProof/>
        </w:rPr>
        <w:t xml:space="preserve">, </w:t>
      </w:r>
      <w:r w:rsidRPr="003E081A">
        <w:rPr>
          <w:i/>
          <w:iCs/>
          <w:noProof/>
        </w:rPr>
        <w:t>39</w:t>
      </w:r>
      <w:r w:rsidRPr="003E081A">
        <w:rPr>
          <w:noProof/>
        </w:rPr>
        <w:t>, 175–191. https://doi.org/10.3758/BF03193146</w:t>
      </w:r>
    </w:p>
    <w:p w14:paraId="45DF3436"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Fernández de la Cruz, L., Landau, D., Iervolino, A. C., Santo, S., Pertusa, A., Singh, S., &amp; Mataix-Cols, D. (2013). Experiential avoidance and emotion regulation difficulties in hoarding disorder. </w:t>
      </w:r>
      <w:r w:rsidRPr="003E081A">
        <w:rPr>
          <w:i/>
          <w:iCs/>
          <w:noProof/>
        </w:rPr>
        <w:t>Journal of Anxiety Disorders</w:t>
      </w:r>
      <w:r w:rsidRPr="003E081A">
        <w:rPr>
          <w:noProof/>
        </w:rPr>
        <w:t xml:space="preserve">, </w:t>
      </w:r>
      <w:r w:rsidRPr="003E081A">
        <w:rPr>
          <w:i/>
          <w:iCs/>
          <w:noProof/>
        </w:rPr>
        <w:t>27</w:t>
      </w:r>
      <w:r w:rsidRPr="003E081A">
        <w:rPr>
          <w:noProof/>
        </w:rPr>
        <w:t>(2), 204–209. https://doi.org/10.1016/j.janxdis.2013.01.004</w:t>
      </w:r>
    </w:p>
    <w:p w14:paraId="1EE2D216"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Fitch, K. E., &amp; Cougle, J. R. (2013). Perceived and actual information processing deficits in nonclinical hoarding. </w:t>
      </w:r>
      <w:r w:rsidRPr="003E081A">
        <w:rPr>
          <w:i/>
          <w:iCs/>
          <w:noProof/>
        </w:rPr>
        <w:t>Journal of Obsessive-Compulsive and Related Disorders</w:t>
      </w:r>
      <w:r w:rsidRPr="003E081A">
        <w:rPr>
          <w:noProof/>
        </w:rPr>
        <w:t xml:space="preserve">, </w:t>
      </w:r>
      <w:r w:rsidRPr="003E081A">
        <w:rPr>
          <w:i/>
          <w:iCs/>
          <w:noProof/>
        </w:rPr>
        <w:t>2</w:t>
      </w:r>
      <w:r w:rsidRPr="003E081A">
        <w:rPr>
          <w:noProof/>
        </w:rPr>
        <w:t>(2), 192–199. https://doi.org/10.1016/j.jocrd.2013.02.006</w:t>
      </w:r>
    </w:p>
    <w:p w14:paraId="7EA260FE"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&amp; Hristova, V. (2011). Assessment of hoarding. </w:t>
      </w:r>
      <w:r w:rsidRPr="003E081A">
        <w:rPr>
          <w:i/>
          <w:iCs/>
          <w:noProof/>
        </w:rPr>
        <w:t>Journal of Clinical Psychology</w:t>
      </w:r>
      <w:r w:rsidRPr="003E081A">
        <w:rPr>
          <w:noProof/>
        </w:rPr>
        <w:t xml:space="preserve">, </w:t>
      </w:r>
      <w:r w:rsidRPr="003E081A">
        <w:rPr>
          <w:i/>
          <w:iCs/>
          <w:noProof/>
        </w:rPr>
        <w:t>67</w:t>
      </w:r>
      <w:r w:rsidRPr="003E081A">
        <w:rPr>
          <w:noProof/>
        </w:rPr>
        <w:t>(5), 456–466. https://doi.org/10.1002/jclp.20790</w:t>
      </w:r>
    </w:p>
    <w:p w14:paraId="366FE9A8"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lastRenderedPageBreak/>
        <w:t xml:space="preserve">Frost, R. O., Ong, C., Steketee, G., &amp; Tolin, D. F. (2016). Behavioral and emotional consequences of thought listing versus cognitive restructuring during discarding decisions in hoarding disorder. </w:t>
      </w:r>
      <w:r w:rsidRPr="003E081A">
        <w:rPr>
          <w:i/>
          <w:iCs/>
          <w:noProof/>
        </w:rPr>
        <w:t>Behavioral Research and Therapy</w:t>
      </w:r>
      <w:r w:rsidRPr="003E081A">
        <w:rPr>
          <w:noProof/>
        </w:rPr>
        <w:t xml:space="preserve">, </w:t>
      </w:r>
      <w:r w:rsidRPr="003E081A">
        <w:rPr>
          <w:i/>
          <w:iCs/>
          <w:noProof/>
        </w:rPr>
        <w:t>85</w:t>
      </w:r>
      <w:r w:rsidRPr="003E081A">
        <w:rPr>
          <w:noProof/>
        </w:rPr>
        <w:t>, 13–22. https://doi.org/10.1038/nmeth.2839.A</w:t>
      </w:r>
    </w:p>
    <w:p w14:paraId="7E63B5C2"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Ruby, D., &amp; Shuer, L. J. (2012). The buried in treasures workshop: Waitlist control trial of facilitated support groups for hoarding. </w:t>
      </w:r>
      <w:r w:rsidRPr="003E081A">
        <w:rPr>
          <w:i/>
          <w:iCs/>
          <w:noProof/>
        </w:rPr>
        <w:t>Behaviour Research and Therapy</w:t>
      </w:r>
      <w:r w:rsidRPr="003E081A">
        <w:rPr>
          <w:noProof/>
        </w:rPr>
        <w:t xml:space="preserve">, </w:t>
      </w:r>
      <w:r w:rsidRPr="003E081A">
        <w:rPr>
          <w:i/>
          <w:iCs/>
          <w:noProof/>
        </w:rPr>
        <w:t>50</w:t>
      </w:r>
      <w:r w:rsidRPr="003E081A">
        <w:rPr>
          <w:noProof/>
        </w:rPr>
        <w:t>(11), 661–667. https://doi.org/10.1016/j.brat.2012.08.004</w:t>
      </w:r>
    </w:p>
    <w:p w14:paraId="5240CA9D"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Steketee, G., &amp; Grisham, J. (2004). Measurement of compulsive hoarding: Saving inventory-revised. </w:t>
      </w:r>
      <w:r w:rsidRPr="003E081A">
        <w:rPr>
          <w:i/>
          <w:iCs/>
          <w:noProof/>
        </w:rPr>
        <w:t>Behaviour Research and Therapy</w:t>
      </w:r>
      <w:r w:rsidRPr="003E081A">
        <w:rPr>
          <w:noProof/>
        </w:rPr>
        <w:t xml:space="preserve">, </w:t>
      </w:r>
      <w:r w:rsidRPr="003E081A">
        <w:rPr>
          <w:i/>
          <w:iCs/>
          <w:noProof/>
        </w:rPr>
        <w:t>42</w:t>
      </w:r>
      <w:r w:rsidRPr="003E081A">
        <w:rPr>
          <w:noProof/>
        </w:rPr>
        <w:t>, 1163–1182. https://doi.org/10.1016/j.brat.2003.07.006</w:t>
      </w:r>
    </w:p>
    <w:p w14:paraId="1AA9BBAF"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Steketee, G., &amp; Tolin, D. F. (2011). Comorbidity in hoarding disorder. </w:t>
      </w:r>
      <w:r w:rsidRPr="003E081A">
        <w:rPr>
          <w:i/>
          <w:iCs/>
          <w:noProof/>
        </w:rPr>
        <w:t>Depression and Anxiety</w:t>
      </w:r>
      <w:r w:rsidRPr="003E081A">
        <w:rPr>
          <w:noProof/>
        </w:rPr>
        <w:t xml:space="preserve">, </w:t>
      </w:r>
      <w:r w:rsidRPr="003E081A">
        <w:rPr>
          <w:i/>
          <w:iCs/>
          <w:noProof/>
        </w:rPr>
        <w:t>28</w:t>
      </w:r>
      <w:r w:rsidRPr="003E081A">
        <w:rPr>
          <w:noProof/>
        </w:rPr>
        <w:t>, 876–884. https://doi.org/10.1002/da.20861</w:t>
      </w:r>
    </w:p>
    <w:p w14:paraId="7C91E975"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Steketee, G., &amp; Williams, L. (2000). Hoarding: A community health problem. </w:t>
      </w:r>
      <w:r w:rsidRPr="003E081A">
        <w:rPr>
          <w:i/>
          <w:iCs/>
          <w:noProof/>
        </w:rPr>
        <w:t>Health &amp; Social Care in the Community</w:t>
      </w:r>
      <w:r w:rsidRPr="003E081A">
        <w:rPr>
          <w:noProof/>
        </w:rPr>
        <w:t xml:space="preserve">, </w:t>
      </w:r>
      <w:r w:rsidRPr="003E081A">
        <w:rPr>
          <w:i/>
          <w:iCs/>
          <w:noProof/>
        </w:rPr>
        <w:t>8</w:t>
      </w:r>
      <w:r w:rsidRPr="003E081A">
        <w:rPr>
          <w:noProof/>
        </w:rPr>
        <w:t>(4), 229–234. https://doi.org/10.1046/j.1365-2524.2000.00245.x</w:t>
      </w:r>
    </w:p>
    <w:p w14:paraId="04B63940"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Frost, R. O., Tolin, D. F., &amp; Maltby, N. (2010). Insight-related challenges in the treatment of hoarding. </w:t>
      </w:r>
      <w:r w:rsidRPr="003E081A">
        <w:rPr>
          <w:i/>
          <w:iCs/>
          <w:noProof/>
        </w:rPr>
        <w:t>Cognitive and Behavioral Practice</w:t>
      </w:r>
      <w:r w:rsidRPr="003E081A">
        <w:rPr>
          <w:noProof/>
        </w:rPr>
        <w:t xml:space="preserve">, </w:t>
      </w:r>
      <w:r w:rsidRPr="003E081A">
        <w:rPr>
          <w:i/>
          <w:iCs/>
          <w:noProof/>
        </w:rPr>
        <w:t>17</w:t>
      </w:r>
      <w:r w:rsidRPr="003E081A">
        <w:rPr>
          <w:noProof/>
        </w:rPr>
        <w:t>(4), 404–413. https://doi.org/10.1016/j.cbpra.2009.07.004</w:t>
      </w:r>
    </w:p>
    <w:p w14:paraId="25562399" w14:textId="77777777" w:rsidR="007231C2" w:rsidRDefault="003E081A" w:rsidP="007231C2">
      <w:pPr>
        <w:widowControl w:val="0"/>
        <w:autoSpaceDE w:val="0"/>
        <w:autoSpaceDN w:val="0"/>
        <w:adjustRightInd w:val="0"/>
        <w:spacing w:line="480" w:lineRule="auto"/>
        <w:ind w:left="480" w:hanging="480"/>
        <w:rPr>
          <w:noProof/>
        </w:rPr>
      </w:pPr>
      <w:r w:rsidRPr="003E081A">
        <w:rPr>
          <w:noProof/>
        </w:rPr>
        <w:t xml:space="preserve">Frost, R. O., Tolin, D. F., Steketee, G., &amp; Oh, M. (2011). Indecisiveness and hoarding. </w:t>
      </w:r>
      <w:r w:rsidRPr="003E081A">
        <w:rPr>
          <w:i/>
          <w:iCs/>
          <w:noProof/>
        </w:rPr>
        <w:t>International Journal of Cognitive Therapy</w:t>
      </w:r>
      <w:r w:rsidRPr="003E081A">
        <w:rPr>
          <w:noProof/>
        </w:rPr>
        <w:t xml:space="preserve">, </w:t>
      </w:r>
      <w:r w:rsidRPr="003E081A">
        <w:rPr>
          <w:i/>
          <w:iCs/>
          <w:noProof/>
        </w:rPr>
        <w:t>4</w:t>
      </w:r>
      <w:r w:rsidRPr="003E081A">
        <w:rPr>
          <w:noProof/>
        </w:rPr>
        <w:t>(3), 253–262.</w:t>
      </w:r>
    </w:p>
    <w:p w14:paraId="0D2B7A88" w14:textId="101589DA" w:rsidR="007231C2" w:rsidRDefault="007231C2" w:rsidP="00A81ED6">
      <w:pPr>
        <w:widowControl w:val="0"/>
        <w:autoSpaceDE w:val="0"/>
        <w:autoSpaceDN w:val="0"/>
        <w:adjustRightInd w:val="0"/>
        <w:spacing w:line="480" w:lineRule="auto"/>
        <w:ind w:left="480" w:hanging="480"/>
        <w:rPr>
          <w:noProof/>
        </w:rPr>
      </w:pPr>
      <w:r>
        <w:t xml:space="preserve">Furukawa, T. A., Noma, H., Caldwell, D. M., Honyashiki, M., Shinohara, K., Imai, H., ... &amp; Churchill, R. (2014). Waiting list may be a nocebo condition in psychotherapy trials: A contribution from network meta‐analysis. </w:t>
      </w:r>
      <w:r>
        <w:rPr>
          <w:i/>
          <w:iCs/>
        </w:rPr>
        <w:t>Acta Psychiatrica Scandinavica</w:t>
      </w:r>
      <w:r>
        <w:t xml:space="preserve">, </w:t>
      </w:r>
      <w:r>
        <w:rPr>
          <w:i/>
          <w:iCs/>
        </w:rPr>
        <w:t>130</w:t>
      </w:r>
      <w:r>
        <w:t>(3), 181-192.</w:t>
      </w:r>
    </w:p>
    <w:p w14:paraId="0206A406" w14:textId="77777777" w:rsidR="003E081A" w:rsidRPr="003E081A" w:rsidRDefault="003E081A" w:rsidP="00A81ED6">
      <w:pPr>
        <w:widowControl w:val="0"/>
        <w:autoSpaceDE w:val="0"/>
        <w:autoSpaceDN w:val="0"/>
        <w:adjustRightInd w:val="0"/>
        <w:spacing w:line="480" w:lineRule="auto"/>
        <w:rPr>
          <w:noProof/>
        </w:rPr>
      </w:pPr>
      <w:r w:rsidRPr="003E081A">
        <w:rPr>
          <w:noProof/>
        </w:rPr>
        <w:lastRenderedPageBreak/>
        <w:t xml:space="preserve">Goldberg, D. P. (1978). </w:t>
      </w:r>
      <w:r w:rsidRPr="003E081A">
        <w:rPr>
          <w:i/>
          <w:iCs/>
          <w:noProof/>
        </w:rPr>
        <w:t>Manual of the GHQ.</w:t>
      </w:r>
      <w:r w:rsidRPr="003E081A">
        <w:rPr>
          <w:noProof/>
        </w:rPr>
        <w:t xml:space="preserve"> NFER.</w:t>
      </w:r>
    </w:p>
    <w:p w14:paraId="53CF3140"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Goldberg, D. P., Gater, R., Sartorius, N., Ustun, T. B., Piccinelli, M., Gureje, O., &amp; Rutter, C. (1997). The validity of two versions of the GHQ in the WHO study of mental illness in general health care. </w:t>
      </w:r>
      <w:r w:rsidRPr="003E081A">
        <w:rPr>
          <w:i/>
          <w:iCs/>
          <w:noProof/>
        </w:rPr>
        <w:t>Psychological Medicine</w:t>
      </w:r>
      <w:r w:rsidRPr="003E081A">
        <w:rPr>
          <w:noProof/>
        </w:rPr>
        <w:t xml:space="preserve">, </w:t>
      </w:r>
      <w:r w:rsidRPr="003E081A">
        <w:rPr>
          <w:i/>
          <w:iCs/>
          <w:noProof/>
        </w:rPr>
        <w:t>27</w:t>
      </w:r>
      <w:r w:rsidRPr="003E081A">
        <w:rPr>
          <w:noProof/>
        </w:rPr>
        <w:t>(1), 191–197. https://doi.org/10.1017/S0033291796004242</w:t>
      </w:r>
    </w:p>
    <w:p w14:paraId="4EA1517F"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Guy, W. (1976). </w:t>
      </w:r>
      <w:r w:rsidRPr="003E081A">
        <w:rPr>
          <w:i/>
          <w:iCs/>
          <w:noProof/>
        </w:rPr>
        <w:t>Clinical Global Impressions ECDEU Assessment Manual for Psychopharmacology, Revised (DHEW Publ. No. ADM 76-338).</w:t>
      </w:r>
      <w:r w:rsidRPr="003E081A">
        <w:rPr>
          <w:noProof/>
        </w:rPr>
        <w:t xml:space="preserve"> National Institute of Mental Health.</w:t>
      </w:r>
    </w:p>
    <w:p w14:paraId="5650358B" w14:textId="5F4AA830" w:rsidR="001A26C3" w:rsidRDefault="003E081A" w:rsidP="00A81ED6">
      <w:pPr>
        <w:widowControl w:val="0"/>
        <w:autoSpaceDE w:val="0"/>
        <w:autoSpaceDN w:val="0"/>
        <w:adjustRightInd w:val="0"/>
        <w:spacing w:line="480" w:lineRule="auto"/>
        <w:ind w:left="480" w:hanging="480"/>
        <w:rPr>
          <w:lang w:eastAsia="en-US"/>
        </w:rPr>
      </w:pPr>
      <w:r w:rsidRPr="003E081A">
        <w:rPr>
          <w:noProof/>
        </w:rPr>
        <w:t xml:space="preserve">Hayes, S. C., Strosahl, K., &amp; Wilson, K. G. (2012). </w:t>
      </w:r>
      <w:r w:rsidRPr="003E081A">
        <w:rPr>
          <w:i/>
          <w:iCs/>
          <w:noProof/>
        </w:rPr>
        <w:t>Acceptance and commitment therapy: The process and practice of mindful change</w:t>
      </w:r>
      <w:r w:rsidRPr="003E081A">
        <w:rPr>
          <w:noProof/>
        </w:rPr>
        <w:t xml:space="preserve"> (2nd ed.). Guilford Press.</w:t>
      </w:r>
      <w:r w:rsidR="001A26C3">
        <w:t xml:space="preserve">Holm, S. (1979). A simple sequentially rejective multiple test procedure. </w:t>
      </w:r>
      <w:r w:rsidR="001A26C3">
        <w:rPr>
          <w:i/>
          <w:iCs/>
        </w:rPr>
        <w:t>Scandinavian Journal of Statistics</w:t>
      </w:r>
      <w:r w:rsidR="001A26C3">
        <w:t>, 65-70.</w:t>
      </w:r>
    </w:p>
    <w:p w14:paraId="781DE1E8"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Kelders, S. M., Kok, R. N., Ossebaard, H. C., &amp; Van Gemert-Pijnen, J. E. W. C. (2012). Persuasive system design does matter: A systematic review of adherence to web-based interventions. </w:t>
      </w:r>
      <w:r w:rsidRPr="003E081A">
        <w:rPr>
          <w:i/>
          <w:iCs/>
          <w:noProof/>
        </w:rPr>
        <w:t>Journal of Medical Internet Research</w:t>
      </w:r>
      <w:r w:rsidRPr="003E081A">
        <w:rPr>
          <w:noProof/>
        </w:rPr>
        <w:t xml:space="preserve">, </w:t>
      </w:r>
      <w:r w:rsidRPr="003E081A">
        <w:rPr>
          <w:i/>
          <w:iCs/>
          <w:noProof/>
        </w:rPr>
        <w:t>14</w:t>
      </w:r>
      <w:r w:rsidRPr="003E081A">
        <w:rPr>
          <w:noProof/>
        </w:rPr>
        <w:t>(6). https://doi.org/10.2196/jmir.2104</w:t>
      </w:r>
    </w:p>
    <w:p w14:paraId="2D708B00"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Kelley, M. L., Heffer, R. W., Gresham, F. M., &amp; Elliott, S. N. (1989). Development of a modified treatment evaluation inventory. </w:t>
      </w:r>
      <w:r w:rsidRPr="003E081A">
        <w:rPr>
          <w:i/>
          <w:iCs/>
          <w:noProof/>
        </w:rPr>
        <w:t>Journal of Psychopathology and Behavioral Assessment</w:t>
      </w:r>
      <w:r w:rsidRPr="003E081A">
        <w:rPr>
          <w:noProof/>
        </w:rPr>
        <w:t xml:space="preserve">, </w:t>
      </w:r>
      <w:r w:rsidRPr="003E081A">
        <w:rPr>
          <w:i/>
          <w:iCs/>
          <w:noProof/>
        </w:rPr>
        <w:t>11</w:t>
      </w:r>
      <w:r w:rsidRPr="003E081A">
        <w:rPr>
          <w:noProof/>
        </w:rPr>
        <w:t>, 235–247.</w:t>
      </w:r>
    </w:p>
    <w:p w14:paraId="51915372"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Kellman-McFarlane, K., Stewart, B., Woody, S., Ayers, C., Dozier, M., Frost, R. O., Grisham, J., Isemann, S., Steketee, G., Tolin, D. F., &amp; Welsted, A. (2019). Saving inventory – Revised: Psychometric performance across the lifespan. </w:t>
      </w:r>
      <w:r w:rsidRPr="003E081A">
        <w:rPr>
          <w:i/>
          <w:iCs/>
          <w:noProof/>
        </w:rPr>
        <w:t>Journal of Affective Disorders</w:t>
      </w:r>
      <w:r w:rsidRPr="003E081A">
        <w:rPr>
          <w:noProof/>
        </w:rPr>
        <w:t xml:space="preserve">, </w:t>
      </w:r>
      <w:r w:rsidRPr="003E081A">
        <w:rPr>
          <w:i/>
          <w:iCs/>
          <w:noProof/>
        </w:rPr>
        <w:t>252</w:t>
      </w:r>
      <w:r w:rsidRPr="003E081A">
        <w:rPr>
          <w:noProof/>
        </w:rPr>
        <w:t>(April), 358–364. https://doi.org/10.1016/j.jad.2019.04.007</w:t>
      </w:r>
    </w:p>
    <w:p w14:paraId="4F3B0B17"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Krafft, J., Ong, C. W., Twohig, M. P., &amp; Levin, M. E. (2018). Assessing psychological </w:t>
      </w:r>
      <w:r w:rsidRPr="003E081A">
        <w:rPr>
          <w:noProof/>
        </w:rPr>
        <w:lastRenderedPageBreak/>
        <w:t xml:space="preserve">inflexibility in hoarding: The Acceptance and Action Questionnaire for Hoarding (AAQH). </w:t>
      </w:r>
      <w:r w:rsidRPr="003E081A">
        <w:rPr>
          <w:i/>
          <w:iCs/>
          <w:noProof/>
        </w:rPr>
        <w:t>Journal of Contextual Behavioral Science</w:t>
      </w:r>
      <w:r w:rsidRPr="003E081A">
        <w:rPr>
          <w:noProof/>
        </w:rPr>
        <w:t xml:space="preserve">, </w:t>
      </w:r>
      <w:r w:rsidRPr="003E081A">
        <w:rPr>
          <w:i/>
          <w:iCs/>
          <w:noProof/>
        </w:rPr>
        <w:t>July 2017</w:t>
      </w:r>
      <w:r w:rsidRPr="003E081A">
        <w:rPr>
          <w:noProof/>
        </w:rPr>
        <w:t>. https://doi.org/10.1016/j.jcbs.2018.08.003</w:t>
      </w:r>
    </w:p>
    <w:p w14:paraId="2725408E"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Krafft, J., Potts, S., Schoendorff, B., &amp; Levin, M. E. (2017). A randomized controlled trial of multiple versions of an acceptance and commitment therapy matrix app for well-being. </w:t>
      </w:r>
      <w:r w:rsidRPr="003E081A">
        <w:rPr>
          <w:i/>
          <w:iCs/>
          <w:noProof/>
        </w:rPr>
        <w:t>Behavior Modification</w:t>
      </w:r>
      <w:r w:rsidRPr="003E081A">
        <w:rPr>
          <w:noProof/>
        </w:rPr>
        <w:t xml:space="preserve">, </w:t>
      </w:r>
      <w:r w:rsidRPr="003E081A">
        <w:rPr>
          <w:i/>
          <w:iCs/>
          <w:noProof/>
        </w:rPr>
        <w:t>43</w:t>
      </w:r>
      <w:r w:rsidRPr="003E081A">
        <w:rPr>
          <w:noProof/>
        </w:rPr>
        <w:t>, 246–272. https://doi.org/10.1177/0145445517748561</w:t>
      </w:r>
    </w:p>
    <w:p w14:paraId="5B2A6133"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Kuznetsova, A., Brockhoff, P. B., &amp; Christensen, R. H. B. (2017). lmerTest package: tests in linear mixed effects models. </w:t>
      </w:r>
      <w:r w:rsidRPr="003E081A">
        <w:rPr>
          <w:i/>
          <w:iCs/>
          <w:noProof/>
        </w:rPr>
        <w:t>Journal of Statistical Software</w:t>
      </w:r>
      <w:r w:rsidRPr="003E081A">
        <w:rPr>
          <w:noProof/>
        </w:rPr>
        <w:t xml:space="preserve">, </w:t>
      </w:r>
      <w:r w:rsidRPr="003E081A">
        <w:rPr>
          <w:i/>
          <w:iCs/>
          <w:noProof/>
        </w:rPr>
        <w:t>82</w:t>
      </w:r>
      <w:r w:rsidRPr="003E081A">
        <w:rPr>
          <w:noProof/>
        </w:rPr>
        <w:t>.</w:t>
      </w:r>
    </w:p>
    <w:p w14:paraId="03DFC4A9" w14:textId="77777777" w:rsidR="003E081A" w:rsidRPr="00B04950" w:rsidRDefault="003E081A" w:rsidP="003E081A">
      <w:pPr>
        <w:widowControl w:val="0"/>
        <w:autoSpaceDE w:val="0"/>
        <w:autoSpaceDN w:val="0"/>
        <w:adjustRightInd w:val="0"/>
        <w:spacing w:line="480" w:lineRule="auto"/>
        <w:ind w:left="480" w:hanging="480"/>
        <w:rPr>
          <w:noProof/>
          <w:lang w:val="fr-FR"/>
        </w:rPr>
      </w:pPr>
      <w:r w:rsidRPr="003E081A">
        <w:rPr>
          <w:noProof/>
        </w:rPr>
        <w:t xml:space="preserve">Kwok, O. M., Underhill, A. T., Berry, J. W., Luo, W., Elliott, T. R., &amp; Yoon, M. (2008). Analyzing longitudinal data with multilevel models: An example with individuals living with lower extremity intra-articular fractures. </w:t>
      </w:r>
      <w:r w:rsidRPr="00B04950">
        <w:rPr>
          <w:i/>
          <w:iCs/>
          <w:noProof/>
          <w:lang w:val="fr-FR"/>
        </w:rPr>
        <w:t>Rehabilitation Psychology</w:t>
      </w:r>
      <w:r w:rsidRPr="00B04950">
        <w:rPr>
          <w:noProof/>
          <w:lang w:val="fr-FR"/>
        </w:rPr>
        <w:t xml:space="preserve">, </w:t>
      </w:r>
      <w:r w:rsidRPr="00B04950">
        <w:rPr>
          <w:i/>
          <w:iCs/>
          <w:noProof/>
          <w:lang w:val="fr-FR"/>
        </w:rPr>
        <w:t>53</w:t>
      </w:r>
      <w:r w:rsidRPr="00B04950">
        <w:rPr>
          <w:noProof/>
          <w:lang w:val="fr-FR"/>
        </w:rPr>
        <w:t>(3), 370–386. https://doi.org/10.1037/a0012765</w:t>
      </w:r>
    </w:p>
    <w:p w14:paraId="3A8846C9" w14:textId="77777777" w:rsidR="003E081A" w:rsidRPr="003E081A" w:rsidRDefault="003E081A" w:rsidP="003E081A">
      <w:pPr>
        <w:widowControl w:val="0"/>
        <w:autoSpaceDE w:val="0"/>
        <w:autoSpaceDN w:val="0"/>
        <w:adjustRightInd w:val="0"/>
        <w:spacing w:line="480" w:lineRule="auto"/>
        <w:ind w:left="480" w:hanging="480"/>
        <w:rPr>
          <w:noProof/>
        </w:rPr>
      </w:pPr>
      <w:r w:rsidRPr="00B04950">
        <w:rPr>
          <w:noProof/>
          <w:lang w:val="fr-FR"/>
        </w:rPr>
        <w:t xml:space="preserve">Levin, M. E., Haeger, J. A., Pierce, B. G., &amp; Twohig, M. P. (2017). </w:t>
      </w:r>
      <w:r w:rsidRPr="003E081A">
        <w:rPr>
          <w:noProof/>
        </w:rPr>
        <w:t xml:space="preserve">Web-based acceptance and commitment therapy for mental health problems in college students. </w:t>
      </w:r>
      <w:r w:rsidRPr="003E081A">
        <w:rPr>
          <w:i/>
          <w:iCs/>
          <w:noProof/>
        </w:rPr>
        <w:t>Behavior Modification</w:t>
      </w:r>
      <w:r w:rsidRPr="003E081A">
        <w:rPr>
          <w:noProof/>
        </w:rPr>
        <w:t xml:space="preserve">, </w:t>
      </w:r>
      <w:r w:rsidRPr="003E081A">
        <w:rPr>
          <w:i/>
          <w:iCs/>
          <w:noProof/>
        </w:rPr>
        <w:t>41</w:t>
      </w:r>
      <w:r w:rsidRPr="003E081A">
        <w:rPr>
          <w:noProof/>
        </w:rPr>
        <w:t>, 141–162. https://doi.org/10.1177/0145445516659645</w:t>
      </w:r>
    </w:p>
    <w:p w14:paraId="19105A20"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Levin, M. E., Krafft, J., Hicks, E. T., Pierce, B., &amp; Twohig, M. P. (2020). A randomized dismantling trial of the open and engaged components of acceptance and commitment therapy in an online intervention for distressed college students. </w:t>
      </w:r>
      <w:r w:rsidRPr="003E081A">
        <w:rPr>
          <w:i/>
          <w:iCs/>
          <w:noProof/>
        </w:rPr>
        <w:t>Behaviour Research and Therapy</w:t>
      </w:r>
      <w:r w:rsidRPr="003E081A">
        <w:rPr>
          <w:noProof/>
        </w:rPr>
        <w:t xml:space="preserve">, </w:t>
      </w:r>
      <w:r w:rsidRPr="003E081A">
        <w:rPr>
          <w:i/>
          <w:iCs/>
          <w:noProof/>
        </w:rPr>
        <w:t>126</w:t>
      </w:r>
      <w:r w:rsidRPr="003E081A">
        <w:rPr>
          <w:noProof/>
        </w:rPr>
        <w:t>(January), 103557. https://doi.org/10.1016/j.brat.2020.103557</w:t>
      </w:r>
    </w:p>
    <w:p w14:paraId="235E2D95" w14:textId="5B25EF16" w:rsidR="003E081A" w:rsidRDefault="003E081A" w:rsidP="003E081A">
      <w:pPr>
        <w:widowControl w:val="0"/>
        <w:autoSpaceDE w:val="0"/>
        <w:autoSpaceDN w:val="0"/>
        <w:adjustRightInd w:val="0"/>
        <w:spacing w:line="480" w:lineRule="auto"/>
        <w:ind w:left="480" w:hanging="480"/>
        <w:rPr>
          <w:noProof/>
        </w:rPr>
      </w:pPr>
      <w:r w:rsidRPr="003E081A">
        <w:rPr>
          <w:noProof/>
        </w:rPr>
        <w:t xml:space="preserve">Levin, M. E., Krafft, J., &amp; Levin, C. (2018). Does self-help increase rates of help seeking for student mental health problems by minimizing stigma as a barrier? </w:t>
      </w:r>
      <w:r w:rsidRPr="003E081A">
        <w:rPr>
          <w:i/>
          <w:iCs/>
          <w:noProof/>
        </w:rPr>
        <w:t>Journal of American College Health</w:t>
      </w:r>
      <w:r w:rsidRPr="003E081A">
        <w:rPr>
          <w:noProof/>
        </w:rPr>
        <w:t xml:space="preserve">, </w:t>
      </w:r>
      <w:r w:rsidRPr="003E081A">
        <w:rPr>
          <w:i/>
          <w:iCs/>
          <w:noProof/>
        </w:rPr>
        <w:t>66</w:t>
      </w:r>
      <w:r w:rsidRPr="003E081A">
        <w:rPr>
          <w:noProof/>
        </w:rPr>
        <w:t>(4), 302–309. https://doi.org/10.1080/07448481.2018.1440580</w:t>
      </w:r>
    </w:p>
    <w:p w14:paraId="595209C4" w14:textId="23388615" w:rsidR="008A3039" w:rsidRPr="00761C10" w:rsidRDefault="00761C10" w:rsidP="003E081A">
      <w:pPr>
        <w:widowControl w:val="0"/>
        <w:autoSpaceDE w:val="0"/>
        <w:autoSpaceDN w:val="0"/>
        <w:adjustRightInd w:val="0"/>
        <w:spacing w:line="480" w:lineRule="auto"/>
        <w:ind w:left="480" w:hanging="480"/>
        <w:rPr>
          <w:noProof/>
        </w:rPr>
      </w:pPr>
      <w:r w:rsidRPr="00A81ED6">
        <w:t xml:space="preserve">Linkovski, O., Zwerling, J., Cordell, E., Sonnenfeld, D., Willis, H., La Lima, C.N., Baker, C., </w:t>
      </w:r>
      <w:r w:rsidRPr="00A81ED6">
        <w:lastRenderedPageBreak/>
        <w:t xml:space="preserve">Ghazzaoui, R., Girson, R., Sanchez, C. and Wright, B., 2018. Augmenting Buried in Treasures with in-home uncluttering practice: Pilot study in hoarding disorder. </w:t>
      </w:r>
      <w:r w:rsidRPr="00761C10">
        <w:rPr>
          <w:i/>
          <w:iCs/>
        </w:rPr>
        <w:t xml:space="preserve">Journal of </w:t>
      </w:r>
      <w:r>
        <w:rPr>
          <w:i/>
          <w:iCs/>
        </w:rPr>
        <w:t>P</w:t>
      </w:r>
      <w:r w:rsidRPr="00761C10">
        <w:rPr>
          <w:i/>
          <w:iCs/>
        </w:rPr>
        <w:t xml:space="preserve">sychiatric </w:t>
      </w:r>
      <w:r>
        <w:rPr>
          <w:i/>
          <w:iCs/>
        </w:rPr>
        <w:t>R</w:t>
      </w:r>
      <w:r w:rsidRPr="00761C10">
        <w:rPr>
          <w:i/>
          <w:iCs/>
        </w:rPr>
        <w:t>esearch</w:t>
      </w:r>
      <w:r w:rsidRPr="00A81ED6">
        <w:t xml:space="preserve">, </w:t>
      </w:r>
      <w:r w:rsidRPr="00761C10">
        <w:rPr>
          <w:i/>
          <w:iCs/>
        </w:rPr>
        <w:t>107</w:t>
      </w:r>
      <w:r w:rsidRPr="00A81ED6">
        <w:t>, 145-150.</w:t>
      </w:r>
    </w:p>
    <w:p w14:paraId="6F076A31"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Lorah, J. (2018). Effect size measures for multilevel models: definition, interpretation, and TIMSS example. </w:t>
      </w:r>
      <w:r w:rsidRPr="003E081A">
        <w:rPr>
          <w:i/>
          <w:iCs/>
          <w:noProof/>
        </w:rPr>
        <w:t>Large-Scale Assessments in Education</w:t>
      </w:r>
      <w:r w:rsidRPr="003E081A">
        <w:rPr>
          <w:noProof/>
        </w:rPr>
        <w:t xml:space="preserve">, </w:t>
      </w:r>
      <w:r w:rsidRPr="003E081A">
        <w:rPr>
          <w:i/>
          <w:iCs/>
          <w:noProof/>
        </w:rPr>
        <w:t>6</w:t>
      </w:r>
      <w:r w:rsidRPr="003E081A">
        <w:rPr>
          <w:noProof/>
        </w:rPr>
        <w:t>. https://doi.org/10.1186/s40536-018-0061-2</w:t>
      </w:r>
    </w:p>
    <w:p w14:paraId="0A81DB6E"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Luke, S. G. (2017). Evaluating significance in linear mixed-effects models in R. </w:t>
      </w:r>
      <w:r w:rsidRPr="003E081A">
        <w:rPr>
          <w:i/>
          <w:iCs/>
          <w:noProof/>
        </w:rPr>
        <w:t>Behavior Research Methods</w:t>
      </w:r>
      <w:r w:rsidRPr="003E081A">
        <w:rPr>
          <w:noProof/>
        </w:rPr>
        <w:t xml:space="preserve">, </w:t>
      </w:r>
      <w:r w:rsidRPr="003E081A">
        <w:rPr>
          <w:i/>
          <w:iCs/>
          <w:noProof/>
        </w:rPr>
        <w:t>49</w:t>
      </w:r>
      <w:r w:rsidRPr="003E081A">
        <w:rPr>
          <w:noProof/>
        </w:rPr>
        <w:t>, 1494–1502. https://doi.org/10.3758/s13428-016-0809-y</w:t>
      </w:r>
    </w:p>
    <w:p w14:paraId="32CBC7BB" w14:textId="77777777" w:rsidR="003E081A" w:rsidRPr="003E081A" w:rsidRDefault="003E081A" w:rsidP="003E081A">
      <w:pPr>
        <w:widowControl w:val="0"/>
        <w:autoSpaceDE w:val="0"/>
        <w:autoSpaceDN w:val="0"/>
        <w:adjustRightInd w:val="0"/>
        <w:spacing w:line="480" w:lineRule="auto"/>
        <w:ind w:left="480" w:hanging="480"/>
        <w:rPr>
          <w:noProof/>
        </w:rPr>
      </w:pPr>
      <w:r w:rsidRPr="00B04950">
        <w:rPr>
          <w:noProof/>
          <w:lang w:val="fr-FR"/>
        </w:rPr>
        <w:t xml:space="preserve">Mathews, C. A., Uhm, S., Chan, J., Gause, M., Franklin, J., Plumadore, J., Stark, S. J., Yu, W., Vigil, O., Salazar, M., Delucchi, K. L., &amp; Vega, E. (2016). </w:t>
      </w:r>
      <w:r w:rsidRPr="003E081A">
        <w:rPr>
          <w:noProof/>
        </w:rPr>
        <w:t xml:space="preserve">Treating hoarding disorder in a real-world setting: Results from the Mental Health Association of San Francisco. </w:t>
      </w:r>
      <w:r w:rsidRPr="003E081A">
        <w:rPr>
          <w:i/>
          <w:iCs/>
          <w:noProof/>
        </w:rPr>
        <w:t>Psychiatry Research</w:t>
      </w:r>
      <w:r w:rsidRPr="003E081A">
        <w:rPr>
          <w:noProof/>
        </w:rPr>
        <w:t xml:space="preserve">, </w:t>
      </w:r>
      <w:r w:rsidRPr="003E081A">
        <w:rPr>
          <w:i/>
          <w:iCs/>
          <w:noProof/>
        </w:rPr>
        <w:t>237</w:t>
      </w:r>
      <w:r w:rsidRPr="003E081A">
        <w:rPr>
          <w:noProof/>
        </w:rPr>
        <w:t>, 331–338. https://doi.org/10.1016/j.psychres.2016.01.019.Treating</w:t>
      </w:r>
    </w:p>
    <w:p w14:paraId="4EBA1053"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Mohr, D. C., Cuijpers, P., &amp; Lehman, K. (2011). Supportive accountability: A model for providing human support to enhance adherence to eHealth interventions. </w:t>
      </w:r>
      <w:r w:rsidRPr="003E081A">
        <w:rPr>
          <w:i/>
          <w:iCs/>
          <w:noProof/>
        </w:rPr>
        <w:t>Journal of Medical Internet Research</w:t>
      </w:r>
      <w:r w:rsidRPr="003E081A">
        <w:rPr>
          <w:noProof/>
        </w:rPr>
        <w:t xml:space="preserve">, </w:t>
      </w:r>
      <w:r w:rsidRPr="003E081A">
        <w:rPr>
          <w:i/>
          <w:iCs/>
          <w:noProof/>
        </w:rPr>
        <w:t>13</w:t>
      </w:r>
      <w:r w:rsidRPr="003E081A">
        <w:rPr>
          <w:noProof/>
        </w:rPr>
        <w:t>(1), 1–11. https://doi.org/10.2196/jmir.1602</w:t>
      </w:r>
    </w:p>
    <w:p w14:paraId="53110D41"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Muroff, J., Bratiotis, C., &amp; Steketee, G. (2011). Treatment for hoarding behaviors: A review of the evidence. </w:t>
      </w:r>
      <w:r w:rsidRPr="003E081A">
        <w:rPr>
          <w:i/>
          <w:iCs/>
          <w:noProof/>
        </w:rPr>
        <w:t>Clinical Social Work Journal</w:t>
      </w:r>
      <w:r w:rsidRPr="003E081A">
        <w:rPr>
          <w:noProof/>
        </w:rPr>
        <w:t xml:space="preserve">, </w:t>
      </w:r>
      <w:r w:rsidRPr="003E081A">
        <w:rPr>
          <w:i/>
          <w:iCs/>
          <w:noProof/>
        </w:rPr>
        <w:t>39</w:t>
      </w:r>
      <w:r w:rsidRPr="003E081A">
        <w:rPr>
          <w:noProof/>
        </w:rPr>
        <w:t>, 406–423. https://doi.org/10.1007/s10615-010-0311-4</w:t>
      </w:r>
    </w:p>
    <w:p w14:paraId="50364CEE"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Muroff, J., &amp; Steketee, G. (2018). Pilot trial of cognitive and behavioral treatment for hoarding disorder delivered via webcam: Feasibility and preliminary outcomes. </w:t>
      </w:r>
      <w:r w:rsidRPr="003E081A">
        <w:rPr>
          <w:i/>
          <w:iCs/>
          <w:noProof/>
        </w:rPr>
        <w:t>Journal of Obsessive-Compulsive and Related Disorders</w:t>
      </w:r>
      <w:r w:rsidRPr="003E081A">
        <w:rPr>
          <w:noProof/>
        </w:rPr>
        <w:t xml:space="preserve">, </w:t>
      </w:r>
      <w:r w:rsidRPr="003E081A">
        <w:rPr>
          <w:i/>
          <w:iCs/>
          <w:noProof/>
        </w:rPr>
        <w:t>18</w:t>
      </w:r>
      <w:r w:rsidRPr="003E081A">
        <w:rPr>
          <w:noProof/>
        </w:rPr>
        <w:t>, 18–24. https://doi.org/https://doi.org/10.1016/j.jocrd.2018.05.002</w:t>
      </w:r>
    </w:p>
    <w:p w14:paraId="4E3229E4"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Muroff, J., Steketee, G., Himle, J., &amp; Frost, R. (2010). Delivery of internet treatment for </w:t>
      </w:r>
      <w:r w:rsidRPr="003E081A">
        <w:rPr>
          <w:noProof/>
        </w:rPr>
        <w:lastRenderedPageBreak/>
        <w:t xml:space="preserve">compulsive hoarding (D.I.T.C.H.). </w:t>
      </w:r>
      <w:r w:rsidRPr="003E081A">
        <w:rPr>
          <w:i/>
          <w:iCs/>
          <w:noProof/>
        </w:rPr>
        <w:t>Behaviour Research and Therapy</w:t>
      </w:r>
      <w:r w:rsidRPr="003E081A">
        <w:rPr>
          <w:noProof/>
        </w:rPr>
        <w:t xml:space="preserve">, </w:t>
      </w:r>
      <w:r w:rsidRPr="003E081A">
        <w:rPr>
          <w:i/>
          <w:iCs/>
          <w:noProof/>
        </w:rPr>
        <w:t>48</w:t>
      </w:r>
      <w:r w:rsidRPr="003E081A">
        <w:rPr>
          <w:noProof/>
        </w:rPr>
        <w:t>(1), 79–85. https://doi.org/10.1016/j.brat.2009.09.006</w:t>
      </w:r>
    </w:p>
    <w:p w14:paraId="757DEB16"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Ong, C. W., Krafft, J., Levin, M. E., &amp; Twohig, M. P. (2018). An examination of the role of psychological inflexibility in hoarding using multiple mediator models. </w:t>
      </w:r>
      <w:r w:rsidRPr="003E081A">
        <w:rPr>
          <w:i/>
          <w:iCs/>
          <w:noProof/>
        </w:rPr>
        <w:t>Journal of Cognitive Psychotherapy</w:t>
      </w:r>
      <w:r w:rsidRPr="003E081A">
        <w:rPr>
          <w:noProof/>
        </w:rPr>
        <w:t xml:space="preserve">, </w:t>
      </w:r>
      <w:r w:rsidRPr="003E081A">
        <w:rPr>
          <w:i/>
          <w:iCs/>
          <w:noProof/>
        </w:rPr>
        <w:t>32</w:t>
      </w:r>
      <w:r w:rsidRPr="003E081A">
        <w:rPr>
          <w:noProof/>
        </w:rPr>
        <w:t>, 97–111. https://doi.org/10.1891/0889-8391.32.2.97</w:t>
      </w:r>
    </w:p>
    <w:p w14:paraId="7AB0B455"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Ong, C. W., Krafft, J., Panoussi, F., Petersen, J. M., Levin, M. E., &amp; Twohig, M. P. (2021). In-person and online-delivered acceptance and commitment therapy for hoarding disorder: A multiple baseline study. </w:t>
      </w:r>
      <w:r w:rsidRPr="003E081A">
        <w:rPr>
          <w:i/>
          <w:iCs/>
          <w:noProof/>
        </w:rPr>
        <w:t>Journal of Contextual Behavioral Science</w:t>
      </w:r>
      <w:r w:rsidRPr="003E081A">
        <w:rPr>
          <w:noProof/>
        </w:rPr>
        <w:t xml:space="preserve">, </w:t>
      </w:r>
      <w:r w:rsidRPr="003E081A">
        <w:rPr>
          <w:i/>
          <w:iCs/>
          <w:noProof/>
        </w:rPr>
        <w:t>20</w:t>
      </w:r>
      <w:r w:rsidRPr="003E081A">
        <w:rPr>
          <w:noProof/>
        </w:rPr>
        <w:t>, 108–117.</w:t>
      </w:r>
    </w:p>
    <w:p w14:paraId="68031F22"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Ong, C. W., Pang, S., Sagayadevan, V., Chong, S. A., &amp; Subramaniam, M. (2015). Functioning and quality of life in hoarding: A systematic review. </w:t>
      </w:r>
      <w:r w:rsidRPr="003E081A">
        <w:rPr>
          <w:i/>
          <w:iCs/>
          <w:noProof/>
        </w:rPr>
        <w:t>Journal of Anxiety Disorders</w:t>
      </w:r>
      <w:r w:rsidRPr="003E081A">
        <w:rPr>
          <w:noProof/>
        </w:rPr>
        <w:t xml:space="preserve">, </w:t>
      </w:r>
      <w:r w:rsidRPr="003E081A">
        <w:rPr>
          <w:i/>
          <w:iCs/>
          <w:noProof/>
        </w:rPr>
        <w:t>32</w:t>
      </w:r>
      <w:r w:rsidRPr="003E081A">
        <w:rPr>
          <w:noProof/>
        </w:rPr>
        <w:t>, 17–30. https://doi.org/10.1016/j.janxdis.2014.12.003</w:t>
      </w:r>
    </w:p>
    <w:p w14:paraId="5ACE37BD"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Postlethwaite, A., Kellett, S., &amp; Mataix-Cols, D. (2019). Prevalence of hoarding disorder: A systematic review and meta-analysis. </w:t>
      </w:r>
      <w:r w:rsidRPr="003E081A">
        <w:rPr>
          <w:i/>
          <w:iCs/>
          <w:noProof/>
        </w:rPr>
        <w:t>Journal of Affective Disorders</w:t>
      </w:r>
      <w:r w:rsidRPr="003E081A">
        <w:rPr>
          <w:noProof/>
        </w:rPr>
        <w:t xml:space="preserve">, </w:t>
      </w:r>
      <w:r w:rsidRPr="003E081A">
        <w:rPr>
          <w:i/>
          <w:iCs/>
          <w:noProof/>
        </w:rPr>
        <w:t>256</w:t>
      </w:r>
      <w:r w:rsidRPr="003E081A">
        <w:rPr>
          <w:noProof/>
        </w:rPr>
        <w:t>(2019), 309–316. https://doi.org/10.1016/j.jad.2019.06.004</w:t>
      </w:r>
    </w:p>
    <w:p w14:paraId="343D2614"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R Core Team. (2018). </w:t>
      </w:r>
      <w:r w:rsidRPr="003E081A">
        <w:rPr>
          <w:i/>
          <w:iCs/>
          <w:noProof/>
        </w:rPr>
        <w:t>R: A language and environment for statistical computing</w:t>
      </w:r>
      <w:r w:rsidRPr="003E081A">
        <w:rPr>
          <w:noProof/>
        </w:rPr>
        <w:t>. R Foundation for Statistical Computing.</w:t>
      </w:r>
    </w:p>
    <w:p w14:paraId="28EA8DA1"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Rasmussen, J. L., Steketee, G., Frost, R. O., Tolin, D. F., &amp; Brown, T. a. (2014). Assessing squalor in hoarding: The home environment index. </w:t>
      </w:r>
      <w:r w:rsidRPr="003E081A">
        <w:rPr>
          <w:i/>
          <w:iCs/>
          <w:noProof/>
        </w:rPr>
        <w:t>Community Mental Health Journal</w:t>
      </w:r>
      <w:r w:rsidRPr="003E081A">
        <w:rPr>
          <w:noProof/>
        </w:rPr>
        <w:t xml:space="preserve">, </w:t>
      </w:r>
      <w:r w:rsidRPr="003E081A">
        <w:rPr>
          <w:i/>
          <w:iCs/>
          <w:noProof/>
        </w:rPr>
        <w:t>50</w:t>
      </w:r>
      <w:r w:rsidRPr="003E081A">
        <w:rPr>
          <w:noProof/>
        </w:rPr>
        <w:t>(5), 591–596. https://doi.org/10.1007/s10597-013-9665-8</w:t>
      </w:r>
    </w:p>
    <w:p w14:paraId="49483473"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Robertson, L., Paparo, J., &amp; Wootton, B. M. (2020). Understanding barriers to treatment and treatment delivery preferences for individuals with symptoms of hoarding disorder: A preliminary study. </w:t>
      </w:r>
      <w:r w:rsidRPr="003E081A">
        <w:rPr>
          <w:i/>
          <w:iCs/>
          <w:noProof/>
        </w:rPr>
        <w:t>Journal of Obsessive-Compulsive and Related Disorders</w:t>
      </w:r>
      <w:r w:rsidRPr="003E081A">
        <w:rPr>
          <w:noProof/>
        </w:rPr>
        <w:t xml:space="preserve">, </w:t>
      </w:r>
      <w:r w:rsidRPr="003E081A">
        <w:rPr>
          <w:i/>
          <w:iCs/>
          <w:noProof/>
        </w:rPr>
        <w:t>26</w:t>
      </w:r>
      <w:r w:rsidRPr="003E081A">
        <w:rPr>
          <w:noProof/>
        </w:rPr>
        <w:t>(July), 100560. https://doi.org/10.1016/j.jocrd.2020.100560</w:t>
      </w:r>
    </w:p>
    <w:p w14:paraId="72110D3F"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lastRenderedPageBreak/>
        <w:t xml:space="preserve">Rodriguez, C. I., Herman, D., Alcon, J., Chen, S., Tannen, A., Essock, S., &amp; Simpson, H. B. (2012). Prevalence of hoarding disorder in individuals at potential risk of eviction in New York City. </w:t>
      </w:r>
      <w:r w:rsidRPr="003E081A">
        <w:rPr>
          <w:i/>
          <w:iCs/>
          <w:noProof/>
        </w:rPr>
        <w:t>The Journal of Nervous and Mental Disease</w:t>
      </w:r>
      <w:r w:rsidRPr="003E081A">
        <w:rPr>
          <w:noProof/>
        </w:rPr>
        <w:t xml:space="preserve">, </w:t>
      </w:r>
      <w:r w:rsidRPr="003E081A">
        <w:rPr>
          <w:i/>
          <w:iCs/>
          <w:noProof/>
        </w:rPr>
        <w:t>200</w:t>
      </w:r>
      <w:r w:rsidRPr="003E081A">
        <w:rPr>
          <w:noProof/>
        </w:rPr>
        <w:t>, 91–94. https://doi.org/10.1097/NMD.0b013e31823f678b</w:t>
      </w:r>
    </w:p>
    <w:p w14:paraId="13361231" w14:textId="13880A2F" w:rsidR="003E081A" w:rsidRPr="003E081A" w:rsidRDefault="003E081A" w:rsidP="003E081A">
      <w:pPr>
        <w:widowControl w:val="0"/>
        <w:autoSpaceDE w:val="0"/>
        <w:autoSpaceDN w:val="0"/>
        <w:adjustRightInd w:val="0"/>
        <w:spacing w:line="480" w:lineRule="auto"/>
        <w:ind w:left="480" w:hanging="480"/>
        <w:rPr>
          <w:noProof/>
        </w:rPr>
      </w:pPr>
      <w:r w:rsidRPr="003E081A">
        <w:rPr>
          <w:noProof/>
        </w:rPr>
        <w:t>Sheehan, D. V</w:t>
      </w:r>
      <w:r w:rsidR="00D43BE2">
        <w:rPr>
          <w:noProof/>
        </w:rPr>
        <w:t>.</w:t>
      </w:r>
      <w:r w:rsidRPr="003E081A">
        <w:rPr>
          <w:noProof/>
        </w:rPr>
        <w:t xml:space="preserve">, Harnett-Sheehan, K., &amp; Raj, B. A. (1996). The measurement of disability. </w:t>
      </w:r>
      <w:r w:rsidRPr="003E081A">
        <w:rPr>
          <w:i/>
          <w:iCs/>
          <w:noProof/>
        </w:rPr>
        <w:t>International Clinical Psychopharmacology</w:t>
      </w:r>
      <w:r w:rsidRPr="003E081A">
        <w:rPr>
          <w:noProof/>
        </w:rPr>
        <w:t>.</w:t>
      </w:r>
    </w:p>
    <w:p w14:paraId="1C648F49"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Spek, V., Cuijpers, P., Nylicek, I., Riper, H., Keyzer, J., &amp; Pop, V. (2007). Internet-based cognitive behaviour therapy for symptoms of depression and anxiety: a meta-analysis. </w:t>
      </w:r>
      <w:r w:rsidRPr="003E081A">
        <w:rPr>
          <w:i/>
          <w:iCs/>
          <w:noProof/>
        </w:rPr>
        <w:t>Psychological Medicine</w:t>
      </w:r>
      <w:r w:rsidRPr="003E081A">
        <w:rPr>
          <w:noProof/>
        </w:rPr>
        <w:t xml:space="preserve">, </w:t>
      </w:r>
      <w:r w:rsidRPr="003E081A">
        <w:rPr>
          <w:i/>
          <w:iCs/>
          <w:noProof/>
        </w:rPr>
        <w:t>37</w:t>
      </w:r>
      <w:r w:rsidRPr="003E081A">
        <w:rPr>
          <w:noProof/>
        </w:rPr>
        <w:t>(03), 319–328. https://doi.org/10.1017/S0033291706008944</w:t>
      </w:r>
    </w:p>
    <w:p w14:paraId="58D9A0CF"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Steketee, G., &amp; Frost, R. O. (2007). </w:t>
      </w:r>
      <w:r w:rsidRPr="003E081A">
        <w:rPr>
          <w:i/>
          <w:iCs/>
          <w:noProof/>
        </w:rPr>
        <w:t>Compulsive Hoarding and Acquiring: Therapist Guide.</w:t>
      </w:r>
      <w:r w:rsidRPr="003E081A">
        <w:rPr>
          <w:noProof/>
        </w:rPr>
        <w:t xml:space="preserve"> Oxford University Press.</w:t>
      </w:r>
    </w:p>
    <w:p w14:paraId="2FFB155E"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Steketee, G., Frost, R. O., Wincze, J., Greene, K. A. I., &amp; Douglass, H. (2000). Group and individual treatment of compulsive hoarding: A pilot study. </w:t>
      </w:r>
      <w:r w:rsidRPr="003E081A">
        <w:rPr>
          <w:i/>
          <w:iCs/>
          <w:noProof/>
        </w:rPr>
        <w:t>Behavioural and Cognitive Psychotherapy</w:t>
      </w:r>
      <w:r w:rsidRPr="003E081A">
        <w:rPr>
          <w:noProof/>
        </w:rPr>
        <w:t xml:space="preserve">, </w:t>
      </w:r>
      <w:r w:rsidRPr="003E081A">
        <w:rPr>
          <w:i/>
          <w:iCs/>
          <w:noProof/>
        </w:rPr>
        <w:t>28</w:t>
      </w:r>
      <w:r w:rsidRPr="003E081A">
        <w:rPr>
          <w:noProof/>
        </w:rPr>
        <w:t>(3), 259–268. https://doi.org/10.1017/S1352465800003064</w:t>
      </w:r>
    </w:p>
    <w:p w14:paraId="4E6F8DC4"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Thompson, E. M., Destree, L., Albertella, L., &amp; Fontenelle, L. F. (2021). Internet-based acceptance and commitment therapy: A transdiagnostic systematic review and meta-analysis for mental health outcomes. </w:t>
      </w:r>
      <w:r w:rsidRPr="003E081A">
        <w:rPr>
          <w:i/>
          <w:iCs/>
          <w:noProof/>
        </w:rPr>
        <w:t>Behavior Therapy</w:t>
      </w:r>
      <w:r w:rsidRPr="003E081A">
        <w:rPr>
          <w:noProof/>
        </w:rPr>
        <w:t xml:space="preserve">, </w:t>
      </w:r>
      <w:r w:rsidRPr="003E081A">
        <w:rPr>
          <w:i/>
          <w:iCs/>
          <w:noProof/>
        </w:rPr>
        <w:t>52</w:t>
      </w:r>
      <w:r w:rsidRPr="003E081A">
        <w:rPr>
          <w:noProof/>
        </w:rPr>
        <w:t>(2), 492–507. https://doi.org/10.1016/j.beth.2020.07.002</w:t>
      </w:r>
    </w:p>
    <w:p w14:paraId="289E7125"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Tolin, D. F., Frost, R. O., &amp; Steketee, G. (2007). An open trial of cognitive-behavioural therapy for compulsive hoarding. </w:t>
      </w:r>
      <w:r w:rsidRPr="003E081A">
        <w:rPr>
          <w:i/>
          <w:iCs/>
          <w:noProof/>
        </w:rPr>
        <w:t>Behaviour Research and Therapy</w:t>
      </w:r>
      <w:r w:rsidRPr="003E081A">
        <w:rPr>
          <w:noProof/>
        </w:rPr>
        <w:t xml:space="preserve">, </w:t>
      </w:r>
      <w:r w:rsidRPr="003E081A">
        <w:rPr>
          <w:i/>
          <w:iCs/>
          <w:noProof/>
        </w:rPr>
        <w:t>45</w:t>
      </w:r>
      <w:r w:rsidRPr="003E081A">
        <w:rPr>
          <w:noProof/>
        </w:rPr>
        <w:t>(7), 1461–1470. https://doi.org/10.1016/j.brat.2007.01.001</w:t>
      </w:r>
    </w:p>
    <w:p w14:paraId="61676338"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Tolin, D. F., Frost, R. O., Steketee, G., &amp; Fitch, K. E. (2008). Family burden of compulsive hoarding: Results of an internet survey. </w:t>
      </w:r>
      <w:r w:rsidRPr="003E081A">
        <w:rPr>
          <w:i/>
          <w:iCs/>
          <w:noProof/>
        </w:rPr>
        <w:t>Behaviour Research and Therapy</w:t>
      </w:r>
      <w:r w:rsidRPr="003E081A">
        <w:rPr>
          <w:noProof/>
        </w:rPr>
        <w:t xml:space="preserve">, </w:t>
      </w:r>
      <w:r w:rsidRPr="003E081A">
        <w:rPr>
          <w:i/>
          <w:iCs/>
          <w:noProof/>
        </w:rPr>
        <w:t>46</w:t>
      </w:r>
      <w:r w:rsidRPr="003E081A">
        <w:rPr>
          <w:noProof/>
        </w:rPr>
        <w:t xml:space="preserve">(3), 334–344. </w:t>
      </w:r>
      <w:r w:rsidRPr="003E081A">
        <w:rPr>
          <w:noProof/>
        </w:rPr>
        <w:lastRenderedPageBreak/>
        <w:t>https://doi.org/10.1016/j.biotechadv.2011.08.021.Secreted</w:t>
      </w:r>
    </w:p>
    <w:p w14:paraId="56563FD2"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Tolin, D. F., Frost, R. O., Steketee, G., &amp; Muroff, J. (2015). Cognitive behavioral therapy for hoarding disorder: A meta-analysis. </w:t>
      </w:r>
      <w:r w:rsidRPr="003E081A">
        <w:rPr>
          <w:i/>
          <w:iCs/>
          <w:noProof/>
        </w:rPr>
        <w:t>Depression and Anxiety</w:t>
      </w:r>
      <w:r w:rsidRPr="003E081A">
        <w:rPr>
          <w:noProof/>
        </w:rPr>
        <w:t xml:space="preserve">, </w:t>
      </w:r>
      <w:r w:rsidRPr="003E081A">
        <w:rPr>
          <w:i/>
          <w:iCs/>
          <w:noProof/>
        </w:rPr>
        <w:t>32</w:t>
      </w:r>
      <w:r w:rsidRPr="003E081A">
        <w:rPr>
          <w:noProof/>
        </w:rPr>
        <w:t>, 158–166. https://doi.org/10.1002/da.22327</w:t>
      </w:r>
    </w:p>
    <w:p w14:paraId="45DB4B62"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Tolin, D. F., &amp; Villavicencio, A. (2011). Inattention, but not OCD, predicts the core features of Hoarding Disorder. </w:t>
      </w:r>
      <w:r w:rsidRPr="003E081A">
        <w:rPr>
          <w:i/>
          <w:iCs/>
          <w:noProof/>
        </w:rPr>
        <w:t>Behaviour Research and Therapy</w:t>
      </w:r>
      <w:r w:rsidRPr="003E081A">
        <w:rPr>
          <w:noProof/>
        </w:rPr>
        <w:t xml:space="preserve">, </w:t>
      </w:r>
      <w:r w:rsidRPr="003E081A">
        <w:rPr>
          <w:i/>
          <w:iCs/>
          <w:noProof/>
        </w:rPr>
        <w:t>49</w:t>
      </w:r>
      <w:r w:rsidRPr="003E081A">
        <w:rPr>
          <w:noProof/>
        </w:rPr>
        <w:t>(2), 120–125. https://doi.org/10.1016/j.brat.2010.12.002</w:t>
      </w:r>
    </w:p>
    <w:p w14:paraId="08E7BE41"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Tullis, T., &amp; Albert, W. (2008). </w:t>
      </w:r>
      <w:r w:rsidRPr="003E081A">
        <w:rPr>
          <w:i/>
          <w:iCs/>
          <w:noProof/>
        </w:rPr>
        <w:t>Measuring the user experience</w:t>
      </w:r>
      <w:r w:rsidRPr="003E081A">
        <w:rPr>
          <w:noProof/>
        </w:rPr>
        <w:t>. Morgan Kaufmann.</w:t>
      </w:r>
    </w:p>
    <w:p w14:paraId="3D7A7A50"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Twohig, M. P., Hayes, S. C., &amp; Masuda, A. (2006). Increasing willingness to experience obsessions: Acceptance and Commitment Therapy as a treatment for Obsessive-Compulsive Disorder. </w:t>
      </w:r>
      <w:r w:rsidRPr="003E081A">
        <w:rPr>
          <w:i/>
          <w:iCs/>
          <w:noProof/>
        </w:rPr>
        <w:t>Behavior Therapy</w:t>
      </w:r>
      <w:r w:rsidRPr="003E081A">
        <w:rPr>
          <w:noProof/>
        </w:rPr>
        <w:t xml:space="preserve">, </w:t>
      </w:r>
      <w:r w:rsidRPr="003E081A">
        <w:rPr>
          <w:i/>
          <w:iCs/>
          <w:noProof/>
        </w:rPr>
        <w:t>37</w:t>
      </w:r>
      <w:r w:rsidRPr="003E081A">
        <w:rPr>
          <w:noProof/>
        </w:rPr>
        <w:t>, 3–13. https://doi.org/10.1016/j.beth.2005.02.001</w:t>
      </w:r>
    </w:p>
    <w:p w14:paraId="1EB31978" w14:textId="77777777" w:rsidR="003E081A" w:rsidRPr="003E081A" w:rsidRDefault="003E081A" w:rsidP="003E081A">
      <w:pPr>
        <w:widowControl w:val="0"/>
        <w:autoSpaceDE w:val="0"/>
        <w:autoSpaceDN w:val="0"/>
        <w:adjustRightInd w:val="0"/>
        <w:spacing w:line="480" w:lineRule="auto"/>
        <w:ind w:left="480" w:hanging="480"/>
        <w:rPr>
          <w:noProof/>
        </w:rPr>
      </w:pPr>
      <w:r w:rsidRPr="003E081A">
        <w:rPr>
          <w:noProof/>
        </w:rPr>
        <w:t xml:space="preserve">Twohig, M. P., Hayes, S. C., Plumb, J. C., Pruitt, L. D., Collins, A. B., Hazlette-Stevens, H., &amp; Woidneck, M. R. (2010). A randomized clinical trial of Acceptance and Commitment Therapy vs. Progressive Relaxation Training for obsessive compulsive disorder. </w:t>
      </w:r>
      <w:r w:rsidRPr="003E081A">
        <w:rPr>
          <w:i/>
          <w:iCs/>
          <w:noProof/>
        </w:rPr>
        <w:t>Journal of Consulting and Clinical Psychology</w:t>
      </w:r>
      <w:r w:rsidRPr="003E081A">
        <w:rPr>
          <w:noProof/>
        </w:rPr>
        <w:t xml:space="preserve">, </w:t>
      </w:r>
      <w:r w:rsidRPr="003E081A">
        <w:rPr>
          <w:i/>
          <w:iCs/>
          <w:noProof/>
        </w:rPr>
        <w:t>78</w:t>
      </w:r>
      <w:r w:rsidRPr="003E081A">
        <w:rPr>
          <w:noProof/>
        </w:rPr>
        <w:t>(5), 705–716. https://doi.org/10.1037/a0020508.A</w:t>
      </w:r>
    </w:p>
    <w:p w14:paraId="57E4D23B" w14:textId="6407659B" w:rsidR="003E081A" w:rsidRDefault="003E081A" w:rsidP="003E081A">
      <w:pPr>
        <w:widowControl w:val="0"/>
        <w:autoSpaceDE w:val="0"/>
        <w:autoSpaceDN w:val="0"/>
        <w:adjustRightInd w:val="0"/>
        <w:spacing w:line="480" w:lineRule="auto"/>
        <w:ind w:left="480" w:hanging="480"/>
        <w:rPr>
          <w:noProof/>
        </w:rPr>
      </w:pPr>
      <w:r w:rsidRPr="003E081A">
        <w:rPr>
          <w:noProof/>
        </w:rPr>
        <w:t xml:space="preserve">Wheaton, M. G., Abramowitz, J. S., Franklin, J. C., Berman, N. C., &amp; Fabricant, L. E. (2011). Experiential avoidance and saving cognitions in the prediction of hoarding symptoms. </w:t>
      </w:r>
      <w:r w:rsidRPr="003E081A">
        <w:rPr>
          <w:i/>
          <w:iCs/>
          <w:noProof/>
        </w:rPr>
        <w:t>Cognitive Therapy and Research</w:t>
      </w:r>
      <w:r w:rsidRPr="003E081A">
        <w:rPr>
          <w:noProof/>
        </w:rPr>
        <w:t xml:space="preserve">, </w:t>
      </w:r>
      <w:r w:rsidRPr="003E081A">
        <w:rPr>
          <w:i/>
          <w:iCs/>
          <w:noProof/>
        </w:rPr>
        <w:t>35</w:t>
      </w:r>
      <w:r w:rsidRPr="003E081A">
        <w:rPr>
          <w:noProof/>
        </w:rPr>
        <w:t>(6), 511–516. https://doi.org/10.1007/s10608-010-9338-7</w:t>
      </w:r>
    </w:p>
    <w:p w14:paraId="0AD1D51C" w14:textId="2606F532" w:rsidR="002C1E96" w:rsidRPr="002C1E96" w:rsidRDefault="002C1E96" w:rsidP="003E081A">
      <w:pPr>
        <w:widowControl w:val="0"/>
        <w:autoSpaceDE w:val="0"/>
        <w:autoSpaceDN w:val="0"/>
        <w:adjustRightInd w:val="0"/>
        <w:spacing w:line="480" w:lineRule="auto"/>
        <w:ind w:left="480" w:hanging="480"/>
        <w:rPr>
          <w:noProof/>
        </w:rPr>
      </w:pPr>
      <w:r w:rsidRPr="00A81ED6">
        <w:t xml:space="preserve">Woody, S.R., Lenkic, P., Bratiotis, C., Kysow, K., Luu, M., Edsell-Vetter, J., Frost, R.O., Lauster, N., Steketee, G. and Tolin, D.F., 2020. How well do hoarding research samples represent cases that rise to community attention?. </w:t>
      </w:r>
      <w:r w:rsidRPr="002C1E96">
        <w:rPr>
          <w:i/>
          <w:iCs/>
        </w:rPr>
        <w:t>Behaviour Research and Therapy</w:t>
      </w:r>
      <w:r w:rsidRPr="00A81ED6">
        <w:t xml:space="preserve">, </w:t>
      </w:r>
      <w:r w:rsidRPr="002C1E96">
        <w:rPr>
          <w:i/>
          <w:iCs/>
        </w:rPr>
        <w:t>126</w:t>
      </w:r>
      <w:r w:rsidRPr="00A81ED6">
        <w:t>, p.103555.</w:t>
      </w:r>
    </w:p>
    <w:p w14:paraId="4059DD3C" w14:textId="0061FFC6" w:rsidR="006374C8" w:rsidRPr="006A3F6E" w:rsidRDefault="00A42C7C" w:rsidP="00536A4C">
      <w:pPr>
        <w:widowControl w:val="0"/>
        <w:autoSpaceDE w:val="0"/>
        <w:autoSpaceDN w:val="0"/>
        <w:adjustRightInd w:val="0"/>
        <w:spacing w:line="480" w:lineRule="auto"/>
        <w:rPr>
          <w:color w:val="000000" w:themeColor="text1"/>
        </w:rPr>
      </w:pPr>
      <w:r w:rsidRPr="00FD6A4F">
        <w:rPr>
          <w:color w:val="000000" w:themeColor="text1"/>
        </w:rPr>
        <w:lastRenderedPageBreak/>
        <w:fldChar w:fldCharType="end"/>
      </w:r>
    </w:p>
    <w:sectPr w:rsidR="006374C8" w:rsidRPr="006A3F6E" w:rsidSect="00AF2A9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0D23" w14:textId="77777777" w:rsidR="002F2CA8" w:rsidRDefault="002F2CA8" w:rsidP="00C57E76">
      <w:r>
        <w:separator/>
      </w:r>
    </w:p>
  </w:endnote>
  <w:endnote w:type="continuationSeparator" w:id="0">
    <w:p w14:paraId="1C8CF3A3" w14:textId="77777777" w:rsidR="002F2CA8" w:rsidRDefault="002F2CA8" w:rsidP="00C57E76">
      <w:r>
        <w:continuationSeparator/>
      </w:r>
    </w:p>
  </w:endnote>
  <w:endnote w:type="continuationNotice" w:id="1">
    <w:p w14:paraId="44726092" w14:textId="77777777" w:rsidR="002F2CA8" w:rsidRDefault="002F2C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7F18" w14:textId="77777777" w:rsidR="002F2CA8" w:rsidRDefault="002F2CA8" w:rsidP="00C57E76">
      <w:r>
        <w:separator/>
      </w:r>
    </w:p>
  </w:footnote>
  <w:footnote w:type="continuationSeparator" w:id="0">
    <w:p w14:paraId="1A360374" w14:textId="77777777" w:rsidR="002F2CA8" w:rsidRDefault="002F2CA8" w:rsidP="00C57E76">
      <w:r>
        <w:continuationSeparator/>
      </w:r>
    </w:p>
  </w:footnote>
  <w:footnote w:type="continuationNotice" w:id="1">
    <w:p w14:paraId="1ED50F4E" w14:textId="77777777" w:rsidR="002F2CA8" w:rsidRDefault="002F2C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5D494" w14:textId="31BC165E" w:rsidR="00FF6EC6" w:rsidRPr="004A375A" w:rsidRDefault="00FF6EC6" w:rsidP="00C57E76">
    <w:pPr>
      <w:pStyle w:val="Header"/>
      <w:rPr>
        <w:rFonts w:ascii="Times New Roman" w:hAnsi="Times New Roman" w:cs="Times New Roman"/>
        <w:sz w:val="24"/>
        <w:szCs w:val="24"/>
      </w:rPr>
    </w:pPr>
    <w:r>
      <w:rPr>
        <w:rFonts w:ascii="Times New Roman" w:hAnsi="Times New Roman" w:cs="Times New Roman"/>
        <w:sz w:val="24"/>
        <w:szCs w:val="24"/>
      </w:rPr>
      <w:t>RCT OF ACT WEBSITE FOR HOARDING</w:t>
    </w:r>
    <w:r w:rsidRPr="004A375A">
      <w:rPr>
        <w:rFonts w:ascii="Times New Roman" w:hAnsi="Times New Roman" w:cs="Times New Roman"/>
        <w:sz w:val="24"/>
        <w:szCs w:val="24"/>
      </w:rPr>
      <w:tab/>
    </w:r>
    <w:sdt>
      <w:sdtPr>
        <w:rPr>
          <w:rFonts w:ascii="Times New Roman" w:hAnsi="Times New Roman" w:cs="Times New Roman"/>
          <w:sz w:val="24"/>
          <w:szCs w:val="24"/>
        </w:rPr>
        <w:id w:val="1113478020"/>
        <w:docPartObj>
          <w:docPartGallery w:val="Page Numbers (Top of Page)"/>
          <w:docPartUnique/>
        </w:docPartObj>
      </w:sdtPr>
      <w:sdtEndPr>
        <w:rPr>
          <w:noProof/>
        </w:rPr>
      </w:sdtEndPr>
      <w:sdtContent>
        <w:r>
          <w:rPr>
            <w:rFonts w:ascii="Times New Roman" w:hAnsi="Times New Roman" w:cs="Times New Roman"/>
            <w:sz w:val="24"/>
            <w:szCs w:val="24"/>
          </w:rPr>
          <w:tab/>
        </w:r>
        <w:r w:rsidRPr="004A375A">
          <w:rPr>
            <w:rFonts w:ascii="Times New Roman" w:hAnsi="Times New Roman" w:cs="Times New Roman"/>
            <w:sz w:val="24"/>
            <w:szCs w:val="24"/>
          </w:rPr>
          <w:fldChar w:fldCharType="begin"/>
        </w:r>
        <w:r w:rsidRPr="004A375A">
          <w:rPr>
            <w:rFonts w:ascii="Times New Roman" w:hAnsi="Times New Roman" w:cs="Times New Roman"/>
            <w:sz w:val="24"/>
            <w:szCs w:val="24"/>
          </w:rPr>
          <w:instrText xml:space="preserve"> PAGE   \* MERGEFORMAT </w:instrText>
        </w:r>
        <w:r w:rsidRPr="004A375A">
          <w:rPr>
            <w:rFonts w:ascii="Times New Roman" w:hAnsi="Times New Roman" w:cs="Times New Roman"/>
            <w:sz w:val="24"/>
            <w:szCs w:val="24"/>
          </w:rPr>
          <w:fldChar w:fldCharType="separate"/>
        </w:r>
        <w:r w:rsidRPr="004A375A">
          <w:rPr>
            <w:rFonts w:ascii="Times New Roman" w:hAnsi="Times New Roman" w:cs="Times New Roman"/>
            <w:noProof/>
            <w:sz w:val="24"/>
            <w:szCs w:val="24"/>
          </w:rPr>
          <w:t>30</w:t>
        </w:r>
        <w:r w:rsidRPr="004A375A">
          <w:rPr>
            <w:rFonts w:ascii="Times New Roman" w:hAnsi="Times New Roman" w:cs="Times New Roman"/>
            <w:noProof/>
            <w:sz w:val="24"/>
            <w:szCs w:val="24"/>
          </w:rPr>
          <w:fldChar w:fldCharType="end"/>
        </w:r>
      </w:sdtContent>
    </w:sdt>
  </w:p>
  <w:p w14:paraId="7ED1644F" w14:textId="33CA56EF" w:rsidR="00FF6EC6" w:rsidRDefault="00FF6E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299A"/>
    <w:multiLevelType w:val="hybridMultilevel"/>
    <w:tmpl w:val="4EAEE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73623"/>
    <w:multiLevelType w:val="hybridMultilevel"/>
    <w:tmpl w:val="9722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72030F"/>
    <w:multiLevelType w:val="hybridMultilevel"/>
    <w:tmpl w:val="0504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85C7E"/>
    <w:multiLevelType w:val="hybridMultilevel"/>
    <w:tmpl w:val="1CB4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B78C5"/>
    <w:multiLevelType w:val="hybridMultilevel"/>
    <w:tmpl w:val="DCBC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12781"/>
    <w:multiLevelType w:val="hybridMultilevel"/>
    <w:tmpl w:val="03A0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65232F"/>
    <w:multiLevelType w:val="hybridMultilevel"/>
    <w:tmpl w:val="DAA2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5810EF"/>
    <w:multiLevelType w:val="hybridMultilevel"/>
    <w:tmpl w:val="FE1CF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39056D"/>
    <w:multiLevelType w:val="hybridMultilevel"/>
    <w:tmpl w:val="9966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792A01"/>
    <w:multiLevelType w:val="hybridMultilevel"/>
    <w:tmpl w:val="685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406360">
    <w:abstractNumId w:val="4"/>
  </w:num>
  <w:num w:numId="2" w16cid:durableId="997424131">
    <w:abstractNumId w:val="9"/>
  </w:num>
  <w:num w:numId="3" w16cid:durableId="353114890">
    <w:abstractNumId w:val="0"/>
  </w:num>
  <w:num w:numId="4" w16cid:durableId="1699894419">
    <w:abstractNumId w:val="6"/>
  </w:num>
  <w:num w:numId="5" w16cid:durableId="1526098534">
    <w:abstractNumId w:val="8"/>
  </w:num>
  <w:num w:numId="6" w16cid:durableId="1364668938">
    <w:abstractNumId w:val="7"/>
  </w:num>
  <w:num w:numId="7" w16cid:durableId="816265663">
    <w:abstractNumId w:val="3"/>
  </w:num>
  <w:num w:numId="8" w16cid:durableId="950284695">
    <w:abstractNumId w:val="1"/>
  </w:num>
  <w:num w:numId="9" w16cid:durableId="1045910798">
    <w:abstractNumId w:val="5"/>
  </w:num>
  <w:num w:numId="10" w16cid:durableId="6374966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FCA"/>
    <w:rsid w:val="000001A5"/>
    <w:rsid w:val="00000BE6"/>
    <w:rsid w:val="00000EBA"/>
    <w:rsid w:val="00006A67"/>
    <w:rsid w:val="00007028"/>
    <w:rsid w:val="0000716F"/>
    <w:rsid w:val="0000776A"/>
    <w:rsid w:val="00012D1D"/>
    <w:rsid w:val="00014C45"/>
    <w:rsid w:val="000173C0"/>
    <w:rsid w:val="00021965"/>
    <w:rsid w:val="00021EA8"/>
    <w:rsid w:val="00023AC0"/>
    <w:rsid w:val="00026D2A"/>
    <w:rsid w:val="00030B34"/>
    <w:rsid w:val="00032DBA"/>
    <w:rsid w:val="00035788"/>
    <w:rsid w:val="00046E02"/>
    <w:rsid w:val="000475C7"/>
    <w:rsid w:val="00047A0C"/>
    <w:rsid w:val="00050613"/>
    <w:rsid w:val="00052E28"/>
    <w:rsid w:val="0005344E"/>
    <w:rsid w:val="00053AEB"/>
    <w:rsid w:val="000554D9"/>
    <w:rsid w:val="00061F1C"/>
    <w:rsid w:val="00063254"/>
    <w:rsid w:val="000653CC"/>
    <w:rsid w:val="00065708"/>
    <w:rsid w:val="00066E4A"/>
    <w:rsid w:val="00072968"/>
    <w:rsid w:val="000739B9"/>
    <w:rsid w:val="00074F29"/>
    <w:rsid w:val="00080824"/>
    <w:rsid w:val="000810D8"/>
    <w:rsid w:val="00082DF2"/>
    <w:rsid w:val="00083728"/>
    <w:rsid w:val="00083B6D"/>
    <w:rsid w:val="00086EB2"/>
    <w:rsid w:val="00087CD0"/>
    <w:rsid w:val="00095E48"/>
    <w:rsid w:val="000A4416"/>
    <w:rsid w:val="000A7E11"/>
    <w:rsid w:val="000B028F"/>
    <w:rsid w:val="000B3162"/>
    <w:rsid w:val="000B5053"/>
    <w:rsid w:val="000C26C2"/>
    <w:rsid w:val="000C65F1"/>
    <w:rsid w:val="000D02A7"/>
    <w:rsid w:val="000D3F86"/>
    <w:rsid w:val="000D4E05"/>
    <w:rsid w:val="000D6A8A"/>
    <w:rsid w:val="000E22EF"/>
    <w:rsid w:val="000E7B44"/>
    <w:rsid w:val="000F02BE"/>
    <w:rsid w:val="000F0E61"/>
    <w:rsid w:val="000F1C7D"/>
    <w:rsid w:val="000F625B"/>
    <w:rsid w:val="000F7A70"/>
    <w:rsid w:val="00100492"/>
    <w:rsid w:val="00100ADE"/>
    <w:rsid w:val="00103521"/>
    <w:rsid w:val="00105820"/>
    <w:rsid w:val="001066F6"/>
    <w:rsid w:val="00110FE9"/>
    <w:rsid w:val="0011239C"/>
    <w:rsid w:val="0011563A"/>
    <w:rsid w:val="0012038D"/>
    <w:rsid w:val="001218D7"/>
    <w:rsid w:val="0012316A"/>
    <w:rsid w:val="00123749"/>
    <w:rsid w:val="00125E01"/>
    <w:rsid w:val="00125FD6"/>
    <w:rsid w:val="00130073"/>
    <w:rsid w:val="00131C46"/>
    <w:rsid w:val="00135C28"/>
    <w:rsid w:val="00140791"/>
    <w:rsid w:val="001415C9"/>
    <w:rsid w:val="001426B0"/>
    <w:rsid w:val="00143C40"/>
    <w:rsid w:val="00157EAE"/>
    <w:rsid w:val="00160508"/>
    <w:rsid w:val="001618A5"/>
    <w:rsid w:val="00161B00"/>
    <w:rsid w:val="00162E29"/>
    <w:rsid w:val="00163847"/>
    <w:rsid w:val="001670AD"/>
    <w:rsid w:val="00171C6B"/>
    <w:rsid w:val="00172C48"/>
    <w:rsid w:val="00173221"/>
    <w:rsid w:val="00180929"/>
    <w:rsid w:val="00180C08"/>
    <w:rsid w:val="001826EE"/>
    <w:rsid w:val="00184113"/>
    <w:rsid w:val="001850C4"/>
    <w:rsid w:val="001859CB"/>
    <w:rsid w:val="00191455"/>
    <w:rsid w:val="00195A97"/>
    <w:rsid w:val="001A037D"/>
    <w:rsid w:val="001A26C3"/>
    <w:rsid w:val="001A4AB4"/>
    <w:rsid w:val="001A5422"/>
    <w:rsid w:val="001A5F41"/>
    <w:rsid w:val="001B313F"/>
    <w:rsid w:val="001B3817"/>
    <w:rsid w:val="001B4F5C"/>
    <w:rsid w:val="001B5009"/>
    <w:rsid w:val="001B5704"/>
    <w:rsid w:val="001C7BBA"/>
    <w:rsid w:val="001D0A94"/>
    <w:rsid w:val="001D1B17"/>
    <w:rsid w:val="001D5437"/>
    <w:rsid w:val="001D61A4"/>
    <w:rsid w:val="001E6B08"/>
    <w:rsid w:val="001F0645"/>
    <w:rsid w:val="001F53C4"/>
    <w:rsid w:val="001F7755"/>
    <w:rsid w:val="00202D8C"/>
    <w:rsid w:val="00205F0C"/>
    <w:rsid w:val="00206B65"/>
    <w:rsid w:val="00213C53"/>
    <w:rsid w:val="00214315"/>
    <w:rsid w:val="002177C7"/>
    <w:rsid w:val="00223E6E"/>
    <w:rsid w:val="002274D4"/>
    <w:rsid w:val="00227EC2"/>
    <w:rsid w:val="00230186"/>
    <w:rsid w:val="0023027B"/>
    <w:rsid w:val="00230793"/>
    <w:rsid w:val="00230C16"/>
    <w:rsid w:val="00233F70"/>
    <w:rsid w:val="00242505"/>
    <w:rsid w:val="0024420C"/>
    <w:rsid w:val="0024447A"/>
    <w:rsid w:val="002527D1"/>
    <w:rsid w:val="00252F34"/>
    <w:rsid w:val="00262530"/>
    <w:rsid w:val="00262BB5"/>
    <w:rsid w:val="0027007E"/>
    <w:rsid w:val="002753A5"/>
    <w:rsid w:val="002767FA"/>
    <w:rsid w:val="00287929"/>
    <w:rsid w:val="002A1D49"/>
    <w:rsid w:val="002A4C0B"/>
    <w:rsid w:val="002B4B5F"/>
    <w:rsid w:val="002B5760"/>
    <w:rsid w:val="002C1E96"/>
    <w:rsid w:val="002C3A73"/>
    <w:rsid w:val="002D0DC8"/>
    <w:rsid w:val="002D41D8"/>
    <w:rsid w:val="002D5868"/>
    <w:rsid w:val="002D6691"/>
    <w:rsid w:val="002E08DC"/>
    <w:rsid w:val="002E3A4C"/>
    <w:rsid w:val="002E4CEB"/>
    <w:rsid w:val="002F20C0"/>
    <w:rsid w:val="002F2CA8"/>
    <w:rsid w:val="002F5658"/>
    <w:rsid w:val="002F61F6"/>
    <w:rsid w:val="002F6633"/>
    <w:rsid w:val="002F67C2"/>
    <w:rsid w:val="00300001"/>
    <w:rsid w:val="003006B4"/>
    <w:rsid w:val="00300FB5"/>
    <w:rsid w:val="0030294B"/>
    <w:rsid w:val="00303845"/>
    <w:rsid w:val="00307F13"/>
    <w:rsid w:val="0031520D"/>
    <w:rsid w:val="003167E5"/>
    <w:rsid w:val="003201ED"/>
    <w:rsid w:val="00322526"/>
    <w:rsid w:val="00323D06"/>
    <w:rsid w:val="00330FFD"/>
    <w:rsid w:val="00333DE1"/>
    <w:rsid w:val="003367D1"/>
    <w:rsid w:val="00340A83"/>
    <w:rsid w:val="00343727"/>
    <w:rsid w:val="00345A33"/>
    <w:rsid w:val="0034751F"/>
    <w:rsid w:val="003511C3"/>
    <w:rsid w:val="003512E5"/>
    <w:rsid w:val="00354594"/>
    <w:rsid w:val="003556A7"/>
    <w:rsid w:val="003628F1"/>
    <w:rsid w:val="0036397D"/>
    <w:rsid w:val="00364BFE"/>
    <w:rsid w:val="00373A40"/>
    <w:rsid w:val="003777CE"/>
    <w:rsid w:val="00380A64"/>
    <w:rsid w:val="00380B1F"/>
    <w:rsid w:val="00383A05"/>
    <w:rsid w:val="00385CCB"/>
    <w:rsid w:val="00392266"/>
    <w:rsid w:val="003927EC"/>
    <w:rsid w:val="00393545"/>
    <w:rsid w:val="00396097"/>
    <w:rsid w:val="003A067B"/>
    <w:rsid w:val="003A7EBC"/>
    <w:rsid w:val="003B5265"/>
    <w:rsid w:val="003B57BE"/>
    <w:rsid w:val="003B67E0"/>
    <w:rsid w:val="003C0929"/>
    <w:rsid w:val="003C18FC"/>
    <w:rsid w:val="003C2BDE"/>
    <w:rsid w:val="003C6902"/>
    <w:rsid w:val="003C7182"/>
    <w:rsid w:val="003D062C"/>
    <w:rsid w:val="003D07CC"/>
    <w:rsid w:val="003E081A"/>
    <w:rsid w:val="003E1329"/>
    <w:rsid w:val="003E6AC1"/>
    <w:rsid w:val="003E71D9"/>
    <w:rsid w:val="003F05BD"/>
    <w:rsid w:val="003F1B5A"/>
    <w:rsid w:val="003F1F2B"/>
    <w:rsid w:val="003F385B"/>
    <w:rsid w:val="003F4CF4"/>
    <w:rsid w:val="003F5E96"/>
    <w:rsid w:val="00402E6D"/>
    <w:rsid w:val="00403358"/>
    <w:rsid w:val="00404469"/>
    <w:rsid w:val="004069E3"/>
    <w:rsid w:val="00406E71"/>
    <w:rsid w:val="004076BF"/>
    <w:rsid w:val="0041102D"/>
    <w:rsid w:val="00412AB5"/>
    <w:rsid w:val="0041340C"/>
    <w:rsid w:val="00416B8D"/>
    <w:rsid w:val="00417B9D"/>
    <w:rsid w:val="004266EE"/>
    <w:rsid w:val="00433D14"/>
    <w:rsid w:val="00434953"/>
    <w:rsid w:val="004355FB"/>
    <w:rsid w:val="00443DF3"/>
    <w:rsid w:val="00446F6B"/>
    <w:rsid w:val="0045503D"/>
    <w:rsid w:val="004556A5"/>
    <w:rsid w:val="004566E6"/>
    <w:rsid w:val="004567C2"/>
    <w:rsid w:val="00456C39"/>
    <w:rsid w:val="00460579"/>
    <w:rsid w:val="00462A25"/>
    <w:rsid w:val="00463DC5"/>
    <w:rsid w:val="004668EB"/>
    <w:rsid w:val="00476B09"/>
    <w:rsid w:val="0048197C"/>
    <w:rsid w:val="00483E58"/>
    <w:rsid w:val="00486CE7"/>
    <w:rsid w:val="00487837"/>
    <w:rsid w:val="004957AA"/>
    <w:rsid w:val="004A11BE"/>
    <w:rsid w:val="004A2101"/>
    <w:rsid w:val="004A266C"/>
    <w:rsid w:val="004A375A"/>
    <w:rsid w:val="004B0F4B"/>
    <w:rsid w:val="004B3649"/>
    <w:rsid w:val="004C15E6"/>
    <w:rsid w:val="004C26C7"/>
    <w:rsid w:val="004C453E"/>
    <w:rsid w:val="004C47CD"/>
    <w:rsid w:val="004C52AF"/>
    <w:rsid w:val="004C5EE8"/>
    <w:rsid w:val="004C6933"/>
    <w:rsid w:val="004D598A"/>
    <w:rsid w:val="004D7846"/>
    <w:rsid w:val="004E1272"/>
    <w:rsid w:val="004E5247"/>
    <w:rsid w:val="004E5513"/>
    <w:rsid w:val="004E72F9"/>
    <w:rsid w:val="004E734D"/>
    <w:rsid w:val="004F1D52"/>
    <w:rsid w:val="004F2016"/>
    <w:rsid w:val="004F4324"/>
    <w:rsid w:val="004F4536"/>
    <w:rsid w:val="00500D47"/>
    <w:rsid w:val="0050118F"/>
    <w:rsid w:val="005025C9"/>
    <w:rsid w:val="00502D72"/>
    <w:rsid w:val="0050711B"/>
    <w:rsid w:val="00507962"/>
    <w:rsid w:val="0051017B"/>
    <w:rsid w:val="00511F38"/>
    <w:rsid w:val="005120BC"/>
    <w:rsid w:val="00512314"/>
    <w:rsid w:val="0051274C"/>
    <w:rsid w:val="005127F4"/>
    <w:rsid w:val="00517C8D"/>
    <w:rsid w:val="00517FDB"/>
    <w:rsid w:val="00521D84"/>
    <w:rsid w:val="005234FA"/>
    <w:rsid w:val="00531079"/>
    <w:rsid w:val="00531917"/>
    <w:rsid w:val="0053504F"/>
    <w:rsid w:val="005363CA"/>
    <w:rsid w:val="00536A4C"/>
    <w:rsid w:val="00540CA6"/>
    <w:rsid w:val="005427A1"/>
    <w:rsid w:val="00543CDF"/>
    <w:rsid w:val="00545014"/>
    <w:rsid w:val="00545C11"/>
    <w:rsid w:val="00550E69"/>
    <w:rsid w:val="005530BC"/>
    <w:rsid w:val="00553475"/>
    <w:rsid w:val="00557C0B"/>
    <w:rsid w:val="00557F0F"/>
    <w:rsid w:val="00564A80"/>
    <w:rsid w:val="005834BB"/>
    <w:rsid w:val="00586FB5"/>
    <w:rsid w:val="00590F3F"/>
    <w:rsid w:val="00596760"/>
    <w:rsid w:val="005A2095"/>
    <w:rsid w:val="005B1185"/>
    <w:rsid w:val="005B599F"/>
    <w:rsid w:val="005B7CD8"/>
    <w:rsid w:val="005C1BEF"/>
    <w:rsid w:val="005C35EA"/>
    <w:rsid w:val="005C6CD5"/>
    <w:rsid w:val="005C6D88"/>
    <w:rsid w:val="005D0762"/>
    <w:rsid w:val="005D2D65"/>
    <w:rsid w:val="005D626D"/>
    <w:rsid w:val="005D6F9C"/>
    <w:rsid w:val="005E3B76"/>
    <w:rsid w:val="005E69A8"/>
    <w:rsid w:val="005E72E5"/>
    <w:rsid w:val="005E7D96"/>
    <w:rsid w:val="005F1439"/>
    <w:rsid w:val="005F3D13"/>
    <w:rsid w:val="005F6936"/>
    <w:rsid w:val="005F79F5"/>
    <w:rsid w:val="00603870"/>
    <w:rsid w:val="00604A62"/>
    <w:rsid w:val="00606EF8"/>
    <w:rsid w:val="00610C14"/>
    <w:rsid w:val="0061356E"/>
    <w:rsid w:val="00615EA5"/>
    <w:rsid w:val="00617256"/>
    <w:rsid w:val="00617E9D"/>
    <w:rsid w:val="0062391C"/>
    <w:rsid w:val="00625C70"/>
    <w:rsid w:val="00626DDE"/>
    <w:rsid w:val="00632B56"/>
    <w:rsid w:val="006374C8"/>
    <w:rsid w:val="00646296"/>
    <w:rsid w:val="006473C9"/>
    <w:rsid w:val="00647E56"/>
    <w:rsid w:val="00650A9A"/>
    <w:rsid w:val="00652C9E"/>
    <w:rsid w:val="00652CCF"/>
    <w:rsid w:val="00654282"/>
    <w:rsid w:val="006569A2"/>
    <w:rsid w:val="0066068C"/>
    <w:rsid w:val="006634E5"/>
    <w:rsid w:val="0066601A"/>
    <w:rsid w:val="0066664F"/>
    <w:rsid w:val="00667651"/>
    <w:rsid w:val="00672287"/>
    <w:rsid w:val="006737CE"/>
    <w:rsid w:val="00680A2D"/>
    <w:rsid w:val="006818A9"/>
    <w:rsid w:val="00682C85"/>
    <w:rsid w:val="00683E8D"/>
    <w:rsid w:val="00685305"/>
    <w:rsid w:val="00691F34"/>
    <w:rsid w:val="006940E0"/>
    <w:rsid w:val="006A3555"/>
    <w:rsid w:val="006A3AD8"/>
    <w:rsid w:val="006A3F6E"/>
    <w:rsid w:val="006A5EA2"/>
    <w:rsid w:val="006B09A8"/>
    <w:rsid w:val="006B2B48"/>
    <w:rsid w:val="006C06DB"/>
    <w:rsid w:val="006C397E"/>
    <w:rsid w:val="006C3F3B"/>
    <w:rsid w:val="006C4418"/>
    <w:rsid w:val="006C6C3A"/>
    <w:rsid w:val="006C7449"/>
    <w:rsid w:val="006D1444"/>
    <w:rsid w:val="006D2B06"/>
    <w:rsid w:val="006D3873"/>
    <w:rsid w:val="006D74BA"/>
    <w:rsid w:val="006E053E"/>
    <w:rsid w:val="006E2577"/>
    <w:rsid w:val="006E7CC7"/>
    <w:rsid w:val="006F0D18"/>
    <w:rsid w:val="006F0E66"/>
    <w:rsid w:val="006F2088"/>
    <w:rsid w:val="006F66DB"/>
    <w:rsid w:val="006F6EAB"/>
    <w:rsid w:val="00701213"/>
    <w:rsid w:val="0070369B"/>
    <w:rsid w:val="00707EE3"/>
    <w:rsid w:val="007134AC"/>
    <w:rsid w:val="00714802"/>
    <w:rsid w:val="00717993"/>
    <w:rsid w:val="00722122"/>
    <w:rsid w:val="007231C2"/>
    <w:rsid w:val="00736819"/>
    <w:rsid w:val="007468B2"/>
    <w:rsid w:val="007505F9"/>
    <w:rsid w:val="00753E97"/>
    <w:rsid w:val="0075458E"/>
    <w:rsid w:val="007548C7"/>
    <w:rsid w:val="00755230"/>
    <w:rsid w:val="00761C10"/>
    <w:rsid w:val="00765264"/>
    <w:rsid w:val="00766FCA"/>
    <w:rsid w:val="007701E2"/>
    <w:rsid w:val="00780197"/>
    <w:rsid w:val="00781342"/>
    <w:rsid w:val="007906DC"/>
    <w:rsid w:val="00796DC6"/>
    <w:rsid w:val="007A74C3"/>
    <w:rsid w:val="007A75CB"/>
    <w:rsid w:val="007B1127"/>
    <w:rsid w:val="007B2E83"/>
    <w:rsid w:val="007B46E9"/>
    <w:rsid w:val="007C3882"/>
    <w:rsid w:val="007C4447"/>
    <w:rsid w:val="007C7352"/>
    <w:rsid w:val="007D1F26"/>
    <w:rsid w:val="007D336C"/>
    <w:rsid w:val="007D36D2"/>
    <w:rsid w:val="007D3EF0"/>
    <w:rsid w:val="007D7FA1"/>
    <w:rsid w:val="007E446F"/>
    <w:rsid w:val="007F083D"/>
    <w:rsid w:val="007F60B2"/>
    <w:rsid w:val="00810CEB"/>
    <w:rsid w:val="00811D41"/>
    <w:rsid w:val="00813C08"/>
    <w:rsid w:val="0081563E"/>
    <w:rsid w:val="00823CD0"/>
    <w:rsid w:val="008244BD"/>
    <w:rsid w:val="00825EA0"/>
    <w:rsid w:val="00833589"/>
    <w:rsid w:val="00840B0F"/>
    <w:rsid w:val="008424EF"/>
    <w:rsid w:val="008430D3"/>
    <w:rsid w:val="00846003"/>
    <w:rsid w:val="00846714"/>
    <w:rsid w:val="00846775"/>
    <w:rsid w:val="00851658"/>
    <w:rsid w:val="008518E0"/>
    <w:rsid w:val="00852621"/>
    <w:rsid w:val="00853701"/>
    <w:rsid w:val="0085739A"/>
    <w:rsid w:val="0086475C"/>
    <w:rsid w:val="00866385"/>
    <w:rsid w:val="008668D1"/>
    <w:rsid w:val="00873D42"/>
    <w:rsid w:val="008741F8"/>
    <w:rsid w:val="0087440A"/>
    <w:rsid w:val="00877B1F"/>
    <w:rsid w:val="0088767D"/>
    <w:rsid w:val="00891052"/>
    <w:rsid w:val="008915E6"/>
    <w:rsid w:val="00892BF7"/>
    <w:rsid w:val="008943F7"/>
    <w:rsid w:val="0089564F"/>
    <w:rsid w:val="008974E3"/>
    <w:rsid w:val="008A0727"/>
    <w:rsid w:val="008A2869"/>
    <w:rsid w:val="008A2D4C"/>
    <w:rsid w:val="008A3039"/>
    <w:rsid w:val="008A4302"/>
    <w:rsid w:val="008A6384"/>
    <w:rsid w:val="008A7AD5"/>
    <w:rsid w:val="008B500D"/>
    <w:rsid w:val="008C076D"/>
    <w:rsid w:val="008C1659"/>
    <w:rsid w:val="008C1ED8"/>
    <w:rsid w:val="008C2EB9"/>
    <w:rsid w:val="008D15B1"/>
    <w:rsid w:val="008E7889"/>
    <w:rsid w:val="008F0292"/>
    <w:rsid w:val="008F29AF"/>
    <w:rsid w:val="008F2E7F"/>
    <w:rsid w:val="008F3531"/>
    <w:rsid w:val="008F70F3"/>
    <w:rsid w:val="009157F8"/>
    <w:rsid w:val="00920EE0"/>
    <w:rsid w:val="00921A59"/>
    <w:rsid w:val="00921CDE"/>
    <w:rsid w:val="0092305E"/>
    <w:rsid w:val="00924B90"/>
    <w:rsid w:val="00926FF8"/>
    <w:rsid w:val="00927525"/>
    <w:rsid w:val="00944111"/>
    <w:rsid w:val="00946DF6"/>
    <w:rsid w:val="009506DB"/>
    <w:rsid w:val="00956B60"/>
    <w:rsid w:val="00956C47"/>
    <w:rsid w:val="00961B04"/>
    <w:rsid w:val="00966355"/>
    <w:rsid w:val="00966B44"/>
    <w:rsid w:val="009712C1"/>
    <w:rsid w:val="009725F0"/>
    <w:rsid w:val="0097280A"/>
    <w:rsid w:val="009748D2"/>
    <w:rsid w:val="009802A3"/>
    <w:rsid w:val="00981D7B"/>
    <w:rsid w:val="009831B2"/>
    <w:rsid w:val="009865DF"/>
    <w:rsid w:val="00986708"/>
    <w:rsid w:val="00990289"/>
    <w:rsid w:val="00991075"/>
    <w:rsid w:val="009955A4"/>
    <w:rsid w:val="009967C5"/>
    <w:rsid w:val="00996C26"/>
    <w:rsid w:val="009978AE"/>
    <w:rsid w:val="009A461F"/>
    <w:rsid w:val="009A4C77"/>
    <w:rsid w:val="009A65E6"/>
    <w:rsid w:val="009B1CBD"/>
    <w:rsid w:val="009B211C"/>
    <w:rsid w:val="009B31A0"/>
    <w:rsid w:val="009B4636"/>
    <w:rsid w:val="009B5682"/>
    <w:rsid w:val="009B5708"/>
    <w:rsid w:val="009C1589"/>
    <w:rsid w:val="009C6065"/>
    <w:rsid w:val="009D3006"/>
    <w:rsid w:val="009D45F3"/>
    <w:rsid w:val="009E0EEA"/>
    <w:rsid w:val="009E28A1"/>
    <w:rsid w:val="009E4730"/>
    <w:rsid w:val="009E7856"/>
    <w:rsid w:val="009F448C"/>
    <w:rsid w:val="009F52AF"/>
    <w:rsid w:val="009F5B4E"/>
    <w:rsid w:val="00A019BC"/>
    <w:rsid w:val="00A0409C"/>
    <w:rsid w:val="00A07810"/>
    <w:rsid w:val="00A07FE7"/>
    <w:rsid w:val="00A1105F"/>
    <w:rsid w:val="00A14202"/>
    <w:rsid w:val="00A146C5"/>
    <w:rsid w:val="00A14F2B"/>
    <w:rsid w:val="00A20B5E"/>
    <w:rsid w:val="00A20DC7"/>
    <w:rsid w:val="00A22AA4"/>
    <w:rsid w:val="00A23624"/>
    <w:rsid w:val="00A239EA"/>
    <w:rsid w:val="00A24253"/>
    <w:rsid w:val="00A25E84"/>
    <w:rsid w:val="00A27A4F"/>
    <w:rsid w:val="00A3527A"/>
    <w:rsid w:val="00A42C7C"/>
    <w:rsid w:val="00A45857"/>
    <w:rsid w:val="00A45EF4"/>
    <w:rsid w:val="00A501A4"/>
    <w:rsid w:val="00A5435B"/>
    <w:rsid w:val="00A5539A"/>
    <w:rsid w:val="00A5631F"/>
    <w:rsid w:val="00A576DD"/>
    <w:rsid w:val="00A67334"/>
    <w:rsid w:val="00A72B96"/>
    <w:rsid w:val="00A74419"/>
    <w:rsid w:val="00A74A33"/>
    <w:rsid w:val="00A777C3"/>
    <w:rsid w:val="00A81ED6"/>
    <w:rsid w:val="00A829B3"/>
    <w:rsid w:val="00A84747"/>
    <w:rsid w:val="00A86707"/>
    <w:rsid w:val="00A86E89"/>
    <w:rsid w:val="00A94AB3"/>
    <w:rsid w:val="00AA0F9C"/>
    <w:rsid w:val="00AA3748"/>
    <w:rsid w:val="00AA7B3C"/>
    <w:rsid w:val="00AB4D59"/>
    <w:rsid w:val="00AC0AA0"/>
    <w:rsid w:val="00AC24C4"/>
    <w:rsid w:val="00AC676B"/>
    <w:rsid w:val="00AD17C6"/>
    <w:rsid w:val="00AD195D"/>
    <w:rsid w:val="00AD4075"/>
    <w:rsid w:val="00AD5263"/>
    <w:rsid w:val="00AD6C49"/>
    <w:rsid w:val="00AD7D71"/>
    <w:rsid w:val="00AE1491"/>
    <w:rsid w:val="00AE1CA2"/>
    <w:rsid w:val="00AE3020"/>
    <w:rsid w:val="00AF1981"/>
    <w:rsid w:val="00AF2A94"/>
    <w:rsid w:val="00AF2DCD"/>
    <w:rsid w:val="00AF69C1"/>
    <w:rsid w:val="00B028B6"/>
    <w:rsid w:val="00B04950"/>
    <w:rsid w:val="00B128FF"/>
    <w:rsid w:val="00B1477B"/>
    <w:rsid w:val="00B1672B"/>
    <w:rsid w:val="00B17665"/>
    <w:rsid w:val="00B2308F"/>
    <w:rsid w:val="00B25053"/>
    <w:rsid w:val="00B323FB"/>
    <w:rsid w:val="00B32A79"/>
    <w:rsid w:val="00B41892"/>
    <w:rsid w:val="00B45FF6"/>
    <w:rsid w:val="00B4640A"/>
    <w:rsid w:val="00B47E7B"/>
    <w:rsid w:val="00B57777"/>
    <w:rsid w:val="00B65C4E"/>
    <w:rsid w:val="00B7050C"/>
    <w:rsid w:val="00B718AA"/>
    <w:rsid w:val="00B72D8B"/>
    <w:rsid w:val="00B758EC"/>
    <w:rsid w:val="00B76B00"/>
    <w:rsid w:val="00B8445A"/>
    <w:rsid w:val="00B84E18"/>
    <w:rsid w:val="00B8523A"/>
    <w:rsid w:val="00B873DF"/>
    <w:rsid w:val="00B913EE"/>
    <w:rsid w:val="00B94C16"/>
    <w:rsid w:val="00B95543"/>
    <w:rsid w:val="00BA3FB6"/>
    <w:rsid w:val="00BB4F55"/>
    <w:rsid w:val="00BB53A5"/>
    <w:rsid w:val="00BC227A"/>
    <w:rsid w:val="00BD4473"/>
    <w:rsid w:val="00BD48E1"/>
    <w:rsid w:val="00BD4BC4"/>
    <w:rsid w:val="00BD4FEB"/>
    <w:rsid w:val="00BD61E0"/>
    <w:rsid w:val="00BD7B43"/>
    <w:rsid w:val="00BE2412"/>
    <w:rsid w:val="00BE26C8"/>
    <w:rsid w:val="00BE43D9"/>
    <w:rsid w:val="00BF1B19"/>
    <w:rsid w:val="00BF4C98"/>
    <w:rsid w:val="00BF520E"/>
    <w:rsid w:val="00BF52AE"/>
    <w:rsid w:val="00BF7C18"/>
    <w:rsid w:val="00C05009"/>
    <w:rsid w:val="00C05DD8"/>
    <w:rsid w:val="00C05E76"/>
    <w:rsid w:val="00C05F71"/>
    <w:rsid w:val="00C07C20"/>
    <w:rsid w:val="00C11921"/>
    <w:rsid w:val="00C21FB9"/>
    <w:rsid w:val="00C22347"/>
    <w:rsid w:val="00C22642"/>
    <w:rsid w:val="00C22FA9"/>
    <w:rsid w:val="00C23DDB"/>
    <w:rsid w:val="00C248A2"/>
    <w:rsid w:val="00C301F4"/>
    <w:rsid w:val="00C32039"/>
    <w:rsid w:val="00C3258F"/>
    <w:rsid w:val="00C379AC"/>
    <w:rsid w:val="00C42314"/>
    <w:rsid w:val="00C4369C"/>
    <w:rsid w:val="00C44EE7"/>
    <w:rsid w:val="00C45CCC"/>
    <w:rsid w:val="00C53AF4"/>
    <w:rsid w:val="00C54AA6"/>
    <w:rsid w:val="00C57E76"/>
    <w:rsid w:val="00C6065F"/>
    <w:rsid w:val="00C640F3"/>
    <w:rsid w:val="00C64464"/>
    <w:rsid w:val="00C751CA"/>
    <w:rsid w:val="00C75A16"/>
    <w:rsid w:val="00C7799D"/>
    <w:rsid w:val="00C80A19"/>
    <w:rsid w:val="00C8107B"/>
    <w:rsid w:val="00C83C8B"/>
    <w:rsid w:val="00C846F7"/>
    <w:rsid w:val="00C910D6"/>
    <w:rsid w:val="00C923D4"/>
    <w:rsid w:val="00C92574"/>
    <w:rsid w:val="00C92D7F"/>
    <w:rsid w:val="00C935B6"/>
    <w:rsid w:val="00C94BC5"/>
    <w:rsid w:val="00C96197"/>
    <w:rsid w:val="00C961EC"/>
    <w:rsid w:val="00C97472"/>
    <w:rsid w:val="00CA28B1"/>
    <w:rsid w:val="00CB1E3C"/>
    <w:rsid w:val="00CB4782"/>
    <w:rsid w:val="00CB4C4B"/>
    <w:rsid w:val="00CB6E36"/>
    <w:rsid w:val="00CC105F"/>
    <w:rsid w:val="00CC2980"/>
    <w:rsid w:val="00CC537A"/>
    <w:rsid w:val="00CD07ED"/>
    <w:rsid w:val="00CD5E66"/>
    <w:rsid w:val="00CD65B2"/>
    <w:rsid w:val="00CE30C9"/>
    <w:rsid w:val="00CE6BEA"/>
    <w:rsid w:val="00CE725F"/>
    <w:rsid w:val="00CF2BD4"/>
    <w:rsid w:val="00CF3AA3"/>
    <w:rsid w:val="00CF4BF5"/>
    <w:rsid w:val="00CF6A74"/>
    <w:rsid w:val="00D079B8"/>
    <w:rsid w:val="00D107A7"/>
    <w:rsid w:val="00D111C6"/>
    <w:rsid w:val="00D13727"/>
    <w:rsid w:val="00D1638C"/>
    <w:rsid w:val="00D23093"/>
    <w:rsid w:val="00D244ED"/>
    <w:rsid w:val="00D25AAC"/>
    <w:rsid w:val="00D27D0D"/>
    <w:rsid w:val="00D31837"/>
    <w:rsid w:val="00D41A75"/>
    <w:rsid w:val="00D43BE2"/>
    <w:rsid w:val="00D44BE7"/>
    <w:rsid w:val="00D45751"/>
    <w:rsid w:val="00D46105"/>
    <w:rsid w:val="00D478D5"/>
    <w:rsid w:val="00D50057"/>
    <w:rsid w:val="00D5324F"/>
    <w:rsid w:val="00D5388A"/>
    <w:rsid w:val="00D612A0"/>
    <w:rsid w:val="00D63A19"/>
    <w:rsid w:val="00D668AF"/>
    <w:rsid w:val="00D70870"/>
    <w:rsid w:val="00D7264B"/>
    <w:rsid w:val="00D75EE0"/>
    <w:rsid w:val="00D76025"/>
    <w:rsid w:val="00D85F34"/>
    <w:rsid w:val="00D867CF"/>
    <w:rsid w:val="00D86DC0"/>
    <w:rsid w:val="00D87513"/>
    <w:rsid w:val="00D93E5A"/>
    <w:rsid w:val="00D94DE5"/>
    <w:rsid w:val="00D9680C"/>
    <w:rsid w:val="00DA01A9"/>
    <w:rsid w:val="00DA473C"/>
    <w:rsid w:val="00DA523F"/>
    <w:rsid w:val="00DA5A62"/>
    <w:rsid w:val="00DB180A"/>
    <w:rsid w:val="00DB33C1"/>
    <w:rsid w:val="00DB471F"/>
    <w:rsid w:val="00DB5179"/>
    <w:rsid w:val="00DB7126"/>
    <w:rsid w:val="00DB7652"/>
    <w:rsid w:val="00DB7AE2"/>
    <w:rsid w:val="00DD0E30"/>
    <w:rsid w:val="00DD323B"/>
    <w:rsid w:val="00DD49D1"/>
    <w:rsid w:val="00DD5127"/>
    <w:rsid w:val="00DE0F48"/>
    <w:rsid w:val="00DE2561"/>
    <w:rsid w:val="00DE2C2A"/>
    <w:rsid w:val="00DE3C6B"/>
    <w:rsid w:val="00DF055B"/>
    <w:rsid w:val="00DF2221"/>
    <w:rsid w:val="00DF3895"/>
    <w:rsid w:val="00DF7E2B"/>
    <w:rsid w:val="00E0307F"/>
    <w:rsid w:val="00E058F5"/>
    <w:rsid w:val="00E10EF1"/>
    <w:rsid w:val="00E139FE"/>
    <w:rsid w:val="00E15287"/>
    <w:rsid w:val="00E152DD"/>
    <w:rsid w:val="00E20498"/>
    <w:rsid w:val="00E21A14"/>
    <w:rsid w:val="00E24C70"/>
    <w:rsid w:val="00E26110"/>
    <w:rsid w:val="00E3601F"/>
    <w:rsid w:val="00E42B7C"/>
    <w:rsid w:val="00E46796"/>
    <w:rsid w:val="00E51C5E"/>
    <w:rsid w:val="00E54DF0"/>
    <w:rsid w:val="00E559C5"/>
    <w:rsid w:val="00E56099"/>
    <w:rsid w:val="00E56A5D"/>
    <w:rsid w:val="00E6022D"/>
    <w:rsid w:val="00E605F9"/>
    <w:rsid w:val="00E616BF"/>
    <w:rsid w:val="00E632C2"/>
    <w:rsid w:val="00E6634D"/>
    <w:rsid w:val="00E67696"/>
    <w:rsid w:val="00E72FCB"/>
    <w:rsid w:val="00E735C1"/>
    <w:rsid w:val="00E76928"/>
    <w:rsid w:val="00E822BC"/>
    <w:rsid w:val="00E85725"/>
    <w:rsid w:val="00E86339"/>
    <w:rsid w:val="00E86AFF"/>
    <w:rsid w:val="00E93074"/>
    <w:rsid w:val="00E93BB3"/>
    <w:rsid w:val="00E93CED"/>
    <w:rsid w:val="00E948B7"/>
    <w:rsid w:val="00E9647F"/>
    <w:rsid w:val="00EA15F4"/>
    <w:rsid w:val="00EA1D8E"/>
    <w:rsid w:val="00EA44F5"/>
    <w:rsid w:val="00EA5EF0"/>
    <w:rsid w:val="00EB215B"/>
    <w:rsid w:val="00EB2DD7"/>
    <w:rsid w:val="00EB3E00"/>
    <w:rsid w:val="00EB3E8E"/>
    <w:rsid w:val="00EB54D9"/>
    <w:rsid w:val="00EB72FA"/>
    <w:rsid w:val="00EC0CAA"/>
    <w:rsid w:val="00EC25E6"/>
    <w:rsid w:val="00EC2FBB"/>
    <w:rsid w:val="00EC4412"/>
    <w:rsid w:val="00EC47F9"/>
    <w:rsid w:val="00EC50B5"/>
    <w:rsid w:val="00ED0C51"/>
    <w:rsid w:val="00ED0D90"/>
    <w:rsid w:val="00ED6279"/>
    <w:rsid w:val="00ED6701"/>
    <w:rsid w:val="00ED6A9C"/>
    <w:rsid w:val="00ED6F8E"/>
    <w:rsid w:val="00EE263C"/>
    <w:rsid w:val="00EE2DB0"/>
    <w:rsid w:val="00EE47A8"/>
    <w:rsid w:val="00EF2986"/>
    <w:rsid w:val="00EF3AFB"/>
    <w:rsid w:val="00EF58DE"/>
    <w:rsid w:val="00EF60BE"/>
    <w:rsid w:val="00EF689A"/>
    <w:rsid w:val="00EF6AD9"/>
    <w:rsid w:val="00F06651"/>
    <w:rsid w:val="00F07BDF"/>
    <w:rsid w:val="00F16C3C"/>
    <w:rsid w:val="00F16F4A"/>
    <w:rsid w:val="00F20DE7"/>
    <w:rsid w:val="00F21F0B"/>
    <w:rsid w:val="00F221BA"/>
    <w:rsid w:val="00F22CB8"/>
    <w:rsid w:val="00F24396"/>
    <w:rsid w:val="00F26102"/>
    <w:rsid w:val="00F2651C"/>
    <w:rsid w:val="00F3150D"/>
    <w:rsid w:val="00F32616"/>
    <w:rsid w:val="00F372C6"/>
    <w:rsid w:val="00F439DA"/>
    <w:rsid w:val="00F474AB"/>
    <w:rsid w:val="00F54586"/>
    <w:rsid w:val="00F54C6A"/>
    <w:rsid w:val="00F612ED"/>
    <w:rsid w:val="00F61C60"/>
    <w:rsid w:val="00F6317F"/>
    <w:rsid w:val="00F75080"/>
    <w:rsid w:val="00F75CAC"/>
    <w:rsid w:val="00F75E95"/>
    <w:rsid w:val="00F76283"/>
    <w:rsid w:val="00F8020E"/>
    <w:rsid w:val="00F802FB"/>
    <w:rsid w:val="00F8141F"/>
    <w:rsid w:val="00F81DB1"/>
    <w:rsid w:val="00F824D0"/>
    <w:rsid w:val="00F83971"/>
    <w:rsid w:val="00F856D1"/>
    <w:rsid w:val="00F857A1"/>
    <w:rsid w:val="00F86249"/>
    <w:rsid w:val="00F86AD6"/>
    <w:rsid w:val="00F95606"/>
    <w:rsid w:val="00F961C6"/>
    <w:rsid w:val="00F97B3D"/>
    <w:rsid w:val="00FA1818"/>
    <w:rsid w:val="00FA302A"/>
    <w:rsid w:val="00FA41C0"/>
    <w:rsid w:val="00FA7587"/>
    <w:rsid w:val="00FB0DF6"/>
    <w:rsid w:val="00FB12DF"/>
    <w:rsid w:val="00FB7478"/>
    <w:rsid w:val="00FC3CE0"/>
    <w:rsid w:val="00FC51A2"/>
    <w:rsid w:val="00FD21C3"/>
    <w:rsid w:val="00FD338B"/>
    <w:rsid w:val="00FD6A4F"/>
    <w:rsid w:val="00FD7510"/>
    <w:rsid w:val="00FE1C15"/>
    <w:rsid w:val="00FF1137"/>
    <w:rsid w:val="00FF1A88"/>
    <w:rsid w:val="00FF477F"/>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33F83"/>
  <w15:chartTrackingRefBased/>
  <w15:docId w15:val="{0338D795-6E5E-4277-911C-59C3D14E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EE"/>
    <w:pPr>
      <w:spacing w:after="0" w:line="240" w:lineRule="auto"/>
    </w:pPr>
    <w:rPr>
      <w:rFonts w:ascii="Times New Roman" w:eastAsia="Times New Roman" w:hAnsi="Times New Roman" w:cs="Times New Roman"/>
      <w:sz w:val="24"/>
      <w:szCs w:val="24"/>
      <w:lang w:eastAsia="ja-JP"/>
    </w:rPr>
  </w:style>
  <w:style w:type="paragraph" w:styleId="Heading3">
    <w:name w:val="heading 3"/>
    <w:basedOn w:val="Normal"/>
    <w:link w:val="Heading3Char"/>
    <w:uiPriority w:val="9"/>
    <w:qFormat/>
    <w:rsid w:val="00487837"/>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3EF0"/>
    <w:rPr>
      <w:sz w:val="16"/>
      <w:szCs w:val="16"/>
    </w:rPr>
  </w:style>
  <w:style w:type="paragraph" w:styleId="CommentText">
    <w:name w:val="annotation text"/>
    <w:basedOn w:val="Normal"/>
    <w:link w:val="CommentTextChar"/>
    <w:uiPriority w:val="99"/>
    <w:unhideWhenUsed/>
    <w:rsid w:val="007D3EF0"/>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D3EF0"/>
    <w:rPr>
      <w:sz w:val="20"/>
      <w:szCs w:val="20"/>
    </w:rPr>
  </w:style>
  <w:style w:type="paragraph" w:styleId="CommentSubject">
    <w:name w:val="annotation subject"/>
    <w:basedOn w:val="CommentText"/>
    <w:next w:val="CommentText"/>
    <w:link w:val="CommentSubjectChar"/>
    <w:uiPriority w:val="99"/>
    <w:semiHidden/>
    <w:unhideWhenUsed/>
    <w:rsid w:val="007D3EF0"/>
    <w:rPr>
      <w:b/>
      <w:bCs/>
    </w:rPr>
  </w:style>
  <w:style w:type="character" w:customStyle="1" w:styleId="CommentSubjectChar">
    <w:name w:val="Comment Subject Char"/>
    <w:basedOn w:val="CommentTextChar"/>
    <w:link w:val="CommentSubject"/>
    <w:uiPriority w:val="99"/>
    <w:semiHidden/>
    <w:rsid w:val="007D3EF0"/>
    <w:rPr>
      <w:b/>
      <w:bCs/>
      <w:sz w:val="20"/>
      <w:szCs w:val="20"/>
    </w:rPr>
  </w:style>
  <w:style w:type="paragraph" w:styleId="BalloonText">
    <w:name w:val="Balloon Text"/>
    <w:basedOn w:val="Normal"/>
    <w:link w:val="BalloonTextChar"/>
    <w:uiPriority w:val="99"/>
    <w:semiHidden/>
    <w:unhideWhenUsed/>
    <w:rsid w:val="007D3EF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7D3EF0"/>
    <w:rPr>
      <w:rFonts w:ascii="Segoe UI" w:hAnsi="Segoe UI" w:cs="Segoe UI"/>
      <w:sz w:val="18"/>
      <w:szCs w:val="18"/>
    </w:rPr>
  </w:style>
  <w:style w:type="paragraph" w:customStyle="1" w:styleId="EndNoteBibliography">
    <w:name w:val="EndNote Bibliography"/>
    <w:basedOn w:val="Normal"/>
    <w:link w:val="EndNoteBibliographyChar"/>
    <w:rsid w:val="00ED6F8E"/>
    <w:pPr>
      <w:spacing w:after="160"/>
    </w:pPr>
    <w:rPr>
      <w:rFonts w:ascii="Calibri" w:eastAsiaTheme="minorHAnsi" w:hAnsi="Calibri" w:cs="Calibri"/>
      <w:noProof/>
      <w:sz w:val="22"/>
      <w:szCs w:val="22"/>
      <w:lang w:eastAsia="en-US"/>
    </w:rPr>
  </w:style>
  <w:style w:type="character" w:customStyle="1" w:styleId="EndNoteBibliographyChar">
    <w:name w:val="EndNote Bibliography Char"/>
    <w:basedOn w:val="DefaultParagraphFont"/>
    <w:link w:val="EndNoteBibliography"/>
    <w:rsid w:val="00ED6F8E"/>
    <w:rPr>
      <w:rFonts w:ascii="Calibri" w:hAnsi="Calibri" w:cs="Calibri"/>
      <w:noProof/>
    </w:rPr>
  </w:style>
  <w:style w:type="paragraph" w:styleId="Header">
    <w:name w:val="header"/>
    <w:basedOn w:val="Normal"/>
    <w:link w:val="HeaderChar"/>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C57E76"/>
  </w:style>
  <w:style w:type="paragraph" w:styleId="Footer">
    <w:name w:val="footer"/>
    <w:basedOn w:val="Normal"/>
    <w:link w:val="FooterChar"/>
    <w:uiPriority w:val="99"/>
    <w:unhideWhenUsed/>
    <w:rsid w:val="00C57E7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57E76"/>
  </w:style>
  <w:style w:type="paragraph" w:styleId="NormalWeb">
    <w:name w:val="Normal (Web)"/>
    <w:basedOn w:val="Normal"/>
    <w:uiPriority w:val="99"/>
    <w:unhideWhenUsed/>
    <w:rsid w:val="003511C3"/>
    <w:pPr>
      <w:spacing w:before="100" w:beforeAutospacing="1" w:after="100" w:afterAutospacing="1"/>
    </w:pPr>
  </w:style>
  <w:style w:type="paragraph" w:styleId="Revision">
    <w:name w:val="Revision"/>
    <w:hidden/>
    <w:uiPriority w:val="99"/>
    <w:semiHidden/>
    <w:rsid w:val="00654282"/>
    <w:pPr>
      <w:spacing w:after="0" w:line="240" w:lineRule="auto"/>
    </w:pPr>
  </w:style>
  <w:style w:type="character" w:styleId="Hyperlink">
    <w:name w:val="Hyperlink"/>
    <w:basedOn w:val="DefaultParagraphFont"/>
    <w:uiPriority w:val="99"/>
    <w:unhideWhenUsed/>
    <w:rsid w:val="00EF689A"/>
    <w:rPr>
      <w:color w:val="0563C1" w:themeColor="hyperlink"/>
      <w:u w:val="single"/>
    </w:rPr>
  </w:style>
  <w:style w:type="character" w:customStyle="1" w:styleId="Heading3Char">
    <w:name w:val="Heading 3 Char"/>
    <w:basedOn w:val="DefaultParagraphFont"/>
    <w:link w:val="Heading3"/>
    <w:uiPriority w:val="9"/>
    <w:rsid w:val="00487837"/>
    <w:rPr>
      <w:rFonts w:ascii="Times New Roman" w:eastAsia="Times New Roman" w:hAnsi="Times New Roman" w:cs="Times New Roman"/>
      <w:b/>
      <w:bCs/>
      <w:sz w:val="27"/>
      <w:szCs w:val="27"/>
    </w:rPr>
  </w:style>
  <w:style w:type="paragraph" w:styleId="ListParagraph">
    <w:name w:val="List Paragraph"/>
    <w:basedOn w:val="Normal"/>
    <w:uiPriority w:val="34"/>
    <w:qFormat/>
    <w:rsid w:val="008C1659"/>
    <w:pPr>
      <w:ind w:left="720"/>
      <w:contextualSpacing/>
    </w:pPr>
  </w:style>
  <w:style w:type="character" w:styleId="Strong">
    <w:name w:val="Strong"/>
    <w:basedOn w:val="DefaultParagraphFont"/>
    <w:uiPriority w:val="22"/>
    <w:qFormat/>
    <w:rsid w:val="007D36D2"/>
    <w:rPr>
      <w:b/>
      <w:bCs/>
    </w:rPr>
  </w:style>
  <w:style w:type="paragraph" w:styleId="PlainText">
    <w:name w:val="Plain Text"/>
    <w:basedOn w:val="Normal"/>
    <w:link w:val="PlainTextChar"/>
    <w:uiPriority w:val="99"/>
    <w:unhideWhenUsed/>
    <w:rsid w:val="00C23DD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C23DDB"/>
    <w:rPr>
      <w:rFonts w:ascii="Calibri" w:hAnsi="Calibri"/>
      <w:szCs w:val="21"/>
    </w:rPr>
  </w:style>
  <w:style w:type="character" w:styleId="UnresolvedMention">
    <w:name w:val="Unresolved Mention"/>
    <w:basedOn w:val="DefaultParagraphFont"/>
    <w:uiPriority w:val="99"/>
    <w:semiHidden/>
    <w:unhideWhenUsed/>
    <w:rsid w:val="00D31837"/>
    <w:rPr>
      <w:color w:val="605E5C"/>
      <w:shd w:val="clear" w:color="auto" w:fill="E1DFDD"/>
    </w:rPr>
  </w:style>
  <w:style w:type="character" w:styleId="LineNumber">
    <w:name w:val="line number"/>
    <w:basedOn w:val="DefaultParagraphFont"/>
    <w:uiPriority w:val="99"/>
    <w:semiHidden/>
    <w:unhideWhenUsed/>
    <w:rsid w:val="00D93E5A"/>
  </w:style>
  <w:style w:type="character" w:styleId="PageNumber">
    <w:name w:val="page number"/>
    <w:basedOn w:val="DefaultParagraphFont"/>
    <w:semiHidden/>
    <w:unhideWhenUsed/>
    <w:rsid w:val="00A42C7C"/>
  </w:style>
  <w:style w:type="character" w:styleId="FollowedHyperlink">
    <w:name w:val="FollowedHyperlink"/>
    <w:basedOn w:val="DefaultParagraphFont"/>
    <w:uiPriority w:val="99"/>
    <w:semiHidden/>
    <w:unhideWhenUsed/>
    <w:rsid w:val="00C119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4636">
      <w:bodyDiv w:val="1"/>
      <w:marLeft w:val="0"/>
      <w:marRight w:val="0"/>
      <w:marTop w:val="0"/>
      <w:marBottom w:val="0"/>
      <w:divBdr>
        <w:top w:val="none" w:sz="0" w:space="0" w:color="auto"/>
        <w:left w:val="none" w:sz="0" w:space="0" w:color="auto"/>
        <w:bottom w:val="none" w:sz="0" w:space="0" w:color="auto"/>
        <w:right w:val="none" w:sz="0" w:space="0" w:color="auto"/>
      </w:divBdr>
      <w:divsChild>
        <w:div w:id="2083290965">
          <w:marLeft w:val="0"/>
          <w:marRight w:val="0"/>
          <w:marTop w:val="0"/>
          <w:marBottom w:val="0"/>
          <w:divBdr>
            <w:top w:val="none" w:sz="0" w:space="0" w:color="auto"/>
            <w:left w:val="none" w:sz="0" w:space="0" w:color="auto"/>
            <w:bottom w:val="none" w:sz="0" w:space="0" w:color="auto"/>
            <w:right w:val="none" w:sz="0" w:space="0" w:color="auto"/>
          </w:divBdr>
        </w:div>
      </w:divsChild>
    </w:div>
    <w:div w:id="57825603">
      <w:bodyDiv w:val="1"/>
      <w:marLeft w:val="0"/>
      <w:marRight w:val="0"/>
      <w:marTop w:val="0"/>
      <w:marBottom w:val="0"/>
      <w:divBdr>
        <w:top w:val="none" w:sz="0" w:space="0" w:color="auto"/>
        <w:left w:val="none" w:sz="0" w:space="0" w:color="auto"/>
        <w:bottom w:val="none" w:sz="0" w:space="0" w:color="auto"/>
        <w:right w:val="none" w:sz="0" w:space="0" w:color="auto"/>
      </w:divBdr>
    </w:div>
    <w:div w:id="183903412">
      <w:bodyDiv w:val="1"/>
      <w:marLeft w:val="0"/>
      <w:marRight w:val="0"/>
      <w:marTop w:val="0"/>
      <w:marBottom w:val="0"/>
      <w:divBdr>
        <w:top w:val="none" w:sz="0" w:space="0" w:color="auto"/>
        <w:left w:val="none" w:sz="0" w:space="0" w:color="auto"/>
        <w:bottom w:val="none" w:sz="0" w:space="0" w:color="auto"/>
        <w:right w:val="none" w:sz="0" w:space="0" w:color="auto"/>
      </w:divBdr>
    </w:div>
    <w:div w:id="235435300">
      <w:bodyDiv w:val="1"/>
      <w:marLeft w:val="0"/>
      <w:marRight w:val="0"/>
      <w:marTop w:val="0"/>
      <w:marBottom w:val="0"/>
      <w:divBdr>
        <w:top w:val="none" w:sz="0" w:space="0" w:color="auto"/>
        <w:left w:val="none" w:sz="0" w:space="0" w:color="auto"/>
        <w:bottom w:val="none" w:sz="0" w:space="0" w:color="auto"/>
        <w:right w:val="none" w:sz="0" w:space="0" w:color="auto"/>
      </w:divBdr>
    </w:div>
    <w:div w:id="284120917">
      <w:bodyDiv w:val="1"/>
      <w:marLeft w:val="0"/>
      <w:marRight w:val="0"/>
      <w:marTop w:val="0"/>
      <w:marBottom w:val="0"/>
      <w:divBdr>
        <w:top w:val="none" w:sz="0" w:space="0" w:color="auto"/>
        <w:left w:val="none" w:sz="0" w:space="0" w:color="auto"/>
        <w:bottom w:val="none" w:sz="0" w:space="0" w:color="auto"/>
        <w:right w:val="none" w:sz="0" w:space="0" w:color="auto"/>
      </w:divBdr>
    </w:div>
    <w:div w:id="361054854">
      <w:bodyDiv w:val="1"/>
      <w:marLeft w:val="0"/>
      <w:marRight w:val="0"/>
      <w:marTop w:val="0"/>
      <w:marBottom w:val="0"/>
      <w:divBdr>
        <w:top w:val="none" w:sz="0" w:space="0" w:color="auto"/>
        <w:left w:val="none" w:sz="0" w:space="0" w:color="auto"/>
        <w:bottom w:val="none" w:sz="0" w:space="0" w:color="auto"/>
        <w:right w:val="none" w:sz="0" w:space="0" w:color="auto"/>
      </w:divBdr>
    </w:div>
    <w:div w:id="449129332">
      <w:bodyDiv w:val="1"/>
      <w:marLeft w:val="0"/>
      <w:marRight w:val="0"/>
      <w:marTop w:val="0"/>
      <w:marBottom w:val="0"/>
      <w:divBdr>
        <w:top w:val="none" w:sz="0" w:space="0" w:color="auto"/>
        <w:left w:val="none" w:sz="0" w:space="0" w:color="auto"/>
        <w:bottom w:val="none" w:sz="0" w:space="0" w:color="auto"/>
        <w:right w:val="none" w:sz="0" w:space="0" w:color="auto"/>
      </w:divBdr>
    </w:div>
    <w:div w:id="479999286">
      <w:bodyDiv w:val="1"/>
      <w:marLeft w:val="0"/>
      <w:marRight w:val="0"/>
      <w:marTop w:val="0"/>
      <w:marBottom w:val="0"/>
      <w:divBdr>
        <w:top w:val="none" w:sz="0" w:space="0" w:color="auto"/>
        <w:left w:val="none" w:sz="0" w:space="0" w:color="auto"/>
        <w:bottom w:val="none" w:sz="0" w:space="0" w:color="auto"/>
        <w:right w:val="none" w:sz="0" w:space="0" w:color="auto"/>
      </w:divBdr>
      <w:divsChild>
        <w:div w:id="1616910368">
          <w:marLeft w:val="0"/>
          <w:marRight w:val="0"/>
          <w:marTop w:val="0"/>
          <w:marBottom w:val="0"/>
          <w:divBdr>
            <w:top w:val="none" w:sz="0" w:space="0" w:color="auto"/>
            <w:left w:val="none" w:sz="0" w:space="0" w:color="auto"/>
            <w:bottom w:val="none" w:sz="0" w:space="0" w:color="auto"/>
            <w:right w:val="none" w:sz="0" w:space="0" w:color="auto"/>
          </w:divBdr>
        </w:div>
      </w:divsChild>
    </w:div>
    <w:div w:id="748817316">
      <w:bodyDiv w:val="1"/>
      <w:marLeft w:val="0"/>
      <w:marRight w:val="0"/>
      <w:marTop w:val="0"/>
      <w:marBottom w:val="0"/>
      <w:divBdr>
        <w:top w:val="none" w:sz="0" w:space="0" w:color="auto"/>
        <w:left w:val="none" w:sz="0" w:space="0" w:color="auto"/>
        <w:bottom w:val="none" w:sz="0" w:space="0" w:color="auto"/>
        <w:right w:val="none" w:sz="0" w:space="0" w:color="auto"/>
      </w:divBdr>
    </w:div>
    <w:div w:id="771322880">
      <w:bodyDiv w:val="1"/>
      <w:marLeft w:val="0"/>
      <w:marRight w:val="0"/>
      <w:marTop w:val="0"/>
      <w:marBottom w:val="0"/>
      <w:divBdr>
        <w:top w:val="none" w:sz="0" w:space="0" w:color="auto"/>
        <w:left w:val="none" w:sz="0" w:space="0" w:color="auto"/>
        <w:bottom w:val="none" w:sz="0" w:space="0" w:color="auto"/>
        <w:right w:val="none" w:sz="0" w:space="0" w:color="auto"/>
      </w:divBdr>
    </w:div>
    <w:div w:id="958217108">
      <w:bodyDiv w:val="1"/>
      <w:marLeft w:val="0"/>
      <w:marRight w:val="0"/>
      <w:marTop w:val="0"/>
      <w:marBottom w:val="0"/>
      <w:divBdr>
        <w:top w:val="none" w:sz="0" w:space="0" w:color="auto"/>
        <w:left w:val="none" w:sz="0" w:space="0" w:color="auto"/>
        <w:bottom w:val="none" w:sz="0" w:space="0" w:color="auto"/>
        <w:right w:val="none" w:sz="0" w:space="0" w:color="auto"/>
      </w:divBdr>
    </w:div>
    <w:div w:id="991254128">
      <w:bodyDiv w:val="1"/>
      <w:marLeft w:val="0"/>
      <w:marRight w:val="0"/>
      <w:marTop w:val="0"/>
      <w:marBottom w:val="0"/>
      <w:divBdr>
        <w:top w:val="none" w:sz="0" w:space="0" w:color="auto"/>
        <w:left w:val="none" w:sz="0" w:space="0" w:color="auto"/>
        <w:bottom w:val="none" w:sz="0" w:space="0" w:color="auto"/>
        <w:right w:val="none" w:sz="0" w:space="0" w:color="auto"/>
      </w:divBdr>
    </w:div>
    <w:div w:id="1025593891">
      <w:bodyDiv w:val="1"/>
      <w:marLeft w:val="0"/>
      <w:marRight w:val="0"/>
      <w:marTop w:val="0"/>
      <w:marBottom w:val="0"/>
      <w:divBdr>
        <w:top w:val="none" w:sz="0" w:space="0" w:color="auto"/>
        <w:left w:val="none" w:sz="0" w:space="0" w:color="auto"/>
        <w:bottom w:val="none" w:sz="0" w:space="0" w:color="auto"/>
        <w:right w:val="none" w:sz="0" w:space="0" w:color="auto"/>
      </w:divBdr>
    </w:div>
    <w:div w:id="1100830165">
      <w:bodyDiv w:val="1"/>
      <w:marLeft w:val="0"/>
      <w:marRight w:val="0"/>
      <w:marTop w:val="0"/>
      <w:marBottom w:val="0"/>
      <w:divBdr>
        <w:top w:val="none" w:sz="0" w:space="0" w:color="auto"/>
        <w:left w:val="none" w:sz="0" w:space="0" w:color="auto"/>
        <w:bottom w:val="none" w:sz="0" w:space="0" w:color="auto"/>
        <w:right w:val="none" w:sz="0" w:space="0" w:color="auto"/>
      </w:divBdr>
    </w:div>
    <w:div w:id="1165434932">
      <w:bodyDiv w:val="1"/>
      <w:marLeft w:val="0"/>
      <w:marRight w:val="0"/>
      <w:marTop w:val="0"/>
      <w:marBottom w:val="0"/>
      <w:divBdr>
        <w:top w:val="none" w:sz="0" w:space="0" w:color="auto"/>
        <w:left w:val="none" w:sz="0" w:space="0" w:color="auto"/>
        <w:bottom w:val="none" w:sz="0" w:space="0" w:color="auto"/>
        <w:right w:val="none" w:sz="0" w:space="0" w:color="auto"/>
      </w:divBdr>
    </w:div>
    <w:div w:id="1244215425">
      <w:bodyDiv w:val="1"/>
      <w:marLeft w:val="0"/>
      <w:marRight w:val="0"/>
      <w:marTop w:val="0"/>
      <w:marBottom w:val="0"/>
      <w:divBdr>
        <w:top w:val="none" w:sz="0" w:space="0" w:color="auto"/>
        <w:left w:val="none" w:sz="0" w:space="0" w:color="auto"/>
        <w:bottom w:val="none" w:sz="0" w:space="0" w:color="auto"/>
        <w:right w:val="none" w:sz="0" w:space="0" w:color="auto"/>
      </w:divBdr>
    </w:div>
    <w:div w:id="1260988052">
      <w:bodyDiv w:val="1"/>
      <w:marLeft w:val="0"/>
      <w:marRight w:val="0"/>
      <w:marTop w:val="0"/>
      <w:marBottom w:val="0"/>
      <w:divBdr>
        <w:top w:val="none" w:sz="0" w:space="0" w:color="auto"/>
        <w:left w:val="none" w:sz="0" w:space="0" w:color="auto"/>
        <w:bottom w:val="none" w:sz="0" w:space="0" w:color="auto"/>
        <w:right w:val="none" w:sz="0" w:space="0" w:color="auto"/>
      </w:divBdr>
    </w:div>
    <w:div w:id="1334449829">
      <w:bodyDiv w:val="1"/>
      <w:marLeft w:val="0"/>
      <w:marRight w:val="0"/>
      <w:marTop w:val="0"/>
      <w:marBottom w:val="0"/>
      <w:divBdr>
        <w:top w:val="none" w:sz="0" w:space="0" w:color="auto"/>
        <w:left w:val="none" w:sz="0" w:space="0" w:color="auto"/>
        <w:bottom w:val="none" w:sz="0" w:space="0" w:color="auto"/>
        <w:right w:val="none" w:sz="0" w:space="0" w:color="auto"/>
      </w:divBdr>
    </w:div>
    <w:div w:id="1445072854">
      <w:bodyDiv w:val="1"/>
      <w:marLeft w:val="0"/>
      <w:marRight w:val="0"/>
      <w:marTop w:val="0"/>
      <w:marBottom w:val="0"/>
      <w:divBdr>
        <w:top w:val="none" w:sz="0" w:space="0" w:color="auto"/>
        <w:left w:val="none" w:sz="0" w:space="0" w:color="auto"/>
        <w:bottom w:val="none" w:sz="0" w:space="0" w:color="auto"/>
        <w:right w:val="none" w:sz="0" w:space="0" w:color="auto"/>
      </w:divBdr>
    </w:div>
    <w:div w:id="1559390580">
      <w:bodyDiv w:val="1"/>
      <w:marLeft w:val="0"/>
      <w:marRight w:val="0"/>
      <w:marTop w:val="0"/>
      <w:marBottom w:val="0"/>
      <w:divBdr>
        <w:top w:val="none" w:sz="0" w:space="0" w:color="auto"/>
        <w:left w:val="none" w:sz="0" w:space="0" w:color="auto"/>
        <w:bottom w:val="none" w:sz="0" w:space="0" w:color="auto"/>
        <w:right w:val="none" w:sz="0" w:space="0" w:color="auto"/>
      </w:divBdr>
    </w:div>
    <w:div w:id="1695499514">
      <w:bodyDiv w:val="1"/>
      <w:marLeft w:val="0"/>
      <w:marRight w:val="0"/>
      <w:marTop w:val="0"/>
      <w:marBottom w:val="0"/>
      <w:divBdr>
        <w:top w:val="none" w:sz="0" w:space="0" w:color="auto"/>
        <w:left w:val="none" w:sz="0" w:space="0" w:color="auto"/>
        <w:bottom w:val="none" w:sz="0" w:space="0" w:color="auto"/>
        <w:right w:val="none" w:sz="0" w:space="0" w:color="auto"/>
      </w:divBdr>
    </w:div>
    <w:div w:id="1735011459">
      <w:bodyDiv w:val="1"/>
      <w:marLeft w:val="0"/>
      <w:marRight w:val="0"/>
      <w:marTop w:val="0"/>
      <w:marBottom w:val="0"/>
      <w:divBdr>
        <w:top w:val="none" w:sz="0" w:space="0" w:color="auto"/>
        <w:left w:val="none" w:sz="0" w:space="0" w:color="auto"/>
        <w:bottom w:val="none" w:sz="0" w:space="0" w:color="auto"/>
        <w:right w:val="none" w:sz="0" w:space="0" w:color="auto"/>
      </w:divBdr>
    </w:div>
    <w:div w:id="1740517876">
      <w:bodyDiv w:val="1"/>
      <w:marLeft w:val="0"/>
      <w:marRight w:val="0"/>
      <w:marTop w:val="0"/>
      <w:marBottom w:val="0"/>
      <w:divBdr>
        <w:top w:val="none" w:sz="0" w:space="0" w:color="auto"/>
        <w:left w:val="none" w:sz="0" w:space="0" w:color="auto"/>
        <w:bottom w:val="none" w:sz="0" w:space="0" w:color="auto"/>
        <w:right w:val="none" w:sz="0" w:space="0" w:color="auto"/>
      </w:divBdr>
    </w:div>
    <w:div w:id="1816533473">
      <w:bodyDiv w:val="1"/>
      <w:marLeft w:val="0"/>
      <w:marRight w:val="0"/>
      <w:marTop w:val="0"/>
      <w:marBottom w:val="0"/>
      <w:divBdr>
        <w:top w:val="none" w:sz="0" w:space="0" w:color="auto"/>
        <w:left w:val="none" w:sz="0" w:space="0" w:color="auto"/>
        <w:bottom w:val="none" w:sz="0" w:space="0" w:color="auto"/>
        <w:right w:val="none" w:sz="0" w:space="0" w:color="auto"/>
      </w:divBdr>
    </w:div>
    <w:div w:id="193150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F566-6917-C744-A5F2-D6D439AE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37</Pages>
  <Words>33537</Words>
  <Characters>191162</Characters>
  <Application>Microsoft Office Word</Application>
  <DocSecurity>0</DocSecurity>
  <Lines>1593</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Krafft, Jennifer</cp:lastModifiedBy>
  <cp:revision>64</cp:revision>
  <dcterms:created xsi:type="dcterms:W3CDTF">2023-03-29T17:37:00Z</dcterms:created>
  <dcterms:modified xsi:type="dcterms:W3CDTF">2023-10-11T19:27:00Z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582b7677-ed7a-37f2-bcdb-9ec4151e8160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http://www.zotero.org/styles/journal-of-contextual-behavioral-science</vt:lpwstr>
  </property>
  <property fmtid="{D5CDD505-2E9C-101B-9397-08002B2CF9AE}" pid="20" name="Mendeley Recent Style Name 7_1">
    <vt:lpwstr>Journal of Contextual Behavioral Science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