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0394" w14:textId="77777777" w:rsidR="00A479CE" w:rsidRDefault="00A479CE" w:rsidP="00D71CA2">
      <w:pPr>
        <w:spacing w:line="480" w:lineRule="auto"/>
        <w:jc w:val="center"/>
      </w:pPr>
    </w:p>
    <w:p w14:paraId="505DD3EB" w14:textId="77777777" w:rsidR="00A479CE" w:rsidRDefault="00A479CE" w:rsidP="00D71CA2">
      <w:pPr>
        <w:spacing w:line="480" w:lineRule="auto"/>
        <w:jc w:val="center"/>
      </w:pPr>
    </w:p>
    <w:p w14:paraId="6CF53995" w14:textId="77777777" w:rsidR="00A479CE" w:rsidRDefault="00A479CE" w:rsidP="00D71CA2">
      <w:pPr>
        <w:spacing w:line="480" w:lineRule="auto"/>
        <w:jc w:val="center"/>
      </w:pPr>
    </w:p>
    <w:p w14:paraId="541432E7" w14:textId="77777777" w:rsidR="00A479CE" w:rsidRDefault="00A479CE" w:rsidP="00D71CA2">
      <w:pPr>
        <w:spacing w:line="480" w:lineRule="auto"/>
        <w:jc w:val="center"/>
      </w:pPr>
    </w:p>
    <w:p w14:paraId="446F6346" w14:textId="77777777" w:rsidR="00A479CE" w:rsidRDefault="00A479CE" w:rsidP="00D71CA2">
      <w:pPr>
        <w:spacing w:line="480" w:lineRule="auto"/>
        <w:jc w:val="center"/>
      </w:pPr>
    </w:p>
    <w:p w14:paraId="3F07533B" w14:textId="77777777" w:rsidR="00A479CE" w:rsidRDefault="00A479CE" w:rsidP="00D71CA2">
      <w:pPr>
        <w:spacing w:line="480" w:lineRule="auto"/>
        <w:jc w:val="center"/>
      </w:pPr>
    </w:p>
    <w:p w14:paraId="78FB9B61" w14:textId="77777777" w:rsidR="00A479CE" w:rsidRDefault="00A479CE" w:rsidP="00D71CA2">
      <w:pPr>
        <w:spacing w:line="480" w:lineRule="auto"/>
        <w:jc w:val="center"/>
      </w:pPr>
    </w:p>
    <w:p w14:paraId="6AA1C490" w14:textId="77777777" w:rsidR="00A479CE" w:rsidRDefault="00A479CE" w:rsidP="00D71CA2">
      <w:pPr>
        <w:spacing w:line="480" w:lineRule="auto"/>
        <w:jc w:val="center"/>
      </w:pPr>
    </w:p>
    <w:p w14:paraId="77F28911" w14:textId="77777777" w:rsidR="00A479CE" w:rsidRDefault="00A479CE" w:rsidP="00D71CA2">
      <w:pPr>
        <w:spacing w:line="480" w:lineRule="auto"/>
        <w:jc w:val="center"/>
      </w:pPr>
    </w:p>
    <w:p w14:paraId="30AEB856" w14:textId="77777777" w:rsidR="00A479CE" w:rsidRDefault="00A479CE" w:rsidP="00D71CA2">
      <w:pPr>
        <w:spacing w:line="480" w:lineRule="auto"/>
        <w:jc w:val="center"/>
      </w:pPr>
    </w:p>
    <w:p w14:paraId="1BB13104" w14:textId="34B9B8C6" w:rsidR="00483198" w:rsidRPr="00D71CA2" w:rsidRDefault="00D71CA2" w:rsidP="00A479CE">
      <w:pPr>
        <w:spacing w:line="480" w:lineRule="auto"/>
        <w:jc w:val="center"/>
      </w:pPr>
      <w:r w:rsidRPr="00D71CA2">
        <w:t xml:space="preserve">Choosing ACT or CBT: </w:t>
      </w:r>
      <w:r w:rsidR="00096E36">
        <w:t>A Preliminary Test</w:t>
      </w:r>
      <w:r w:rsidRPr="00D71CA2">
        <w:t xml:space="preserve"> of Incorporating Client Preferences for Depression Treatment with College Students</w:t>
      </w:r>
    </w:p>
    <w:p w14:paraId="1CBAF951" w14:textId="77777777" w:rsidR="00A479CE" w:rsidRDefault="00A479CE" w:rsidP="006A42F5">
      <w:pPr>
        <w:spacing w:line="480" w:lineRule="auto"/>
        <w:jc w:val="center"/>
        <w:rPr>
          <w:b/>
          <w:bCs/>
        </w:rPr>
      </w:pPr>
    </w:p>
    <w:p w14:paraId="02315361" w14:textId="77777777" w:rsidR="00A479CE" w:rsidRDefault="00A479CE" w:rsidP="006A42F5">
      <w:pPr>
        <w:spacing w:line="480" w:lineRule="auto"/>
        <w:jc w:val="center"/>
        <w:rPr>
          <w:b/>
          <w:bCs/>
        </w:rPr>
      </w:pPr>
    </w:p>
    <w:p w14:paraId="0EBF979D" w14:textId="77777777" w:rsidR="00A479CE" w:rsidRDefault="00A479CE" w:rsidP="006A42F5">
      <w:pPr>
        <w:spacing w:line="480" w:lineRule="auto"/>
        <w:jc w:val="center"/>
        <w:rPr>
          <w:b/>
          <w:bCs/>
        </w:rPr>
      </w:pPr>
    </w:p>
    <w:p w14:paraId="0B6BAA9F" w14:textId="77777777" w:rsidR="00A479CE" w:rsidRDefault="00A479CE" w:rsidP="006A42F5">
      <w:pPr>
        <w:spacing w:line="480" w:lineRule="auto"/>
        <w:jc w:val="center"/>
        <w:rPr>
          <w:b/>
          <w:bCs/>
        </w:rPr>
      </w:pPr>
    </w:p>
    <w:p w14:paraId="2FB9E073" w14:textId="77777777" w:rsidR="00A479CE" w:rsidRDefault="00A479CE" w:rsidP="006A42F5">
      <w:pPr>
        <w:spacing w:line="480" w:lineRule="auto"/>
        <w:jc w:val="center"/>
        <w:rPr>
          <w:b/>
          <w:bCs/>
        </w:rPr>
      </w:pPr>
    </w:p>
    <w:p w14:paraId="3FEE3B28" w14:textId="77777777" w:rsidR="00A479CE" w:rsidRDefault="00A479CE" w:rsidP="006A42F5">
      <w:pPr>
        <w:spacing w:line="480" w:lineRule="auto"/>
        <w:jc w:val="center"/>
        <w:rPr>
          <w:b/>
          <w:bCs/>
        </w:rPr>
      </w:pPr>
    </w:p>
    <w:p w14:paraId="5514DF64" w14:textId="77777777" w:rsidR="00A479CE" w:rsidRDefault="00A479CE" w:rsidP="006A42F5">
      <w:pPr>
        <w:spacing w:line="480" w:lineRule="auto"/>
        <w:jc w:val="center"/>
        <w:rPr>
          <w:b/>
          <w:bCs/>
        </w:rPr>
      </w:pPr>
    </w:p>
    <w:p w14:paraId="2DCECEB9" w14:textId="77777777" w:rsidR="00A479CE" w:rsidRDefault="00A479CE" w:rsidP="006A42F5">
      <w:pPr>
        <w:spacing w:line="480" w:lineRule="auto"/>
        <w:jc w:val="center"/>
        <w:rPr>
          <w:b/>
          <w:bCs/>
        </w:rPr>
      </w:pPr>
    </w:p>
    <w:p w14:paraId="564D4072" w14:textId="77777777" w:rsidR="00A479CE" w:rsidRDefault="00A479CE" w:rsidP="006A42F5">
      <w:pPr>
        <w:spacing w:line="480" w:lineRule="auto"/>
        <w:jc w:val="center"/>
        <w:rPr>
          <w:b/>
          <w:bCs/>
        </w:rPr>
      </w:pPr>
    </w:p>
    <w:p w14:paraId="7071ACA1" w14:textId="77777777" w:rsidR="00A479CE" w:rsidRDefault="00A479CE" w:rsidP="006A42F5">
      <w:pPr>
        <w:spacing w:line="480" w:lineRule="auto"/>
        <w:jc w:val="center"/>
        <w:rPr>
          <w:b/>
          <w:bCs/>
        </w:rPr>
      </w:pPr>
    </w:p>
    <w:p w14:paraId="20B9EA07" w14:textId="77777777" w:rsidR="00A479CE" w:rsidRDefault="00A479CE" w:rsidP="00A479CE">
      <w:pPr>
        <w:spacing w:line="480" w:lineRule="auto"/>
        <w:rPr>
          <w:b/>
          <w:bCs/>
        </w:rPr>
      </w:pPr>
    </w:p>
    <w:p w14:paraId="55307B50" w14:textId="2228BB7F" w:rsidR="00483198" w:rsidRPr="00183906" w:rsidRDefault="00D71CA2" w:rsidP="00483198">
      <w:pPr>
        <w:spacing w:line="480" w:lineRule="auto"/>
        <w:jc w:val="center"/>
        <w:rPr>
          <w:b/>
          <w:bCs/>
        </w:rPr>
      </w:pPr>
      <w:r>
        <w:rPr>
          <w:b/>
          <w:bCs/>
        </w:rPr>
        <w:lastRenderedPageBreak/>
        <w:t>Introduction</w:t>
      </w:r>
    </w:p>
    <w:p w14:paraId="3D352D1C" w14:textId="76F1124D" w:rsidR="00EC7EE2" w:rsidRDefault="00A53F13" w:rsidP="00DC4585">
      <w:pPr>
        <w:spacing w:line="480" w:lineRule="auto"/>
      </w:pPr>
      <w:r>
        <w:tab/>
        <w:t xml:space="preserve">College students are markedly at risk for depression. </w:t>
      </w:r>
      <w:r w:rsidRPr="00A53F13">
        <w:t>In a recent survey of over 50,000 students in the United States, 22% reported a lifetime diagnosis of depre</w:t>
      </w:r>
      <w:r w:rsidR="00077143">
        <w:t xml:space="preserve">ssion </w:t>
      </w:r>
      <w:r w:rsidRPr="00A53F13">
        <w:t>(American College Health Association, 2019). Additionally, research sug</w:t>
      </w:r>
      <w:r w:rsidR="00077143">
        <w:t>gests that students have higher depression than the general population</w:t>
      </w:r>
      <w:r w:rsidRPr="00A53F13">
        <w:t xml:space="preserve"> (</w:t>
      </w:r>
      <w:proofErr w:type="spellStart"/>
      <w:r w:rsidRPr="00A53F13">
        <w:t>Beiter</w:t>
      </w:r>
      <w:proofErr w:type="spellEnd"/>
      <w:r w:rsidRPr="00A53F13">
        <w:t xml:space="preserve"> et al., 2015), </w:t>
      </w:r>
      <w:r w:rsidR="008B4A0A">
        <w:t>and</w:t>
      </w:r>
      <w:r w:rsidR="00077143">
        <w:t xml:space="preserve"> about</w:t>
      </w:r>
      <w:r w:rsidRPr="00A53F13">
        <w:t xml:space="preserve"> a quarter of students </w:t>
      </w:r>
      <w:r>
        <w:t>meet</w:t>
      </w:r>
      <w:r w:rsidRPr="00A53F13">
        <w:t xml:space="preserve"> criteria for suicide risk (ACHA, 2019).</w:t>
      </w:r>
      <w:r>
        <w:t xml:space="preserve"> </w:t>
      </w:r>
      <w:r w:rsidR="004C0C41">
        <w:t xml:space="preserve">Traditional mental health interventions for students (i.e., in-person counseling) struggle to keep up with the demand for services on college campuses. </w:t>
      </w:r>
      <w:r w:rsidR="004C0C41" w:rsidRPr="004C0C41">
        <w:t>A</w:t>
      </w:r>
      <w:r w:rsidR="004C0C41">
        <w:t xml:space="preserve"> recent</w:t>
      </w:r>
      <w:r w:rsidR="004C0C41" w:rsidRPr="004C0C41">
        <w:t xml:space="preserve"> </w:t>
      </w:r>
      <w:r w:rsidR="004C0C41">
        <w:t>study</w:t>
      </w:r>
      <w:r w:rsidR="004C0C41" w:rsidRPr="004C0C41">
        <w:t xml:space="preserve"> indicate</w:t>
      </w:r>
      <w:r w:rsidR="00B22356">
        <w:t xml:space="preserve">d </w:t>
      </w:r>
      <w:r w:rsidR="004C0C41" w:rsidRPr="004C0C41">
        <w:t xml:space="preserve">an average of one counselor position per 1,064 students, a discrepancy that often forces </w:t>
      </w:r>
      <w:r w:rsidR="004C0C41">
        <w:t xml:space="preserve">providers </w:t>
      </w:r>
      <w:r w:rsidR="004C0C41" w:rsidRPr="004C0C41">
        <w:t>to place students on a waitlist or limit the number of therapy sessions they can receive</w:t>
      </w:r>
      <w:r w:rsidR="00B22356">
        <w:t xml:space="preserve"> </w:t>
      </w:r>
      <w:r w:rsidR="00B22356" w:rsidRPr="004C0C41">
        <w:t>(Association for University and College Counseling Center Directors, 2019)</w:t>
      </w:r>
      <w:r w:rsidR="004C0C41">
        <w:t>.</w:t>
      </w:r>
    </w:p>
    <w:p w14:paraId="44B350C7" w14:textId="21E5E51E" w:rsidR="000E67BD" w:rsidRDefault="00E53EB4" w:rsidP="00011CE3">
      <w:pPr>
        <w:spacing w:line="480" w:lineRule="auto"/>
        <w:ind w:firstLine="720"/>
      </w:pPr>
      <w:r>
        <w:t xml:space="preserve">To </w:t>
      </w:r>
      <w:r w:rsidR="00DC52BC">
        <w:t>promote student wellbeing in an efficient manner</w:t>
      </w:r>
      <w:r>
        <w:t>, s</w:t>
      </w:r>
      <w:r w:rsidR="004C0C41">
        <w:t xml:space="preserve">elf-guided interventions </w:t>
      </w:r>
      <w:r w:rsidR="00AA4E6A">
        <w:t>for depression</w:t>
      </w:r>
      <w:r>
        <w:t xml:space="preserve"> can be used, such as c</w:t>
      </w:r>
      <w:r w:rsidR="000A7E19">
        <w:t>ognitive behavioral therap</w:t>
      </w:r>
      <w:r w:rsidR="00011CE3">
        <w:t>ies</w:t>
      </w:r>
      <w:r w:rsidR="000A7E19">
        <w:t xml:space="preserve"> (CBT</w:t>
      </w:r>
      <w:r w:rsidR="00011CE3">
        <w:t>s</w:t>
      </w:r>
      <w:r w:rsidR="000A7E19">
        <w:t>)</w:t>
      </w:r>
      <w:r w:rsidR="00A91B2C">
        <w:t xml:space="preserve">, which </w:t>
      </w:r>
      <w:r w:rsidR="000A7E19">
        <w:t>is a</w:t>
      </w:r>
      <w:r w:rsidR="00011CE3">
        <w:t xml:space="preserve"> group of</w:t>
      </w:r>
      <w:r w:rsidR="000A7E19">
        <w:t xml:space="preserve"> well-established treatment</w:t>
      </w:r>
      <w:r w:rsidR="00011CE3">
        <w:t xml:space="preserve">s </w:t>
      </w:r>
      <w:r w:rsidR="000A7E19">
        <w:t>for depression</w:t>
      </w:r>
      <w:r w:rsidR="00417346">
        <w:t xml:space="preserve"> that can be </w:t>
      </w:r>
      <w:r w:rsidR="000A7E19">
        <w:t xml:space="preserve">delivered in </w:t>
      </w:r>
      <w:r w:rsidR="00417346">
        <w:t xml:space="preserve">online </w:t>
      </w:r>
      <w:r w:rsidR="000A7E19">
        <w:t>format</w:t>
      </w:r>
      <w:r w:rsidR="00417346">
        <w:t>s</w:t>
      </w:r>
      <w:r w:rsidR="000A7E19">
        <w:t xml:space="preserve"> (</w:t>
      </w:r>
      <w:proofErr w:type="spellStart"/>
      <w:r w:rsidR="007C297A">
        <w:t>Karyotaki</w:t>
      </w:r>
      <w:proofErr w:type="spellEnd"/>
      <w:r w:rsidR="007C297A">
        <w:t xml:space="preserve"> et al., 2021</w:t>
      </w:r>
      <w:r w:rsidR="000A7E19">
        <w:t>).</w:t>
      </w:r>
      <w:r w:rsidR="00A91B2C">
        <w:t xml:space="preserve"> </w:t>
      </w:r>
      <w:r w:rsidR="00AA4E6A">
        <w:t>However, a persistent issue in</w:t>
      </w:r>
      <w:r w:rsidR="00AA4E6A" w:rsidRPr="00AA4E6A">
        <w:t xml:space="preserve"> </w:t>
      </w:r>
      <w:r w:rsidR="00417346">
        <w:t>online</w:t>
      </w:r>
      <w:r w:rsidR="00AA4E6A" w:rsidRPr="00AA4E6A">
        <w:t xml:space="preserve"> </w:t>
      </w:r>
      <w:r w:rsidR="00496F84">
        <w:t>CBTs</w:t>
      </w:r>
      <w:r w:rsidR="00AA4E6A" w:rsidRPr="00AA4E6A">
        <w:t xml:space="preserve"> is a high rate of dropout</w:t>
      </w:r>
      <w:r w:rsidR="00496F84">
        <w:t>,</w:t>
      </w:r>
      <w:r w:rsidR="00B22356">
        <w:t xml:space="preserve"> with</w:t>
      </w:r>
      <w:r w:rsidR="00AA4E6A" w:rsidRPr="00AA4E6A">
        <w:t xml:space="preserve"> </w:t>
      </w:r>
      <w:r w:rsidR="00496F84">
        <w:t>up to</w:t>
      </w:r>
      <w:r w:rsidR="00AA4E6A" w:rsidRPr="00AA4E6A">
        <w:t xml:space="preserve"> 74% of </w:t>
      </w:r>
      <w:r w:rsidR="00B22356">
        <w:t>users</w:t>
      </w:r>
      <w:r w:rsidR="00AA4E6A" w:rsidRPr="00AA4E6A">
        <w:t xml:space="preserve"> not fully </w:t>
      </w:r>
      <w:r w:rsidR="00496F84">
        <w:t>completing</w:t>
      </w:r>
      <w:r w:rsidR="00AA4E6A" w:rsidRPr="00AA4E6A">
        <w:t xml:space="preserve"> treatment (</w:t>
      </w:r>
      <w:proofErr w:type="spellStart"/>
      <w:r w:rsidR="00496F84" w:rsidRPr="00AA4E6A">
        <w:t>Karyotaki</w:t>
      </w:r>
      <w:proofErr w:type="spellEnd"/>
      <w:r w:rsidR="00496F84" w:rsidRPr="00AA4E6A">
        <w:t xml:space="preserve"> et al., 2015</w:t>
      </w:r>
      <w:r w:rsidR="00496F84">
        <w:t xml:space="preserve">; </w:t>
      </w:r>
      <w:r w:rsidR="00AA4E6A" w:rsidRPr="00AA4E6A">
        <w:t>Richards &amp; Richardson, 2012).</w:t>
      </w:r>
      <w:r w:rsidR="00AA4E6A">
        <w:t xml:space="preserve"> An understudied approach to promoting engagement with </w:t>
      </w:r>
      <w:r w:rsidR="00417346">
        <w:t>online CBTs</w:t>
      </w:r>
      <w:r w:rsidR="00AA4E6A">
        <w:t xml:space="preserve"> is allowing clients to choose the </w:t>
      </w:r>
      <w:r w:rsidR="00011CE3">
        <w:t xml:space="preserve">specific </w:t>
      </w:r>
      <w:r w:rsidR="00AA4E6A">
        <w:t>intervention they use.</w:t>
      </w:r>
      <w:r w:rsidR="00011CE3" w:rsidRPr="00011CE3">
        <w:t xml:space="preserve"> </w:t>
      </w:r>
    </w:p>
    <w:p w14:paraId="4CDD962E" w14:textId="7735AD3B" w:rsidR="00011CE3" w:rsidRDefault="00417346" w:rsidP="00011CE3">
      <w:pPr>
        <w:spacing w:line="480" w:lineRule="auto"/>
        <w:ind w:firstLine="720"/>
      </w:pPr>
      <w:r>
        <w:t>W</w:t>
      </w:r>
      <w:r w:rsidR="00011CE3">
        <w:t>ithin the broader family of CBTs are in fact multiple evidence-based approaches</w:t>
      </w:r>
      <w:r w:rsidR="00F651C1">
        <w:t xml:space="preserve"> to choose from</w:t>
      </w:r>
      <w:r w:rsidR="00011CE3">
        <w:t>. Traditional CBT (tCBT)</w:t>
      </w:r>
      <w:r w:rsidR="00DC52BC">
        <w:t xml:space="preserve"> </w:t>
      </w:r>
      <w:r w:rsidR="008B4A0A">
        <w:t>emphasizes</w:t>
      </w:r>
      <w:r w:rsidR="00011CE3">
        <w:t xml:space="preserve"> cognitive </w:t>
      </w:r>
      <w:r w:rsidR="006A7220">
        <w:t>restructuring</w:t>
      </w:r>
      <w:r w:rsidR="00011CE3">
        <w:t xml:space="preserve"> </w:t>
      </w:r>
      <w:r w:rsidR="00DC52BC">
        <w:t xml:space="preserve">along with </w:t>
      </w:r>
      <w:r w:rsidR="00011CE3">
        <w:t>behavioral activation</w:t>
      </w:r>
      <w:r w:rsidR="006A7220">
        <w:t xml:space="preserve"> techniques</w:t>
      </w:r>
      <w:r w:rsidR="00DC52BC">
        <w:t xml:space="preserve">. Another popular approach is </w:t>
      </w:r>
      <w:r w:rsidR="00011CE3">
        <w:t xml:space="preserve">acceptance and commitment therapy (ACT), which </w:t>
      </w:r>
      <w:r w:rsidR="004368A2">
        <w:t>focuses</w:t>
      </w:r>
      <w:r w:rsidR="00011CE3">
        <w:t xml:space="preserve"> on mindfulness and acceptance </w:t>
      </w:r>
      <w:r w:rsidR="004368A2">
        <w:t>practices</w:t>
      </w:r>
      <w:r w:rsidR="00011CE3">
        <w:t xml:space="preserve"> in addition to behavioral activation. ACT and tCBT approach the treatment of depression in distinct ways (A-Tjak et al., 2021). tCBT focuses on identifying and restructuring thoughts that contribute to cycles of depressed feelings </w:t>
      </w:r>
      <w:r w:rsidR="00011CE3">
        <w:lastRenderedPageBreak/>
        <w:t xml:space="preserve">and associated behaviors such as social withdrawal. Conversely, treatment using ACT brings awareness to the role of entanglement with depressive thoughts and feelings while teaching skills to engage in meaningful activities while still experiencing them. While both </w:t>
      </w:r>
      <w:r w:rsidR="007C297A">
        <w:t xml:space="preserve">self-help </w:t>
      </w:r>
      <w:r w:rsidR="00011CE3">
        <w:t>ACT (Sierra, 2018) and tCBT (</w:t>
      </w:r>
      <w:r w:rsidR="00DA1F02">
        <w:t>Webb, Rosso, &amp; Rauch, 2017</w:t>
      </w:r>
      <w:r w:rsidR="00011CE3">
        <w:t>)</w:t>
      </w:r>
      <w:r w:rsidR="00DA1F02">
        <w:t xml:space="preserve"> </w:t>
      </w:r>
      <w:r w:rsidR="00011CE3">
        <w:t>have shown effectiveness in treating depression, there is a lack of research comparing these approaches for college student</w:t>
      </w:r>
      <w:r w:rsidR="004368A2">
        <w:t xml:space="preserve">s </w:t>
      </w:r>
      <w:r w:rsidR="00011CE3">
        <w:t xml:space="preserve">specifically or examining the effects of allowing clients to choose between these two distinct approaches for their treatment. Prior research comparing ACT and tCBT suggest these approaches have </w:t>
      </w:r>
      <w:r w:rsidR="00DC52BC">
        <w:t>equivalent</w:t>
      </w:r>
      <w:r w:rsidR="00011CE3">
        <w:t xml:space="preserve"> positive effects on depression (Twohig &amp; Levin, 2017), raising the key question of whether it’s </w:t>
      </w:r>
      <w:r w:rsidR="000C4A08">
        <w:t>more important for clients to select a modality they personally prefer and are likely to commit to.</w:t>
      </w:r>
    </w:p>
    <w:p w14:paraId="7C52D3A3" w14:textId="36770795" w:rsidR="001D5C83" w:rsidRDefault="00316D6A" w:rsidP="0048763B">
      <w:pPr>
        <w:spacing w:line="480" w:lineRule="auto"/>
        <w:ind w:firstLine="720"/>
      </w:pPr>
      <w:r>
        <w:t>I</w:t>
      </w:r>
      <w:r w:rsidR="00AC7026">
        <w:t xml:space="preserve">n a meta-analysis of 53 in-person therapy trials, </w:t>
      </w:r>
      <w:r>
        <w:t>clients receiving their choice of therapy</w:t>
      </w:r>
      <w:r w:rsidR="00AC7026">
        <w:t xml:space="preserve"> had </w:t>
      </w:r>
      <w:r w:rsidR="00AD2AD3">
        <w:t xml:space="preserve">both lower </w:t>
      </w:r>
      <w:r w:rsidR="00AC7026">
        <w:t xml:space="preserve">rates of </w:t>
      </w:r>
      <w:r w:rsidR="00AD2AD3">
        <w:t>treatment dropout and better overall outcomes (</w:t>
      </w:r>
      <w:r w:rsidR="00AD2AD3" w:rsidRPr="00DB1690">
        <w:t>Swift et al., 2018</w:t>
      </w:r>
      <w:r w:rsidR="00AD2AD3">
        <w:t>).</w:t>
      </w:r>
      <w:r w:rsidR="00F00743">
        <w:t xml:space="preserve"> </w:t>
      </w:r>
      <w:r w:rsidR="001D5C83">
        <w:t xml:space="preserve">In </w:t>
      </w:r>
      <w:r>
        <w:t>a</w:t>
      </w:r>
      <w:r w:rsidR="001D5C83">
        <w:t xml:space="preserve"> recent study</w:t>
      </w:r>
      <w:r w:rsidR="00AA63CC">
        <w:t xml:space="preserve"> testing a tCBT intervention compared to yoga and stress education for generalized anxiety</w:t>
      </w:r>
      <w:r w:rsidR="001D5C83">
        <w:t xml:space="preserve">, </w:t>
      </w:r>
      <w:r w:rsidR="00AA63CC">
        <w:t>clients</w:t>
      </w:r>
      <w:r w:rsidR="001D5C83">
        <w:t xml:space="preserve"> were asked about their</w:t>
      </w:r>
      <w:r w:rsidR="00AA63CC">
        <w:t xml:space="preserve"> treatment</w:t>
      </w:r>
      <w:r w:rsidR="001D5C83">
        <w:t xml:space="preserve"> preference </w:t>
      </w:r>
      <w:r w:rsidR="00AA63CC">
        <w:t xml:space="preserve">prior to randomization </w:t>
      </w:r>
      <w:r w:rsidR="001D5C83">
        <w:t xml:space="preserve">but did not actually get to select their intervention. The effect of treatment preference differed by modality, with participants who did not receive their preference showing better outcomes if they were randomized to CBT, and participants who both preferred and received yoga more likely to </w:t>
      </w:r>
      <w:proofErr w:type="spellStart"/>
      <w:r w:rsidR="001D5C83">
        <w:t>dropout</w:t>
      </w:r>
      <w:proofErr w:type="spellEnd"/>
      <w:r w:rsidR="001D5C83">
        <w:t xml:space="preserve"> of treatment</w:t>
      </w:r>
      <w:r w:rsidR="00402FCC">
        <w:t xml:space="preserve"> (</w:t>
      </w:r>
      <w:proofErr w:type="spellStart"/>
      <w:r w:rsidR="00402FCC" w:rsidRPr="005835E7">
        <w:t>Szuhany</w:t>
      </w:r>
      <w:proofErr w:type="spellEnd"/>
      <w:r w:rsidR="00402FCC" w:rsidRPr="005835E7">
        <w:t xml:space="preserve"> et al., 2022</w:t>
      </w:r>
      <w:r w:rsidR="00402FCC">
        <w:t>)</w:t>
      </w:r>
      <w:r w:rsidR="001D5C83">
        <w:t>.</w:t>
      </w:r>
      <w:r w:rsidR="0048763B">
        <w:t xml:space="preserve"> </w:t>
      </w:r>
      <w:r w:rsidR="001D5C83">
        <w:t>Overall</w:t>
      </w:r>
      <w:r w:rsidR="00874AC4">
        <w:t xml:space="preserve">, there is a lack </w:t>
      </w:r>
      <w:r w:rsidR="00AA4E6A" w:rsidRPr="00AA4E6A">
        <w:t>of research</w:t>
      </w:r>
      <w:r w:rsidR="001D5C83">
        <w:t xml:space="preserve"> in which a choice of intervention is explicitly offered and compared to a randomized condition</w:t>
      </w:r>
      <w:r w:rsidR="005A1645">
        <w:t xml:space="preserve">, </w:t>
      </w:r>
      <w:r w:rsidR="00B03C87">
        <w:t>and</w:t>
      </w:r>
      <w:r w:rsidR="001D5C83">
        <w:t xml:space="preserve"> self-help treatments</w:t>
      </w:r>
      <w:r w:rsidR="00B03C87">
        <w:t xml:space="preserve"> are especially understudied </w:t>
      </w:r>
      <w:proofErr w:type="gramStart"/>
      <w:r w:rsidR="00B03C87">
        <w:t>in regards to</w:t>
      </w:r>
      <w:proofErr w:type="gramEnd"/>
      <w:r w:rsidR="00B03C87">
        <w:t xml:space="preserve"> client choice</w:t>
      </w:r>
      <w:r w:rsidR="00AA63CC">
        <w:t xml:space="preserve"> effects.</w:t>
      </w:r>
    </w:p>
    <w:p w14:paraId="3D0AA564" w14:textId="0B0EC48D" w:rsidR="00E26E3C" w:rsidRDefault="001D2D8C" w:rsidP="00011CE3">
      <w:pPr>
        <w:spacing w:line="480" w:lineRule="auto"/>
      </w:pPr>
      <w:r>
        <w:tab/>
      </w:r>
      <w:r w:rsidR="000A7E19">
        <w:t>The issue of client choice is also a</w:t>
      </w:r>
      <w:r>
        <w:t xml:space="preserve"> practical </w:t>
      </w:r>
      <w:r w:rsidR="000A7E19">
        <w:t>one</w:t>
      </w:r>
      <w:r>
        <w:t xml:space="preserve"> related to how self-help treatments are disseminated </w:t>
      </w:r>
      <w:r w:rsidR="000C4A08">
        <w:t>on college campuses</w:t>
      </w:r>
      <w:r>
        <w:t xml:space="preserve">. </w:t>
      </w:r>
      <w:r w:rsidR="000C4A08">
        <w:t xml:space="preserve">Universities </w:t>
      </w:r>
      <w:r w:rsidR="005878BF">
        <w:t>may debate</w:t>
      </w:r>
      <w:r w:rsidR="00F319D4">
        <w:t xml:space="preserve"> </w:t>
      </w:r>
      <w:r w:rsidR="005878BF">
        <w:t>which programs are most</w:t>
      </w:r>
      <w:r w:rsidR="00F319D4">
        <w:t xml:space="preserve"> </w:t>
      </w:r>
      <w:r w:rsidR="001F44BA">
        <w:t>worthwhile</w:t>
      </w:r>
      <w:r w:rsidR="00F319D4">
        <w:t xml:space="preserve"> </w:t>
      </w:r>
      <w:r w:rsidR="0068053E">
        <w:t xml:space="preserve">to give their students, </w:t>
      </w:r>
      <w:r w:rsidR="00F319D4">
        <w:t xml:space="preserve">or whether the more important factor is to offer a </w:t>
      </w:r>
      <w:r w:rsidR="0068053E">
        <w:t xml:space="preserve">variety of </w:t>
      </w:r>
      <w:r w:rsidR="0068053E">
        <w:lastRenderedPageBreak/>
        <w:t>choices</w:t>
      </w:r>
      <w:r>
        <w:t>.</w:t>
      </w:r>
      <w:r w:rsidR="00011CE3">
        <w:t xml:space="preserve"> </w:t>
      </w:r>
      <w:r w:rsidR="00A67D74">
        <w:t xml:space="preserve">Allowing </w:t>
      </w:r>
      <w:proofErr w:type="gramStart"/>
      <w:r w:rsidR="00A67D74">
        <w:t>clients</w:t>
      </w:r>
      <w:proofErr w:type="gramEnd"/>
      <w:r w:rsidR="00A67D74">
        <w:t xml:space="preserve"> a choice of treatment is</w:t>
      </w:r>
      <w:r w:rsidR="00925D81">
        <w:t xml:space="preserve"> a common clinical </w:t>
      </w:r>
      <w:r w:rsidR="00C17A24">
        <w:t>perspective</w:t>
      </w:r>
      <w:r w:rsidR="00925D81">
        <w:t>, but one rarely tested empirically.</w:t>
      </w:r>
      <w:r w:rsidR="00A12995">
        <w:t xml:space="preserve"> </w:t>
      </w:r>
      <w:r w:rsidR="00F130C1">
        <w:t>Clarifying the role of this overlooked component</w:t>
      </w:r>
      <w:r w:rsidR="00E65DDB">
        <w:t xml:space="preserve"> of self-help implementation (i.e., whether to assign a specific resource or give a choice between resources)</w:t>
      </w:r>
      <w:r w:rsidR="0067775E">
        <w:t>, such as whether it may increase adherence and outcomes,</w:t>
      </w:r>
      <w:r w:rsidR="00F130C1">
        <w:t xml:space="preserve"> would help in delivering the most effective care to college students and other populations with a high need for support but limited resources.</w:t>
      </w:r>
      <w:r w:rsidR="00925D81">
        <w:t xml:space="preserve"> </w:t>
      </w:r>
    </w:p>
    <w:p w14:paraId="6B32604C" w14:textId="68C4A5DB" w:rsidR="009306CB" w:rsidRDefault="00AA4E6A" w:rsidP="00DC4585">
      <w:pPr>
        <w:spacing w:line="480" w:lineRule="auto"/>
      </w:pPr>
      <w:r>
        <w:t xml:space="preserve"> </w:t>
      </w:r>
      <w:r w:rsidR="004B685D">
        <w:tab/>
      </w:r>
      <w:r w:rsidR="00234995">
        <w:t xml:space="preserve">The present study tested the feasibility, acceptability, and efficacy of ACT and </w:t>
      </w:r>
      <w:r w:rsidR="00E65DDB">
        <w:t>t</w:t>
      </w:r>
      <w:r w:rsidR="00234995">
        <w:t>CBT self-help books for depression</w:t>
      </w:r>
      <w:r w:rsidR="00CE0996">
        <w:t>, accessed through the university’s online library,</w:t>
      </w:r>
      <w:r w:rsidR="00234995">
        <w:t xml:space="preserve"> in a </w:t>
      </w:r>
      <w:r w:rsidR="00BD1396">
        <w:t xml:space="preserve">randomized trial with </w:t>
      </w:r>
      <w:r w:rsidR="0067775E">
        <w:t>college</w:t>
      </w:r>
      <w:r w:rsidR="00BD1396">
        <w:t xml:space="preserve"> students.</w:t>
      </w:r>
      <w:r w:rsidR="00234995">
        <w:t xml:space="preserve"> </w:t>
      </w:r>
      <w:r w:rsidR="00BD1396">
        <w:t>Specifically</w:t>
      </w:r>
      <w:r w:rsidR="00234995">
        <w:t xml:space="preserve">, we </w:t>
      </w:r>
      <w:r w:rsidR="00C16583">
        <w:t xml:space="preserve">examined the role of client choice on </w:t>
      </w:r>
      <w:r w:rsidR="0067775E">
        <w:t xml:space="preserve">treatment </w:t>
      </w:r>
      <w:r w:rsidR="00C16583">
        <w:t>adherence and clinical outcomes</w:t>
      </w:r>
      <w:r w:rsidR="007B58DF">
        <w:t xml:space="preserve"> by including an experimental </w:t>
      </w:r>
      <w:r w:rsidR="00E65DDB">
        <w:t xml:space="preserve">condition </w:t>
      </w:r>
      <w:r w:rsidR="000E67BD">
        <w:t xml:space="preserve">in which participants </w:t>
      </w:r>
      <w:r w:rsidR="0067775E">
        <w:t>were</w:t>
      </w:r>
      <w:r w:rsidR="007B58DF">
        <w:t xml:space="preserve"> allowed to choose their </w:t>
      </w:r>
      <w:r w:rsidR="00417346">
        <w:t>treatment</w:t>
      </w:r>
      <w:r w:rsidR="00E65DDB">
        <w:t>, relative to conditions where either ACT or tCBT was randomly assigned</w:t>
      </w:r>
      <w:r w:rsidR="00234995">
        <w:t xml:space="preserve">. </w:t>
      </w:r>
      <w:r w:rsidR="008C50F6">
        <w:t xml:space="preserve">We predicted that students who had </w:t>
      </w:r>
      <w:r w:rsidR="0067775E">
        <w:t>a</w:t>
      </w:r>
      <w:r w:rsidR="008C50F6">
        <w:t xml:space="preserve"> choice of intervention would show greater adherence than those who were randomized</w:t>
      </w:r>
      <w:r w:rsidR="00AA2875">
        <w:t>, as well as greater satisfaction with their book</w:t>
      </w:r>
      <w:r w:rsidR="008C50F6">
        <w:t>.</w:t>
      </w:r>
      <w:r w:rsidR="00C529BE">
        <w:t xml:space="preserve"> </w:t>
      </w:r>
      <w:r w:rsidR="00925D81">
        <w:t>Based on prior research comparing ACT and tCBT for depression (Twohig &amp; Levin, 2017), w</w:t>
      </w:r>
      <w:r w:rsidR="00D42D89">
        <w:t xml:space="preserve">e </w:t>
      </w:r>
      <w:r w:rsidR="00925D81">
        <w:t xml:space="preserve">predicted </w:t>
      </w:r>
      <w:r w:rsidR="00D42D89">
        <w:t xml:space="preserve">that </w:t>
      </w:r>
      <w:r w:rsidR="00F17027">
        <w:t xml:space="preserve">we would not observe significant differences on </w:t>
      </w:r>
      <w:r w:rsidR="00D42D89">
        <w:t>clinical outcomes</w:t>
      </w:r>
      <w:r w:rsidR="00F17027">
        <w:t xml:space="preserve"> based on the intervention itself (ACT or </w:t>
      </w:r>
      <w:r w:rsidR="00AC7026">
        <w:t>t</w:t>
      </w:r>
      <w:r w:rsidR="00F17027">
        <w:t>CBT)</w:t>
      </w:r>
      <w:r w:rsidR="00925D81">
        <w:t xml:space="preserve">, but rather depression </w:t>
      </w:r>
      <w:r w:rsidR="00C17A24">
        <w:t xml:space="preserve">(primary outcome) and anxiety symptoms (secondary outcome) </w:t>
      </w:r>
      <w:r w:rsidR="00925D81">
        <w:t>would improve over time in both conditions</w:t>
      </w:r>
      <w:r w:rsidR="00D42D89">
        <w:t xml:space="preserve">. </w:t>
      </w:r>
      <w:r w:rsidR="008F6717">
        <w:t>We</w:t>
      </w:r>
      <w:r w:rsidR="00D42D89">
        <w:t xml:space="preserve"> predicted</w:t>
      </w:r>
      <w:r w:rsidR="008F6717">
        <w:t>, however,</w:t>
      </w:r>
      <w:r w:rsidR="00D42D89">
        <w:t xml:space="preserve"> that having a choice of book would lead to greater improvements in depression and anxiety </w:t>
      </w:r>
      <w:r w:rsidR="008F6717">
        <w:t xml:space="preserve">for both interventions </w:t>
      </w:r>
      <w:r w:rsidR="00D42D89">
        <w:t>compared to randomized students.</w:t>
      </w:r>
      <w:r w:rsidR="00925D81">
        <w:t xml:space="preserve">  </w:t>
      </w:r>
    </w:p>
    <w:p w14:paraId="0D862FF8" w14:textId="0ABF8FD6" w:rsidR="009306CB" w:rsidRPr="009306CB" w:rsidRDefault="009306CB" w:rsidP="009306CB">
      <w:pPr>
        <w:spacing w:line="480" w:lineRule="auto"/>
        <w:jc w:val="center"/>
        <w:rPr>
          <w:b/>
          <w:bCs/>
        </w:rPr>
      </w:pPr>
      <w:r w:rsidRPr="009306CB">
        <w:rPr>
          <w:b/>
          <w:bCs/>
        </w:rPr>
        <w:t>Methods</w:t>
      </w:r>
    </w:p>
    <w:p w14:paraId="71FDC481" w14:textId="123370FA" w:rsidR="009306CB" w:rsidRPr="006A42F5" w:rsidRDefault="00B42EEB" w:rsidP="009306CB">
      <w:pPr>
        <w:spacing w:line="480" w:lineRule="auto"/>
        <w:rPr>
          <w:b/>
          <w:bCs/>
        </w:rPr>
      </w:pPr>
      <w:r w:rsidRPr="006A42F5">
        <w:rPr>
          <w:b/>
          <w:bCs/>
        </w:rPr>
        <w:t>Participants</w:t>
      </w:r>
    </w:p>
    <w:p w14:paraId="5A81D713" w14:textId="74C53334" w:rsidR="00B42EEB" w:rsidRDefault="00D25202" w:rsidP="009F7FA5">
      <w:pPr>
        <w:spacing w:line="480" w:lineRule="auto"/>
        <w:ind w:firstLine="720"/>
      </w:pPr>
      <w:r>
        <w:t>We recruited a</w:t>
      </w:r>
      <w:r w:rsidR="00B42EEB" w:rsidRPr="00B42EEB">
        <w:t xml:space="preserve"> sample of 142 students who met the following criteria: 1) 18 years of age or older</w:t>
      </w:r>
      <w:r>
        <w:t>;</w:t>
      </w:r>
      <w:r w:rsidR="00B42EEB" w:rsidRPr="00B42EEB">
        <w:t xml:space="preserve"> 2) being a current student at the authors’ university</w:t>
      </w:r>
      <w:r w:rsidR="00417346">
        <w:t xml:space="preserve"> in the Mountain West region of the USA</w:t>
      </w:r>
      <w:r>
        <w:t>;</w:t>
      </w:r>
      <w:r w:rsidR="00B42EEB" w:rsidRPr="00B42EEB">
        <w:t xml:space="preserve"> 3) not having participated in previous self-help studies conducted by the authors</w:t>
      </w:r>
      <w:r>
        <w:t>;</w:t>
      </w:r>
      <w:r w:rsidR="00B42EEB" w:rsidRPr="00B42EEB">
        <w:t xml:space="preserve"> 4) being </w:t>
      </w:r>
      <w:r w:rsidR="00B42EEB" w:rsidRPr="00B42EEB">
        <w:lastRenderedPageBreak/>
        <w:t xml:space="preserve">interested in </w:t>
      </w:r>
      <w:r w:rsidR="00EF3E29">
        <w:t>using</w:t>
      </w:r>
      <w:r w:rsidR="00B42EEB" w:rsidRPr="00B42EEB">
        <w:t xml:space="preserve"> a self-help book</w:t>
      </w:r>
      <w:r>
        <w:t xml:space="preserve">; </w:t>
      </w:r>
      <w:r w:rsidR="00B42EEB" w:rsidRPr="00B42EEB">
        <w:t>and 5) scoring at least a 10 on the depression subscale of the Depression, Anxiety, and Stress Scale-21 (DASS-21</w:t>
      </w:r>
      <w:r w:rsidR="0059663E">
        <w:t xml:space="preserve">; </w:t>
      </w:r>
      <w:r w:rsidR="0059663E" w:rsidRPr="00B42EEB">
        <w:rPr>
          <w:noProof/>
        </w:rPr>
        <w:t>Lovibond &amp; Lovibond, 1995</w:t>
      </w:r>
      <w:r w:rsidR="00B42EEB" w:rsidRPr="00B42EEB">
        <w:t>), which is the cutoff for moderate depression</w:t>
      </w:r>
      <w:r w:rsidR="0059663E">
        <w:t xml:space="preserve">. </w:t>
      </w:r>
      <w:r w:rsidR="009F7FA5">
        <w:t xml:space="preserve">The most common referral source was an </w:t>
      </w:r>
      <w:r w:rsidR="009F7FA5" w:rsidRPr="00B42EEB">
        <w:t>online university research study pool</w:t>
      </w:r>
      <w:r w:rsidR="009F7FA5">
        <w:t xml:space="preserve"> (37.6%) followed by </w:t>
      </w:r>
      <w:r w:rsidR="009F7FA5" w:rsidRPr="00B42EEB">
        <w:t>advertisements on an online student portal</w:t>
      </w:r>
      <w:r w:rsidR="009F7FA5">
        <w:t xml:space="preserve"> (36.2%). Other sources (26.2%) included </w:t>
      </w:r>
      <w:r w:rsidR="009F7FA5" w:rsidRPr="00B42EEB">
        <w:t>community flyers, class announcements, and referrals from campus providers</w:t>
      </w:r>
      <w:r w:rsidR="009F7FA5">
        <w:t xml:space="preserve">. </w:t>
      </w:r>
      <w:r w:rsidR="00B42EEB" w:rsidRPr="00B42EEB">
        <w:t>Students had the option to receive research participation credits for joining the study. Recruitment took place over 13 months from January 2019 through February 2020. Three participants were removed</w:t>
      </w:r>
      <w:r w:rsidR="00B9031A">
        <w:t xml:space="preserve"> from analysis</w:t>
      </w:r>
      <w:r w:rsidR="00B42EEB" w:rsidRPr="00B42EEB">
        <w:t xml:space="preserve"> who self-identified as randomly responding to half or more questions</w:t>
      </w:r>
      <w:r w:rsidR="00496F84">
        <w:t xml:space="preserve"> on any survey</w:t>
      </w:r>
      <w:r w:rsidR="00B42EEB" w:rsidRPr="00B42EEB">
        <w:t>, leaving a final sample of 139 students for analysis (see Figure 1 for participant flowchart).</w:t>
      </w:r>
    </w:p>
    <w:p w14:paraId="77F7C98A" w14:textId="6BB95DE9" w:rsidR="00D25202" w:rsidRPr="006A42F5" w:rsidRDefault="00D25202" w:rsidP="009306CB">
      <w:pPr>
        <w:spacing w:line="480" w:lineRule="auto"/>
        <w:rPr>
          <w:b/>
          <w:bCs/>
        </w:rPr>
      </w:pPr>
      <w:r w:rsidRPr="006A42F5">
        <w:rPr>
          <w:b/>
          <w:bCs/>
        </w:rPr>
        <w:t>Procedures</w:t>
      </w:r>
    </w:p>
    <w:p w14:paraId="30D25109" w14:textId="45293676" w:rsidR="008D6063" w:rsidRDefault="00D25202" w:rsidP="006872A6">
      <w:pPr>
        <w:spacing w:line="480" w:lineRule="auto"/>
        <w:ind w:firstLine="720"/>
      </w:pPr>
      <w:r w:rsidRPr="00D25202">
        <w:t>The study was preregistered through ClinicalTrials.gov (</w:t>
      </w:r>
      <w:r w:rsidRPr="00D25202">
        <w:rPr>
          <w:i/>
          <w:iCs/>
          <w:color w:val="000000"/>
          <w:shd w:val="clear" w:color="auto" w:fill="FFFFFF"/>
        </w:rPr>
        <w:t xml:space="preserve">identifier removed for </w:t>
      </w:r>
      <w:r w:rsidR="008829B8">
        <w:rPr>
          <w:i/>
          <w:iCs/>
          <w:color w:val="000000"/>
          <w:shd w:val="clear" w:color="auto" w:fill="FFFFFF"/>
        </w:rPr>
        <w:t>masked</w:t>
      </w:r>
      <w:r w:rsidR="008829B8" w:rsidRPr="00D25202">
        <w:rPr>
          <w:i/>
          <w:iCs/>
          <w:color w:val="000000"/>
          <w:shd w:val="clear" w:color="auto" w:fill="FFFFFF"/>
        </w:rPr>
        <w:t xml:space="preserve"> </w:t>
      </w:r>
      <w:r w:rsidRPr="00D25202">
        <w:rPr>
          <w:i/>
          <w:iCs/>
          <w:color w:val="000000"/>
          <w:shd w:val="clear" w:color="auto" w:fill="FFFFFF"/>
        </w:rPr>
        <w:t>review</w:t>
      </w:r>
      <w:r w:rsidRPr="00D25202">
        <w:rPr>
          <w:color w:val="000000"/>
          <w:shd w:val="clear" w:color="auto" w:fill="FFFFFF"/>
        </w:rPr>
        <w:t>). All procedures were</w:t>
      </w:r>
      <w:r w:rsidRPr="00D25202">
        <w:t xml:space="preserve"> completed online</w:t>
      </w:r>
      <w:r w:rsidR="0067775E">
        <w:t xml:space="preserve">, including assessments as well as access to self-help eBooks provided by the </w:t>
      </w:r>
      <w:r w:rsidR="00CE0996">
        <w:t xml:space="preserve">university </w:t>
      </w:r>
      <w:r w:rsidR="0067775E">
        <w:t>library</w:t>
      </w:r>
      <w:r w:rsidRPr="00D25202">
        <w:t xml:space="preserve">. </w:t>
      </w:r>
      <w:r w:rsidR="00A11E56">
        <w:t>A</w:t>
      </w:r>
      <w:r w:rsidR="00A11E56">
        <w:t xml:space="preserve">ssessments were administered through Qualtrics, a secure online survey platform. </w:t>
      </w:r>
      <w:r w:rsidRPr="00D25202">
        <w:t>After completing informed consent, students completed a questionnaire to determine eligibility</w:t>
      </w:r>
      <w:r w:rsidR="00A11E56">
        <w:t>, followed by a baseline assessment.</w:t>
      </w:r>
      <w:r w:rsidRPr="00D25202">
        <w:t xml:space="preserve"> Following baseline, participants were </w:t>
      </w:r>
      <w:r w:rsidR="00D95764">
        <w:t xml:space="preserve">automatically </w:t>
      </w:r>
      <w:r w:rsidRPr="00D25202">
        <w:t xml:space="preserve">randomized </w:t>
      </w:r>
      <w:r w:rsidR="008D6063">
        <w:t xml:space="preserve">through </w:t>
      </w:r>
      <w:r w:rsidR="00D95764">
        <w:t xml:space="preserve">Qualtrics in blocks of </w:t>
      </w:r>
      <w:r w:rsidR="004A14DD">
        <w:t>nine</w:t>
      </w:r>
      <w:r w:rsidR="00D95764">
        <w:t xml:space="preserve"> with a </w:t>
      </w:r>
      <w:r w:rsidR="004A14DD">
        <w:t>3</w:t>
      </w:r>
      <w:r w:rsidR="00D95764">
        <w:t>:</w:t>
      </w:r>
      <w:r w:rsidR="004A14DD">
        <w:t>3</w:t>
      </w:r>
      <w:r w:rsidR="00D95764">
        <w:t>:</w:t>
      </w:r>
      <w:r w:rsidR="004A14DD">
        <w:t>3</w:t>
      </w:r>
      <w:r w:rsidR="00D95764">
        <w:t xml:space="preserve"> allocation ratio to </w:t>
      </w:r>
      <w:r w:rsidR="00D95764" w:rsidRPr="00D25202">
        <w:t xml:space="preserve">one of </w:t>
      </w:r>
      <w:r w:rsidR="002D2BB6">
        <w:t>the following conditions</w:t>
      </w:r>
      <w:r w:rsidR="00D95764" w:rsidRPr="00D25202">
        <w:t xml:space="preserve">: an ACT book, a </w:t>
      </w:r>
      <w:r w:rsidR="00D95764">
        <w:t>t</w:t>
      </w:r>
      <w:r w:rsidR="00D95764" w:rsidRPr="00D25202">
        <w:t>CBT book, or a choice between the two books.</w:t>
      </w:r>
      <w:r w:rsidR="002D2BB6">
        <w:t xml:space="preserve"> In Qualtrics, block </w:t>
      </w:r>
      <w:r w:rsidR="00104288">
        <w:t>randomization</w:t>
      </w:r>
      <w:r w:rsidR="002D2BB6">
        <w:t xml:space="preserve"> is conducted by </w:t>
      </w:r>
      <w:r w:rsidR="00AD5015">
        <w:t xml:space="preserve">computerized </w:t>
      </w:r>
      <w:r w:rsidR="002D2BB6">
        <w:t xml:space="preserve">random number </w:t>
      </w:r>
      <w:r w:rsidR="004E4980">
        <w:t xml:space="preserve">generation and </w:t>
      </w:r>
      <w:r w:rsidR="00104288">
        <w:t xml:space="preserve">allocation is </w:t>
      </w:r>
      <w:r w:rsidR="002D2BB6">
        <w:t>concealed to the researcher. Participants were not masked to condition considering that they were implicitly aware of which book they received (or</w:t>
      </w:r>
      <w:r w:rsidR="00AD5015">
        <w:t xml:space="preserve"> if they had the choice of book</w:t>
      </w:r>
      <w:r w:rsidR="002D2BB6">
        <w:t xml:space="preserve">) and all questionnaires were completed through online self-report and without </w:t>
      </w:r>
      <w:r w:rsidR="002D2BB6">
        <w:lastRenderedPageBreak/>
        <w:t>researcher supervision.</w:t>
      </w:r>
      <w:r w:rsidR="00104288">
        <w:t xml:space="preserve"> Potential baseline differences between groups were tested to confirm that randomization was successful.</w:t>
      </w:r>
    </w:p>
    <w:p w14:paraId="1AC23014" w14:textId="1365B051" w:rsidR="004A0F21" w:rsidRDefault="00D25202" w:rsidP="00AD5015">
      <w:pPr>
        <w:spacing w:line="480" w:lineRule="auto"/>
        <w:ind w:firstLine="720"/>
      </w:pPr>
      <w:r w:rsidRPr="00D25202">
        <w:t>Students in the choice condition were presented with a brief description of each book</w:t>
      </w:r>
      <w:r w:rsidR="004A0F21">
        <w:t xml:space="preserve"> </w:t>
      </w:r>
      <w:r w:rsidR="00837008">
        <w:t xml:space="preserve">(see supplemental materials) </w:t>
      </w:r>
      <w:r w:rsidRPr="00D25202">
        <w:t xml:space="preserve">and were asked to select one to use for the study. Thus, four groups of </w:t>
      </w:r>
      <w:r w:rsidR="00AD5015">
        <w:t>participants</w:t>
      </w:r>
      <w:r w:rsidR="00AD5015" w:rsidRPr="00D25202">
        <w:t xml:space="preserve"> </w:t>
      </w:r>
      <w:r w:rsidRPr="00D25202">
        <w:t xml:space="preserve">were ultimately created: ACT-Randomized, ACT-Choice, </w:t>
      </w:r>
      <w:r w:rsidR="00333F79">
        <w:t>t</w:t>
      </w:r>
      <w:r w:rsidRPr="00D25202">
        <w:t xml:space="preserve">CBT-Randomized, and </w:t>
      </w:r>
      <w:r w:rsidR="00333F79">
        <w:t>t</w:t>
      </w:r>
      <w:r w:rsidRPr="00D25202">
        <w:t xml:space="preserve">CBT-Choice. </w:t>
      </w:r>
      <w:r w:rsidR="00EF3E29">
        <w:t>S</w:t>
      </w:r>
      <w:r w:rsidRPr="00D25202">
        <w:t xml:space="preserve">tudents </w:t>
      </w:r>
      <w:r w:rsidR="00EF3E29">
        <w:t xml:space="preserve">were given a </w:t>
      </w:r>
      <w:r w:rsidRPr="00D25202">
        <w:t xml:space="preserve">10-week reading schedule which </w:t>
      </w:r>
      <w:r w:rsidR="00EF3E29">
        <w:t>designated</w:t>
      </w:r>
      <w:r w:rsidRPr="00D25202">
        <w:t xml:space="preserve"> 1-2 new chapters each week.</w:t>
      </w:r>
      <w:r w:rsidR="002023BC">
        <w:t xml:space="preserve"> Both books were delivered in the same eBook format through the university library.</w:t>
      </w:r>
      <w:r w:rsidR="00D040F3">
        <w:t xml:space="preserve"> Students were asked to not use other self-help resources during the study, but they could participate in face-to-face therapy.</w:t>
      </w:r>
      <w:r w:rsidRPr="00D25202">
        <w:t xml:space="preserve"> </w:t>
      </w:r>
      <w:r w:rsidR="00CF48B4">
        <w:t>We</w:t>
      </w:r>
      <w:r w:rsidR="00F82606">
        <w:t xml:space="preserve"> contacted participants via email twice per week</w:t>
      </w:r>
      <w:r w:rsidR="00F82606" w:rsidRPr="00D25202">
        <w:t xml:space="preserve"> to </w:t>
      </w:r>
      <w:r w:rsidR="00F82606">
        <w:t>prompt</w:t>
      </w:r>
      <w:r w:rsidR="00F82606" w:rsidRPr="00D25202">
        <w:t xml:space="preserve"> </w:t>
      </w:r>
      <w:r w:rsidR="00F82606">
        <w:t>them to read that week’s chapters.</w:t>
      </w:r>
    </w:p>
    <w:p w14:paraId="30807696" w14:textId="257A1692" w:rsidR="004A0F21" w:rsidRPr="008B4A0A" w:rsidRDefault="004A0F21" w:rsidP="004A0F21">
      <w:pPr>
        <w:spacing w:line="480" w:lineRule="auto"/>
        <w:rPr>
          <w:b/>
          <w:bCs/>
        </w:rPr>
      </w:pPr>
      <w:r w:rsidRPr="008B4A0A">
        <w:rPr>
          <w:b/>
          <w:bCs/>
        </w:rPr>
        <w:t>Interventions</w:t>
      </w:r>
    </w:p>
    <w:p w14:paraId="2419AA92" w14:textId="7337F2DA" w:rsidR="00512D34" w:rsidRPr="00512D34" w:rsidRDefault="00F96BEF" w:rsidP="00316D6A">
      <w:pPr>
        <w:spacing w:line="480" w:lineRule="auto"/>
        <w:ind w:firstLine="720"/>
      </w:pPr>
      <w:r>
        <w:rPr>
          <w:iCs/>
        </w:rPr>
        <w:t xml:space="preserve">Students who chose or were randomized to ACT used </w:t>
      </w:r>
      <w:r w:rsidR="00D25202" w:rsidRPr="00D25202">
        <w:rPr>
          <w:i/>
        </w:rPr>
        <w:t xml:space="preserve">The Mindfulness and Acceptance Workbook for Depression: Using Acceptance and Commitment Therapy to Move Through Depression and Create a Life Worth Living </w:t>
      </w:r>
      <w:r w:rsidR="00D25202" w:rsidRPr="00D25202">
        <w:rPr>
          <w:noProof/>
        </w:rPr>
        <w:t>(Strosahl &amp; Robinson, 2008)</w:t>
      </w:r>
      <w:r>
        <w:t xml:space="preserve">. Participants who chose or were randomly assigned </w:t>
      </w:r>
      <w:r w:rsidR="00837008">
        <w:t>to</w:t>
      </w:r>
      <w:r>
        <w:t xml:space="preserve"> </w:t>
      </w:r>
      <w:r w:rsidR="00333F79">
        <w:t>t</w:t>
      </w:r>
      <w:r>
        <w:t xml:space="preserve">CBT read </w:t>
      </w:r>
      <w:r w:rsidR="00D25202" w:rsidRPr="00D25202">
        <w:rPr>
          <w:i/>
          <w:iCs/>
        </w:rPr>
        <w:t xml:space="preserve">The Cognitive Behavioral Workbook for Depression: A Step-by-Step Guide to Overcoming Depression </w:t>
      </w:r>
      <w:r w:rsidR="00D25202" w:rsidRPr="00D25202">
        <w:rPr>
          <w:iCs/>
          <w:noProof/>
        </w:rPr>
        <w:t>(Knaus, 2006)</w:t>
      </w:r>
      <w:r>
        <w:t xml:space="preserve">. </w:t>
      </w:r>
      <w:r w:rsidR="00316D6A">
        <w:t xml:space="preserve"> </w:t>
      </w:r>
      <w:r w:rsidR="00512D34">
        <w:t xml:space="preserve">While the two books diverged on therapeutic approach, they were comparable on </w:t>
      </w:r>
      <w:r w:rsidR="004C72D7">
        <w:t>other factors</w:t>
      </w:r>
      <w:r w:rsidR="00512D34">
        <w:t>. The books were nearly equal in length (328 pages for ACT, 336 pages for tCBT), and while the tCBT book contained more chapters than ACT, our reading schedule was designed so that the total number of pages students read each week was nearly equivalent.</w:t>
      </w:r>
      <w:r w:rsidR="004C72D7">
        <w:t xml:space="preserve"> Additionally, both books were from the same publisher</w:t>
      </w:r>
      <w:r w:rsidR="00572404">
        <w:t xml:space="preserve"> </w:t>
      </w:r>
      <w:r w:rsidR="004C72D7">
        <w:t xml:space="preserve">and </w:t>
      </w:r>
      <w:r w:rsidR="00EF3E29">
        <w:t>used a similar format in presenting</w:t>
      </w:r>
      <w:r w:rsidR="004C72D7">
        <w:t xml:space="preserve"> ACT or tCBT coping skills</w:t>
      </w:r>
      <w:r w:rsidR="00316D6A">
        <w:t>.</w:t>
      </w:r>
    </w:p>
    <w:p w14:paraId="787A5D2F" w14:textId="095CEF7C" w:rsidR="00F96BEF" w:rsidRPr="006A42F5" w:rsidRDefault="00F96BEF" w:rsidP="00512D34">
      <w:pPr>
        <w:spacing w:line="480" w:lineRule="auto"/>
        <w:rPr>
          <w:b/>
          <w:bCs/>
        </w:rPr>
      </w:pPr>
      <w:r w:rsidRPr="006A42F5">
        <w:rPr>
          <w:b/>
          <w:bCs/>
        </w:rPr>
        <w:t>Measures</w:t>
      </w:r>
    </w:p>
    <w:p w14:paraId="7D755C8E" w14:textId="6EA96DC5" w:rsidR="006A42F5" w:rsidRDefault="00D25202" w:rsidP="006872A6">
      <w:pPr>
        <w:spacing w:line="480" w:lineRule="auto"/>
        <w:ind w:firstLine="720"/>
      </w:pPr>
      <w:r w:rsidRPr="00D25202">
        <w:lastRenderedPageBreak/>
        <w:t>Students were sent a midtreatment survey 5 weeks after baseline, a posttreatment assessment 10 weeks after baseline, and a final follow-up survey 3 months following posttreatment (22 weeks after baseline).</w:t>
      </w:r>
      <w:r w:rsidR="00CF48B4">
        <w:t xml:space="preserve"> Participants received multiple email and phone prompts to complete study assessments.</w:t>
      </w:r>
    </w:p>
    <w:p w14:paraId="586510AE" w14:textId="7A012127" w:rsidR="006A42F5" w:rsidRPr="006A42F5" w:rsidRDefault="006A42F5" w:rsidP="006A42F5">
      <w:pPr>
        <w:spacing w:line="480" w:lineRule="auto"/>
        <w:rPr>
          <w:b/>
          <w:bCs/>
          <w:i/>
          <w:iCs/>
        </w:rPr>
      </w:pPr>
      <w:r>
        <w:rPr>
          <w:b/>
          <w:bCs/>
          <w:i/>
          <w:iCs/>
        </w:rPr>
        <w:t>Adherence</w:t>
      </w:r>
      <w:r w:rsidR="00AA2875">
        <w:rPr>
          <w:b/>
          <w:bCs/>
          <w:i/>
          <w:iCs/>
        </w:rPr>
        <w:t xml:space="preserve"> and satisfaction</w:t>
      </w:r>
    </w:p>
    <w:p w14:paraId="54F2565F" w14:textId="76270060" w:rsidR="006A42F5" w:rsidRDefault="00CF48B4" w:rsidP="006872A6">
      <w:pPr>
        <w:spacing w:line="480" w:lineRule="auto"/>
        <w:ind w:firstLine="720"/>
      </w:pPr>
      <w:r w:rsidRPr="00B32ABA">
        <w:t xml:space="preserve">Adherence to interventions was </w:t>
      </w:r>
      <w:r>
        <w:t xml:space="preserve">assessed from </w:t>
      </w:r>
      <w:r w:rsidRPr="00B32ABA">
        <w:t xml:space="preserve">participants’ self-reported </w:t>
      </w:r>
      <w:r>
        <w:t>number</w:t>
      </w:r>
      <w:r w:rsidRPr="00B32ABA">
        <w:t xml:space="preserve"> of chapters read</w:t>
      </w:r>
      <w:r>
        <w:t xml:space="preserve"> at posttreatment, which we</w:t>
      </w:r>
      <w:r w:rsidR="00D9299B">
        <w:t>re</w:t>
      </w:r>
      <w:r>
        <w:t xml:space="preserve"> then converted to a percentage out of the total number of chapters in their assigned book.</w:t>
      </w:r>
      <w:r w:rsidR="001A0493" w:rsidRPr="001A0493">
        <w:t xml:space="preserve"> </w:t>
      </w:r>
      <w:r w:rsidR="001A0493">
        <w:t xml:space="preserve">Students </w:t>
      </w:r>
      <w:r w:rsidR="008E197F">
        <w:t xml:space="preserve">additionally </w:t>
      </w:r>
      <w:r w:rsidR="001A0493">
        <w:t xml:space="preserve">rated </w:t>
      </w:r>
      <w:r w:rsidR="008E197F">
        <w:t xml:space="preserve">their satisfaction with </w:t>
      </w:r>
      <w:r w:rsidR="001A0493">
        <w:t>various aspects of the intervention</w:t>
      </w:r>
      <w:r w:rsidR="001A0493" w:rsidRPr="001A0493">
        <w:t xml:space="preserve"> on a 6-point scale from “Strongly disagree” to “Strongly agree</w:t>
      </w:r>
      <w:r w:rsidR="001A0493">
        <w:t xml:space="preserve">,” with </w:t>
      </w:r>
      <w:r w:rsidR="001A0493" w:rsidRPr="001A0493">
        <w:t xml:space="preserve">items used </w:t>
      </w:r>
      <w:r w:rsidR="001A0493">
        <w:t xml:space="preserve">previously </w:t>
      </w:r>
      <w:r w:rsidR="001A0493" w:rsidRPr="001A0493">
        <w:t xml:space="preserve">to evaluate program </w:t>
      </w:r>
      <w:r w:rsidR="008E197F">
        <w:t xml:space="preserve">acceptability </w:t>
      </w:r>
      <w:r w:rsidR="00D9299B">
        <w:t>with</w:t>
      </w:r>
      <w:r w:rsidR="00D9299B" w:rsidRPr="001A0493">
        <w:t xml:space="preserve"> </w:t>
      </w:r>
      <w:r w:rsidR="008E197F">
        <w:t>online self-help</w:t>
      </w:r>
      <w:r w:rsidR="001A0493" w:rsidRPr="001A0493">
        <w:t xml:space="preserve"> (Krafft et al., 2020; Levin et al., 2020).</w:t>
      </w:r>
    </w:p>
    <w:p w14:paraId="402F4466" w14:textId="4C17E4E2" w:rsidR="006A42F5" w:rsidRPr="006A42F5" w:rsidRDefault="006A42F5" w:rsidP="006A42F5">
      <w:pPr>
        <w:spacing w:line="480" w:lineRule="auto"/>
        <w:rPr>
          <w:b/>
          <w:bCs/>
          <w:i/>
          <w:iCs/>
        </w:rPr>
      </w:pPr>
      <w:r>
        <w:rPr>
          <w:b/>
          <w:bCs/>
          <w:i/>
          <w:iCs/>
        </w:rPr>
        <w:t xml:space="preserve">Mental </w:t>
      </w:r>
      <w:r w:rsidR="00AA2875">
        <w:rPr>
          <w:b/>
          <w:bCs/>
          <w:i/>
          <w:iCs/>
        </w:rPr>
        <w:t>h</w:t>
      </w:r>
      <w:r>
        <w:rPr>
          <w:b/>
          <w:bCs/>
          <w:i/>
          <w:iCs/>
        </w:rPr>
        <w:t xml:space="preserve">ealth </w:t>
      </w:r>
      <w:r w:rsidR="00AA2875">
        <w:rPr>
          <w:b/>
          <w:bCs/>
          <w:i/>
          <w:iCs/>
        </w:rPr>
        <w:t>o</w:t>
      </w:r>
      <w:r>
        <w:rPr>
          <w:b/>
          <w:bCs/>
          <w:i/>
          <w:iCs/>
        </w:rPr>
        <w:t>utcomes</w:t>
      </w:r>
    </w:p>
    <w:p w14:paraId="39639207" w14:textId="66932EDD" w:rsidR="00D42D89" w:rsidRDefault="00CF48B4" w:rsidP="00D84C36">
      <w:pPr>
        <w:spacing w:line="480" w:lineRule="auto"/>
        <w:ind w:firstLine="720"/>
      </w:pPr>
      <w:r>
        <w:rPr>
          <w:bCs/>
        </w:rPr>
        <w:t>We measured depression</w:t>
      </w:r>
      <w:r w:rsidR="000C4E45">
        <w:rPr>
          <w:bCs/>
        </w:rPr>
        <w:t xml:space="preserve"> (primary outcome)</w:t>
      </w:r>
      <w:r>
        <w:rPr>
          <w:bCs/>
        </w:rPr>
        <w:t xml:space="preserve"> and anxiety </w:t>
      </w:r>
      <w:r w:rsidR="000C4E45">
        <w:rPr>
          <w:bCs/>
        </w:rPr>
        <w:t xml:space="preserve">symptoms (secondary outcome) </w:t>
      </w:r>
      <w:r>
        <w:rPr>
          <w:bCs/>
        </w:rPr>
        <w:t xml:space="preserve">using the relevant subscales of the </w:t>
      </w:r>
      <w:r>
        <w:t>DASS</w:t>
      </w:r>
      <w:r w:rsidR="0059663E">
        <w:t>-21</w:t>
      </w:r>
      <w:r w:rsidRPr="00CF48B4">
        <w:t xml:space="preserve">. On </w:t>
      </w:r>
      <w:r>
        <w:t>each</w:t>
      </w:r>
      <w:r w:rsidRPr="00CF48B4">
        <w:t xml:space="preserve"> subscale, items are rated from 0 (“Did not apply to me at all”) to 3 (“Applied to me very much or most of the time”), with higher scores suggesting higher symptom severity. The DASS</w:t>
      </w:r>
      <w:r w:rsidR="0059663E">
        <w:t>-21</w:t>
      </w:r>
      <w:r w:rsidRPr="00CF48B4">
        <w:t xml:space="preserve"> </w:t>
      </w:r>
      <w:r w:rsidR="00CB15A8">
        <w:t>has been shown to be</w:t>
      </w:r>
      <w:r w:rsidRPr="00CF48B4">
        <w:t xml:space="preserve"> reliable and valid</w:t>
      </w:r>
      <w:r w:rsidR="00CB15A8">
        <w:t xml:space="preserve"> with college students </w:t>
      </w:r>
      <w:r w:rsidRPr="00CF48B4">
        <w:t>(</w:t>
      </w:r>
      <w:proofErr w:type="spellStart"/>
      <w:r w:rsidR="00CB15A8">
        <w:t>Zanon</w:t>
      </w:r>
      <w:proofErr w:type="spellEnd"/>
      <w:r w:rsidR="00CB15A8">
        <w:t xml:space="preserve"> et al., 2020</w:t>
      </w:r>
      <w:r w:rsidRPr="00CF48B4">
        <w:t>)</w:t>
      </w:r>
      <w:r w:rsidR="00CB15A8">
        <w:t xml:space="preserve">. </w:t>
      </w:r>
      <w:r w:rsidRPr="00CF48B4">
        <w:t xml:space="preserve">Internal consistency was good to excellent in this sample (Cronbach’s </w:t>
      </w:r>
      <w:r w:rsidRPr="00CF48B4">
        <w:sym w:font="Symbol" w:char="F061"/>
      </w:r>
      <w:r w:rsidRPr="00CF48B4">
        <w:t xml:space="preserve"> = .93 for depression</w:t>
      </w:r>
      <w:r>
        <w:t xml:space="preserve"> and </w:t>
      </w:r>
      <w:r w:rsidRPr="00CF48B4">
        <w:t>.83 for anxiety).</w:t>
      </w:r>
    </w:p>
    <w:p w14:paraId="1EBA4EA5" w14:textId="2BC1D0D0" w:rsidR="00E85711" w:rsidRDefault="00E85711" w:rsidP="00E85711">
      <w:pPr>
        <w:spacing w:line="480" w:lineRule="auto"/>
      </w:pPr>
    </w:p>
    <w:p w14:paraId="45747B1A" w14:textId="6B4A26C5" w:rsidR="00E85711" w:rsidRPr="000739E1" w:rsidRDefault="00E85711" w:rsidP="00E85711">
      <w:pPr>
        <w:spacing w:line="480" w:lineRule="auto"/>
        <w:rPr>
          <w:b/>
          <w:bCs/>
        </w:rPr>
      </w:pPr>
      <w:r w:rsidRPr="000739E1">
        <w:rPr>
          <w:b/>
          <w:bCs/>
        </w:rPr>
        <w:t>Analytic Plan</w:t>
      </w:r>
    </w:p>
    <w:p w14:paraId="16BE47EF" w14:textId="11374628" w:rsidR="00E85711" w:rsidRDefault="00E85711" w:rsidP="00E85711">
      <w:pPr>
        <w:spacing w:line="480" w:lineRule="auto"/>
      </w:pPr>
      <w:r>
        <w:tab/>
        <w:t>We determined a target sample size based on a priori power analysis</w:t>
      </w:r>
      <w:r w:rsidR="00336288">
        <w:t xml:space="preserve"> </w:t>
      </w:r>
      <w:r w:rsidR="002700E9">
        <w:t>conducted in G*Power</w:t>
      </w:r>
      <w:r w:rsidR="00336288">
        <w:t>, which</w:t>
      </w:r>
      <w:r w:rsidR="000D05D4">
        <w:t xml:space="preserve"> calculated that a sample size of </w:t>
      </w:r>
      <w:r w:rsidR="0000328F">
        <w:t>150</w:t>
      </w:r>
      <w:r w:rsidR="000D05D4">
        <w:t xml:space="preserve"> would </w:t>
      </w:r>
      <w:r w:rsidR="000D05D4" w:rsidRPr="00B0342E">
        <w:t xml:space="preserve">provide adequate power (0.80) to detect </w:t>
      </w:r>
      <w:r w:rsidR="000D05D4">
        <w:t>small</w:t>
      </w:r>
      <w:r w:rsidR="000D05D4" w:rsidRPr="00B0342E">
        <w:t xml:space="preserve"> effect size</w:t>
      </w:r>
      <w:r w:rsidR="000D05D4">
        <w:t xml:space="preserve"> differences between groups</w:t>
      </w:r>
      <w:r w:rsidR="000D05D4" w:rsidRPr="00B0342E">
        <w:t xml:space="preserve"> (</w:t>
      </w:r>
      <w:r w:rsidR="000D05D4" w:rsidRPr="00E50CEA">
        <w:rPr>
          <w:i/>
        </w:rPr>
        <w:t>d</w:t>
      </w:r>
      <w:r w:rsidR="000D05D4" w:rsidRPr="00B0342E">
        <w:t>=0.</w:t>
      </w:r>
      <w:r w:rsidR="001C2CAF">
        <w:t>2</w:t>
      </w:r>
      <w:r w:rsidR="000D05D4" w:rsidRPr="00B0342E">
        <w:t>0)</w:t>
      </w:r>
      <w:r w:rsidR="000D05D4">
        <w:t xml:space="preserve">. </w:t>
      </w:r>
      <w:r w:rsidR="0027714B">
        <w:t xml:space="preserve">We predicted that the differences </w:t>
      </w:r>
      <w:r w:rsidR="0027714B">
        <w:lastRenderedPageBreak/>
        <w:t xml:space="preserve">between book conditions may be relatively small based on prior studies (e.g., Krafft et al., 2020; Levin et al., 2020). </w:t>
      </w:r>
      <w:r w:rsidR="00336288">
        <w:t>Although we recruited close to this target sample size (n=</w:t>
      </w:r>
      <w:r w:rsidR="00B9031A">
        <w:t>139</w:t>
      </w:r>
      <w:r w:rsidR="00336288">
        <w:t xml:space="preserve">), there was notable attrition </w:t>
      </w:r>
      <w:r w:rsidR="00E01105">
        <w:t>(n=65</w:t>
      </w:r>
      <w:r w:rsidR="00336288">
        <w:t xml:space="preserve"> at posttreatment</w:t>
      </w:r>
      <w:r w:rsidR="00E01105">
        <w:t>)</w:t>
      </w:r>
      <w:r w:rsidR="00336288">
        <w:t xml:space="preserve">. As a result, </w:t>
      </w:r>
      <w:r w:rsidR="0027714B">
        <w:t>this study had limited statistical power examining treatment effects and results should be interpreted as preliminary, particularly in terms of interpreting non-significant findings.</w:t>
      </w:r>
      <w:r w:rsidR="00336288">
        <w:t xml:space="preserve"> </w:t>
      </w:r>
      <w:r w:rsidR="00E01105">
        <w:t xml:space="preserve"> </w:t>
      </w:r>
    </w:p>
    <w:p w14:paraId="4047E5C2" w14:textId="549516B7" w:rsidR="00F10139" w:rsidRDefault="00F06C94" w:rsidP="00E85711">
      <w:pPr>
        <w:spacing w:line="480" w:lineRule="auto"/>
      </w:pPr>
      <w:r>
        <w:tab/>
      </w:r>
      <w:r w:rsidR="004C539B">
        <w:t>As an initial analysis</w:t>
      </w:r>
      <w:r>
        <w:t xml:space="preserve">, we </w:t>
      </w:r>
      <w:r w:rsidR="00C63ABB">
        <w:t xml:space="preserve">examined demographic </w:t>
      </w:r>
      <w:r w:rsidR="00AF23F5">
        <w:t xml:space="preserve">variables </w:t>
      </w:r>
      <w:r w:rsidR="00C63ABB">
        <w:t xml:space="preserve">and treatment status by group and </w:t>
      </w:r>
      <w:r>
        <w:t>assessed for potential</w:t>
      </w:r>
      <w:r w:rsidRPr="00B32ABA">
        <w:t xml:space="preserve"> baseline </w:t>
      </w:r>
      <w:r w:rsidR="00C63ABB">
        <w:t>differences</w:t>
      </w:r>
      <w:r>
        <w:t xml:space="preserve"> </w:t>
      </w:r>
      <w:r w:rsidRPr="00B32ABA">
        <w:t>using chi-square and one-way ANOVA test</w:t>
      </w:r>
      <w:r>
        <w:t>s.</w:t>
      </w:r>
      <w:r w:rsidR="00C63ABB" w:rsidRPr="00C63ABB">
        <w:t xml:space="preserve"> </w:t>
      </w:r>
      <w:r w:rsidR="00C63ABB">
        <w:t xml:space="preserve">We also </w:t>
      </w:r>
      <w:r w:rsidR="00F10139">
        <w:t xml:space="preserve">examined levels of </w:t>
      </w:r>
      <w:r w:rsidR="00AF23F5">
        <w:t>mental health</w:t>
      </w:r>
      <w:r w:rsidR="00F10139">
        <w:t xml:space="preserve"> variables at </w:t>
      </w:r>
      <w:r w:rsidR="00AF23F5">
        <w:t>baseline</w:t>
      </w:r>
      <w:r w:rsidR="00F10139">
        <w:t xml:space="preserve"> and </w:t>
      </w:r>
      <w:r w:rsidR="00C63ABB">
        <w:t>performed a series of one-way ANOVA tests to determine whether baseline clinical variables were predictors of adherence to assessments.</w:t>
      </w:r>
    </w:p>
    <w:p w14:paraId="4626E187" w14:textId="0EE6399E" w:rsidR="00C32296" w:rsidRDefault="00F10139" w:rsidP="00690781">
      <w:pPr>
        <w:spacing w:line="480" w:lineRule="auto"/>
        <w:ind w:firstLine="720"/>
      </w:pPr>
      <w:r>
        <w:t>Next, data</w:t>
      </w:r>
      <w:r w:rsidRPr="00B32ABA">
        <w:t xml:space="preserve"> from participants in the choice condition</w:t>
      </w:r>
      <w:r>
        <w:t xml:space="preserve"> </w:t>
      </w:r>
      <w:r w:rsidRPr="00B32ABA">
        <w:t>were assessed to understand trends in preferences between the two interventions</w:t>
      </w:r>
      <w:r>
        <w:t>, reasons for choosing a particular book, and whether book choice was associated with any demographic or baseline clinical factors, according to chi-square tests. We also assessed</w:t>
      </w:r>
      <w:r w:rsidR="00B41C39">
        <w:t xml:space="preserve"> the reasons participants in the choice condition chose a particular book, based on a list of possible reasons, as well as how </w:t>
      </w:r>
      <w:r>
        <w:t xml:space="preserve">strongly </w:t>
      </w:r>
      <w:r w:rsidR="00B41C39">
        <w:t xml:space="preserve">they </w:t>
      </w:r>
      <w:r>
        <w:t>felt about the book they chose based on their response to a three-point scale ranging from “not at all” to “very much so.”</w:t>
      </w:r>
    </w:p>
    <w:p w14:paraId="04BACFBA" w14:textId="76954DD5" w:rsidR="00690781" w:rsidRDefault="00690781" w:rsidP="000739E1">
      <w:pPr>
        <w:spacing w:line="480" w:lineRule="auto"/>
        <w:ind w:firstLine="720"/>
      </w:pPr>
      <w:r>
        <w:t>We additionally examined self-reported rates of adherence to books in each group and ran two-way ANOVA tests to evaluate whether assignment method predicted intervention adherence.</w:t>
      </w:r>
      <w:r w:rsidR="003211B7">
        <w:t xml:space="preserve"> Furthermore, satisfaction with books was examined and two-way ANOVA tests used to determine whether assignment method predicted satisfaction with books.</w:t>
      </w:r>
      <w:r w:rsidR="00C32296" w:rsidRPr="00C32296">
        <w:t xml:space="preserve"> </w:t>
      </w:r>
      <w:r w:rsidR="00C32296">
        <w:t xml:space="preserve">We also tested whether pre to posttreatment changes in depression and anxiety were correlated with adherence to books to understand </w:t>
      </w:r>
      <w:proofErr w:type="gramStart"/>
      <w:r w:rsidR="00C32296">
        <w:t>whether or not</w:t>
      </w:r>
      <w:proofErr w:type="gramEnd"/>
      <w:r w:rsidR="00C32296">
        <w:t xml:space="preserve"> clinical outcomes were associated with adherence.</w:t>
      </w:r>
    </w:p>
    <w:p w14:paraId="1074C515" w14:textId="001371AA" w:rsidR="00972915" w:rsidRDefault="00972915" w:rsidP="00972915">
      <w:pPr>
        <w:spacing w:line="480" w:lineRule="auto"/>
        <w:ind w:firstLine="720"/>
      </w:pPr>
      <w:r w:rsidRPr="00B32ABA">
        <w:lastRenderedPageBreak/>
        <w:t>To test the effect of book and assignment method on</w:t>
      </w:r>
      <w:r>
        <w:t xml:space="preserve"> </w:t>
      </w:r>
      <w:r w:rsidR="005C488F">
        <w:t>mental health outcomes (</w:t>
      </w:r>
      <w:r>
        <w:t>depression and anxiety</w:t>
      </w:r>
      <w:r w:rsidR="005C488F">
        <w:t>)</w:t>
      </w:r>
      <w:r w:rsidRPr="00B32ABA">
        <w:t>, a series of mixed-effects models was used for each outcome with the full intent-to-treat sample</w:t>
      </w:r>
      <w:r>
        <w:t xml:space="preserve"> at all four time points</w:t>
      </w:r>
      <w:r w:rsidRPr="00B32ABA">
        <w:t xml:space="preserve">. </w:t>
      </w:r>
      <w:r>
        <w:t xml:space="preserve">Each </w:t>
      </w:r>
      <w:r w:rsidRPr="00B32ABA">
        <w:t xml:space="preserve">model included a random intercept at the participant level to account for individual-level variation on outcomes, as well as random slopes to account for individual-level variation in the slopes of outcome variables over time. </w:t>
      </w:r>
      <w:r>
        <w:t>We assessed</w:t>
      </w:r>
      <w:r w:rsidRPr="00B32ABA">
        <w:t xml:space="preserve"> main effects for time, book, and assignment method, in addition to two-way interactions of time by book</w:t>
      </w:r>
      <w:r>
        <w:t xml:space="preserve">, </w:t>
      </w:r>
      <w:r w:rsidRPr="00B32ABA">
        <w:t>time by assignment method</w:t>
      </w:r>
      <w:r>
        <w:t>, and book by assignment method</w:t>
      </w:r>
      <w:r w:rsidRPr="00B32ABA">
        <w:t xml:space="preserve">. Finally, we tested a three-way interaction between time, book, and assignment method to determine if assignment method moderated the relationship between time and book. All models were created with the </w:t>
      </w:r>
      <w:proofErr w:type="spellStart"/>
      <w:proofErr w:type="gramStart"/>
      <w:r w:rsidRPr="00B32ABA">
        <w:t>lmer</w:t>
      </w:r>
      <w:proofErr w:type="spellEnd"/>
      <w:r w:rsidRPr="00B32ABA">
        <w:t>(</w:t>
      </w:r>
      <w:proofErr w:type="gramEnd"/>
      <w:r w:rsidRPr="00B32ABA">
        <w:t>) function in R (Kuznetsova et al., 2017). To allow for interpretation across different scales and estimate effect sizes, regression coefficients for outcome variables were standardized.</w:t>
      </w:r>
    </w:p>
    <w:p w14:paraId="24CD2879" w14:textId="2ADF55AC" w:rsidR="00972915" w:rsidRDefault="00972915" w:rsidP="000739E1">
      <w:pPr>
        <w:spacing w:line="480" w:lineRule="auto"/>
        <w:ind w:firstLine="720"/>
      </w:pPr>
      <w:r w:rsidRPr="00B32ABA">
        <w:t xml:space="preserve">Given the notable amount of missing data in the sample, maximum likelihood was used for all parameter estimates in our </w:t>
      </w:r>
      <w:r>
        <w:t>mixed effects</w:t>
      </w:r>
      <w:r w:rsidRPr="00B32ABA">
        <w:t xml:space="preserve"> models</w:t>
      </w:r>
      <w:r>
        <w:t xml:space="preserve"> of outcome variables</w:t>
      </w:r>
      <w:r w:rsidRPr="00B32ABA">
        <w:t xml:space="preserve">. </w:t>
      </w:r>
      <w:r w:rsidR="00015FEC">
        <w:t xml:space="preserve">This method allows for an intent to treat analysis using all available data, even when some observations are missing. </w:t>
      </w:r>
      <w:r w:rsidRPr="00B32ABA">
        <w:t>This approach to missing data uses an iterative method to test various parameter estimates by imposing distributional assumptions on incomplete variables until finding a set of parameters which maximizes the likelihood function (</w:t>
      </w:r>
      <w:proofErr w:type="spellStart"/>
      <w:r w:rsidRPr="00B32ABA">
        <w:t>Grund</w:t>
      </w:r>
      <w:proofErr w:type="spellEnd"/>
      <w:r w:rsidRPr="00B32ABA">
        <w:t xml:space="preserve"> et al., 2019). </w:t>
      </w:r>
      <w:r>
        <w:t>The maximum likelihood</w:t>
      </w:r>
      <w:r w:rsidRPr="00B32ABA">
        <w:t xml:space="preserve"> method </w:t>
      </w:r>
      <w:r>
        <w:t>can provide</w:t>
      </w:r>
      <w:r w:rsidRPr="00B32ABA">
        <w:t xml:space="preserve"> accurate model estimations even when handling </w:t>
      </w:r>
      <w:r w:rsidR="00E26DB5">
        <w:t xml:space="preserve">high </w:t>
      </w:r>
      <w:r w:rsidRPr="00B32ABA">
        <w:t>levels of missingness (Newman, 2003).</w:t>
      </w:r>
    </w:p>
    <w:p w14:paraId="72FA0EC8" w14:textId="77777777" w:rsidR="00E85711" w:rsidRPr="00DC4585" w:rsidRDefault="00E85711" w:rsidP="000739E1">
      <w:pPr>
        <w:spacing w:line="480" w:lineRule="auto"/>
      </w:pPr>
    </w:p>
    <w:p w14:paraId="3BE5FB2C" w14:textId="77777777" w:rsidR="00415B64" w:rsidRPr="00B32ABA" w:rsidRDefault="00931142" w:rsidP="00931142">
      <w:pPr>
        <w:spacing w:line="480" w:lineRule="auto"/>
        <w:jc w:val="center"/>
        <w:rPr>
          <w:b/>
          <w:bCs/>
        </w:rPr>
      </w:pPr>
      <w:r w:rsidRPr="00B32ABA">
        <w:rPr>
          <w:b/>
          <w:bCs/>
        </w:rPr>
        <w:t>Results</w:t>
      </w:r>
    </w:p>
    <w:p w14:paraId="00E19EA8" w14:textId="77777777" w:rsidR="00AC0F5B" w:rsidRPr="006A42F5" w:rsidRDefault="00AC0F5B" w:rsidP="00AC0F5B">
      <w:pPr>
        <w:spacing w:line="480" w:lineRule="auto"/>
        <w:rPr>
          <w:b/>
          <w:bCs/>
        </w:rPr>
      </w:pPr>
      <w:r w:rsidRPr="006A42F5">
        <w:rPr>
          <w:b/>
          <w:bCs/>
        </w:rPr>
        <w:t>Participant demographics</w:t>
      </w:r>
    </w:p>
    <w:p w14:paraId="392A9AB7" w14:textId="793E9DC5" w:rsidR="00184785" w:rsidRDefault="002848B6" w:rsidP="00E26DB5">
      <w:pPr>
        <w:spacing w:line="480" w:lineRule="auto"/>
        <w:ind w:firstLine="720"/>
      </w:pPr>
      <w:r w:rsidRPr="006727F9">
        <w:lastRenderedPageBreak/>
        <w:t>See Table 1 for complete demographic information</w:t>
      </w:r>
      <w:r>
        <w:t xml:space="preserve"> by treatment group. </w:t>
      </w:r>
      <w:r w:rsidR="00B4607F">
        <w:t>The</w:t>
      </w:r>
      <w:r w:rsidR="00B4607F" w:rsidRPr="006524DC">
        <w:t xml:space="preserve"> </w:t>
      </w:r>
      <w:r w:rsidR="006524DC" w:rsidRPr="006524DC">
        <w:t>sample</w:t>
      </w:r>
      <w:r w:rsidR="00620D05">
        <w:t xml:space="preserve"> of </w:t>
      </w:r>
      <w:r w:rsidR="00B9031A">
        <w:t xml:space="preserve">139 </w:t>
      </w:r>
      <w:r w:rsidR="00620D05">
        <w:t>students</w:t>
      </w:r>
      <w:r w:rsidR="00152607">
        <w:t xml:space="preserve"> (after three were removed from analysis due to random responding)</w:t>
      </w:r>
      <w:r w:rsidR="006524DC" w:rsidRPr="006524DC">
        <w:t xml:space="preserve"> was</w:t>
      </w:r>
      <w:r w:rsidR="006524DC">
        <w:t xml:space="preserve"> largely female (78.4%), white (92.8%), non-Hispanic (91.4%), </w:t>
      </w:r>
      <w:r w:rsidR="00930289">
        <w:t xml:space="preserve">and </w:t>
      </w:r>
      <w:r w:rsidR="006524DC">
        <w:t>attending classes in-person</w:t>
      </w:r>
      <w:r w:rsidR="00930289">
        <w:t xml:space="preserve"> </w:t>
      </w:r>
      <w:r w:rsidR="006524DC">
        <w:t>(77.7%)</w:t>
      </w:r>
      <w:r w:rsidR="00930289">
        <w:t xml:space="preserve"> as opposed to distance learners. </w:t>
      </w:r>
      <w:r w:rsidR="00CB15A8">
        <w:t xml:space="preserve">Most students were </w:t>
      </w:r>
      <w:r w:rsidR="006524DC">
        <w:t>not currently taking psychiatric medication</w:t>
      </w:r>
      <w:r w:rsidR="00930289">
        <w:t>s</w:t>
      </w:r>
      <w:r w:rsidR="006524DC">
        <w:t xml:space="preserve"> (61.2%), </w:t>
      </w:r>
      <w:r w:rsidR="00CB15A8">
        <w:t>nor</w:t>
      </w:r>
      <w:r w:rsidR="006524DC">
        <w:t xml:space="preserve"> presently in psychotherapy (82.7%)</w:t>
      </w:r>
      <w:r w:rsidR="00DF296B">
        <w:t xml:space="preserve">. </w:t>
      </w:r>
      <w:r w:rsidR="00930289">
        <w:t>This suggested that our sample of students was largely unengaged in mental health</w:t>
      </w:r>
      <w:r w:rsidR="00E576A9">
        <w:t xml:space="preserve"> treatment</w:t>
      </w:r>
      <w:r w:rsidR="00930289">
        <w:t>.</w:t>
      </w:r>
      <w:r w:rsidR="006524DC">
        <w:t xml:space="preserve"> </w:t>
      </w:r>
      <w:r>
        <w:t xml:space="preserve">At the same time, our sample was notable for its high level of depression symptomatology, with 49 students (34.5%) in the moderately severe or severe clinical range at baseline. </w:t>
      </w:r>
      <w:r w:rsidR="00E26DB5">
        <w:t xml:space="preserve">No significant differences were detected between groups on demographic variables or treatment status </w:t>
      </w:r>
      <w:r w:rsidR="00C52EAA" w:rsidRPr="00C32296">
        <w:t xml:space="preserve">(all </w:t>
      </w:r>
      <w:proofErr w:type="spellStart"/>
      <w:r w:rsidR="00C52EAA" w:rsidRPr="00C32296">
        <w:rPr>
          <w:i/>
          <w:iCs/>
        </w:rPr>
        <w:t>p</w:t>
      </w:r>
      <w:r w:rsidR="00C52EAA" w:rsidRPr="00C32296">
        <w:t>s</w:t>
      </w:r>
      <w:proofErr w:type="spellEnd"/>
      <w:r w:rsidR="00C52EAA" w:rsidRPr="00C32296">
        <w:t xml:space="preserve"> &gt; .05).</w:t>
      </w:r>
    </w:p>
    <w:p w14:paraId="327E2D4E" w14:textId="7D573DFD" w:rsidR="00184785" w:rsidRPr="006A42F5" w:rsidRDefault="00B47E23" w:rsidP="00184785">
      <w:pPr>
        <w:spacing w:line="480" w:lineRule="auto"/>
        <w:rPr>
          <w:b/>
          <w:bCs/>
        </w:rPr>
      </w:pPr>
      <w:r>
        <w:rPr>
          <w:b/>
          <w:bCs/>
        </w:rPr>
        <w:t>Adherence to assessments</w:t>
      </w:r>
    </w:p>
    <w:p w14:paraId="77428153" w14:textId="6185A88F" w:rsidR="005E2828" w:rsidRPr="00B32ABA" w:rsidRDefault="00C52EAA" w:rsidP="006872A6">
      <w:pPr>
        <w:spacing w:line="480" w:lineRule="auto"/>
        <w:ind w:firstLine="720"/>
      </w:pPr>
      <w:r w:rsidRPr="00B32ABA">
        <w:t xml:space="preserve">Overall, </w:t>
      </w:r>
      <w:r w:rsidR="00930289">
        <w:t>retention in the study was low</w:t>
      </w:r>
      <w:r w:rsidR="00B4607F">
        <w:t xml:space="preserve">: </w:t>
      </w:r>
      <w:r w:rsidRPr="00B32ABA">
        <w:t xml:space="preserve">51.8% of students completed the midtreatment assessment, 44.6% completed posttreatment, and 49.6% completed the follow-up assessment (see Figure 1). There were no significant differences in attrition between the four </w:t>
      </w:r>
      <w:r w:rsidR="002C7E58" w:rsidRPr="00B32ABA">
        <w:t>groups according</w:t>
      </w:r>
      <w:r w:rsidRPr="00B32ABA">
        <w:t xml:space="preserve"> to chi-square tests (</w:t>
      </w:r>
      <w:r w:rsidRPr="00B32ABA">
        <w:rPr>
          <w:i/>
          <w:iCs/>
        </w:rPr>
        <w:t xml:space="preserve">p </w:t>
      </w:r>
      <w:r w:rsidRPr="00B32ABA">
        <w:t xml:space="preserve">= .93 for midtreatment, </w:t>
      </w:r>
      <w:r w:rsidRPr="00B32ABA">
        <w:rPr>
          <w:i/>
          <w:iCs/>
        </w:rPr>
        <w:t>p</w:t>
      </w:r>
      <w:r w:rsidRPr="00B32ABA">
        <w:t xml:space="preserve"> = .82 for posttreatment, and </w:t>
      </w:r>
      <w:r w:rsidRPr="00B32ABA">
        <w:rPr>
          <w:i/>
          <w:iCs/>
        </w:rPr>
        <w:t>p</w:t>
      </w:r>
      <w:r w:rsidRPr="00B32ABA">
        <w:t xml:space="preserve"> = .06 for follow-up)</w:t>
      </w:r>
      <w:r w:rsidR="00184785">
        <w:t xml:space="preserve">. </w:t>
      </w:r>
      <w:r w:rsidR="00C32296">
        <w:t>Additionally, neither</w:t>
      </w:r>
      <w:r w:rsidR="00184785" w:rsidRPr="00C32296">
        <w:t xml:space="preserve"> baseline depression </w:t>
      </w:r>
      <w:r w:rsidR="00A81B63" w:rsidRPr="00C32296">
        <w:t>nor</w:t>
      </w:r>
      <w:r w:rsidR="00184785" w:rsidRPr="00C32296">
        <w:t xml:space="preserve"> </w:t>
      </w:r>
      <w:r w:rsidR="000E4BDF">
        <w:t xml:space="preserve">baseline </w:t>
      </w:r>
      <w:r w:rsidR="00184785" w:rsidRPr="00C32296">
        <w:t xml:space="preserve">anxiety was predictive of </w:t>
      </w:r>
      <w:r w:rsidR="009D06E3" w:rsidRPr="00C32296">
        <w:t>missingness</w:t>
      </w:r>
      <w:r w:rsidR="00184785" w:rsidRPr="00C32296">
        <w:t xml:space="preserve"> at any of the three timepoints (all </w:t>
      </w:r>
      <w:proofErr w:type="spellStart"/>
      <w:r w:rsidR="00184785" w:rsidRPr="00C32296">
        <w:rPr>
          <w:i/>
          <w:iCs/>
        </w:rPr>
        <w:t>p</w:t>
      </w:r>
      <w:r w:rsidR="00184785" w:rsidRPr="00C32296">
        <w:t>s</w:t>
      </w:r>
      <w:proofErr w:type="spellEnd"/>
      <w:r w:rsidR="00184785" w:rsidRPr="00C32296">
        <w:t xml:space="preserve"> &gt; .10)</w:t>
      </w:r>
      <w:r w:rsidR="000D5CE7" w:rsidRPr="00C32296">
        <w:t>.</w:t>
      </w:r>
    </w:p>
    <w:p w14:paraId="4D685765" w14:textId="77777777" w:rsidR="005E2828" w:rsidRPr="006A42F5" w:rsidRDefault="00EC3EE4" w:rsidP="005E2828">
      <w:pPr>
        <w:spacing w:line="480" w:lineRule="auto"/>
        <w:rPr>
          <w:b/>
          <w:bCs/>
        </w:rPr>
      </w:pPr>
      <w:r w:rsidRPr="006A42F5">
        <w:rPr>
          <w:b/>
          <w:bCs/>
        </w:rPr>
        <w:t>Book choices</w:t>
      </w:r>
    </w:p>
    <w:p w14:paraId="5498C58B" w14:textId="48D464F4" w:rsidR="005E2828" w:rsidRPr="00B32ABA" w:rsidRDefault="00930289" w:rsidP="006872A6">
      <w:pPr>
        <w:spacing w:line="480" w:lineRule="auto"/>
        <w:ind w:firstLine="720"/>
      </w:pPr>
      <w:r>
        <w:t>There was a somewhat greater preference for ACT</w:t>
      </w:r>
      <w:r w:rsidR="004200AD">
        <w:t xml:space="preserve"> in the choice condition</w:t>
      </w:r>
      <w:r>
        <w:t xml:space="preserve">: </w:t>
      </w:r>
      <w:r w:rsidR="005E2828" w:rsidRPr="00B32ABA">
        <w:t xml:space="preserve">29 students selected the ACT book (61.7%), while 18 selected </w:t>
      </w:r>
      <w:r w:rsidR="00496F84">
        <w:t>t</w:t>
      </w:r>
      <w:r w:rsidR="005E2828" w:rsidRPr="00B32ABA">
        <w:t xml:space="preserve">CBT (38.3%). According to chi-square tests, </w:t>
      </w:r>
      <w:r w:rsidR="00CB11B2" w:rsidRPr="00B32ABA">
        <w:t xml:space="preserve">age, gender identity, race/ethnicity, and therapy/medication use were not predictors </w:t>
      </w:r>
      <w:r w:rsidR="00CB11B2">
        <w:t>of choosing a particular book</w:t>
      </w:r>
      <w:r w:rsidR="005E2828" w:rsidRPr="00B32ABA">
        <w:t xml:space="preserve"> (all </w:t>
      </w:r>
      <w:proofErr w:type="spellStart"/>
      <w:r w:rsidR="005E2828" w:rsidRPr="00B32ABA">
        <w:rPr>
          <w:i/>
          <w:iCs/>
        </w:rPr>
        <w:t>p</w:t>
      </w:r>
      <w:r w:rsidR="005E2828" w:rsidRPr="00B32ABA">
        <w:t>s</w:t>
      </w:r>
      <w:proofErr w:type="spellEnd"/>
      <w:r w:rsidR="005E2828" w:rsidRPr="00B32ABA">
        <w:t xml:space="preserve"> &gt; .10). </w:t>
      </w:r>
      <w:r w:rsidR="007A23E5">
        <w:t>Likewise, levels of baseline depression or anxiety were not associated with students choosing one book over the other (</w:t>
      </w:r>
      <w:r w:rsidR="00EE6A91" w:rsidRPr="00B32ABA">
        <w:t xml:space="preserve">all </w:t>
      </w:r>
      <w:proofErr w:type="spellStart"/>
      <w:r w:rsidR="007A23E5" w:rsidRPr="00B32ABA">
        <w:rPr>
          <w:i/>
          <w:iCs/>
        </w:rPr>
        <w:t>p</w:t>
      </w:r>
      <w:r w:rsidR="007A23E5" w:rsidRPr="00B32ABA">
        <w:t>s</w:t>
      </w:r>
      <w:proofErr w:type="spellEnd"/>
      <w:r w:rsidR="007A23E5" w:rsidRPr="00B32ABA">
        <w:t xml:space="preserve"> &gt; .10</w:t>
      </w:r>
      <w:r w:rsidR="007A23E5">
        <w:t xml:space="preserve">). </w:t>
      </w:r>
      <w:r w:rsidR="005E2828" w:rsidRPr="00B32ABA">
        <w:t xml:space="preserve">The two most common reasons that students indicated for choosing a particular book were “I like the particular approach </w:t>
      </w:r>
      <w:r w:rsidR="005E2828" w:rsidRPr="00B32ABA">
        <w:lastRenderedPageBreak/>
        <w:t>the book uses” and “I thought it would be more helpful</w:t>
      </w:r>
      <w:r w:rsidR="003662C3" w:rsidRPr="00C32296">
        <w:t xml:space="preserve">.” </w:t>
      </w:r>
      <w:r w:rsidR="00260D59" w:rsidRPr="00C32296">
        <w:t xml:space="preserve">After choosing a </w:t>
      </w:r>
      <w:r w:rsidR="00434B59" w:rsidRPr="00C32296">
        <w:t>book</w:t>
      </w:r>
      <w:r w:rsidR="00260D59" w:rsidRPr="00C32296">
        <w:t>, students rated how strongly they felt about their choice on a three-</w:t>
      </w:r>
      <w:r w:rsidR="00B4607F" w:rsidRPr="00C32296">
        <w:t xml:space="preserve">point </w:t>
      </w:r>
      <w:r w:rsidR="00260D59" w:rsidRPr="00C32296">
        <w:t>scale ranging from “not at all” to “very much so.”</w:t>
      </w:r>
      <w:r w:rsidR="00260D59">
        <w:t xml:space="preserve"> Notably, </w:t>
      </w:r>
      <w:r w:rsidR="00E8511F" w:rsidRPr="00E8511F">
        <w:t xml:space="preserve">all students indicated that their preference was either “very much” </w:t>
      </w:r>
      <w:r w:rsidR="00260D59">
        <w:t>(</w:t>
      </w:r>
      <w:r w:rsidR="00260D59" w:rsidRPr="00260D59">
        <w:rPr>
          <w:i/>
          <w:iCs/>
        </w:rPr>
        <w:t>n</w:t>
      </w:r>
      <w:r w:rsidR="00260D59">
        <w:rPr>
          <w:i/>
          <w:iCs/>
        </w:rPr>
        <w:t xml:space="preserve"> </w:t>
      </w:r>
      <w:r w:rsidR="00260D59">
        <w:t xml:space="preserve">= 21; 44.7%) </w:t>
      </w:r>
      <w:r w:rsidR="00E8511F" w:rsidRPr="00E8511F">
        <w:t>or “a little” strong</w:t>
      </w:r>
      <w:r w:rsidR="00260D59">
        <w:t xml:space="preserve"> (</w:t>
      </w:r>
      <w:r w:rsidR="00260D59" w:rsidRPr="00260D59">
        <w:rPr>
          <w:i/>
          <w:iCs/>
        </w:rPr>
        <w:t>n</w:t>
      </w:r>
      <w:r w:rsidR="00260D59">
        <w:rPr>
          <w:i/>
          <w:iCs/>
        </w:rPr>
        <w:t xml:space="preserve"> </w:t>
      </w:r>
      <w:r w:rsidR="00260D59">
        <w:t>= 26; 55.3%)</w:t>
      </w:r>
      <w:r w:rsidR="00E8511F" w:rsidRPr="00E8511F">
        <w:t xml:space="preserve">, with no students indicating they did </w:t>
      </w:r>
      <w:r w:rsidR="00B4607F">
        <w:t>“</w:t>
      </w:r>
      <w:r w:rsidR="00E8511F" w:rsidRPr="00E8511F">
        <w:t>not</w:t>
      </w:r>
      <w:r w:rsidR="00B4607F">
        <w:t xml:space="preserve"> at all”</w:t>
      </w:r>
      <w:r w:rsidR="00E8511F" w:rsidRPr="00E8511F">
        <w:t xml:space="preserve"> feel strongly about </w:t>
      </w:r>
      <w:r w:rsidR="00434B59">
        <w:t xml:space="preserve">choosing ACT or </w:t>
      </w:r>
      <w:r w:rsidR="00496F84">
        <w:t>t</w:t>
      </w:r>
      <w:r w:rsidR="00434B59">
        <w:t>CBT</w:t>
      </w:r>
      <w:r w:rsidR="00260D59">
        <w:t>.</w:t>
      </w:r>
    </w:p>
    <w:p w14:paraId="63665DBC" w14:textId="77777777" w:rsidR="00775638" w:rsidRPr="006A42F5" w:rsidRDefault="00775638" w:rsidP="00775638">
      <w:pPr>
        <w:spacing w:line="480" w:lineRule="auto"/>
        <w:rPr>
          <w:b/>
          <w:bCs/>
        </w:rPr>
      </w:pPr>
      <w:r w:rsidRPr="006A42F5">
        <w:rPr>
          <w:b/>
          <w:bCs/>
        </w:rPr>
        <w:t>Adherence to books</w:t>
      </w:r>
    </w:p>
    <w:p w14:paraId="12F27E5E" w14:textId="4506882B" w:rsidR="00EE3D2A" w:rsidRDefault="00780D99" w:rsidP="00371DAD">
      <w:pPr>
        <w:spacing w:line="480" w:lineRule="auto"/>
        <w:ind w:firstLine="720"/>
      </w:pPr>
      <w:r>
        <w:t>Comparing students in each of the four combinations of intervention and assignment method,</w:t>
      </w:r>
      <w:r w:rsidR="002F09B0">
        <w:t xml:space="preserve"> </w:t>
      </w:r>
      <w:r>
        <w:t>those in the</w:t>
      </w:r>
      <w:r w:rsidR="002F09B0">
        <w:t xml:space="preserve"> ACT-Randomized group read an average 70.9% of chapters (</w:t>
      </w:r>
      <w:r w:rsidR="002F09B0" w:rsidRPr="00780D99">
        <w:rPr>
          <w:i/>
          <w:iCs/>
        </w:rPr>
        <w:t>SD</w:t>
      </w:r>
      <w:r w:rsidR="002F09B0">
        <w:t xml:space="preserve"> = 30.0) compared to 44.7% (</w:t>
      </w:r>
      <w:r w:rsidR="002F09B0" w:rsidRPr="00780D99">
        <w:rPr>
          <w:i/>
          <w:iCs/>
        </w:rPr>
        <w:t>SD</w:t>
      </w:r>
      <w:r w:rsidR="002F09B0">
        <w:t xml:space="preserve"> = 34.2) in the ACT-Choice group. Those in the </w:t>
      </w:r>
      <w:r w:rsidR="00496F84">
        <w:t>t</w:t>
      </w:r>
      <w:r w:rsidR="002F09B0">
        <w:t>CBT-Randomized group read a mean 55.9% (</w:t>
      </w:r>
      <w:r w:rsidR="002F09B0" w:rsidRPr="00780D99">
        <w:rPr>
          <w:i/>
          <w:iCs/>
        </w:rPr>
        <w:t>SD</w:t>
      </w:r>
      <w:r w:rsidR="002F09B0">
        <w:t xml:space="preserve"> = 32.2) of chapters, whereas students in the </w:t>
      </w:r>
      <w:r w:rsidR="00496F84">
        <w:t>t</w:t>
      </w:r>
      <w:r w:rsidR="002F09B0">
        <w:t xml:space="preserve">CBT-Choice group </w:t>
      </w:r>
      <w:r>
        <w:t>read an average 22.6% of chapters (</w:t>
      </w:r>
      <w:r w:rsidRPr="00780D99">
        <w:rPr>
          <w:i/>
          <w:iCs/>
        </w:rPr>
        <w:t>SD</w:t>
      </w:r>
      <w:r>
        <w:t xml:space="preserve"> = 27.6).</w:t>
      </w:r>
      <w:r w:rsidR="00EE3D2A">
        <w:t xml:space="preserve"> Important to note</w:t>
      </w:r>
      <w:r w:rsidR="008D51AE">
        <w:t xml:space="preserve"> </w:t>
      </w:r>
      <w:r w:rsidR="00EE3D2A">
        <w:t xml:space="preserve">is that </w:t>
      </w:r>
      <w:r w:rsidR="00CE42C8">
        <w:t>adherence data was only available for the 44.6% of participants who completed the posttreatment survey, whose combined overall adherence rate across all treatment groups was 54.3%.</w:t>
      </w:r>
      <w:r w:rsidR="00371DAD">
        <w:t xml:space="preserve"> We can infer that the true adherence rate was lower since participants who dropped out by posttreatment are presumably less likely to have adhered to treatment.</w:t>
      </w:r>
    </w:p>
    <w:p w14:paraId="419CC976" w14:textId="23F822AB" w:rsidR="00B32ABA" w:rsidRDefault="00775638" w:rsidP="000739E1">
      <w:pPr>
        <w:spacing w:line="480" w:lineRule="auto"/>
        <w:ind w:firstLine="720"/>
      </w:pPr>
      <w:r>
        <w:t>A</w:t>
      </w:r>
      <w:r w:rsidR="00371DAD">
        <w:t>mong participants who did complete posttreatment, a</w:t>
      </w:r>
      <w:r w:rsidRPr="00B32ABA">
        <w:t xml:space="preserve"> </w:t>
      </w:r>
      <w:r>
        <w:t>two</w:t>
      </w:r>
      <w:r w:rsidRPr="00B32ABA">
        <w:t>-way ANOVA test</w:t>
      </w:r>
      <w:r w:rsidR="00FB28A3">
        <w:t xml:space="preserve"> </w:t>
      </w:r>
      <w:r>
        <w:t xml:space="preserve">found a significant main effect for assignment method in predicting chapters read, favoring students who were randomized to a book, </w:t>
      </w:r>
      <w:proofErr w:type="gramStart"/>
      <w:r w:rsidRPr="00D40887">
        <w:rPr>
          <w:i/>
          <w:iCs/>
        </w:rPr>
        <w:t>F</w:t>
      </w:r>
      <w:r>
        <w:t>(</w:t>
      </w:r>
      <w:proofErr w:type="gramEnd"/>
      <w:r w:rsidR="004F298C">
        <w:t>1</w:t>
      </w:r>
      <w:r>
        <w:t xml:space="preserve">, 58) = 11.52, </w:t>
      </w:r>
      <w:r w:rsidRPr="00D40887">
        <w:rPr>
          <w:i/>
          <w:iCs/>
        </w:rPr>
        <w:t>p</w:t>
      </w:r>
      <w:r>
        <w:t xml:space="preserve"> = .001</w:t>
      </w:r>
      <w:r w:rsidRPr="00B32ABA">
        <w:t xml:space="preserve">. </w:t>
      </w:r>
      <w:r w:rsidR="004F298C">
        <w:t>In the same two-way ANOVA, i</w:t>
      </w:r>
      <w:r w:rsidR="003B0B39">
        <w:t xml:space="preserve">ntervention </w:t>
      </w:r>
      <w:r w:rsidR="00B52129">
        <w:t xml:space="preserve">(i.e., ACT or </w:t>
      </w:r>
      <w:r w:rsidR="00496F84">
        <w:t>t</w:t>
      </w:r>
      <w:r w:rsidR="00B52129">
        <w:t xml:space="preserve">CBT) </w:t>
      </w:r>
      <w:r w:rsidR="003B0B39">
        <w:t xml:space="preserve">was not a significant </w:t>
      </w:r>
      <w:r w:rsidR="00FB28A3">
        <w:t xml:space="preserve">main </w:t>
      </w:r>
      <w:r w:rsidR="003B0B39">
        <w:t xml:space="preserve">predictor of </w:t>
      </w:r>
      <w:r w:rsidR="00FB28A3">
        <w:t>adherence</w:t>
      </w:r>
      <w:r w:rsidR="004F298C">
        <w:t>,</w:t>
      </w:r>
      <w:r w:rsidR="00FB28A3">
        <w:t xml:space="preserve"> </w:t>
      </w:r>
      <w:proofErr w:type="gramStart"/>
      <w:r w:rsidR="004F298C" w:rsidRPr="004F298C">
        <w:rPr>
          <w:i/>
          <w:iCs/>
        </w:rPr>
        <w:t>F</w:t>
      </w:r>
      <w:r w:rsidR="004F298C">
        <w:t>(</w:t>
      </w:r>
      <w:proofErr w:type="gramEnd"/>
      <w:r w:rsidR="004F298C">
        <w:t xml:space="preserve">1, 58) = 2.35, </w:t>
      </w:r>
      <w:r w:rsidR="003B0B39" w:rsidRPr="00D40887">
        <w:rPr>
          <w:i/>
          <w:iCs/>
        </w:rPr>
        <w:t>p</w:t>
      </w:r>
      <w:r w:rsidR="003B0B39">
        <w:t xml:space="preserve"> = .13</w:t>
      </w:r>
      <w:r w:rsidR="00FB28A3">
        <w:t>, nor was the interaction between intervention and assignment method</w:t>
      </w:r>
      <w:r w:rsidR="004F298C">
        <w:t xml:space="preserve">, </w:t>
      </w:r>
      <w:r w:rsidR="004F298C" w:rsidRPr="004F298C">
        <w:rPr>
          <w:i/>
          <w:iCs/>
        </w:rPr>
        <w:t>F</w:t>
      </w:r>
      <w:r w:rsidR="004F298C">
        <w:t>(1, 58) = 0.17,</w:t>
      </w:r>
      <w:r w:rsidR="00FB28A3">
        <w:t xml:space="preserve"> </w:t>
      </w:r>
      <w:r w:rsidR="00FB28A3" w:rsidRPr="00B605A9">
        <w:rPr>
          <w:i/>
          <w:iCs/>
        </w:rPr>
        <w:t>p</w:t>
      </w:r>
      <w:r w:rsidR="00FB28A3">
        <w:t xml:space="preserve"> = .68</w:t>
      </w:r>
      <w:r w:rsidR="003B0B39">
        <w:t>.</w:t>
      </w:r>
      <w:r w:rsidR="00FB28A3" w:rsidRPr="00FB28A3">
        <w:t xml:space="preserve"> </w:t>
      </w:r>
      <w:r w:rsidR="00B605A9">
        <w:t xml:space="preserve">Students who </w:t>
      </w:r>
      <w:r w:rsidR="00AB6B9D">
        <w:t xml:space="preserve">received either ACT or CBT at random </w:t>
      </w:r>
      <w:r w:rsidR="00B605A9">
        <w:t>had significantly greater adherence (</w:t>
      </w:r>
      <w:r w:rsidR="00B605A9" w:rsidRPr="00B605A9">
        <w:rPr>
          <w:i/>
          <w:iCs/>
        </w:rPr>
        <w:t>M</w:t>
      </w:r>
      <w:r w:rsidR="00B605A9">
        <w:t xml:space="preserve"> = 63.4</w:t>
      </w:r>
      <w:r w:rsidR="00780D99">
        <w:t>%</w:t>
      </w:r>
      <w:r w:rsidR="00B605A9">
        <w:t xml:space="preserve"> </w:t>
      </w:r>
      <w:r w:rsidR="00B605A9" w:rsidRPr="00B605A9">
        <w:rPr>
          <w:i/>
          <w:iCs/>
        </w:rPr>
        <w:t>SD</w:t>
      </w:r>
      <w:r w:rsidR="00B605A9">
        <w:t xml:space="preserve"> = 4.9) compared to students who chose their book (</w:t>
      </w:r>
      <w:r w:rsidR="00B605A9" w:rsidRPr="00B605A9">
        <w:rPr>
          <w:i/>
          <w:iCs/>
        </w:rPr>
        <w:t>M</w:t>
      </w:r>
      <w:r w:rsidR="00B605A9">
        <w:t xml:space="preserve"> = 33.4</w:t>
      </w:r>
      <w:r w:rsidR="00780D99">
        <w:t>%</w:t>
      </w:r>
      <w:r w:rsidR="00B605A9">
        <w:t xml:space="preserve">, </w:t>
      </w:r>
      <w:r w:rsidR="00B605A9" w:rsidRPr="00B605A9">
        <w:rPr>
          <w:i/>
          <w:iCs/>
        </w:rPr>
        <w:t>SD</w:t>
      </w:r>
      <w:r w:rsidR="00B605A9">
        <w:t xml:space="preserve"> = 7.2), according to a post hoc comparison made using the Tukey HSD at a 95% confidence level </w:t>
      </w:r>
      <w:r w:rsidR="00B605A9">
        <w:lastRenderedPageBreak/>
        <w:t>(</w:t>
      </w:r>
      <w:r w:rsidR="00B605A9" w:rsidRPr="00B605A9">
        <w:rPr>
          <w:i/>
          <w:iCs/>
        </w:rPr>
        <w:t>p</w:t>
      </w:r>
      <w:r w:rsidR="00B605A9">
        <w:t xml:space="preserve"> = .001).</w:t>
      </w:r>
      <w:r w:rsidR="00B52129">
        <w:t xml:space="preserve"> This finding suggests </w:t>
      </w:r>
      <w:r w:rsidR="00256B25">
        <w:t>that</w:t>
      </w:r>
      <w:r w:rsidR="00B52129">
        <w:t xml:space="preserve"> randomization</w:t>
      </w:r>
      <w:r w:rsidR="00256B25">
        <w:t>,</w:t>
      </w:r>
      <w:r w:rsidR="00B52129">
        <w:t xml:space="preserve"> </w:t>
      </w:r>
      <w:r w:rsidR="009D746F">
        <w:t>and not</w:t>
      </w:r>
      <w:r w:rsidR="00B52129">
        <w:t xml:space="preserve"> choice</w:t>
      </w:r>
      <w:r w:rsidR="00256B25">
        <w:t>,</w:t>
      </w:r>
      <w:r w:rsidR="00B52129">
        <w:t xml:space="preserve"> predicted </w:t>
      </w:r>
      <w:r w:rsidR="009D746F">
        <w:t>better</w:t>
      </w:r>
      <w:r w:rsidR="00B52129">
        <w:t xml:space="preserve"> adherence to self-help books</w:t>
      </w:r>
      <w:r w:rsidR="00256B25">
        <w:t>, contradictory to our predictions.</w:t>
      </w:r>
      <w:r w:rsidR="00AE23AA">
        <w:t xml:space="preserve"> Additionally, n</w:t>
      </w:r>
      <w:r w:rsidR="00207CBB">
        <w:t>either changes in depression (</w:t>
      </w:r>
      <w:r w:rsidR="00207CBB" w:rsidRPr="00207CBB">
        <w:rPr>
          <w:i/>
          <w:iCs/>
        </w:rPr>
        <w:t>r</w:t>
      </w:r>
      <w:r w:rsidR="00207CBB">
        <w:t xml:space="preserve"> = 0.04, </w:t>
      </w:r>
      <w:r w:rsidR="00207CBB" w:rsidRPr="00207CBB">
        <w:rPr>
          <w:i/>
          <w:iCs/>
        </w:rPr>
        <w:t>p</w:t>
      </w:r>
      <w:r w:rsidR="00207CBB">
        <w:t xml:space="preserve"> = .77) nor anxiety (</w:t>
      </w:r>
      <w:r w:rsidR="00207CBB" w:rsidRPr="00207CBB">
        <w:rPr>
          <w:i/>
          <w:iCs/>
        </w:rPr>
        <w:t>r</w:t>
      </w:r>
      <w:r w:rsidR="00207CBB">
        <w:t xml:space="preserve"> = 0.07, </w:t>
      </w:r>
      <w:r w:rsidR="00207CBB" w:rsidRPr="00207CBB">
        <w:rPr>
          <w:i/>
          <w:iCs/>
        </w:rPr>
        <w:t>p</w:t>
      </w:r>
      <w:r w:rsidR="00207CBB">
        <w:t xml:space="preserve"> = .62)</w:t>
      </w:r>
      <w:r w:rsidR="00290C9F">
        <w:t xml:space="preserve"> over the course of treatment were significantly correlated with adherence.</w:t>
      </w:r>
      <w:r w:rsidR="003C4762">
        <w:t xml:space="preserve"> </w:t>
      </w:r>
    </w:p>
    <w:p w14:paraId="057FBED5" w14:textId="77777777" w:rsidR="001F7CF1" w:rsidRPr="006A42F5" w:rsidRDefault="001F7CF1" w:rsidP="00490F3A">
      <w:pPr>
        <w:spacing w:line="480" w:lineRule="auto"/>
        <w:rPr>
          <w:b/>
          <w:bCs/>
        </w:rPr>
      </w:pPr>
      <w:r w:rsidRPr="006A42F5">
        <w:rPr>
          <w:b/>
          <w:bCs/>
        </w:rPr>
        <w:t>Satisfaction with books</w:t>
      </w:r>
    </w:p>
    <w:p w14:paraId="6B5A6273" w14:textId="25D55BDF" w:rsidR="001F7CF1" w:rsidRPr="006872A6" w:rsidRDefault="001F7CF1" w:rsidP="00490F3A">
      <w:pPr>
        <w:spacing w:line="480" w:lineRule="auto"/>
        <w:ind w:firstLine="720"/>
      </w:pPr>
      <w:r>
        <w:t>Students rated their satisfaction with various aspects of the self-help books on a 6-point scal</w:t>
      </w:r>
      <w:r w:rsidR="009D746F">
        <w:t>e, with v</w:t>
      </w:r>
      <w:r>
        <w:t xml:space="preserve">alues of 4 and higher </w:t>
      </w:r>
      <w:r w:rsidR="009D746F">
        <w:t>indicating</w:t>
      </w:r>
      <w:r>
        <w:t xml:space="preserve"> that students were </w:t>
      </w:r>
      <w:r w:rsidR="008F7488">
        <w:t xml:space="preserve">at least </w:t>
      </w:r>
      <w:r w:rsidR="00EE6A91">
        <w:t>somewhat</w:t>
      </w:r>
      <w:r w:rsidR="008F7488">
        <w:t xml:space="preserve"> </w:t>
      </w:r>
      <w:r>
        <w:t xml:space="preserve">satisfied. According to two-way ANOVA tests, there were no differences between the four groups on any satisfaction items (all </w:t>
      </w:r>
      <w:proofErr w:type="spellStart"/>
      <w:r>
        <w:rPr>
          <w:i/>
          <w:iCs/>
        </w:rPr>
        <w:t>p</w:t>
      </w:r>
      <w:r>
        <w:t>s</w:t>
      </w:r>
      <w:proofErr w:type="spellEnd"/>
      <w:r>
        <w:t xml:space="preserve"> &gt; .10), </w:t>
      </w:r>
      <w:r w:rsidR="009D746F">
        <w:t>suggesting</w:t>
      </w:r>
      <w:r>
        <w:t xml:space="preserve"> that students were equally satisfied with the book they read regardless of the approach and whether they chose it or were randomly assigned. The four groups rated overall satisfaction </w:t>
      </w:r>
      <w:r w:rsidR="009D746F">
        <w:t>similarly</w:t>
      </w:r>
      <w:r>
        <w:t xml:space="preserve"> high (</w:t>
      </w:r>
      <w:r w:rsidRPr="00B32ABA">
        <w:t>ACT-Randomized</w:t>
      </w:r>
      <w:r>
        <w:t xml:space="preserve"> M = 4.9, SD = 1.1;</w:t>
      </w:r>
      <w:r w:rsidRPr="00B32ABA">
        <w:t xml:space="preserve"> ACT-Choice</w:t>
      </w:r>
      <w:r>
        <w:t xml:space="preserve"> </w:t>
      </w:r>
      <w:r w:rsidRPr="00506ACD">
        <w:rPr>
          <w:i/>
          <w:iCs/>
        </w:rPr>
        <w:t>M</w:t>
      </w:r>
      <w:r>
        <w:t xml:space="preserve"> = 4.7, </w:t>
      </w:r>
      <w:r w:rsidRPr="00506ACD">
        <w:rPr>
          <w:i/>
          <w:iCs/>
        </w:rPr>
        <w:t>SD</w:t>
      </w:r>
      <w:r>
        <w:t xml:space="preserve"> = 1.3;</w:t>
      </w:r>
      <w:r w:rsidRPr="00B32ABA">
        <w:t xml:space="preserve"> </w:t>
      </w:r>
      <w:r w:rsidR="00496F84">
        <w:t>t</w:t>
      </w:r>
      <w:r w:rsidRPr="00B32ABA">
        <w:t>CBT-Randomized</w:t>
      </w:r>
      <w:r>
        <w:t xml:space="preserve"> </w:t>
      </w:r>
      <w:r w:rsidRPr="00506ACD">
        <w:rPr>
          <w:i/>
          <w:iCs/>
        </w:rPr>
        <w:t>M</w:t>
      </w:r>
      <w:r>
        <w:t xml:space="preserve"> = 4.6, </w:t>
      </w:r>
      <w:r w:rsidRPr="00506ACD">
        <w:rPr>
          <w:i/>
          <w:iCs/>
        </w:rPr>
        <w:t>SD</w:t>
      </w:r>
      <w:r>
        <w:t xml:space="preserve"> = 0.9;</w:t>
      </w:r>
      <w:r w:rsidRPr="00B32ABA">
        <w:t xml:space="preserve"> </w:t>
      </w:r>
      <w:r w:rsidR="00496F84">
        <w:t>t</w:t>
      </w:r>
      <w:r w:rsidRPr="00B32ABA">
        <w:t>CBT-Choice</w:t>
      </w:r>
      <w:r>
        <w:t xml:space="preserve"> </w:t>
      </w:r>
      <w:r w:rsidRPr="00506ACD">
        <w:rPr>
          <w:i/>
          <w:iCs/>
        </w:rPr>
        <w:t>M</w:t>
      </w:r>
      <w:r>
        <w:t xml:space="preserve"> = 4.8, </w:t>
      </w:r>
      <w:r w:rsidRPr="00506ACD">
        <w:rPr>
          <w:i/>
          <w:iCs/>
        </w:rPr>
        <w:t>SD</w:t>
      </w:r>
      <w:r>
        <w:t xml:space="preserve"> = 0.5). </w:t>
      </w:r>
      <w:r w:rsidR="00490F3A" w:rsidRPr="00490F3A">
        <w:t>Additionally, all groups indicated they would likely recommend the self-help book they used to other students with depression (ACT-Randomized M = 5.0, SD = 1.2; ACT-Choice M = 4.7, SD = 1.4; tCBT-Randomized M = 4.5, SD = 1.3; tCBT-Choice M = 4.5, SD = 1.9). Students were overall less satisfied, however, with the online format of the books when asked if they would have rather used a printed copy (ACT-Randomized M = 3.1, SD = 1.6; ACT-Choice M = 3.2, SD = 1.8; tCBT-Randomized M = 2.6, SD = 1.4; tCBT-Choice M = 2.8, SD = 1.5).</w:t>
      </w:r>
    </w:p>
    <w:p w14:paraId="36E97C06" w14:textId="77777777" w:rsidR="00823F1D" w:rsidRPr="006A42F5" w:rsidRDefault="00823F1D" w:rsidP="00490F3A">
      <w:pPr>
        <w:spacing w:line="480" w:lineRule="auto"/>
        <w:rPr>
          <w:b/>
          <w:bCs/>
        </w:rPr>
      </w:pPr>
      <w:r w:rsidRPr="006A42F5">
        <w:rPr>
          <w:b/>
          <w:bCs/>
        </w:rPr>
        <w:t>Mental health outcomes</w:t>
      </w:r>
    </w:p>
    <w:p w14:paraId="1D477849" w14:textId="6C775331" w:rsidR="00E07FB3" w:rsidRDefault="00EB7A17" w:rsidP="00AE23AA">
      <w:pPr>
        <w:spacing w:line="480" w:lineRule="auto"/>
        <w:ind w:firstLine="720"/>
      </w:pPr>
      <w:r w:rsidRPr="00EB7A17">
        <w:rPr>
          <w:i/>
          <w:iCs/>
        </w:rPr>
        <w:t>Depression</w:t>
      </w:r>
      <w:r>
        <w:t>.</w:t>
      </w:r>
      <w:r w:rsidR="00AE23AA" w:rsidRPr="00AE23AA">
        <w:t xml:space="preserve"> </w:t>
      </w:r>
      <w:r w:rsidR="00AE23AA" w:rsidRPr="00B32ABA">
        <w:t xml:space="preserve">Descriptive statistics of outcome variables at each timepoint are presented in </w:t>
      </w:r>
      <w:r w:rsidR="00AE23AA" w:rsidRPr="004B0269">
        <w:t xml:space="preserve">Table </w:t>
      </w:r>
      <w:r w:rsidR="00AE23AA">
        <w:t>2.</w:t>
      </w:r>
      <w:r>
        <w:t xml:space="preserve"> </w:t>
      </w:r>
      <w:r w:rsidR="00B607BC">
        <w:t>A significant effect for time was found for depression (</w:t>
      </w:r>
      <w:r w:rsidR="00B607BC" w:rsidRPr="0023073A">
        <w:rPr>
          <w:i/>
          <w:iCs/>
        </w:rPr>
        <w:sym w:font="Symbol" w:char="F062"/>
      </w:r>
      <w:r w:rsidR="00B607BC">
        <w:rPr>
          <w:i/>
          <w:iCs/>
        </w:rPr>
        <w:t xml:space="preserve"> </w:t>
      </w:r>
      <w:r w:rsidR="00B607BC" w:rsidRPr="00E07FB3">
        <w:t>= -0.46</w:t>
      </w:r>
      <w:r w:rsidR="00B607BC">
        <w:rPr>
          <w:i/>
          <w:iCs/>
        </w:rPr>
        <w:t xml:space="preserve">, p </w:t>
      </w:r>
      <w:r w:rsidR="00B607BC">
        <w:t xml:space="preserve">&lt; .001; see Table </w:t>
      </w:r>
      <w:r w:rsidR="003662C3">
        <w:t>3</w:t>
      </w:r>
      <w:r w:rsidR="00B607BC">
        <w:t xml:space="preserve"> for all outcome models), indicating that </w:t>
      </w:r>
      <w:r w:rsidR="00E07FB3">
        <w:t>depression s</w:t>
      </w:r>
      <w:r w:rsidR="00B607BC">
        <w:t>cores decreased an average of 0.46 SDs per timepoint</w:t>
      </w:r>
      <w:r w:rsidR="00EC7904">
        <w:t xml:space="preserve"> across all groups</w:t>
      </w:r>
      <w:r w:rsidR="00B607BC">
        <w:t xml:space="preserve">. The two-way interaction of time by book was significant for </w:t>
      </w:r>
      <w:r w:rsidR="00B607BC">
        <w:lastRenderedPageBreak/>
        <w:t>depression (</w:t>
      </w:r>
      <w:r w:rsidR="00B607BC" w:rsidRPr="0023073A">
        <w:rPr>
          <w:i/>
          <w:iCs/>
        </w:rPr>
        <w:sym w:font="Symbol" w:char="F062"/>
      </w:r>
      <w:r w:rsidR="00B607BC">
        <w:rPr>
          <w:i/>
          <w:iCs/>
        </w:rPr>
        <w:t xml:space="preserve">  </w:t>
      </w:r>
      <w:r w:rsidR="00B607BC">
        <w:rPr>
          <w:b/>
          <w:bCs/>
          <w:i/>
          <w:iCs/>
        </w:rPr>
        <w:t xml:space="preserve">= </w:t>
      </w:r>
      <w:r w:rsidR="00B607BC" w:rsidRPr="00B607BC">
        <w:t>0.</w:t>
      </w:r>
      <w:r w:rsidR="00B607BC">
        <w:t>19</w:t>
      </w:r>
      <w:r w:rsidR="00B607BC" w:rsidRPr="00B607BC">
        <w:t>,</w:t>
      </w:r>
      <w:r w:rsidR="00B607BC">
        <w:rPr>
          <w:i/>
          <w:iCs/>
        </w:rPr>
        <w:t xml:space="preserve"> p </w:t>
      </w:r>
      <w:r w:rsidR="00D42072">
        <w:t>=</w:t>
      </w:r>
      <w:r w:rsidR="00B607BC">
        <w:t xml:space="preserve"> .041)</w:t>
      </w:r>
      <w:r w:rsidR="00B607BC" w:rsidRPr="00B32ABA">
        <w:t xml:space="preserve">, such that students </w:t>
      </w:r>
      <w:r w:rsidR="00FC4910">
        <w:t>receiving</w:t>
      </w:r>
      <w:r w:rsidR="008F7488">
        <w:t xml:space="preserve"> </w:t>
      </w:r>
      <w:r w:rsidR="00B607BC" w:rsidRPr="00B32ABA">
        <w:t>the ACT book saw</w:t>
      </w:r>
      <w:r w:rsidR="00B607BC">
        <w:t xml:space="preserve"> average </w:t>
      </w:r>
      <w:r w:rsidR="00B607BC" w:rsidRPr="00B32ABA">
        <w:t xml:space="preserve">reductions in depression </w:t>
      </w:r>
      <w:r w:rsidR="00B607BC">
        <w:t xml:space="preserve">of </w:t>
      </w:r>
      <w:r w:rsidR="00B607BC" w:rsidRPr="00B32ABA">
        <w:t xml:space="preserve">0.19 </w:t>
      </w:r>
      <w:r w:rsidR="00B607BC">
        <w:t>SD greater</w:t>
      </w:r>
      <w:r w:rsidR="00B607BC" w:rsidRPr="00B32ABA">
        <w:t xml:space="preserve"> per timepoint compared to those </w:t>
      </w:r>
      <w:r w:rsidR="00FC4910">
        <w:t>receiving</w:t>
      </w:r>
      <w:r w:rsidR="00FC4910" w:rsidRPr="00B32ABA">
        <w:t xml:space="preserve"> </w:t>
      </w:r>
      <w:r w:rsidR="00B607BC" w:rsidRPr="00B32ABA">
        <w:t xml:space="preserve">the </w:t>
      </w:r>
      <w:r w:rsidR="00496F84">
        <w:t>t</w:t>
      </w:r>
      <w:r w:rsidR="00B607BC" w:rsidRPr="00B32ABA">
        <w:t>CBT book</w:t>
      </w:r>
      <w:r w:rsidR="00D42072">
        <w:t>.</w:t>
      </w:r>
      <w:r w:rsidR="00D42072" w:rsidRPr="00D42072">
        <w:t xml:space="preserve"> </w:t>
      </w:r>
      <w:r w:rsidR="00EC7904">
        <w:t>This suggests a</w:t>
      </w:r>
      <w:r w:rsidR="009D746F">
        <w:t xml:space="preserve">n </w:t>
      </w:r>
      <w:r w:rsidR="00EC7904">
        <w:t xml:space="preserve">overall advantage for ACT in reducing depression compared to </w:t>
      </w:r>
      <w:r w:rsidR="00496F84">
        <w:t>t</w:t>
      </w:r>
      <w:r w:rsidR="00EC7904">
        <w:t xml:space="preserve">CBT. </w:t>
      </w:r>
      <w:r w:rsidR="00E07FB3">
        <w:t xml:space="preserve">The two-way interaction of time by assignment method </w:t>
      </w:r>
      <w:r w:rsidR="00CE5086">
        <w:t xml:space="preserve">was not significant </w:t>
      </w:r>
      <w:r w:rsidR="000E4BDF">
        <w:t xml:space="preserve">for depression outcomes </w:t>
      </w:r>
      <w:r w:rsidR="00E07FB3">
        <w:t>(</w:t>
      </w:r>
      <w:r w:rsidR="00E07FB3">
        <w:rPr>
          <w:i/>
          <w:iCs/>
        </w:rPr>
        <w:t xml:space="preserve">p </w:t>
      </w:r>
      <w:r w:rsidR="00E07FB3">
        <w:t>= .052</w:t>
      </w:r>
      <w:r w:rsidR="00CE5086">
        <w:t xml:space="preserve">). </w:t>
      </w:r>
      <w:r w:rsidR="00D42072">
        <w:t>Finally, the</w:t>
      </w:r>
      <w:r w:rsidR="00D42072" w:rsidRPr="00B32ABA">
        <w:t xml:space="preserve"> three-way interaction of time, book, and assignment method was</w:t>
      </w:r>
      <w:r w:rsidR="00D42072">
        <w:t xml:space="preserve"> </w:t>
      </w:r>
      <w:r w:rsidR="00D42072" w:rsidRPr="00B32ABA">
        <w:t>significant for depression</w:t>
      </w:r>
      <w:r w:rsidR="00D42072">
        <w:t xml:space="preserve"> (</w:t>
      </w:r>
      <w:r w:rsidR="00D42072" w:rsidRPr="0023073A">
        <w:rPr>
          <w:i/>
          <w:iCs/>
        </w:rPr>
        <w:sym w:font="Symbol" w:char="F062"/>
      </w:r>
      <w:r w:rsidR="00D42072">
        <w:rPr>
          <w:i/>
          <w:iCs/>
        </w:rPr>
        <w:t xml:space="preserve">  </w:t>
      </w:r>
      <w:r w:rsidR="00D42072">
        <w:rPr>
          <w:b/>
          <w:bCs/>
          <w:i/>
          <w:iCs/>
        </w:rPr>
        <w:t xml:space="preserve">= </w:t>
      </w:r>
      <w:r w:rsidR="00D42072">
        <w:t>-</w:t>
      </w:r>
      <w:r w:rsidR="00D42072" w:rsidRPr="00B607BC">
        <w:t>0.</w:t>
      </w:r>
      <w:r w:rsidR="00D42072">
        <w:t>33</w:t>
      </w:r>
      <w:r w:rsidR="00D42072" w:rsidRPr="00B607BC">
        <w:t>,</w:t>
      </w:r>
      <w:r w:rsidR="00D42072">
        <w:rPr>
          <w:i/>
          <w:iCs/>
        </w:rPr>
        <w:t xml:space="preserve"> p </w:t>
      </w:r>
      <w:r w:rsidR="00D42072">
        <w:t xml:space="preserve">= .036). </w:t>
      </w:r>
      <w:r w:rsidR="00FC4910">
        <w:t>Th</w:t>
      </w:r>
      <w:r w:rsidR="000E4BDF">
        <w:t xml:space="preserve">is </w:t>
      </w:r>
      <w:r w:rsidR="00C97299">
        <w:t>suggests</w:t>
      </w:r>
      <w:r w:rsidR="00D42072">
        <w:t xml:space="preserve"> </w:t>
      </w:r>
      <w:r w:rsidR="00D42072" w:rsidRPr="00B32ABA">
        <w:t xml:space="preserve">that when participants had a choice of treatment, the </w:t>
      </w:r>
      <w:r w:rsidR="00496F84">
        <w:t>t</w:t>
      </w:r>
      <w:r w:rsidR="00D42072" w:rsidRPr="00B32ABA">
        <w:t xml:space="preserve">CBT book produced greater improvements </w:t>
      </w:r>
      <w:r w:rsidR="00730F6E">
        <w:t xml:space="preserve">in depression </w:t>
      </w:r>
      <w:r w:rsidR="00D42072" w:rsidRPr="00B32ABA">
        <w:t>over time, with the ACT book performing better for those who were randomized</w:t>
      </w:r>
      <w:r w:rsidR="00FC4910">
        <w:t xml:space="preserve"> (i.e., choosing </w:t>
      </w:r>
      <w:r w:rsidR="00496F84">
        <w:t>t</w:t>
      </w:r>
      <w:r w:rsidR="00FC4910">
        <w:t xml:space="preserve">CBT does better than choosing ACT, while being assigned ACT does better than being assigned </w:t>
      </w:r>
      <w:r w:rsidR="00496F84">
        <w:t>t</w:t>
      </w:r>
      <w:r w:rsidR="00FC4910">
        <w:t>CBT)</w:t>
      </w:r>
      <w:r w:rsidR="00D42072">
        <w:t>.</w:t>
      </w:r>
    </w:p>
    <w:p w14:paraId="59DE4762" w14:textId="517F2986" w:rsidR="00E07FB3" w:rsidRDefault="00E07FB3" w:rsidP="00E07FB3">
      <w:pPr>
        <w:spacing w:line="480" w:lineRule="auto"/>
        <w:ind w:firstLine="720"/>
      </w:pPr>
      <w:r>
        <w:t xml:space="preserve">We </w:t>
      </w:r>
      <w:r w:rsidR="009D746F">
        <w:t xml:space="preserve">further </w:t>
      </w:r>
      <w:r w:rsidR="00F42F17">
        <w:t xml:space="preserve">examined </w:t>
      </w:r>
      <w:r>
        <w:t xml:space="preserve">this </w:t>
      </w:r>
      <w:r w:rsidR="00D42072">
        <w:t>three-way interaction</w:t>
      </w:r>
      <w:r>
        <w:t xml:space="preserve"> </w:t>
      </w:r>
      <w:r w:rsidR="00730F6E">
        <w:t xml:space="preserve">on depression outcomes </w:t>
      </w:r>
      <w:r>
        <w:t xml:space="preserve">with a series of post hoc tests of Cohen’s </w:t>
      </w:r>
      <w:r>
        <w:rPr>
          <w:i/>
          <w:iCs/>
        </w:rPr>
        <w:t>d</w:t>
      </w:r>
      <w:r>
        <w:t xml:space="preserve"> effect sizes. These tests</w:t>
      </w:r>
      <w:r w:rsidR="00D42072">
        <w:t xml:space="preserve"> </w:t>
      </w:r>
      <w:r w:rsidR="00D42072" w:rsidRPr="00B32ABA">
        <w:t xml:space="preserve">revealed that students who chose the </w:t>
      </w:r>
      <w:r w:rsidR="00496F84">
        <w:t>t</w:t>
      </w:r>
      <w:r w:rsidR="00D42072" w:rsidRPr="00B32ABA">
        <w:t xml:space="preserve">CBT book saw a large between-group effect </w:t>
      </w:r>
      <w:r w:rsidR="00730F6E">
        <w:t xml:space="preserve">of reduced depression </w:t>
      </w:r>
      <w:r w:rsidR="00D42072" w:rsidRPr="00B32ABA">
        <w:t>during treatment (</w:t>
      </w:r>
      <w:r w:rsidR="00D42072" w:rsidRPr="00B32ABA">
        <w:rPr>
          <w:i/>
          <w:iCs/>
        </w:rPr>
        <w:t>d</w:t>
      </w:r>
      <w:r w:rsidR="00D42072" w:rsidRPr="00B32ABA">
        <w:t xml:space="preserve"> = -1.30, 95% CI [-2.30, -.31]), as did students who chose ACT (</w:t>
      </w:r>
      <w:r w:rsidR="00D42072" w:rsidRPr="00B32ABA">
        <w:rPr>
          <w:i/>
          <w:iCs/>
        </w:rPr>
        <w:t>d</w:t>
      </w:r>
      <w:r w:rsidR="00D42072" w:rsidRPr="00B32ABA">
        <w:t xml:space="preserve"> = -.94, 95% CI [-1.62, -.27]). A small effect size suggesting increased depression between post and follow-up was detected for students who chose ACT (</w:t>
      </w:r>
      <w:r w:rsidR="00D42072" w:rsidRPr="00B32ABA">
        <w:rPr>
          <w:i/>
          <w:iCs/>
        </w:rPr>
        <w:t>d</w:t>
      </w:r>
      <w:r w:rsidR="00D42072" w:rsidRPr="00B32ABA">
        <w:t xml:space="preserve"> = .26, 95% CI [-.47, .99]), compared to a negligible effect over the same </w:t>
      </w:r>
      <w:proofErr w:type="gramStart"/>
      <w:r w:rsidR="00D42072" w:rsidRPr="00B32ABA">
        <w:t>time period</w:t>
      </w:r>
      <w:proofErr w:type="gramEnd"/>
      <w:r w:rsidR="00D42072" w:rsidRPr="00B32ABA">
        <w:t xml:space="preserve"> for those who chose </w:t>
      </w:r>
      <w:r w:rsidR="00496F84">
        <w:t>t</w:t>
      </w:r>
      <w:r w:rsidR="00D42072" w:rsidRPr="00B32ABA">
        <w:t>CBT (</w:t>
      </w:r>
      <w:r w:rsidR="00D42072" w:rsidRPr="00B32ABA">
        <w:rPr>
          <w:i/>
          <w:iCs/>
        </w:rPr>
        <w:t>d</w:t>
      </w:r>
      <w:r w:rsidR="00D42072" w:rsidRPr="00B32ABA">
        <w:t xml:space="preserve"> = .04, 95% CI [-1.04, 1.12]). Among randomized students, the ACT group saw a large effect during treatment (</w:t>
      </w:r>
      <w:r w:rsidR="00D42072" w:rsidRPr="00B32ABA">
        <w:rPr>
          <w:i/>
          <w:iCs/>
        </w:rPr>
        <w:t>d</w:t>
      </w:r>
      <w:r w:rsidR="00D42072" w:rsidRPr="00B32ABA">
        <w:t xml:space="preserve"> = -1.18, 95% CI [-1.75, -.60]), as did the </w:t>
      </w:r>
      <w:r w:rsidR="00496F84">
        <w:t>t</w:t>
      </w:r>
      <w:r w:rsidR="00D42072" w:rsidRPr="00B32ABA">
        <w:t xml:space="preserve">CBT group (-.98, 95% CI [-1.54, -.42]). From posttreatment to follow-up, students randomized to </w:t>
      </w:r>
      <w:r w:rsidR="00496F84">
        <w:t>t</w:t>
      </w:r>
      <w:r w:rsidR="00D42072" w:rsidRPr="00B32ABA">
        <w:t>CBT experienced a negligible effect for depression (</w:t>
      </w:r>
      <w:r w:rsidR="00D42072" w:rsidRPr="00B32ABA">
        <w:rPr>
          <w:i/>
          <w:iCs/>
        </w:rPr>
        <w:t>d</w:t>
      </w:r>
      <w:r w:rsidR="00D42072" w:rsidRPr="00B32ABA">
        <w:t xml:space="preserve"> = .20, 95% </w:t>
      </w:r>
      <w:r w:rsidR="00D01AD0" w:rsidRPr="00B32ABA">
        <w:t>CI [</w:t>
      </w:r>
      <w:r w:rsidR="00D42072" w:rsidRPr="00B32ABA">
        <w:t>-.40, .79]), whereas those randomized to the ACT book had small effects indicating decreased depression over the same period (</w:t>
      </w:r>
      <w:r w:rsidR="00D42072" w:rsidRPr="00B32ABA">
        <w:rPr>
          <w:i/>
          <w:iCs/>
        </w:rPr>
        <w:t>d</w:t>
      </w:r>
      <w:r w:rsidR="00D42072" w:rsidRPr="00B32ABA">
        <w:t xml:space="preserve"> = -.37, 95% CI [-1.07, .33]).</w:t>
      </w:r>
      <w:r w:rsidR="00944B98">
        <w:t xml:space="preserve"> This would suggest that improvements in depression were largely similar across groups during</w:t>
      </w:r>
      <w:r w:rsidR="00730F6E">
        <w:t xml:space="preserve"> the 10-week</w:t>
      </w:r>
      <w:r w:rsidR="00944B98">
        <w:t xml:space="preserve"> treatment</w:t>
      </w:r>
      <w:r w:rsidR="00730F6E">
        <w:t xml:space="preserve"> period</w:t>
      </w:r>
      <w:r w:rsidR="00944B98">
        <w:t>. During the follow-up period, however, students who were using the ACT book diverged based on assignment method</w:t>
      </w:r>
      <w:r w:rsidR="00823F1D">
        <w:t xml:space="preserve">: </w:t>
      </w:r>
      <w:r w:rsidR="00823F1D">
        <w:lastRenderedPageBreak/>
        <w:t>s</w:t>
      </w:r>
      <w:r w:rsidR="00944B98">
        <w:t xml:space="preserve">tudents who chose ACT saw depression increase somewhat over this time, whereas those who were randomized to ACT </w:t>
      </w:r>
      <w:r w:rsidR="00823F1D">
        <w:t>built on gains made during the treatment period</w:t>
      </w:r>
      <w:r w:rsidR="001C457A">
        <w:t>, though at a slower rate.</w:t>
      </w:r>
    </w:p>
    <w:p w14:paraId="3FC6C2F8" w14:textId="38BF76E9" w:rsidR="00B32ABA" w:rsidRPr="00B32ABA" w:rsidRDefault="00EB7A17" w:rsidP="00496F84">
      <w:pPr>
        <w:spacing w:line="480" w:lineRule="auto"/>
        <w:ind w:firstLine="720"/>
      </w:pPr>
      <w:r>
        <w:rPr>
          <w:i/>
          <w:iCs/>
        </w:rPr>
        <w:t xml:space="preserve">Anxiety. </w:t>
      </w:r>
      <w:proofErr w:type="gramStart"/>
      <w:r w:rsidR="00E07FB3">
        <w:t>Similar to</w:t>
      </w:r>
      <w:proofErr w:type="gramEnd"/>
      <w:r w:rsidR="00E07FB3">
        <w:t xml:space="preserve"> depression, we found a significant time effect for anxiety (</w:t>
      </w:r>
      <w:r w:rsidR="00E07FB3" w:rsidRPr="0023073A">
        <w:rPr>
          <w:i/>
          <w:iCs/>
        </w:rPr>
        <w:sym w:font="Symbol" w:char="F062"/>
      </w:r>
      <w:r w:rsidR="00E07FB3">
        <w:rPr>
          <w:i/>
          <w:iCs/>
        </w:rPr>
        <w:t xml:space="preserve">  </w:t>
      </w:r>
      <w:r w:rsidR="00E07FB3">
        <w:rPr>
          <w:b/>
          <w:bCs/>
          <w:i/>
          <w:iCs/>
        </w:rPr>
        <w:t xml:space="preserve">= </w:t>
      </w:r>
      <w:r w:rsidR="00E07FB3">
        <w:t>-</w:t>
      </w:r>
      <w:r w:rsidR="00E07FB3" w:rsidRPr="00B607BC">
        <w:t>0.</w:t>
      </w:r>
      <w:r w:rsidR="00E07FB3">
        <w:t>41</w:t>
      </w:r>
      <w:r w:rsidR="00E07FB3" w:rsidRPr="00B607BC">
        <w:t>,</w:t>
      </w:r>
      <w:r w:rsidR="00E07FB3">
        <w:rPr>
          <w:i/>
          <w:iCs/>
        </w:rPr>
        <w:t xml:space="preserve"> p </w:t>
      </w:r>
      <w:r w:rsidR="00E07FB3">
        <w:t>&lt; .001), indicating that anxiety scores decreased by approximately 0.41 SDs per timepoint</w:t>
      </w:r>
      <w:r w:rsidR="00912DBA">
        <w:t xml:space="preserve"> across all groups</w:t>
      </w:r>
      <w:r w:rsidR="00E07FB3">
        <w:t>.</w:t>
      </w:r>
      <w:r w:rsidR="00E07FB3" w:rsidRPr="00E07FB3">
        <w:t xml:space="preserve"> </w:t>
      </w:r>
      <w:r w:rsidR="00E07FB3" w:rsidRPr="00B32ABA">
        <w:t>The interaction of time by book was not significant for anxiety (</w:t>
      </w:r>
      <w:r w:rsidR="00E07FB3" w:rsidRPr="00B32ABA">
        <w:rPr>
          <w:i/>
          <w:iCs/>
        </w:rPr>
        <w:t>p</w:t>
      </w:r>
      <w:r w:rsidR="00E07FB3" w:rsidRPr="00B32ABA">
        <w:t xml:space="preserve"> </w:t>
      </w:r>
      <w:r w:rsidR="00E07FB3">
        <w:t>=</w:t>
      </w:r>
      <w:r w:rsidR="00E07FB3" w:rsidRPr="00B32ABA">
        <w:t xml:space="preserve"> .</w:t>
      </w:r>
      <w:r w:rsidR="00E07FB3">
        <w:t>11</w:t>
      </w:r>
      <w:r w:rsidR="00E07FB3" w:rsidRPr="00B32ABA">
        <w:t>)</w:t>
      </w:r>
      <w:r w:rsidR="00E07FB3">
        <w:t>, though the interaction of time by assignment method was (</w:t>
      </w:r>
      <w:r w:rsidR="00E07FB3" w:rsidRPr="0023073A">
        <w:rPr>
          <w:i/>
          <w:iCs/>
        </w:rPr>
        <w:sym w:font="Symbol" w:char="F062"/>
      </w:r>
      <w:r w:rsidR="00E07FB3">
        <w:rPr>
          <w:i/>
          <w:iCs/>
        </w:rPr>
        <w:t xml:space="preserve">  </w:t>
      </w:r>
      <w:r w:rsidR="00E07FB3">
        <w:rPr>
          <w:b/>
          <w:bCs/>
          <w:i/>
          <w:iCs/>
        </w:rPr>
        <w:t xml:space="preserve">= </w:t>
      </w:r>
      <w:r w:rsidR="00E07FB3" w:rsidRPr="00B607BC">
        <w:t>0.</w:t>
      </w:r>
      <w:r w:rsidR="00E07FB3">
        <w:t>24</w:t>
      </w:r>
      <w:r w:rsidR="00E07FB3" w:rsidRPr="00B607BC">
        <w:t>,</w:t>
      </w:r>
      <w:r w:rsidR="00E07FB3">
        <w:rPr>
          <w:i/>
          <w:iCs/>
        </w:rPr>
        <w:t xml:space="preserve"> p </w:t>
      </w:r>
      <w:r w:rsidR="00B10D05">
        <w:t>=</w:t>
      </w:r>
      <w:r w:rsidR="00E07FB3">
        <w:t xml:space="preserve"> .035). </w:t>
      </w:r>
      <w:r w:rsidR="009D746F">
        <w:t>A</w:t>
      </w:r>
      <w:r w:rsidR="00E07FB3" w:rsidRPr="00B32ABA">
        <w:t xml:space="preserve">nxiety decreased 0.24 </w:t>
      </w:r>
      <w:r w:rsidR="00E07FB3">
        <w:t>SD</w:t>
      </w:r>
      <w:r w:rsidR="00E07FB3" w:rsidRPr="00B32ABA">
        <w:t xml:space="preserve"> more per timepoint (</w:t>
      </w:r>
      <w:r w:rsidR="00E07FB3" w:rsidRPr="00B32ABA">
        <w:rPr>
          <w:i/>
          <w:iCs/>
        </w:rPr>
        <w:t>p</w:t>
      </w:r>
      <w:r w:rsidR="00E07FB3" w:rsidRPr="00B32ABA">
        <w:t xml:space="preserve"> = .035) for students who were randomized to a book compared to those who chose</w:t>
      </w:r>
      <w:r w:rsidR="00E07FB3">
        <w:t xml:space="preserve"> </w:t>
      </w:r>
      <w:r w:rsidR="009D746F">
        <w:t>one</w:t>
      </w:r>
      <w:r w:rsidR="0070394B">
        <w:t xml:space="preserve">. </w:t>
      </w:r>
      <w:r w:rsidR="00730F6E">
        <w:t xml:space="preserve">Thus, randomization appeared to have a </w:t>
      </w:r>
      <w:r w:rsidR="009D746F">
        <w:t xml:space="preserve">surprising </w:t>
      </w:r>
      <w:r w:rsidR="00730F6E">
        <w:t xml:space="preserve">positive effect on reducing anxiety compared to choosing a book. </w:t>
      </w:r>
      <w:r w:rsidR="00E07FB3" w:rsidRPr="00B32ABA">
        <w:t>The three-way interaction of time, book, and assignment method did not significantly predict anxiety (</w:t>
      </w:r>
      <w:r w:rsidR="00E07FB3" w:rsidRPr="00B32ABA">
        <w:rPr>
          <w:i/>
          <w:iCs/>
        </w:rPr>
        <w:t>p</w:t>
      </w:r>
      <w:r w:rsidR="00E07FB3" w:rsidRPr="00B32ABA">
        <w:t xml:space="preserve"> </w:t>
      </w:r>
      <w:r w:rsidR="00E07FB3">
        <w:t>=</w:t>
      </w:r>
      <w:r w:rsidR="00E07FB3" w:rsidRPr="00B32ABA">
        <w:t xml:space="preserve"> .</w:t>
      </w:r>
      <w:r w:rsidR="00E07FB3">
        <w:t>22</w:t>
      </w:r>
      <w:r w:rsidR="00E07FB3" w:rsidRPr="00B32ABA">
        <w:t>).</w:t>
      </w:r>
      <w:r w:rsidR="00912DBA">
        <w:t xml:space="preserve"> This indicates that, unlike depression, neither ACT or </w:t>
      </w:r>
      <w:r w:rsidR="00496F84">
        <w:t>t</w:t>
      </w:r>
      <w:r w:rsidR="00912DBA">
        <w:t>CBT had a particular advantage in reducing anxiety, nor did books show differential effects based on whether a student chose that book or was randomized to it.</w:t>
      </w:r>
    </w:p>
    <w:p w14:paraId="52C22E82" w14:textId="3FF78A19" w:rsidR="006A42F5" w:rsidRDefault="006A42F5" w:rsidP="006A42F5">
      <w:pPr>
        <w:spacing w:line="480" w:lineRule="auto"/>
        <w:jc w:val="center"/>
        <w:rPr>
          <w:b/>
        </w:rPr>
      </w:pPr>
      <w:r w:rsidRPr="006A42F5">
        <w:rPr>
          <w:b/>
        </w:rPr>
        <w:t>Discussion</w:t>
      </w:r>
    </w:p>
    <w:p w14:paraId="1D39FEC9" w14:textId="191200E0" w:rsidR="0057597D" w:rsidRDefault="008E3726" w:rsidP="008E3726">
      <w:pPr>
        <w:spacing w:line="480" w:lineRule="auto"/>
        <w:ind w:firstLine="720"/>
        <w:rPr>
          <w:bCs/>
        </w:rPr>
      </w:pPr>
      <w:r>
        <w:rPr>
          <w:bCs/>
        </w:rPr>
        <w:t>W</w:t>
      </w:r>
      <w:r w:rsidR="0057597D">
        <w:rPr>
          <w:bCs/>
        </w:rPr>
        <w:t xml:space="preserve">e expected that </w:t>
      </w:r>
      <w:r w:rsidR="00DE2751">
        <w:rPr>
          <w:bCs/>
        </w:rPr>
        <w:t xml:space="preserve">allowing students to choose the treatment they received would lead </w:t>
      </w:r>
      <w:r w:rsidR="00A8261F">
        <w:rPr>
          <w:bCs/>
        </w:rPr>
        <w:t>to greater adherence and clinical outcomes</w:t>
      </w:r>
      <w:r w:rsidR="00152607">
        <w:rPr>
          <w:bCs/>
        </w:rPr>
        <w:t xml:space="preserve"> for depression and anxiety</w:t>
      </w:r>
      <w:r w:rsidR="00DE2751">
        <w:rPr>
          <w:bCs/>
        </w:rPr>
        <w:t>.</w:t>
      </w:r>
      <w:r w:rsidR="004E55B5">
        <w:rPr>
          <w:bCs/>
        </w:rPr>
        <w:t xml:space="preserve"> </w:t>
      </w:r>
      <w:r w:rsidR="004E55B5" w:rsidRPr="004E55B5">
        <w:rPr>
          <w:bCs/>
        </w:rPr>
        <w:t xml:space="preserve">Surprisingly, we found that students who chose their self-help book </w:t>
      </w:r>
      <w:r w:rsidR="006C79D7">
        <w:rPr>
          <w:bCs/>
        </w:rPr>
        <w:t>adhered to</w:t>
      </w:r>
      <w:r w:rsidR="004E55B5" w:rsidRPr="004E55B5">
        <w:rPr>
          <w:bCs/>
        </w:rPr>
        <w:t xml:space="preserve"> the intervention </w:t>
      </w:r>
      <w:r w:rsidR="006C79D7">
        <w:rPr>
          <w:bCs/>
        </w:rPr>
        <w:t xml:space="preserve">less </w:t>
      </w:r>
      <w:r w:rsidR="00EA20DE">
        <w:rPr>
          <w:bCs/>
        </w:rPr>
        <w:t>and experienced</w:t>
      </w:r>
      <w:r w:rsidR="00A66C47">
        <w:rPr>
          <w:bCs/>
        </w:rPr>
        <w:t xml:space="preserve"> smaller reductions in anxiety</w:t>
      </w:r>
      <w:r w:rsidR="00C52868">
        <w:rPr>
          <w:bCs/>
        </w:rPr>
        <w:t xml:space="preserve"> than those randomly assigned either book</w:t>
      </w:r>
      <w:r w:rsidR="004E55B5" w:rsidRPr="004E55B5">
        <w:rPr>
          <w:bCs/>
        </w:rPr>
        <w:t xml:space="preserve">. </w:t>
      </w:r>
      <w:r w:rsidR="00CE5086">
        <w:rPr>
          <w:bCs/>
        </w:rPr>
        <w:t>The</w:t>
      </w:r>
      <w:r w:rsidR="00CE5086" w:rsidRPr="004E55B5">
        <w:rPr>
          <w:bCs/>
        </w:rPr>
        <w:t xml:space="preserve"> </w:t>
      </w:r>
      <w:r w:rsidR="006C79D7">
        <w:rPr>
          <w:bCs/>
        </w:rPr>
        <w:t xml:space="preserve">association between </w:t>
      </w:r>
      <w:r w:rsidR="004E55B5" w:rsidRPr="004E55B5">
        <w:rPr>
          <w:bCs/>
        </w:rPr>
        <w:t xml:space="preserve">choice </w:t>
      </w:r>
      <w:r w:rsidR="006C79D7">
        <w:rPr>
          <w:bCs/>
        </w:rPr>
        <w:t>and</w:t>
      </w:r>
      <w:r w:rsidR="004E55B5" w:rsidRPr="004E55B5">
        <w:rPr>
          <w:bCs/>
        </w:rPr>
        <w:t xml:space="preserve"> </w:t>
      </w:r>
      <w:r w:rsidR="006C79D7">
        <w:rPr>
          <w:bCs/>
        </w:rPr>
        <w:t>adherence</w:t>
      </w:r>
      <w:r w:rsidR="004E55B5" w:rsidRPr="004E55B5">
        <w:rPr>
          <w:bCs/>
        </w:rPr>
        <w:t xml:space="preserve"> held true above and beyond any discrepancies in adherence between books</w:t>
      </w:r>
      <w:r w:rsidR="00EA20DE">
        <w:rPr>
          <w:bCs/>
        </w:rPr>
        <w:t xml:space="preserve"> based on therapeutic modality</w:t>
      </w:r>
      <w:r w:rsidR="004E55B5" w:rsidRPr="004E55B5">
        <w:rPr>
          <w:bCs/>
        </w:rPr>
        <w:t>. While previous studies</w:t>
      </w:r>
      <w:r w:rsidR="00837008">
        <w:rPr>
          <w:bCs/>
        </w:rPr>
        <w:t xml:space="preserve"> of online CBTs</w:t>
      </w:r>
      <w:r w:rsidR="004E55B5" w:rsidRPr="004E55B5">
        <w:rPr>
          <w:bCs/>
        </w:rPr>
        <w:t xml:space="preserve"> which have provided clients with options for </w:t>
      </w:r>
      <w:r w:rsidR="00837008">
        <w:rPr>
          <w:bCs/>
        </w:rPr>
        <w:t xml:space="preserve">selecting </w:t>
      </w:r>
      <w:r w:rsidR="006C79D7">
        <w:rPr>
          <w:bCs/>
        </w:rPr>
        <w:t xml:space="preserve">treatment </w:t>
      </w:r>
      <w:r w:rsidR="004E55B5" w:rsidRPr="004E55B5">
        <w:rPr>
          <w:bCs/>
        </w:rPr>
        <w:t>modules have shown inconclusive effects on adherence (Andersson et al., 2011), it is notable that the discrepancy in our study was far more pronounced.</w:t>
      </w:r>
      <w:r w:rsidR="00672C36">
        <w:rPr>
          <w:bCs/>
        </w:rPr>
        <w:t xml:space="preserve"> </w:t>
      </w:r>
      <w:r w:rsidR="00672C36">
        <w:rPr>
          <w:bCs/>
        </w:rPr>
        <w:lastRenderedPageBreak/>
        <w:t xml:space="preserve">Interestingly, students indicated equally high satisfaction in their self-help book regardless of whether they were randomized to it or given a choice. While one may expect </w:t>
      </w:r>
      <w:r w:rsidR="007B7013">
        <w:rPr>
          <w:bCs/>
        </w:rPr>
        <w:t>satisfaction with a treatment to correspond with adherence to it, this did not appear to be the case in our sample.</w:t>
      </w:r>
    </w:p>
    <w:p w14:paraId="3A57B9EE" w14:textId="70818D86" w:rsidR="00590F4D" w:rsidRDefault="00B16358" w:rsidP="00496F84">
      <w:pPr>
        <w:spacing w:line="480" w:lineRule="auto"/>
        <w:ind w:firstLine="720"/>
        <w:rPr>
          <w:bCs/>
        </w:rPr>
      </w:pPr>
      <w:r w:rsidRPr="00B16358">
        <w:rPr>
          <w:bCs/>
        </w:rPr>
        <w:t xml:space="preserve">While these results were unexpected, there are </w:t>
      </w:r>
      <w:proofErr w:type="gramStart"/>
      <w:r w:rsidRPr="00B16358">
        <w:rPr>
          <w:bCs/>
        </w:rPr>
        <w:t>a number of</w:t>
      </w:r>
      <w:proofErr w:type="gramEnd"/>
      <w:r w:rsidRPr="00B16358">
        <w:rPr>
          <w:bCs/>
        </w:rPr>
        <w:t xml:space="preserve"> potential rationales for why such an effect may have occurred. In the common factors model of psychotherapy (</w:t>
      </w:r>
      <w:proofErr w:type="spellStart"/>
      <w:r w:rsidRPr="00B16358">
        <w:rPr>
          <w:bCs/>
        </w:rPr>
        <w:t>Wampold</w:t>
      </w:r>
      <w:proofErr w:type="spellEnd"/>
      <w:r w:rsidRPr="00B16358">
        <w:rPr>
          <w:bCs/>
        </w:rPr>
        <w:t>, 2015), an emphasis is placed on</w:t>
      </w:r>
      <w:r>
        <w:rPr>
          <w:bCs/>
        </w:rPr>
        <w:t xml:space="preserve"> the</w:t>
      </w:r>
      <w:r w:rsidRPr="00B16358">
        <w:rPr>
          <w:bCs/>
        </w:rPr>
        <w:t xml:space="preserve"> therapist and client reaching an </w:t>
      </w:r>
      <w:r w:rsidR="00EA20DE">
        <w:rPr>
          <w:bCs/>
        </w:rPr>
        <w:t>agreement</w:t>
      </w:r>
      <w:r w:rsidRPr="00B16358">
        <w:rPr>
          <w:bCs/>
        </w:rPr>
        <w:t xml:space="preserve"> on the issues to be addressed and an appropriate strategy for </w:t>
      </w:r>
      <w:r>
        <w:rPr>
          <w:bCs/>
        </w:rPr>
        <w:t>treating</w:t>
      </w:r>
      <w:r w:rsidRPr="00B16358">
        <w:rPr>
          <w:bCs/>
        </w:rPr>
        <w:t xml:space="preserve"> them. In </w:t>
      </w:r>
      <w:r w:rsidR="00FD0B92">
        <w:rPr>
          <w:bCs/>
        </w:rPr>
        <w:t>our</w:t>
      </w:r>
      <w:r w:rsidRPr="00B16358">
        <w:rPr>
          <w:bCs/>
        </w:rPr>
        <w:t xml:space="preserve"> study, students were given a choice between two treatments immediately </w:t>
      </w:r>
      <w:r>
        <w:rPr>
          <w:bCs/>
        </w:rPr>
        <w:t xml:space="preserve">after enrolling </w:t>
      </w:r>
      <w:r w:rsidRPr="00B16358">
        <w:rPr>
          <w:bCs/>
        </w:rPr>
        <w:t xml:space="preserve">and reading </w:t>
      </w:r>
      <w:r w:rsidR="00FD0B92">
        <w:rPr>
          <w:bCs/>
        </w:rPr>
        <w:t>only</w:t>
      </w:r>
      <w:r w:rsidRPr="00B16358">
        <w:rPr>
          <w:bCs/>
        </w:rPr>
        <w:t xml:space="preserve"> brief descriptio</w:t>
      </w:r>
      <w:r w:rsidR="00FD0B92">
        <w:rPr>
          <w:bCs/>
        </w:rPr>
        <w:t>ns</w:t>
      </w:r>
      <w:r w:rsidRPr="00B16358">
        <w:rPr>
          <w:bCs/>
        </w:rPr>
        <w:t xml:space="preserve">. </w:t>
      </w:r>
      <w:r w:rsidR="00541EBA">
        <w:rPr>
          <w:bCs/>
        </w:rPr>
        <w:t>I</w:t>
      </w:r>
      <w:r w:rsidRPr="00B16358">
        <w:rPr>
          <w:bCs/>
        </w:rPr>
        <w:t xml:space="preserve">t is possible that if students had the opportunity </w:t>
      </w:r>
      <w:r>
        <w:rPr>
          <w:bCs/>
        </w:rPr>
        <w:t>to understand the differences more clearly</w:t>
      </w:r>
      <w:r w:rsidRPr="00B16358">
        <w:rPr>
          <w:bCs/>
        </w:rPr>
        <w:t xml:space="preserve">, or to consult with a therapist regarding which option </w:t>
      </w:r>
      <w:r w:rsidR="00FD0B92">
        <w:rPr>
          <w:bCs/>
        </w:rPr>
        <w:t>was</w:t>
      </w:r>
      <w:r w:rsidRPr="00B16358">
        <w:rPr>
          <w:bCs/>
        </w:rPr>
        <w:t xml:space="preserve"> a better fit for them, we may have seen </w:t>
      </w:r>
      <w:r>
        <w:rPr>
          <w:bCs/>
        </w:rPr>
        <w:t xml:space="preserve">different results. In other words, this may have allowed for stronger </w:t>
      </w:r>
      <w:r w:rsidR="00EA20DE">
        <w:rPr>
          <w:bCs/>
        </w:rPr>
        <w:t>agreement</w:t>
      </w:r>
      <w:r w:rsidR="00FD0B92">
        <w:rPr>
          <w:bCs/>
        </w:rPr>
        <w:t xml:space="preserve"> </w:t>
      </w:r>
      <w:r>
        <w:rPr>
          <w:bCs/>
        </w:rPr>
        <w:t>between client and treatment. It is possible</w:t>
      </w:r>
      <w:r w:rsidR="00541EBA">
        <w:rPr>
          <w:bCs/>
        </w:rPr>
        <w:t xml:space="preserve"> </w:t>
      </w:r>
      <w:r>
        <w:rPr>
          <w:bCs/>
        </w:rPr>
        <w:t>that many students</w:t>
      </w:r>
      <w:r w:rsidR="00EA20DE">
        <w:rPr>
          <w:bCs/>
        </w:rPr>
        <w:t xml:space="preserve"> simply</w:t>
      </w:r>
      <w:r>
        <w:rPr>
          <w:bCs/>
        </w:rPr>
        <w:t xml:space="preserve"> did not choose the “right” book for them</w:t>
      </w:r>
      <w:r w:rsidR="00490F3A">
        <w:rPr>
          <w:bCs/>
        </w:rPr>
        <w:t xml:space="preserve">, with </w:t>
      </w:r>
      <w:r w:rsidR="00496F84">
        <w:rPr>
          <w:bCs/>
        </w:rPr>
        <w:t>previous evidence suggest</w:t>
      </w:r>
      <w:r w:rsidR="00490F3A">
        <w:rPr>
          <w:bCs/>
        </w:rPr>
        <w:t>ing</w:t>
      </w:r>
      <w:r w:rsidR="00496F84">
        <w:rPr>
          <w:bCs/>
        </w:rPr>
        <w:t xml:space="preserve"> that </w:t>
      </w:r>
      <w:r w:rsidR="00F74B02">
        <w:rPr>
          <w:bCs/>
        </w:rPr>
        <w:t xml:space="preserve">even </w:t>
      </w:r>
      <w:r w:rsidR="00496F84">
        <w:rPr>
          <w:bCs/>
        </w:rPr>
        <w:t>therapists themselves may not always be able to distinguish between ACT and tCBT</w:t>
      </w:r>
      <w:r w:rsidR="00490F3A">
        <w:rPr>
          <w:bCs/>
        </w:rPr>
        <w:t xml:space="preserve"> </w:t>
      </w:r>
      <w:r w:rsidR="00490F3A" w:rsidRPr="00B16358">
        <w:rPr>
          <w:bCs/>
        </w:rPr>
        <w:t>(</w:t>
      </w:r>
      <w:proofErr w:type="spellStart"/>
      <w:r w:rsidR="00490F3A" w:rsidRPr="00B16358">
        <w:rPr>
          <w:bCs/>
        </w:rPr>
        <w:t>Storaasli</w:t>
      </w:r>
      <w:proofErr w:type="spellEnd"/>
      <w:r w:rsidR="00490F3A" w:rsidRPr="00B16358">
        <w:rPr>
          <w:bCs/>
        </w:rPr>
        <w:t xml:space="preserve"> et al., 2007)</w:t>
      </w:r>
      <w:r w:rsidR="00496F84">
        <w:rPr>
          <w:bCs/>
        </w:rPr>
        <w:t>.</w:t>
      </w:r>
    </w:p>
    <w:p w14:paraId="43B4444D" w14:textId="008F2800" w:rsidR="00944E95" w:rsidRDefault="008100BF" w:rsidP="00944E95">
      <w:pPr>
        <w:spacing w:line="480" w:lineRule="auto"/>
        <w:ind w:firstLine="720"/>
        <w:rPr>
          <w:bCs/>
        </w:rPr>
      </w:pPr>
      <w:r>
        <w:rPr>
          <w:bCs/>
        </w:rPr>
        <w:t>O</w:t>
      </w:r>
      <w:r w:rsidR="00944E95" w:rsidRPr="00944E95">
        <w:rPr>
          <w:bCs/>
        </w:rPr>
        <w:t xml:space="preserve">ur unexpected findings regarding choice and adherence </w:t>
      </w:r>
      <w:r w:rsidR="00C04877">
        <w:rPr>
          <w:bCs/>
        </w:rPr>
        <w:t xml:space="preserve">also </w:t>
      </w:r>
      <w:r w:rsidR="00944E95" w:rsidRPr="00944E95">
        <w:rPr>
          <w:bCs/>
        </w:rPr>
        <w:t xml:space="preserve">suggest that when implementing self-help programs on college campuses, providing students with </w:t>
      </w:r>
      <w:r w:rsidR="00944E95">
        <w:rPr>
          <w:bCs/>
        </w:rPr>
        <w:t>a</w:t>
      </w:r>
      <w:r w:rsidR="00944E95" w:rsidRPr="00944E95">
        <w:rPr>
          <w:bCs/>
        </w:rPr>
        <w:t xml:space="preserve"> viable</w:t>
      </w:r>
      <w:r w:rsidR="00944E95">
        <w:rPr>
          <w:bCs/>
        </w:rPr>
        <w:t>,</w:t>
      </w:r>
      <w:r w:rsidR="00944E95" w:rsidRPr="00944E95">
        <w:rPr>
          <w:bCs/>
        </w:rPr>
        <w:t xml:space="preserve"> evidence-based treatment for depression may be more important than offering a variety of options. </w:t>
      </w:r>
      <w:r w:rsidR="00FD0B92">
        <w:rPr>
          <w:bCs/>
        </w:rPr>
        <w:t>T</w:t>
      </w:r>
      <w:r w:rsidR="00944E95" w:rsidRPr="00944E95">
        <w:rPr>
          <w:bCs/>
        </w:rPr>
        <w:t xml:space="preserve">his approach may serve students </w:t>
      </w:r>
      <w:r w:rsidR="00FD0B92">
        <w:rPr>
          <w:bCs/>
        </w:rPr>
        <w:t>who feel</w:t>
      </w:r>
      <w:r w:rsidR="00944E95" w:rsidRPr="00944E95">
        <w:rPr>
          <w:bCs/>
        </w:rPr>
        <w:t xml:space="preserve"> overwhelmed by numerous treatment options and thus lessen an additional barrier to initiating care. Selecting one primary intervention to distribute to a student population may additionally benefit institutions themselves, who would not need to purchase access to several </w:t>
      </w:r>
      <w:r w:rsidR="00C04877">
        <w:rPr>
          <w:bCs/>
        </w:rPr>
        <w:t>resources</w:t>
      </w:r>
      <w:r w:rsidR="00944E95" w:rsidRPr="00944E95">
        <w:rPr>
          <w:bCs/>
        </w:rPr>
        <w:t>.</w:t>
      </w:r>
    </w:p>
    <w:p w14:paraId="60B5DC77" w14:textId="3DB2721D" w:rsidR="00483198" w:rsidRPr="006A42F5" w:rsidRDefault="00DF1967" w:rsidP="00A66C47">
      <w:pPr>
        <w:spacing w:line="480" w:lineRule="auto"/>
        <w:ind w:firstLine="720"/>
        <w:rPr>
          <w:bCs/>
        </w:rPr>
      </w:pPr>
      <w:r>
        <w:rPr>
          <w:bCs/>
        </w:rPr>
        <w:t xml:space="preserve">In addition to </w:t>
      </w:r>
      <w:r w:rsidR="00FD0B92">
        <w:rPr>
          <w:bCs/>
        </w:rPr>
        <w:t>these</w:t>
      </w:r>
      <w:r>
        <w:rPr>
          <w:bCs/>
        </w:rPr>
        <w:t xml:space="preserve"> unexpected results </w:t>
      </w:r>
      <w:r w:rsidR="00FD0B92">
        <w:rPr>
          <w:bCs/>
        </w:rPr>
        <w:t>regarding</w:t>
      </w:r>
      <w:r>
        <w:rPr>
          <w:bCs/>
        </w:rPr>
        <w:t xml:space="preserve"> adherence, students using the ACT book had slightly greater </w:t>
      </w:r>
      <w:r w:rsidR="00FD0B92">
        <w:rPr>
          <w:bCs/>
        </w:rPr>
        <w:t>clinical improvements</w:t>
      </w:r>
      <w:r>
        <w:rPr>
          <w:bCs/>
        </w:rPr>
        <w:t xml:space="preserve"> in depression over time compared to those using </w:t>
      </w:r>
      <w:r w:rsidR="00C04877">
        <w:rPr>
          <w:bCs/>
        </w:rPr>
        <w:lastRenderedPageBreak/>
        <w:t>t</w:t>
      </w:r>
      <w:r>
        <w:rPr>
          <w:bCs/>
        </w:rPr>
        <w:t>CBT, equal to about one-fifth of a standard deviation.</w:t>
      </w:r>
      <w:r w:rsidRPr="00DF1967">
        <w:t xml:space="preserve"> </w:t>
      </w:r>
      <w:r w:rsidR="00E91E2F">
        <w:t xml:space="preserve">This effect did not hold true for anxiety outcomes. </w:t>
      </w:r>
      <w:r w:rsidR="00E91E2F">
        <w:rPr>
          <w:bCs/>
        </w:rPr>
        <w:t>The</w:t>
      </w:r>
      <w:r w:rsidRPr="00DF1967">
        <w:rPr>
          <w:bCs/>
        </w:rPr>
        <w:t xml:space="preserve"> small discrepancy between treatments is </w:t>
      </w:r>
      <w:r w:rsidR="00D93F00">
        <w:rPr>
          <w:bCs/>
        </w:rPr>
        <w:t xml:space="preserve">largely </w:t>
      </w:r>
      <w:r w:rsidRPr="00DF1967">
        <w:rPr>
          <w:bCs/>
        </w:rPr>
        <w:t xml:space="preserve">consistent with prior comparisons between ACT and </w:t>
      </w:r>
      <w:r w:rsidR="00C04877">
        <w:rPr>
          <w:bCs/>
        </w:rPr>
        <w:t>t</w:t>
      </w:r>
      <w:r w:rsidRPr="00DF1967">
        <w:rPr>
          <w:bCs/>
        </w:rPr>
        <w:t>CBT, which have tended to show minimal differences between the</w:t>
      </w:r>
      <w:r w:rsidR="000E4BDF">
        <w:rPr>
          <w:bCs/>
        </w:rPr>
        <w:t>se</w:t>
      </w:r>
      <w:r w:rsidRPr="00DF1967">
        <w:rPr>
          <w:bCs/>
        </w:rPr>
        <w:t xml:space="preserve"> interventions on depression outcomes (A-Tjak, 2021; Twohig</w:t>
      </w:r>
      <w:r w:rsidR="00496F84">
        <w:rPr>
          <w:bCs/>
        </w:rPr>
        <w:t xml:space="preserve"> &amp; Levin</w:t>
      </w:r>
      <w:r w:rsidRPr="00DF1967">
        <w:rPr>
          <w:bCs/>
        </w:rPr>
        <w:t>, 2017).</w:t>
      </w:r>
      <w:r w:rsidR="00D93F00">
        <w:rPr>
          <w:bCs/>
        </w:rPr>
        <w:t xml:space="preserve"> </w:t>
      </w:r>
      <w:r w:rsidR="00E91E2F">
        <w:rPr>
          <w:bCs/>
        </w:rPr>
        <w:t>In our study, we additionally saw differential effects of treatment depending on whether they were randomized or chosen, but only during the follow-up period.</w:t>
      </w:r>
      <w:r w:rsidR="00B74310">
        <w:rPr>
          <w:bCs/>
        </w:rPr>
        <w:t xml:space="preserve"> Taken together, these data indicate a potential small advantage for using ACT </w:t>
      </w:r>
      <w:r w:rsidR="00AB20CA">
        <w:rPr>
          <w:bCs/>
        </w:rPr>
        <w:t xml:space="preserve">for </w:t>
      </w:r>
      <w:r w:rsidR="00B74310">
        <w:rPr>
          <w:bCs/>
        </w:rPr>
        <w:t>college students</w:t>
      </w:r>
      <w:r w:rsidR="00AB20CA">
        <w:rPr>
          <w:bCs/>
        </w:rPr>
        <w:t xml:space="preserve"> with depression</w:t>
      </w:r>
      <w:r w:rsidR="00B74310">
        <w:rPr>
          <w:bCs/>
        </w:rPr>
        <w:t xml:space="preserve">, though further study should examine individual differences (such as depression subtype) to clarify the appropriateness of providing ACT over </w:t>
      </w:r>
      <w:r w:rsidR="00C04877">
        <w:rPr>
          <w:bCs/>
        </w:rPr>
        <w:t>t</w:t>
      </w:r>
      <w:r w:rsidR="00B74310">
        <w:rPr>
          <w:bCs/>
        </w:rPr>
        <w:t>CBT</w:t>
      </w:r>
      <w:r w:rsidR="000E4BDF">
        <w:rPr>
          <w:bCs/>
        </w:rPr>
        <w:t xml:space="preserve"> self-help</w:t>
      </w:r>
      <w:r w:rsidR="00A66C47">
        <w:rPr>
          <w:bCs/>
        </w:rPr>
        <w:t>.</w:t>
      </w:r>
    </w:p>
    <w:p w14:paraId="3E2A20DF" w14:textId="51D4D379" w:rsidR="00A66C47" w:rsidRDefault="006A42F5" w:rsidP="006A42F5">
      <w:pPr>
        <w:spacing w:line="480" w:lineRule="auto"/>
        <w:rPr>
          <w:b/>
          <w:bCs/>
        </w:rPr>
      </w:pPr>
      <w:r w:rsidRPr="006A42F5">
        <w:rPr>
          <w:b/>
          <w:bCs/>
        </w:rPr>
        <w:t>Limitations</w:t>
      </w:r>
    </w:p>
    <w:p w14:paraId="6CC1B154" w14:textId="650F03E3" w:rsidR="008E3726" w:rsidRPr="00411822" w:rsidRDefault="008E3726" w:rsidP="00411822">
      <w:pPr>
        <w:spacing w:line="480" w:lineRule="auto"/>
        <w:ind w:firstLine="720"/>
        <w:rPr>
          <w:bCs/>
        </w:rPr>
      </w:pPr>
      <w:r>
        <w:rPr>
          <w:bCs/>
        </w:rPr>
        <w:t>There</w:t>
      </w:r>
      <w:r w:rsidRPr="0057597D">
        <w:rPr>
          <w:bCs/>
        </w:rPr>
        <w:t xml:space="preserve"> was a notable amount of dropout within </w:t>
      </w:r>
      <w:r w:rsidR="00F42F17">
        <w:rPr>
          <w:bCs/>
        </w:rPr>
        <w:t>the</w:t>
      </w:r>
      <w:r w:rsidR="00F42F17" w:rsidRPr="0057597D">
        <w:rPr>
          <w:bCs/>
        </w:rPr>
        <w:t xml:space="preserve"> </w:t>
      </w:r>
      <w:r w:rsidRPr="0057597D">
        <w:rPr>
          <w:bCs/>
        </w:rPr>
        <w:t>sample, with less than half of study participants completing the posttreatment assessment. While these rates of dropout are concerning, they are within the range of other self-help interventions for depression</w:t>
      </w:r>
      <w:r w:rsidR="000B7995">
        <w:rPr>
          <w:bCs/>
        </w:rPr>
        <w:t xml:space="preserve">. </w:t>
      </w:r>
      <w:r w:rsidRPr="0057597D">
        <w:rPr>
          <w:bCs/>
        </w:rPr>
        <w:t xml:space="preserve">For instance, a recent meta-analysis of mobile self-help interventions for depression </w:t>
      </w:r>
      <w:r w:rsidR="000B7995">
        <w:rPr>
          <w:bCs/>
        </w:rPr>
        <w:t>found</w:t>
      </w:r>
      <w:r w:rsidRPr="0057597D">
        <w:rPr>
          <w:bCs/>
        </w:rPr>
        <w:t xml:space="preserve"> an overall dropout rate of 47.8% (</w:t>
      </w:r>
      <w:proofErr w:type="spellStart"/>
      <w:r w:rsidRPr="0057597D">
        <w:rPr>
          <w:bCs/>
        </w:rPr>
        <w:t>Torous</w:t>
      </w:r>
      <w:proofErr w:type="spellEnd"/>
      <w:r w:rsidRPr="0057597D">
        <w:rPr>
          <w:bCs/>
        </w:rPr>
        <w:t xml:space="preserve"> et al., 2020)</w:t>
      </w:r>
      <w:r>
        <w:rPr>
          <w:bCs/>
        </w:rPr>
        <w:t>.</w:t>
      </w:r>
      <w:r w:rsidR="004B69CC">
        <w:rPr>
          <w:bCs/>
        </w:rPr>
        <w:t xml:space="preserve"> However, our </w:t>
      </w:r>
      <w:r w:rsidR="000B7995">
        <w:rPr>
          <w:bCs/>
        </w:rPr>
        <w:t>difficulty</w:t>
      </w:r>
      <w:r w:rsidR="004B69CC">
        <w:rPr>
          <w:bCs/>
        </w:rPr>
        <w:t xml:space="preserve"> with retaining participants </w:t>
      </w:r>
      <w:r w:rsidR="000B7995">
        <w:rPr>
          <w:bCs/>
        </w:rPr>
        <w:t>means</w:t>
      </w:r>
      <w:r w:rsidR="004B69CC">
        <w:rPr>
          <w:bCs/>
        </w:rPr>
        <w:t xml:space="preserve"> that our results carry the risk that findings may not replicate in other contexts.</w:t>
      </w:r>
      <w:r w:rsidR="00D835C4">
        <w:rPr>
          <w:bCs/>
        </w:rPr>
        <w:t xml:space="preserve"> </w:t>
      </w:r>
      <w:r w:rsidR="004200AD">
        <w:rPr>
          <w:bCs/>
        </w:rPr>
        <w:t>C</w:t>
      </w:r>
      <w:r w:rsidR="004B69CC">
        <w:rPr>
          <w:bCs/>
        </w:rPr>
        <w:t xml:space="preserve">onsidering </w:t>
      </w:r>
      <w:r w:rsidR="000B7995">
        <w:rPr>
          <w:bCs/>
        </w:rPr>
        <w:t>our</w:t>
      </w:r>
      <w:r w:rsidR="004B69CC">
        <w:rPr>
          <w:bCs/>
        </w:rPr>
        <w:t xml:space="preserve"> unexpected findings regarding the role of random versus chosen assignment to a self-help intervention, it would be especially important to </w:t>
      </w:r>
      <w:r w:rsidR="000E2ED6">
        <w:rPr>
          <w:bCs/>
        </w:rPr>
        <w:t>try and replicate</w:t>
      </w:r>
      <w:r w:rsidR="004B69CC">
        <w:rPr>
          <w:bCs/>
        </w:rPr>
        <w:t xml:space="preserve"> this effect with larger samples.</w:t>
      </w:r>
    </w:p>
    <w:p w14:paraId="79646125" w14:textId="578F37C8" w:rsidR="00CE5086" w:rsidRDefault="00C37561" w:rsidP="00F248E7">
      <w:pPr>
        <w:spacing w:line="480" w:lineRule="auto"/>
      </w:pPr>
      <w:r>
        <w:tab/>
      </w:r>
      <w:r w:rsidR="006E1D81">
        <w:t>In addition to a high rate of missing data,</w:t>
      </w:r>
      <w:r>
        <w:t xml:space="preserve"> </w:t>
      </w:r>
      <w:r w:rsidR="00D64024">
        <w:t xml:space="preserve">methodological </w:t>
      </w:r>
      <w:r>
        <w:t xml:space="preserve">limitations </w:t>
      </w:r>
      <w:r w:rsidR="006E1D81">
        <w:t xml:space="preserve">may </w:t>
      </w:r>
      <w:r>
        <w:t xml:space="preserve">restrict the generalizability of the effects of client choice that </w:t>
      </w:r>
      <w:r w:rsidR="00F248E7">
        <w:t>we</w:t>
      </w:r>
      <w:r w:rsidR="00F42F17">
        <w:t>re</w:t>
      </w:r>
      <w:r>
        <w:t xml:space="preserve"> found</w:t>
      </w:r>
      <w:r w:rsidR="00687198">
        <w:t xml:space="preserve"> in our study</w:t>
      </w:r>
      <w:r>
        <w:t xml:space="preserve">. </w:t>
      </w:r>
      <w:r w:rsidR="00F42F17">
        <w:t>S</w:t>
      </w:r>
      <w:r w:rsidR="00D64024" w:rsidRPr="00D64024">
        <w:t>tudy participants</w:t>
      </w:r>
      <w:r w:rsidR="00F42F17">
        <w:t xml:space="preserve"> were randomized</w:t>
      </w:r>
      <w:r w:rsidR="00D64024" w:rsidRPr="00D64024">
        <w:t xml:space="preserve"> into three initial groups of equal size: receive the </w:t>
      </w:r>
      <w:r w:rsidR="00BC1EEA">
        <w:t>t</w:t>
      </w:r>
      <w:r w:rsidR="00D64024" w:rsidRPr="00D64024">
        <w:t xml:space="preserve">CBT book, receive the ACT book, or make a choice between the two books. In analyses, however, </w:t>
      </w:r>
      <w:r w:rsidR="00541EBA">
        <w:t>we compared groups</w:t>
      </w:r>
      <w:r w:rsidR="0000328F">
        <w:t xml:space="preserve"> using </w:t>
      </w:r>
      <w:r w:rsidR="0000328F">
        <w:lastRenderedPageBreak/>
        <w:t>a 2x2 factorial design</w:t>
      </w:r>
      <w:r w:rsidR="00D64024" w:rsidRPr="00D64024">
        <w:t xml:space="preserve"> (</w:t>
      </w:r>
      <w:r w:rsidR="00F248E7" w:rsidRPr="00D64024">
        <w:t>i.e.,</w:t>
      </w:r>
      <w:r w:rsidR="00D64024" w:rsidRPr="00D64024">
        <w:t xml:space="preserve"> ACT-Randomized, ACT-Choice, </w:t>
      </w:r>
      <w:r w:rsidR="00BC1EEA">
        <w:t>t</w:t>
      </w:r>
      <w:r w:rsidR="00D64024" w:rsidRPr="00D64024">
        <w:t xml:space="preserve">CBT-Randomized, and </w:t>
      </w:r>
      <w:r w:rsidR="00BC1EEA">
        <w:t>t</w:t>
      </w:r>
      <w:r w:rsidR="00D64024" w:rsidRPr="00D64024">
        <w:t xml:space="preserve">CBT-Choice) instead of </w:t>
      </w:r>
      <w:r w:rsidR="000E2ED6">
        <w:t xml:space="preserve">comparing </w:t>
      </w:r>
      <w:r w:rsidR="00D64024" w:rsidRPr="00D64024">
        <w:t>the initial three</w:t>
      </w:r>
      <w:r w:rsidR="000E2ED6">
        <w:t xml:space="preserve"> groups</w:t>
      </w:r>
      <w:r w:rsidR="00D64024" w:rsidRPr="00D64024">
        <w:t xml:space="preserve">. Since these three initial groups were </w:t>
      </w:r>
      <w:r w:rsidR="00F248E7">
        <w:t>roughly</w:t>
      </w:r>
      <w:r w:rsidR="00D64024" w:rsidRPr="00D64024">
        <w:t xml:space="preserve"> equal in size, there was a discrepancy between the number of students reading a certain book who were randomized to it versus those who chose to read the same book. This, in turn, limited </w:t>
      </w:r>
      <w:r w:rsidR="00CE5086">
        <w:t>our</w:t>
      </w:r>
      <w:r w:rsidR="00CE5086" w:rsidRPr="00D64024">
        <w:t xml:space="preserve"> </w:t>
      </w:r>
      <w:r w:rsidR="00D64024" w:rsidRPr="00D64024">
        <w:t xml:space="preserve">ability to </w:t>
      </w:r>
      <w:r w:rsidR="00411822">
        <w:t>infer</w:t>
      </w:r>
      <w:r w:rsidR="00D64024" w:rsidRPr="00D64024">
        <w:t xml:space="preserve"> group differences when examining interactions involving both book and assignment method.</w:t>
      </w:r>
    </w:p>
    <w:p w14:paraId="3BA0F474" w14:textId="1EF6AA47" w:rsidR="004A14DD" w:rsidRDefault="00972915" w:rsidP="004A14DD">
      <w:pPr>
        <w:spacing w:line="480" w:lineRule="auto"/>
        <w:ind w:firstLine="720"/>
      </w:pPr>
      <w:r>
        <w:t>Mixed effects</w:t>
      </w:r>
      <w:r w:rsidRPr="00D64024">
        <w:t xml:space="preserve"> </w:t>
      </w:r>
      <w:r>
        <w:t>models</w:t>
      </w:r>
      <w:r w:rsidRPr="00D64024">
        <w:t xml:space="preserve"> </w:t>
      </w:r>
      <w:r w:rsidR="00F248E7" w:rsidRPr="00D64024">
        <w:t>can</w:t>
      </w:r>
      <w:r w:rsidR="00D64024" w:rsidRPr="00D64024">
        <w:t xml:space="preserve"> provide accurate </w:t>
      </w:r>
      <w:r>
        <w:t xml:space="preserve">parameter </w:t>
      </w:r>
      <w:r w:rsidR="00D64024" w:rsidRPr="00D64024">
        <w:t>estimates even when working with relatively small group sizes (Maas &amp; Hox, 2005), which meant that we were still able to model overall linear trends. However,</w:t>
      </w:r>
      <w:r w:rsidR="0000328F">
        <w:t xml:space="preserve"> our initial determination of target sample size was based on an a priori power analysis assuming a simpler three</w:t>
      </w:r>
      <w:r w:rsidR="00CE5086">
        <w:t>-</w:t>
      </w:r>
      <w:r w:rsidR="0000328F">
        <w:t xml:space="preserve">group comparison as opposed to the mixed effects </w:t>
      </w:r>
      <w:r w:rsidR="004B69CC">
        <w:t>model we ultimately used</w:t>
      </w:r>
      <w:r w:rsidR="00CE5086">
        <w:t>.</w:t>
      </w:r>
      <w:r w:rsidR="004A14DD">
        <w:t xml:space="preserve"> We had initially planned to combine ACT-Randomized with ACT-Choice participants and compare these to the combined group of CBT-Randomized and CBT-Choice</w:t>
      </w:r>
      <w:r w:rsidR="00152607">
        <w:t>,</w:t>
      </w:r>
      <w:r w:rsidR="004A14DD">
        <w:t xml:space="preserve"> </w:t>
      </w:r>
      <w:r w:rsidR="00152607">
        <w:t>followed by examining</w:t>
      </w:r>
      <w:r w:rsidR="004A14DD">
        <w:t xml:space="preserve"> whether students in the choice condition for either </w:t>
      </w:r>
      <w:r w:rsidR="00152607">
        <w:t>intervention</w:t>
      </w:r>
      <w:r w:rsidR="004A14DD">
        <w:t xml:space="preserve"> displayed different trends in outcome variables. However, </w:t>
      </w:r>
      <w:r w:rsidR="00152607">
        <w:t xml:space="preserve">instead of </w:t>
      </w:r>
      <w:r w:rsidR="009350A8">
        <w:t>this series of subgroup analyses</w:t>
      </w:r>
      <w:r w:rsidR="00935906">
        <w:t>,</w:t>
      </w:r>
      <w:r w:rsidR="009350A8">
        <w:t xml:space="preserve"> </w:t>
      </w:r>
      <w:r w:rsidR="004A14DD">
        <w:t>we</w:t>
      </w:r>
      <w:r w:rsidR="00CE5086">
        <w:t xml:space="preserve"> decided to use a mixed effects model after receiving statistical consultation</w:t>
      </w:r>
      <w:r w:rsidR="009350A8">
        <w:t xml:space="preserve">. We decided that this analytic approach allowed us to </w:t>
      </w:r>
      <w:r w:rsidR="00CE5086">
        <w:t xml:space="preserve">fully </w:t>
      </w:r>
      <w:r w:rsidR="004B69CC">
        <w:t xml:space="preserve">assess the effects of intervention, assignment method, and the potential interaction between </w:t>
      </w:r>
      <w:r w:rsidR="00CE5086">
        <w:t>these</w:t>
      </w:r>
      <w:r w:rsidR="004B69CC">
        <w:t xml:space="preserve"> two</w:t>
      </w:r>
      <w:r w:rsidR="00CE5086">
        <w:t xml:space="preserve"> factors</w:t>
      </w:r>
      <w:r w:rsidR="004B69CC">
        <w:t>.</w:t>
      </w:r>
    </w:p>
    <w:p w14:paraId="2C58ABB2" w14:textId="5357885D" w:rsidR="00C37561" w:rsidRPr="00C37561" w:rsidRDefault="004B69CC" w:rsidP="000739E1">
      <w:pPr>
        <w:spacing w:line="480" w:lineRule="auto"/>
        <w:ind w:firstLine="720"/>
      </w:pPr>
      <w:r>
        <w:t xml:space="preserve">This </w:t>
      </w:r>
      <w:r w:rsidR="004200AD">
        <w:t>change in analytic approach</w:t>
      </w:r>
      <w:r>
        <w:t xml:space="preserve">, </w:t>
      </w:r>
      <w:r w:rsidR="00D64024" w:rsidRPr="00D64024">
        <w:t xml:space="preserve">combined </w:t>
      </w:r>
      <w:r>
        <w:t>with a</w:t>
      </w:r>
      <w:r w:rsidR="00D64024" w:rsidRPr="00D64024">
        <w:t xml:space="preserve"> high dropout</w:t>
      </w:r>
      <w:r>
        <w:t xml:space="preserve"> rate,</w:t>
      </w:r>
      <w:r w:rsidR="00D64024" w:rsidRPr="00D64024">
        <w:t xml:space="preserve"> meant that one subgroup (</w:t>
      </w:r>
      <w:r w:rsidR="00BC1EEA">
        <w:t>t</w:t>
      </w:r>
      <w:r w:rsidR="00D64024" w:rsidRPr="00D64024">
        <w:t xml:space="preserve">CBT-Choice) had only </w:t>
      </w:r>
      <w:r w:rsidR="00F248E7">
        <w:t>seven</w:t>
      </w:r>
      <w:r w:rsidR="00D64024" w:rsidRPr="00D64024">
        <w:t xml:space="preserve"> data points at posttreatment, which restricted </w:t>
      </w:r>
      <w:r w:rsidR="00CE5086">
        <w:t>our</w:t>
      </w:r>
      <w:r w:rsidR="00CE5086" w:rsidRPr="00D64024">
        <w:t xml:space="preserve"> </w:t>
      </w:r>
      <w:r w:rsidR="00D64024" w:rsidRPr="00D64024">
        <w:t>ability to detect meaningful post hoc effect sizes between groups.</w:t>
      </w:r>
      <w:r w:rsidR="0000328F">
        <w:t xml:space="preserve"> </w:t>
      </w:r>
      <w:r w:rsidR="00D64024" w:rsidRPr="00D64024">
        <w:t xml:space="preserve">To avert this issue, randomization should have allocated students into two initial groups, randomized or choice, with participants subsequently being divided into either ACT or </w:t>
      </w:r>
      <w:r w:rsidR="00BC1EEA">
        <w:t>t</w:t>
      </w:r>
      <w:r w:rsidR="00D64024" w:rsidRPr="00D64024">
        <w:t>CBT by random assignment or their own choosing</w:t>
      </w:r>
      <w:r>
        <w:t>, so that the four groups were more equally balanced</w:t>
      </w:r>
      <w:r w:rsidR="00935906">
        <w:t xml:space="preserve"> for a 2x2 factorial analysis.</w:t>
      </w:r>
    </w:p>
    <w:p w14:paraId="78571C6A" w14:textId="0C14FE60" w:rsidR="00175AC0" w:rsidRPr="00175AC0" w:rsidRDefault="00F248E7" w:rsidP="00175AC0">
      <w:pPr>
        <w:spacing w:line="480" w:lineRule="auto"/>
        <w:ind w:firstLine="720"/>
      </w:pPr>
      <w:r w:rsidRPr="00F248E7">
        <w:lastRenderedPageBreak/>
        <w:t xml:space="preserve">Likewise, </w:t>
      </w:r>
      <w:r w:rsidR="00162ABC">
        <w:t>additional</w:t>
      </w:r>
      <w:r w:rsidRPr="00F248E7">
        <w:t xml:space="preserve"> steps could have been taken to minimize </w:t>
      </w:r>
      <w:r w:rsidR="00162ABC">
        <w:t>the risk of bias in the choice condition.</w:t>
      </w:r>
      <w:r w:rsidRPr="00F248E7">
        <w:t xml:space="preserve"> We relied on basic summaries of key intervention concepts </w:t>
      </w:r>
      <w:r w:rsidR="00FD0B92" w:rsidRPr="00F248E7">
        <w:t>to</w:t>
      </w:r>
      <w:r w:rsidRPr="00F248E7">
        <w:t xml:space="preserve"> distinguish the ACT and </w:t>
      </w:r>
      <w:r w:rsidR="00BC1EEA">
        <w:t>t</w:t>
      </w:r>
      <w:r w:rsidRPr="00F248E7">
        <w:t xml:space="preserve">CBT </w:t>
      </w:r>
      <w:r w:rsidR="00162ABC">
        <w:t>books</w:t>
      </w:r>
      <w:r w:rsidRPr="00F248E7">
        <w:t xml:space="preserve">. However, </w:t>
      </w:r>
      <w:r w:rsidR="00980715">
        <w:t>additional</w:t>
      </w:r>
      <w:r w:rsidRPr="00F248E7">
        <w:t xml:space="preserve"> measures</w:t>
      </w:r>
      <w:r w:rsidR="00980715">
        <w:t xml:space="preserve"> could have been taken</w:t>
      </w:r>
      <w:r w:rsidRPr="00F248E7">
        <w:t xml:space="preserve"> to ensure the descriptions presented to students were accurate and comparable. For instance, </w:t>
      </w:r>
      <w:r w:rsidR="00162ABC">
        <w:t>contacting the book authors to review our brief descriptions could have helped make them more reflective of the whole intervention.</w:t>
      </w:r>
      <w:r w:rsidR="00175AC0">
        <w:t xml:space="preserve"> Finally, the use of a control group would have further clarified the effects of the self-help treatments, for instance by offering a nonclinical eBook to test whether structured reading on its own produce</w:t>
      </w:r>
      <w:r w:rsidR="00C97299">
        <w:t>s</w:t>
      </w:r>
      <w:r w:rsidR="00175AC0">
        <w:t xml:space="preserve"> any meaningful effects.</w:t>
      </w:r>
      <w:r w:rsidR="00CE5086">
        <w:t xml:space="preserve"> The issue of client choice is </w:t>
      </w:r>
      <w:r w:rsidR="00381074">
        <w:t>severely</w:t>
      </w:r>
      <w:r w:rsidR="00CE5086">
        <w:t xml:space="preserve"> understudied in the area of self-help </w:t>
      </w:r>
      <w:proofErr w:type="gramStart"/>
      <w:r w:rsidR="00CE5086">
        <w:t>interventions, and</w:t>
      </w:r>
      <w:proofErr w:type="gramEnd"/>
      <w:r w:rsidR="00CE5086">
        <w:t xml:space="preserve"> having few reference points </w:t>
      </w:r>
      <w:r w:rsidR="00381074">
        <w:t xml:space="preserve">to guide our methodology in this trial contributed to these errors which </w:t>
      </w:r>
      <w:r w:rsidR="000E2ED6">
        <w:t>should</w:t>
      </w:r>
      <w:r w:rsidR="00381074">
        <w:t xml:space="preserve"> be addressed in future studies.</w:t>
      </w:r>
    </w:p>
    <w:p w14:paraId="4606A7B5" w14:textId="39A1DC0B" w:rsidR="007B28ED" w:rsidRPr="00935906" w:rsidRDefault="008100BF" w:rsidP="00202EC0">
      <w:pPr>
        <w:spacing w:line="480" w:lineRule="auto"/>
        <w:rPr>
          <w:bCs/>
        </w:rPr>
      </w:pPr>
      <w:r>
        <w:rPr>
          <w:bCs/>
        </w:rPr>
        <w:tab/>
        <w:t>Overall, the significant reductions observed in clinical outcomes are notable for low-intensity intervention</w:t>
      </w:r>
      <w:r w:rsidR="00FC69D5">
        <w:rPr>
          <w:bCs/>
        </w:rPr>
        <w:t>s</w:t>
      </w:r>
      <w:r>
        <w:rPr>
          <w:bCs/>
        </w:rPr>
        <w:t xml:space="preserve"> given to students with </w:t>
      </w:r>
      <w:r w:rsidR="00017755">
        <w:rPr>
          <w:bCs/>
        </w:rPr>
        <w:t>relatively high baseline symptoms. However, the challenges faced with low treatment adherence, as well as study dropout, point to the difficulties of engaging this population over time. We</w:t>
      </w:r>
      <w:r w:rsidR="00FC69D5">
        <w:rPr>
          <w:bCs/>
        </w:rPr>
        <w:t xml:space="preserve"> attempted to increase adherence by offering a subset of participants a choice between an ACT and </w:t>
      </w:r>
      <w:r w:rsidR="00BC1EEA">
        <w:rPr>
          <w:bCs/>
        </w:rPr>
        <w:t>t</w:t>
      </w:r>
      <w:r w:rsidR="00FC69D5">
        <w:rPr>
          <w:bCs/>
        </w:rPr>
        <w:t xml:space="preserve">CBT intervention. We found, unexpectedly, that students who chose their self-help book performed worse than those who were randomly assigned one. </w:t>
      </w:r>
      <w:r w:rsidR="00935906">
        <w:rPr>
          <w:bCs/>
        </w:rPr>
        <w:t xml:space="preserve">While our findings should be considered preliminary in nature due to notable participant dropout and how this impacted statistical power, they may point to an overall trend worthy of further investigation. Specifically, </w:t>
      </w:r>
      <w:r w:rsidR="00FC69D5">
        <w:rPr>
          <w:bCs/>
        </w:rPr>
        <w:t xml:space="preserve">that simply providing students with high quality self-help resources </w:t>
      </w:r>
      <w:r w:rsidR="00935906">
        <w:rPr>
          <w:bCs/>
        </w:rPr>
        <w:t>may be</w:t>
      </w:r>
      <w:r w:rsidR="00FC69D5">
        <w:rPr>
          <w:bCs/>
        </w:rPr>
        <w:t xml:space="preserve"> more important than providing choices between different therapeutic approaches.</w:t>
      </w:r>
    </w:p>
    <w:p w14:paraId="1B60A79D" w14:textId="660B0428" w:rsidR="00806FB3" w:rsidRDefault="00806FB3" w:rsidP="00202EC0">
      <w:pPr>
        <w:spacing w:line="480" w:lineRule="auto"/>
      </w:pPr>
    </w:p>
    <w:p w14:paraId="0E9CC8AF" w14:textId="05EEA0AB" w:rsidR="00972560" w:rsidRDefault="00972560" w:rsidP="00155DB0">
      <w:pPr>
        <w:spacing w:line="480" w:lineRule="auto"/>
        <w:rPr>
          <w:shd w:val="clear" w:color="auto" w:fill="FFFFFF"/>
        </w:rPr>
      </w:pPr>
      <w:r w:rsidRPr="00972560">
        <w:rPr>
          <w:shd w:val="clear" w:color="auto" w:fill="FFFFFF"/>
        </w:rPr>
        <w:lastRenderedPageBreak/>
        <w:t>Declarations of interest: none</w:t>
      </w:r>
    </w:p>
    <w:p w14:paraId="19B3B594" w14:textId="7DD11077" w:rsidR="00AF0864" w:rsidRDefault="00155DB0" w:rsidP="00202EC0">
      <w:pPr>
        <w:spacing w:line="480" w:lineRule="auto"/>
        <w:rPr>
          <w:shd w:val="clear" w:color="auto" w:fill="FFFFFF"/>
        </w:rPr>
      </w:pPr>
      <w:r w:rsidRPr="00155DB0">
        <w:rPr>
          <w:shd w:val="clear" w:color="auto" w:fill="FFFFFF"/>
        </w:rPr>
        <w:t>This research did not receive any specific grant from funding agencies in the public, commercial, or not-for-profit sectors.</w:t>
      </w:r>
    </w:p>
    <w:p w14:paraId="58719266" w14:textId="77777777" w:rsidR="00AF0864" w:rsidRDefault="00AF0864">
      <w:pPr>
        <w:rPr>
          <w:shd w:val="clear" w:color="auto" w:fill="FFFFFF"/>
        </w:rPr>
      </w:pPr>
      <w:r>
        <w:rPr>
          <w:shd w:val="clear" w:color="auto" w:fill="FFFFFF"/>
        </w:rPr>
        <w:br w:type="page"/>
      </w:r>
    </w:p>
    <w:p w14:paraId="580F0117" w14:textId="6C839063" w:rsidR="00202EC0" w:rsidRDefault="00202EC0" w:rsidP="00AF0864">
      <w:pPr>
        <w:spacing w:line="480" w:lineRule="auto"/>
        <w:jc w:val="center"/>
        <w:rPr>
          <w:b/>
          <w:bCs/>
        </w:rPr>
      </w:pPr>
      <w:r>
        <w:rPr>
          <w:b/>
          <w:bCs/>
        </w:rPr>
        <w:lastRenderedPageBreak/>
        <w:t>References</w:t>
      </w:r>
    </w:p>
    <w:p w14:paraId="127CE2E7" w14:textId="5C3A3595" w:rsidR="0059663E" w:rsidRPr="004940D8" w:rsidRDefault="0059663E" w:rsidP="004940D8">
      <w:pPr>
        <w:spacing w:line="480" w:lineRule="auto"/>
        <w:ind w:left="720" w:hanging="720"/>
      </w:pPr>
      <w:r w:rsidRPr="004940D8">
        <w:rPr>
          <w:color w:val="222222"/>
          <w:shd w:val="clear" w:color="auto" w:fill="FFFFFF"/>
        </w:rPr>
        <w:t xml:space="preserve">A-Tjak, J. G., </w:t>
      </w:r>
      <w:proofErr w:type="spellStart"/>
      <w:r w:rsidRPr="004940D8">
        <w:rPr>
          <w:color w:val="222222"/>
          <w:shd w:val="clear" w:color="auto" w:fill="FFFFFF"/>
        </w:rPr>
        <w:t>Morina</w:t>
      </w:r>
      <w:proofErr w:type="spellEnd"/>
      <w:r w:rsidRPr="004940D8">
        <w:rPr>
          <w:color w:val="222222"/>
          <w:shd w:val="clear" w:color="auto" w:fill="FFFFFF"/>
        </w:rPr>
        <w:t xml:space="preserve">, N., Topper, M., &amp; </w:t>
      </w:r>
      <w:proofErr w:type="spellStart"/>
      <w:r w:rsidRPr="004940D8">
        <w:rPr>
          <w:color w:val="222222"/>
          <w:shd w:val="clear" w:color="auto" w:fill="FFFFFF"/>
        </w:rPr>
        <w:t>Emmelkamp</w:t>
      </w:r>
      <w:proofErr w:type="spellEnd"/>
      <w:r w:rsidRPr="004940D8">
        <w:rPr>
          <w:color w:val="222222"/>
          <w:shd w:val="clear" w:color="auto" w:fill="FFFFFF"/>
        </w:rPr>
        <w:t>, P. M. (2021). One year follow-up and mediation in cognitive behavioral therapy and acceptance and commitment therapy for adult depression.</w:t>
      </w:r>
      <w:r w:rsidRPr="004940D8">
        <w:rPr>
          <w:rStyle w:val="apple-converted-space"/>
          <w:color w:val="222222"/>
          <w:shd w:val="clear" w:color="auto" w:fill="FFFFFF"/>
        </w:rPr>
        <w:t> </w:t>
      </w:r>
      <w:r w:rsidRPr="004940D8">
        <w:rPr>
          <w:i/>
          <w:iCs/>
          <w:color w:val="222222"/>
        </w:rPr>
        <w:t xml:space="preserve">BMC </w:t>
      </w:r>
      <w:r w:rsidR="004940D8">
        <w:rPr>
          <w:i/>
          <w:iCs/>
          <w:color w:val="222222"/>
        </w:rPr>
        <w:t>P</w:t>
      </w:r>
      <w:r w:rsidRPr="004940D8">
        <w:rPr>
          <w:i/>
          <w:iCs/>
          <w:color w:val="222222"/>
        </w:rPr>
        <w:t>sychiatry</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21</w:t>
      </w:r>
      <w:r w:rsidRPr="004940D8">
        <w:rPr>
          <w:color w:val="222222"/>
          <w:shd w:val="clear" w:color="auto" w:fill="FFFFFF"/>
        </w:rPr>
        <w:t>(1), 1-17.</w:t>
      </w:r>
      <w:r w:rsidR="004940D8">
        <w:rPr>
          <w:color w:val="222222"/>
          <w:shd w:val="clear" w:color="auto" w:fill="FFFFFF"/>
        </w:rPr>
        <w:t xml:space="preserve"> </w:t>
      </w:r>
      <w:r w:rsidR="004940D8" w:rsidRPr="004940D8">
        <w:rPr>
          <w:color w:val="222222"/>
          <w:shd w:val="clear" w:color="auto" w:fill="FFFFFF"/>
        </w:rPr>
        <w:t>https://doi.org/10.21203/rs.2.16655/v4</w:t>
      </w:r>
    </w:p>
    <w:p w14:paraId="6BDE7E40" w14:textId="2214C957" w:rsidR="00202EC0" w:rsidRPr="004940D8" w:rsidRDefault="00202EC0" w:rsidP="004940D8">
      <w:pPr>
        <w:spacing w:line="480" w:lineRule="auto"/>
        <w:ind w:left="720" w:hanging="720"/>
        <w:rPr>
          <w:color w:val="222222"/>
          <w:shd w:val="clear" w:color="auto" w:fill="FFFFFF"/>
        </w:rPr>
      </w:pPr>
      <w:r w:rsidRPr="004940D8">
        <w:rPr>
          <w:color w:val="222222"/>
          <w:shd w:val="clear" w:color="auto" w:fill="FFFFFF"/>
        </w:rPr>
        <w:t>American College Health Association. (2019). Publications and reports: ACHA-NCHA II.</w:t>
      </w:r>
      <w:r w:rsidRPr="004940D8">
        <w:rPr>
          <w:rStyle w:val="apple-converted-space"/>
          <w:color w:val="222222"/>
          <w:shd w:val="clear" w:color="auto" w:fill="FFFFFF"/>
        </w:rPr>
        <w:t> </w:t>
      </w:r>
      <w:r w:rsidRPr="004940D8">
        <w:rPr>
          <w:i/>
          <w:iCs/>
          <w:color w:val="222222"/>
        </w:rPr>
        <w:t>American College Health Association–National College Health Assessment</w:t>
      </w:r>
      <w:r w:rsidRPr="004940D8">
        <w:rPr>
          <w:color w:val="222222"/>
          <w:shd w:val="clear" w:color="auto" w:fill="FFFFFF"/>
        </w:rPr>
        <w:t xml:space="preserve">. </w:t>
      </w:r>
      <w:hyperlink r:id="rId8" w:history="1">
        <w:r w:rsidRPr="004940D8">
          <w:rPr>
            <w:rStyle w:val="Hyperlink"/>
            <w:shd w:val="clear" w:color="auto" w:fill="FFFFFF"/>
          </w:rPr>
          <w:t>https://www.acha.org/documents/ncha/NCHA-II_SPRING_2019_US_REFERENCE_GROUP_DATA_REPORT.pdf</w:t>
        </w:r>
      </w:hyperlink>
    </w:p>
    <w:p w14:paraId="274D56A7" w14:textId="25050DCF" w:rsidR="00202EC0" w:rsidRPr="004940D8" w:rsidRDefault="00202EC0" w:rsidP="004940D8">
      <w:pPr>
        <w:pStyle w:val="EndNoteBibliography"/>
        <w:spacing w:line="480" w:lineRule="auto"/>
        <w:ind w:left="720" w:hanging="720"/>
        <w:rPr>
          <w:rFonts w:ascii="Times New Roman" w:hAnsi="Times New Roman" w:cs="Times New Roman"/>
          <w:noProof/>
        </w:rPr>
      </w:pPr>
      <w:r w:rsidRPr="004940D8">
        <w:rPr>
          <w:rFonts w:ascii="Times New Roman" w:hAnsi="Times New Roman" w:cs="Times New Roman"/>
          <w:noProof/>
        </w:rPr>
        <w:t xml:space="preserve">Andersson, G., Estling, F., Jakobsson, E., Cuijpers, P., &amp; Carlbring, P. (2011). Can the patient decide which modules to endorse? An open trial of tailored internet treatment of anxiety disorders. </w:t>
      </w:r>
      <w:r w:rsidRPr="004940D8">
        <w:rPr>
          <w:rFonts w:ascii="Times New Roman" w:hAnsi="Times New Roman" w:cs="Times New Roman"/>
          <w:i/>
          <w:iCs/>
          <w:noProof/>
        </w:rPr>
        <w:t>Cognitive Behaviour Therapy, 40</w:t>
      </w:r>
      <w:r w:rsidRPr="004940D8">
        <w:rPr>
          <w:rFonts w:ascii="Times New Roman" w:hAnsi="Times New Roman" w:cs="Times New Roman"/>
          <w:noProof/>
        </w:rPr>
        <w:t>(1), 57-64.</w:t>
      </w:r>
      <w:r w:rsidR="004940D8">
        <w:rPr>
          <w:rFonts w:ascii="Times New Roman" w:hAnsi="Times New Roman" w:cs="Times New Roman"/>
          <w:noProof/>
        </w:rPr>
        <w:t xml:space="preserve"> </w:t>
      </w:r>
      <w:r w:rsidR="004940D8" w:rsidRPr="004940D8">
        <w:rPr>
          <w:rFonts w:ascii="Times New Roman" w:hAnsi="Times New Roman" w:cs="Times New Roman"/>
          <w:noProof/>
        </w:rPr>
        <w:t>https://doi.org/10.1080/16506073.2010.529457</w:t>
      </w:r>
    </w:p>
    <w:p w14:paraId="244BA157" w14:textId="5F05A7BF" w:rsidR="00202EC0" w:rsidRPr="004940D8" w:rsidRDefault="00202EC0" w:rsidP="004940D8">
      <w:pPr>
        <w:pStyle w:val="EndNoteBibliography"/>
        <w:spacing w:line="480" w:lineRule="auto"/>
        <w:ind w:left="720" w:hanging="720"/>
        <w:rPr>
          <w:rFonts w:ascii="Times New Roman" w:hAnsi="Times New Roman" w:cs="Times New Roman"/>
          <w:noProof/>
        </w:rPr>
      </w:pPr>
      <w:r w:rsidRPr="004940D8">
        <w:rPr>
          <w:rFonts w:ascii="Times New Roman" w:hAnsi="Times New Roman" w:cs="Times New Roman"/>
          <w:noProof/>
        </w:rPr>
        <w:t xml:space="preserve">Association for University and College Counseling Center Directors [AUCCCD]. (2019). </w:t>
      </w:r>
      <w:r w:rsidRPr="004940D8">
        <w:rPr>
          <w:rFonts w:ascii="Times New Roman" w:hAnsi="Times New Roman" w:cs="Times New Roman"/>
          <w:i/>
          <w:iCs/>
          <w:noProof/>
        </w:rPr>
        <w:t xml:space="preserve">The </w:t>
      </w:r>
      <w:r w:rsidRPr="004940D8">
        <w:rPr>
          <w:rFonts w:ascii="Times New Roman" w:hAnsi="Times New Roman" w:cs="Times New Roman"/>
          <w:noProof/>
        </w:rPr>
        <w:t xml:space="preserve">Association for University and College Counseling Center Directors Annual Survey. </w:t>
      </w:r>
      <w:hyperlink r:id="rId9" w:history="1">
        <w:r w:rsidRPr="004940D8">
          <w:rPr>
            <w:rStyle w:val="Hyperlink"/>
            <w:rFonts w:ascii="Times New Roman" w:hAnsi="Times New Roman" w:cs="Times New Roman"/>
            <w:noProof/>
          </w:rPr>
          <w:t>https://www.aucccd.org/assets/documents/Survey/2019%20AUCCCD%20Survey-2020-05-31-PUBLIC.pdf</w:t>
        </w:r>
      </w:hyperlink>
    </w:p>
    <w:p w14:paraId="3F46ACFF" w14:textId="4175BAAF" w:rsidR="00202EC0" w:rsidRDefault="00202EC0" w:rsidP="004940D8">
      <w:pPr>
        <w:spacing w:line="480" w:lineRule="auto"/>
        <w:ind w:left="720" w:hanging="720"/>
        <w:rPr>
          <w:color w:val="222222"/>
          <w:shd w:val="clear" w:color="auto" w:fill="FFFFFF"/>
        </w:rPr>
      </w:pPr>
      <w:proofErr w:type="spellStart"/>
      <w:r w:rsidRPr="004940D8">
        <w:rPr>
          <w:color w:val="222222"/>
          <w:shd w:val="clear" w:color="auto" w:fill="FFFFFF"/>
        </w:rPr>
        <w:t>Beiter</w:t>
      </w:r>
      <w:proofErr w:type="spellEnd"/>
      <w:r w:rsidRPr="004940D8">
        <w:rPr>
          <w:color w:val="222222"/>
          <w:shd w:val="clear" w:color="auto" w:fill="FFFFFF"/>
        </w:rPr>
        <w:t xml:space="preserve">, R., Nash, R., McCrady, M., Rhoades, D., </w:t>
      </w:r>
      <w:proofErr w:type="spellStart"/>
      <w:r w:rsidRPr="004940D8">
        <w:rPr>
          <w:color w:val="222222"/>
          <w:shd w:val="clear" w:color="auto" w:fill="FFFFFF"/>
        </w:rPr>
        <w:t>Linscomb</w:t>
      </w:r>
      <w:proofErr w:type="spellEnd"/>
      <w:r w:rsidRPr="004940D8">
        <w:rPr>
          <w:color w:val="222222"/>
          <w:shd w:val="clear" w:color="auto" w:fill="FFFFFF"/>
        </w:rPr>
        <w:t xml:space="preserve">, M., </w:t>
      </w:r>
      <w:proofErr w:type="spellStart"/>
      <w:r w:rsidRPr="004940D8">
        <w:rPr>
          <w:color w:val="222222"/>
          <w:shd w:val="clear" w:color="auto" w:fill="FFFFFF"/>
        </w:rPr>
        <w:t>Clarahan</w:t>
      </w:r>
      <w:proofErr w:type="spellEnd"/>
      <w:r w:rsidRPr="004940D8">
        <w:rPr>
          <w:color w:val="222222"/>
          <w:shd w:val="clear" w:color="auto" w:fill="FFFFFF"/>
        </w:rPr>
        <w:t xml:space="preserve">, M., &amp; </w:t>
      </w:r>
      <w:proofErr w:type="spellStart"/>
      <w:r w:rsidRPr="004940D8">
        <w:rPr>
          <w:color w:val="222222"/>
          <w:shd w:val="clear" w:color="auto" w:fill="FFFFFF"/>
        </w:rPr>
        <w:t>Sammut</w:t>
      </w:r>
      <w:proofErr w:type="spellEnd"/>
      <w:r w:rsidRPr="004940D8">
        <w:rPr>
          <w:color w:val="222222"/>
          <w:shd w:val="clear" w:color="auto" w:fill="FFFFFF"/>
        </w:rPr>
        <w:t>, S. (2015). The prevalence and correlates of depression, anxiety, and stress in a sample of college students.</w:t>
      </w:r>
      <w:r w:rsidRPr="004940D8">
        <w:rPr>
          <w:rStyle w:val="apple-converted-space"/>
          <w:color w:val="222222"/>
          <w:shd w:val="clear" w:color="auto" w:fill="FFFFFF"/>
        </w:rPr>
        <w:t> </w:t>
      </w:r>
      <w:r w:rsidRPr="004940D8">
        <w:rPr>
          <w:i/>
          <w:iCs/>
          <w:color w:val="222222"/>
        </w:rPr>
        <w:t>Journal of Affective Disorders</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173</w:t>
      </w:r>
      <w:r w:rsidRPr="004940D8">
        <w:rPr>
          <w:color w:val="222222"/>
          <w:shd w:val="clear" w:color="auto" w:fill="FFFFFF"/>
        </w:rPr>
        <w:t>, 90-96.</w:t>
      </w:r>
      <w:r w:rsidR="00FA4D58">
        <w:rPr>
          <w:color w:val="222222"/>
          <w:shd w:val="clear" w:color="auto" w:fill="FFFFFF"/>
        </w:rPr>
        <w:t xml:space="preserve"> </w:t>
      </w:r>
      <w:hyperlink r:id="rId10" w:history="1">
        <w:r w:rsidR="00FC69D5" w:rsidRPr="00775355">
          <w:rPr>
            <w:rStyle w:val="Hyperlink"/>
            <w:shd w:val="clear" w:color="auto" w:fill="FFFFFF"/>
          </w:rPr>
          <w:t>https://doi.org/10.1016/j.jad.2014.10.054</w:t>
        </w:r>
      </w:hyperlink>
    </w:p>
    <w:p w14:paraId="1E802E66" w14:textId="2EDC5F27" w:rsidR="0059663E" w:rsidRPr="001C2286" w:rsidRDefault="0059663E" w:rsidP="001C2286">
      <w:pPr>
        <w:spacing w:line="480" w:lineRule="auto"/>
        <w:ind w:left="720" w:hanging="720"/>
        <w:rPr>
          <w:color w:val="222222"/>
          <w:shd w:val="clear" w:color="auto" w:fill="FFFFFF"/>
        </w:rPr>
      </w:pPr>
      <w:proofErr w:type="spellStart"/>
      <w:r w:rsidRPr="0059663E">
        <w:rPr>
          <w:color w:val="222222"/>
          <w:shd w:val="clear" w:color="auto" w:fill="FFFFFF"/>
        </w:rPr>
        <w:t>Gloster</w:t>
      </w:r>
      <w:proofErr w:type="spellEnd"/>
      <w:r w:rsidRPr="0059663E">
        <w:rPr>
          <w:color w:val="222222"/>
          <w:shd w:val="clear" w:color="auto" w:fill="FFFFFF"/>
        </w:rPr>
        <w:t xml:space="preserve">, A. T., Walder, N., Levin, M., Twohig, M., &amp; Karekla, M. (2020). The empirical status </w:t>
      </w:r>
      <w:r w:rsidRPr="001C2286">
        <w:rPr>
          <w:color w:val="222222"/>
          <w:shd w:val="clear" w:color="auto" w:fill="FFFFFF"/>
        </w:rPr>
        <w:t>of acceptance and commitment therapy: A review of meta-analyses. </w:t>
      </w:r>
      <w:r w:rsidRPr="001C2286">
        <w:rPr>
          <w:i/>
          <w:iCs/>
          <w:color w:val="222222"/>
        </w:rPr>
        <w:t>Journal of Contextual Behavioral Science</w:t>
      </w:r>
      <w:r w:rsidR="00FA4D58" w:rsidRPr="001C2286">
        <w:rPr>
          <w:color w:val="222222"/>
          <w:shd w:val="clear" w:color="auto" w:fill="FFFFFF"/>
        </w:rPr>
        <w:t xml:space="preserve">, </w:t>
      </w:r>
      <w:r w:rsidR="00FA4D58" w:rsidRPr="001C2286">
        <w:rPr>
          <w:i/>
          <w:iCs/>
          <w:color w:val="222222"/>
          <w:shd w:val="clear" w:color="auto" w:fill="FFFFFF"/>
        </w:rPr>
        <w:t>18</w:t>
      </w:r>
      <w:r w:rsidR="00FA4D58" w:rsidRPr="001C2286">
        <w:rPr>
          <w:color w:val="222222"/>
          <w:shd w:val="clear" w:color="auto" w:fill="FFFFFF"/>
        </w:rPr>
        <w:t xml:space="preserve">, 181-192. </w:t>
      </w:r>
      <w:hyperlink r:id="rId11" w:history="1">
        <w:r w:rsidR="001C2286" w:rsidRPr="001C2286">
          <w:rPr>
            <w:rStyle w:val="Hyperlink"/>
            <w:shd w:val="clear" w:color="auto" w:fill="FFFFFF"/>
          </w:rPr>
          <w:t>https://doi.org/10.1016/j.jcbs.2020.09.009</w:t>
        </w:r>
      </w:hyperlink>
    </w:p>
    <w:p w14:paraId="77013E86" w14:textId="48334AA4" w:rsidR="00202EC0" w:rsidRPr="00FA4D58" w:rsidRDefault="00FA4D58" w:rsidP="001C2286">
      <w:pPr>
        <w:pStyle w:val="EndNoteBibliography"/>
        <w:spacing w:line="480" w:lineRule="auto"/>
        <w:ind w:left="720" w:hanging="720"/>
        <w:rPr>
          <w:noProof/>
        </w:rPr>
      </w:pPr>
      <w:r w:rsidRPr="001C2286">
        <w:rPr>
          <w:rFonts w:ascii="Times New Roman" w:hAnsi="Times New Roman" w:cs="Times New Roman"/>
          <w:noProof/>
        </w:rPr>
        <w:lastRenderedPageBreak/>
        <w:t xml:space="preserve">Karyotaki, E., Kleiboer, A., Smit, F., Turner, D. T., Pastor, A. M., Andersson, G., … Cuijpers, P. </w:t>
      </w:r>
      <w:r w:rsidR="00202EC0" w:rsidRPr="001C2286">
        <w:rPr>
          <w:rFonts w:ascii="Times New Roman" w:hAnsi="Times New Roman" w:cs="Times New Roman"/>
          <w:noProof/>
        </w:rPr>
        <w:t>(2015). Predictors of treatment dropout in self-guided web-based interventions for</w:t>
      </w:r>
      <w:r w:rsidR="00202EC0" w:rsidRPr="004940D8">
        <w:rPr>
          <w:rFonts w:ascii="Times New Roman" w:hAnsi="Times New Roman" w:cs="Times New Roman"/>
          <w:noProof/>
        </w:rPr>
        <w:t xml:space="preserve"> depression: an ‘individual patient data’meta-analysis. </w:t>
      </w:r>
      <w:r w:rsidR="00202EC0" w:rsidRPr="004940D8">
        <w:rPr>
          <w:rFonts w:ascii="Times New Roman" w:hAnsi="Times New Roman" w:cs="Times New Roman"/>
          <w:i/>
          <w:iCs/>
          <w:noProof/>
        </w:rPr>
        <w:t>Psychological Medicine, 45</w:t>
      </w:r>
      <w:r w:rsidR="00202EC0" w:rsidRPr="004940D8">
        <w:rPr>
          <w:rFonts w:ascii="Times New Roman" w:hAnsi="Times New Roman" w:cs="Times New Roman"/>
          <w:noProof/>
        </w:rPr>
        <w:t xml:space="preserve">(13), 2717-2726. </w:t>
      </w:r>
      <w:hyperlink r:id="rId12" w:history="1">
        <w:r w:rsidR="00202EC0" w:rsidRPr="004940D8">
          <w:rPr>
            <w:rStyle w:val="Hyperlink"/>
            <w:rFonts w:ascii="Times New Roman" w:hAnsi="Times New Roman" w:cs="Times New Roman"/>
            <w:noProof/>
          </w:rPr>
          <w:t>https://doi.org/10.1017/s0033291715000665</w:t>
        </w:r>
      </w:hyperlink>
    </w:p>
    <w:p w14:paraId="019FD55D" w14:textId="3131C680" w:rsidR="004940D8" w:rsidRPr="00FA4D58" w:rsidRDefault="0059663E" w:rsidP="00FA4D58">
      <w:pPr>
        <w:spacing w:line="480" w:lineRule="auto"/>
        <w:ind w:left="720" w:hanging="720"/>
        <w:rPr>
          <w:color w:val="222222"/>
          <w:shd w:val="clear" w:color="auto" w:fill="FFFFFF"/>
        </w:rPr>
      </w:pPr>
      <w:proofErr w:type="spellStart"/>
      <w:r w:rsidRPr="004940D8">
        <w:rPr>
          <w:color w:val="222222"/>
          <w:shd w:val="clear" w:color="auto" w:fill="FFFFFF"/>
        </w:rPr>
        <w:t>Karyotaki</w:t>
      </w:r>
      <w:proofErr w:type="spellEnd"/>
      <w:r w:rsidRPr="004940D8">
        <w:rPr>
          <w:color w:val="222222"/>
          <w:shd w:val="clear" w:color="auto" w:fill="FFFFFF"/>
        </w:rPr>
        <w:t xml:space="preserve">, E., </w:t>
      </w:r>
      <w:proofErr w:type="spellStart"/>
      <w:r w:rsidRPr="004940D8">
        <w:rPr>
          <w:color w:val="222222"/>
          <w:shd w:val="clear" w:color="auto" w:fill="FFFFFF"/>
        </w:rPr>
        <w:t>Efthimiou</w:t>
      </w:r>
      <w:proofErr w:type="spellEnd"/>
      <w:r w:rsidRPr="004940D8">
        <w:rPr>
          <w:color w:val="222222"/>
          <w:shd w:val="clear" w:color="auto" w:fill="FFFFFF"/>
        </w:rPr>
        <w:t xml:space="preserve">, O., Miguel, C., </w:t>
      </w:r>
      <w:proofErr w:type="spellStart"/>
      <w:r w:rsidRPr="004940D8">
        <w:rPr>
          <w:color w:val="222222"/>
          <w:shd w:val="clear" w:color="auto" w:fill="FFFFFF"/>
        </w:rPr>
        <w:t>Bermpohl</w:t>
      </w:r>
      <w:proofErr w:type="spellEnd"/>
      <w:r w:rsidRPr="004940D8">
        <w:rPr>
          <w:color w:val="222222"/>
          <w:shd w:val="clear" w:color="auto" w:fill="FFFFFF"/>
        </w:rPr>
        <w:t xml:space="preserve">, F. M. G., Furukawa, T. A., </w:t>
      </w:r>
      <w:proofErr w:type="spellStart"/>
      <w:r w:rsidRPr="004940D8">
        <w:rPr>
          <w:color w:val="222222"/>
          <w:shd w:val="clear" w:color="auto" w:fill="FFFFFF"/>
        </w:rPr>
        <w:t>Cuijpers</w:t>
      </w:r>
      <w:proofErr w:type="spellEnd"/>
      <w:r w:rsidRPr="004940D8">
        <w:rPr>
          <w:color w:val="222222"/>
          <w:shd w:val="clear" w:color="auto" w:fill="FFFFFF"/>
        </w:rPr>
        <w:t xml:space="preserve">, P., ...  </w:t>
      </w:r>
      <w:proofErr w:type="spellStart"/>
      <w:r w:rsidRPr="004940D8">
        <w:rPr>
          <w:color w:val="222222"/>
          <w:shd w:val="clear" w:color="auto" w:fill="FFFFFF"/>
        </w:rPr>
        <w:t>Forsell</w:t>
      </w:r>
      <w:proofErr w:type="spellEnd"/>
      <w:r w:rsidRPr="004940D8">
        <w:rPr>
          <w:color w:val="222222"/>
          <w:shd w:val="clear" w:color="auto" w:fill="FFFFFF"/>
        </w:rPr>
        <w:t>, Y. (2021). Internet-based cognitive behavioral therapy for depression: a systematic review and individual patient data network meta-analysis.</w:t>
      </w:r>
      <w:r w:rsidRPr="004940D8">
        <w:rPr>
          <w:rStyle w:val="apple-converted-space"/>
          <w:color w:val="222222"/>
          <w:shd w:val="clear" w:color="auto" w:fill="FFFFFF"/>
        </w:rPr>
        <w:t> </w:t>
      </w:r>
      <w:r w:rsidRPr="004940D8">
        <w:rPr>
          <w:i/>
          <w:iCs/>
          <w:color w:val="222222"/>
        </w:rPr>
        <w:t xml:space="preserve">JAMA </w:t>
      </w:r>
      <w:r w:rsidR="00FA4D58">
        <w:rPr>
          <w:i/>
          <w:iCs/>
          <w:color w:val="222222"/>
        </w:rPr>
        <w:t>P</w:t>
      </w:r>
      <w:r w:rsidRPr="004940D8">
        <w:rPr>
          <w:i/>
          <w:iCs/>
          <w:color w:val="222222"/>
        </w:rPr>
        <w:t>sychiatry</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78</w:t>
      </w:r>
      <w:r w:rsidRPr="004940D8">
        <w:rPr>
          <w:color w:val="222222"/>
          <w:shd w:val="clear" w:color="auto" w:fill="FFFFFF"/>
        </w:rPr>
        <w:t>(4), 361-371.</w:t>
      </w:r>
    </w:p>
    <w:p w14:paraId="0B08441F" w14:textId="0F782D07" w:rsidR="0059663E" w:rsidRDefault="0059663E" w:rsidP="004940D8">
      <w:pPr>
        <w:pStyle w:val="EndNoteBibliography"/>
        <w:spacing w:line="480" w:lineRule="auto"/>
        <w:ind w:left="720" w:hanging="720"/>
        <w:rPr>
          <w:rFonts w:ascii="Times New Roman" w:hAnsi="Times New Roman" w:cs="Times New Roman"/>
          <w:noProof/>
        </w:rPr>
      </w:pPr>
      <w:r w:rsidRPr="004940D8">
        <w:rPr>
          <w:rFonts w:ascii="Times New Roman" w:hAnsi="Times New Roman" w:cs="Times New Roman"/>
          <w:noProof/>
        </w:rPr>
        <w:t xml:space="preserve">Knaus, W. J. (2006). </w:t>
      </w:r>
      <w:r w:rsidRPr="004940D8">
        <w:rPr>
          <w:rFonts w:ascii="Times New Roman" w:hAnsi="Times New Roman" w:cs="Times New Roman"/>
          <w:i/>
          <w:iCs/>
          <w:noProof/>
        </w:rPr>
        <w:t>The cognitive behavioral workbook for depression: a step-by-step program</w:t>
      </w:r>
      <w:r w:rsidRPr="004940D8">
        <w:rPr>
          <w:rFonts w:ascii="Times New Roman" w:hAnsi="Times New Roman" w:cs="Times New Roman"/>
          <w:noProof/>
        </w:rPr>
        <w:t>. New Harbinger Publications.</w:t>
      </w:r>
    </w:p>
    <w:p w14:paraId="1064193F" w14:textId="772044E2" w:rsidR="008D52EF" w:rsidRPr="008D52EF" w:rsidRDefault="008D52EF" w:rsidP="008D52EF">
      <w:pPr>
        <w:spacing w:line="480" w:lineRule="auto"/>
        <w:ind w:left="720" w:hanging="720"/>
        <w:rPr>
          <w:color w:val="222222"/>
          <w:shd w:val="clear" w:color="auto" w:fill="FFFFFF"/>
        </w:rPr>
      </w:pPr>
      <w:r w:rsidRPr="004940D8">
        <w:rPr>
          <w:color w:val="222222"/>
          <w:shd w:val="clear" w:color="auto" w:fill="FFFFFF"/>
        </w:rPr>
        <w:t>Krafft, J., Twohig, M. P., &amp; Levin, M. E. (2020). A randomized trial of acceptance and commitment therapy and traditional cognitive-behavioral therapy self-help books for social anxiety.</w:t>
      </w:r>
      <w:r w:rsidRPr="004940D8">
        <w:rPr>
          <w:rStyle w:val="apple-converted-space"/>
          <w:color w:val="222222"/>
          <w:shd w:val="clear" w:color="auto" w:fill="FFFFFF"/>
        </w:rPr>
        <w:t> </w:t>
      </w:r>
      <w:r w:rsidRPr="004940D8">
        <w:rPr>
          <w:i/>
          <w:iCs/>
          <w:color w:val="222222"/>
        </w:rPr>
        <w:t>Cognitive Therapy and Research</w:t>
      </w:r>
      <w:r w:rsidRPr="004940D8">
        <w:rPr>
          <w:color w:val="222222"/>
          <w:shd w:val="clear" w:color="auto" w:fill="FFFFFF"/>
        </w:rPr>
        <w:t>.</w:t>
      </w:r>
      <w:r w:rsidRPr="004940D8">
        <w:t xml:space="preserve"> </w:t>
      </w:r>
      <w:hyperlink r:id="rId13" w:history="1">
        <w:r w:rsidRPr="004940D8">
          <w:rPr>
            <w:rStyle w:val="Hyperlink"/>
            <w:shd w:val="clear" w:color="auto" w:fill="FFFFFF"/>
          </w:rPr>
          <w:t>https://doi.org/10.1007/s10608-020-10114-3</w:t>
        </w:r>
      </w:hyperlink>
    </w:p>
    <w:p w14:paraId="2107E4C7" w14:textId="2294B4D3" w:rsidR="0059663E" w:rsidRPr="004940D8" w:rsidRDefault="0059663E" w:rsidP="00FA4D58">
      <w:pPr>
        <w:spacing w:line="480" w:lineRule="auto"/>
        <w:ind w:left="720" w:hanging="720"/>
        <w:rPr>
          <w:color w:val="222222"/>
          <w:shd w:val="clear" w:color="auto" w:fill="FFFFFF"/>
        </w:rPr>
      </w:pPr>
      <w:r w:rsidRPr="004940D8">
        <w:rPr>
          <w:color w:val="222222"/>
          <w:shd w:val="clear" w:color="auto" w:fill="FFFFFF"/>
        </w:rPr>
        <w:t xml:space="preserve">Kuznetsova, A., </w:t>
      </w:r>
      <w:proofErr w:type="spellStart"/>
      <w:r w:rsidRPr="004940D8">
        <w:rPr>
          <w:color w:val="222222"/>
          <w:shd w:val="clear" w:color="auto" w:fill="FFFFFF"/>
        </w:rPr>
        <w:t>Brockhoff</w:t>
      </w:r>
      <w:proofErr w:type="spellEnd"/>
      <w:r w:rsidRPr="004940D8">
        <w:rPr>
          <w:color w:val="222222"/>
          <w:shd w:val="clear" w:color="auto" w:fill="FFFFFF"/>
        </w:rPr>
        <w:t xml:space="preserve">, P. B., &amp; Christensen, R. H. (2017). </w:t>
      </w:r>
      <w:proofErr w:type="spellStart"/>
      <w:r w:rsidRPr="004940D8">
        <w:rPr>
          <w:color w:val="222222"/>
          <w:shd w:val="clear" w:color="auto" w:fill="FFFFFF"/>
        </w:rPr>
        <w:t>lmerTest</w:t>
      </w:r>
      <w:proofErr w:type="spellEnd"/>
      <w:r w:rsidRPr="004940D8">
        <w:rPr>
          <w:color w:val="222222"/>
          <w:shd w:val="clear" w:color="auto" w:fill="FFFFFF"/>
        </w:rPr>
        <w:t xml:space="preserve"> package: tests in linear mixed effects models.</w:t>
      </w:r>
      <w:r w:rsidRPr="004940D8">
        <w:rPr>
          <w:rStyle w:val="apple-converted-space"/>
          <w:color w:val="222222"/>
          <w:shd w:val="clear" w:color="auto" w:fill="FFFFFF"/>
        </w:rPr>
        <w:t> </w:t>
      </w:r>
      <w:r w:rsidRPr="004940D8">
        <w:rPr>
          <w:i/>
          <w:iCs/>
          <w:color w:val="222222"/>
        </w:rPr>
        <w:t>Journal of Statistical Software</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82</w:t>
      </w:r>
      <w:r w:rsidRPr="004940D8">
        <w:rPr>
          <w:color w:val="222222"/>
          <w:shd w:val="clear" w:color="auto" w:fill="FFFFFF"/>
        </w:rPr>
        <w:t>(13), 1-26.</w:t>
      </w:r>
      <w:r w:rsidRPr="004940D8">
        <w:t xml:space="preserve"> </w:t>
      </w:r>
      <w:r w:rsidRPr="004940D8">
        <w:rPr>
          <w:color w:val="222222"/>
          <w:shd w:val="clear" w:color="auto" w:fill="FFFFFF"/>
        </w:rPr>
        <w:t>https://doi.org/10.18637/jss.v082.i13</w:t>
      </w:r>
    </w:p>
    <w:p w14:paraId="3E2776E0" w14:textId="3DE9CA5C" w:rsidR="0059663E" w:rsidRPr="004940D8" w:rsidRDefault="0059663E" w:rsidP="00FA4D58">
      <w:pPr>
        <w:spacing w:line="480" w:lineRule="auto"/>
        <w:ind w:left="720" w:hanging="720"/>
        <w:rPr>
          <w:color w:val="222222"/>
          <w:shd w:val="clear" w:color="auto" w:fill="FFFFFF"/>
        </w:rPr>
      </w:pPr>
      <w:r w:rsidRPr="004940D8">
        <w:rPr>
          <w:color w:val="222222"/>
          <w:shd w:val="clear" w:color="auto" w:fill="FFFFFF"/>
        </w:rPr>
        <w:t>Levin, M. E., An, W., Davis, C. H., &amp; Twohig, M. P. (2020). Evaluating acceptance and commitment therapy and mindfulness-based stress reduction self-help books for college student mental health.</w:t>
      </w:r>
      <w:r w:rsidRPr="004940D8">
        <w:rPr>
          <w:rStyle w:val="apple-converted-space"/>
          <w:color w:val="222222"/>
          <w:shd w:val="clear" w:color="auto" w:fill="FFFFFF"/>
        </w:rPr>
        <w:t> </w:t>
      </w:r>
      <w:r w:rsidRPr="004940D8">
        <w:rPr>
          <w:i/>
          <w:iCs/>
          <w:color w:val="222222"/>
        </w:rPr>
        <w:t>Mindfulness</w:t>
      </w:r>
      <w:r w:rsidRPr="004940D8">
        <w:rPr>
          <w:color w:val="222222"/>
          <w:shd w:val="clear" w:color="auto" w:fill="FFFFFF"/>
        </w:rPr>
        <w:t xml:space="preserve">, 1-11. </w:t>
      </w:r>
      <w:hyperlink r:id="rId14" w:history="1">
        <w:r w:rsidRPr="004940D8">
          <w:rPr>
            <w:rStyle w:val="Hyperlink"/>
            <w:shd w:val="clear" w:color="auto" w:fill="FFFFFF"/>
          </w:rPr>
          <w:t>https://doi.org/10.1007/s12671-020-01344-3</w:t>
        </w:r>
      </w:hyperlink>
    </w:p>
    <w:p w14:paraId="422687E6" w14:textId="77777777" w:rsidR="0059663E" w:rsidRPr="004940D8" w:rsidRDefault="0059663E" w:rsidP="004940D8">
      <w:pPr>
        <w:pStyle w:val="EndNoteBibliography"/>
        <w:spacing w:line="480" w:lineRule="auto"/>
        <w:ind w:left="720" w:hanging="720"/>
        <w:rPr>
          <w:rFonts w:ascii="Times New Roman" w:hAnsi="Times New Roman" w:cs="Times New Roman"/>
          <w:noProof/>
        </w:rPr>
      </w:pPr>
      <w:r w:rsidRPr="004940D8">
        <w:rPr>
          <w:rFonts w:ascii="Times New Roman" w:hAnsi="Times New Roman" w:cs="Times New Roman"/>
          <w:noProof/>
        </w:rPr>
        <w:t xml:space="preserve">Lovibond, P. F., &amp; Lovibond, S. H. (1995). The structure of negative emotional states: Comparison of the Depression Anxiety Stress Scales (DASS) with the Beck Depression </w:t>
      </w:r>
      <w:r w:rsidRPr="004940D8">
        <w:rPr>
          <w:rFonts w:ascii="Times New Roman" w:hAnsi="Times New Roman" w:cs="Times New Roman"/>
          <w:noProof/>
        </w:rPr>
        <w:lastRenderedPageBreak/>
        <w:t xml:space="preserve">and Anxiety Inventories. </w:t>
      </w:r>
      <w:r w:rsidRPr="004940D8">
        <w:rPr>
          <w:rFonts w:ascii="Times New Roman" w:hAnsi="Times New Roman" w:cs="Times New Roman"/>
          <w:i/>
          <w:iCs/>
          <w:noProof/>
        </w:rPr>
        <w:t>Behaviour Research and Therapy, 33</w:t>
      </w:r>
      <w:r w:rsidRPr="004940D8">
        <w:rPr>
          <w:rFonts w:ascii="Times New Roman" w:hAnsi="Times New Roman" w:cs="Times New Roman"/>
          <w:noProof/>
        </w:rPr>
        <w:t xml:space="preserve">(3), 335-343. </w:t>
      </w:r>
      <w:hyperlink r:id="rId15" w:history="1">
        <w:r w:rsidRPr="004940D8">
          <w:rPr>
            <w:rStyle w:val="Hyperlink"/>
            <w:rFonts w:ascii="Times New Roman" w:hAnsi="Times New Roman" w:cs="Times New Roman"/>
            <w:noProof/>
          </w:rPr>
          <w:t>https://doi.org/10.1016/0005-7967(94)00075-u</w:t>
        </w:r>
      </w:hyperlink>
    </w:p>
    <w:p w14:paraId="764D8D2D" w14:textId="4C508F43" w:rsidR="0059663E" w:rsidRPr="00DB1690" w:rsidRDefault="004940D8" w:rsidP="00DB1690">
      <w:pPr>
        <w:spacing w:line="480" w:lineRule="auto"/>
        <w:ind w:left="720" w:hanging="720"/>
        <w:rPr>
          <w:color w:val="222222"/>
          <w:shd w:val="clear" w:color="auto" w:fill="FFFFFF"/>
        </w:rPr>
      </w:pPr>
      <w:r w:rsidRPr="00DB1690">
        <w:rPr>
          <w:color w:val="222222"/>
          <w:shd w:val="clear" w:color="auto" w:fill="FFFFFF"/>
        </w:rPr>
        <w:t>Maas, C. J., &amp; Hox, J. J. (2005). Sufficient sample sizes for multilevel modeling. </w:t>
      </w:r>
      <w:r w:rsidRPr="00DB1690">
        <w:rPr>
          <w:i/>
          <w:iCs/>
          <w:color w:val="222222"/>
        </w:rPr>
        <w:t>Methodology</w:t>
      </w:r>
      <w:r w:rsidRPr="00DB1690">
        <w:rPr>
          <w:color w:val="222222"/>
          <w:shd w:val="clear" w:color="auto" w:fill="FFFFFF"/>
        </w:rPr>
        <w:t>, </w:t>
      </w:r>
      <w:r w:rsidRPr="00DB1690">
        <w:rPr>
          <w:i/>
          <w:iCs/>
          <w:color w:val="222222"/>
        </w:rPr>
        <w:t>1</w:t>
      </w:r>
      <w:r w:rsidRPr="00DB1690">
        <w:rPr>
          <w:color w:val="222222"/>
          <w:shd w:val="clear" w:color="auto" w:fill="FFFFFF"/>
        </w:rPr>
        <w:t>(3), 86-92.</w:t>
      </w:r>
    </w:p>
    <w:p w14:paraId="794A001B" w14:textId="1158AE5B" w:rsidR="00202EC0" w:rsidRPr="004940D8" w:rsidRDefault="00202EC0" w:rsidP="00DB1690">
      <w:pPr>
        <w:spacing w:line="480" w:lineRule="auto"/>
        <w:ind w:left="720" w:hanging="720"/>
        <w:rPr>
          <w:color w:val="222222"/>
          <w:shd w:val="clear" w:color="auto" w:fill="FFFFFF"/>
        </w:rPr>
      </w:pPr>
      <w:r w:rsidRPr="00DB1690">
        <w:rPr>
          <w:color w:val="222222"/>
          <w:shd w:val="clear" w:color="auto" w:fill="FFFFFF"/>
        </w:rPr>
        <w:t xml:space="preserve">Richards, D., &amp; Richardson, T. (2012). Computer-based psychological treatments for depression: </w:t>
      </w:r>
      <w:r w:rsidRPr="004940D8">
        <w:rPr>
          <w:color w:val="222222"/>
          <w:shd w:val="clear" w:color="auto" w:fill="FFFFFF"/>
        </w:rPr>
        <w:t>a systematic review and meta-analysis. </w:t>
      </w:r>
      <w:r w:rsidRPr="004940D8">
        <w:rPr>
          <w:i/>
          <w:iCs/>
          <w:color w:val="222222"/>
        </w:rPr>
        <w:t>Clinical Psychology Review</w:t>
      </w:r>
      <w:r w:rsidRPr="004940D8">
        <w:rPr>
          <w:color w:val="222222"/>
          <w:shd w:val="clear" w:color="auto" w:fill="FFFFFF"/>
        </w:rPr>
        <w:t>, </w:t>
      </w:r>
      <w:r w:rsidRPr="004940D8">
        <w:rPr>
          <w:i/>
          <w:iCs/>
          <w:color w:val="222222"/>
        </w:rPr>
        <w:t>32</w:t>
      </w:r>
      <w:r w:rsidRPr="004940D8">
        <w:rPr>
          <w:color w:val="222222"/>
          <w:shd w:val="clear" w:color="auto" w:fill="FFFFFF"/>
        </w:rPr>
        <w:t>(4), 329-342.</w:t>
      </w:r>
      <w:r w:rsidR="00FA4D58">
        <w:rPr>
          <w:color w:val="222222"/>
          <w:shd w:val="clear" w:color="auto" w:fill="FFFFFF"/>
        </w:rPr>
        <w:t xml:space="preserve"> </w:t>
      </w:r>
      <w:r w:rsidR="00FA4D58" w:rsidRPr="00FA4D58">
        <w:rPr>
          <w:color w:val="222222"/>
          <w:shd w:val="clear" w:color="auto" w:fill="FFFFFF"/>
        </w:rPr>
        <w:t>https://doi.org/10.1016/j.cpr.2012.02.004</w:t>
      </w:r>
    </w:p>
    <w:p w14:paraId="2FE0E58C" w14:textId="4F8E4F08" w:rsidR="004940D8" w:rsidRPr="006A5803" w:rsidRDefault="0059663E" w:rsidP="006A5803">
      <w:pPr>
        <w:spacing w:line="480" w:lineRule="auto"/>
        <w:ind w:left="720" w:hanging="720"/>
        <w:rPr>
          <w:color w:val="222222"/>
          <w:shd w:val="clear" w:color="auto" w:fill="FFFFFF"/>
        </w:rPr>
      </w:pPr>
      <w:proofErr w:type="spellStart"/>
      <w:r w:rsidRPr="004940D8">
        <w:rPr>
          <w:color w:val="222222"/>
          <w:shd w:val="clear" w:color="auto" w:fill="FFFFFF"/>
        </w:rPr>
        <w:t>Ronk</w:t>
      </w:r>
      <w:proofErr w:type="spellEnd"/>
      <w:r w:rsidRPr="004940D8">
        <w:rPr>
          <w:color w:val="222222"/>
          <w:shd w:val="clear" w:color="auto" w:fill="FFFFFF"/>
        </w:rPr>
        <w:t xml:space="preserve">, F. R., </w:t>
      </w:r>
      <w:proofErr w:type="spellStart"/>
      <w:r w:rsidRPr="004940D8">
        <w:rPr>
          <w:color w:val="222222"/>
          <w:shd w:val="clear" w:color="auto" w:fill="FFFFFF"/>
        </w:rPr>
        <w:t>Korman</w:t>
      </w:r>
      <w:proofErr w:type="spellEnd"/>
      <w:r w:rsidRPr="004940D8">
        <w:rPr>
          <w:color w:val="222222"/>
          <w:shd w:val="clear" w:color="auto" w:fill="FFFFFF"/>
        </w:rPr>
        <w:t>, J. R., Hooke, G. R., &amp; Page, A. C. (2013). Assessing clinical significance of treatment outcomes using the DASS-21.</w:t>
      </w:r>
      <w:r w:rsidRPr="004940D8">
        <w:rPr>
          <w:rStyle w:val="apple-converted-space"/>
          <w:color w:val="222222"/>
          <w:shd w:val="clear" w:color="auto" w:fill="FFFFFF"/>
        </w:rPr>
        <w:t> </w:t>
      </w:r>
      <w:r w:rsidRPr="004940D8">
        <w:rPr>
          <w:i/>
          <w:iCs/>
          <w:color w:val="222222"/>
        </w:rPr>
        <w:t>Psychological Assessment</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25</w:t>
      </w:r>
      <w:r w:rsidRPr="004940D8">
        <w:rPr>
          <w:color w:val="222222"/>
          <w:shd w:val="clear" w:color="auto" w:fill="FFFFFF"/>
        </w:rPr>
        <w:t>(4), 1103.</w:t>
      </w:r>
      <w:r w:rsidR="00FA4D58">
        <w:rPr>
          <w:color w:val="222222"/>
          <w:shd w:val="clear" w:color="auto" w:fill="FFFFFF"/>
        </w:rPr>
        <w:t xml:space="preserve"> </w:t>
      </w:r>
      <w:hyperlink r:id="rId16" w:history="1">
        <w:r w:rsidR="006A5803" w:rsidRPr="006A5803">
          <w:rPr>
            <w:rStyle w:val="Hyperlink"/>
            <w:shd w:val="clear" w:color="auto" w:fill="FFFFFF"/>
          </w:rPr>
          <w:t>https://doi.org/10.1037/a0033100</w:t>
        </w:r>
      </w:hyperlink>
    </w:p>
    <w:p w14:paraId="6B144712" w14:textId="17851F61" w:rsidR="0059663E" w:rsidRPr="00FA4D58" w:rsidRDefault="004940D8" w:rsidP="00FA4D58">
      <w:pPr>
        <w:spacing w:line="480" w:lineRule="auto"/>
        <w:ind w:left="720" w:hanging="720"/>
      </w:pPr>
      <w:proofErr w:type="spellStart"/>
      <w:r w:rsidRPr="004940D8">
        <w:rPr>
          <w:color w:val="333333"/>
          <w:shd w:val="clear" w:color="auto" w:fill="FFFFFF"/>
        </w:rPr>
        <w:t>Storaasli</w:t>
      </w:r>
      <w:proofErr w:type="spellEnd"/>
      <w:r w:rsidRPr="004940D8">
        <w:rPr>
          <w:color w:val="333333"/>
          <w:shd w:val="clear" w:color="auto" w:fill="FFFFFF"/>
        </w:rPr>
        <w:t xml:space="preserve">, R. D., </w:t>
      </w:r>
      <w:proofErr w:type="spellStart"/>
      <w:r w:rsidRPr="004940D8">
        <w:rPr>
          <w:color w:val="333333"/>
          <w:shd w:val="clear" w:color="auto" w:fill="FFFFFF"/>
        </w:rPr>
        <w:t>Kraushaar</w:t>
      </w:r>
      <w:proofErr w:type="spellEnd"/>
      <w:r w:rsidRPr="004940D8">
        <w:rPr>
          <w:color w:val="333333"/>
          <w:shd w:val="clear" w:color="auto" w:fill="FFFFFF"/>
        </w:rPr>
        <w:t>, B., Wilson, K. G., &amp; Emrick, C. (2007). Convention, tradition, and the new wave: Assessing clinician identity in behavior therapy. </w:t>
      </w:r>
      <w:r w:rsidRPr="004940D8">
        <w:rPr>
          <w:i/>
          <w:iCs/>
          <w:color w:val="333333"/>
        </w:rPr>
        <w:t>The Behavior Therapist, 30</w:t>
      </w:r>
      <w:r w:rsidRPr="004940D8">
        <w:rPr>
          <w:color w:val="333333"/>
          <w:shd w:val="clear" w:color="auto" w:fill="FFFFFF"/>
        </w:rPr>
        <w:t>(7), 149–155.</w:t>
      </w:r>
    </w:p>
    <w:p w14:paraId="28FFA235" w14:textId="69119298" w:rsidR="0059663E" w:rsidRPr="00FA4D58" w:rsidRDefault="0059663E" w:rsidP="00FA4D58">
      <w:pPr>
        <w:pStyle w:val="EndNoteBibliography"/>
        <w:spacing w:line="480" w:lineRule="auto"/>
        <w:ind w:left="720" w:hanging="720"/>
        <w:rPr>
          <w:rFonts w:ascii="Times New Roman" w:hAnsi="Times New Roman" w:cs="Times New Roman"/>
          <w:noProof/>
        </w:rPr>
      </w:pPr>
      <w:r w:rsidRPr="004940D8">
        <w:rPr>
          <w:rFonts w:ascii="Times New Roman" w:hAnsi="Times New Roman" w:cs="Times New Roman"/>
          <w:noProof/>
        </w:rPr>
        <w:t xml:space="preserve">Strosahl, K. D., &amp; Robinson, P. J. (2008). </w:t>
      </w:r>
      <w:r w:rsidRPr="004940D8">
        <w:rPr>
          <w:rFonts w:ascii="Times New Roman" w:hAnsi="Times New Roman" w:cs="Times New Roman"/>
          <w:i/>
          <w:iCs/>
          <w:noProof/>
        </w:rPr>
        <w:t>The mindfulness and acceptance workbook for depression: Using acceptance and commitment therapy to move through depression and create a life worth living</w:t>
      </w:r>
      <w:r w:rsidRPr="004940D8">
        <w:rPr>
          <w:rFonts w:ascii="Times New Roman" w:hAnsi="Times New Roman" w:cs="Times New Roman"/>
          <w:noProof/>
        </w:rPr>
        <w:t>. New Harbinger Publications.</w:t>
      </w:r>
    </w:p>
    <w:p w14:paraId="5C1260C1" w14:textId="18B9C17E" w:rsidR="0059663E" w:rsidRPr="00DB1690" w:rsidRDefault="0059663E" w:rsidP="00DB1690">
      <w:pPr>
        <w:spacing w:line="480" w:lineRule="auto"/>
        <w:ind w:left="720" w:hanging="720"/>
      </w:pPr>
      <w:r w:rsidRPr="004940D8">
        <w:rPr>
          <w:color w:val="222222"/>
          <w:shd w:val="clear" w:color="auto" w:fill="FFFFFF"/>
        </w:rPr>
        <w:t xml:space="preserve">Sierra, M. A., Ruiz, F. J., &amp; </w:t>
      </w:r>
      <w:proofErr w:type="spellStart"/>
      <w:r w:rsidRPr="004940D8">
        <w:rPr>
          <w:color w:val="222222"/>
          <w:shd w:val="clear" w:color="auto" w:fill="FFFFFF"/>
        </w:rPr>
        <w:t>Flórez</w:t>
      </w:r>
      <w:proofErr w:type="spellEnd"/>
      <w:r w:rsidRPr="004940D8">
        <w:rPr>
          <w:color w:val="222222"/>
          <w:shd w:val="clear" w:color="auto" w:fill="FFFFFF"/>
        </w:rPr>
        <w:t>, C. L. (2018). A systematic review and meta-analysis of third-wave online interventions for depression.</w:t>
      </w:r>
      <w:r w:rsidRPr="004940D8">
        <w:rPr>
          <w:rStyle w:val="apple-converted-space"/>
          <w:color w:val="222222"/>
          <w:shd w:val="clear" w:color="auto" w:fill="FFFFFF"/>
        </w:rPr>
        <w:t> </w:t>
      </w:r>
      <w:proofErr w:type="spellStart"/>
      <w:r w:rsidRPr="004940D8">
        <w:rPr>
          <w:i/>
          <w:iCs/>
          <w:color w:val="222222"/>
        </w:rPr>
        <w:t>Revista</w:t>
      </w:r>
      <w:proofErr w:type="spellEnd"/>
      <w:r w:rsidRPr="004940D8">
        <w:rPr>
          <w:i/>
          <w:iCs/>
          <w:color w:val="222222"/>
        </w:rPr>
        <w:t xml:space="preserve"> </w:t>
      </w:r>
      <w:proofErr w:type="spellStart"/>
      <w:r w:rsidRPr="004940D8">
        <w:rPr>
          <w:i/>
          <w:iCs/>
          <w:color w:val="222222"/>
        </w:rPr>
        <w:t>Latinoamericana</w:t>
      </w:r>
      <w:proofErr w:type="spellEnd"/>
      <w:r w:rsidRPr="004940D8">
        <w:rPr>
          <w:i/>
          <w:iCs/>
          <w:color w:val="222222"/>
        </w:rPr>
        <w:t xml:space="preserve"> de </w:t>
      </w:r>
      <w:proofErr w:type="spellStart"/>
      <w:r w:rsidRPr="00DB1690">
        <w:rPr>
          <w:i/>
          <w:iCs/>
          <w:color w:val="222222"/>
        </w:rPr>
        <w:t>Psicología</w:t>
      </w:r>
      <w:proofErr w:type="spellEnd"/>
      <w:r w:rsidRPr="00DB1690">
        <w:rPr>
          <w:color w:val="222222"/>
          <w:shd w:val="clear" w:color="auto" w:fill="FFFFFF"/>
        </w:rPr>
        <w:t>,</w:t>
      </w:r>
      <w:r w:rsidRPr="00DB1690">
        <w:rPr>
          <w:rStyle w:val="apple-converted-space"/>
          <w:color w:val="222222"/>
          <w:shd w:val="clear" w:color="auto" w:fill="FFFFFF"/>
        </w:rPr>
        <w:t> </w:t>
      </w:r>
      <w:r w:rsidRPr="00DB1690">
        <w:rPr>
          <w:i/>
          <w:iCs/>
          <w:color w:val="222222"/>
        </w:rPr>
        <w:t>50</w:t>
      </w:r>
      <w:r w:rsidRPr="00DB1690">
        <w:rPr>
          <w:color w:val="222222"/>
          <w:shd w:val="clear" w:color="auto" w:fill="FFFFFF"/>
        </w:rPr>
        <w:t>(2), 126-135.</w:t>
      </w:r>
      <w:r w:rsidR="00FA4D58" w:rsidRPr="00DB1690">
        <w:t xml:space="preserve"> </w:t>
      </w:r>
      <w:hyperlink r:id="rId17" w:history="1">
        <w:r w:rsidR="00DB1690" w:rsidRPr="00DB1690">
          <w:rPr>
            <w:rStyle w:val="Hyperlink"/>
          </w:rPr>
          <w:t>https://doi.org/10.14349/rlp.2018.v50.n2.6</w:t>
        </w:r>
      </w:hyperlink>
    </w:p>
    <w:p w14:paraId="70670ECD" w14:textId="003C5A00" w:rsidR="00DB1690" w:rsidRDefault="00DB1690" w:rsidP="00DB1690">
      <w:pPr>
        <w:spacing w:line="480" w:lineRule="auto"/>
        <w:ind w:left="720" w:hanging="720"/>
        <w:rPr>
          <w:color w:val="222222"/>
          <w:shd w:val="clear" w:color="auto" w:fill="FFFFFF"/>
        </w:rPr>
      </w:pPr>
      <w:r w:rsidRPr="00DB1690">
        <w:rPr>
          <w:color w:val="222222"/>
          <w:shd w:val="clear" w:color="auto" w:fill="FFFFFF"/>
        </w:rPr>
        <w:t>Swift, J. K., Callahan, J. L., Cooper, M., &amp; Parkin, S. R. (2018). The impact of accommodating client preference in psychotherapy: A meta‐analysis.</w:t>
      </w:r>
      <w:r w:rsidRPr="00DB1690">
        <w:rPr>
          <w:rStyle w:val="apple-converted-space"/>
          <w:color w:val="222222"/>
          <w:shd w:val="clear" w:color="auto" w:fill="FFFFFF"/>
        </w:rPr>
        <w:t> </w:t>
      </w:r>
      <w:r w:rsidRPr="00DB1690">
        <w:rPr>
          <w:i/>
          <w:iCs/>
          <w:color w:val="222222"/>
        </w:rPr>
        <w:t>Journal of Clinical Psychology</w:t>
      </w:r>
      <w:r w:rsidRPr="00DB1690">
        <w:rPr>
          <w:color w:val="222222"/>
          <w:shd w:val="clear" w:color="auto" w:fill="FFFFFF"/>
        </w:rPr>
        <w:t>,</w:t>
      </w:r>
      <w:r w:rsidRPr="00DB1690">
        <w:rPr>
          <w:rStyle w:val="apple-converted-space"/>
          <w:color w:val="222222"/>
          <w:shd w:val="clear" w:color="auto" w:fill="FFFFFF"/>
        </w:rPr>
        <w:t> </w:t>
      </w:r>
      <w:r w:rsidRPr="00DB1690">
        <w:rPr>
          <w:i/>
          <w:iCs/>
          <w:color w:val="222222"/>
        </w:rPr>
        <w:t>74</w:t>
      </w:r>
      <w:r w:rsidRPr="00DB1690">
        <w:rPr>
          <w:color w:val="222222"/>
          <w:shd w:val="clear" w:color="auto" w:fill="FFFFFF"/>
        </w:rPr>
        <w:t>(11), 1924-1937.</w:t>
      </w:r>
      <w:r w:rsidRPr="00DB1690">
        <w:t xml:space="preserve"> </w:t>
      </w:r>
      <w:hyperlink r:id="rId18" w:history="1">
        <w:r w:rsidR="005835E7" w:rsidRPr="00124599">
          <w:rPr>
            <w:rStyle w:val="Hyperlink"/>
            <w:shd w:val="clear" w:color="auto" w:fill="FFFFFF"/>
          </w:rPr>
          <w:t>https://doi.org/10.1002/jclp.22680</w:t>
        </w:r>
      </w:hyperlink>
    </w:p>
    <w:p w14:paraId="0A742236" w14:textId="5B2B06CE" w:rsidR="005835E7" w:rsidRPr="00DB1690" w:rsidRDefault="005835E7" w:rsidP="00DB1690">
      <w:pPr>
        <w:spacing w:line="480" w:lineRule="auto"/>
        <w:ind w:left="720" w:hanging="720"/>
      </w:pPr>
      <w:proofErr w:type="spellStart"/>
      <w:r w:rsidRPr="005835E7">
        <w:lastRenderedPageBreak/>
        <w:t>Szuhany</w:t>
      </w:r>
      <w:proofErr w:type="spellEnd"/>
      <w:r w:rsidRPr="005835E7">
        <w:t xml:space="preserve">, K. L., Adhikari, S., Chen, A., </w:t>
      </w:r>
      <w:proofErr w:type="spellStart"/>
      <w:r w:rsidRPr="005835E7">
        <w:t>Lubin</w:t>
      </w:r>
      <w:proofErr w:type="spellEnd"/>
      <w:r w:rsidRPr="005835E7">
        <w:t xml:space="preserve">, R. E., Jennings, E., </w:t>
      </w:r>
      <w:proofErr w:type="spellStart"/>
      <w:r w:rsidRPr="005835E7">
        <w:t>Rassaby</w:t>
      </w:r>
      <w:proofErr w:type="spellEnd"/>
      <w:r w:rsidRPr="005835E7">
        <w:t xml:space="preserve">, M., ... &amp; Simon, N. M. (2022). Impact of preference for yoga or cognitive behavioral therapy in patients with generalized anxiety disorder on treatment outcomes and engagement. </w:t>
      </w:r>
      <w:r w:rsidRPr="000739E1">
        <w:rPr>
          <w:i/>
          <w:iCs/>
        </w:rPr>
        <w:t>Journal of Psychiatric Research, 153</w:t>
      </w:r>
      <w:r w:rsidRPr="005835E7">
        <w:t>, 109-115. https://doi.org/10.1016/j.jpsychires.2022.07.008</w:t>
      </w:r>
    </w:p>
    <w:p w14:paraId="422C0658" w14:textId="4500BF87" w:rsidR="00202EC0" w:rsidRPr="00DB1690" w:rsidRDefault="00202EC0" w:rsidP="00DB1690">
      <w:pPr>
        <w:pStyle w:val="EndNoteBibliography"/>
        <w:spacing w:line="480" w:lineRule="auto"/>
        <w:ind w:left="720" w:hanging="720"/>
        <w:rPr>
          <w:rStyle w:val="Hyperlink"/>
          <w:rFonts w:ascii="Times New Roman" w:hAnsi="Times New Roman" w:cs="Times New Roman"/>
          <w:noProof/>
        </w:rPr>
      </w:pPr>
      <w:r w:rsidRPr="00DB1690">
        <w:rPr>
          <w:rFonts w:ascii="Times New Roman" w:hAnsi="Times New Roman" w:cs="Times New Roman"/>
          <w:noProof/>
        </w:rPr>
        <w:t xml:space="preserve">Tompkins, K. A., Swift, J. K., &amp; Callahan, J. L. (2013). Working with clients by incorporating their preferences. </w:t>
      </w:r>
      <w:r w:rsidRPr="00DB1690">
        <w:rPr>
          <w:rFonts w:ascii="Times New Roman" w:hAnsi="Times New Roman" w:cs="Times New Roman"/>
          <w:i/>
          <w:iCs/>
          <w:noProof/>
        </w:rPr>
        <w:t>Psychotherapy, 50</w:t>
      </w:r>
      <w:r w:rsidRPr="00DB1690">
        <w:rPr>
          <w:rFonts w:ascii="Times New Roman" w:hAnsi="Times New Roman" w:cs="Times New Roman"/>
          <w:noProof/>
        </w:rPr>
        <w:t xml:space="preserve">(3), 279. </w:t>
      </w:r>
      <w:hyperlink r:id="rId19" w:history="1">
        <w:r w:rsidRPr="00DB1690">
          <w:rPr>
            <w:rStyle w:val="Hyperlink"/>
            <w:rFonts w:ascii="Times New Roman" w:hAnsi="Times New Roman" w:cs="Times New Roman"/>
            <w:noProof/>
          </w:rPr>
          <w:t>https://doi.org/10.1037/a0032031</w:t>
        </w:r>
      </w:hyperlink>
    </w:p>
    <w:p w14:paraId="18B8C250" w14:textId="533522D3" w:rsidR="00A015A8" w:rsidRPr="004940D8" w:rsidRDefault="00A015A8" w:rsidP="004940D8">
      <w:pPr>
        <w:spacing w:line="480" w:lineRule="auto"/>
        <w:ind w:left="720" w:hanging="720"/>
        <w:rPr>
          <w:color w:val="222222"/>
          <w:shd w:val="clear" w:color="auto" w:fill="FFFFFF"/>
        </w:rPr>
      </w:pPr>
      <w:proofErr w:type="spellStart"/>
      <w:r w:rsidRPr="004940D8">
        <w:rPr>
          <w:color w:val="222222"/>
          <w:shd w:val="clear" w:color="auto" w:fill="FFFFFF"/>
        </w:rPr>
        <w:t>Torous</w:t>
      </w:r>
      <w:proofErr w:type="spellEnd"/>
      <w:r w:rsidRPr="004940D8">
        <w:rPr>
          <w:color w:val="222222"/>
          <w:shd w:val="clear" w:color="auto" w:fill="FFFFFF"/>
        </w:rPr>
        <w:t>, J., Lipschitz, J., Ng, M., &amp; Firth, J. (2020). Dropout rates in clinical trials of smartphone apps for depressive symptoms: A systematic review and meta-analysis.</w:t>
      </w:r>
      <w:r w:rsidRPr="004940D8">
        <w:rPr>
          <w:rStyle w:val="apple-converted-space"/>
          <w:color w:val="222222"/>
          <w:shd w:val="clear" w:color="auto" w:fill="FFFFFF"/>
        </w:rPr>
        <w:t> </w:t>
      </w:r>
      <w:r w:rsidRPr="00FA4D58">
        <w:rPr>
          <w:i/>
          <w:iCs/>
          <w:color w:val="222222"/>
        </w:rPr>
        <w:t>Journal of Affective Disorders</w:t>
      </w:r>
      <w:r w:rsidRPr="00FA4D58">
        <w:rPr>
          <w:i/>
          <w:iCs/>
          <w:color w:val="222222"/>
          <w:shd w:val="clear" w:color="auto" w:fill="FFFFFF"/>
        </w:rPr>
        <w:t>,</w:t>
      </w:r>
      <w:r w:rsidRPr="00FA4D58">
        <w:rPr>
          <w:rStyle w:val="apple-converted-space"/>
          <w:i/>
          <w:iCs/>
          <w:color w:val="222222"/>
          <w:shd w:val="clear" w:color="auto" w:fill="FFFFFF"/>
        </w:rPr>
        <w:t> </w:t>
      </w:r>
      <w:r w:rsidRPr="00FA4D58">
        <w:rPr>
          <w:i/>
          <w:iCs/>
          <w:color w:val="222222"/>
        </w:rPr>
        <w:t>263</w:t>
      </w:r>
      <w:r w:rsidRPr="004940D8">
        <w:rPr>
          <w:color w:val="222222"/>
          <w:shd w:val="clear" w:color="auto" w:fill="FFFFFF"/>
        </w:rPr>
        <w:t>, 413-419.</w:t>
      </w:r>
      <w:r w:rsidR="00FA4D58">
        <w:rPr>
          <w:color w:val="222222"/>
          <w:shd w:val="clear" w:color="auto" w:fill="FFFFFF"/>
        </w:rPr>
        <w:t xml:space="preserve"> </w:t>
      </w:r>
      <w:r w:rsidR="00FA4D58" w:rsidRPr="00FA4D58">
        <w:rPr>
          <w:color w:val="222222"/>
          <w:shd w:val="clear" w:color="auto" w:fill="FFFFFF"/>
        </w:rPr>
        <w:t>https://doi.org/10.1016/j.jad.2019.11.167</w:t>
      </w:r>
    </w:p>
    <w:p w14:paraId="2564337E" w14:textId="66135AEE" w:rsidR="004940D8" w:rsidRPr="00FA4D58" w:rsidRDefault="004940D8" w:rsidP="00FA4D58">
      <w:pPr>
        <w:spacing w:line="480" w:lineRule="auto"/>
        <w:ind w:left="720" w:hanging="720"/>
      </w:pPr>
      <w:r w:rsidRPr="004940D8">
        <w:rPr>
          <w:color w:val="222222"/>
          <w:shd w:val="clear" w:color="auto" w:fill="FFFFFF"/>
        </w:rPr>
        <w:t>Twohig, M. P., &amp; Levin, M. E. (2017). Acceptance and commitment therapy as a treatment for anxiety and depression: a review.</w:t>
      </w:r>
      <w:r w:rsidRPr="004940D8">
        <w:rPr>
          <w:rStyle w:val="apple-converted-space"/>
          <w:color w:val="222222"/>
          <w:shd w:val="clear" w:color="auto" w:fill="FFFFFF"/>
        </w:rPr>
        <w:t> </w:t>
      </w:r>
      <w:r w:rsidRPr="004940D8">
        <w:rPr>
          <w:i/>
          <w:iCs/>
          <w:color w:val="222222"/>
        </w:rPr>
        <w:t>Psychiatric Clinics</w:t>
      </w:r>
      <w:r w:rsidRPr="004940D8">
        <w:rPr>
          <w:i/>
          <w:iCs/>
          <w:color w:val="222222"/>
          <w:shd w:val="clear" w:color="auto" w:fill="FFFFFF"/>
        </w:rPr>
        <w:t>,</w:t>
      </w:r>
      <w:r w:rsidRPr="004940D8">
        <w:rPr>
          <w:rStyle w:val="apple-converted-space"/>
          <w:i/>
          <w:iCs/>
          <w:color w:val="222222"/>
          <w:shd w:val="clear" w:color="auto" w:fill="FFFFFF"/>
        </w:rPr>
        <w:t> </w:t>
      </w:r>
      <w:r w:rsidRPr="004940D8">
        <w:rPr>
          <w:i/>
          <w:iCs/>
          <w:color w:val="222222"/>
        </w:rPr>
        <w:t>40</w:t>
      </w:r>
      <w:r w:rsidRPr="004940D8">
        <w:rPr>
          <w:color w:val="222222"/>
          <w:shd w:val="clear" w:color="auto" w:fill="FFFFFF"/>
        </w:rPr>
        <w:t>(4), 751-770.</w:t>
      </w:r>
      <w:r w:rsidR="00FA4D58">
        <w:rPr>
          <w:color w:val="222222"/>
          <w:shd w:val="clear" w:color="auto" w:fill="FFFFFF"/>
        </w:rPr>
        <w:t xml:space="preserve"> </w:t>
      </w:r>
      <w:r w:rsidR="00FA4D58" w:rsidRPr="00FA4D58">
        <w:rPr>
          <w:color w:val="222222"/>
          <w:shd w:val="clear" w:color="auto" w:fill="FFFFFF"/>
        </w:rPr>
        <w:t>https://doi.org/10.1016/j.psc.2017.08.009</w:t>
      </w:r>
    </w:p>
    <w:p w14:paraId="4D769B6D" w14:textId="699CDC95" w:rsidR="00A015A8" w:rsidRDefault="00A015A8" w:rsidP="004940D8">
      <w:pPr>
        <w:spacing w:line="480" w:lineRule="auto"/>
        <w:ind w:left="720" w:hanging="720"/>
        <w:rPr>
          <w:color w:val="222222"/>
          <w:shd w:val="clear" w:color="auto" w:fill="FFFFFF"/>
        </w:rPr>
      </w:pPr>
      <w:proofErr w:type="spellStart"/>
      <w:r w:rsidRPr="004940D8">
        <w:rPr>
          <w:color w:val="222222"/>
          <w:shd w:val="clear" w:color="auto" w:fill="FFFFFF"/>
        </w:rPr>
        <w:t>Wampold</w:t>
      </w:r>
      <w:proofErr w:type="spellEnd"/>
      <w:r w:rsidRPr="004940D8">
        <w:rPr>
          <w:color w:val="222222"/>
          <w:shd w:val="clear" w:color="auto" w:fill="FFFFFF"/>
        </w:rPr>
        <w:t>, B. E. (2015). How important are the common factors in psychotherapy? An update.</w:t>
      </w:r>
      <w:r w:rsidRPr="004940D8">
        <w:rPr>
          <w:rStyle w:val="apple-converted-space"/>
          <w:color w:val="222222"/>
          <w:shd w:val="clear" w:color="auto" w:fill="FFFFFF"/>
        </w:rPr>
        <w:t> </w:t>
      </w:r>
      <w:r w:rsidRPr="004940D8">
        <w:rPr>
          <w:i/>
          <w:iCs/>
          <w:color w:val="222222"/>
        </w:rPr>
        <w:t>World Psychiatry</w:t>
      </w:r>
      <w:r w:rsidRPr="004940D8">
        <w:rPr>
          <w:color w:val="222222"/>
          <w:shd w:val="clear" w:color="auto" w:fill="FFFFFF"/>
        </w:rPr>
        <w:t>,</w:t>
      </w:r>
      <w:r w:rsidRPr="004940D8">
        <w:rPr>
          <w:rStyle w:val="apple-converted-space"/>
          <w:color w:val="222222"/>
          <w:shd w:val="clear" w:color="auto" w:fill="FFFFFF"/>
        </w:rPr>
        <w:t> </w:t>
      </w:r>
      <w:r w:rsidRPr="004940D8">
        <w:rPr>
          <w:i/>
          <w:iCs/>
          <w:color w:val="222222"/>
        </w:rPr>
        <w:t>14</w:t>
      </w:r>
      <w:r w:rsidRPr="004940D8">
        <w:rPr>
          <w:color w:val="222222"/>
          <w:shd w:val="clear" w:color="auto" w:fill="FFFFFF"/>
        </w:rPr>
        <w:t>(3), 270-277.</w:t>
      </w:r>
      <w:r w:rsidR="00FA4D58">
        <w:rPr>
          <w:color w:val="222222"/>
          <w:shd w:val="clear" w:color="auto" w:fill="FFFFFF"/>
        </w:rPr>
        <w:t xml:space="preserve"> </w:t>
      </w:r>
      <w:hyperlink r:id="rId20" w:history="1">
        <w:r w:rsidR="007C297A" w:rsidRPr="00775355">
          <w:rPr>
            <w:rStyle w:val="Hyperlink"/>
            <w:shd w:val="clear" w:color="auto" w:fill="FFFFFF"/>
          </w:rPr>
          <w:t>https://doi.org/10.1002/wps.20238</w:t>
        </w:r>
      </w:hyperlink>
    </w:p>
    <w:p w14:paraId="41C72FFF" w14:textId="6164EFE3" w:rsidR="007C297A" w:rsidRPr="007C297A" w:rsidRDefault="007C297A" w:rsidP="004940D8">
      <w:pPr>
        <w:spacing w:line="480" w:lineRule="auto"/>
        <w:ind w:left="720" w:hanging="720"/>
        <w:rPr>
          <w:color w:val="222222"/>
          <w:shd w:val="clear" w:color="auto" w:fill="FFFFFF"/>
        </w:rPr>
      </w:pPr>
      <w:r w:rsidRPr="007C297A">
        <w:rPr>
          <w:color w:val="222222"/>
        </w:rPr>
        <w:t>Webb, C</w:t>
      </w:r>
      <w:r>
        <w:rPr>
          <w:color w:val="222222"/>
        </w:rPr>
        <w:t>.</w:t>
      </w:r>
      <w:r w:rsidRPr="007C297A">
        <w:rPr>
          <w:color w:val="222222"/>
        </w:rPr>
        <w:t xml:space="preserve"> A., Rosso, </w:t>
      </w:r>
      <w:r>
        <w:rPr>
          <w:color w:val="222222"/>
        </w:rPr>
        <w:t xml:space="preserve">I.M., &amp; </w:t>
      </w:r>
      <w:r w:rsidRPr="007C297A">
        <w:rPr>
          <w:color w:val="222222"/>
        </w:rPr>
        <w:t>Rauch</w:t>
      </w:r>
      <w:r>
        <w:rPr>
          <w:color w:val="222222"/>
        </w:rPr>
        <w:t>, L.R</w:t>
      </w:r>
      <w:r w:rsidRPr="007C297A">
        <w:rPr>
          <w:color w:val="222222"/>
        </w:rPr>
        <w:t>.</w:t>
      </w:r>
      <w:r w:rsidR="00DA1F02">
        <w:rPr>
          <w:color w:val="222222"/>
        </w:rPr>
        <w:t xml:space="preserve"> (2017).</w:t>
      </w:r>
      <w:r w:rsidRPr="007C297A">
        <w:rPr>
          <w:color w:val="222222"/>
        </w:rPr>
        <w:t xml:space="preserve"> Internet-based cognitive behavioral therapy for depression: current progress &amp; future directions. </w:t>
      </w:r>
      <w:r w:rsidRPr="007C297A">
        <w:rPr>
          <w:i/>
          <w:iCs/>
          <w:color w:val="222222"/>
        </w:rPr>
        <w:t>Harvard Review of Psychiatry, 25.3</w:t>
      </w:r>
      <w:r w:rsidRPr="007C297A">
        <w:rPr>
          <w:color w:val="222222"/>
        </w:rPr>
        <w:t>: 114.</w:t>
      </w:r>
      <w:r w:rsidR="00DA1F02">
        <w:rPr>
          <w:color w:val="222222"/>
        </w:rPr>
        <w:t xml:space="preserve"> </w:t>
      </w:r>
      <w:r w:rsidR="00DA1F02" w:rsidRPr="00DA1F02">
        <w:rPr>
          <w:color w:val="222222"/>
        </w:rPr>
        <w:t>https://doi.org/10.1097/hrp.0000000000000139</w:t>
      </w:r>
    </w:p>
    <w:p w14:paraId="306591DF" w14:textId="77777777" w:rsidR="007C297A" w:rsidRPr="007C297A" w:rsidRDefault="007C297A" w:rsidP="007C297A"/>
    <w:p w14:paraId="3D331B26" w14:textId="77777777" w:rsidR="007C297A" w:rsidRPr="004940D8" w:rsidRDefault="007C297A" w:rsidP="004940D8">
      <w:pPr>
        <w:spacing w:line="480" w:lineRule="auto"/>
        <w:ind w:left="720" w:hanging="720"/>
      </w:pPr>
    </w:p>
    <w:p w14:paraId="48C06A3F" w14:textId="77777777" w:rsidR="00A015A8" w:rsidRPr="00F71A88" w:rsidRDefault="00A015A8" w:rsidP="00202EC0">
      <w:pPr>
        <w:pStyle w:val="EndNoteBibliography"/>
        <w:spacing w:line="480" w:lineRule="auto"/>
        <w:ind w:left="720" w:hanging="720"/>
        <w:rPr>
          <w:rFonts w:ascii="Times New Roman" w:hAnsi="Times New Roman" w:cs="Times New Roman"/>
          <w:noProof/>
        </w:rPr>
      </w:pPr>
    </w:p>
    <w:p w14:paraId="4B110462" w14:textId="66E1F426" w:rsidR="00202EC0" w:rsidRDefault="00202EC0" w:rsidP="00202EC0">
      <w:pPr>
        <w:spacing w:line="480" w:lineRule="auto"/>
        <w:jc w:val="center"/>
        <w:rPr>
          <w:b/>
          <w:bCs/>
        </w:rPr>
      </w:pPr>
    </w:p>
    <w:p w14:paraId="7DC39DA9" w14:textId="54845D32" w:rsidR="00202EC0" w:rsidRPr="00202EC0" w:rsidRDefault="00202EC0" w:rsidP="00202EC0">
      <w:pPr>
        <w:rPr>
          <w:b/>
          <w:bCs/>
        </w:rPr>
      </w:pPr>
      <w:r>
        <w:rPr>
          <w:b/>
          <w:bCs/>
        </w:rPr>
        <w:br w:type="page"/>
      </w:r>
    </w:p>
    <w:p w14:paraId="293D1911" w14:textId="77777777" w:rsidR="005E2828" w:rsidRDefault="006727F9" w:rsidP="00ED18DD">
      <w:pPr>
        <w:spacing w:line="480" w:lineRule="auto"/>
        <w:rPr>
          <w:b/>
          <w:bCs/>
        </w:rPr>
      </w:pPr>
      <w:r>
        <w:rPr>
          <w:b/>
          <w:bCs/>
        </w:rPr>
        <w:lastRenderedPageBreak/>
        <w:t>Table 1</w:t>
      </w:r>
    </w:p>
    <w:p w14:paraId="27F77074" w14:textId="77777777" w:rsidR="006727F9" w:rsidRDefault="006727F9" w:rsidP="00ED18DD">
      <w:pPr>
        <w:spacing w:line="480" w:lineRule="auto"/>
        <w:rPr>
          <w:i/>
          <w:iCs/>
        </w:rPr>
      </w:pPr>
      <w:r w:rsidRPr="006727F9">
        <w:rPr>
          <w:i/>
          <w:iCs/>
        </w:rPr>
        <w:t>Participant demographics</w:t>
      </w:r>
      <w:r>
        <w:rPr>
          <w:i/>
          <w:iCs/>
        </w:rPr>
        <w:t xml:space="preserve"> by group</w:t>
      </w:r>
    </w:p>
    <w:tbl>
      <w:tblPr>
        <w:tblStyle w:val="TableGrid"/>
        <w:tblW w:w="8756" w:type="dxa"/>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2071"/>
        <w:gridCol w:w="1786"/>
        <w:gridCol w:w="1786"/>
        <w:gridCol w:w="1786"/>
      </w:tblGrid>
      <w:tr w:rsidR="006727F9" w:rsidRPr="006727F9" w14:paraId="7B0313E5" w14:textId="77777777" w:rsidTr="006727F9">
        <w:trPr>
          <w:trHeight w:val="1037"/>
        </w:trPr>
        <w:tc>
          <w:tcPr>
            <w:tcW w:w="1327" w:type="dxa"/>
            <w:tcBorders>
              <w:top w:val="single" w:sz="4" w:space="0" w:color="auto"/>
              <w:bottom w:val="single" w:sz="4" w:space="0" w:color="auto"/>
            </w:tcBorders>
            <w:shd w:val="clear" w:color="auto" w:fill="auto"/>
          </w:tcPr>
          <w:p w14:paraId="5AA1CC5C" w14:textId="77777777" w:rsidR="006727F9" w:rsidRPr="006727F9" w:rsidRDefault="006727F9" w:rsidP="004509B5"/>
        </w:tc>
        <w:tc>
          <w:tcPr>
            <w:tcW w:w="2071" w:type="dxa"/>
            <w:tcBorders>
              <w:top w:val="single" w:sz="4" w:space="0" w:color="auto"/>
              <w:bottom w:val="single" w:sz="4" w:space="0" w:color="auto"/>
            </w:tcBorders>
            <w:shd w:val="clear" w:color="auto" w:fill="auto"/>
          </w:tcPr>
          <w:p w14:paraId="0C29C46F" w14:textId="77777777" w:rsidR="006727F9" w:rsidRPr="006727F9" w:rsidRDefault="006727F9" w:rsidP="004509B5">
            <w:r w:rsidRPr="006727F9">
              <w:t>ACT-Randomized (n=45)</w:t>
            </w:r>
          </w:p>
          <w:p w14:paraId="39619617" w14:textId="77777777" w:rsidR="006727F9" w:rsidRPr="006727F9" w:rsidRDefault="006727F9" w:rsidP="004509B5">
            <w:r w:rsidRPr="006727F9">
              <w:t xml:space="preserve">M(SD)/% </w:t>
            </w:r>
          </w:p>
        </w:tc>
        <w:tc>
          <w:tcPr>
            <w:tcW w:w="1786" w:type="dxa"/>
            <w:tcBorders>
              <w:top w:val="single" w:sz="4" w:space="0" w:color="auto"/>
              <w:bottom w:val="single" w:sz="4" w:space="0" w:color="auto"/>
            </w:tcBorders>
            <w:shd w:val="clear" w:color="auto" w:fill="auto"/>
          </w:tcPr>
          <w:p w14:paraId="6FC7B9EF" w14:textId="77777777" w:rsidR="006727F9" w:rsidRPr="006727F9" w:rsidRDefault="006727F9" w:rsidP="004509B5">
            <w:r w:rsidRPr="006727F9">
              <w:t>ACT-Choice (n=29)</w:t>
            </w:r>
          </w:p>
          <w:p w14:paraId="5C34EDE6" w14:textId="77777777" w:rsidR="006727F9" w:rsidRPr="006727F9" w:rsidRDefault="006727F9" w:rsidP="004509B5">
            <w:r w:rsidRPr="006727F9">
              <w:t xml:space="preserve">M(SD)/% </w:t>
            </w:r>
          </w:p>
        </w:tc>
        <w:tc>
          <w:tcPr>
            <w:tcW w:w="1786" w:type="dxa"/>
            <w:tcBorders>
              <w:top w:val="single" w:sz="4" w:space="0" w:color="auto"/>
              <w:bottom w:val="single" w:sz="4" w:space="0" w:color="auto"/>
            </w:tcBorders>
          </w:tcPr>
          <w:p w14:paraId="759775EE" w14:textId="77777777" w:rsidR="006727F9" w:rsidRPr="006727F9" w:rsidRDefault="006727F9" w:rsidP="004509B5">
            <w:r w:rsidRPr="006727F9">
              <w:t>CBT-Randomized</w:t>
            </w:r>
          </w:p>
          <w:p w14:paraId="4E942272" w14:textId="77777777" w:rsidR="006727F9" w:rsidRPr="006727F9" w:rsidRDefault="006727F9" w:rsidP="004509B5">
            <w:r w:rsidRPr="006727F9">
              <w:t>(n=47)</w:t>
            </w:r>
          </w:p>
          <w:p w14:paraId="23FA5A57" w14:textId="77777777" w:rsidR="006727F9" w:rsidRPr="006727F9" w:rsidRDefault="006727F9" w:rsidP="004509B5">
            <w:r w:rsidRPr="006727F9">
              <w:t>M(SD)/%</w:t>
            </w:r>
          </w:p>
        </w:tc>
        <w:tc>
          <w:tcPr>
            <w:tcW w:w="1786" w:type="dxa"/>
            <w:tcBorders>
              <w:top w:val="single" w:sz="4" w:space="0" w:color="auto"/>
              <w:bottom w:val="single" w:sz="4" w:space="0" w:color="auto"/>
            </w:tcBorders>
          </w:tcPr>
          <w:p w14:paraId="566876CC" w14:textId="77777777" w:rsidR="006727F9" w:rsidRPr="006727F9" w:rsidRDefault="006727F9" w:rsidP="004509B5">
            <w:r w:rsidRPr="006727F9">
              <w:t>CBT-Choice</w:t>
            </w:r>
          </w:p>
          <w:p w14:paraId="00A25CFC" w14:textId="77777777" w:rsidR="006727F9" w:rsidRPr="006727F9" w:rsidRDefault="006727F9" w:rsidP="004509B5">
            <w:r w:rsidRPr="006727F9">
              <w:t>(n=18)</w:t>
            </w:r>
          </w:p>
          <w:p w14:paraId="6FD5E019" w14:textId="77777777" w:rsidR="006727F9" w:rsidRPr="006727F9" w:rsidRDefault="006727F9" w:rsidP="004509B5">
            <w:r w:rsidRPr="006727F9">
              <w:t>M(SD)/%</w:t>
            </w:r>
          </w:p>
        </w:tc>
      </w:tr>
      <w:tr w:rsidR="006727F9" w:rsidRPr="006727F9" w14:paraId="7A0133ED" w14:textId="77777777" w:rsidTr="006727F9">
        <w:trPr>
          <w:trHeight w:val="477"/>
        </w:trPr>
        <w:tc>
          <w:tcPr>
            <w:tcW w:w="1327" w:type="dxa"/>
            <w:shd w:val="clear" w:color="auto" w:fill="auto"/>
          </w:tcPr>
          <w:p w14:paraId="401F2477" w14:textId="77777777" w:rsidR="006727F9" w:rsidRPr="006727F9" w:rsidRDefault="006727F9" w:rsidP="004509B5">
            <w:r w:rsidRPr="006727F9">
              <w:t>Age</w:t>
            </w:r>
          </w:p>
        </w:tc>
        <w:tc>
          <w:tcPr>
            <w:tcW w:w="2071" w:type="dxa"/>
            <w:shd w:val="clear" w:color="auto" w:fill="auto"/>
          </w:tcPr>
          <w:p w14:paraId="05C6AED8" w14:textId="77777777" w:rsidR="006727F9" w:rsidRPr="006727F9" w:rsidRDefault="006727F9" w:rsidP="004509B5">
            <w:r w:rsidRPr="006727F9">
              <w:t>23.2 (6.7)</w:t>
            </w:r>
          </w:p>
        </w:tc>
        <w:tc>
          <w:tcPr>
            <w:tcW w:w="1786" w:type="dxa"/>
            <w:shd w:val="clear" w:color="auto" w:fill="auto"/>
          </w:tcPr>
          <w:p w14:paraId="322E3E21" w14:textId="77777777" w:rsidR="006727F9" w:rsidRPr="006727F9" w:rsidRDefault="006727F9" w:rsidP="004509B5">
            <w:r w:rsidRPr="006727F9">
              <w:t>24.1 (7.8)</w:t>
            </w:r>
          </w:p>
          <w:p w14:paraId="33125187" w14:textId="77777777" w:rsidR="006727F9" w:rsidRPr="006727F9" w:rsidRDefault="006727F9" w:rsidP="004509B5"/>
        </w:tc>
        <w:tc>
          <w:tcPr>
            <w:tcW w:w="1786" w:type="dxa"/>
          </w:tcPr>
          <w:p w14:paraId="60CE8434" w14:textId="77777777" w:rsidR="006727F9" w:rsidRPr="006727F9" w:rsidRDefault="006727F9" w:rsidP="004509B5">
            <w:r w:rsidRPr="006727F9">
              <w:t>23.6 (6.5)</w:t>
            </w:r>
          </w:p>
        </w:tc>
        <w:tc>
          <w:tcPr>
            <w:tcW w:w="1786" w:type="dxa"/>
          </w:tcPr>
          <w:p w14:paraId="6DB2A8C3" w14:textId="77777777" w:rsidR="006727F9" w:rsidRPr="006727F9" w:rsidRDefault="006727F9" w:rsidP="004509B5">
            <w:r w:rsidRPr="006727F9">
              <w:t>21.6 (3.7)</w:t>
            </w:r>
          </w:p>
        </w:tc>
      </w:tr>
      <w:tr w:rsidR="006727F9" w:rsidRPr="006727F9" w14:paraId="75BB18F6" w14:textId="77777777" w:rsidTr="006727F9">
        <w:trPr>
          <w:trHeight w:val="1257"/>
        </w:trPr>
        <w:tc>
          <w:tcPr>
            <w:tcW w:w="1327" w:type="dxa"/>
            <w:shd w:val="clear" w:color="auto" w:fill="auto"/>
          </w:tcPr>
          <w:p w14:paraId="1B320B4D" w14:textId="77777777" w:rsidR="006727F9" w:rsidRPr="006727F9" w:rsidRDefault="006727F9" w:rsidP="004509B5">
            <w:r w:rsidRPr="006727F9">
              <w:t>Gender</w:t>
            </w:r>
          </w:p>
        </w:tc>
        <w:tc>
          <w:tcPr>
            <w:tcW w:w="2071" w:type="dxa"/>
            <w:shd w:val="clear" w:color="auto" w:fill="auto"/>
          </w:tcPr>
          <w:p w14:paraId="69E85AB8" w14:textId="77777777" w:rsidR="006727F9" w:rsidRPr="006727F9" w:rsidRDefault="006727F9" w:rsidP="004509B5">
            <w:r w:rsidRPr="006727F9">
              <w:t>73.3% female</w:t>
            </w:r>
          </w:p>
          <w:p w14:paraId="11ED2534" w14:textId="77777777" w:rsidR="006727F9" w:rsidRPr="006727F9" w:rsidRDefault="006727F9" w:rsidP="006727F9">
            <w:r w:rsidRPr="006727F9">
              <w:t>26.7% male</w:t>
            </w:r>
          </w:p>
        </w:tc>
        <w:tc>
          <w:tcPr>
            <w:tcW w:w="1786" w:type="dxa"/>
            <w:shd w:val="clear" w:color="auto" w:fill="auto"/>
          </w:tcPr>
          <w:p w14:paraId="51B905FE" w14:textId="77777777" w:rsidR="006727F9" w:rsidRPr="006727F9" w:rsidRDefault="006727F9" w:rsidP="004509B5">
            <w:r w:rsidRPr="006727F9">
              <w:t>75.9% female</w:t>
            </w:r>
          </w:p>
          <w:p w14:paraId="4227D3C4" w14:textId="77777777" w:rsidR="006727F9" w:rsidRPr="006727F9" w:rsidRDefault="006727F9" w:rsidP="006727F9">
            <w:r w:rsidRPr="006727F9">
              <w:t>24.1% male</w:t>
            </w:r>
          </w:p>
        </w:tc>
        <w:tc>
          <w:tcPr>
            <w:tcW w:w="1786" w:type="dxa"/>
          </w:tcPr>
          <w:p w14:paraId="0CF3CEAA" w14:textId="77777777" w:rsidR="006727F9" w:rsidRPr="006727F9" w:rsidRDefault="006727F9" w:rsidP="004509B5">
            <w:r w:rsidRPr="006727F9">
              <w:t>80.9% female</w:t>
            </w:r>
          </w:p>
          <w:p w14:paraId="004BF5AD" w14:textId="77777777" w:rsidR="006727F9" w:rsidRPr="006727F9" w:rsidRDefault="006727F9" w:rsidP="004509B5">
            <w:r w:rsidRPr="006727F9">
              <w:t>17% male</w:t>
            </w:r>
          </w:p>
          <w:p w14:paraId="7D1C9DE0" w14:textId="77777777" w:rsidR="006727F9" w:rsidRPr="006727F9" w:rsidRDefault="006727F9" w:rsidP="004509B5">
            <w:r w:rsidRPr="006727F9">
              <w:t xml:space="preserve">2.1% </w:t>
            </w:r>
            <w:r>
              <w:t>nonbinary</w:t>
            </w:r>
          </w:p>
          <w:p w14:paraId="4DE184C6" w14:textId="77777777" w:rsidR="006727F9" w:rsidRPr="006727F9" w:rsidRDefault="006727F9" w:rsidP="004509B5"/>
        </w:tc>
        <w:tc>
          <w:tcPr>
            <w:tcW w:w="1786" w:type="dxa"/>
          </w:tcPr>
          <w:p w14:paraId="5FAF8575" w14:textId="77777777" w:rsidR="006727F9" w:rsidRPr="006727F9" w:rsidRDefault="006727F9" w:rsidP="004509B5">
            <w:r w:rsidRPr="006727F9">
              <w:t>88.9% female</w:t>
            </w:r>
          </w:p>
          <w:p w14:paraId="6B9FB810" w14:textId="77777777" w:rsidR="006727F9" w:rsidRPr="006727F9" w:rsidRDefault="006727F9" w:rsidP="004509B5">
            <w:r w:rsidRPr="006727F9">
              <w:t>5.6% male</w:t>
            </w:r>
          </w:p>
          <w:p w14:paraId="6965207E" w14:textId="77777777" w:rsidR="006727F9" w:rsidRPr="006727F9" w:rsidRDefault="006727F9" w:rsidP="004509B5">
            <w:r w:rsidRPr="006727F9">
              <w:t xml:space="preserve">5.6% </w:t>
            </w:r>
            <w:r>
              <w:t>nonbinary</w:t>
            </w:r>
          </w:p>
          <w:p w14:paraId="679C6427" w14:textId="77777777" w:rsidR="006727F9" w:rsidRPr="006727F9" w:rsidRDefault="006727F9" w:rsidP="004509B5"/>
        </w:tc>
      </w:tr>
      <w:tr w:rsidR="006727F9" w:rsidRPr="006727F9" w14:paraId="0C57AD46" w14:textId="77777777" w:rsidTr="006727F9">
        <w:trPr>
          <w:trHeight w:val="2372"/>
        </w:trPr>
        <w:tc>
          <w:tcPr>
            <w:tcW w:w="1327" w:type="dxa"/>
            <w:shd w:val="clear" w:color="auto" w:fill="auto"/>
          </w:tcPr>
          <w:p w14:paraId="25B98BAE" w14:textId="77777777" w:rsidR="006727F9" w:rsidRPr="006727F9" w:rsidRDefault="006727F9" w:rsidP="004509B5">
            <w:r w:rsidRPr="006727F9">
              <w:t>Race</w:t>
            </w:r>
          </w:p>
        </w:tc>
        <w:tc>
          <w:tcPr>
            <w:tcW w:w="2071" w:type="dxa"/>
            <w:shd w:val="clear" w:color="auto" w:fill="auto"/>
          </w:tcPr>
          <w:p w14:paraId="5A3064DB" w14:textId="77777777" w:rsidR="006727F9" w:rsidRPr="006727F9" w:rsidRDefault="006727F9" w:rsidP="004509B5">
            <w:r w:rsidRPr="006727F9">
              <w:t>93.3% white</w:t>
            </w:r>
          </w:p>
          <w:p w14:paraId="0D9A0CD0" w14:textId="77777777" w:rsidR="006727F9" w:rsidRPr="006727F9" w:rsidRDefault="006727F9" w:rsidP="004509B5">
            <w:r w:rsidRPr="006727F9">
              <w:t xml:space="preserve">2.2% multiracial </w:t>
            </w:r>
          </w:p>
          <w:p w14:paraId="69EA4693" w14:textId="77777777" w:rsidR="006727F9" w:rsidRPr="006727F9" w:rsidRDefault="006727F9" w:rsidP="004509B5">
            <w:r w:rsidRPr="006727F9">
              <w:t xml:space="preserve">4.4% Native Hawaiian or </w:t>
            </w:r>
            <w:proofErr w:type="gramStart"/>
            <w:r w:rsidRPr="006727F9">
              <w:t>other</w:t>
            </w:r>
            <w:proofErr w:type="gramEnd"/>
            <w:r w:rsidRPr="006727F9">
              <w:t xml:space="preserve"> Pacific Islander</w:t>
            </w:r>
          </w:p>
        </w:tc>
        <w:tc>
          <w:tcPr>
            <w:tcW w:w="1786" w:type="dxa"/>
            <w:shd w:val="clear" w:color="auto" w:fill="auto"/>
          </w:tcPr>
          <w:p w14:paraId="5BA26C63" w14:textId="77777777" w:rsidR="006727F9" w:rsidRPr="006727F9" w:rsidRDefault="006727F9" w:rsidP="004509B5">
            <w:r w:rsidRPr="006727F9">
              <w:t>93.1% white</w:t>
            </w:r>
          </w:p>
          <w:p w14:paraId="0124FCE4" w14:textId="77777777" w:rsidR="006727F9" w:rsidRPr="006727F9" w:rsidRDefault="006727F9" w:rsidP="004509B5">
            <w:r w:rsidRPr="006727F9">
              <w:t>6.9% multiracial</w:t>
            </w:r>
          </w:p>
        </w:tc>
        <w:tc>
          <w:tcPr>
            <w:tcW w:w="1786" w:type="dxa"/>
          </w:tcPr>
          <w:p w14:paraId="03067207" w14:textId="77777777" w:rsidR="006727F9" w:rsidRPr="006727F9" w:rsidRDefault="006727F9" w:rsidP="004509B5">
            <w:r w:rsidRPr="006727F9">
              <w:t>89.4% white</w:t>
            </w:r>
          </w:p>
          <w:p w14:paraId="295116B1" w14:textId="77777777" w:rsidR="006727F9" w:rsidRPr="006727F9" w:rsidRDefault="006727F9" w:rsidP="004509B5">
            <w:r w:rsidRPr="006727F9">
              <w:t>4.3% multiracial</w:t>
            </w:r>
          </w:p>
          <w:p w14:paraId="26E0405B" w14:textId="77777777" w:rsidR="006727F9" w:rsidRPr="006727F9" w:rsidRDefault="006727F9" w:rsidP="004509B5">
            <w:r w:rsidRPr="006727F9">
              <w:t>4.3% American Indian/Alaska Native</w:t>
            </w:r>
          </w:p>
          <w:p w14:paraId="0411A928" w14:textId="77777777" w:rsidR="006727F9" w:rsidRPr="006727F9" w:rsidRDefault="006727F9" w:rsidP="004509B5">
            <w:r w:rsidRPr="006727F9">
              <w:t>2.1% Black</w:t>
            </w:r>
          </w:p>
        </w:tc>
        <w:tc>
          <w:tcPr>
            <w:tcW w:w="1786" w:type="dxa"/>
          </w:tcPr>
          <w:p w14:paraId="3493274E" w14:textId="77777777" w:rsidR="006727F9" w:rsidRPr="006727F9" w:rsidRDefault="006727F9" w:rsidP="004509B5">
            <w:r w:rsidRPr="006727F9">
              <w:t>100% white</w:t>
            </w:r>
          </w:p>
        </w:tc>
      </w:tr>
      <w:tr w:rsidR="006727F9" w:rsidRPr="006727F9" w14:paraId="7F206376" w14:textId="77777777" w:rsidTr="006727F9">
        <w:trPr>
          <w:trHeight w:val="1438"/>
        </w:trPr>
        <w:tc>
          <w:tcPr>
            <w:tcW w:w="1327" w:type="dxa"/>
            <w:shd w:val="clear" w:color="auto" w:fill="auto"/>
          </w:tcPr>
          <w:p w14:paraId="1A9F0EAA" w14:textId="77777777" w:rsidR="006727F9" w:rsidRPr="006727F9" w:rsidRDefault="006727F9" w:rsidP="004509B5">
            <w:r w:rsidRPr="006727F9">
              <w:t>Ethnicity</w:t>
            </w:r>
          </w:p>
        </w:tc>
        <w:tc>
          <w:tcPr>
            <w:tcW w:w="2071" w:type="dxa"/>
            <w:shd w:val="clear" w:color="auto" w:fill="auto"/>
          </w:tcPr>
          <w:p w14:paraId="6D92E016" w14:textId="77777777" w:rsidR="006727F9" w:rsidRPr="006727F9" w:rsidRDefault="006727F9" w:rsidP="004509B5">
            <w:r w:rsidRPr="006727F9">
              <w:t xml:space="preserve">11.1% Hispanic/Latinx </w:t>
            </w:r>
          </w:p>
        </w:tc>
        <w:tc>
          <w:tcPr>
            <w:tcW w:w="1786" w:type="dxa"/>
            <w:shd w:val="clear" w:color="auto" w:fill="auto"/>
          </w:tcPr>
          <w:p w14:paraId="6F0E991E" w14:textId="77777777" w:rsidR="006727F9" w:rsidRPr="006727F9" w:rsidRDefault="006727F9" w:rsidP="004509B5">
            <w:r w:rsidRPr="006727F9">
              <w:t xml:space="preserve">10.3% Hispanic/Latinx </w:t>
            </w:r>
          </w:p>
        </w:tc>
        <w:tc>
          <w:tcPr>
            <w:tcW w:w="1786" w:type="dxa"/>
          </w:tcPr>
          <w:p w14:paraId="28C825BF" w14:textId="77777777" w:rsidR="006727F9" w:rsidRPr="006727F9" w:rsidRDefault="006727F9" w:rsidP="004509B5">
            <w:r w:rsidRPr="006727F9">
              <w:t>8.5% Hispanic/Latinx</w:t>
            </w:r>
          </w:p>
        </w:tc>
        <w:tc>
          <w:tcPr>
            <w:tcW w:w="1786" w:type="dxa"/>
          </w:tcPr>
          <w:p w14:paraId="215CC5E3" w14:textId="4A8E3BED" w:rsidR="006727F9" w:rsidRPr="006727F9" w:rsidRDefault="006727F9" w:rsidP="004509B5">
            <w:r w:rsidRPr="006727F9">
              <w:t>0%</w:t>
            </w:r>
            <w:r w:rsidR="00980715">
              <w:t xml:space="preserve"> </w:t>
            </w:r>
            <w:r w:rsidRPr="006727F9">
              <w:t>Hispanic/Latinx</w:t>
            </w:r>
          </w:p>
        </w:tc>
      </w:tr>
      <w:tr w:rsidR="006727F9" w:rsidRPr="006727F9" w14:paraId="015638E2" w14:textId="77777777" w:rsidTr="006727F9">
        <w:trPr>
          <w:trHeight w:val="752"/>
        </w:trPr>
        <w:tc>
          <w:tcPr>
            <w:tcW w:w="1327" w:type="dxa"/>
            <w:shd w:val="clear" w:color="auto" w:fill="auto"/>
          </w:tcPr>
          <w:p w14:paraId="61E53A5F" w14:textId="77777777" w:rsidR="006727F9" w:rsidRPr="006727F9" w:rsidRDefault="006727F9" w:rsidP="004509B5">
            <w:r>
              <w:t>Current t</w:t>
            </w:r>
            <w:r w:rsidRPr="006727F9">
              <w:t>herapy</w:t>
            </w:r>
          </w:p>
        </w:tc>
        <w:tc>
          <w:tcPr>
            <w:tcW w:w="2071" w:type="dxa"/>
            <w:shd w:val="clear" w:color="auto" w:fill="auto"/>
          </w:tcPr>
          <w:p w14:paraId="31FD2A60" w14:textId="77777777" w:rsidR="006727F9" w:rsidRPr="006727F9" w:rsidRDefault="006727F9" w:rsidP="004509B5">
            <w:r w:rsidRPr="006727F9">
              <w:t>13.3% yes</w:t>
            </w:r>
          </w:p>
          <w:p w14:paraId="584F72E0" w14:textId="5E975964" w:rsidR="006727F9" w:rsidRPr="006727F9" w:rsidRDefault="006727F9" w:rsidP="004509B5"/>
        </w:tc>
        <w:tc>
          <w:tcPr>
            <w:tcW w:w="1786" w:type="dxa"/>
            <w:shd w:val="clear" w:color="auto" w:fill="auto"/>
          </w:tcPr>
          <w:p w14:paraId="7AF6D895" w14:textId="77777777" w:rsidR="006727F9" w:rsidRPr="006727F9" w:rsidRDefault="006727F9" w:rsidP="004509B5">
            <w:r w:rsidRPr="006727F9">
              <w:t>24.1% yes</w:t>
            </w:r>
          </w:p>
          <w:p w14:paraId="6ADFCAD5" w14:textId="6F4D3C79" w:rsidR="006727F9" w:rsidRPr="006727F9" w:rsidRDefault="006727F9" w:rsidP="004509B5"/>
        </w:tc>
        <w:tc>
          <w:tcPr>
            <w:tcW w:w="1786" w:type="dxa"/>
          </w:tcPr>
          <w:p w14:paraId="26752D37" w14:textId="77777777" w:rsidR="006727F9" w:rsidRPr="006727F9" w:rsidRDefault="006727F9" w:rsidP="004509B5">
            <w:r w:rsidRPr="006727F9">
              <w:t>17% yes</w:t>
            </w:r>
          </w:p>
          <w:p w14:paraId="785456BE" w14:textId="0115E46C" w:rsidR="006727F9" w:rsidRPr="006727F9" w:rsidRDefault="006727F9" w:rsidP="004509B5"/>
        </w:tc>
        <w:tc>
          <w:tcPr>
            <w:tcW w:w="1786" w:type="dxa"/>
          </w:tcPr>
          <w:p w14:paraId="5690A6F7" w14:textId="77777777" w:rsidR="006727F9" w:rsidRPr="006727F9" w:rsidRDefault="006727F9" w:rsidP="004509B5">
            <w:r w:rsidRPr="006727F9">
              <w:t>16.7% yes</w:t>
            </w:r>
          </w:p>
          <w:p w14:paraId="066239F6" w14:textId="3FE8BD74" w:rsidR="006727F9" w:rsidRPr="006727F9" w:rsidRDefault="006727F9" w:rsidP="004509B5"/>
        </w:tc>
      </w:tr>
      <w:tr w:rsidR="006727F9" w:rsidRPr="006727F9" w14:paraId="0C3D2B9B" w14:textId="77777777" w:rsidTr="006727F9">
        <w:trPr>
          <w:trHeight w:val="821"/>
        </w:trPr>
        <w:tc>
          <w:tcPr>
            <w:tcW w:w="1327" w:type="dxa"/>
            <w:tcBorders>
              <w:bottom w:val="single" w:sz="4" w:space="0" w:color="auto"/>
            </w:tcBorders>
            <w:shd w:val="clear" w:color="auto" w:fill="auto"/>
          </w:tcPr>
          <w:p w14:paraId="63D0F783" w14:textId="77777777" w:rsidR="006727F9" w:rsidRPr="006727F9" w:rsidRDefault="006727F9" w:rsidP="004509B5">
            <w:r>
              <w:t>Current psychiatric m</w:t>
            </w:r>
            <w:r w:rsidRPr="006727F9">
              <w:t>edication</w:t>
            </w:r>
          </w:p>
        </w:tc>
        <w:tc>
          <w:tcPr>
            <w:tcW w:w="2071" w:type="dxa"/>
            <w:tcBorders>
              <w:bottom w:val="single" w:sz="4" w:space="0" w:color="auto"/>
            </w:tcBorders>
            <w:shd w:val="clear" w:color="auto" w:fill="auto"/>
          </w:tcPr>
          <w:p w14:paraId="62B44C62" w14:textId="77777777" w:rsidR="006727F9" w:rsidRPr="006727F9" w:rsidRDefault="006727F9" w:rsidP="004509B5">
            <w:r w:rsidRPr="006727F9">
              <w:t>33.3% yes</w:t>
            </w:r>
          </w:p>
          <w:p w14:paraId="39E33134" w14:textId="5EB8EA26" w:rsidR="006727F9" w:rsidRPr="006727F9" w:rsidRDefault="006727F9" w:rsidP="004509B5"/>
        </w:tc>
        <w:tc>
          <w:tcPr>
            <w:tcW w:w="1786" w:type="dxa"/>
            <w:tcBorders>
              <w:bottom w:val="single" w:sz="4" w:space="0" w:color="auto"/>
            </w:tcBorders>
            <w:shd w:val="clear" w:color="auto" w:fill="auto"/>
          </w:tcPr>
          <w:p w14:paraId="5BE37D6B" w14:textId="77777777" w:rsidR="006727F9" w:rsidRPr="006727F9" w:rsidRDefault="006727F9" w:rsidP="004509B5">
            <w:r w:rsidRPr="006727F9">
              <w:t>44.8% yes</w:t>
            </w:r>
          </w:p>
          <w:p w14:paraId="414F506E" w14:textId="76FBA565" w:rsidR="006727F9" w:rsidRPr="006727F9" w:rsidRDefault="006727F9" w:rsidP="004509B5"/>
        </w:tc>
        <w:tc>
          <w:tcPr>
            <w:tcW w:w="1786" w:type="dxa"/>
            <w:tcBorders>
              <w:bottom w:val="single" w:sz="4" w:space="0" w:color="auto"/>
            </w:tcBorders>
          </w:tcPr>
          <w:p w14:paraId="1ACD6EA5" w14:textId="77777777" w:rsidR="006727F9" w:rsidRPr="006727F9" w:rsidRDefault="006727F9" w:rsidP="004509B5">
            <w:r w:rsidRPr="006727F9">
              <w:t>40.4% yes</w:t>
            </w:r>
          </w:p>
          <w:p w14:paraId="561A6BE2" w14:textId="2F04FB9E" w:rsidR="006727F9" w:rsidRPr="006727F9" w:rsidRDefault="006727F9" w:rsidP="004509B5"/>
        </w:tc>
        <w:tc>
          <w:tcPr>
            <w:tcW w:w="1786" w:type="dxa"/>
            <w:tcBorders>
              <w:bottom w:val="single" w:sz="4" w:space="0" w:color="auto"/>
            </w:tcBorders>
          </w:tcPr>
          <w:p w14:paraId="4EA9A2EE" w14:textId="77777777" w:rsidR="006727F9" w:rsidRPr="006727F9" w:rsidRDefault="006727F9" w:rsidP="004509B5">
            <w:r w:rsidRPr="006727F9">
              <w:t>38.9% yes</w:t>
            </w:r>
          </w:p>
          <w:p w14:paraId="5CDC5887" w14:textId="6D35B3D6" w:rsidR="006727F9" w:rsidRPr="006727F9" w:rsidRDefault="006727F9" w:rsidP="004509B5"/>
        </w:tc>
      </w:tr>
    </w:tbl>
    <w:p w14:paraId="21BE96C1" w14:textId="77777777" w:rsidR="00EF53F4" w:rsidRDefault="00EF53F4" w:rsidP="00ED18DD">
      <w:pPr>
        <w:spacing w:line="480" w:lineRule="auto"/>
        <w:rPr>
          <w:i/>
          <w:iCs/>
        </w:rPr>
      </w:pPr>
    </w:p>
    <w:p w14:paraId="27AA1B7E" w14:textId="77777777" w:rsidR="00EF53F4" w:rsidRDefault="00EF53F4">
      <w:pPr>
        <w:rPr>
          <w:i/>
          <w:iCs/>
        </w:rPr>
      </w:pPr>
      <w:r>
        <w:rPr>
          <w:i/>
          <w:iCs/>
        </w:rPr>
        <w:br w:type="page"/>
      </w:r>
    </w:p>
    <w:p w14:paraId="43ED7F26" w14:textId="77777777" w:rsidR="00BE3FE6" w:rsidRPr="0023073A" w:rsidRDefault="00BE3FE6" w:rsidP="00BE3FE6">
      <w:pPr>
        <w:spacing w:line="480" w:lineRule="auto"/>
        <w:rPr>
          <w:b/>
          <w:bCs/>
        </w:rPr>
      </w:pPr>
      <w:r w:rsidRPr="0023073A">
        <w:rPr>
          <w:b/>
          <w:bCs/>
        </w:rPr>
        <w:lastRenderedPageBreak/>
        <w:t xml:space="preserve">Table </w:t>
      </w:r>
      <w:r w:rsidR="00DC4585">
        <w:rPr>
          <w:b/>
          <w:bCs/>
        </w:rPr>
        <w:t>2</w:t>
      </w:r>
    </w:p>
    <w:p w14:paraId="0933AE7F" w14:textId="77777777" w:rsidR="00BE3FE6" w:rsidRPr="000320AA" w:rsidRDefault="00BE3FE6" w:rsidP="00BE3FE6">
      <w:pPr>
        <w:pStyle w:val="Heading4"/>
      </w:pPr>
      <w:bookmarkStart w:id="0" w:name="_Toc62995526"/>
      <w:r>
        <w:t>Descriptive statistics o</w:t>
      </w:r>
      <w:r w:rsidR="00BD1396">
        <w:t>f mental health</w:t>
      </w:r>
      <w:r>
        <w:t xml:space="preserve"> outcome variables by condition at each timepoint</w:t>
      </w:r>
      <w:bookmarkEnd w:id="0"/>
    </w:p>
    <w:tbl>
      <w:tblPr>
        <w:tblStyle w:val="TableGrid"/>
        <w:tblpPr w:leftFromText="180" w:rightFromText="180" w:vertAnchor="page" w:horzAnchor="margin" w:tblpY="272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046"/>
        <w:gridCol w:w="975"/>
        <w:gridCol w:w="1009"/>
        <w:gridCol w:w="1058"/>
        <w:gridCol w:w="953"/>
        <w:gridCol w:w="999"/>
        <w:gridCol w:w="999"/>
        <w:gridCol w:w="1099"/>
      </w:tblGrid>
      <w:tr w:rsidR="0023073A" w:rsidRPr="0023073A" w14:paraId="5154A60D" w14:textId="77777777" w:rsidTr="004C148A">
        <w:trPr>
          <w:trHeight w:val="417"/>
        </w:trPr>
        <w:tc>
          <w:tcPr>
            <w:tcW w:w="1582" w:type="dxa"/>
            <w:tcBorders>
              <w:top w:val="single" w:sz="4" w:space="0" w:color="auto"/>
              <w:bottom w:val="single" w:sz="4" w:space="0" w:color="auto"/>
            </w:tcBorders>
          </w:tcPr>
          <w:p w14:paraId="1EBA01E0" w14:textId="77777777" w:rsidR="0023073A" w:rsidRPr="0023073A" w:rsidRDefault="0023073A" w:rsidP="0023073A"/>
        </w:tc>
        <w:tc>
          <w:tcPr>
            <w:tcW w:w="4088" w:type="dxa"/>
            <w:gridSpan w:val="4"/>
            <w:tcBorders>
              <w:top w:val="single" w:sz="4" w:space="0" w:color="auto"/>
              <w:bottom w:val="single" w:sz="4" w:space="0" w:color="auto"/>
            </w:tcBorders>
          </w:tcPr>
          <w:p w14:paraId="60E6A9A4" w14:textId="391234CA" w:rsidR="0023073A" w:rsidRPr="0023073A" w:rsidRDefault="0023073A" w:rsidP="0023073A">
            <w:pPr>
              <w:jc w:val="center"/>
            </w:pPr>
            <w:r w:rsidRPr="0023073A">
              <w:t>ACT-Randomized (n=45</w:t>
            </w:r>
            <w:r w:rsidR="001F7160" w:rsidRPr="005320E4">
              <w:rPr>
                <w:i/>
                <w:iCs/>
                <w:vertAlign w:val="superscript"/>
              </w:rPr>
              <w:t xml:space="preserve"> a</w:t>
            </w:r>
            <w:r w:rsidRPr="0023073A">
              <w:t>)</w:t>
            </w:r>
          </w:p>
          <w:p w14:paraId="0C06EC6C" w14:textId="77777777" w:rsidR="0023073A" w:rsidRPr="0023073A" w:rsidRDefault="0023073A" w:rsidP="0023073A">
            <w:pPr>
              <w:jc w:val="center"/>
            </w:pPr>
            <w:r w:rsidRPr="0023073A">
              <w:t>M(SD)</w:t>
            </w:r>
          </w:p>
        </w:tc>
        <w:tc>
          <w:tcPr>
            <w:tcW w:w="4050" w:type="dxa"/>
            <w:gridSpan w:val="4"/>
            <w:tcBorders>
              <w:top w:val="single" w:sz="4" w:space="0" w:color="auto"/>
              <w:bottom w:val="single" w:sz="4" w:space="0" w:color="auto"/>
            </w:tcBorders>
          </w:tcPr>
          <w:p w14:paraId="00A897AC" w14:textId="77777777" w:rsidR="0023073A" w:rsidRPr="0023073A" w:rsidRDefault="0023073A" w:rsidP="0023073A">
            <w:pPr>
              <w:jc w:val="center"/>
            </w:pPr>
            <w:r w:rsidRPr="0023073A">
              <w:t>ACT-Choice (n=29)</w:t>
            </w:r>
          </w:p>
          <w:p w14:paraId="5ECF49F2" w14:textId="77777777" w:rsidR="0023073A" w:rsidRPr="0023073A" w:rsidRDefault="0023073A" w:rsidP="0023073A">
            <w:pPr>
              <w:jc w:val="center"/>
            </w:pPr>
            <w:r w:rsidRPr="0023073A">
              <w:t>M(SD)</w:t>
            </w:r>
          </w:p>
        </w:tc>
      </w:tr>
      <w:tr w:rsidR="0023073A" w:rsidRPr="0023073A" w14:paraId="4C3BAF07" w14:textId="77777777" w:rsidTr="004C148A">
        <w:trPr>
          <w:trHeight w:val="318"/>
        </w:trPr>
        <w:tc>
          <w:tcPr>
            <w:tcW w:w="1582" w:type="dxa"/>
            <w:tcBorders>
              <w:top w:val="single" w:sz="4" w:space="0" w:color="auto"/>
              <w:bottom w:val="single" w:sz="4" w:space="0" w:color="auto"/>
            </w:tcBorders>
          </w:tcPr>
          <w:p w14:paraId="37731D8F" w14:textId="77777777" w:rsidR="0023073A" w:rsidRPr="0023073A" w:rsidRDefault="0023073A" w:rsidP="0023073A"/>
        </w:tc>
        <w:tc>
          <w:tcPr>
            <w:tcW w:w="1046" w:type="dxa"/>
            <w:tcBorders>
              <w:top w:val="single" w:sz="4" w:space="0" w:color="auto"/>
              <w:bottom w:val="single" w:sz="4" w:space="0" w:color="auto"/>
            </w:tcBorders>
          </w:tcPr>
          <w:p w14:paraId="5641D2CF" w14:textId="0DBB05E8" w:rsidR="0023073A" w:rsidRPr="0023073A" w:rsidRDefault="0023073A" w:rsidP="001F7160">
            <w:r w:rsidRPr="0023073A">
              <w:t>BL</w:t>
            </w:r>
          </w:p>
        </w:tc>
        <w:tc>
          <w:tcPr>
            <w:tcW w:w="975" w:type="dxa"/>
            <w:tcBorders>
              <w:top w:val="single" w:sz="4" w:space="0" w:color="auto"/>
              <w:bottom w:val="single" w:sz="4" w:space="0" w:color="auto"/>
            </w:tcBorders>
          </w:tcPr>
          <w:p w14:paraId="36414390" w14:textId="77777777" w:rsidR="0023073A" w:rsidRPr="0023073A" w:rsidRDefault="0023073A" w:rsidP="001F7160">
            <w:r w:rsidRPr="0023073A">
              <w:t>MT</w:t>
            </w:r>
          </w:p>
        </w:tc>
        <w:tc>
          <w:tcPr>
            <w:tcW w:w="1009" w:type="dxa"/>
            <w:tcBorders>
              <w:top w:val="single" w:sz="4" w:space="0" w:color="auto"/>
              <w:bottom w:val="single" w:sz="4" w:space="0" w:color="auto"/>
            </w:tcBorders>
          </w:tcPr>
          <w:p w14:paraId="00C9C887" w14:textId="77777777" w:rsidR="0023073A" w:rsidRPr="0023073A" w:rsidRDefault="0023073A" w:rsidP="001F7160">
            <w:r w:rsidRPr="0023073A">
              <w:t>PT</w:t>
            </w:r>
          </w:p>
        </w:tc>
        <w:tc>
          <w:tcPr>
            <w:tcW w:w="1058" w:type="dxa"/>
            <w:tcBorders>
              <w:top w:val="single" w:sz="4" w:space="0" w:color="auto"/>
              <w:bottom w:val="single" w:sz="4" w:space="0" w:color="auto"/>
            </w:tcBorders>
          </w:tcPr>
          <w:p w14:paraId="581E9505" w14:textId="77777777" w:rsidR="0023073A" w:rsidRPr="0023073A" w:rsidRDefault="0023073A" w:rsidP="001F7160">
            <w:r w:rsidRPr="0023073A">
              <w:t>FU</w:t>
            </w:r>
          </w:p>
        </w:tc>
        <w:tc>
          <w:tcPr>
            <w:tcW w:w="953" w:type="dxa"/>
            <w:tcBorders>
              <w:top w:val="single" w:sz="4" w:space="0" w:color="auto"/>
              <w:bottom w:val="single" w:sz="4" w:space="0" w:color="auto"/>
            </w:tcBorders>
          </w:tcPr>
          <w:p w14:paraId="2847C094" w14:textId="77777777" w:rsidR="0023073A" w:rsidRPr="0023073A" w:rsidRDefault="0023073A" w:rsidP="001F7160">
            <w:r w:rsidRPr="0023073A">
              <w:t>BL</w:t>
            </w:r>
          </w:p>
        </w:tc>
        <w:tc>
          <w:tcPr>
            <w:tcW w:w="999" w:type="dxa"/>
            <w:tcBorders>
              <w:top w:val="single" w:sz="4" w:space="0" w:color="auto"/>
              <w:bottom w:val="single" w:sz="4" w:space="0" w:color="auto"/>
            </w:tcBorders>
          </w:tcPr>
          <w:p w14:paraId="63B3B1F3" w14:textId="77777777" w:rsidR="0023073A" w:rsidRPr="0023073A" w:rsidRDefault="0023073A" w:rsidP="001F7160">
            <w:r w:rsidRPr="0023073A">
              <w:t>MT</w:t>
            </w:r>
          </w:p>
        </w:tc>
        <w:tc>
          <w:tcPr>
            <w:tcW w:w="999" w:type="dxa"/>
            <w:tcBorders>
              <w:top w:val="single" w:sz="4" w:space="0" w:color="auto"/>
              <w:bottom w:val="single" w:sz="4" w:space="0" w:color="auto"/>
            </w:tcBorders>
          </w:tcPr>
          <w:p w14:paraId="7FBE9C5A" w14:textId="77777777" w:rsidR="0023073A" w:rsidRPr="0023073A" w:rsidRDefault="0023073A" w:rsidP="001F7160">
            <w:r w:rsidRPr="0023073A">
              <w:t>PT</w:t>
            </w:r>
          </w:p>
        </w:tc>
        <w:tc>
          <w:tcPr>
            <w:tcW w:w="1099" w:type="dxa"/>
            <w:tcBorders>
              <w:top w:val="single" w:sz="4" w:space="0" w:color="auto"/>
              <w:bottom w:val="single" w:sz="4" w:space="0" w:color="auto"/>
            </w:tcBorders>
          </w:tcPr>
          <w:p w14:paraId="4E812A2C" w14:textId="77777777" w:rsidR="0023073A" w:rsidRPr="0023073A" w:rsidRDefault="0023073A" w:rsidP="001F7160">
            <w:r w:rsidRPr="0023073A">
              <w:t>FU</w:t>
            </w:r>
          </w:p>
        </w:tc>
      </w:tr>
      <w:tr w:rsidR="0023073A" w:rsidRPr="0023073A" w14:paraId="65940C53" w14:textId="77777777" w:rsidTr="004C148A">
        <w:trPr>
          <w:trHeight w:val="450"/>
        </w:trPr>
        <w:tc>
          <w:tcPr>
            <w:tcW w:w="1582" w:type="dxa"/>
            <w:tcBorders>
              <w:top w:val="single" w:sz="4" w:space="0" w:color="auto"/>
            </w:tcBorders>
          </w:tcPr>
          <w:p w14:paraId="28B67F9A" w14:textId="77777777" w:rsidR="0023073A" w:rsidRPr="0023073A" w:rsidRDefault="0023073A" w:rsidP="0023073A">
            <w:r w:rsidRPr="0023073A">
              <w:t>DASS-21 Depression</w:t>
            </w:r>
          </w:p>
        </w:tc>
        <w:tc>
          <w:tcPr>
            <w:tcW w:w="1046" w:type="dxa"/>
            <w:tcBorders>
              <w:top w:val="single" w:sz="4" w:space="0" w:color="auto"/>
            </w:tcBorders>
          </w:tcPr>
          <w:p w14:paraId="7C4A0B89" w14:textId="77777777" w:rsidR="0023073A" w:rsidRPr="0023073A" w:rsidRDefault="0023073A" w:rsidP="0023073A">
            <w:r w:rsidRPr="0023073A">
              <w:t>12.4 (5.5)</w:t>
            </w:r>
          </w:p>
          <w:p w14:paraId="3FA989BF" w14:textId="77777777" w:rsidR="0023073A" w:rsidRPr="0023073A" w:rsidRDefault="0023073A" w:rsidP="0023073A"/>
        </w:tc>
        <w:tc>
          <w:tcPr>
            <w:tcW w:w="975" w:type="dxa"/>
            <w:tcBorders>
              <w:top w:val="single" w:sz="4" w:space="0" w:color="auto"/>
            </w:tcBorders>
          </w:tcPr>
          <w:p w14:paraId="66162B58" w14:textId="77777777" w:rsidR="0023073A" w:rsidRPr="0023073A" w:rsidRDefault="0023073A" w:rsidP="0023073A">
            <w:r w:rsidRPr="0023073A">
              <w:t>6.2 (4.5)</w:t>
            </w:r>
          </w:p>
        </w:tc>
        <w:tc>
          <w:tcPr>
            <w:tcW w:w="1009" w:type="dxa"/>
            <w:tcBorders>
              <w:top w:val="single" w:sz="4" w:space="0" w:color="auto"/>
            </w:tcBorders>
          </w:tcPr>
          <w:p w14:paraId="7B89A954" w14:textId="77777777" w:rsidR="0023073A" w:rsidRPr="0023073A" w:rsidRDefault="0023073A" w:rsidP="0023073A">
            <w:r w:rsidRPr="0023073A">
              <w:t>5.9 (5.6)</w:t>
            </w:r>
          </w:p>
        </w:tc>
        <w:tc>
          <w:tcPr>
            <w:tcW w:w="1058" w:type="dxa"/>
            <w:tcBorders>
              <w:top w:val="single" w:sz="4" w:space="0" w:color="auto"/>
              <w:right w:val="double" w:sz="4" w:space="0" w:color="auto"/>
            </w:tcBorders>
          </w:tcPr>
          <w:p w14:paraId="21195C41" w14:textId="77777777" w:rsidR="00980715" w:rsidRDefault="0023073A" w:rsidP="0023073A">
            <w:r w:rsidRPr="0023073A">
              <w:t xml:space="preserve">4.1 </w:t>
            </w:r>
          </w:p>
          <w:p w14:paraId="6B31FDF7" w14:textId="16E317EB" w:rsidR="0023073A" w:rsidRPr="0023073A" w:rsidRDefault="0023073A" w:rsidP="0023073A">
            <w:r w:rsidRPr="0023073A">
              <w:t>(3.7)</w:t>
            </w:r>
          </w:p>
        </w:tc>
        <w:tc>
          <w:tcPr>
            <w:tcW w:w="953" w:type="dxa"/>
            <w:tcBorders>
              <w:top w:val="single" w:sz="4" w:space="0" w:color="auto"/>
              <w:left w:val="double" w:sz="4" w:space="0" w:color="auto"/>
            </w:tcBorders>
          </w:tcPr>
          <w:p w14:paraId="77E8CFB5" w14:textId="77777777" w:rsidR="0023073A" w:rsidRPr="0023073A" w:rsidRDefault="0023073A" w:rsidP="0023073A">
            <w:r w:rsidRPr="0023073A">
              <w:t>11.8 (5.7)</w:t>
            </w:r>
          </w:p>
          <w:p w14:paraId="39755102" w14:textId="77777777" w:rsidR="0023073A" w:rsidRPr="0023073A" w:rsidRDefault="0023073A" w:rsidP="0023073A"/>
        </w:tc>
        <w:tc>
          <w:tcPr>
            <w:tcW w:w="999" w:type="dxa"/>
            <w:tcBorders>
              <w:top w:val="single" w:sz="4" w:space="0" w:color="auto"/>
              <w:left w:val="nil"/>
            </w:tcBorders>
          </w:tcPr>
          <w:p w14:paraId="64B1961C" w14:textId="77777777" w:rsidR="0023073A" w:rsidRPr="0023073A" w:rsidRDefault="0023073A" w:rsidP="0023073A">
            <w:r w:rsidRPr="0023073A">
              <w:t>7.8 (4.8)</w:t>
            </w:r>
          </w:p>
        </w:tc>
        <w:tc>
          <w:tcPr>
            <w:tcW w:w="999" w:type="dxa"/>
            <w:tcBorders>
              <w:top w:val="single" w:sz="4" w:space="0" w:color="auto"/>
            </w:tcBorders>
          </w:tcPr>
          <w:p w14:paraId="0BD8AEF4" w14:textId="77777777" w:rsidR="0023073A" w:rsidRPr="0023073A" w:rsidRDefault="0023073A" w:rsidP="0023073A">
            <w:r w:rsidRPr="0023073A">
              <w:t>6.3 (6.0)</w:t>
            </w:r>
          </w:p>
        </w:tc>
        <w:tc>
          <w:tcPr>
            <w:tcW w:w="1099" w:type="dxa"/>
            <w:tcBorders>
              <w:top w:val="single" w:sz="4" w:space="0" w:color="auto"/>
            </w:tcBorders>
          </w:tcPr>
          <w:p w14:paraId="4E1EE0AD" w14:textId="77777777" w:rsidR="00980715" w:rsidRDefault="0023073A" w:rsidP="0023073A">
            <w:r w:rsidRPr="0023073A">
              <w:t xml:space="preserve">8.0 </w:t>
            </w:r>
          </w:p>
          <w:p w14:paraId="12BC8702" w14:textId="6EB919C7" w:rsidR="0023073A" w:rsidRPr="0023073A" w:rsidRDefault="0023073A" w:rsidP="0023073A">
            <w:r w:rsidRPr="0023073A">
              <w:t>(6.7)</w:t>
            </w:r>
          </w:p>
        </w:tc>
      </w:tr>
      <w:tr w:rsidR="0023073A" w:rsidRPr="0023073A" w14:paraId="05508431" w14:textId="77777777" w:rsidTr="004C148A">
        <w:trPr>
          <w:trHeight w:val="456"/>
        </w:trPr>
        <w:tc>
          <w:tcPr>
            <w:tcW w:w="1582" w:type="dxa"/>
          </w:tcPr>
          <w:p w14:paraId="7BA9B99F" w14:textId="77777777" w:rsidR="0023073A" w:rsidRPr="0023073A" w:rsidRDefault="0023073A" w:rsidP="0023073A">
            <w:r w:rsidRPr="0023073A">
              <w:t>DASS-21 Anxiety</w:t>
            </w:r>
          </w:p>
        </w:tc>
        <w:tc>
          <w:tcPr>
            <w:tcW w:w="1046" w:type="dxa"/>
          </w:tcPr>
          <w:p w14:paraId="3A2ACC0E" w14:textId="77777777" w:rsidR="00980715" w:rsidRDefault="0023073A" w:rsidP="0023073A">
            <w:r w:rsidRPr="0023073A">
              <w:t xml:space="preserve">9.7 </w:t>
            </w:r>
          </w:p>
          <w:p w14:paraId="3942F110" w14:textId="4D9DCF69" w:rsidR="0023073A" w:rsidRPr="0023073A" w:rsidRDefault="0023073A" w:rsidP="0023073A">
            <w:r w:rsidRPr="0023073A">
              <w:t>(5.6)</w:t>
            </w:r>
          </w:p>
          <w:p w14:paraId="5826C6A8" w14:textId="77777777" w:rsidR="0023073A" w:rsidRPr="0023073A" w:rsidRDefault="0023073A" w:rsidP="0023073A"/>
        </w:tc>
        <w:tc>
          <w:tcPr>
            <w:tcW w:w="975" w:type="dxa"/>
          </w:tcPr>
          <w:p w14:paraId="629FFEAF" w14:textId="77777777" w:rsidR="0023073A" w:rsidRPr="0023073A" w:rsidRDefault="0023073A" w:rsidP="0023073A">
            <w:r w:rsidRPr="0023073A">
              <w:t>5.7 (3.9)</w:t>
            </w:r>
          </w:p>
        </w:tc>
        <w:tc>
          <w:tcPr>
            <w:tcW w:w="1009" w:type="dxa"/>
          </w:tcPr>
          <w:p w14:paraId="2EFA6FBE" w14:textId="77777777" w:rsidR="0023073A" w:rsidRPr="0023073A" w:rsidRDefault="0023073A" w:rsidP="0023073A">
            <w:r w:rsidRPr="0023073A">
              <w:t>5.0 (4.1)</w:t>
            </w:r>
          </w:p>
        </w:tc>
        <w:tc>
          <w:tcPr>
            <w:tcW w:w="1058" w:type="dxa"/>
            <w:tcBorders>
              <w:right w:val="double" w:sz="4" w:space="0" w:color="auto"/>
            </w:tcBorders>
          </w:tcPr>
          <w:p w14:paraId="15D02F73" w14:textId="77777777" w:rsidR="00980715" w:rsidRDefault="0023073A" w:rsidP="0023073A">
            <w:r w:rsidRPr="0023073A">
              <w:t xml:space="preserve">3.9 </w:t>
            </w:r>
          </w:p>
          <w:p w14:paraId="589DA2A4" w14:textId="365FD737" w:rsidR="0023073A" w:rsidRPr="0023073A" w:rsidRDefault="0023073A" w:rsidP="0023073A">
            <w:r w:rsidRPr="0023073A">
              <w:t>(3.3)</w:t>
            </w:r>
          </w:p>
        </w:tc>
        <w:tc>
          <w:tcPr>
            <w:tcW w:w="953" w:type="dxa"/>
            <w:tcBorders>
              <w:left w:val="double" w:sz="4" w:space="0" w:color="auto"/>
            </w:tcBorders>
          </w:tcPr>
          <w:p w14:paraId="32754685" w14:textId="77777777" w:rsidR="0023073A" w:rsidRPr="0023073A" w:rsidRDefault="0023073A" w:rsidP="0023073A">
            <w:r w:rsidRPr="0023073A">
              <w:t>9.0 (5.0)</w:t>
            </w:r>
          </w:p>
          <w:p w14:paraId="581F2718" w14:textId="77777777" w:rsidR="0023073A" w:rsidRPr="0023073A" w:rsidRDefault="0023073A" w:rsidP="0023073A"/>
        </w:tc>
        <w:tc>
          <w:tcPr>
            <w:tcW w:w="999" w:type="dxa"/>
            <w:tcBorders>
              <w:left w:val="nil"/>
            </w:tcBorders>
          </w:tcPr>
          <w:p w14:paraId="3E2BA833" w14:textId="77777777" w:rsidR="0023073A" w:rsidRPr="0023073A" w:rsidRDefault="0023073A" w:rsidP="0023073A">
            <w:r w:rsidRPr="0023073A">
              <w:t>5.5 (4.5)</w:t>
            </w:r>
          </w:p>
        </w:tc>
        <w:tc>
          <w:tcPr>
            <w:tcW w:w="999" w:type="dxa"/>
          </w:tcPr>
          <w:p w14:paraId="2BE07642" w14:textId="77777777" w:rsidR="0023073A" w:rsidRPr="0023073A" w:rsidRDefault="0023073A" w:rsidP="0023073A">
            <w:r w:rsidRPr="0023073A">
              <w:t>5.2 (4.7)</w:t>
            </w:r>
          </w:p>
        </w:tc>
        <w:tc>
          <w:tcPr>
            <w:tcW w:w="1099" w:type="dxa"/>
          </w:tcPr>
          <w:p w14:paraId="7CBA6E89" w14:textId="77777777" w:rsidR="00980715" w:rsidRDefault="0023073A" w:rsidP="0023073A">
            <w:r w:rsidRPr="0023073A">
              <w:t xml:space="preserve">6.4 </w:t>
            </w:r>
          </w:p>
          <w:p w14:paraId="5D2591A0" w14:textId="119E3095" w:rsidR="0023073A" w:rsidRPr="0023073A" w:rsidRDefault="0023073A" w:rsidP="0023073A">
            <w:r w:rsidRPr="0023073A">
              <w:t>(6.2)</w:t>
            </w:r>
          </w:p>
        </w:tc>
      </w:tr>
      <w:tr w:rsidR="0023073A" w:rsidRPr="0023073A" w14:paraId="1DBA0F4F" w14:textId="77777777" w:rsidTr="004C148A">
        <w:trPr>
          <w:trHeight w:val="535"/>
        </w:trPr>
        <w:tc>
          <w:tcPr>
            <w:tcW w:w="1582" w:type="dxa"/>
            <w:tcBorders>
              <w:top w:val="single" w:sz="4" w:space="0" w:color="auto"/>
            </w:tcBorders>
          </w:tcPr>
          <w:p w14:paraId="7CEBEFD7" w14:textId="77777777" w:rsidR="0023073A" w:rsidRPr="0023073A" w:rsidRDefault="0023073A" w:rsidP="0023073A"/>
        </w:tc>
        <w:tc>
          <w:tcPr>
            <w:tcW w:w="4088" w:type="dxa"/>
            <w:gridSpan w:val="4"/>
            <w:tcBorders>
              <w:top w:val="single" w:sz="4" w:space="0" w:color="auto"/>
            </w:tcBorders>
          </w:tcPr>
          <w:p w14:paraId="025CF31C" w14:textId="77777777" w:rsidR="0023073A" w:rsidRPr="0023073A" w:rsidRDefault="0023073A" w:rsidP="0023073A">
            <w:pPr>
              <w:jc w:val="center"/>
            </w:pPr>
            <w:r w:rsidRPr="0023073A">
              <w:t>CBT-Randomized (n=47)</w:t>
            </w:r>
          </w:p>
          <w:p w14:paraId="42E73125" w14:textId="77777777" w:rsidR="0023073A" w:rsidRPr="0023073A" w:rsidRDefault="0023073A" w:rsidP="0023073A">
            <w:pPr>
              <w:jc w:val="center"/>
            </w:pPr>
            <w:r w:rsidRPr="0023073A">
              <w:t>M(SD)</w:t>
            </w:r>
          </w:p>
        </w:tc>
        <w:tc>
          <w:tcPr>
            <w:tcW w:w="4050" w:type="dxa"/>
            <w:gridSpan w:val="4"/>
            <w:tcBorders>
              <w:top w:val="single" w:sz="4" w:space="0" w:color="auto"/>
            </w:tcBorders>
          </w:tcPr>
          <w:p w14:paraId="3A552638" w14:textId="77777777" w:rsidR="0023073A" w:rsidRPr="0023073A" w:rsidRDefault="0023073A" w:rsidP="0023073A">
            <w:pPr>
              <w:jc w:val="center"/>
            </w:pPr>
            <w:r w:rsidRPr="0023073A">
              <w:t>CBT-Choice (n=18)</w:t>
            </w:r>
          </w:p>
          <w:p w14:paraId="6FA811A6" w14:textId="77777777" w:rsidR="0023073A" w:rsidRPr="0023073A" w:rsidRDefault="0023073A" w:rsidP="0023073A">
            <w:pPr>
              <w:jc w:val="center"/>
            </w:pPr>
            <w:r w:rsidRPr="0023073A">
              <w:t>M(SD)</w:t>
            </w:r>
          </w:p>
        </w:tc>
      </w:tr>
      <w:tr w:rsidR="0023073A" w:rsidRPr="0023073A" w14:paraId="67B61FEF" w14:textId="77777777" w:rsidTr="004C148A">
        <w:trPr>
          <w:trHeight w:val="259"/>
        </w:trPr>
        <w:tc>
          <w:tcPr>
            <w:tcW w:w="1582" w:type="dxa"/>
            <w:tcBorders>
              <w:top w:val="single" w:sz="4" w:space="0" w:color="auto"/>
              <w:bottom w:val="single" w:sz="4" w:space="0" w:color="auto"/>
            </w:tcBorders>
          </w:tcPr>
          <w:p w14:paraId="05EA02E0" w14:textId="77777777" w:rsidR="0023073A" w:rsidRPr="0023073A" w:rsidRDefault="0023073A" w:rsidP="0023073A"/>
        </w:tc>
        <w:tc>
          <w:tcPr>
            <w:tcW w:w="1046" w:type="dxa"/>
            <w:tcBorders>
              <w:top w:val="single" w:sz="4" w:space="0" w:color="auto"/>
              <w:bottom w:val="single" w:sz="4" w:space="0" w:color="auto"/>
            </w:tcBorders>
          </w:tcPr>
          <w:p w14:paraId="7D7CEF30" w14:textId="77777777" w:rsidR="0023073A" w:rsidRPr="0023073A" w:rsidRDefault="0023073A" w:rsidP="0023073A">
            <w:r w:rsidRPr="0023073A">
              <w:t>BL</w:t>
            </w:r>
          </w:p>
        </w:tc>
        <w:tc>
          <w:tcPr>
            <w:tcW w:w="975" w:type="dxa"/>
            <w:tcBorders>
              <w:top w:val="single" w:sz="4" w:space="0" w:color="auto"/>
              <w:bottom w:val="single" w:sz="4" w:space="0" w:color="auto"/>
            </w:tcBorders>
          </w:tcPr>
          <w:p w14:paraId="3CF0FDE6" w14:textId="77777777" w:rsidR="0023073A" w:rsidRPr="0023073A" w:rsidRDefault="0023073A" w:rsidP="0023073A">
            <w:r w:rsidRPr="0023073A">
              <w:t>MT</w:t>
            </w:r>
          </w:p>
        </w:tc>
        <w:tc>
          <w:tcPr>
            <w:tcW w:w="1009" w:type="dxa"/>
            <w:tcBorders>
              <w:top w:val="single" w:sz="4" w:space="0" w:color="auto"/>
              <w:bottom w:val="single" w:sz="4" w:space="0" w:color="auto"/>
            </w:tcBorders>
          </w:tcPr>
          <w:p w14:paraId="044924F8" w14:textId="77777777" w:rsidR="0023073A" w:rsidRPr="0023073A" w:rsidRDefault="0023073A" w:rsidP="0023073A">
            <w:r w:rsidRPr="0023073A">
              <w:t>PT</w:t>
            </w:r>
          </w:p>
        </w:tc>
        <w:tc>
          <w:tcPr>
            <w:tcW w:w="1058" w:type="dxa"/>
            <w:tcBorders>
              <w:top w:val="single" w:sz="4" w:space="0" w:color="auto"/>
              <w:bottom w:val="single" w:sz="4" w:space="0" w:color="auto"/>
            </w:tcBorders>
          </w:tcPr>
          <w:p w14:paraId="051BEB5B" w14:textId="77777777" w:rsidR="0023073A" w:rsidRPr="0023073A" w:rsidRDefault="0023073A" w:rsidP="0023073A">
            <w:r w:rsidRPr="0023073A">
              <w:t>FU</w:t>
            </w:r>
          </w:p>
        </w:tc>
        <w:tc>
          <w:tcPr>
            <w:tcW w:w="953" w:type="dxa"/>
            <w:tcBorders>
              <w:top w:val="single" w:sz="4" w:space="0" w:color="auto"/>
              <w:bottom w:val="single" w:sz="4" w:space="0" w:color="auto"/>
            </w:tcBorders>
          </w:tcPr>
          <w:p w14:paraId="1B20AA73" w14:textId="77777777" w:rsidR="0023073A" w:rsidRPr="0023073A" w:rsidRDefault="0023073A" w:rsidP="0023073A">
            <w:r w:rsidRPr="0023073A">
              <w:t>BL</w:t>
            </w:r>
          </w:p>
        </w:tc>
        <w:tc>
          <w:tcPr>
            <w:tcW w:w="999" w:type="dxa"/>
            <w:tcBorders>
              <w:top w:val="single" w:sz="4" w:space="0" w:color="auto"/>
              <w:bottom w:val="single" w:sz="4" w:space="0" w:color="auto"/>
            </w:tcBorders>
          </w:tcPr>
          <w:p w14:paraId="4F37AD95" w14:textId="77777777" w:rsidR="0023073A" w:rsidRPr="0023073A" w:rsidRDefault="0023073A" w:rsidP="0023073A">
            <w:r w:rsidRPr="0023073A">
              <w:t>MT</w:t>
            </w:r>
          </w:p>
        </w:tc>
        <w:tc>
          <w:tcPr>
            <w:tcW w:w="999" w:type="dxa"/>
            <w:tcBorders>
              <w:top w:val="single" w:sz="4" w:space="0" w:color="auto"/>
              <w:bottom w:val="single" w:sz="4" w:space="0" w:color="auto"/>
            </w:tcBorders>
          </w:tcPr>
          <w:p w14:paraId="260B02A0" w14:textId="77777777" w:rsidR="0023073A" w:rsidRPr="0023073A" w:rsidRDefault="0023073A" w:rsidP="0023073A">
            <w:r w:rsidRPr="0023073A">
              <w:t>PT</w:t>
            </w:r>
          </w:p>
        </w:tc>
        <w:tc>
          <w:tcPr>
            <w:tcW w:w="1099" w:type="dxa"/>
            <w:tcBorders>
              <w:top w:val="single" w:sz="4" w:space="0" w:color="auto"/>
              <w:bottom w:val="single" w:sz="4" w:space="0" w:color="auto"/>
            </w:tcBorders>
          </w:tcPr>
          <w:p w14:paraId="0F707145" w14:textId="77777777" w:rsidR="0023073A" w:rsidRPr="0023073A" w:rsidRDefault="0023073A" w:rsidP="0023073A">
            <w:r w:rsidRPr="0023073A">
              <w:t>FU</w:t>
            </w:r>
          </w:p>
        </w:tc>
      </w:tr>
      <w:tr w:rsidR="0023073A" w:rsidRPr="0023073A" w14:paraId="120C49FF" w14:textId="77777777" w:rsidTr="00EF62AC">
        <w:trPr>
          <w:trHeight w:val="393"/>
        </w:trPr>
        <w:tc>
          <w:tcPr>
            <w:tcW w:w="1582" w:type="dxa"/>
            <w:tcBorders>
              <w:top w:val="single" w:sz="4" w:space="0" w:color="auto"/>
            </w:tcBorders>
          </w:tcPr>
          <w:p w14:paraId="50F3F2AF" w14:textId="77777777" w:rsidR="0023073A" w:rsidRPr="0023073A" w:rsidRDefault="0023073A" w:rsidP="0023073A">
            <w:r w:rsidRPr="0023073A">
              <w:t>DASS-21 Depression</w:t>
            </w:r>
          </w:p>
        </w:tc>
        <w:tc>
          <w:tcPr>
            <w:tcW w:w="1046" w:type="dxa"/>
            <w:tcBorders>
              <w:top w:val="single" w:sz="4" w:space="0" w:color="auto"/>
            </w:tcBorders>
          </w:tcPr>
          <w:p w14:paraId="39B1FBC4" w14:textId="77777777" w:rsidR="0023073A" w:rsidRPr="0023073A" w:rsidRDefault="0023073A" w:rsidP="0023073A">
            <w:r w:rsidRPr="0023073A">
              <w:t>10.9 (5.5)</w:t>
            </w:r>
          </w:p>
          <w:p w14:paraId="7C146005" w14:textId="77777777" w:rsidR="0023073A" w:rsidRPr="0023073A" w:rsidRDefault="0023073A" w:rsidP="0023073A"/>
        </w:tc>
        <w:tc>
          <w:tcPr>
            <w:tcW w:w="975" w:type="dxa"/>
            <w:tcBorders>
              <w:top w:val="single" w:sz="4" w:space="0" w:color="auto"/>
            </w:tcBorders>
          </w:tcPr>
          <w:p w14:paraId="34B4AD82" w14:textId="77777777" w:rsidR="0023073A" w:rsidRPr="0023073A" w:rsidRDefault="0023073A" w:rsidP="0023073A">
            <w:r w:rsidRPr="0023073A">
              <w:t>7.9 (4.7)</w:t>
            </w:r>
          </w:p>
        </w:tc>
        <w:tc>
          <w:tcPr>
            <w:tcW w:w="1009" w:type="dxa"/>
            <w:tcBorders>
              <w:top w:val="single" w:sz="4" w:space="0" w:color="auto"/>
            </w:tcBorders>
          </w:tcPr>
          <w:p w14:paraId="12711A4A" w14:textId="77777777" w:rsidR="0023073A" w:rsidRPr="0023073A" w:rsidRDefault="0023073A" w:rsidP="0023073A">
            <w:r w:rsidRPr="0023073A">
              <w:t>5.8 (4.5)</w:t>
            </w:r>
          </w:p>
        </w:tc>
        <w:tc>
          <w:tcPr>
            <w:tcW w:w="1058" w:type="dxa"/>
            <w:tcBorders>
              <w:top w:val="single" w:sz="4" w:space="0" w:color="auto"/>
              <w:right w:val="double" w:sz="4" w:space="0" w:color="auto"/>
            </w:tcBorders>
          </w:tcPr>
          <w:p w14:paraId="6CEAD4C4" w14:textId="77777777" w:rsidR="00980715" w:rsidRDefault="0023073A" w:rsidP="0023073A">
            <w:r w:rsidRPr="0023073A">
              <w:t xml:space="preserve">6.6 </w:t>
            </w:r>
          </w:p>
          <w:p w14:paraId="180A35FE" w14:textId="12DE157B" w:rsidR="0023073A" w:rsidRPr="0023073A" w:rsidRDefault="0023073A" w:rsidP="0023073A">
            <w:r w:rsidRPr="0023073A">
              <w:t>(4.2)</w:t>
            </w:r>
          </w:p>
        </w:tc>
        <w:tc>
          <w:tcPr>
            <w:tcW w:w="953" w:type="dxa"/>
            <w:tcBorders>
              <w:top w:val="single" w:sz="4" w:space="0" w:color="auto"/>
              <w:left w:val="double" w:sz="4" w:space="0" w:color="auto"/>
            </w:tcBorders>
          </w:tcPr>
          <w:p w14:paraId="5AC61216" w14:textId="77777777" w:rsidR="0023073A" w:rsidRPr="0023073A" w:rsidRDefault="0023073A" w:rsidP="0023073A">
            <w:r w:rsidRPr="0023073A">
              <w:t>12.8 (4.9)</w:t>
            </w:r>
          </w:p>
          <w:p w14:paraId="7BB0B466" w14:textId="77777777" w:rsidR="0023073A" w:rsidRPr="0023073A" w:rsidRDefault="0023073A" w:rsidP="0023073A"/>
        </w:tc>
        <w:tc>
          <w:tcPr>
            <w:tcW w:w="999" w:type="dxa"/>
            <w:tcBorders>
              <w:top w:val="single" w:sz="4" w:space="0" w:color="auto"/>
              <w:left w:val="nil"/>
            </w:tcBorders>
          </w:tcPr>
          <w:p w14:paraId="4505A829" w14:textId="77777777" w:rsidR="0023073A" w:rsidRPr="0023073A" w:rsidRDefault="0023073A" w:rsidP="0023073A">
            <w:r w:rsidRPr="0023073A">
              <w:t>10.4 (6.4)</w:t>
            </w:r>
          </w:p>
        </w:tc>
        <w:tc>
          <w:tcPr>
            <w:tcW w:w="999" w:type="dxa"/>
            <w:tcBorders>
              <w:top w:val="single" w:sz="4" w:space="0" w:color="auto"/>
            </w:tcBorders>
          </w:tcPr>
          <w:p w14:paraId="05111785" w14:textId="77777777" w:rsidR="0023073A" w:rsidRPr="0023073A" w:rsidRDefault="0023073A" w:rsidP="0023073A">
            <w:r w:rsidRPr="0023073A">
              <w:t>6.6 (4.4)</w:t>
            </w:r>
          </w:p>
        </w:tc>
        <w:tc>
          <w:tcPr>
            <w:tcW w:w="1099" w:type="dxa"/>
          </w:tcPr>
          <w:p w14:paraId="12E6D7E1" w14:textId="77777777" w:rsidR="00980715" w:rsidRDefault="0023073A" w:rsidP="0023073A">
            <w:r w:rsidRPr="0023073A">
              <w:t xml:space="preserve">6.8 </w:t>
            </w:r>
          </w:p>
          <w:p w14:paraId="7BC00EFF" w14:textId="172F76A2" w:rsidR="0023073A" w:rsidRPr="0023073A" w:rsidRDefault="0023073A" w:rsidP="0023073A">
            <w:r w:rsidRPr="0023073A">
              <w:t>(5.7)</w:t>
            </w:r>
          </w:p>
        </w:tc>
      </w:tr>
      <w:tr w:rsidR="0023073A" w:rsidRPr="0023073A" w14:paraId="422A4D24" w14:textId="77777777" w:rsidTr="00EF62AC">
        <w:trPr>
          <w:trHeight w:val="393"/>
        </w:trPr>
        <w:tc>
          <w:tcPr>
            <w:tcW w:w="1582" w:type="dxa"/>
            <w:tcBorders>
              <w:bottom w:val="single" w:sz="4" w:space="0" w:color="auto"/>
            </w:tcBorders>
          </w:tcPr>
          <w:p w14:paraId="7C7F6AC3" w14:textId="77777777" w:rsidR="0023073A" w:rsidRPr="0023073A" w:rsidRDefault="0023073A" w:rsidP="0023073A">
            <w:r w:rsidRPr="0023073A">
              <w:t>DASS-21 Anxiety</w:t>
            </w:r>
          </w:p>
        </w:tc>
        <w:tc>
          <w:tcPr>
            <w:tcW w:w="1046" w:type="dxa"/>
            <w:tcBorders>
              <w:bottom w:val="single" w:sz="4" w:space="0" w:color="auto"/>
            </w:tcBorders>
          </w:tcPr>
          <w:p w14:paraId="4F588B1F" w14:textId="77777777" w:rsidR="00980715" w:rsidRDefault="0023073A" w:rsidP="0023073A">
            <w:r w:rsidRPr="0023073A">
              <w:t xml:space="preserve">7.8 </w:t>
            </w:r>
          </w:p>
          <w:p w14:paraId="3F2FC4B5" w14:textId="60BD0AEA" w:rsidR="0023073A" w:rsidRPr="0023073A" w:rsidRDefault="0023073A" w:rsidP="0023073A">
            <w:r w:rsidRPr="0023073A">
              <w:t>(4.4)</w:t>
            </w:r>
          </w:p>
          <w:p w14:paraId="269A35FD" w14:textId="77777777" w:rsidR="0023073A" w:rsidRPr="0023073A" w:rsidRDefault="0023073A" w:rsidP="0023073A"/>
        </w:tc>
        <w:tc>
          <w:tcPr>
            <w:tcW w:w="975" w:type="dxa"/>
            <w:tcBorders>
              <w:bottom w:val="single" w:sz="4" w:space="0" w:color="auto"/>
            </w:tcBorders>
          </w:tcPr>
          <w:p w14:paraId="0515E369" w14:textId="77777777" w:rsidR="0023073A" w:rsidRPr="0023073A" w:rsidRDefault="0023073A" w:rsidP="0023073A">
            <w:r w:rsidRPr="0023073A">
              <w:t>5.6 (4.0)</w:t>
            </w:r>
          </w:p>
        </w:tc>
        <w:tc>
          <w:tcPr>
            <w:tcW w:w="1009" w:type="dxa"/>
            <w:tcBorders>
              <w:bottom w:val="single" w:sz="4" w:space="0" w:color="auto"/>
            </w:tcBorders>
          </w:tcPr>
          <w:p w14:paraId="33C1E4F9" w14:textId="77777777" w:rsidR="0023073A" w:rsidRPr="0023073A" w:rsidRDefault="0023073A" w:rsidP="0023073A">
            <w:r w:rsidRPr="0023073A">
              <w:t>3.7 (2.8)</w:t>
            </w:r>
          </w:p>
        </w:tc>
        <w:tc>
          <w:tcPr>
            <w:tcW w:w="1058" w:type="dxa"/>
            <w:tcBorders>
              <w:bottom w:val="single" w:sz="4" w:space="0" w:color="auto"/>
              <w:right w:val="double" w:sz="4" w:space="0" w:color="auto"/>
            </w:tcBorders>
          </w:tcPr>
          <w:p w14:paraId="4F774172" w14:textId="77777777" w:rsidR="00980715" w:rsidRDefault="0023073A" w:rsidP="0023073A">
            <w:r w:rsidRPr="0023073A">
              <w:t xml:space="preserve">4.2 </w:t>
            </w:r>
          </w:p>
          <w:p w14:paraId="3079F648" w14:textId="07F14F2E" w:rsidR="0023073A" w:rsidRPr="0023073A" w:rsidRDefault="0023073A" w:rsidP="0023073A">
            <w:r w:rsidRPr="0023073A">
              <w:t>(3.7)</w:t>
            </w:r>
          </w:p>
        </w:tc>
        <w:tc>
          <w:tcPr>
            <w:tcW w:w="953" w:type="dxa"/>
            <w:tcBorders>
              <w:left w:val="double" w:sz="4" w:space="0" w:color="auto"/>
              <w:bottom w:val="single" w:sz="4" w:space="0" w:color="auto"/>
            </w:tcBorders>
          </w:tcPr>
          <w:p w14:paraId="51E9E91E" w14:textId="77777777" w:rsidR="0023073A" w:rsidRPr="0023073A" w:rsidRDefault="0023073A" w:rsidP="0023073A">
            <w:r w:rsidRPr="0023073A">
              <w:t>9.0 (4.7)</w:t>
            </w:r>
          </w:p>
          <w:p w14:paraId="15A1103F" w14:textId="77777777" w:rsidR="0023073A" w:rsidRPr="0023073A" w:rsidRDefault="0023073A" w:rsidP="0023073A"/>
        </w:tc>
        <w:tc>
          <w:tcPr>
            <w:tcW w:w="999" w:type="dxa"/>
            <w:tcBorders>
              <w:left w:val="nil"/>
              <w:bottom w:val="single" w:sz="4" w:space="0" w:color="auto"/>
            </w:tcBorders>
          </w:tcPr>
          <w:p w14:paraId="5EF90D63" w14:textId="77777777" w:rsidR="0023073A" w:rsidRPr="0023073A" w:rsidRDefault="0023073A" w:rsidP="0023073A">
            <w:r w:rsidRPr="0023073A">
              <w:t>7.6 (5.4)</w:t>
            </w:r>
          </w:p>
        </w:tc>
        <w:tc>
          <w:tcPr>
            <w:tcW w:w="999" w:type="dxa"/>
            <w:tcBorders>
              <w:bottom w:val="single" w:sz="4" w:space="0" w:color="auto"/>
            </w:tcBorders>
          </w:tcPr>
          <w:p w14:paraId="13837A44" w14:textId="77777777" w:rsidR="0023073A" w:rsidRPr="0023073A" w:rsidRDefault="0023073A" w:rsidP="0023073A">
            <w:r w:rsidRPr="0023073A">
              <w:t>5.6 (4.5)</w:t>
            </w:r>
          </w:p>
        </w:tc>
        <w:tc>
          <w:tcPr>
            <w:tcW w:w="1099" w:type="dxa"/>
            <w:tcBorders>
              <w:bottom w:val="single" w:sz="4" w:space="0" w:color="auto"/>
            </w:tcBorders>
          </w:tcPr>
          <w:p w14:paraId="66C64E77" w14:textId="77777777" w:rsidR="00980715" w:rsidRDefault="0023073A" w:rsidP="0023073A">
            <w:r w:rsidRPr="0023073A">
              <w:t xml:space="preserve">6.6 </w:t>
            </w:r>
          </w:p>
          <w:p w14:paraId="35F63A60" w14:textId="7F43CAC1" w:rsidR="0023073A" w:rsidRPr="0023073A" w:rsidRDefault="0023073A" w:rsidP="0023073A">
            <w:r w:rsidRPr="0023073A">
              <w:t>(6.1)</w:t>
            </w:r>
          </w:p>
        </w:tc>
      </w:tr>
    </w:tbl>
    <w:p w14:paraId="61635376" w14:textId="3A85AEF6" w:rsidR="001F7160" w:rsidRDefault="0023073A" w:rsidP="004C148A">
      <w:pPr>
        <w:rPr>
          <w:i/>
          <w:iCs/>
        </w:rPr>
      </w:pPr>
      <w:r w:rsidRPr="004C148A">
        <w:rPr>
          <w:i/>
          <w:iCs/>
        </w:rPr>
        <w:t>Note</w:t>
      </w:r>
      <w:r w:rsidR="004C148A" w:rsidRPr="004C148A">
        <w:rPr>
          <w:i/>
          <w:iCs/>
        </w:rPr>
        <w:t>:</w:t>
      </w:r>
    </w:p>
    <w:p w14:paraId="3595DCB9" w14:textId="5D56E920" w:rsidR="001F7160" w:rsidRDefault="001F7160" w:rsidP="004C148A">
      <w:pPr>
        <w:rPr>
          <w:i/>
          <w:iCs/>
        </w:rPr>
      </w:pPr>
      <w:r w:rsidRPr="005320E4">
        <w:rPr>
          <w:i/>
          <w:iCs/>
          <w:vertAlign w:val="superscript"/>
        </w:rPr>
        <w:t>a</w:t>
      </w:r>
      <w:r>
        <w:rPr>
          <w:i/>
          <w:iCs/>
          <w:vertAlign w:val="superscript"/>
        </w:rPr>
        <w:t xml:space="preserve"> </w:t>
      </w:r>
      <w:r>
        <w:t xml:space="preserve">Refers to the sample sizes at baseline. </w:t>
      </w:r>
      <w:r w:rsidR="000C5544">
        <w:t>Sample sizes for the other three timepoints are as follows:</w:t>
      </w:r>
    </w:p>
    <w:p w14:paraId="1145EEC0" w14:textId="071BAF55" w:rsidR="000C5544" w:rsidRDefault="0023073A" w:rsidP="00EE7ABF">
      <w:pPr>
        <w:ind w:left="720"/>
      </w:pPr>
      <w:r w:rsidRPr="00EE7ABF">
        <w:rPr>
          <w:b/>
          <w:bCs/>
        </w:rPr>
        <w:t>MT</w:t>
      </w:r>
      <w:r w:rsidR="000C5544" w:rsidRPr="00EE7ABF">
        <w:rPr>
          <w:b/>
          <w:bCs/>
        </w:rPr>
        <w:t xml:space="preserve"> (</w:t>
      </w:r>
      <w:r w:rsidRPr="00EE7ABF">
        <w:rPr>
          <w:b/>
          <w:bCs/>
        </w:rPr>
        <w:t>midtreatment</w:t>
      </w:r>
      <w:r w:rsidR="000C5544" w:rsidRPr="00EE7ABF">
        <w:rPr>
          <w:b/>
          <w:bCs/>
        </w:rPr>
        <w:t>):</w:t>
      </w:r>
      <w:r w:rsidR="000C5544">
        <w:t xml:space="preserve"> ACT-Randomized n=24, ACT-Choice n=15, CBT-Randomized n=25, CBT-Choice n=8</w:t>
      </w:r>
    </w:p>
    <w:p w14:paraId="49590A71" w14:textId="2B62E43A" w:rsidR="000C5544" w:rsidRDefault="0023073A" w:rsidP="00EE7ABF">
      <w:pPr>
        <w:ind w:left="720"/>
      </w:pPr>
      <w:r w:rsidRPr="00EE7ABF">
        <w:rPr>
          <w:b/>
          <w:bCs/>
        </w:rPr>
        <w:t>PT</w:t>
      </w:r>
      <w:r w:rsidR="000C5544" w:rsidRPr="00EE7ABF">
        <w:rPr>
          <w:b/>
          <w:bCs/>
        </w:rPr>
        <w:t xml:space="preserve"> (</w:t>
      </w:r>
      <w:r w:rsidRPr="00EE7ABF">
        <w:rPr>
          <w:b/>
          <w:bCs/>
        </w:rPr>
        <w:t>posttreatment</w:t>
      </w:r>
      <w:r w:rsidR="000C5544" w:rsidRPr="00EE7ABF">
        <w:rPr>
          <w:b/>
          <w:bCs/>
        </w:rPr>
        <w:t>):</w:t>
      </w:r>
      <w:r w:rsidR="000C5544" w:rsidRPr="000C5544">
        <w:t xml:space="preserve"> </w:t>
      </w:r>
      <w:r w:rsidR="000C5544">
        <w:t>ACT-Randomized n=20, ACT-Choice n=15, CBT-Randomized n=20, CBT-Choice n=</w:t>
      </w:r>
      <w:r w:rsidR="00EE7ABF">
        <w:t>7</w:t>
      </w:r>
    </w:p>
    <w:p w14:paraId="45D65658" w14:textId="4ED93C74" w:rsidR="00496F84" w:rsidRPr="001F7160" w:rsidRDefault="0023073A" w:rsidP="00EE7ABF">
      <w:pPr>
        <w:ind w:left="720"/>
        <w:rPr>
          <w:i/>
          <w:iCs/>
        </w:rPr>
        <w:sectPr w:rsidR="00496F84" w:rsidRPr="001F7160">
          <w:headerReference w:type="even" r:id="rId21"/>
          <w:headerReference w:type="default" r:id="rId22"/>
          <w:pgSz w:w="12240" w:h="15840"/>
          <w:pgMar w:top="1440" w:right="1440" w:bottom="1440" w:left="1440" w:header="720" w:footer="720" w:gutter="0"/>
          <w:cols w:space="720"/>
          <w:docGrid w:linePitch="360"/>
        </w:sectPr>
      </w:pPr>
      <w:r w:rsidRPr="00EE7ABF">
        <w:rPr>
          <w:b/>
          <w:bCs/>
        </w:rPr>
        <w:t xml:space="preserve">FU </w:t>
      </w:r>
      <w:r w:rsidR="000C5544" w:rsidRPr="00EE7ABF">
        <w:rPr>
          <w:b/>
          <w:bCs/>
        </w:rPr>
        <w:t>(</w:t>
      </w:r>
      <w:r w:rsidRPr="00EE7ABF">
        <w:rPr>
          <w:b/>
          <w:bCs/>
        </w:rPr>
        <w:t>follow-up</w:t>
      </w:r>
      <w:r w:rsidR="000C5544" w:rsidRPr="00EE7ABF">
        <w:rPr>
          <w:b/>
          <w:bCs/>
        </w:rPr>
        <w:t>):</w:t>
      </w:r>
      <w:r w:rsidR="000C5544" w:rsidRPr="000C5544">
        <w:t xml:space="preserve"> </w:t>
      </w:r>
      <w:r w:rsidR="000C5544">
        <w:t>ACT-Randomized n=</w:t>
      </w:r>
      <w:r w:rsidR="00EE7ABF">
        <w:t>15</w:t>
      </w:r>
      <w:r w:rsidR="000C5544">
        <w:t>, ACT-Choice n=</w:t>
      </w:r>
      <w:r w:rsidR="00EE7ABF">
        <w:t>17</w:t>
      </w:r>
      <w:r w:rsidR="000C5544">
        <w:t>, CBT-Randomized n=</w:t>
      </w:r>
      <w:r w:rsidR="00EE7ABF">
        <w:t>28</w:t>
      </w:r>
      <w:r w:rsidR="000C5544">
        <w:t>, CBT-Choice n=</w:t>
      </w:r>
      <w:r w:rsidR="00EE7ABF">
        <w:t>9</w:t>
      </w:r>
    </w:p>
    <w:p w14:paraId="46EBC5DA" w14:textId="1282FAA5" w:rsidR="0023073A" w:rsidRPr="004C148A" w:rsidRDefault="0023073A" w:rsidP="004C148A"/>
    <w:p w14:paraId="79B88859" w14:textId="77777777" w:rsidR="0023073A" w:rsidRPr="0023073A" w:rsidRDefault="0023073A" w:rsidP="0023073A">
      <w:pPr>
        <w:spacing w:line="480" w:lineRule="auto"/>
        <w:rPr>
          <w:b/>
          <w:bCs/>
        </w:rPr>
      </w:pPr>
      <w:r w:rsidRPr="0023073A">
        <w:rPr>
          <w:b/>
          <w:bCs/>
        </w:rPr>
        <w:t xml:space="preserve">Table </w:t>
      </w:r>
      <w:r w:rsidR="00DC4585">
        <w:rPr>
          <w:b/>
          <w:bCs/>
        </w:rPr>
        <w:t>3</w:t>
      </w:r>
    </w:p>
    <w:tbl>
      <w:tblPr>
        <w:tblStyle w:val="TableGrid"/>
        <w:tblpPr w:leftFromText="180" w:rightFromText="180" w:vertAnchor="text" w:horzAnchor="margin" w:tblpY="449"/>
        <w:tblW w:w="13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1494"/>
        <w:gridCol w:w="1494"/>
        <w:gridCol w:w="1748"/>
        <w:gridCol w:w="1815"/>
        <w:gridCol w:w="1815"/>
        <w:gridCol w:w="1815"/>
        <w:gridCol w:w="1815"/>
      </w:tblGrid>
      <w:tr w:rsidR="00496F84" w:rsidRPr="0023073A" w14:paraId="1B9D7708" w14:textId="622411A0" w:rsidTr="00496F84">
        <w:trPr>
          <w:trHeight w:val="380"/>
        </w:trPr>
        <w:tc>
          <w:tcPr>
            <w:tcW w:w="1355" w:type="dxa"/>
            <w:tcBorders>
              <w:top w:val="single" w:sz="4" w:space="0" w:color="auto"/>
              <w:bottom w:val="single" w:sz="4" w:space="0" w:color="auto"/>
            </w:tcBorders>
          </w:tcPr>
          <w:p w14:paraId="3753BB63" w14:textId="77777777" w:rsidR="00496F84" w:rsidRPr="0023073A" w:rsidRDefault="00496F84" w:rsidP="00496F84">
            <w:bookmarkStart w:id="1" w:name="_Toc62995527"/>
          </w:p>
          <w:p w14:paraId="2248A4F3" w14:textId="77777777" w:rsidR="00496F84" w:rsidRPr="0023073A" w:rsidRDefault="00496F84" w:rsidP="00496F84"/>
        </w:tc>
        <w:tc>
          <w:tcPr>
            <w:tcW w:w="1494" w:type="dxa"/>
            <w:tcBorders>
              <w:top w:val="single" w:sz="4" w:space="0" w:color="auto"/>
              <w:bottom w:val="single" w:sz="4" w:space="0" w:color="auto"/>
            </w:tcBorders>
          </w:tcPr>
          <w:p w14:paraId="57ECCBE7" w14:textId="20358F15" w:rsidR="00496F84" w:rsidRPr="0023073A" w:rsidRDefault="00496F84" w:rsidP="00496F84">
            <w:r w:rsidRPr="0023073A">
              <w:t xml:space="preserve">Time </w:t>
            </w:r>
            <w:r w:rsidRPr="0023073A">
              <w:rPr>
                <w:i/>
                <w:iCs/>
              </w:rPr>
              <w:sym w:font="Symbol" w:char="F062"/>
            </w:r>
            <w:r w:rsidRPr="0023073A">
              <w:rPr>
                <w:i/>
                <w:iCs/>
              </w:rPr>
              <w:t xml:space="preserve"> </w:t>
            </w:r>
          </w:p>
        </w:tc>
        <w:tc>
          <w:tcPr>
            <w:tcW w:w="1494" w:type="dxa"/>
            <w:tcBorders>
              <w:top w:val="single" w:sz="4" w:space="0" w:color="auto"/>
              <w:bottom w:val="single" w:sz="4" w:space="0" w:color="auto"/>
            </w:tcBorders>
          </w:tcPr>
          <w:p w14:paraId="32573DA7" w14:textId="41BECDC1" w:rsidR="00496F84" w:rsidRPr="0023073A" w:rsidRDefault="00496F84" w:rsidP="00496F84">
            <w:r w:rsidRPr="0023073A">
              <w:t xml:space="preserve">Book </w:t>
            </w:r>
            <w:r w:rsidRPr="0023073A">
              <w:rPr>
                <w:i/>
                <w:iCs/>
              </w:rPr>
              <w:sym w:font="Symbol" w:char="F062"/>
            </w:r>
          </w:p>
        </w:tc>
        <w:tc>
          <w:tcPr>
            <w:tcW w:w="1748" w:type="dxa"/>
            <w:tcBorders>
              <w:top w:val="single" w:sz="4" w:space="0" w:color="auto"/>
              <w:bottom w:val="single" w:sz="4" w:space="0" w:color="auto"/>
            </w:tcBorders>
          </w:tcPr>
          <w:p w14:paraId="57E4F640" w14:textId="4FE836A2" w:rsidR="00496F84" w:rsidRPr="0023073A" w:rsidRDefault="00496F84" w:rsidP="00496F84">
            <w:r w:rsidRPr="0023073A">
              <w:t xml:space="preserve">Assignment method </w:t>
            </w:r>
            <w:r w:rsidRPr="0023073A">
              <w:rPr>
                <w:i/>
                <w:iCs/>
              </w:rPr>
              <w:sym w:font="Symbol" w:char="F062"/>
            </w:r>
          </w:p>
        </w:tc>
        <w:tc>
          <w:tcPr>
            <w:tcW w:w="1815" w:type="dxa"/>
            <w:tcBorders>
              <w:top w:val="single" w:sz="4" w:space="0" w:color="auto"/>
              <w:bottom w:val="single" w:sz="4" w:space="0" w:color="auto"/>
            </w:tcBorders>
          </w:tcPr>
          <w:p w14:paraId="05C7D324" w14:textId="77777777" w:rsidR="00496F84" w:rsidRDefault="00496F84" w:rsidP="00496F84">
            <w:r>
              <w:t>Book*</w:t>
            </w:r>
          </w:p>
          <w:p w14:paraId="5DFBB00B" w14:textId="77777777" w:rsidR="00496F84" w:rsidRPr="0023073A" w:rsidRDefault="00496F84" w:rsidP="00496F84">
            <w:r>
              <w:t xml:space="preserve">Assignment method </w:t>
            </w:r>
            <w:r w:rsidRPr="0023073A">
              <w:rPr>
                <w:i/>
                <w:iCs/>
              </w:rPr>
              <w:sym w:font="Symbol" w:char="F062"/>
            </w:r>
          </w:p>
        </w:tc>
        <w:tc>
          <w:tcPr>
            <w:tcW w:w="1815" w:type="dxa"/>
            <w:tcBorders>
              <w:top w:val="single" w:sz="4" w:space="0" w:color="auto"/>
              <w:bottom w:val="single" w:sz="4" w:space="0" w:color="auto"/>
            </w:tcBorders>
          </w:tcPr>
          <w:p w14:paraId="2E50462B" w14:textId="0875E6D7" w:rsidR="00496F84" w:rsidRDefault="00496F84" w:rsidP="00496F84">
            <w:r w:rsidRPr="0023073A">
              <w:t xml:space="preserve">Time*Book </w:t>
            </w:r>
            <w:r w:rsidRPr="0023073A">
              <w:rPr>
                <w:i/>
                <w:iCs/>
              </w:rPr>
              <w:sym w:font="Symbol" w:char="F062"/>
            </w:r>
          </w:p>
        </w:tc>
        <w:tc>
          <w:tcPr>
            <w:tcW w:w="1815" w:type="dxa"/>
            <w:tcBorders>
              <w:top w:val="single" w:sz="4" w:space="0" w:color="auto"/>
              <w:bottom w:val="single" w:sz="4" w:space="0" w:color="auto"/>
            </w:tcBorders>
          </w:tcPr>
          <w:p w14:paraId="2E256C2C" w14:textId="77777777" w:rsidR="00496F84" w:rsidRDefault="00496F84" w:rsidP="00496F84">
            <w:r w:rsidRPr="0023073A">
              <w:t>Time*</w:t>
            </w:r>
          </w:p>
          <w:p w14:paraId="1CB60C72" w14:textId="6CB391F3" w:rsidR="00496F84" w:rsidRDefault="00496F84" w:rsidP="00496F84">
            <w:r w:rsidRPr="0023073A">
              <w:t xml:space="preserve">Assignment method </w:t>
            </w:r>
            <w:r w:rsidRPr="0023073A">
              <w:rPr>
                <w:i/>
                <w:iCs/>
              </w:rPr>
              <w:sym w:font="Symbol" w:char="F062"/>
            </w:r>
          </w:p>
        </w:tc>
        <w:tc>
          <w:tcPr>
            <w:tcW w:w="1815" w:type="dxa"/>
            <w:tcBorders>
              <w:top w:val="single" w:sz="4" w:space="0" w:color="auto"/>
              <w:bottom w:val="single" w:sz="4" w:space="0" w:color="auto"/>
            </w:tcBorders>
          </w:tcPr>
          <w:p w14:paraId="3FF2F96F" w14:textId="77777777" w:rsidR="00496F84" w:rsidRPr="0023073A" w:rsidRDefault="00496F84" w:rsidP="00496F84">
            <w:r w:rsidRPr="0023073A">
              <w:t>Time*Book*</w:t>
            </w:r>
          </w:p>
          <w:p w14:paraId="1CC524B5" w14:textId="6757EF5D" w:rsidR="00496F84" w:rsidRDefault="00496F84" w:rsidP="00496F84">
            <w:r w:rsidRPr="0023073A">
              <w:t xml:space="preserve">Assignment method </w:t>
            </w:r>
            <w:r w:rsidRPr="0023073A">
              <w:rPr>
                <w:i/>
                <w:iCs/>
              </w:rPr>
              <w:sym w:font="Symbol" w:char="F062"/>
            </w:r>
          </w:p>
        </w:tc>
      </w:tr>
      <w:tr w:rsidR="00496F84" w:rsidRPr="0023073A" w14:paraId="5177DF7B" w14:textId="521DF7B7" w:rsidTr="00496F84">
        <w:trPr>
          <w:trHeight w:val="487"/>
        </w:trPr>
        <w:tc>
          <w:tcPr>
            <w:tcW w:w="1355" w:type="dxa"/>
            <w:tcBorders>
              <w:top w:val="single" w:sz="4" w:space="0" w:color="auto"/>
            </w:tcBorders>
          </w:tcPr>
          <w:p w14:paraId="02EC2A01" w14:textId="77777777" w:rsidR="00496F84" w:rsidRPr="0023073A" w:rsidRDefault="00496F84" w:rsidP="00496F84">
            <w:pPr>
              <w:rPr>
                <w:i/>
                <w:iCs/>
                <w:vertAlign w:val="superscript"/>
              </w:rPr>
            </w:pPr>
            <w:r w:rsidRPr="0023073A">
              <w:rPr>
                <w:i/>
                <w:iCs/>
              </w:rPr>
              <w:t xml:space="preserve">Outcome </w:t>
            </w:r>
            <w:proofErr w:type="spellStart"/>
            <w:proofErr w:type="gramStart"/>
            <w:r w:rsidRPr="0023073A">
              <w:rPr>
                <w:i/>
                <w:iCs/>
                <w:vertAlign w:val="superscript"/>
              </w:rPr>
              <w:t>a,b</w:t>
            </w:r>
            <w:proofErr w:type="spellEnd"/>
            <w:proofErr w:type="gramEnd"/>
          </w:p>
        </w:tc>
        <w:tc>
          <w:tcPr>
            <w:tcW w:w="1494" w:type="dxa"/>
            <w:tcBorders>
              <w:top w:val="single" w:sz="4" w:space="0" w:color="auto"/>
            </w:tcBorders>
          </w:tcPr>
          <w:p w14:paraId="39140F67" w14:textId="77777777" w:rsidR="00496F84" w:rsidRPr="0023073A" w:rsidRDefault="00496F84" w:rsidP="00496F84"/>
        </w:tc>
        <w:tc>
          <w:tcPr>
            <w:tcW w:w="1494" w:type="dxa"/>
            <w:tcBorders>
              <w:top w:val="single" w:sz="4" w:space="0" w:color="auto"/>
            </w:tcBorders>
          </w:tcPr>
          <w:p w14:paraId="519FAE3F" w14:textId="77777777" w:rsidR="00496F84" w:rsidRPr="0023073A" w:rsidRDefault="00496F84" w:rsidP="00496F84"/>
        </w:tc>
        <w:tc>
          <w:tcPr>
            <w:tcW w:w="1748" w:type="dxa"/>
            <w:tcBorders>
              <w:top w:val="single" w:sz="4" w:space="0" w:color="auto"/>
            </w:tcBorders>
          </w:tcPr>
          <w:p w14:paraId="75EC90D5" w14:textId="77777777" w:rsidR="00496F84" w:rsidRPr="0023073A" w:rsidRDefault="00496F84" w:rsidP="00496F84"/>
        </w:tc>
        <w:tc>
          <w:tcPr>
            <w:tcW w:w="1815" w:type="dxa"/>
            <w:tcBorders>
              <w:top w:val="single" w:sz="4" w:space="0" w:color="auto"/>
            </w:tcBorders>
          </w:tcPr>
          <w:p w14:paraId="0F7D3571" w14:textId="77777777" w:rsidR="00496F84" w:rsidRPr="0023073A" w:rsidRDefault="00496F84" w:rsidP="00496F84"/>
        </w:tc>
        <w:tc>
          <w:tcPr>
            <w:tcW w:w="1815" w:type="dxa"/>
            <w:tcBorders>
              <w:top w:val="single" w:sz="4" w:space="0" w:color="auto"/>
            </w:tcBorders>
          </w:tcPr>
          <w:p w14:paraId="26D86DFC" w14:textId="77777777" w:rsidR="00496F84" w:rsidRPr="0023073A" w:rsidRDefault="00496F84" w:rsidP="00496F84"/>
        </w:tc>
        <w:tc>
          <w:tcPr>
            <w:tcW w:w="1815" w:type="dxa"/>
            <w:tcBorders>
              <w:top w:val="single" w:sz="4" w:space="0" w:color="auto"/>
            </w:tcBorders>
          </w:tcPr>
          <w:p w14:paraId="46C6CD23" w14:textId="77777777" w:rsidR="00496F84" w:rsidRPr="0023073A" w:rsidRDefault="00496F84" w:rsidP="00496F84"/>
        </w:tc>
        <w:tc>
          <w:tcPr>
            <w:tcW w:w="1815" w:type="dxa"/>
            <w:tcBorders>
              <w:top w:val="single" w:sz="4" w:space="0" w:color="auto"/>
            </w:tcBorders>
          </w:tcPr>
          <w:p w14:paraId="62B4F7A7" w14:textId="77777777" w:rsidR="00496F84" w:rsidRPr="0023073A" w:rsidRDefault="00496F84" w:rsidP="00496F84"/>
        </w:tc>
      </w:tr>
      <w:tr w:rsidR="00496F84" w:rsidRPr="0023073A" w14:paraId="1F1B2E35" w14:textId="538DA925" w:rsidTr="00496F84">
        <w:trPr>
          <w:trHeight w:val="817"/>
        </w:trPr>
        <w:tc>
          <w:tcPr>
            <w:tcW w:w="1355" w:type="dxa"/>
          </w:tcPr>
          <w:p w14:paraId="7EC54AB2" w14:textId="77777777" w:rsidR="00496F84" w:rsidRPr="0023073A" w:rsidRDefault="00496F84" w:rsidP="00496F84">
            <w:r w:rsidRPr="0023073A">
              <w:t>DASS-21 Depression</w:t>
            </w:r>
          </w:p>
        </w:tc>
        <w:tc>
          <w:tcPr>
            <w:tcW w:w="1494" w:type="dxa"/>
          </w:tcPr>
          <w:p w14:paraId="71CF86C5" w14:textId="77777777" w:rsidR="00496F84" w:rsidRPr="0023073A" w:rsidRDefault="00496F84" w:rsidP="00496F84">
            <w:r w:rsidRPr="0023073A">
              <w:t>-0.46***</w:t>
            </w:r>
          </w:p>
        </w:tc>
        <w:tc>
          <w:tcPr>
            <w:tcW w:w="1494" w:type="dxa"/>
          </w:tcPr>
          <w:p w14:paraId="41723A5D" w14:textId="77777777" w:rsidR="00496F84" w:rsidRPr="0023073A" w:rsidRDefault="00496F84" w:rsidP="00496F84">
            <w:r w:rsidRPr="0023073A">
              <w:t>-0.19</w:t>
            </w:r>
          </w:p>
          <w:p w14:paraId="5635D2EE" w14:textId="77777777" w:rsidR="00496F84" w:rsidRPr="0023073A" w:rsidRDefault="00496F84" w:rsidP="00496F84"/>
        </w:tc>
        <w:tc>
          <w:tcPr>
            <w:tcW w:w="1748" w:type="dxa"/>
          </w:tcPr>
          <w:p w14:paraId="69E9E9CC" w14:textId="77777777" w:rsidR="00496F84" w:rsidRPr="0023073A" w:rsidRDefault="00496F84" w:rsidP="00496F84">
            <w:r w:rsidRPr="0023073A">
              <w:t>-0.11</w:t>
            </w:r>
          </w:p>
        </w:tc>
        <w:tc>
          <w:tcPr>
            <w:tcW w:w="1815" w:type="dxa"/>
          </w:tcPr>
          <w:p w14:paraId="4DBB222E" w14:textId="77777777" w:rsidR="00496F84" w:rsidRPr="0023073A" w:rsidRDefault="00496F84" w:rsidP="00496F84">
            <w:r>
              <w:t>0.45</w:t>
            </w:r>
          </w:p>
        </w:tc>
        <w:tc>
          <w:tcPr>
            <w:tcW w:w="1815" w:type="dxa"/>
          </w:tcPr>
          <w:p w14:paraId="171FD496" w14:textId="3386AD09" w:rsidR="00496F84" w:rsidRDefault="00496F84" w:rsidP="00496F84">
            <w:r w:rsidRPr="0023073A">
              <w:t>0.19*</w:t>
            </w:r>
          </w:p>
        </w:tc>
        <w:tc>
          <w:tcPr>
            <w:tcW w:w="1815" w:type="dxa"/>
          </w:tcPr>
          <w:p w14:paraId="6BD43953" w14:textId="02E51D05" w:rsidR="00496F84" w:rsidRDefault="00496F84" w:rsidP="00496F84">
            <w:r w:rsidRPr="0023073A">
              <w:t>0.20</w:t>
            </w:r>
            <w:r>
              <w:t>†</w:t>
            </w:r>
          </w:p>
        </w:tc>
        <w:tc>
          <w:tcPr>
            <w:tcW w:w="1815" w:type="dxa"/>
          </w:tcPr>
          <w:p w14:paraId="7DC43C8D" w14:textId="77777777" w:rsidR="00496F84" w:rsidRPr="0023073A" w:rsidRDefault="00496F84" w:rsidP="00496F84">
            <w:r w:rsidRPr="0023073A">
              <w:t>-0.33*</w:t>
            </w:r>
          </w:p>
          <w:p w14:paraId="7C9EC45C" w14:textId="77777777" w:rsidR="00496F84" w:rsidRDefault="00496F84" w:rsidP="00496F84"/>
        </w:tc>
      </w:tr>
      <w:tr w:rsidR="00496F84" w:rsidRPr="0023073A" w14:paraId="4FB18B22" w14:textId="71DFE80B" w:rsidTr="00496F84">
        <w:trPr>
          <w:trHeight w:val="1142"/>
        </w:trPr>
        <w:tc>
          <w:tcPr>
            <w:tcW w:w="1355" w:type="dxa"/>
            <w:tcBorders>
              <w:bottom w:val="single" w:sz="4" w:space="0" w:color="auto"/>
            </w:tcBorders>
          </w:tcPr>
          <w:p w14:paraId="70C86584" w14:textId="59A6B667" w:rsidR="00496F84" w:rsidRPr="00496F84" w:rsidRDefault="00496F84" w:rsidP="00496F84">
            <w:r w:rsidRPr="0023073A">
              <w:t>DASS-21 Anxiety</w:t>
            </w:r>
          </w:p>
        </w:tc>
        <w:tc>
          <w:tcPr>
            <w:tcW w:w="1494" w:type="dxa"/>
            <w:tcBorders>
              <w:bottom w:val="single" w:sz="4" w:space="0" w:color="auto"/>
            </w:tcBorders>
          </w:tcPr>
          <w:p w14:paraId="52EB76FB" w14:textId="77777777" w:rsidR="00496F84" w:rsidRPr="0023073A" w:rsidRDefault="00496F84" w:rsidP="00496F84">
            <w:r w:rsidRPr="0023073A">
              <w:t>-0.41***</w:t>
            </w:r>
          </w:p>
        </w:tc>
        <w:tc>
          <w:tcPr>
            <w:tcW w:w="1494" w:type="dxa"/>
            <w:tcBorders>
              <w:bottom w:val="single" w:sz="4" w:space="0" w:color="auto"/>
            </w:tcBorders>
          </w:tcPr>
          <w:p w14:paraId="2E40691B" w14:textId="77777777" w:rsidR="00496F84" w:rsidRPr="0023073A" w:rsidRDefault="00496F84" w:rsidP="00496F84">
            <w:r w:rsidRPr="0023073A">
              <w:t>-0.31</w:t>
            </w:r>
          </w:p>
        </w:tc>
        <w:tc>
          <w:tcPr>
            <w:tcW w:w="1748" w:type="dxa"/>
            <w:tcBorders>
              <w:bottom w:val="single" w:sz="4" w:space="0" w:color="auto"/>
            </w:tcBorders>
          </w:tcPr>
          <w:p w14:paraId="780CF630" w14:textId="77777777" w:rsidR="00496F84" w:rsidRPr="0023073A" w:rsidRDefault="00496F84" w:rsidP="00496F84">
            <w:r w:rsidRPr="0023073A">
              <w:t>-0.17</w:t>
            </w:r>
          </w:p>
        </w:tc>
        <w:tc>
          <w:tcPr>
            <w:tcW w:w="1815" w:type="dxa"/>
            <w:tcBorders>
              <w:bottom w:val="single" w:sz="4" w:space="0" w:color="auto"/>
            </w:tcBorders>
          </w:tcPr>
          <w:p w14:paraId="244D9749" w14:textId="77777777" w:rsidR="00496F84" w:rsidRPr="0023073A" w:rsidRDefault="00496F84" w:rsidP="00496F84">
            <w:r>
              <w:t>0.37</w:t>
            </w:r>
          </w:p>
        </w:tc>
        <w:tc>
          <w:tcPr>
            <w:tcW w:w="1815" w:type="dxa"/>
            <w:tcBorders>
              <w:bottom w:val="single" w:sz="4" w:space="0" w:color="auto"/>
            </w:tcBorders>
          </w:tcPr>
          <w:p w14:paraId="030EE9EF" w14:textId="6C53E721" w:rsidR="00496F84" w:rsidRDefault="00496F84" w:rsidP="00496F84">
            <w:r w:rsidRPr="0023073A">
              <w:t>0.16</w:t>
            </w:r>
          </w:p>
        </w:tc>
        <w:tc>
          <w:tcPr>
            <w:tcW w:w="1815" w:type="dxa"/>
            <w:tcBorders>
              <w:bottom w:val="single" w:sz="4" w:space="0" w:color="auto"/>
            </w:tcBorders>
          </w:tcPr>
          <w:p w14:paraId="145857BA" w14:textId="69D6CB35" w:rsidR="00496F84" w:rsidRDefault="00496F84" w:rsidP="00496F84">
            <w:r w:rsidRPr="0023073A">
              <w:t>0.24*</w:t>
            </w:r>
          </w:p>
        </w:tc>
        <w:tc>
          <w:tcPr>
            <w:tcW w:w="1815" w:type="dxa"/>
            <w:tcBorders>
              <w:bottom w:val="single" w:sz="4" w:space="0" w:color="auto"/>
            </w:tcBorders>
          </w:tcPr>
          <w:p w14:paraId="35D5DA1E" w14:textId="703E9195" w:rsidR="00496F84" w:rsidRDefault="00496F84" w:rsidP="00496F84">
            <w:r w:rsidRPr="0023073A">
              <w:t>-0.21</w:t>
            </w:r>
          </w:p>
        </w:tc>
      </w:tr>
    </w:tbl>
    <w:p w14:paraId="349D589B" w14:textId="48B5C1F7" w:rsidR="00496F84" w:rsidRPr="00496F84" w:rsidRDefault="0023073A" w:rsidP="00496F84">
      <w:pPr>
        <w:pStyle w:val="Heading4"/>
      </w:pPr>
      <w:r>
        <w:t xml:space="preserve">Mixed effects models predicting </w:t>
      </w:r>
      <w:bookmarkEnd w:id="1"/>
      <w:r w:rsidR="00BD1396">
        <w:t>mental health outcomes</w:t>
      </w:r>
    </w:p>
    <w:p w14:paraId="1E7BDC85" w14:textId="511F002F" w:rsidR="0023073A" w:rsidRPr="005320E4" w:rsidRDefault="0023073A" w:rsidP="0023073A">
      <w:pPr>
        <w:widowControl w:val="0"/>
        <w:autoSpaceDE w:val="0"/>
        <w:autoSpaceDN w:val="0"/>
        <w:adjustRightInd w:val="0"/>
        <w:rPr>
          <w:i/>
          <w:iCs/>
        </w:rPr>
      </w:pPr>
      <w:r w:rsidRPr="005320E4">
        <w:rPr>
          <w:i/>
          <w:iCs/>
        </w:rPr>
        <w:t>Note:</w:t>
      </w:r>
    </w:p>
    <w:p w14:paraId="10C78B53" w14:textId="77777777" w:rsidR="0023073A" w:rsidRPr="005320E4" w:rsidRDefault="0023073A" w:rsidP="0023073A">
      <w:pPr>
        <w:widowControl w:val="0"/>
        <w:autoSpaceDE w:val="0"/>
        <w:autoSpaceDN w:val="0"/>
        <w:adjustRightInd w:val="0"/>
      </w:pPr>
      <w:proofErr w:type="spellStart"/>
      <w:r w:rsidRPr="005320E4">
        <w:rPr>
          <w:i/>
          <w:iCs/>
          <w:vertAlign w:val="superscript"/>
        </w:rPr>
        <w:t>a</w:t>
      </w:r>
      <w:proofErr w:type="spellEnd"/>
      <w:r w:rsidRPr="005320E4">
        <w:t xml:space="preserve"> </w:t>
      </w:r>
      <w:proofErr w:type="gramStart"/>
      <w:r w:rsidRPr="005320E4">
        <w:t>The</w:t>
      </w:r>
      <w:proofErr w:type="gramEnd"/>
      <w:r w:rsidRPr="005320E4">
        <w:t xml:space="preserve"> reference groups for </w:t>
      </w:r>
      <w:r w:rsidRPr="005320E4">
        <w:rPr>
          <w:i/>
          <w:iCs/>
        </w:rPr>
        <w:sym w:font="Symbol" w:char="F062"/>
      </w:r>
      <w:r w:rsidRPr="005320E4">
        <w:t xml:space="preserve"> coefficients were </w:t>
      </w:r>
      <w:r w:rsidRPr="005320E4">
        <w:rPr>
          <w:u w:val="single"/>
        </w:rPr>
        <w:t>Book: ACT book</w:t>
      </w:r>
      <w:r w:rsidRPr="005320E4">
        <w:t xml:space="preserve"> and </w:t>
      </w:r>
      <w:r w:rsidRPr="005320E4">
        <w:rPr>
          <w:u w:val="single"/>
        </w:rPr>
        <w:t>Assignment Method: Randomized</w:t>
      </w:r>
      <w:r w:rsidRPr="005320E4">
        <w:t xml:space="preserve">. Therefore, </w:t>
      </w:r>
      <w:r w:rsidRPr="005320E4">
        <w:rPr>
          <w:i/>
          <w:iCs/>
        </w:rPr>
        <w:sym w:font="Symbol" w:char="F062"/>
      </w:r>
      <w:r w:rsidRPr="005320E4">
        <w:t xml:space="preserve"> coefficients reflect estimated differences when a participant read the CBT book and/or chose their treatment.</w:t>
      </w:r>
    </w:p>
    <w:p w14:paraId="5238A852" w14:textId="77777777" w:rsidR="0023073A" w:rsidRPr="005320E4" w:rsidRDefault="0023073A" w:rsidP="0023073A">
      <w:pPr>
        <w:widowControl w:val="0"/>
        <w:autoSpaceDE w:val="0"/>
        <w:autoSpaceDN w:val="0"/>
        <w:adjustRightInd w:val="0"/>
      </w:pPr>
      <w:r w:rsidRPr="005320E4">
        <w:rPr>
          <w:i/>
          <w:iCs/>
          <w:vertAlign w:val="superscript"/>
        </w:rPr>
        <w:t>b</w:t>
      </w:r>
      <w:r w:rsidRPr="005320E4">
        <w:t xml:space="preserve"> All </w:t>
      </w:r>
      <w:r w:rsidRPr="005320E4">
        <w:rPr>
          <w:i/>
          <w:iCs/>
        </w:rPr>
        <w:sym w:font="Symbol" w:char="F062"/>
      </w:r>
      <w:r w:rsidRPr="005320E4">
        <w:t xml:space="preserve"> coefficients were standardized.</w:t>
      </w:r>
    </w:p>
    <w:p w14:paraId="629E4254" w14:textId="7C5C9F16" w:rsidR="0023073A" w:rsidRPr="005320E4" w:rsidRDefault="00496F84" w:rsidP="0023073A">
      <w:pPr>
        <w:widowControl w:val="0"/>
        <w:autoSpaceDE w:val="0"/>
        <w:autoSpaceDN w:val="0"/>
        <w:adjustRightInd w:val="0"/>
      </w:pPr>
      <w:r>
        <w:t xml:space="preserve">†p&lt; .10, </w:t>
      </w:r>
      <w:r w:rsidR="0023073A" w:rsidRPr="005320E4">
        <w:t>*p &lt; .05, ***p &lt; .001</w:t>
      </w:r>
    </w:p>
    <w:p w14:paraId="6C6389F9" w14:textId="77777777" w:rsidR="0023073A" w:rsidRDefault="0023073A" w:rsidP="0023073A">
      <w:pPr>
        <w:spacing w:line="480" w:lineRule="auto"/>
        <w:rPr>
          <w:b/>
          <w:bCs/>
        </w:rPr>
      </w:pPr>
    </w:p>
    <w:p w14:paraId="0FDDE96F" w14:textId="77777777" w:rsidR="00496F84" w:rsidRDefault="00496F84" w:rsidP="00B713F9">
      <w:pPr>
        <w:spacing w:line="480" w:lineRule="auto"/>
        <w:jc w:val="center"/>
        <w:rPr>
          <w:i/>
          <w:iCs/>
        </w:rPr>
      </w:pPr>
    </w:p>
    <w:p w14:paraId="6EE390F7" w14:textId="77777777" w:rsidR="00496F84" w:rsidRDefault="00496F84" w:rsidP="00B713F9">
      <w:pPr>
        <w:spacing w:line="480" w:lineRule="auto"/>
        <w:jc w:val="center"/>
        <w:rPr>
          <w:i/>
          <w:iCs/>
        </w:rPr>
      </w:pPr>
    </w:p>
    <w:p w14:paraId="66AAD8F5" w14:textId="77777777" w:rsidR="00496F84" w:rsidRDefault="00496F84" w:rsidP="00B713F9">
      <w:pPr>
        <w:spacing w:line="480" w:lineRule="auto"/>
        <w:jc w:val="center"/>
        <w:rPr>
          <w:i/>
          <w:iCs/>
        </w:rPr>
      </w:pPr>
    </w:p>
    <w:p w14:paraId="228DFB20" w14:textId="0FFD509E" w:rsidR="00496F84" w:rsidRDefault="00496F84" w:rsidP="00496F84">
      <w:pPr>
        <w:spacing w:line="480" w:lineRule="auto"/>
        <w:rPr>
          <w:i/>
          <w:iCs/>
        </w:rPr>
      </w:pPr>
    </w:p>
    <w:p w14:paraId="040A7D8B" w14:textId="77777777" w:rsidR="00496F84" w:rsidRDefault="00496F84" w:rsidP="00496F84">
      <w:pPr>
        <w:spacing w:line="480" w:lineRule="auto"/>
        <w:rPr>
          <w:i/>
          <w:iCs/>
        </w:rPr>
      </w:pPr>
    </w:p>
    <w:p w14:paraId="463C3D02" w14:textId="77777777" w:rsidR="00496F84" w:rsidRDefault="00496F84" w:rsidP="00B713F9">
      <w:pPr>
        <w:spacing w:line="480" w:lineRule="auto"/>
        <w:jc w:val="center"/>
        <w:rPr>
          <w:b/>
          <w:bCs/>
        </w:rPr>
        <w:sectPr w:rsidR="00496F84" w:rsidSect="00496F84">
          <w:pgSz w:w="15840" w:h="12240" w:orient="landscape"/>
          <w:pgMar w:top="1440" w:right="1440" w:bottom="1440" w:left="1440" w:header="720" w:footer="720" w:gutter="0"/>
          <w:cols w:space="720"/>
          <w:docGrid w:linePitch="360"/>
        </w:sectPr>
      </w:pPr>
    </w:p>
    <w:p w14:paraId="7C029CF1" w14:textId="77777777" w:rsidR="00B713F9" w:rsidRDefault="00B713F9" w:rsidP="00B713F9">
      <w:pPr>
        <w:spacing w:line="480" w:lineRule="auto"/>
        <w:rPr>
          <w:b/>
          <w:bCs/>
        </w:rPr>
      </w:pPr>
      <w:r w:rsidRPr="00B713F9">
        <w:rPr>
          <w:b/>
          <w:bCs/>
        </w:rPr>
        <w:lastRenderedPageBreak/>
        <w:t>Figure 1</w:t>
      </w:r>
      <w:bookmarkStart w:id="2" w:name="_Toc62995580"/>
    </w:p>
    <w:p w14:paraId="0B4BC5B6" w14:textId="77777777" w:rsidR="00B713F9" w:rsidRPr="00B713F9" w:rsidRDefault="00B713F9" w:rsidP="00B713F9">
      <w:pPr>
        <w:spacing w:line="480" w:lineRule="auto"/>
        <w:rPr>
          <w:b/>
          <w:bCs/>
        </w:rPr>
      </w:pPr>
      <w:r w:rsidRPr="00B713F9">
        <w:t>Flow of participants in study</w:t>
      </w:r>
      <w:bookmarkEnd w:id="2"/>
    </w:p>
    <w:p w14:paraId="74EC89D7" w14:textId="781CE2EB" w:rsidR="005F6513" w:rsidRDefault="00620D05" w:rsidP="005F6513">
      <w:pPr>
        <w:spacing w:line="480" w:lineRule="auto"/>
        <w:rPr>
          <w:i/>
          <w:iCs/>
        </w:rPr>
      </w:pPr>
      <w:r>
        <w:rPr>
          <w:b/>
          <w:bCs/>
          <w:noProof/>
        </w:rPr>
        <w:drawing>
          <wp:inline distT="0" distB="0" distL="0" distR="0" wp14:anchorId="32F78EAF" wp14:editId="5E299D59">
            <wp:extent cx="5334000" cy="7142202"/>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72479" cy="7193725"/>
                    </a:xfrm>
                    <a:prstGeom prst="rect">
                      <a:avLst/>
                    </a:prstGeom>
                  </pic:spPr>
                </pic:pic>
              </a:graphicData>
            </a:graphic>
          </wp:inline>
        </w:drawing>
      </w:r>
    </w:p>
    <w:sectPr w:rsidR="005F65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F57F" w14:textId="77777777" w:rsidR="000F7AD9" w:rsidRDefault="000F7AD9" w:rsidP="00417346">
      <w:r>
        <w:separator/>
      </w:r>
    </w:p>
  </w:endnote>
  <w:endnote w:type="continuationSeparator" w:id="0">
    <w:p w14:paraId="4360730C" w14:textId="77777777" w:rsidR="000F7AD9" w:rsidRDefault="000F7AD9" w:rsidP="0041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5445" w14:textId="77777777" w:rsidR="000F7AD9" w:rsidRDefault="000F7AD9" w:rsidP="00417346">
      <w:r>
        <w:separator/>
      </w:r>
    </w:p>
  </w:footnote>
  <w:footnote w:type="continuationSeparator" w:id="0">
    <w:p w14:paraId="3FB0D7B3" w14:textId="77777777" w:rsidR="000F7AD9" w:rsidRDefault="000F7AD9" w:rsidP="0041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097733"/>
      <w:docPartObj>
        <w:docPartGallery w:val="Page Numbers (Top of Page)"/>
        <w:docPartUnique/>
      </w:docPartObj>
    </w:sdtPr>
    <w:sdtContent>
      <w:p w14:paraId="71F12DB3" w14:textId="75F3CD87" w:rsidR="008B4A0A" w:rsidRDefault="008B4A0A" w:rsidP="007753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B7D07" w14:textId="77777777" w:rsidR="008B4A0A" w:rsidRDefault="008B4A0A" w:rsidP="008B4A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066326"/>
      <w:docPartObj>
        <w:docPartGallery w:val="Page Numbers (Top of Page)"/>
        <w:docPartUnique/>
      </w:docPartObj>
    </w:sdtPr>
    <w:sdtContent>
      <w:p w14:paraId="21814DA9" w14:textId="15482127" w:rsidR="008B4A0A" w:rsidRDefault="008B4A0A" w:rsidP="007753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1C6802" w14:textId="318EC0CE" w:rsidR="008B4A0A" w:rsidRDefault="008B4A0A" w:rsidP="008B4A0A">
    <w:pPr>
      <w:pStyle w:val="Header"/>
      <w:ind w:right="360"/>
      <w:jc w:val="right"/>
    </w:pPr>
    <w:r>
      <w:t>CHOOSING ACT OR CBT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6BD4"/>
    <w:multiLevelType w:val="hybridMultilevel"/>
    <w:tmpl w:val="EBB4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40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42"/>
    <w:rsid w:val="0000328F"/>
    <w:rsid w:val="0000671D"/>
    <w:rsid w:val="00006D34"/>
    <w:rsid w:val="00011CE3"/>
    <w:rsid w:val="00013FEC"/>
    <w:rsid w:val="00015FEC"/>
    <w:rsid w:val="00017755"/>
    <w:rsid w:val="00066710"/>
    <w:rsid w:val="00072CD2"/>
    <w:rsid w:val="000739E1"/>
    <w:rsid w:val="00077143"/>
    <w:rsid w:val="00095950"/>
    <w:rsid w:val="00096E36"/>
    <w:rsid w:val="00097650"/>
    <w:rsid w:val="000A56AE"/>
    <w:rsid w:val="000A6885"/>
    <w:rsid w:val="000A7E19"/>
    <w:rsid w:val="000B7995"/>
    <w:rsid w:val="000C4A08"/>
    <w:rsid w:val="000C4E45"/>
    <w:rsid w:val="000C5544"/>
    <w:rsid w:val="000D05D4"/>
    <w:rsid w:val="000D2974"/>
    <w:rsid w:val="000D5CE7"/>
    <w:rsid w:val="000E2ED6"/>
    <w:rsid w:val="000E4BDF"/>
    <w:rsid w:val="000E67BD"/>
    <w:rsid w:val="000F7AD9"/>
    <w:rsid w:val="00104288"/>
    <w:rsid w:val="00136211"/>
    <w:rsid w:val="00144446"/>
    <w:rsid w:val="00145023"/>
    <w:rsid w:val="00146399"/>
    <w:rsid w:val="00147F47"/>
    <w:rsid w:val="00152607"/>
    <w:rsid w:val="00153C28"/>
    <w:rsid w:val="00155DB0"/>
    <w:rsid w:val="00162ABC"/>
    <w:rsid w:val="00175AC0"/>
    <w:rsid w:val="00183906"/>
    <w:rsid w:val="00184785"/>
    <w:rsid w:val="001A0493"/>
    <w:rsid w:val="001C1588"/>
    <w:rsid w:val="001C2286"/>
    <w:rsid w:val="001C2902"/>
    <w:rsid w:val="001C2CAF"/>
    <w:rsid w:val="001C457A"/>
    <w:rsid w:val="001C4B34"/>
    <w:rsid w:val="001D2D8C"/>
    <w:rsid w:val="001D4A68"/>
    <w:rsid w:val="001D5C83"/>
    <w:rsid w:val="001E5210"/>
    <w:rsid w:val="001F44BA"/>
    <w:rsid w:val="001F7160"/>
    <w:rsid w:val="001F7CF1"/>
    <w:rsid w:val="002023BC"/>
    <w:rsid w:val="00202EC0"/>
    <w:rsid w:val="00207CBB"/>
    <w:rsid w:val="0022603A"/>
    <w:rsid w:val="0023073A"/>
    <w:rsid w:val="00234995"/>
    <w:rsid w:val="00256B25"/>
    <w:rsid w:val="00260D59"/>
    <w:rsid w:val="0026757F"/>
    <w:rsid w:val="002700E9"/>
    <w:rsid w:val="0027714B"/>
    <w:rsid w:val="00277F33"/>
    <w:rsid w:val="002848B6"/>
    <w:rsid w:val="00284FAC"/>
    <w:rsid w:val="00290C9F"/>
    <w:rsid w:val="002C7D1C"/>
    <w:rsid w:val="002C7E58"/>
    <w:rsid w:val="002D2BB6"/>
    <w:rsid w:val="002E0E4C"/>
    <w:rsid w:val="002F09B0"/>
    <w:rsid w:val="002F113F"/>
    <w:rsid w:val="00300CCC"/>
    <w:rsid w:val="003111D6"/>
    <w:rsid w:val="00311718"/>
    <w:rsid w:val="00316D6A"/>
    <w:rsid w:val="003211B7"/>
    <w:rsid w:val="00333F79"/>
    <w:rsid w:val="00336288"/>
    <w:rsid w:val="00343B3A"/>
    <w:rsid w:val="003662C3"/>
    <w:rsid w:val="00371DAD"/>
    <w:rsid w:val="00375990"/>
    <w:rsid w:val="00381074"/>
    <w:rsid w:val="00383EA7"/>
    <w:rsid w:val="003929EF"/>
    <w:rsid w:val="003B0B39"/>
    <w:rsid w:val="003B324B"/>
    <w:rsid w:val="003C4762"/>
    <w:rsid w:val="003F4C36"/>
    <w:rsid w:val="003F66A7"/>
    <w:rsid w:val="003F77AB"/>
    <w:rsid w:val="00401727"/>
    <w:rsid w:val="00402FCC"/>
    <w:rsid w:val="00407EF3"/>
    <w:rsid w:val="00411822"/>
    <w:rsid w:val="00415B64"/>
    <w:rsid w:val="00417346"/>
    <w:rsid w:val="004200AD"/>
    <w:rsid w:val="00422B6E"/>
    <w:rsid w:val="00434B59"/>
    <w:rsid w:val="004356AA"/>
    <w:rsid w:val="004368A2"/>
    <w:rsid w:val="004509B5"/>
    <w:rsid w:val="004618C5"/>
    <w:rsid w:val="00474C0F"/>
    <w:rsid w:val="00483198"/>
    <w:rsid w:val="0048763B"/>
    <w:rsid w:val="00490F3A"/>
    <w:rsid w:val="004940D8"/>
    <w:rsid w:val="00496F84"/>
    <w:rsid w:val="004A0F21"/>
    <w:rsid w:val="004A14DD"/>
    <w:rsid w:val="004A2C34"/>
    <w:rsid w:val="004B0269"/>
    <w:rsid w:val="004B1157"/>
    <w:rsid w:val="004B685D"/>
    <w:rsid w:val="004B69CC"/>
    <w:rsid w:val="004C0C41"/>
    <w:rsid w:val="004C148A"/>
    <w:rsid w:val="004C539B"/>
    <w:rsid w:val="004C72D7"/>
    <w:rsid w:val="004E48BF"/>
    <w:rsid w:val="004E4980"/>
    <w:rsid w:val="004E55B5"/>
    <w:rsid w:val="004E64A5"/>
    <w:rsid w:val="004E6BCF"/>
    <w:rsid w:val="004F298C"/>
    <w:rsid w:val="004F5524"/>
    <w:rsid w:val="004F646D"/>
    <w:rsid w:val="00506ACD"/>
    <w:rsid w:val="00512D34"/>
    <w:rsid w:val="00525F26"/>
    <w:rsid w:val="005320E4"/>
    <w:rsid w:val="00541EBA"/>
    <w:rsid w:val="00543CF7"/>
    <w:rsid w:val="00565B5D"/>
    <w:rsid w:val="00571A56"/>
    <w:rsid w:val="00572404"/>
    <w:rsid w:val="0057597D"/>
    <w:rsid w:val="005771D3"/>
    <w:rsid w:val="00581859"/>
    <w:rsid w:val="005821E9"/>
    <w:rsid w:val="005835E7"/>
    <w:rsid w:val="005878BF"/>
    <w:rsid w:val="00590F4D"/>
    <w:rsid w:val="0059663E"/>
    <w:rsid w:val="005A1645"/>
    <w:rsid w:val="005A5B4C"/>
    <w:rsid w:val="005B772B"/>
    <w:rsid w:val="005C488F"/>
    <w:rsid w:val="005E0EF4"/>
    <w:rsid w:val="005E2828"/>
    <w:rsid w:val="005F6513"/>
    <w:rsid w:val="00616EFB"/>
    <w:rsid w:val="00620D05"/>
    <w:rsid w:val="00624B84"/>
    <w:rsid w:val="0064137A"/>
    <w:rsid w:val="00642A3A"/>
    <w:rsid w:val="006524DC"/>
    <w:rsid w:val="0066223E"/>
    <w:rsid w:val="00665E05"/>
    <w:rsid w:val="006727F9"/>
    <w:rsid w:val="00672C36"/>
    <w:rsid w:val="0067775E"/>
    <w:rsid w:val="0068053E"/>
    <w:rsid w:val="00687198"/>
    <w:rsid w:val="006872A6"/>
    <w:rsid w:val="00690781"/>
    <w:rsid w:val="006A1A85"/>
    <w:rsid w:val="006A42F5"/>
    <w:rsid w:val="006A5803"/>
    <w:rsid w:val="006A7220"/>
    <w:rsid w:val="006B76F2"/>
    <w:rsid w:val="006B7F51"/>
    <w:rsid w:val="006C2E26"/>
    <w:rsid w:val="006C79D7"/>
    <w:rsid w:val="006E0FDE"/>
    <w:rsid w:val="006E1D81"/>
    <w:rsid w:val="006F4318"/>
    <w:rsid w:val="0070394B"/>
    <w:rsid w:val="00730F6E"/>
    <w:rsid w:val="00741E10"/>
    <w:rsid w:val="007557FE"/>
    <w:rsid w:val="007659F1"/>
    <w:rsid w:val="007669FA"/>
    <w:rsid w:val="00774AF1"/>
    <w:rsid w:val="00775638"/>
    <w:rsid w:val="00780D99"/>
    <w:rsid w:val="007A178E"/>
    <w:rsid w:val="007A23E5"/>
    <w:rsid w:val="007B28ED"/>
    <w:rsid w:val="007B58DF"/>
    <w:rsid w:val="007B7013"/>
    <w:rsid w:val="007C177A"/>
    <w:rsid w:val="007C22E0"/>
    <w:rsid w:val="007C297A"/>
    <w:rsid w:val="007D2E3A"/>
    <w:rsid w:val="007D3E26"/>
    <w:rsid w:val="007D4427"/>
    <w:rsid w:val="007D71B3"/>
    <w:rsid w:val="007E5DC5"/>
    <w:rsid w:val="007F2B31"/>
    <w:rsid w:val="00802BF0"/>
    <w:rsid w:val="00806FB3"/>
    <w:rsid w:val="008100BF"/>
    <w:rsid w:val="00823F1D"/>
    <w:rsid w:val="00826CFA"/>
    <w:rsid w:val="00837008"/>
    <w:rsid w:val="00857324"/>
    <w:rsid w:val="0087497B"/>
    <w:rsid w:val="00874AC4"/>
    <w:rsid w:val="008829B8"/>
    <w:rsid w:val="00884A1F"/>
    <w:rsid w:val="00894CB5"/>
    <w:rsid w:val="008A2DC0"/>
    <w:rsid w:val="008B4A0A"/>
    <w:rsid w:val="008C2567"/>
    <w:rsid w:val="008C50F6"/>
    <w:rsid w:val="008D51AE"/>
    <w:rsid w:val="008D52EF"/>
    <w:rsid w:val="008D6063"/>
    <w:rsid w:val="008E197F"/>
    <w:rsid w:val="008E3726"/>
    <w:rsid w:val="008F6717"/>
    <w:rsid w:val="008F7488"/>
    <w:rsid w:val="00901623"/>
    <w:rsid w:val="00912DBA"/>
    <w:rsid w:val="00913622"/>
    <w:rsid w:val="00920FB9"/>
    <w:rsid w:val="00925D81"/>
    <w:rsid w:val="0092713B"/>
    <w:rsid w:val="00930289"/>
    <w:rsid w:val="009306CB"/>
    <w:rsid w:val="00931142"/>
    <w:rsid w:val="009350A8"/>
    <w:rsid w:val="00935906"/>
    <w:rsid w:val="00944B98"/>
    <w:rsid w:val="00944E95"/>
    <w:rsid w:val="00957C23"/>
    <w:rsid w:val="00972560"/>
    <w:rsid w:val="00972915"/>
    <w:rsid w:val="00980715"/>
    <w:rsid w:val="00990FF1"/>
    <w:rsid w:val="009970A8"/>
    <w:rsid w:val="009B116E"/>
    <w:rsid w:val="009C14A7"/>
    <w:rsid w:val="009C6865"/>
    <w:rsid w:val="009D06E3"/>
    <w:rsid w:val="009D149D"/>
    <w:rsid w:val="009D746F"/>
    <w:rsid w:val="009E29B0"/>
    <w:rsid w:val="009F2F21"/>
    <w:rsid w:val="009F7ED2"/>
    <w:rsid w:val="009F7FA5"/>
    <w:rsid w:val="00A015A8"/>
    <w:rsid w:val="00A078CE"/>
    <w:rsid w:val="00A11E56"/>
    <w:rsid w:val="00A12995"/>
    <w:rsid w:val="00A462DF"/>
    <w:rsid w:val="00A479CE"/>
    <w:rsid w:val="00A53F13"/>
    <w:rsid w:val="00A60D7B"/>
    <w:rsid w:val="00A651F7"/>
    <w:rsid w:val="00A66C47"/>
    <w:rsid w:val="00A67D74"/>
    <w:rsid w:val="00A7480F"/>
    <w:rsid w:val="00A76C13"/>
    <w:rsid w:val="00A80F3D"/>
    <w:rsid w:val="00A81B63"/>
    <w:rsid w:val="00A8261F"/>
    <w:rsid w:val="00A91B2C"/>
    <w:rsid w:val="00A925C4"/>
    <w:rsid w:val="00AA1152"/>
    <w:rsid w:val="00AA2875"/>
    <w:rsid w:val="00AA4E6A"/>
    <w:rsid w:val="00AA63CC"/>
    <w:rsid w:val="00AB20CA"/>
    <w:rsid w:val="00AB6B9D"/>
    <w:rsid w:val="00AC0F5B"/>
    <w:rsid w:val="00AC7026"/>
    <w:rsid w:val="00AD2AD3"/>
    <w:rsid w:val="00AD5015"/>
    <w:rsid w:val="00AD5668"/>
    <w:rsid w:val="00AE23AA"/>
    <w:rsid w:val="00AF01F1"/>
    <w:rsid w:val="00AF0864"/>
    <w:rsid w:val="00AF23F5"/>
    <w:rsid w:val="00AF5DF7"/>
    <w:rsid w:val="00B03C87"/>
    <w:rsid w:val="00B10D05"/>
    <w:rsid w:val="00B16358"/>
    <w:rsid w:val="00B22356"/>
    <w:rsid w:val="00B32ABA"/>
    <w:rsid w:val="00B348A7"/>
    <w:rsid w:val="00B35F8D"/>
    <w:rsid w:val="00B41C39"/>
    <w:rsid w:val="00B42EEB"/>
    <w:rsid w:val="00B4607F"/>
    <w:rsid w:val="00B47E23"/>
    <w:rsid w:val="00B52129"/>
    <w:rsid w:val="00B57056"/>
    <w:rsid w:val="00B60287"/>
    <w:rsid w:val="00B605A9"/>
    <w:rsid w:val="00B607BC"/>
    <w:rsid w:val="00B70550"/>
    <w:rsid w:val="00B713F9"/>
    <w:rsid w:val="00B74310"/>
    <w:rsid w:val="00B9031A"/>
    <w:rsid w:val="00BB5745"/>
    <w:rsid w:val="00BC1EEA"/>
    <w:rsid w:val="00BC416D"/>
    <w:rsid w:val="00BD1396"/>
    <w:rsid w:val="00BE3FE6"/>
    <w:rsid w:val="00BF4415"/>
    <w:rsid w:val="00BF6D22"/>
    <w:rsid w:val="00C04877"/>
    <w:rsid w:val="00C1167E"/>
    <w:rsid w:val="00C16583"/>
    <w:rsid w:val="00C17A24"/>
    <w:rsid w:val="00C275F0"/>
    <w:rsid w:val="00C32296"/>
    <w:rsid w:val="00C37561"/>
    <w:rsid w:val="00C52868"/>
    <w:rsid w:val="00C529BE"/>
    <w:rsid w:val="00C52EAA"/>
    <w:rsid w:val="00C57229"/>
    <w:rsid w:val="00C57979"/>
    <w:rsid w:val="00C63ABB"/>
    <w:rsid w:val="00C673D0"/>
    <w:rsid w:val="00C97299"/>
    <w:rsid w:val="00CA4A2E"/>
    <w:rsid w:val="00CB11B2"/>
    <w:rsid w:val="00CB15A8"/>
    <w:rsid w:val="00CD45A1"/>
    <w:rsid w:val="00CE0996"/>
    <w:rsid w:val="00CE42C8"/>
    <w:rsid w:val="00CE5086"/>
    <w:rsid w:val="00CF48B4"/>
    <w:rsid w:val="00D01AD0"/>
    <w:rsid w:val="00D03FD0"/>
    <w:rsid w:val="00D040F3"/>
    <w:rsid w:val="00D25202"/>
    <w:rsid w:val="00D40887"/>
    <w:rsid w:val="00D42072"/>
    <w:rsid w:val="00D42D89"/>
    <w:rsid w:val="00D55665"/>
    <w:rsid w:val="00D64024"/>
    <w:rsid w:val="00D646CB"/>
    <w:rsid w:val="00D71CA2"/>
    <w:rsid w:val="00D72CDB"/>
    <w:rsid w:val="00D825D2"/>
    <w:rsid w:val="00D835C4"/>
    <w:rsid w:val="00D84C36"/>
    <w:rsid w:val="00D91B48"/>
    <w:rsid w:val="00D9299B"/>
    <w:rsid w:val="00D93F00"/>
    <w:rsid w:val="00D95764"/>
    <w:rsid w:val="00DA1F02"/>
    <w:rsid w:val="00DB01DC"/>
    <w:rsid w:val="00DB1690"/>
    <w:rsid w:val="00DC21E3"/>
    <w:rsid w:val="00DC4585"/>
    <w:rsid w:val="00DC52BC"/>
    <w:rsid w:val="00DE2751"/>
    <w:rsid w:val="00DF1967"/>
    <w:rsid w:val="00DF296B"/>
    <w:rsid w:val="00E01105"/>
    <w:rsid w:val="00E07FB3"/>
    <w:rsid w:val="00E26DB5"/>
    <w:rsid w:val="00E26E3C"/>
    <w:rsid w:val="00E42B55"/>
    <w:rsid w:val="00E53EB4"/>
    <w:rsid w:val="00E559D5"/>
    <w:rsid w:val="00E576A9"/>
    <w:rsid w:val="00E65DDB"/>
    <w:rsid w:val="00E84162"/>
    <w:rsid w:val="00E8511F"/>
    <w:rsid w:val="00E855F9"/>
    <w:rsid w:val="00E85711"/>
    <w:rsid w:val="00E91E2F"/>
    <w:rsid w:val="00E9484E"/>
    <w:rsid w:val="00EA20DE"/>
    <w:rsid w:val="00EB7A17"/>
    <w:rsid w:val="00EC0979"/>
    <w:rsid w:val="00EC39F7"/>
    <w:rsid w:val="00EC3EE4"/>
    <w:rsid w:val="00EC7904"/>
    <w:rsid w:val="00EC7EE2"/>
    <w:rsid w:val="00ED186D"/>
    <w:rsid w:val="00ED18DD"/>
    <w:rsid w:val="00ED3D8D"/>
    <w:rsid w:val="00ED73FF"/>
    <w:rsid w:val="00EE3D2A"/>
    <w:rsid w:val="00EE661F"/>
    <w:rsid w:val="00EE6A91"/>
    <w:rsid w:val="00EE7ABF"/>
    <w:rsid w:val="00EF07B7"/>
    <w:rsid w:val="00EF3E29"/>
    <w:rsid w:val="00EF53F4"/>
    <w:rsid w:val="00EF62AC"/>
    <w:rsid w:val="00F00743"/>
    <w:rsid w:val="00F06C94"/>
    <w:rsid w:val="00F10139"/>
    <w:rsid w:val="00F130C1"/>
    <w:rsid w:val="00F17027"/>
    <w:rsid w:val="00F248E7"/>
    <w:rsid w:val="00F319D4"/>
    <w:rsid w:val="00F42F17"/>
    <w:rsid w:val="00F647D2"/>
    <w:rsid w:val="00F651C1"/>
    <w:rsid w:val="00F74B02"/>
    <w:rsid w:val="00F82606"/>
    <w:rsid w:val="00F912A0"/>
    <w:rsid w:val="00F96BEF"/>
    <w:rsid w:val="00F96DD0"/>
    <w:rsid w:val="00FA14A9"/>
    <w:rsid w:val="00FA4D58"/>
    <w:rsid w:val="00FB28A3"/>
    <w:rsid w:val="00FC4910"/>
    <w:rsid w:val="00FC69D5"/>
    <w:rsid w:val="00FC76B2"/>
    <w:rsid w:val="00FD0B92"/>
    <w:rsid w:val="00FD4EA4"/>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2997"/>
  <w15:chartTrackingRefBased/>
  <w15:docId w15:val="{288C618E-2BDC-DB4A-941E-5FDF2C0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03"/>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6727F9"/>
    <w:pPr>
      <w:spacing w:line="480" w:lineRule="auto"/>
      <w:outlineLvl w:val="3"/>
    </w:pPr>
    <w:rPr>
      <w:i/>
      <w:iCs/>
    </w:rPr>
  </w:style>
  <w:style w:type="paragraph" w:styleId="Heading5">
    <w:name w:val="heading 5"/>
    <w:basedOn w:val="Normal"/>
    <w:next w:val="Normal"/>
    <w:link w:val="Heading5Char"/>
    <w:uiPriority w:val="9"/>
    <w:semiHidden/>
    <w:unhideWhenUsed/>
    <w:qFormat/>
    <w:rsid w:val="00B713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7F9"/>
    <w:rPr>
      <w:rFonts w:ascii="Times New Roman" w:eastAsia="Times New Roman" w:hAnsi="Times New Roman" w:cs="Times New Roman"/>
      <w:i/>
      <w:iCs/>
    </w:rPr>
  </w:style>
  <w:style w:type="character" w:customStyle="1" w:styleId="Heading5Char">
    <w:name w:val="Heading 5 Char"/>
    <w:basedOn w:val="DefaultParagraphFont"/>
    <w:link w:val="Heading5"/>
    <w:uiPriority w:val="9"/>
    <w:semiHidden/>
    <w:rsid w:val="00B713F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9C6865"/>
    <w:rPr>
      <w:sz w:val="16"/>
      <w:szCs w:val="16"/>
    </w:rPr>
  </w:style>
  <w:style w:type="paragraph" w:styleId="CommentText">
    <w:name w:val="annotation text"/>
    <w:basedOn w:val="Normal"/>
    <w:link w:val="CommentTextChar"/>
    <w:uiPriority w:val="99"/>
    <w:unhideWhenUsed/>
    <w:rsid w:val="009C6865"/>
    <w:rPr>
      <w:sz w:val="20"/>
      <w:szCs w:val="20"/>
    </w:rPr>
  </w:style>
  <w:style w:type="character" w:customStyle="1" w:styleId="CommentTextChar">
    <w:name w:val="Comment Text Char"/>
    <w:basedOn w:val="DefaultParagraphFont"/>
    <w:link w:val="CommentText"/>
    <w:uiPriority w:val="99"/>
    <w:rsid w:val="009C6865"/>
    <w:rPr>
      <w:sz w:val="20"/>
      <w:szCs w:val="20"/>
    </w:rPr>
  </w:style>
  <w:style w:type="paragraph" w:styleId="CommentSubject">
    <w:name w:val="annotation subject"/>
    <w:basedOn w:val="CommentText"/>
    <w:next w:val="CommentText"/>
    <w:link w:val="CommentSubjectChar"/>
    <w:uiPriority w:val="99"/>
    <w:semiHidden/>
    <w:unhideWhenUsed/>
    <w:rsid w:val="009C6865"/>
    <w:rPr>
      <w:b/>
      <w:bCs/>
    </w:rPr>
  </w:style>
  <w:style w:type="character" w:customStyle="1" w:styleId="CommentSubjectChar">
    <w:name w:val="Comment Subject Char"/>
    <w:basedOn w:val="CommentTextChar"/>
    <w:link w:val="CommentSubject"/>
    <w:uiPriority w:val="99"/>
    <w:semiHidden/>
    <w:rsid w:val="009C6865"/>
    <w:rPr>
      <w:b/>
      <w:bCs/>
      <w:sz w:val="20"/>
      <w:szCs w:val="20"/>
    </w:rPr>
  </w:style>
  <w:style w:type="paragraph" w:styleId="BalloonText">
    <w:name w:val="Balloon Text"/>
    <w:basedOn w:val="Normal"/>
    <w:link w:val="BalloonTextChar"/>
    <w:uiPriority w:val="99"/>
    <w:semiHidden/>
    <w:unhideWhenUsed/>
    <w:rsid w:val="00284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AC"/>
    <w:rPr>
      <w:rFonts w:ascii="Segoe UI" w:hAnsi="Segoe UI" w:cs="Segoe UI"/>
      <w:sz w:val="18"/>
      <w:szCs w:val="18"/>
    </w:rPr>
  </w:style>
  <w:style w:type="paragraph" w:styleId="Bibliography">
    <w:name w:val="Bibliography"/>
    <w:basedOn w:val="Normal"/>
    <w:next w:val="Normal"/>
    <w:uiPriority w:val="37"/>
    <w:unhideWhenUsed/>
    <w:rsid w:val="00D25202"/>
  </w:style>
  <w:style w:type="paragraph" w:styleId="ListParagraph">
    <w:name w:val="List Paragraph"/>
    <w:basedOn w:val="Normal"/>
    <w:uiPriority w:val="34"/>
    <w:qFormat/>
    <w:rsid w:val="00183906"/>
    <w:pPr>
      <w:ind w:left="720"/>
      <w:contextualSpacing/>
    </w:pPr>
    <w:rPr>
      <w:lang w:eastAsia="ja-JP"/>
    </w:rPr>
  </w:style>
  <w:style w:type="character" w:customStyle="1" w:styleId="apple-converted-space">
    <w:name w:val="apple-converted-space"/>
    <w:basedOn w:val="DefaultParagraphFont"/>
    <w:rsid w:val="00202EC0"/>
  </w:style>
  <w:style w:type="character" w:styleId="Hyperlink">
    <w:name w:val="Hyperlink"/>
    <w:basedOn w:val="DefaultParagraphFont"/>
    <w:uiPriority w:val="99"/>
    <w:unhideWhenUsed/>
    <w:rsid w:val="00202EC0"/>
    <w:rPr>
      <w:color w:val="0563C1" w:themeColor="hyperlink"/>
      <w:u w:val="single"/>
    </w:rPr>
  </w:style>
  <w:style w:type="character" w:styleId="UnresolvedMention">
    <w:name w:val="Unresolved Mention"/>
    <w:basedOn w:val="DefaultParagraphFont"/>
    <w:uiPriority w:val="99"/>
    <w:semiHidden/>
    <w:unhideWhenUsed/>
    <w:rsid w:val="00202EC0"/>
    <w:rPr>
      <w:color w:val="605E5C"/>
      <w:shd w:val="clear" w:color="auto" w:fill="E1DFDD"/>
    </w:rPr>
  </w:style>
  <w:style w:type="paragraph" w:customStyle="1" w:styleId="EndNoteBibliography">
    <w:name w:val="EndNote Bibliography"/>
    <w:basedOn w:val="Normal"/>
    <w:link w:val="EndNoteBibliographyChar"/>
    <w:rsid w:val="00202EC0"/>
    <w:rPr>
      <w:rFonts w:ascii="Calibri" w:hAnsi="Calibri" w:cs="Calibri"/>
    </w:rPr>
  </w:style>
  <w:style w:type="character" w:customStyle="1" w:styleId="EndNoteBibliographyChar">
    <w:name w:val="EndNote Bibliography Char"/>
    <w:basedOn w:val="DefaultParagraphFont"/>
    <w:link w:val="EndNoteBibliography"/>
    <w:rsid w:val="00202EC0"/>
    <w:rPr>
      <w:rFonts w:ascii="Calibri" w:eastAsia="Times New Roman" w:hAnsi="Calibri" w:cs="Calibri"/>
    </w:rPr>
  </w:style>
  <w:style w:type="paragraph" w:styleId="Header">
    <w:name w:val="header"/>
    <w:basedOn w:val="Normal"/>
    <w:link w:val="HeaderChar"/>
    <w:uiPriority w:val="99"/>
    <w:unhideWhenUsed/>
    <w:rsid w:val="00417346"/>
    <w:pPr>
      <w:tabs>
        <w:tab w:val="center" w:pos="4680"/>
        <w:tab w:val="right" w:pos="9360"/>
      </w:tabs>
    </w:pPr>
  </w:style>
  <w:style w:type="character" w:customStyle="1" w:styleId="HeaderChar">
    <w:name w:val="Header Char"/>
    <w:basedOn w:val="DefaultParagraphFont"/>
    <w:link w:val="Header"/>
    <w:uiPriority w:val="99"/>
    <w:rsid w:val="00417346"/>
    <w:rPr>
      <w:rFonts w:ascii="Times New Roman" w:eastAsia="Times New Roman" w:hAnsi="Times New Roman" w:cs="Times New Roman"/>
    </w:rPr>
  </w:style>
  <w:style w:type="paragraph" w:styleId="Footer">
    <w:name w:val="footer"/>
    <w:basedOn w:val="Normal"/>
    <w:link w:val="FooterChar"/>
    <w:uiPriority w:val="99"/>
    <w:unhideWhenUsed/>
    <w:rsid w:val="00417346"/>
    <w:pPr>
      <w:tabs>
        <w:tab w:val="center" w:pos="4680"/>
        <w:tab w:val="right" w:pos="9360"/>
      </w:tabs>
    </w:pPr>
  </w:style>
  <w:style w:type="character" w:customStyle="1" w:styleId="FooterChar">
    <w:name w:val="Footer Char"/>
    <w:basedOn w:val="DefaultParagraphFont"/>
    <w:link w:val="Footer"/>
    <w:uiPriority w:val="99"/>
    <w:rsid w:val="00417346"/>
    <w:rPr>
      <w:rFonts w:ascii="Times New Roman" w:eastAsia="Times New Roman" w:hAnsi="Times New Roman" w:cs="Times New Roman"/>
    </w:rPr>
  </w:style>
  <w:style w:type="character" w:styleId="PageNumber">
    <w:name w:val="page number"/>
    <w:basedOn w:val="DefaultParagraphFont"/>
    <w:uiPriority w:val="99"/>
    <w:semiHidden/>
    <w:unhideWhenUsed/>
    <w:rsid w:val="008B4A0A"/>
  </w:style>
  <w:style w:type="paragraph" w:styleId="Revision">
    <w:name w:val="Revision"/>
    <w:hidden/>
    <w:uiPriority w:val="99"/>
    <w:semiHidden/>
    <w:rsid w:val="00E857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2161">
      <w:bodyDiv w:val="1"/>
      <w:marLeft w:val="0"/>
      <w:marRight w:val="0"/>
      <w:marTop w:val="0"/>
      <w:marBottom w:val="0"/>
      <w:divBdr>
        <w:top w:val="none" w:sz="0" w:space="0" w:color="auto"/>
        <w:left w:val="none" w:sz="0" w:space="0" w:color="auto"/>
        <w:bottom w:val="none" w:sz="0" w:space="0" w:color="auto"/>
        <w:right w:val="none" w:sz="0" w:space="0" w:color="auto"/>
      </w:divBdr>
    </w:div>
    <w:div w:id="219369284">
      <w:bodyDiv w:val="1"/>
      <w:marLeft w:val="0"/>
      <w:marRight w:val="0"/>
      <w:marTop w:val="0"/>
      <w:marBottom w:val="0"/>
      <w:divBdr>
        <w:top w:val="none" w:sz="0" w:space="0" w:color="auto"/>
        <w:left w:val="none" w:sz="0" w:space="0" w:color="auto"/>
        <w:bottom w:val="none" w:sz="0" w:space="0" w:color="auto"/>
        <w:right w:val="none" w:sz="0" w:space="0" w:color="auto"/>
      </w:divBdr>
    </w:div>
    <w:div w:id="389504073">
      <w:bodyDiv w:val="1"/>
      <w:marLeft w:val="0"/>
      <w:marRight w:val="0"/>
      <w:marTop w:val="0"/>
      <w:marBottom w:val="0"/>
      <w:divBdr>
        <w:top w:val="none" w:sz="0" w:space="0" w:color="auto"/>
        <w:left w:val="none" w:sz="0" w:space="0" w:color="auto"/>
        <w:bottom w:val="none" w:sz="0" w:space="0" w:color="auto"/>
        <w:right w:val="none" w:sz="0" w:space="0" w:color="auto"/>
      </w:divBdr>
    </w:div>
    <w:div w:id="427580346">
      <w:bodyDiv w:val="1"/>
      <w:marLeft w:val="0"/>
      <w:marRight w:val="0"/>
      <w:marTop w:val="0"/>
      <w:marBottom w:val="0"/>
      <w:divBdr>
        <w:top w:val="none" w:sz="0" w:space="0" w:color="auto"/>
        <w:left w:val="none" w:sz="0" w:space="0" w:color="auto"/>
        <w:bottom w:val="none" w:sz="0" w:space="0" w:color="auto"/>
        <w:right w:val="none" w:sz="0" w:space="0" w:color="auto"/>
      </w:divBdr>
    </w:div>
    <w:div w:id="539126713">
      <w:bodyDiv w:val="1"/>
      <w:marLeft w:val="0"/>
      <w:marRight w:val="0"/>
      <w:marTop w:val="0"/>
      <w:marBottom w:val="0"/>
      <w:divBdr>
        <w:top w:val="none" w:sz="0" w:space="0" w:color="auto"/>
        <w:left w:val="none" w:sz="0" w:space="0" w:color="auto"/>
        <w:bottom w:val="none" w:sz="0" w:space="0" w:color="auto"/>
        <w:right w:val="none" w:sz="0" w:space="0" w:color="auto"/>
      </w:divBdr>
      <w:divsChild>
        <w:div w:id="1096906057">
          <w:marLeft w:val="0"/>
          <w:marRight w:val="0"/>
          <w:marTop w:val="0"/>
          <w:marBottom w:val="0"/>
          <w:divBdr>
            <w:top w:val="none" w:sz="0" w:space="0" w:color="auto"/>
            <w:left w:val="none" w:sz="0" w:space="0" w:color="auto"/>
            <w:bottom w:val="none" w:sz="0" w:space="0" w:color="auto"/>
            <w:right w:val="none" w:sz="0" w:space="0" w:color="auto"/>
          </w:divBdr>
        </w:div>
      </w:divsChild>
    </w:div>
    <w:div w:id="577323884">
      <w:bodyDiv w:val="1"/>
      <w:marLeft w:val="0"/>
      <w:marRight w:val="0"/>
      <w:marTop w:val="0"/>
      <w:marBottom w:val="0"/>
      <w:divBdr>
        <w:top w:val="none" w:sz="0" w:space="0" w:color="auto"/>
        <w:left w:val="none" w:sz="0" w:space="0" w:color="auto"/>
        <w:bottom w:val="none" w:sz="0" w:space="0" w:color="auto"/>
        <w:right w:val="none" w:sz="0" w:space="0" w:color="auto"/>
      </w:divBdr>
    </w:div>
    <w:div w:id="706637459">
      <w:bodyDiv w:val="1"/>
      <w:marLeft w:val="0"/>
      <w:marRight w:val="0"/>
      <w:marTop w:val="0"/>
      <w:marBottom w:val="0"/>
      <w:divBdr>
        <w:top w:val="none" w:sz="0" w:space="0" w:color="auto"/>
        <w:left w:val="none" w:sz="0" w:space="0" w:color="auto"/>
        <w:bottom w:val="none" w:sz="0" w:space="0" w:color="auto"/>
        <w:right w:val="none" w:sz="0" w:space="0" w:color="auto"/>
      </w:divBdr>
    </w:div>
    <w:div w:id="806050323">
      <w:bodyDiv w:val="1"/>
      <w:marLeft w:val="0"/>
      <w:marRight w:val="0"/>
      <w:marTop w:val="0"/>
      <w:marBottom w:val="0"/>
      <w:divBdr>
        <w:top w:val="none" w:sz="0" w:space="0" w:color="auto"/>
        <w:left w:val="none" w:sz="0" w:space="0" w:color="auto"/>
        <w:bottom w:val="none" w:sz="0" w:space="0" w:color="auto"/>
        <w:right w:val="none" w:sz="0" w:space="0" w:color="auto"/>
      </w:divBdr>
    </w:div>
    <w:div w:id="939683048">
      <w:bodyDiv w:val="1"/>
      <w:marLeft w:val="0"/>
      <w:marRight w:val="0"/>
      <w:marTop w:val="0"/>
      <w:marBottom w:val="0"/>
      <w:divBdr>
        <w:top w:val="none" w:sz="0" w:space="0" w:color="auto"/>
        <w:left w:val="none" w:sz="0" w:space="0" w:color="auto"/>
        <w:bottom w:val="none" w:sz="0" w:space="0" w:color="auto"/>
        <w:right w:val="none" w:sz="0" w:space="0" w:color="auto"/>
      </w:divBdr>
    </w:div>
    <w:div w:id="1109198486">
      <w:bodyDiv w:val="1"/>
      <w:marLeft w:val="0"/>
      <w:marRight w:val="0"/>
      <w:marTop w:val="0"/>
      <w:marBottom w:val="0"/>
      <w:divBdr>
        <w:top w:val="none" w:sz="0" w:space="0" w:color="auto"/>
        <w:left w:val="none" w:sz="0" w:space="0" w:color="auto"/>
        <w:bottom w:val="none" w:sz="0" w:space="0" w:color="auto"/>
        <w:right w:val="none" w:sz="0" w:space="0" w:color="auto"/>
      </w:divBdr>
    </w:div>
    <w:div w:id="1220093361">
      <w:bodyDiv w:val="1"/>
      <w:marLeft w:val="0"/>
      <w:marRight w:val="0"/>
      <w:marTop w:val="0"/>
      <w:marBottom w:val="0"/>
      <w:divBdr>
        <w:top w:val="none" w:sz="0" w:space="0" w:color="auto"/>
        <w:left w:val="none" w:sz="0" w:space="0" w:color="auto"/>
        <w:bottom w:val="none" w:sz="0" w:space="0" w:color="auto"/>
        <w:right w:val="none" w:sz="0" w:space="0" w:color="auto"/>
      </w:divBdr>
    </w:div>
    <w:div w:id="1871331440">
      <w:bodyDiv w:val="1"/>
      <w:marLeft w:val="0"/>
      <w:marRight w:val="0"/>
      <w:marTop w:val="0"/>
      <w:marBottom w:val="0"/>
      <w:divBdr>
        <w:top w:val="none" w:sz="0" w:space="0" w:color="auto"/>
        <w:left w:val="none" w:sz="0" w:space="0" w:color="auto"/>
        <w:bottom w:val="none" w:sz="0" w:space="0" w:color="auto"/>
        <w:right w:val="none" w:sz="0" w:space="0" w:color="auto"/>
      </w:divBdr>
    </w:div>
    <w:div w:id="1958876785">
      <w:bodyDiv w:val="1"/>
      <w:marLeft w:val="0"/>
      <w:marRight w:val="0"/>
      <w:marTop w:val="0"/>
      <w:marBottom w:val="0"/>
      <w:divBdr>
        <w:top w:val="none" w:sz="0" w:space="0" w:color="auto"/>
        <w:left w:val="none" w:sz="0" w:space="0" w:color="auto"/>
        <w:bottom w:val="none" w:sz="0" w:space="0" w:color="auto"/>
        <w:right w:val="none" w:sz="0" w:space="0" w:color="auto"/>
      </w:divBdr>
    </w:div>
    <w:div w:id="1993867791">
      <w:bodyDiv w:val="1"/>
      <w:marLeft w:val="0"/>
      <w:marRight w:val="0"/>
      <w:marTop w:val="0"/>
      <w:marBottom w:val="0"/>
      <w:divBdr>
        <w:top w:val="none" w:sz="0" w:space="0" w:color="auto"/>
        <w:left w:val="none" w:sz="0" w:space="0" w:color="auto"/>
        <w:bottom w:val="none" w:sz="0" w:space="0" w:color="auto"/>
        <w:right w:val="none" w:sz="0" w:space="0" w:color="auto"/>
      </w:divBdr>
    </w:div>
    <w:div w:id="2025553645">
      <w:bodyDiv w:val="1"/>
      <w:marLeft w:val="0"/>
      <w:marRight w:val="0"/>
      <w:marTop w:val="0"/>
      <w:marBottom w:val="0"/>
      <w:divBdr>
        <w:top w:val="none" w:sz="0" w:space="0" w:color="auto"/>
        <w:left w:val="none" w:sz="0" w:space="0" w:color="auto"/>
        <w:bottom w:val="none" w:sz="0" w:space="0" w:color="auto"/>
        <w:right w:val="none" w:sz="0" w:space="0" w:color="auto"/>
      </w:divBdr>
    </w:div>
    <w:div w:id="2108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a.org/documents/ncha/NCHA-II_SPRING_2019_US_REFERENCE_GROUP_DATA_REPORT.pdf" TargetMode="External"/><Relationship Id="rId13" Type="http://schemas.openxmlformats.org/officeDocument/2006/relationships/hyperlink" Target="https://doi.org/10.1007/s10608-020-10114-3" TargetMode="External"/><Relationship Id="rId18" Type="http://schemas.openxmlformats.org/officeDocument/2006/relationships/hyperlink" Target="https://doi.org/10.1002/jclp.226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17/s0033291715000665" TargetMode="External"/><Relationship Id="rId17" Type="http://schemas.openxmlformats.org/officeDocument/2006/relationships/hyperlink" Target="https://doi.org/10.14349/rlp.2018.v50.n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37/a0033100" TargetMode="External"/><Relationship Id="rId20" Type="http://schemas.openxmlformats.org/officeDocument/2006/relationships/hyperlink" Target="https://doi.org/10.1002/wps.202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bs.2020.09.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0005-7967(94)00075-u" TargetMode="External"/><Relationship Id="rId23" Type="http://schemas.openxmlformats.org/officeDocument/2006/relationships/image" Target="media/image1.png"/><Relationship Id="rId10" Type="http://schemas.openxmlformats.org/officeDocument/2006/relationships/hyperlink" Target="https://doi.org/10.1016/j.jad.2014.10.054" TargetMode="External"/><Relationship Id="rId19" Type="http://schemas.openxmlformats.org/officeDocument/2006/relationships/hyperlink" Target="https://doi.org/10.1037/a0032031" TargetMode="External"/><Relationship Id="rId4" Type="http://schemas.openxmlformats.org/officeDocument/2006/relationships/settings" Target="settings.xml"/><Relationship Id="rId9" Type="http://schemas.openxmlformats.org/officeDocument/2006/relationships/hyperlink" Target="https://www.aucccd.org/assets/documents/Survey/2019%20AUCCCD%20Survey-2020-05-31-PUBLIC.pdf" TargetMode="External"/><Relationship Id="rId14" Type="http://schemas.openxmlformats.org/officeDocument/2006/relationships/hyperlink" Target="https://doi.org/10.1007/s12671-020-01344-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F2BD-2DEA-4C38-9B71-28E9F437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Davis</dc:creator>
  <cp:keywords/>
  <dc:description/>
  <cp:lastModifiedBy>Carter Davis</cp:lastModifiedBy>
  <cp:revision>9</cp:revision>
  <dcterms:created xsi:type="dcterms:W3CDTF">2022-10-23T20:17:00Z</dcterms:created>
  <dcterms:modified xsi:type="dcterms:W3CDTF">2022-10-24T17:23:00Z</dcterms:modified>
</cp:coreProperties>
</file>