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7C7B" w14:textId="77777777" w:rsidR="00015B57" w:rsidRDefault="00015B57" w:rsidP="00015B57">
      <w:pPr>
        <w:spacing w:line="480" w:lineRule="auto"/>
        <w:jc w:val="center"/>
      </w:pPr>
      <w:bookmarkStart w:id="0" w:name="_GoBack"/>
      <w:bookmarkEnd w:id="0"/>
    </w:p>
    <w:p w14:paraId="7791787C" w14:textId="77777777" w:rsidR="00015B57" w:rsidRDefault="00015B57" w:rsidP="00015B57">
      <w:pPr>
        <w:spacing w:line="480" w:lineRule="auto"/>
        <w:jc w:val="center"/>
      </w:pPr>
    </w:p>
    <w:p w14:paraId="22C82C5A" w14:textId="77777777" w:rsidR="00015B57" w:rsidRDefault="00015B57" w:rsidP="00015B57">
      <w:pPr>
        <w:spacing w:line="480" w:lineRule="auto"/>
        <w:jc w:val="center"/>
      </w:pPr>
    </w:p>
    <w:p w14:paraId="745A438C" w14:textId="77777777" w:rsidR="00015B57" w:rsidRDefault="00015B57" w:rsidP="00015B57">
      <w:pPr>
        <w:spacing w:line="480" w:lineRule="auto"/>
        <w:jc w:val="center"/>
      </w:pPr>
    </w:p>
    <w:p w14:paraId="45DE3D4E" w14:textId="77777777" w:rsidR="00015B57" w:rsidRDefault="00015B57" w:rsidP="00015B57">
      <w:pPr>
        <w:spacing w:line="480" w:lineRule="auto"/>
        <w:jc w:val="center"/>
      </w:pPr>
    </w:p>
    <w:p w14:paraId="79E2C574" w14:textId="77777777" w:rsidR="00015B57" w:rsidRDefault="00015B57" w:rsidP="00015B57">
      <w:pPr>
        <w:spacing w:line="480" w:lineRule="auto"/>
        <w:jc w:val="center"/>
      </w:pPr>
    </w:p>
    <w:p w14:paraId="0BBDF778" w14:textId="77777777" w:rsidR="00015B57" w:rsidRDefault="00015B57" w:rsidP="00015B57">
      <w:pPr>
        <w:spacing w:line="480" w:lineRule="auto"/>
        <w:jc w:val="center"/>
      </w:pPr>
    </w:p>
    <w:p w14:paraId="11CB61AE" w14:textId="77777777" w:rsidR="00015B57" w:rsidRDefault="00015B57" w:rsidP="00015B57">
      <w:pPr>
        <w:spacing w:line="480" w:lineRule="auto"/>
        <w:jc w:val="center"/>
      </w:pPr>
    </w:p>
    <w:p w14:paraId="1BAA90CB" w14:textId="77777777" w:rsidR="00015B57" w:rsidRDefault="00015B57" w:rsidP="00015B57">
      <w:pPr>
        <w:spacing w:line="480" w:lineRule="auto"/>
        <w:jc w:val="center"/>
      </w:pPr>
      <w:r>
        <w:t xml:space="preserve">Comparing cognitive </w:t>
      </w:r>
      <w:r w:rsidRPr="00FE21E4">
        <w:t>fusion and</w:t>
      </w:r>
      <w:r>
        <w:t xml:space="preserve"> cognitive</w:t>
      </w:r>
      <w:r w:rsidRPr="00FE21E4">
        <w:t xml:space="preserve"> reappraisal</w:t>
      </w:r>
      <w:r>
        <w:t xml:space="preserve"> as predictors of</w:t>
      </w:r>
      <w:r w:rsidRPr="00FE21E4">
        <w:t xml:space="preserve"> college student mental health</w:t>
      </w:r>
    </w:p>
    <w:p w14:paraId="7DB6AAF4" w14:textId="7AAD5B1E" w:rsidR="00534728" w:rsidRDefault="00534728" w:rsidP="00534728">
      <w:pPr>
        <w:spacing w:line="480" w:lineRule="auto"/>
        <w:jc w:val="center"/>
      </w:pPr>
      <w:r>
        <w:t xml:space="preserve">Jennifer </w:t>
      </w:r>
      <w:proofErr w:type="spellStart"/>
      <w:r>
        <w:t>Krafft</w:t>
      </w:r>
      <w:r w:rsidRPr="003130C9">
        <w:rPr>
          <w:vertAlign w:val="superscript"/>
        </w:rPr>
        <w:t>a</w:t>
      </w:r>
      <w:proofErr w:type="spellEnd"/>
    </w:p>
    <w:p w14:paraId="63C95205" w14:textId="77777777" w:rsidR="00534728" w:rsidRDefault="00534728" w:rsidP="00534728">
      <w:pPr>
        <w:spacing w:line="480" w:lineRule="auto"/>
        <w:jc w:val="center"/>
      </w:pPr>
      <w:r>
        <w:t xml:space="preserve">Jack </w:t>
      </w:r>
      <w:proofErr w:type="spellStart"/>
      <w:r>
        <w:t>Haeger</w:t>
      </w:r>
      <w:r w:rsidRPr="003130C9">
        <w:rPr>
          <w:vertAlign w:val="superscript"/>
        </w:rPr>
        <w:t>a</w:t>
      </w:r>
      <w:proofErr w:type="spellEnd"/>
    </w:p>
    <w:p w14:paraId="3D5C671A" w14:textId="77777777" w:rsidR="00534728" w:rsidRDefault="00534728" w:rsidP="00534728">
      <w:pPr>
        <w:spacing w:line="480" w:lineRule="auto"/>
        <w:jc w:val="center"/>
      </w:pPr>
      <w:r>
        <w:t xml:space="preserve">Michael E. </w:t>
      </w:r>
      <w:proofErr w:type="spellStart"/>
      <w:r>
        <w:t>Levin</w:t>
      </w:r>
      <w:r w:rsidRPr="003130C9">
        <w:rPr>
          <w:vertAlign w:val="superscript"/>
        </w:rPr>
        <w:t>a</w:t>
      </w:r>
      <w:proofErr w:type="spellEnd"/>
    </w:p>
    <w:p w14:paraId="1CEC2FC2" w14:textId="77777777" w:rsidR="00534728" w:rsidRDefault="00534728" w:rsidP="00534728">
      <w:pPr>
        <w:spacing w:line="480" w:lineRule="auto"/>
        <w:jc w:val="center"/>
      </w:pPr>
      <w:r>
        <w:t>Utah State University</w:t>
      </w:r>
    </w:p>
    <w:p w14:paraId="2BF0DAC1" w14:textId="77777777" w:rsidR="00534728" w:rsidRDefault="00534728" w:rsidP="00534728">
      <w:pPr>
        <w:spacing w:line="480" w:lineRule="auto"/>
      </w:pPr>
    </w:p>
    <w:p w14:paraId="5204D735" w14:textId="77777777" w:rsidR="00534728" w:rsidRDefault="00534728" w:rsidP="00534728">
      <w:pPr>
        <w:spacing w:line="480" w:lineRule="auto"/>
      </w:pPr>
    </w:p>
    <w:p w14:paraId="1EC0F5D5" w14:textId="77777777" w:rsidR="00534728" w:rsidRDefault="00534728" w:rsidP="00534728">
      <w:pPr>
        <w:spacing w:line="480" w:lineRule="auto"/>
        <w:jc w:val="center"/>
      </w:pPr>
      <w:r>
        <w:t>Author Note</w:t>
      </w:r>
    </w:p>
    <w:p w14:paraId="6BA39D3B" w14:textId="77777777" w:rsidR="00534728" w:rsidRPr="003130C9" w:rsidRDefault="00534728" w:rsidP="00534728">
      <w:pPr>
        <w:spacing w:line="480" w:lineRule="auto"/>
        <w:rPr>
          <w:szCs w:val="20"/>
        </w:rPr>
      </w:pPr>
      <w:r w:rsidRPr="003130C9">
        <w:rPr>
          <w:vertAlign w:val="superscript"/>
        </w:rPr>
        <w:t>a</w:t>
      </w:r>
      <w:r w:rsidRPr="003130C9">
        <w:t>2810 Old Main Hill, Department of Psychology, Utah State University, Logan UT</w:t>
      </w:r>
    </w:p>
    <w:p w14:paraId="7ED3CAC1" w14:textId="77777777" w:rsidR="00534728" w:rsidRDefault="00534728" w:rsidP="00534728">
      <w:pPr>
        <w:spacing w:line="480" w:lineRule="auto"/>
        <w:ind w:firstLine="720"/>
      </w:pPr>
      <w:r>
        <w:t xml:space="preserve">Correspondence concerning this article should be addressed to Jennifer Krafft, </w:t>
      </w:r>
      <w:r w:rsidRPr="003130C9">
        <w:t>2810 Old Main Hill, Department of Psychology, Utah State University, Logan UT</w:t>
      </w:r>
      <w:r>
        <w:t xml:space="preserve"> 84322.</w:t>
      </w:r>
    </w:p>
    <w:p w14:paraId="1E1644BA" w14:textId="6B34532B" w:rsidR="00534728" w:rsidRDefault="00534728" w:rsidP="00534728">
      <w:pPr>
        <w:spacing w:line="480" w:lineRule="auto"/>
      </w:pPr>
      <w:r>
        <w:t>Jennifer Krafft: jennifer.krafft@aggiemail.usu.edu</w:t>
      </w:r>
    </w:p>
    <w:p w14:paraId="57575BBA" w14:textId="516798BF" w:rsidR="00534728" w:rsidRDefault="00534728" w:rsidP="00534728">
      <w:pPr>
        <w:spacing w:line="480" w:lineRule="auto"/>
      </w:pPr>
      <w:r>
        <w:t xml:space="preserve">Jack </w:t>
      </w:r>
      <w:proofErr w:type="spellStart"/>
      <w:r>
        <w:t>Haeger</w:t>
      </w:r>
      <w:proofErr w:type="spellEnd"/>
      <w:r>
        <w:t xml:space="preserve">, M.S.: </w:t>
      </w:r>
      <w:r w:rsidRPr="005577A1">
        <w:t>jack.haeger@aggiemail.usu.edu</w:t>
      </w:r>
    </w:p>
    <w:p w14:paraId="0FC9BBAE" w14:textId="722BA764" w:rsidR="00015B57" w:rsidRDefault="00534728" w:rsidP="00534728">
      <w:pPr>
        <w:spacing w:line="480" w:lineRule="auto"/>
      </w:pPr>
      <w:r>
        <w:t xml:space="preserve">Michael E. Levin, Ph.D.: </w:t>
      </w:r>
      <w:r w:rsidRPr="00706445">
        <w:t>Michael.Levin@usu.edu</w:t>
      </w:r>
    </w:p>
    <w:p w14:paraId="2F830734" w14:textId="0D51A23D" w:rsidR="00E708F3" w:rsidRDefault="00E708F3" w:rsidP="00C2695A">
      <w:pPr>
        <w:spacing w:line="480" w:lineRule="auto"/>
        <w:jc w:val="center"/>
        <w:outlineLvl w:val="0"/>
      </w:pPr>
      <w:r>
        <w:lastRenderedPageBreak/>
        <w:t>Abstract</w:t>
      </w:r>
    </w:p>
    <w:p w14:paraId="216EBB91" w14:textId="46F096FA" w:rsidR="00F37E04" w:rsidRPr="0035590A" w:rsidRDefault="00C2695A" w:rsidP="00C2695A">
      <w:pPr>
        <w:spacing w:line="480" w:lineRule="auto"/>
      </w:pPr>
      <w:proofErr w:type="spellStart"/>
      <w:r>
        <w:t>Transdiagnostic</w:t>
      </w:r>
      <w:proofErr w:type="spellEnd"/>
      <w:r>
        <w:t xml:space="preserve"> cognitive behavioral interventions target different cognitive processes to promote mental health, including cognitive fusion and cognitive reappraisal. Determining the relative impact of </w:t>
      </w:r>
      <w:r w:rsidR="00893187">
        <w:t xml:space="preserve">cognitive </w:t>
      </w:r>
      <w:r>
        <w:t>fusion and reappraisal</w:t>
      </w:r>
      <w:r w:rsidR="00893187">
        <w:t xml:space="preserve"> on a range of student mental health concerns</w:t>
      </w:r>
      <w:r>
        <w:t xml:space="preserve"> could help interventions target psychopathological cognitive processes more effectively. </w:t>
      </w:r>
      <w:proofErr w:type="gramStart"/>
      <w:r w:rsidR="005921E6">
        <w:t>Therefore</w:t>
      </w:r>
      <w:proofErr w:type="gramEnd"/>
      <w:r w:rsidR="005921E6">
        <w:t xml:space="preserve"> t</w:t>
      </w:r>
      <w:r>
        <w:t>his study examined the longitudinal impact of cognitive fusion and reappraisal on mental health and functioning outcomes</w:t>
      </w:r>
      <w:r w:rsidR="004C2B01">
        <w:t>.</w:t>
      </w:r>
      <w:r w:rsidR="005921E6">
        <w:t xml:space="preserve"> </w:t>
      </w:r>
      <w:r w:rsidR="004C2B01">
        <w:t>A</w:t>
      </w:r>
      <w:r w:rsidR="0035590A">
        <w:t xml:space="preserve"> series of hierarchical regression models</w:t>
      </w:r>
      <w:r w:rsidR="004C2B01">
        <w:t xml:space="preserve"> tested the effects of cognitive fusion and reappraisal in a sample of college students (</w:t>
      </w:r>
      <w:r w:rsidR="004C2B01">
        <w:rPr>
          <w:i/>
        </w:rPr>
        <w:t>n</w:t>
      </w:r>
      <w:r w:rsidR="004C2B01">
        <w:t xml:space="preserve"> = 339).</w:t>
      </w:r>
      <w:r w:rsidR="0035590A">
        <w:t xml:space="preserve"> When controlling for reappraisal and baseline symptoms, fusion predicted distress, depression, generalized anxiety, social anxiety, hostility, academic distress, and student role problems</w:t>
      </w:r>
      <w:r w:rsidR="005921E6">
        <w:t xml:space="preserve"> one</w:t>
      </w:r>
      <w:r w:rsidR="00D133F7">
        <w:t xml:space="preserve"> </w:t>
      </w:r>
      <w:r w:rsidR="00893187">
        <w:t>month later</w:t>
      </w:r>
      <w:r w:rsidR="0035590A">
        <w:t xml:space="preserve">. Reappraisal predicted only student role problems longitudinally when controlling for fusion. </w:t>
      </w:r>
      <w:r w:rsidR="005921E6">
        <w:t xml:space="preserve"> </w:t>
      </w:r>
      <w:r w:rsidR="00893187">
        <w:t xml:space="preserve">These results suggest that cognitive fusion is a stronger predictor than reappraisal for a range of student mental health concerns and may be a particularly important target for improving student mental health. </w:t>
      </w:r>
    </w:p>
    <w:p w14:paraId="2EC754CD" w14:textId="6443039E" w:rsidR="008B7B43" w:rsidRDefault="00C2695A" w:rsidP="00C2695A">
      <w:pPr>
        <w:spacing w:line="480" w:lineRule="auto"/>
      </w:pPr>
      <w:r>
        <w:tab/>
      </w:r>
      <w:r w:rsidR="00F70017" w:rsidRPr="00C2695A">
        <w:rPr>
          <w:i/>
        </w:rPr>
        <w:t>Keywords</w:t>
      </w:r>
      <w:r w:rsidR="003E54BD">
        <w:t xml:space="preserve">: </w:t>
      </w:r>
      <w:proofErr w:type="spellStart"/>
      <w:r w:rsidR="00893187">
        <w:t>defusion</w:t>
      </w:r>
      <w:proofErr w:type="spellEnd"/>
      <w:r w:rsidR="00893187">
        <w:t xml:space="preserve">; </w:t>
      </w:r>
      <w:r>
        <w:t>cognitive behavior therapy; acceptance and commitment therapy; college student mental health</w:t>
      </w:r>
      <w:r w:rsidR="00893187">
        <w:t>; mindfulness</w:t>
      </w:r>
      <w:r w:rsidR="008B7B43">
        <w:br w:type="page"/>
      </w:r>
    </w:p>
    <w:p w14:paraId="4DA60142" w14:textId="7EA27AA4" w:rsidR="00D317CA" w:rsidRDefault="003A62EC" w:rsidP="00D133F7">
      <w:pPr>
        <w:spacing w:line="480" w:lineRule="auto"/>
        <w:jc w:val="center"/>
      </w:pPr>
      <w:r>
        <w:lastRenderedPageBreak/>
        <w:tab/>
      </w:r>
      <w:r w:rsidR="00D317CA">
        <w:t xml:space="preserve">Comparing cognitive </w:t>
      </w:r>
      <w:r w:rsidR="00D317CA" w:rsidRPr="00FE21E4">
        <w:t>fusion and</w:t>
      </w:r>
      <w:r w:rsidR="00D317CA">
        <w:t xml:space="preserve"> cognitive</w:t>
      </w:r>
      <w:r w:rsidR="00D317CA" w:rsidRPr="00FE21E4">
        <w:t xml:space="preserve"> reappraisal</w:t>
      </w:r>
      <w:r w:rsidR="00D317CA">
        <w:t xml:space="preserve"> as predictors of</w:t>
      </w:r>
      <w:r w:rsidR="00D317CA" w:rsidRPr="00FE21E4">
        <w:t xml:space="preserve"> college student mental health</w:t>
      </w:r>
    </w:p>
    <w:p w14:paraId="76413911" w14:textId="2819102B" w:rsidR="00377CCB" w:rsidRDefault="00D317CA" w:rsidP="008B7B43">
      <w:pPr>
        <w:spacing w:line="480" w:lineRule="auto"/>
      </w:pPr>
      <w:r>
        <w:tab/>
      </w:r>
      <w:proofErr w:type="spellStart"/>
      <w:r w:rsidR="00D965AF">
        <w:t>Transdiagnostic</w:t>
      </w:r>
      <w:proofErr w:type="spellEnd"/>
      <w:r w:rsidR="00D965AF">
        <w:t xml:space="preserve"> approaches to psychopathology have been growing more common as proponents argue that they can provide a more parsimonious conceptualization of psychopathology and therefore assessment and treatment</w:t>
      </w:r>
      <w:r w:rsidR="00AA443C">
        <w:t xml:space="preserve">, particularly in light of diagnostic </w:t>
      </w:r>
      <w:r w:rsidR="00626030">
        <w:t>overlap</w:t>
      </w:r>
      <w:r w:rsidR="00AA443C">
        <w:t xml:space="preserve"> </w:t>
      </w:r>
      <w:r w:rsidR="00626030">
        <w:t>and comorbidity</w:t>
      </w:r>
      <w:r w:rsidR="003A62EC">
        <w:t xml:space="preserve"> </w:t>
      </w:r>
      <w:r w:rsidR="00A43325">
        <w:fldChar w:fldCharType="begin" w:fldLock="1"/>
      </w:r>
      <w:r w:rsidR="0040159F">
        <w:instrText>ADDIN CSL_CITATION { "citationItems" : [ { "id" : "ITEM-1", "itemData" : { "DOI" : "10.1016/S0005-7894(04)80036-4", "ISSN" : "0005-7894", "author" : [ { "dropping-particle" : "", "family" : "Barlow", "given" : "David H", "non-dropping-particle" : "", "parse-names" : false, "suffix" : "" }, { "dropping-particle" : "", "family" : "Allen", "given" : "Laura B", "non-dropping-particle" : "", "parse-names" : false, "suffix" : "" }, { "dropping-particle" : "", "family" : "Choate", "given" : "Molly L", "non-dropping-particle" : "", "parse-names" : false, "suffix" : "" } ], "container-title" : "Behavior Therapy", "id" : "ITEM-1", "issued" : { "date-parts" : [ [ "2004" ] ] }, "page" : "205-230", "publisher" : "Elsevier B.V.", "title" : "Toward a Unified Treatment for Emotional Disorders", "type" : "article-journal", "volume" : "35" }, "uris" : [ "http://www.mendeley.com/documents/?uuid=134e56a4-4559-41b2-87d1-be7dda814a09" ] }, { "id" : "ITEM-2", "itemData" : { "DOI" : "10.1891/0889-8391.23.1.6", "author" : [ { "dropping-particle" : "", "family" : "Mansell", "given" : "Warren", "non-dropping-particle" : "", "parse-names" : false, "suffix" : "" }, { "dropping-particle" : "", "family" : "Harvey", "given" : "Allison", "non-dropping-particle" : "", "parse-names" : false, "suffix" : "" }, { "dropping-particle" : "", "family" : "Watkins", "given" : "Ed", "non-dropping-particle" : "", "parse-names" : false, "suffix" : "" }, { "dropping-particle" : "", "family" : "Shafran", "given" : "Roz", "non-dropping-particle" : "", "parse-names" : false, "suffix" : "" } ], "container-title" : "Journal of Cognitive Psychotherapy", "id" : "ITEM-2", "issued" : { "date-parts" : [ [ "2009" ] ] }, "page" : "6-19", "title" : "Conceptual foundations of the transdiagnostic approach to CBT", "type" : "article-journal", "volume" : "23" }, "uris" : [ "http://www.mendeley.com/documents/?uuid=4b76a617-7624-479b-9e32-4236869e03ee" ] } ], "mendeley" : { "formattedCitation" : "(Barlow, Allen, &amp; Choate, 2004; Mansell, Harvey, Watkins, &amp; Shafran, 2009)", "plainTextFormattedCitation" : "(Barlow, Allen, &amp; Choate, 2004; Mansell, Harvey, Watkins, &amp; Shafran, 2009)", "previouslyFormattedCitation" : "(Barlow, Allen, &amp; Choate, 2004; Mansell, Harvey, Watkins, &amp; Shafran, 2009)" }, "properties" : { "noteIndex" : 3 }, "schema" : "https://github.com/citation-style-language/schema/raw/master/csl-citation.json" }</w:instrText>
      </w:r>
      <w:r w:rsidR="00A43325">
        <w:fldChar w:fldCharType="separate"/>
      </w:r>
      <w:r w:rsidR="0040159F" w:rsidRPr="0040159F">
        <w:rPr>
          <w:noProof/>
        </w:rPr>
        <w:t>(Barlow, Allen, &amp; Choate, 2004; Mansell, Harvey, Watkins, &amp; Shafran, 2009)</w:t>
      </w:r>
      <w:r w:rsidR="00A43325">
        <w:fldChar w:fldCharType="end"/>
      </w:r>
      <w:r w:rsidR="00F57FDE">
        <w:t>. Several f</w:t>
      </w:r>
      <w:r w:rsidR="00C44149">
        <w:t xml:space="preserve">ull </w:t>
      </w:r>
      <w:proofErr w:type="spellStart"/>
      <w:r w:rsidR="00C44149">
        <w:t>t</w:t>
      </w:r>
      <w:r w:rsidR="00377CCB">
        <w:t>ransdiagnostic</w:t>
      </w:r>
      <w:proofErr w:type="spellEnd"/>
      <w:r w:rsidR="00377CCB">
        <w:t xml:space="preserve"> cognitive-behavioral </w:t>
      </w:r>
      <w:r w:rsidR="00F57FDE">
        <w:t xml:space="preserve">interventions </w:t>
      </w:r>
      <w:r w:rsidR="00377CCB">
        <w:t>have been developed including Barlow’s Unified Protocol</w:t>
      </w:r>
      <w:r w:rsidR="00731FCD">
        <w:t xml:space="preserve"> (UP</w:t>
      </w:r>
      <w:r w:rsidR="00F57FDE">
        <w:t>;</w:t>
      </w:r>
      <w:r w:rsidR="0040159F">
        <w:t xml:space="preserve"> </w:t>
      </w:r>
      <w:r w:rsidR="0040159F">
        <w:fldChar w:fldCharType="begin" w:fldLock="1"/>
      </w:r>
      <w:r w:rsidR="0040159F">
        <w:instrText>ADDIN CSL_CITATION { "citationItems" : [ { "id" : "ITEM-1", "itemData" : { "DOI" : "10.1016/S0005-7894(04)80036-4", "ISSN" : "0005-7894", "author" : [ { "dropping-particle" : "", "family" : "Barlow", "given" : "David H", "non-dropping-particle" : "", "parse-names" : false, "suffix" : "" }, { "dropping-particle" : "", "family" : "Allen", "given" : "Laura B", "non-dropping-particle" : "", "parse-names" : false, "suffix" : "" }, { "dropping-particle" : "", "family" : "Choate", "given" : "Molly L", "non-dropping-particle" : "", "parse-names" : false, "suffix" : "" } ], "container-title" : "Behavior Therapy", "id" : "ITEM-1", "issued" : { "date-parts" : [ [ "2004" ] ] }, "page" : "205-230", "publisher" : "Elsevier B.V.", "title" : "Toward a Unified Treatment for Emotional Disorders", "type" : "article-journal", "volume" : "35" }, "uris" : [ "http://www.mendeley.com/documents/?uuid=134e56a4-4559-41b2-87d1-be7dda814a09" ] } ], "mendeley" : { "formattedCitation" : "(Barlow et al., 2004)", "manualFormatting" : "Barlow, Allen, &amp; Choate, 2004)", "plainTextFormattedCitation" : "(Barlow et al., 2004)", "previouslyFormattedCitation" : "(Barlow et al., 2004)" }, "properties" : { "noteIndex" : 3 }, "schema" : "https://github.com/citation-style-language/schema/raw/master/csl-citation.json" }</w:instrText>
      </w:r>
      <w:r w:rsidR="0040159F">
        <w:fldChar w:fldCharType="separate"/>
      </w:r>
      <w:r w:rsidR="0033421B">
        <w:rPr>
          <w:noProof/>
        </w:rPr>
        <w:t>Barlow et al.</w:t>
      </w:r>
      <w:r w:rsidR="0040159F" w:rsidRPr="0040159F">
        <w:rPr>
          <w:noProof/>
        </w:rPr>
        <w:t>, 2004)</w:t>
      </w:r>
      <w:r w:rsidR="0040159F">
        <w:fldChar w:fldCharType="end"/>
      </w:r>
      <w:r w:rsidR="00377CCB">
        <w:t xml:space="preserve"> and </w:t>
      </w:r>
      <w:r w:rsidR="00F57FDE">
        <w:t xml:space="preserve">acceptance and commitment therapy (ACT; </w:t>
      </w:r>
      <w:r w:rsidR="0040159F">
        <w:fldChar w:fldCharType="begin" w:fldLock="1"/>
      </w:r>
      <w:r w:rsidR="0040159F">
        <w:instrText>ADDIN CSL_CITATION { "citationItems" : [ { "id" : "ITEM-1", "itemData" : { "author" : [ { "dropping-particle" : "", "family" : "Hayes", "given" : "Steven C.", "non-dropping-particle" : "", "parse-names" : false, "suffix" : "" }, { "dropping-particle" : "", "family" : "Strosahl", "given" : "Kirk", "non-dropping-particle" : "", "parse-names" : false, "suffix" : "" }, { "dropping-particle" : "", "family" : "Wilson", "given" : "Kelly G.", "non-dropping-particle" : "", "parse-names" : false, "suffix" : "" } ], "id" : "ITEM-1", "issued" : { "date-parts" : [ [ "2011" ] ] }, "publisher" : "Guilford Press", "publisher-place" : "New York", "title" : "Acceptance and Commitment Therapy, Second Edition: The Process and Practice of Mindful Change", "type" : "book" }, "uris" : [ "http://www.mendeley.com/documents/?uuid=d6a54fc4-24c7-4597-a845-da3bb0224b2a" ] } ], "mendeley" : { "formattedCitation" : "(Hayes, Strosahl, &amp; Wilson, 2011)", "manualFormatting" : "Hayes, Strosahl, &amp; Wilson, 2011)", "plainTextFormattedCitation" : "(Hayes, Strosahl, &amp; Wilson, 2011)", "previouslyFormattedCitation" : "(Hayes, Strosahl, &amp; Wilson, 2011)" }, "properties" : { "noteIndex" : 3 }, "schema" : "https://github.com/citation-style-language/schema/raw/master/csl-citation.json" }</w:instrText>
      </w:r>
      <w:r w:rsidR="0040159F">
        <w:fldChar w:fldCharType="separate"/>
      </w:r>
      <w:r w:rsidR="0040159F" w:rsidRPr="0040159F">
        <w:rPr>
          <w:noProof/>
        </w:rPr>
        <w:t>Hayes, Strosahl, &amp; Wilson, 2011)</w:t>
      </w:r>
      <w:r w:rsidR="0040159F">
        <w:fldChar w:fldCharType="end"/>
      </w:r>
      <w:r w:rsidR="00F57FDE">
        <w:t xml:space="preserve">. </w:t>
      </w:r>
      <w:r w:rsidR="00C55B4D">
        <w:t xml:space="preserve">There </w:t>
      </w:r>
      <w:r w:rsidR="00F57FDE">
        <w:t>is widespread agreement among cognitive-behavioral therapists that thought processes contribute to psychopathology</w:t>
      </w:r>
      <w:r w:rsidR="00C55B4D">
        <w:t>, although there are diverse conceptualizations of how thoughts relate to dysfunctional behavior</w:t>
      </w:r>
      <w:r w:rsidR="00F57FDE">
        <w:t xml:space="preserve"> (</w:t>
      </w:r>
      <w:r w:rsidR="00C55B4D">
        <w:t>e.g.,</w:t>
      </w:r>
      <w:r w:rsidR="0040159F">
        <w:t xml:space="preserve"> </w:t>
      </w:r>
      <w:r w:rsidR="0040159F">
        <w:fldChar w:fldCharType="begin" w:fldLock="1"/>
      </w:r>
      <w:r w:rsidR="0040159F">
        <w:instrText>ADDIN CSL_CITATION { "citationItems" : [ { "id" : "ITEM-1", "itemData" : { "author" : [ { "dropping-particle" : "", "family" : "Hayes", "given" : "Steven C.", "non-dropping-particle" : "", "parse-names" : false, "suffix" : "" }, { "dropping-particle" : "", "family" : "Strosahl", "given" : "Kirk", "non-dropping-particle" : "", "parse-names" : false, "suffix" : "" }, { "dropping-particle" : "", "family" : "Wilson", "given" : "Kelly G.", "non-dropping-particle" : "", "parse-names" : false, "suffix" : "" } ], "id" : "ITEM-1", "issued" : { "date-parts" : [ [ "2011" ] ] }, "publisher" : "Guilford Press", "publisher-place" : "New York", "title" : "Acceptance and Commitment Therapy, Second Edition: The Process and Practice of Mindful Change", "type" : "book" }, "uris" : [ "http://www.mendeley.com/documents/?uuid=d6a54fc4-24c7-4597-a845-da3bb0224b2a" ] }, { "id" : "ITEM-2", "itemData" : { "DOI" : "10.1016/j.cpr.2007.09.003", "author" : [ { "dropping-particle" : "", "family" : "Hofmann", "given" : "Stefan G", "non-dropping-particle" : "", "parse-names" : false, "suffix" : "" }, { "dropping-particle" : "", "family" : "Asmundson", "given" : "Gordon J G", "non-dropping-particle" : "", "parse-names" : false, "suffix" : "" } ], "id" : "ITEM-2", "issued" : { "date-parts" : [ [ "2008" ] ] }, "page" : "1-16", "title" : "Acceptance and mindfulness-based therapy : New wave or old hat ?", "type" : "article-journal", "volume" : "28" }, "uris" : [ "http://www.mendeley.com/documents/?uuid=6b9c64cf-9083-469e-b137-add5eaff5bf8" ] } ], "mendeley" : { "formattedCitation" : "(Hayes et al., 2011; Hofmann &amp; Asmundson, 2008)", "manualFormatting" : "Hayes, Strosahl, &amp; Wilson, 2011; Hofmann &amp; Asmundson, 2008)", "plainTextFormattedCitation" : "(Hayes et al., 2011; Hofmann &amp; Asmundson, 2008)", "previouslyFormattedCitation" : "(Hayes et al., 2011; Hofmann &amp; Asmundson, 2008)" }, "properties" : { "noteIndex" : 3 }, "schema" : "https://github.com/citation-style-language/schema/raw/master/csl-citation.json" }</w:instrText>
      </w:r>
      <w:r w:rsidR="0040159F">
        <w:fldChar w:fldCharType="separate"/>
      </w:r>
      <w:r w:rsidR="0040159F" w:rsidRPr="0040159F">
        <w:rPr>
          <w:noProof/>
        </w:rPr>
        <w:t>Hayes</w:t>
      </w:r>
      <w:r w:rsidR="0033421B">
        <w:rPr>
          <w:noProof/>
        </w:rPr>
        <w:t xml:space="preserve"> et al.</w:t>
      </w:r>
      <w:r w:rsidR="0040159F" w:rsidRPr="0040159F">
        <w:rPr>
          <w:noProof/>
        </w:rPr>
        <w:t>, 2011; Hofmann &amp; Asmundson, 2008)</w:t>
      </w:r>
      <w:r w:rsidR="0040159F">
        <w:fldChar w:fldCharType="end"/>
      </w:r>
      <w:r w:rsidR="00C55B4D">
        <w:t xml:space="preserve">. </w:t>
      </w:r>
    </w:p>
    <w:p w14:paraId="602FEA42" w14:textId="457EA56D" w:rsidR="00F42F1B" w:rsidRPr="00BC5339" w:rsidRDefault="00F57FDE" w:rsidP="008B7B43">
      <w:pPr>
        <w:spacing w:line="480" w:lineRule="auto"/>
      </w:pPr>
      <w:r>
        <w:tab/>
      </w:r>
      <w:r w:rsidR="00BD077A">
        <w:t xml:space="preserve">Multiple </w:t>
      </w:r>
      <w:r w:rsidR="00176DEF">
        <w:t>cognitive processes</w:t>
      </w:r>
      <w:r w:rsidR="00042515">
        <w:t xml:space="preserve"> have been </w:t>
      </w:r>
      <w:r w:rsidR="00B76F30">
        <w:t>proposed</w:t>
      </w:r>
      <w:r w:rsidR="00C606A2">
        <w:t xml:space="preserve"> </w:t>
      </w:r>
      <w:r w:rsidR="00B55355">
        <w:t xml:space="preserve">as </w:t>
      </w:r>
      <w:proofErr w:type="spellStart"/>
      <w:r w:rsidR="00B55355">
        <w:t>transdiagnostic</w:t>
      </w:r>
      <w:proofErr w:type="spellEnd"/>
      <w:r w:rsidR="00B55355">
        <w:t xml:space="preserve"> contributors to psychopathology</w:t>
      </w:r>
      <w:r w:rsidR="00042515">
        <w:t xml:space="preserve">, such as </w:t>
      </w:r>
      <w:r w:rsidR="0040159F">
        <w:t xml:space="preserve">irrational misappraisals </w:t>
      </w:r>
      <w:r w:rsidR="0040159F">
        <w:fldChar w:fldCharType="begin" w:fldLock="1"/>
      </w:r>
      <w:r w:rsidR="0040159F">
        <w:instrText>ADDIN CSL_CITATION { "citationItems" : [ { "id" : "ITEM-1", "itemData" : { "DOI" : "10.1016/S0005-7894(04)80036-4", "ISSN" : "0005-7894", "author" : [ { "dropping-particle" : "", "family" : "Barlow", "given" : "David H", "non-dropping-particle" : "", "parse-names" : false, "suffix" : "" }, { "dropping-particle" : "", "family" : "Allen", "given" : "Laura B", "non-dropping-particle" : "", "parse-names" : false, "suffix" : "" }, { "dropping-particle" : "", "family" : "Choate", "given" : "Molly L", "non-dropping-particle" : "", "parse-names" : false, "suffix" : "" } ], "container-title" : "Behavior Therapy", "id" : "ITEM-1", "issued" : { "date-parts" : [ [ "2004" ] ] }, "page" : "205-230", "publisher" : "Elsevier B.V.", "title" : "Toward a Unified Treatment for Emotional Disorders", "type" : "article-journal", "volume" : "35" }, "uris" : [ "http://www.mendeley.com/documents/?uuid=134e56a4-4559-41b2-87d1-be7dda814a09" ] } ], "mendeley" : { "formattedCitation" : "(Barlow et al., 2004)", "plainTextFormattedCitation" : "(Barlow et al., 2004)", "previouslyFormattedCitation" : "(Barlow et al., 2004)" }, "properties" : { "noteIndex" : 3 }, "schema" : "https://github.com/citation-style-language/schema/raw/master/csl-citation.json" }</w:instrText>
      </w:r>
      <w:r w:rsidR="0040159F">
        <w:fldChar w:fldCharType="separate"/>
      </w:r>
      <w:r w:rsidR="0040159F" w:rsidRPr="0040159F">
        <w:rPr>
          <w:noProof/>
        </w:rPr>
        <w:t>(Barlow et al., 2004)</w:t>
      </w:r>
      <w:r w:rsidR="0040159F">
        <w:fldChar w:fldCharType="end"/>
      </w:r>
      <w:r w:rsidR="00F42F1B">
        <w:t xml:space="preserve"> </w:t>
      </w:r>
      <w:r w:rsidR="00042515">
        <w:t>and cognitive fusion</w:t>
      </w:r>
      <w:r w:rsidR="0040159F">
        <w:t xml:space="preserve"> </w:t>
      </w:r>
      <w:r w:rsidR="0040159F">
        <w:fldChar w:fldCharType="begin" w:fldLock="1"/>
      </w:r>
      <w:r w:rsidR="0040159F">
        <w:instrText>ADDIN CSL_CITATION { "citationItems" : [ { "id" : "ITEM-1", "itemData" : { "author" : [ { "dropping-particle" : "", "family" : "Hayes", "given" : "Steven C.", "non-dropping-particle" : "", "parse-names" : false, "suffix" : "" }, { "dropping-particle" : "", "family" : "Strosahl", "given" : "Kirk", "non-dropping-particle" : "", "parse-names" : false, "suffix" : "" }, { "dropping-particle" : "", "family" : "Wilson", "given" : "Kelly G.", "non-dropping-particle" : "", "parse-names" : false, "suffix" : "" } ], "id" : "ITEM-1", "issued" : { "date-parts" : [ [ "2011" ] ] }, "publisher" : "Guilford Press", "publisher-place" : "New York", "title" : "Acceptance and Commitment Therapy, Second Edition: The Process and Practice of Mindful Change", "type" : "book" }, "uris" : [ "http://www.mendeley.com/documents/?uuid=d6a54fc4-24c7-4597-a845-da3bb0224b2a" ] } ], "mendeley" : { "formattedCitation" : "(Hayes et al., 2011)", "plainTextFormattedCitation" : "(Hayes et al., 2011)", "previouslyFormattedCitation" : "(Hayes et al., 2011)" }, "properties" : { "noteIndex" : 3 }, "schema" : "https://github.com/citation-style-language/schema/raw/master/csl-citation.json" }</w:instrText>
      </w:r>
      <w:r w:rsidR="0040159F">
        <w:fldChar w:fldCharType="separate"/>
      </w:r>
      <w:r w:rsidR="0040159F" w:rsidRPr="0040159F">
        <w:rPr>
          <w:noProof/>
        </w:rPr>
        <w:t>(Hayes et al., 2011)</w:t>
      </w:r>
      <w:r w:rsidR="0040159F">
        <w:fldChar w:fldCharType="end"/>
      </w:r>
      <w:r w:rsidR="00042515">
        <w:t xml:space="preserve">, and corresponding </w:t>
      </w:r>
      <w:proofErr w:type="spellStart"/>
      <w:r w:rsidR="00176DEF">
        <w:t>transdiagnostic</w:t>
      </w:r>
      <w:proofErr w:type="spellEnd"/>
      <w:r w:rsidR="00176DEF">
        <w:t xml:space="preserve"> intervention techniques</w:t>
      </w:r>
      <w:r w:rsidR="00377CCB">
        <w:t xml:space="preserve"> including reappraisal and</w:t>
      </w:r>
      <w:r w:rsidR="00042515">
        <w:t xml:space="preserve"> </w:t>
      </w:r>
      <w:proofErr w:type="spellStart"/>
      <w:r w:rsidR="00042515">
        <w:t>defusion</w:t>
      </w:r>
      <w:proofErr w:type="spellEnd"/>
      <w:r w:rsidR="00042515">
        <w:t xml:space="preserve"> have also been proposed</w:t>
      </w:r>
      <w:r w:rsidR="00F42F1B">
        <w:t xml:space="preserve">. </w:t>
      </w:r>
      <w:r w:rsidR="00511D34">
        <w:t xml:space="preserve">Both cognitive </w:t>
      </w:r>
      <w:r w:rsidR="0040159F">
        <w:t xml:space="preserve">fusion </w:t>
      </w:r>
      <w:r w:rsidR="0040159F">
        <w:fldChar w:fldCharType="begin" w:fldLock="1"/>
      </w:r>
      <w:r w:rsidR="0040159F">
        <w:instrText>ADDIN CSL_CITATION { "citationItems" : [ { "id" : "ITEM-1", "itemData" : { "DOI" : "10.1016/j.beth.2013.09.001", "ISBN" : "0005-7894", "ISSN" : "00057894", "PMID" : "24411117", "abstract" : "Acceptance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\u00a9 2013.", "author" : [ { "dropping-particle" : "", "family" : "Gillanders", "given" : "David T.", "non-dropping-particle" : "", "parse-names" : false, "suffix" : "" }, { "dropping-particle" : "", "family" : "Bolderston", "given" : "Helen", "non-dropping-particle" : "", "parse-names" : false, "suffix" : "" }, { "dropping-particle" : "", "family" : "Bond", "given" : "Frank W.", "non-dropping-particle" : "", "parse-names" : false, "suffix" : "" }, { "dropping-particle" : "", "family" : "Dempster", "given" : "Maria", "non-dropping-particle" : "", "parse-names" : false, "suffix" : "" }, { "dropping-particle" : "", "family" : "Flaxman", "given" : "Paul E.", "non-dropping-particle" : "", "parse-names" : false, "suffix" : "" }, { "dropping-particle" : "", "family" : "Campbell", "given" : "Lindsey", "non-dropping-particle" : "", "parse-names" : false, "suffix" : "" }, { "dropping-particle" : "", "family" : "Kerr", "given" : "Sian", "non-dropping-particle" : "", "parse-names" : false, "suffix" : "" }, { "dropping-particle" : "", "family" : "Tansey", "given" : "Louise", "non-dropping-particle" : "", "parse-names" : false, "suffix" : "" }, { "dropping-particle" : "", "family" : "Noel", "given" : "Penelope", "non-dropping-particle" : "", "parse-names" : false, "suffix" : "" }, { "dropping-particle" : "", "family" : "Ferenbach", "given" : "Clive", "non-dropping-particle" : "", "parse-names" : false, "suffix" : "" }, { "dropping-particle" : "", "family" : "Masley", "given" : "Samantha", "non-dropping-particle" : "", "parse-names" : false, "suffix" : "" }, { "dropping-particle" : "", "family" : "Roach", "given" : "Louise", "non-dropping-particle" : "", "parse-names" : false, "suffix" : "" }, { "dropping-particle" : "", "family" : "Lloyd", "given" : "Joda", "non-dropping-particle" : "", "parse-names" : false, "suffix" : "" }, { "dropping-particle" : "", "family" : "May", "given" : "Lauraine", "non-dropping-particle" : "", "parse-names" : false, "suffix" : "" }, { "dropping-particle" : "", "family" : "Clarke", "given" : "Susan", "non-dropping-particle" : "", "parse-names" : false, "suffix" : "" }, { "dropping-particle" : "", "family" : "Remington", "given" : "Bob", "non-dropping-particle" : "", "parse-names" : false, "suffix" : "" } ], "container-title" : "Behavior Therapy", "id" : "ITEM-1", "issue" : "1", "issued" : { "date-parts" : [ [ "2014" ] ] }, "page" : "83-101", "publisher" : "Elsevier B.V.", "title" : "The development and initial validation of the Cognitive Fusion Questionnaire", "type" : "article-journal", "volume" : "45" }, "uris" : [ "http://www.mendeley.com/documents/?uuid=84c45b24-f636-4d6b-acfe-64d990dbba28" ] } ], "mendeley" : { "formattedCitation" : "(Gillanders et al., 2014)", "plainTextFormattedCitation" : "(Gillanders et al., 2014)", "previouslyFormattedCitation" : "(Gillanders et al., 2014)" }, "properties" : { "noteIndex" : 3 }, "schema" : "https://github.com/citation-style-language/schema/raw/master/csl-citation.json" }</w:instrText>
      </w:r>
      <w:r w:rsidR="0040159F">
        <w:fldChar w:fldCharType="separate"/>
      </w:r>
      <w:r w:rsidR="0040159F" w:rsidRPr="0040159F">
        <w:rPr>
          <w:noProof/>
        </w:rPr>
        <w:t>(Gillanders et al., 2014)</w:t>
      </w:r>
      <w:r w:rsidR="0040159F">
        <w:fldChar w:fldCharType="end"/>
      </w:r>
      <w:r w:rsidR="00511D34">
        <w:t xml:space="preserve"> </w:t>
      </w:r>
      <w:r w:rsidR="0040159F">
        <w:t xml:space="preserve">and cognitive reappraisal </w:t>
      </w:r>
      <w:r w:rsidR="0040159F">
        <w:fldChar w:fldCharType="begin" w:fldLock="1"/>
      </w:r>
      <w:r w:rsidR="0040159F">
        <w:instrText>ADDIN CSL_CITATION { "citationItems" : [ { "id" : "ITEM-1", "itemData" : { "DOI" : "10.1037/0022-3514.85.2.348", "author" : [ { "dropping-particle" : "", "family" : "Gross", "given" : "James J", "non-dropping-particle" : "", "parse-names" : false, "suffix" : "" }, { "dropping-particle" : "", "family" : "John", "given" : "Oliver P", "non-dropping-particle" : "", "parse-names" : false, "suffix" : "" } ], "id" : "ITEM-1", "issue" : "2", "issued" : { "date-parts" : [ [ "2003" ] ] }, "page" : "348-362", "title" : "Individual Differences in Two Emotion Regulation Processes : Implications for Affect , Relationships , and Well-Being", "type" : "article-journal", "volume" : "85" }, "uris" : [ "http://www.mendeley.com/documents/?uuid=6df820fa-415d-458a-a248-b14720f83a23" ] } ], "mendeley" : { "formattedCitation" : "(Gross &amp; John, 2003)", "plainTextFormattedCitation" : "(Gross &amp; John, 2003)", "previouslyFormattedCitation" : "(Gross &amp; John, 2003)" }, "properties" : { "noteIndex" : 3 }, "schema" : "https://github.com/citation-style-language/schema/raw/master/csl-citation.json" }</w:instrText>
      </w:r>
      <w:r w:rsidR="0040159F">
        <w:fldChar w:fldCharType="separate"/>
      </w:r>
      <w:r w:rsidR="0040159F" w:rsidRPr="0040159F">
        <w:rPr>
          <w:noProof/>
        </w:rPr>
        <w:t>(Gross &amp; John, 2003)</w:t>
      </w:r>
      <w:r w:rsidR="0040159F">
        <w:fldChar w:fldCharType="end"/>
      </w:r>
      <w:r w:rsidR="0040159F">
        <w:t xml:space="preserve"> </w:t>
      </w:r>
      <w:r w:rsidR="002F32B0">
        <w:t xml:space="preserve">are associated with psychopathology in the expected directions. </w:t>
      </w:r>
      <w:r w:rsidR="00BC5339">
        <w:t>Cognitive reappraisal involves changing the content of thoughts in order to alter their emotiona</w:t>
      </w:r>
      <w:r w:rsidR="0040159F">
        <w:t xml:space="preserve">l impact </w:t>
      </w:r>
      <w:r w:rsidR="0040159F">
        <w:fldChar w:fldCharType="begin" w:fldLock="1"/>
      </w:r>
      <w:r w:rsidR="0040159F">
        <w:instrText>ADDIN CSL_CITATION { "citationItems" : [ { "id" : "ITEM-1", "itemData" : { "DOI" : "10.1037/0022-3514.85.2.348", "author" : [ { "dropping-particle" : "", "family" : "Gross", "given" : "James J", "non-dropping-particle" : "", "parse-names" : false, "suffix" : "" }, { "dropping-particle" : "", "family" : "John", "given" : "Oliver P", "non-dropping-particle" : "", "parse-names" : false, "suffix" : "" } ], "id" : "ITEM-1", "issue" : "2", "issued" : { "date-parts" : [ [ "2003" ] ] }, "page" : "348-362", "title" : "Individual Differences in Two Emotion Regulation Processes : Implications for Affect , Relationships , and Well-Being", "type" : "article-journal", "volume" : "85" }, "uris" : [ "http://www.mendeley.com/documents/?uuid=6df820fa-415d-458a-a248-b14720f83a23" ] } ], "mendeley" : { "formattedCitation" : "(Gross &amp; John, 2003)", "plainTextFormattedCitation" : "(Gross &amp; John, 2003)", "previouslyFormattedCitation" : "(Gross &amp; John, 2003)" }, "properties" : { "noteIndex" : 3 }, "schema" : "https://github.com/citation-style-language/schema/raw/master/csl-citation.json" }</w:instrText>
      </w:r>
      <w:r w:rsidR="0040159F">
        <w:fldChar w:fldCharType="separate"/>
      </w:r>
      <w:r w:rsidR="0040159F" w:rsidRPr="0040159F">
        <w:rPr>
          <w:noProof/>
        </w:rPr>
        <w:t>(Gross &amp; John, 2003)</w:t>
      </w:r>
      <w:r w:rsidR="0040159F">
        <w:fldChar w:fldCharType="end"/>
      </w:r>
      <w:r w:rsidR="006B3AFE">
        <w:t xml:space="preserve">, </w:t>
      </w:r>
      <w:r w:rsidR="00C63F3F">
        <w:t>generally by reconstru</w:t>
      </w:r>
      <w:r w:rsidR="004D03D9">
        <w:t>ct</w:t>
      </w:r>
      <w:r w:rsidR="00C63F3F">
        <w:t xml:space="preserve">ing negative thoughts in order to emphasize more positive </w:t>
      </w:r>
      <w:r w:rsidR="00F42F1B">
        <w:t xml:space="preserve">or realistic </w:t>
      </w:r>
      <w:r w:rsidR="00C63F3F">
        <w:t xml:space="preserve">aspects of a situation. For example, someone experiencing </w:t>
      </w:r>
      <w:r w:rsidR="00F42F1B">
        <w:t>social anxiety</w:t>
      </w:r>
      <w:r w:rsidR="00C63F3F">
        <w:t xml:space="preserve"> might </w:t>
      </w:r>
      <w:r w:rsidR="00F42F1B">
        <w:t xml:space="preserve">reevaluate the likelihood that others will judge </w:t>
      </w:r>
      <w:r w:rsidR="00BD077A">
        <w:t>her</w:t>
      </w:r>
      <w:r w:rsidR="00F42F1B">
        <w:t xml:space="preserve"> negatively, </w:t>
      </w:r>
      <w:r w:rsidR="0040159F">
        <w:t>her</w:t>
      </w:r>
      <w:r w:rsidR="00F42F1B">
        <w:t xml:space="preserve"> ability to cope if </w:t>
      </w:r>
      <w:r w:rsidR="00BD077A">
        <w:t>she</w:t>
      </w:r>
      <w:r w:rsidR="00F42F1B">
        <w:t xml:space="preserve"> were judged negatively, or focus on positive aspects of the situation such as the opportunity to make new friends</w:t>
      </w:r>
      <w:r w:rsidR="00C63F3F">
        <w:t>. Cognitive reapp</w:t>
      </w:r>
      <w:r w:rsidR="00BA4E4B">
        <w:t xml:space="preserve">raisal </w:t>
      </w:r>
      <w:r w:rsidR="00F42F1B">
        <w:t xml:space="preserve">is </w:t>
      </w:r>
      <w:r w:rsidR="00C63F3F">
        <w:t xml:space="preserve">incorporated into </w:t>
      </w:r>
      <w:proofErr w:type="spellStart"/>
      <w:r w:rsidR="00C63F3F">
        <w:lastRenderedPageBreak/>
        <w:t>transdiagnostic</w:t>
      </w:r>
      <w:proofErr w:type="spellEnd"/>
      <w:r w:rsidR="00C63F3F">
        <w:t xml:space="preserve"> cognitive-behavioral treatment approaches such as </w:t>
      </w:r>
      <w:r w:rsidR="00C44149">
        <w:t>UP as a way to correct maladaptive thinking processes</w:t>
      </w:r>
      <w:r w:rsidR="0040159F">
        <w:t xml:space="preserve"> and support exposure to feared content </w:t>
      </w:r>
      <w:r w:rsidR="0040159F">
        <w:fldChar w:fldCharType="begin" w:fldLock="1"/>
      </w:r>
      <w:r w:rsidR="0040159F">
        <w:instrText>ADDIN CSL_CITATION { "citationItems" : [ { "id" : "ITEM-1", "itemData" : { "DOI" : "10.1016/S0005-7894(04)80036-4", "ISSN" : "0005-7894", "author" : [ { "dropping-particle" : "", "family" : "Barlow", "given" : "David H", "non-dropping-particle" : "", "parse-names" : false, "suffix" : "" }, { "dropping-particle" : "", "family" : "Allen", "given" : "Laura B", "non-dropping-particle" : "", "parse-names" : false, "suffix" : "" }, { "dropping-particle" : "", "family" : "Choate", "given" : "Molly L", "non-dropping-particle" : "", "parse-names" : false, "suffix" : "" } ], "container-title" : "Behavior Therapy", "id" : "ITEM-1", "issued" : { "date-parts" : [ [ "2004" ] ] }, "page" : "205-230", "publisher" : "Elsevier B.V.", "title" : "Toward a Unified Treatment for Emotional Disorders", "type" : "article-journal", "volume" : "35" }, "uris" : [ "http://www.mendeley.com/documents/?uuid=134e56a4-4559-41b2-87d1-be7dda814a09" ] } ], "mendeley" : { "formattedCitation" : "(Barlow et al., 2004)", "plainTextFormattedCitation" : "(Barlow et al., 2004)", "previouslyFormattedCitation" : "(Barlow et al., 2004)" }, "properties" : { "noteIndex" : 3 }, "schema" : "https://github.com/citation-style-language/schema/raw/master/csl-citation.json" }</w:instrText>
      </w:r>
      <w:r w:rsidR="0040159F">
        <w:fldChar w:fldCharType="separate"/>
      </w:r>
      <w:r w:rsidR="0040159F" w:rsidRPr="0040159F">
        <w:rPr>
          <w:noProof/>
        </w:rPr>
        <w:t>(Barlow et al., 2004)</w:t>
      </w:r>
      <w:r w:rsidR="0040159F">
        <w:fldChar w:fldCharType="end"/>
      </w:r>
      <w:r w:rsidR="00C44149">
        <w:t>.</w:t>
      </w:r>
    </w:p>
    <w:p w14:paraId="2BFD7A59" w14:textId="4D712C3F" w:rsidR="00F42F1B" w:rsidRDefault="00F42F1B" w:rsidP="008B7B43">
      <w:pPr>
        <w:spacing w:line="480" w:lineRule="auto"/>
      </w:pPr>
      <w:r>
        <w:tab/>
      </w:r>
      <w:r w:rsidR="00C44149">
        <w:t>In contrast, c</w:t>
      </w:r>
      <w:r w:rsidR="00377CCB">
        <w:t xml:space="preserve">ognitive </w:t>
      </w:r>
      <w:proofErr w:type="spellStart"/>
      <w:r w:rsidR="00377CCB">
        <w:t>defusion</w:t>
      </w:r>
      <w:proofErr w:type="spellEnd"/>
      <w:r w:rsidR="00377CCB">
        <w:t xml:space="preserve"> involves changing the function of thoughts in order to reduce their impact on behavior. When one is fused with thoughts, they are </w:t>
      </w:r>
      <w:r>
        <w:t>perceived as</w:t>
      </w:r>
      <w:r w:rsidR="00377CCB">
        <w:t xml:space="preserve"> literally true rather than as thoughts</w:t>
      </w:r>
      <w:r>
        <w:t xml:space="preserve"> </w:t>
      </w:r>
      <w:r w:rsidR="004D03D9">
        <w:t xml:space="preserve">that </w:t>
      </w:r>
      <w:r>
        <w:t>dominate over behavior</w:t>
      </w:r>
      <w:r w:rsidR="0040159F">
        <w:t xml:space="preserve"> </w:t>
      </w:r>
      <w:r w:rsidR="0040159F">
        <w:fldChar w:fldCharType="begin" w:fldLock="1"/>
      </w:r>
      <w:r w:rsidR="0040159F">
        <w:instrText>ADDIN CSL_CITATION { "citationItems" : [ { "id" : "ITEM-1", "itemData" : { "DOI" : "10.1016/j.brat.2005.06.006", "ISBN" : "0005-7967", "ISSN" : "0005-7967", "PMID" : "16300724", "abstract" : "The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 "author" : [ { "dropping-particle" : "", "family" : "Hayes", "given" : "Steven C", "non-dropping-particle" : "", "parse-names" : false, "suffix" : "" }, { "dropping-particle" : "", "family" : "Luoma", "given" : "Jason B", "non-dropping-particle" : "", "parse-names" : false, "suffix" : "" }, { "dropping-particle" : "", "family" : "Bond", "given" : "Frank W", "non-dropping-particle" : "", "parse-names" : false, "suffix" : "" }, { "dropping-particle" : "", "family" : "Masuda", "given" : "Akihiko", "non-dropping-particle" : "", "parse-names" : false, "suffix" : "" }, { "dropping-particle" : "", "family" : "Lillis", "given" : "Jason", "non-dropping-particle" : "", "parse-names" : false, "suffix" : "" } ], "container-title" : "Behaviour Research and Therapy", "id" : "ITEM-1", "issued" : { "date-parts" : [ [ "2006" ] ] }, "page" : "1-25", "title" : "Acceptance and Commitment Therapy: Model, processes and outcomes.", "type" : "article-journal", "volume" : "44" }, "uris" : [ "http://www.mendeley.com/documents/?uuid=ff47006a-314b-4e8a-9cd4-0f9cb00fd209" ] } ], "mendeley" : { "formattedCitation" : "(Hayes, Luoma, Bond, Masuda, &amp; Lillis, 2006)", "plainTextFormattedCitation" : "(Hayes, Luoma, Bond, Masuda, &amp; Lillis, 2006)", "previouslyFormattedCitation" : "(Hayes, Luoma, Bond, Masuda, &amp; Lillis, 2006)" }, "properties" : { "noteIndex" : 4 }, "schema" : "https://github.com/citation-style-language/schema/raw/master/csl-citation.json" }</w:instrText>
      </w:r>
      <w:r w:rsidR="0040159F">
        <w:fldChar w:fldCharType="separate"/>
      </w:r>
      <w:r w:rsidR="0040159F" w:rsidRPr="0040159F">
        <w:rPr>
          <w:noProof/>
        </w:rPr>
        <w:t>(Hayes, Luoma, Bond, Masuda, &amp; Lillis, 2006)</w:t>
      </w:r>
      <w:r w:rsidR="0040159F">
        <w:fldChar w:fldCharType="end"/>
      </w:r>
      <w:r w:rsidR="00377CCB">
        <w:t>.</w:t>
      </w:r>
      <w:r w:rsidR="00B76F30">
        <w:t xml:space="preserve"> For example, when one is fused with the thought “I’m worthless” they may withdraw from social connections or personal challenges, while a person who can </w:t>
      </w:r>
      <w:r w:rsidR="003A4152">
        <w:t>defuse from</w:t>
      </w:r>
      <w:r w:rsidR="00B76F30">
        <w:t xml:space="preserve"> the thought “I’m worthless” may continue to pursue valued aims</w:t>
      </w:r>
      <w:r w:rsidR="003A4152">
        <w:t xml:space="preserve"> while still experiencing that thought</w:t>
      </w:r>
      <w:r w:rsidR="00B76F30">
        <w:t>.</w:t>
      </w:r>
      <w:r w:rsidR="00377CCB">
        <w:t xml:space="preserve"> </w:t>
      </w:r>
      <w:proofErr w:type="spellStart"/>
      <w:r w:rsidR="00377CCB">
        <w:t>Defusion</w:t>
      </w:r>
      <w:proofErr w:type="spellEnd"/>
      <w:r w:rsidR="00377CCB">
        <w:t xml:space="preserve"> provides an alternative </w:t>
      </w:r>
      <w:r w:rsidR="00B76F30">
        <w:t xml:space="preserve">to fusion </w:t>
      </w:r>
      <w:r w:rsidR="00377CCB">
        <w:t>in which unhelpful thoughts are considered less believable, less important, or are ex</w:t>
      </w:r>
      <w:r w:rsidR="00C44149">
        <w:t>perienced with more willingness even when their content is unchanged</w:t>
      </w:r>
      <w:r>
        <w:t>, resulting in more flexible behavior. Theoretically, cognitive fusion is expected to have a major impact on behavior, as it describes a general way of relating to thoughts that applies across diverse situations, and is equally relevant whether one’s thoughts are rational or irrational.</w:t>
      </w:r>
    </w:p>
    <w:p w14:paraId="11454F05" w14:textId="09BB52F1" w:rsidR="00EB35ED" w:rsidRDefault="00F42F1B" w:rsidP="008B7B43">
      <w:pPr>
        <w:spacing w:line="480" w:lineRule="auto"/>
      </w:pPr>
      <w:r>
        <w:tab/>
      </w:r>
      <w:r w:rsidR="00835E33">
        <w:t xml:space="preserve">Debate has emerged over how similar or distinct cognitive </w:t>
      </w:r>
      <w:proofErr w:type="spellStart"/>
      <w:r w:rsidR="00835E33">
        <w:t>defusion</w:t>
      </w:r>
      <w:proofErr w:type="spellEnd"/>
      <w:r w:rsidR="00835E33">
        <w:t xml:space="preserve"> and reappraisal are as strategies for coping with difficult thoughts</w:t>
      </w:r>
      <w:r w:rsidR="0040159F">
        <w:t xml:space="preserve"> </w:t>
      </w:r>
      <w:r w:rsidR="000E46EC">
        <w:fldChar w:fldCharType="begin" w:fldLock="1"/>
      </w:r>
      <w:r w:rsidR="000E46EC">
        <w:instrText>ADDIN CSL_CITATION { "citationItems" : [ { "id" : "ITEM-1", "itemData" : { "author" : [ { "dropping-particle" : "", "family" : "Arch", "given" : "Joanna J", "non-dropping-particle" : "", "parse-names" : false, "suffix" : "" }, { "dropping-particle" : "", "family" : "Craske", "given" : "Michelle G", "non-dropping-particle" : "", "parse-names" : false, "suffix" : "" } ], "container-title" : "Clinical Psychology: Science and Practice", "id" : "ITEM-1", "issued" : { "date-parts" : [ [ "2008" ] ] }, "page" : "263-279", "title" : "Acceptance and commitment therapy and cognitive behavioral therapy for anxiety disorders: Different treatments, similar mechanisms?", "type" : "article-journal", "volume" : "15" }, "uris" : [ "http://www.mendeley.com/documents/?uuid=0dd00996-22d0-4518-afec-54cafafc38b4" ] }, { "id" : "ITEM-2", "itemData" : { "DOI" : "10.1111/j.1468-2850.2008.00139.x", "ISSN" : "09695893", "abstract" : "The history and developmental program of acceptance and commitment therapy (ACT) and relational frame theory (RFT) is described, and against that backdrop the target article is considered. In the authors' comparison of ACT and traditional cognitive behavioral therapy (CBT), traditional CBT does not refer to specific processes, principles, or theories but to a tribal tradition. Framed in that way, comparisons of ACT and CBT cannot succeed intellectually, because CBT cannot be pinned down. At the level of theory, change processes, and outcomes, ACT/RFT seems to be progressing as measured against its own goals. (PsycINFO Database Record (c) 2009 APA, all rights reserved) (journal abstract)", "author" : [ { "dropping-particle" : "", "family" : "Hayes", "given" : "Steven C.", "non-dropping-particle" : "", "parse-names" : false, "suffix" : "" } ], "container-title" : "Clinical Psychology: Science and Practice", "id" : "ITEM-2", "issue" : "4", "issued" : { "date-parts" : [ [ "2008" ] ] }, "page" : "286-295", "title" : "Climbing our hills: A beginning conversation on the comparison of acceptance and commitment therapy and traditional cognitive behavioral therapy", "type" : "article-journal", "volume" : "15" }, "uris" : [ "http://www.mendeley.com/documents/?uuid=9c1964b0-445f-4fe4-86a1-42f1dfa983f1" ] } ], "mendeley" : { "formattedCitation" : "(Arch &amp; Craske, 2008; Hayes, 2008)", "plainTextFormattedCitation" : "(Arch &amp; Craske, 2008; Hayes, 2008)", "previouslyFormattedCitation" : "(Arch &amp; Craske, 2008; Hayes, 2008)" }, "properties" : { "noteIndex" : 4 }, "schema" : "https://github.com/citation-style-language/schema/raw/master/csl-citation.json" }</w:instrText>
      </w:r>
      <w:r w:rsidR="000E46EC">
        <w:fldChar w:fldCharType="separate"/>
      </w:r>
      <w:r w:rsidR="000E46EC" w:rsidRPr="000E46EC">
        <w:rPr>
          <w:noProof/>
        </w:rPr>
        <w:t>(Arch &amp; Craske, 2008; Hayes, 2008)</w:t>
      </w:r>
      <w:r w:rsidR="000E46EC">
        <w:fldChar w:fldCharType="end"/>
      </w:r>
      <w:r w:rsidR="00835E33">
        <w:t xml:space="preserve">. </w:t>
      </w:r>
      <w:proofErr w:type="spellStart"/>
      <w:r w:rsidR="00EB35ED">
        <w:t>Defusion</w:t>
      </w:r>
      <w:proofErr w:type="spellEnd"/>
      <w:r w:rsidR="00EB35ED">
        <w:t xml:space="preserve"> and reappraisal may share some features, such as increasing awareness of thoughts that arise and how they impact one’s behavior. </w:t>
      </w:r>
      <w:r w:rsidR="004D03D9">
        <w:t>Conversely</w:t>
      </w:r>
      <w:r w:rsidR="00F40E12">
        <w:t xml:space="preserve">, </w:t>
      </w:r>
      <w:proofErr w:type="spellStart"/>
      <w:r w:rsidR="00F40E12">
        <w:t>defusion</w:t>
      </w:r>
      <w:proofErr w:type="spellEnd"/>
      <w:r w:rsidR="00F40E12">
        <w:t xml:space="preserve"> </w:t>
      </w:r>
      <w:r w:rsidR="00807785">
        <w:t xml:space="preserve">involves </w:t>
      </w:r>
      <w:r w:rsidR="00F40E12">
        <w:t>changing the relationship of thoughts to behavior, while reappraisal involves changing the content of thoughts, which would suggest that when fusion is low, reappraisal may not be needed</w:t>
      </w:r>
      <w:r w:rsidR="00807785">
        <w:t xml:space="preserve"> as thoughts may not be viewed as barriers</w:t>
      </w:r>
      <w:r w:rsidR="00F40E12">
        <w:t>.</w:t>
      </w:r>
      <w:r w:rsidR="00B76F30">
        <w:t xml:space="preserve"> </w:t>
      </w:r>
      <w:r w:rsidR="00F40E12">
        <w:t xml:space="preserve">These two conceptualizations </w:t>
      </w:r>
      <w:r w:rsidR="00EB35ED">
        <w:t xml:space="preserve">also </w:t>
      </w:r>
      <w:r w:rsidR="00B76F30">
        <w:t xml:space="preserve">suggest very different intervention strategies. If targeting fusion is a therapeutic goal, one might use ACT or other mindfulness-based interventions and strive to alter </w:t>
      </w:r>
      <w:r w:rsidR="00E50116">
        <w:t xml:space="preserve">how clients </w:t>
      </w:r>
      <w:r w:rsidR="00F65107">
        <w:t xml:space="preserve">relate to thoughts in order to change </w:t>
      </w:r>
      <w:r w:rsidR="00B76F30">
        <w:t xml:space="preserve">the impact of thoughts on a client’s behavior (i.e., focusing on the context of thoughts). If targeting reappraisal </w:t>
      </w:r>
      <w:r w:rsidR="00B76F30">
        <w:lastRenderedPageBreak/>
        <w:t>is paramount, a therapist might use cognitive therapy methods to teach their client to systematically notice their thoughts, evaluate whether the thoughts are accurate and/or helpful, and generate alternative thoughts (i.e., focusing on the content of thoughts)</w:t>
      </w:r>
      <w:r w:rsidR="003A4152">
        <w:t xml:space="preserve"> in order to facilitate behavior change</w:t>
      </w:r>
      <w:r w:rsidR="00B76F30">
        <w:t>.</w:t>
      </w:r>
      <w:r w:rsidR="00EB35ED">
        <w:t xml:space="preserve"> </w:t>
      </w:r>
    </w:p>
    <w:p w14:paraId="3113D212" w14:textId="66D9175D" w:rsidR="00DB5C1E" w:rsidRDefault="00650684" w:rsidP="008B7B43">
      <w:pPr>
        <w:spacing w:line="480" w:lineRule="auto"/>
      </w:pPr>
      <w:r>
        <w:tab/>
        <w:t xml:space="preserve">Brief experimental interventions have found that both </w:t>
      </w:r>
      <w:proofErr w:type="spellStart"/>
      <w:r w:rsidR="001E6E58">
        <w:t>de</w:t>
      </w:r>
      <w:r>
        <w:t>fusion</w:t>
      </w:r>
      <w:proofErr w:type="spellEnd"/>
      <w:r>
        <w:t xml:space="preserve"> and reappraisal can reduce distress (Barrera</w:t>
      </w:r>
      <w:r w:rsidR="001E6E58">
        <w:t>,</w:t>
      </w:r>
      <w:r>
        <w:t xml:space="preserve"> </w:t>
      </w:r>
      <w:proofErr w:type="spellStart"/>
      <w:r>
        <w:t>Szafranski</w:t>
      </w:r>
      <w:proofErr w:type="spellEnd"/>
      <w:r>
        <w:t xml:space="preserve">, Ratcliff, </w:t>
      </w:r>
      <w:proofErr w:type="spellStart"/>
      <w:r>
        <w:t>Garnaat</w:t>
      </w:r>
      <w:proofErr w:type="spellEnd"/>
      <w:r>
        <w:t xml:space="preserve">, &amp; Norton, 2016; </w:t>
      </w:r>
      <w:proofErr w:type="spellStart"/>
      <w:r>
        <w:t>Yovel</w:t>
      </w:r>
      <w:proofErr w:type="spellEnd"/>
      <w:r>
        <w:t xml:space="preserve">, </w:t>
      </w:r>
      <w:proofErr w:type="spellStart"/>
      <w:r>
        <w:t>Mor</w:t>
      </w:r>
      <w:proofErr w:type="spellEnd"/>
      <w:r>
        <w:t xml:space="preserve">, &amp; </w:t>
      </w:r>
      <w:proofErr w:type="spellStart"/>
      <w:r>
        <w:t>Shakarov</w:t>
      </w:r>
      <w:proofErr w:type="spellEnd"/>
      <w:r>
        <w:t>, 2014) and change problematic smoking behavior (</w:t>
      </w:r>
      <w:proofErr w:type="spellStart"/>
      <w:r>
        <w:t>Beadman</w:t>
      </w:r>
      <w:proofErr w:type="spellEnd"/>
      <w:r>
        <w:t xml:space="preserve"> et al., 2015)</w:t>
      </w:r>
      <w:r w:rsidR="00DB5C1E">
        <w:t xml:space="preserve">. However, </w:t>
      </w:r>
      <w:r>
        <w:t xml:space="preserve">studies have found </w:t>
      </w:r>
      <w:proofErr w:type="spellStart"/>
      <w:r>
        <w:t>defusion</w:t>
      </w:r>
      <w:proofErr w:type="spellEnd"/>
      <w:r>
        <w:t xml:space="preserve"> superior to reappraisal in altering believability of negative thoughts and positive affect (Larsson, Hooper, </w:t>
      </w:r>
      <w:r w:rsidR="00FA10AB">
        <w:t>Osborne, Bennett, &amp; McHugh, 2016</w:t>
      </w:r>
      <w:r>
        <w:t xml:space="preserve">), problematic eating (Moffitt, </w:t>
      </w:r>
      <w:proofErr w:type="spellStart"/>
      <w:r>
        <w:t>Brinkworth</w:t>
      </w:r>
      <w:proofErr w:type="spellEnd"/>
      <w:r>
        <w:t xml:space="preserve">, </w:t>
      </w:r>
      <w:proofErr w:type="spellStart"/>
      <w:r>
        <w:t>Noakes</w:t>
      </w:r>
      <w:proofErr w:type="spellEnd"/>
      <w:r>
        <w:t xml:space="preserve">, &amp; Mohr, 2012), and body image concerns (Deacon, </w:t>
      </w:r>
      <w:proofErr w:type="spellStart"/>
      <w:r>
        <w:t>Fawzy</w:t>
      </w:r>
      <w:proofErr w:type="spellEnd"/>
      <w:r>
        <w:t xml:space="preserve">, </w:t>
      </w:r>
      <w:proofErr w:type="spellStart"/>
      <w:r>
        <w:t>Lickel</w:t>
      </w:r>
      <w:proofErr w:type="spellEnd"/>
      <w:r>
        <w:t xml:space="preserve">, &amp; </w:t>
      </w:r>
      <w:proofErr w:type="spellStart"/>
      <w:r>
        <w:t>Wolitzky</w:t>
      </w:r>
      <w:proofErr w:type="spellEnd"/>
      <w:r>
        <w:t xml:space="preserve">-Taylor, 2011). </w:t>
      </w:r>
    </w:p>
    <w:p w14:paraId="3F39B31A" w14:textId="7A769E03" w:rsidR="00C606A2" w:rsidRPr="00F42F1B" w:rsidRDefault="00DB5C1E" w:rsidP="008B7B43">
      <w:pPr>
        <w:spacing w:line="480" w:lineRule="auto"/>
      </w:pPr>
      <w:r>
        <w:tab/>
      </w:r>
      <w:r w:rsidR="00650684" w:rsidRPr="00F42F1B">
        <w:t xml:space="preserve">To the best of our knowledge, no previous studies have directly compared </w:t>
      </w:r>
      <w:r w:rsidR="00650684">
        <w:t xml:space="preserve">naturalistic use of </w:t>
      </w:r>
      <w:r w:rsidR="00650684" w:rsidRPr="00F42F1B">
        <w:t xml:space="preserve">reappraisal and fusion as </w:t>
      </w:r>
      <w:r w:rsidR="00650684">
        <w:t xml:space="preserve">longitudinal </w:t>
      </w:r>
      <w:r w:rsidR="00650684" w:rsidRPr="00F42F1B">
        <w:t>predictors of symptoms or functioning.</w:t>
      </w:r>
      <w:r w:rsidR="00650684">
        <w:t xml:space="preserve"> </w:t>
      </w:r>
      <w:r w:rsidR="003A4152">
        <w:t>E</w:t>
      </w:r>
      <w:r w:rsidR="00B76F30">
        <w:t xml:space="preserve">valuating the impact of fusion and reappraisal on a range of mental health outcomes could help to clarify </w:t>
      </w:r>
      <w:r w:rsidR="003A4152">
        <w:t xml:space="preserve">whether the two constructs are indeed predictive of psychopathology across different diagnoses, </w:t>
      </w:r>
      <w:r>
        <w:t xml:space="preserve">and whether fusion has greater impact in specific areas, as some experimental studies have suggested. </w:t>
      </w:r>
      <w:r w:rsidR="00BD2556">
        <w:t>Greater clarity on these questions</w:t>
      </w:r>
      <w:r w:rsidR="003A4152">
        <w:t xml:space="preserve"> could </w:t>
      </w:r>
      <w:r w:rsidR="00EB35ED">
        <w:t xml:space="preserve">lead to refined </w:t>
      </w:r>
      <w:proofErr w:type="spellStart"/>
      <w:r w:rsidR="003A4152">
        <w:t>transdiagnostic</w:t>
      </w:r>
      <w:proofErr w:type="spellEnd"/>
      <w:r w:rsidR="003A4152">
        <w:t xml:space="preserve"> models of mental illness and allow therapists to determine how to best help their clients address difficult thoughts</w:t>
      </w:r>
      <w:r w:rsidR="00EB35ED">
        <w:t>. In addition,</w:t>
      </w:r>
      <w:r w:rsidR="00C44149">
        <w:t xml:space="preserve"> </w:t>
      </w:r>
      <w:r w:rsidR="00EB35ED">
        <w:t>s</w:t>
      </w:r>
      <w:r w:rsidR="003A4152">
        <w:t>tudying the impact of both fusion and reappraisal on mental health and functioning in the same sample could help clarify the relationsh</w:t>
      </w:r>
      <w:r w:rsidR="00EB35ED">
        <w:t>ip between these two constructs, such as whether individuals who are more fused with their thoughts tend to reappraise less or more</w:t>
      </w:r>
      <w:r w:rsidR="00BD2556">
        <w:t>.</w:t>
      </w:r>
    </w:p>
    <w:p w14:paraId="1DA90FC9" w14:textId="64E5BB18" w:rsidR="009673CE" w:rsidRDefault="00F42F1B" w:rsidP="008B7B43">
      <w:pPr>
        <w:spacing w:line="480" w:lineRule="auto"/>
      </w:pPr>
      <w:r>
        <w:lastRenderedPageBreak/>
        <w:tab/>
      </w:r>
      <w:r w:rsidR="00C606A2" w:rsidRPr="00F42F1B">
        <w:t>Therefore, we examined reappraisal and fusion as predictors</w:t>
      </w:r>
      <w:r w:rsidR="00C117A2" w:rsidRPr="00F42F1B">
        <w:t xml:space="preserve"> of mental illness symptoms and functioning</w:t>
      </w:r>
      <w:r w:rsidR="00C606A2" w:rsidRPr="00F42F1B">
        <w:t xml:space="preserve"> in a sample of undergraduate college students. </w:t>
      </w:r>
      <w:r w:rsidR="003A4152" w:rsidRPr="00F42F1B">
        <w:t xml:space="preserve">Although </w:t>
      </w:r>
      <w:r>
        <w:t xml:space="preserve">the impact of reappraisal and fusion should also be tested </w:t>
      </w:r>
      <w:r w:rsidR="00650684">
        <w:t>further experimentally</w:t>
      </w:r>
      <w:r w:rsidR="003A4152" w:rsidRPr="00F42F1B">
        <w:t xml:space="preserve">, examining </w:t>
      </w:r>
      <w:r w:rsidR="00C117A2" w:rsidRPr="00F42F1B">
        <w:t xml:space="preserve">individual </w:t>
      </w:r>
      <w:r w:rsidR="003A4152" w:rsidRPr="00F42F1B">
        <w:t xml:space="preserve">levels of reappraisal and fusion in a naturalistic context can provide an initial evaluation of </w:t>
      </w:r>
      <w:r w:rsidR="00650684">
        <w:t>how trait-level ways</w:t>
      </w:r>
      <w:r w:rsidR="00C117A2" w:rsidRPr="00F42F1B">
        <w:t xml:space="preserve"> of responding to thoughts </w:t>
      </w:r>
      <w:r w:rsidR="00650684">
        <w:t>affect</w:t>
      </w:r>
      <w:r w:rsidR="00C117A2" w:rsidRPr="00F42F1B">
        <w:t xml:space="preserve"> mental health outcomes</w:t>
      </w:r>
      <w:r w:rsidR="00650684">
        <w:t xml:space="preserve"> across diagnoses</w:t>
      </w:r>
      <w:r w:rsidR="00C117A2" w:rsidRPr="00F42F1B">
        <w:t>.</w:t>
      </w:r>
      <w:r>
        <w:t xml:space="preserve"> </w:t>
      </w:r>
      <w:r w:rsidR="00C606A2">
        <w:t>We predicted that: 1) fusion would be a stronger predictor of mental health symptoms and problems in functioning over time as compared with reappraisal</w:t>
      </w:r>
      <w:r>
        <w:t>,</w:t>
      </w:r>
      <w:r w:rsidR="00C606A2">
        <w:t xml:space="preserve"> 2) fusion would have larger correlations with mental health symptoms and problems in functioning compared with reappraisal, and 3) fusion and reappraisal would be positively correlated.</w:t>
      </w:r>
    </w:p>
    <w:p w14:paraId="68F2935C" w14:textId="17D1DA61" w:rsidR="00D87B91" w:rsidRPr="002B0645" w:rsidRDefault="00D87B91" w:rsidP="008B7B43">
      <w:pPr>
        <w:spacing w:line="480" w:lineRule="auto"/>
        <w:jc w:val="center"/>
        <w:outlineLvl w:val="0"/>
        <w:rPr>
          <w:b/>
        </w:rPr>
      </w:pPr>
      <w:r w:rsidRPr="002B0645">
        <w:rPr>
          <w:b/>
        </w:rPr>
        <w:t>Methods</w:t>
      </w:r>
    </w:p>
    <w:p w14:paraId="68B3674B" w14:textId="1E7F591A" w:rsidR="00D87B91" w:rsidRPr="002B0645" w:rsidRDefault="00D87B91" w:rsidP="008B7B43">
      <w:pPr>
        <w:spacing w:line="480" w:lineRule="auto"/>
        <w:outlineLvl w:val="0"/>
        <w:rPr>
          <w:b/>
          <w:color w:val="000000" w:themeColor="text1"/>
        </w:rPr>
      </w:pPr>
      <w:r w:rsidRPr="002B0645">
        <w:rPr>
          <w:b/>
          <w:color w:val="000000" w:themeColor="text1"/>
        </w:rPr>
        <w:t>Participants</w:t>
      </w:r>
    </w:p>
    <w:p w14:paraId="658A896C" w14:textId="3A8E8C23" w:rsidR="005041F5" w:rsidRDefault="008C5744" w:rsidP="008B7B43">
      <w:pPr>
        <w:spacing w:line="480" w:lineRule="auto"/>
      </w:pPr>
      <w:r>
        <w:tab/>
        <w:t>339</w:t>
      </w:r>
      <w:r w:rsidR="00D87B91">
        <w:t xml:space="preserve"> participants were recruited to participate in this study in exchange for research participation credit in their psychology courses.</w:t>
      </w:r>
      <w:r w:rsidR="005041F5">
        <w:t xml:space="preserve"> The </w:t>
      </w:r>
      <w:r w:rsidR="006419D8">
        <w:t>mean</w:t>
      </w:r>
      <w:r w:rsidR="005041F5">
        <w:t xml:space="preserve"> age of participants was </w:t>
      </w:r>
      <w:r w:rsidR="006419D8">
        <w:t>21.73 with a standard deviation of 5.46 and a range of 18 to 55</w:t>
      </w:r>
      <w:r w:rsidR="005041F5">
        <w:t xml:space="preserve">. </w:t>
      </w:r>
      <w:r w:rsidR="00A568CB">
        <w:t>The sample was 65.2% female and 34.8% male. The participants were generally homogeneous in ethnicity (94.6% not Hispanic or Latino, 5.4% Hispanic or Latino) and race</w:t>
      </w:r>
      <w:r w:rsidR="004B224D">
        <w:t xml:space="preserve"> (</w:t>
      </w:r>
      <w:r w:rsidR="00264FF0">
        <w:t xml:space="preserve">92.3% White, 3.2% Asian, </w:t>
      </w:r>
      <w:r w:rsidR="004B224D">
        <w:t>1.8% American Indian/Alaska Native</w:t>
      </w:r>
      <w:r w:rsidR="00264FF0">
        <w:t>, 0.9% Native Hawaiian/Pacific Islander, 0.9% Black</w:t>
      </w:r>
      <w:r w:rsidR="00A52F9E">
        <w:t>, 2.1</w:t>
      </w:r>
      <w:r w:rsidR="00264FF0">
        <w:t>% other</w:t>
      </w:r>
      <w:r w:rsidR="00A52F9E">
        <w:t>.)</w:t>
      </w:r>
    </w:p>
    <w:p w14:paraId="78D6F2E1" w14:textId="7CEDCF51" w:rsidR="00D87B91" w:rsidRDefault="00E72E97" w:rsidP="008B7B43">
      <w:pPr>
        <w:spacing w:line="480" w:lineRule="auto"/>
      </w:pPr>
      <w:r>
        <w:tab/>
        <w:t>Although the sample was unscreen</w:t>
      </w:r>
      <w:r w:rsidR="00986045">
        <w:t xml:space="preserve">ed, </w:t>
      </w:r>
      <w:r w:rsidR="00E97480">
        <w:t>a significant proportion of</w:t>
      </w:r>
      <w:r w:rsidR="00986045">
        <w:t xml:space="preserve"> respondents </w:t>
      </w:r>
      <w:r w:rsidR="00E97480">
        <w:t xml:space="preserve">met </w:t>
      </w:r>
      <w:r w:rsidR="008F0569">
        <w:t xml:space="preserve">cutoffs for </w:t>
      </w:r>
      <w:r w:rsidR="00986045">
        <w:t>distress (</w:t>
      </w:r>
      <w:r w:rsidR="00E97480">
        <w:t>11.3%), depression (18.4</w:t>
      </w:r>
      <w:r w:rsidR="00986045">
        <w:t>%), social anxiety (</w:t>
      </w:r>
      <w:r w:rsidR="00E97480">
        <w:t>21.7</w:t>
      </w:r>
      <w:r w:rsidR="00986045">
        <w:t xml:space="preserve">%), </w:t>
      </w:r>
      <w:r w:rsidR="00E97480">
        <w:t xml:space="preserve">generalized anxiety (14.8%), </w:t>
      </w:r>
      <w:r w:rsidR="00986045">
        <w:t>academic distress (</w:t>
      </w:r>
      <w:r w:rsidR="00E97480">
        <w:t>11</w:t>
      </w:r>
      <w:r w:rsidR="00986045">
        <w:t xml:space="preserve">.6%), </w:t>
      </w:r>
      <w:r w:rsidR="00E97480">
        <w:t>and eating concerns (31</w:t>
      </w:r>
      <w:r w:rsidR="00986045">
        <w:t>.8%</w:t>
      </w:r>
      <w:r w:rsidR="008F0569">
        <w:t xml:space="preserve">) on the CCAPS-34 </w:t>
      </w:r>
      <w:r w:rsidR="00E97480">
        <w:t xml:space="preserve">at baseline </w:t>
      </w:r>
      <w:r w:rsidR="000E46EC">
        <w:fldChar w:fldCharType="begin" w:fldLock="1"/>
      </w:r>
      <w:r w:rsidR="000E46EC">
        <w:instrText>ADDIN CSL_CITATION { "citationItems" : [ { "id" : "ITEM-1", "itemData" : { "DOI" : "10.1177/0748175611432642", "ISSN" : "0748-1756", "abstract" : "A short version of the Counseling Center Assessment of Psychological Symptoms-62 (CCAPS-62) was created via three studies. The final short version (CCAPS-34), which contains 34 items and 7 subscales, demonstrated good discrimination power, support for the proposed factor structure, strong initial convergent validity, and adequate test-retest stability over 1-week and 2-week intervals.", "author" : [ { "dropping-particle" : "", "family" : "Locke", "given" : "Benjamin D.", "non-dropping-particle" : "", "parse-names" : false, "suffix" : "" }, { "dropping-particle" : "", "family" : "McAleavey", "given" : "Andrew a.", "non-dropping-particle" : "", "parse-names" : false, "suffix" : "" }, { "dropping-particle" : "", "family" : "Zhao", "given" : "Y.", "non-dropping-particle" : "", "parse-names" : false, "suffix" : "" }, { "dropping-particle" : "", "family" : "Lei", "given" : "P.-W.", "non-dropping-particle" : "", "parse-names" : false, "suffix" : "" }, { "dropping-particle" : "", "family" : "Hayes", "given" : "Jeffrey A.", "non-dropping-particle" : "", "parse-names" : false, "suffix" : "" }, { "dropping-particle" : "", "family" : "Castonguay", "given" : "Louis G.", "non-dropping-particle" : "", "parse-names" : false, "suffix" : "" }, { "dropping-particle" : "", "family" : "Li", "given" : "H.", "non-dropping-particle" : "", "parse-names" : false, "suffix" : "" }, { "dropping-particle" : "", "family" : "Tate", "given" : "R.", "non-dropping-particle" : "", "parse-names" : false, "suffix" : "" }, { "dropping-particle" : "", "family" : "Lin", "given" : "Y.-C.", "non-dropping-particle" : "", "parse-names" : false, "suffix" : "" } ], "container-title" : "Measurement and Evaluation in Counseling and Development", "id" : "ITEM-1", "issued" : { "date-parts" : [ [ "2012" ] ] }, "page" : "151-169", "title" : "Development and initial validation of the Counseling Center Assessment of Psychological Symptoms-34", "type" : "article-journal", "volume" : "45" }, "uris" : [ "http://www.mendeley.com/documents/?uuid=c7dd0ae0-74c7-4a74-ad3f-9e8ec4155a06" ] } ], "mendeley" : { "formattedCitation" : "(Locke et al., 2012)", "plainTextFormattedCitation" : "(Locke et al., 2012)", "previouslyFormattedCitation" : "(Locke et al., 2012)" }, "properties" : { "noteIndex" : 6 }, "schema" : "https://github.com/citation-style-language/schema/raw/master/csl-citation.json" }</w:instrText>
      </w:r>
      <w:r w:rsidR="000E46EC">
        <w:fldChar w:fldCharType="separate"/>
      </w:r>
      <w:r w:rsidR="000E46EC" w:rsidRPr="000E46EC">
        <w:rPr>
          <w:noProof/>
        </w:rPr>
        <w:t>(Locke et al., 2012)</w:t>
      </w:r>
      <w:r w:rsidR="000E46EC">
        <w:fldChar w:fldCharType="end"/>
      </w:r>
      <w:r w:rsidR="008F0569">
        <w:t xml:space="preserve">. </w:t>
      </w:r>
    </w:p>
    <w:p w14:paraId="168A0993" w14:textId="66FFEF9A" w:rsidR="00D87B91" w:rsidRPr="002B0645" w:rsidRDefault="00D87B91" w:rsidP="008B7B43">
      <w:pPr>
        <w:spacing w:line="480" w:lineRule="auto"/>
        <w:outlineLvl w:val="0"/>
        <w:rPr>
          <w:b/>
        </w:rPr>
      </w:pPr>
      <w:r w:rsidRPr="002B0645">
        <w:rPr>
          <w:b/>
        </w:rPr>
        <w:t>Procedures</w:t>
      </w:r>
    </w:p>
    <w:p w14:paraId="7342DC07" w14:textId="2BB78F54" w:rsidR="00D87B91" w:rsidRDefault="005041F5" w:rsidP="00035BD1">
      <w:pPr>
        <w:spacing w:line="480" w:lineRule="auto"/>
      </w:pPr>
      <w:r>
        <w:lastRenderedPageBreak/>
        <w:tab/>
        <w:t xml:space="preserve">Participants were recruited through the </w:t>
      </w:r>
      <w:proofErr w:type="spellStart"/>
      <w:r>
        <w:t>Sona</w:t>
      </w:r>
      <w:proofErr w:type="spellEnd"/>
      <w:r>
        <w:t xml:space="preserve"> research participation platform. A</w:t>
      </w:r>
      <w:r w:rsidR="00C50FAB">
        <w:t>fter providing informed consent</w:t>
      </w:r>
      <w:r>
        <w:t xml:space="preserve"> participants completed a battery of assessments online, including several other self-report measures assessing </w:t>
      </w:r>
      <w:r w:rsidR="00475594">
        <w:t xml:space="preserve">demographics and </w:t>
      </w:r>
      <w:r>
        <w:t xml:space="preserve">mental health predictors and outcomes. </w:t>
      </w:r>
      <w:r w:rsidR="00C50FAB">
        <w:t>A follow-up survey that assessed the same outcomes was completed four weeks after the initial survey</w:t>
      </w:r>
      <w:r w:rsidR="00ED6518">
        <w:t xml:space="preserve">, which was completed by </w:t>
      </w:r>
      <w:r w:rsidR="00290D14" w:rsidRPr="00290D14">
        <w:rPr>
          <w:color w:val="000000" w:themeColor="text1"/>
        </w:rPr>
        <w:t>301</w:t>
      </w:r>
      <w:r w:rsidR="00ED6518" w:rsidRPr="00290D14">
        <w:rPr>
          <w:color w:val="000000" w:themeColor="text1"/>
        </w:rPr>
        <w:t xml:space="preserve"> </w:t>
      </w:r>
      <w:r w:rsidR="00ED6518">
        <w:t>participants</w:t>
      </w:r>
      <w:r w:rsidR="00EC74DB">
        <w:t xml:space="preserve"> (88.79% of those who completed the initial survey)</w:t>
      </w:r>
      <w:r w:rsidR="00C50FAB">
        <w:t>. All procedures were approved by the Institutional Review Board of the authors’ university.</w:t>
      </w:r>
      <w:r w:rsidR="00ED6518">
        <w:t xml:space="preserve"> </w:t>
      </w:r>
      <w:r w:rsidR="00035BD1">
        <w:t xml:space="preserve">Random responding was screened with one final self-report question, “Overall, how would you describe your participation in this entire survey?” rated from </w:t>
      </w:r>
      <w:r w:rsidR="00035BD1" w:rsidRPr="00035BD1">
        <w:t>1 (</w:t>
      </w:r>
      <w:r w:rsidR="00035BD1">
        <w:t>“</w:t>
      </w:r>
      <w:r w:rsidR="00035BD1" w:rsidRPr="00035BD1">
        <w:t>I answered every question carefully and honestly</w:t>
      </w:r>
      <w:r w:rsidR="00035BD1">
        <w:t>”</w:t>
      </w:r>
      <w:r w:rsidR="00035BD1" w:rsidRPr="00035BD1">
        <w:t>)</w:t>
      </w:r>
      <w:r w:rsidR="00035BD1">
        <w:t xml:space="preserve"> </w:t>
      </w:r>
      <w:r w:rsidR="00035BD1" w:rsidRPr="00035BD1">
        <w:t>to</w:t>
      </w:r>
      <w:r w:rsidR="00035BD1">
        <w:t xml:space="preserve"> </w:t>
      </w:r>
      <w:r w:rsidR="00035BD1" w:rsidRPr="00035BD1">
        <w:t>5</w:t>
      </w:r>
      <w:r w:rsidR="00035BD1">
        <w:t xml:space="preserve"> </w:t>
      </w:r>
      <w:r w:rsidR="00035BD1" w:rsidRPr="00035BD1">
        <w:t>(</w:t>
      </w:r>
      <w:r w:rsidR="00E931F5">
        <w:t>“</w:t>
      </w:r>
      <w:r w:rsidR="00035BD1" w:rsidRPr="00035BD1">
        <w:t>I randomly responded and/or did not respond honestly to any questions</w:t>
      </w:r>
      <w:r w:rsidR="00035BD1">
        <w:t>”</w:t>
      </w:r>
      <w:r w:rsidR="00035BD1" w:rsidRPr="00035BD1">
        <w:t>)</w:t>
      </w:r>
      <w:r w:rsidR="00035BD1">
        <w:t>, and one participant was excluded for a high response on this item.</w:t>
      </w:r>
      <w:r w:rsidR="00E931F5">
        <w:t xml:space="preserve"> This screening process has been used in previous studies </w:t>
      </w:r>
      <w:r w:rsidR="00C96821">
        <w:t>(Levin, Lillis, &amp; Hayes, 2012).</w:t>
      </w:r>
    </w:p>
    <w:p w14:paraId="0397D8EA" w14:textId="28D7807C" w:rsidR="00D87B91" w:rsidRPr="00CF3FCA" w:rsidRDefault="00D87B91" w:rsidP="008B7B43">
      <w:pPr>
        <w:spacing w:line="480" w:lineRule="auto"/>
        <w:outlineLvl w:val="0"/>
        <w:rPr>
          <w:b/>
        </w:rPr>
      </w:pPr>
      <w:r w:rsidRPr="00CF3FCA">
        <w:rPr>
          <w:b/>
        </w:rPr>
        <w:t>Measures</w:t>
      </w:r>
    </w:p>
    <w:p w14:paraId="52040F4E" w14:textId="2774EE5F" w:rsidR="001432D8" w:rsidRDefault="00433AF4" w:rsidP="008B7B43">
      <w:pPr>
        <w:spacing w:line="480" w:lineRule="auto"/>
        <w:ind w:firstLine="720"/>
        <w:rPr>
          <w:rFonts w:eastAsia="Times New Roman"/>
        </w:rPr>
      </w:pPr>
      <w:r w:rsidRPr="00C6071D">
        <w:rPr>
          <w:b/>
        </w:rPr>
        <w:t xml:space="preserve">Cognitive Fusion Questionnaire </w:t>
      </w:r>
      <w:r w:rsidRPr="00B53D6E">
        <w:rPr>
          <w:b/>
        </w:rPr>
        <w:fldChar w:fldCharType="begin"/>
      </w:r>
      <w:r w:rsidRPr="00B53D6E">
        <w:rPr>
          <w:b/>
        </w:rPr>
        <w:instrText xml:space="preserve"> ADDIN EN.CITE &lt;EndNote&gt;&lt;Cite&gt;&lt;Author&gt;Gillanders&lt;/Author&gt;&lt;Year&gt;2014&lt;/Year&gt;&lt;RecNum&gt;189&lt;/RecNum&gt;&lt;Prefix&gt;CFQ`; &lt;/Prefix&gt;&lt;DisplayText&gt;(CFQ; Gillanders et al., 2014)&lt;/DisplayText&gt;&lt;record&gt;&lt;rec-number&gt;189&lt;/rec-number&gt;&lt;foreign-keys&gt;&lt;key app="EN" db-id="przrvfx0x2rvames0r8ve2vy900vvextz9zp" timestamp="1489376804"&gt;189&lt;/key&gt;&lt;key app="ENWeb" db-id=""&gt;0&lt;/key&gt;&lt;/foreign-keys&gt;&lt;ref-type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dates&gt;&lt;year&gt;2014&lt;/year&gt;&lt;/dates&gt;&lt;urls&gt;&lt;/urls&gt;&lt;electronic-resource-num&gt;10.1016/j.beth.2013.09.001&lt;/electronic-resource-num&gt;&lt;/record&gt;&lt;/Cite&gt;&lt;/EndNote&gt;</w:instrText>
      </w:r>
      <w:r w:rsidRPr="00B53D6E">
        <w:rPr>
          <w:b/>
        </w:rPr>
        <w:fldChar w:fldCharType="separate"/>
      </w:r>
      <w:r w:rsidRPr="00B53D6E">
        <w:rPr>
          <w:b/>
          <w:noProof/>
        </w:rPr>
        <w:t xml:space="preserve">(CFQ; </w:t>
      </w:r>
      <w:r w:rsidRPr="00B53D6E">
        <w:rPr>
          <w:b/>
          <w:noProof/>
        </w:rPr>
        <w:fldChar w:fldCharType="begin" w:fldLock="1"/>
      </w:r>
      <w:r>
        <w:rPr>
          <w:b/>
          <w:noProof/>
        </w:rPr>
        <w:instrText>ADDIN CSL_CITATION { "citationItems" : [ { "id" : "ITEM-1", "itemData" : { "DOI" : "10.1016/j.beth.2013.09.001", "ISBN" : "0005-7894", "ISSN" : "00057894", "PMID" : "24411117", "abstract" : "Acceptance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\u00a9 2013.", "author" : [ { "dropping-particle" : "", "family" : "Gillanders", "given" : "David T.", "non-dropping-particle" : "", "parse-names" : false, "suffix" : "" }, { "dropping-particle" : "", "family" : "Bolderston", "given" : "Helen", "non-dropping-particle" : "", "parse-names" : false, "suffix" : "" }, { "dropping-particle" : "", "family" : "Bond", "given" : "Frank W.", "non-dropping-particle" : "", "parse-names" : false, "suffix" : "" }, { "dropping-particle" : "", "family" : "Dempster", "given" : "Maria", "non-dropping-particle" : "", "parse-names" : false, "suffix" : "" }, { "dropping-particle" : "", "family" : "Flaxman", "given" : "Paul E.", "non-dropping-particle" : "", "parse-names" : false, "suffix" : "" }, { "dropping-particle" : "", "family" : "Campbell", "given" : "Lindsey", "non-dropping-particle" : "", "parse-names" : false, "suffix" : "" }, { "dropping-particle" : "", "family" : "Kerr", "given" : "Sian", "non-dropping-particle" : "", "parse-names" : false, "suffix" : "" }, { "dropping-particle" : "", "family" : "Tansey", "given" : "Louise", "non-dropping-particle" : "", "parse-names" : false, "suffix" : "" }, { "dropping-particle" : "", "family" : "Noel", "given" : "Penelope", "non-dropping-particle" : "", "parse-names" : false, "suffix" : "" }, { "dropping-particle" : "", "family" : "Ferenbach", "given" : "Clive", "non-dropping-particle" : "", "parse-names" : false, "suffix" : "" }, { "dropping-particle" : "", "family" : "Masley", "given" : "Samantha", "non-dropping-particle" : "", "parse-names" : false, "suffix" : "" }, { "dropping-particle" : "", "family" : "Roach", "given" : "Louise", "non-dropping-particle" : "", "parse-names" : false, "suffix" : "" }, { "dropping-particle" : "", "family" : "Lloyd", "given" : "Joda", "non-dropping-particle" : "", "parse-names" : false, "suffix" : "" }, { "dropping-particle" : "", "family" : "May", "given" : "Lauraine", "non-dropping-particle" : "", "parse-names" : false, "suffix" : "" }, { "dropping-particle" : "", "family" : "Clarke", "given" : "Susan", "non-dropping-particle" : "", "parse-names" : false, "suffix" : "" }, { "dropping-particle" : "", "family" : "Remington", "given" : "Bob", "non-dropping-particle" : "", "parse-names" : false, "suffix" : "" } ], "container-title" : "Behavior Therapy", "id" : "ITEM-1", "issue" : "1", "issued" : { "date-parts" : [ [ "2014" ] ] }, "page" : "83-101", "publisher" : "Elsevier B.V.", "title" : "The development and initial validation of the Cognitive Fusion Questionnaire", "type" : "article-journal", "volume" : "45" }, "uris" : [ "http://www.mendeley.com/documents/?uuid=84c45b24-f636-4d6b-acfe-64d990dbba28" ] } ], "mendeley" : { "formattedCitation" : "(Gillanders et al., 2014)", "manualFormatting" : "Gillanders et al., 2014)", "plainTextFormattedCitation" : "(Gillanders et al., 2014)", "previouslyFormattedCitation" : "(Gillanders et al., 2014)" }, "properties" : { "noteIndex" : 0 }, "schema" : "https://github.com/citation-style-language/schema/raw/master/csl-citation.json" }</w:instrText>
      </w:r>
      <w:r w:rsidRPr="00B53D6E">
        <w:rPr>
          <w:b/>
          <w:noProof/>
        </w:rPr>
        <w:fldChar w:fldCharType="separate"/>
      </w:r>
      <w:r w:rsidRPr="00B53D6E">
        <w:rPr>
          <w:b/>
          <w:noProof/>
        </w:rPr>
        <w:t>Gillanders et al., 2014)</w:t>
      </w:r>
      <w:r w:rsidRPr="00B53D6E">
        <w:rPr>
          <w:b/>
          <w:noProof/>
        </w:rPr>
        <w:fldChar w:fldCharType="end"/>
      </w:r>
      <w:r w:rsidRPr="00B53D6E">
        <w:rPr>
          <w:b/>
        </w:rPr>
        <w:fldChar w:fldCharType="end"/>
      </w:r>
      <w:r w:rsidRPr="00B53D6E">
        <w:rPr>
          <w:b/>
        </w:rPr>
        <w:t>.</w:t>
      </w:r>
      <w:r w:rsidRPr="00981D9A">
        <w:rPr>
          <w:b/>
        </w:rPr>
        <w:t xml:space="preserve"> </w:t>
      </w:r>
      <w:r w:rsidRPr="00981D9A">
        <w:t xml:space="preserve">The CFQ is a </w:t>
      </w:r>
      <w:r w:rsidR="00C23004">
        <w:t xml:space="preserve">7-item </w:t>
      </w:r>
      <w:r w:rsidRPr="00981D9A">
        <w:t>measure of cognitive fusion</w:t>
      </w:r>
      <w:r w:rsidR="00C23004">
        <w:t xml:space="preserve">. </w:t>
      </w:r>
      <w:r>
        <w:t xml:space="preserve">A sample item is “I tend to get very entangled in my thoughts.” </w:t>
      </w:r>
      <w:r w:rsidR="00C23004">
        <w:t>Each item is rated on a 7-point scale and h</w:t>
      </w:r>
      <w:r>
        <w:t>igher scores indicate higher levels of cognitive fusion</w:t>
      </w:r>
      <w:r w:rsidRPr="00981D9A">
        <w:t xml:space="preserve">. </w:t>
      </w:r>
      <w:r>
        <w:t>The CFQ has excellent internal consistency and good temporal stability as well as good evidence of construct validity in college students (</w:t>
      </w:r>
      <w:proofErr w:type="spellStart"/>
      <w:r>
        <w:t>Gillanders</w:t>
      </w:r>
      <w:proofErr w:type="spellEnd"/>
      <w:r>
        <w:t xml:space="preserve"> et al., 2014).</w:t>
      </w:r>
      <w:r w:rsidR="003F4251">
        <w:t xml:space="preserve"> </w:t>
      </w:r>
      <w:r w:rsidR="00B4630F">
        <w:t xml:space="preserve">Internal consistency for the present sample was </w:t>
      </w:r>
      <w:r w:rsidR="00B4630F" w:rsidRPr="00EB64A3">
        <w:rPr>
          <w:rFonts w:eastAsia="Times New Roman"/>
          <w:color w:val="222222"/>
          <w:shd w:val="clear" w:color="auto" w:fill="FFFFFF"/>
        </w:rPr>
        <w:t>α</w:t>
      </w:r>
      <w:r w:rsidR="00B4630F" w:rsidRPr="00EB64A3">
        <w:rPr>
          <w:rFonts w:eastAsia="Times New Roman"/>
        </w:rPr>
        <w:t xml:space="preserve"> =</w:t>
      </w:r>
      <w:r w:rsidR="00B4630F">
        <w:rPr>
          <w:rFonts w:eastAsia="Times New Roman"/>
        </w:rPr>
        <w:t xml:space="preserve"> .95.</w:t>
      </w:r>
    </w:p>
    <w:p w14:paraId="4BE983A9" w14:textId="76EF1B8A" w:rsidR="00B133F6" w:rsidRDefault="00B133F6" w:rsidP="008B7B43">
      <w:pPr>
        <w:spacing w:line="480" w:lineRule="auto"/>
        <w:ind w:firstLine="720"/>
      </w:pPr>
      <w:r>
        <w:t>Fusion is a dimensional construct (</w:t>
      </w:r>
      <w:proofErr w:type="spellStart"/>
      <w:r>
        <w:t>Gillanders</w:t>
      </w:r>
      <w:proofErr w:type="spellEnd"/>
      <w:r>
        <w:t xml:space="preserve"> et al., 2014), and as such the CFQ may be considered a measure of both fusion and </w:t>
      </w:r>
      <w:proofErr w:type="spellStart"/>
      <w:r>
        <w:t>defusion</w:t>
      </w:r>
      <w:proofErr w:type="spellEnd"/>
      <w:r>
        <w:t xml:space="preserve"> (indicated by low fusion scores). However, all items on the measure are worded to measure fusion </w:t>
      </w:r>
      <w:r w:rsidR="00CA5A9F">
        <w:t xml:space="preserve">directly, </w:t>
      </w:r>
      <w:r>
        <w:t xml:space="preserve">and reverse scored items written to measure </w:t>
      </w:r>
      <w:proofErr w:type="spellStart"/>
      <w:r>
        <w:t>defusion</w:t>
      </w:r>
      <w:proofErr w:type="spellEnd"/>
      <w:r>
        <w:t xml:space="preserve"> loaded on a separate factor in validation analyses (</w:t>
      </w:r>
      <w:r w:rsidR="00CA5A9F">
        <w:t xml:space="preserve">no reverse scored items were retained in the final version; </w:t>
      </w:r>
      <w:proofErr w:type="spellStart"/>
      <w:r>
        <w:t>Gillanders</w:t>
      </w:r>
      <w:proofErr w:type="spellEnd"/>
      <w:r>
        <w:t xml:space="preserve"> et al., 2014). </w:t>
      </w:r>
    </w:p>
    <w:p w14:paraId="10625C45" w14:textId="07C0AF91" w:rsidR="00A01151" w:rsidRPr="00EB64A3" w:rsidRDefault="00EB64A3" w:rsidP="008B7B43">
      <w:pPr>
        <w:spacing w:line="480" w:lineRule="auto"/>
        <w:rPr>
          <w:rFonts w:eastAsia="Times New Roman"/>
        </w:rPr>
      </w:pPr>
      <w:r w:rsidRPr="00EB64A3">
        <w:rPr>
          <w:b/>
        </w:rPr>
        <w:lastRenderedPageBreak/>
        <w:tab/>
      </w:r>
      <w:r w:rsidR="001432D8" w:rsidRPr="00EB64A3">
        <w:rPr>
          <w:b/>
        </w:rPr>
        <w:t xml:space="preserve">Emotion Regulation Questionnaire-Cognitive Reappraisal (ERQ-CR; </w:t>
      </w:r>
      <w:r w:rsidR="001432D8" w:rsidRPr="00EB64A3">
        <w:rPr>
          <w:b/>
        </w:rPr>
        <w:fldChar w:fldCharType="begin" w:fldLock="1"/>
      </w:r>
      <w:r w:rsidR="001432D8" w:rsidRPr="00EB64A3">
        <w:rPr>
          <w:b/>
        </w:rPr>
        <w:instrText>ADDIN CSL_CITATION { "citationItems" : [ { "id" : "ITEM-1", "itemData" : { "DOI" : "10.1037/0022-3514.85.2.348", "author" : [ { "dropping-particle" : "", "family" : "Gross", "given" : "James J", "non-dropping-particle" : "", "parse-names" : false, "suffix" : "" }, { "dropping-particle" : "", "family" : "John", "given" : "Oliver P", "non-dropping-particle" : "", "parse-names" : false, "suffix" : "" } ], "id" : "ITEM-1", "issue" : "2", "issued" : { "date-parts" : [ [ "2003" ] ] }, "page" : "348-362", "title" : "Individual Differences in Two Emotion Regulation Processes : Implications for Affect , Relationships , and Well-Being", "type" : "article-journal", "volume" : "85" }, "uris" : [ "http://www.mendeley.com/documents/?uuid=6df820fa-415d-458a-a248-b14720f83a23" ] } ], "mendeley" : { "formattedCitation" : "(Gross &amp; John, 2003)", "manualFormatting" : "Gross &amp; John, 2003)", "plainTextFormattedCitation" : "(Gross &amp; John, 2003)", "previouslyFormattedCitation" : "(Gross &amp; John, 2003)" }, "properties" : { "noteIndex" : 0 }, "schema" : "https://github.com/citation-style-language/schema/raw/master/csl-citation.json" }</w:instrText>
      </w:r>
      <w:r w:rsidR="001432D8" w:rsidRPr="00EB64A3">
        <w:rPr>
          <w:b/>
        </w:rPr>
        <w:fldChar w:fldCharType="separate"/>
      </w:r>
      <w:r w:rsidR="001432D8" w:rsidRPr="00EB64A3">
        <w:rPr>
          <w:b/>
          <w:noProof/>
        </w:rPr>
        <w:t>Gross &amp; John, 2003)</w:t>
      </w:r>
      <w:r w:rsidR="001432D8" w:rsidRPr="00EB64A3">
        <w:rPr>
          <w:b/>
        </w:rPr>
        <w:fldChar w:fldCharType="end"/>
      </w:r>
      <w:r w:rsidR="001432D8" w:rsidRPr="00EB64A3">
        <w:rPr>
          <w:b/>
        </w:rPr>
        <w:t xml:space="preserve">. </w:t>
      </w:r>
      <w:r w:rsidR="001432D8" w:rsidRPr="00EB64A3">
        <w:t xml:space="preserve">The ERQ measures use of emotion regulation strategies. The 6-item subscale measuring cognitive reappraisal was used in the present study. A sample item is “I control my emotions by changing the way I’m thinking about the situation I’m in.” </w:t>
      </w:r>
      <w:r w:rsidR="00C23004" w:rsidRPr="00EB64A3">
        <w:t>Each item is rated on a 7-point scale and h</w:t>
      </w:r>
      <w:r w:rsidR="00FB2821" w:rsidRPr="00EB64A3">
        <w:t xml:space="preserve">igher scores indicate greater use of reappraisal. </w:t>
      </w:r>
      <w:r w:rsidR="001432D8" w:rsidRPr="00EB64A3">
        <w:t xml:space="preserve">The cognitive reappraisal subscale has adequate reliability and validity in </w:t>
      </w:r>
      <w:r w:rsidR="00BC61B8" w:rsidRPr="00EB64A3">
        <w:t xml:space="preserve">undergraduate college students </w:t>
      </w:r>
      <w:r w:rsidR="001432D8" w:rsidRPr="00EB64A3">
        <w:fldChar w:fldCharType="begin" w:fldLock="1"/>
      </w:r>
      <w:r w:rsidR="001432D8" w:rsidRPr="00EB64A3">
        <w:instrText>ADDIN CSL_CITATION { "citationItems" : [ { "id" : "ITEM-1", "itemData" : { "DOI" : "10.1037/0022-3514.85.2.348", "author" : [ { "dropping-particle" : "", "family" : "Gross", "given" : "James J", "non-dropping-particle" : "", "parse-names" : false, "suffix" : "" }, { "dropping-particle" : "", "family" : "John", "given" : "Oliver P", "non-dropping-particle" : "", "parse-names" : false, "suffix" : "" } ], "id" : "ITEM-1", "issue" : "2", "issued" : { "date-parts" : [ [ "2003" ] ] }, "page" : "348-362", "title" : "Individual Differences in Two Emotion Regulation Processes : Implications for Affect , Relationships , and Well-Being", "type" : "article-journal", "volume" : "85" }, "uris" : [ "http://www.mendeley.com/documents/?uuid=6df820fa-415d-458a-a248-b14720f83a23" ] } ], "mendeley" : { "formattedCitation" : "(Gross &amp; John, 2003)", "plainTextFormattedCitation" : "(Gross &amp; John, 2003)", "previouslyFormattedCitation" : "(Gross &amp; John, 2003)" }, "properties" : { "noteIndex" : 0 }, "schema" : "https://github.com/citation-style-language/schema/raw/master/csl-citation.json" }</w:instrText>
      </w:r>
      <w:r w:rsidR="001432D8" w:rsidRPr="00EB64A3">
        <w:fldChar w:fldCharType="separate"/>
      </w:r>
      <w:r w:rsidR="001432D8" w:rsidRPr="00EB64A3">
        <w:rPr>
          <w:noProof/>
        </w:rPr>
        <w:t>(Gross &amp; John, 2003)</w:t>
      </w:r>
      <w:r w:rsidR="001432D8" w:rsidRPr="00EB64A3">
        <w:fldChar w:fldCharType="end"/>
      </w:r>
      <w:r w:rsidR="00A01151" w:rsidRPr="00EB64A3">
        <w:t>.</w:t>
      </w:r>
      <w:r w:rsidR="003F4251" w:rsidRPr="00EB64A3">
        <w:t xml:space="preserve"> Internal consistency for the present sample was </w:t>
      </w:r>
      <w:r w:rsidRPr="00EB64A3">
        <w:rPr>
          <w:rFonts w:eastAsia="Times New Roman"/>
          <w:color w:val="222222"/>
          <w:shd w:val="clear" w:color="auto" w:fill="FFFFFF"/>
        </w:rPr>
        <w:t>α</w:t>
      </w:r>
      <w:r w:rsidRPr="00EB64A3">
        <w:rPr>
          <w:rFonts w:eastAsia="Times New Roman"/>
        </w:rPr>
        <w:t xml:space="preserve"> = </w:t>
      </w:r>
      <w:r w:rsidR="003F4251" w:rsidRPr="00EB64A3">
        <w:t>0.89.</w:t>
      </w:r>
    </w:p>
    <w:p w14:paraId="07991EBE" w14:textId="58AB4448" w:rsidR="00A01151" w:rsidRDefault="00A01151" w:rsidP="008B7B43">
      <w:pPr>
        <w:spacing w:line="480" w:lineRule="auto"/>
        <w:ind w:firstLine="720"/>
      </w:pPr>
      <w:r w:rsidRPr="00A01151">
        <w:rPr>
          <w:b/>
        </w:rPr>
        <w:t xml:space="preserve">Ruminative Thought Style </w:t>
      </w:r>
      <w:r w:rsidR="00BC61B8">
        <w:rPr>
          <w:b/>
        </w:rPr>
        <w:t xml:space="preserve">Questionnaire </w:t>
      </w:r>
      <w:r w:rsidRPr="000E46EC">
        <w:rPr>
          <w:b/>
        </w:rPr>
        <w:t>(RTS</w:t>
      </w:r>
      <w:r w:rsidR="00BC61B8" w:rsidRPr="000E46EC">
        <w:rPr>
          <w:b/>
        </w:rPr>
        <w:t>Q</w:t>
      </w:r>
      <w:r w:rsidRPr="000E46EC">
        <w:rPr>
          <w:b/>
        </w:rPr>
        <w:t xml:space="preserve">; </w:t>
      </w:r>
      <w:r w:rsidRPr="000E46EC">
        <w:rPr>
          <w:b/>
        </w:rPr>
        <w:fldChar w:fldCharType="begin" w:fldLock="1"/>
      </w:r>
      <w:r w:rsidRPr="000E46EC">
        <w:rPr>
          <w:b/>
        </w:rPr>
        <w:instrText>ADDIN CSL_CITATION { "citationItems" : [ { "id" : "ITEM-1", "itemData" : { "DOI" : "10.1002/jclp.20542", "ISSN" : "00219762", "author" : [ { "dropping-particle" : "", "family" : "Brinker", "given" : "Jay K.", "non-dropping-particle" : "", "parse-names" : false, "suffix" : "" }, { "dropping-particle" : "", "family" : "Dozois", "given" : "David J.A.", "non-dropping-particle" : "", "parse-names" : false, "suffix" : "" } ], "container-title" : "Journal of Clinical Psychology", "id" : "ITEM-1", "issue" : "1", "issued" : { "date-parts" : [ [ "2009", "1", "1" ] ] }, "page" : "1-19", "publisher" : "Wiley Subscription Services, Inc., A Wiley Company", "title" : "Ruminative thought style and depressed mood", "type" : "article-journal", "volume" : "65" }, "uris" : [ "http://www.mendeley.com/documents/?uuid=45c07c68-bfda-344d-9e30-9ea6a15d5ac2" ] } ], "mendeley" : { "formattedCitation" : "(Brinker &amp; Dozois, 2009)", "manualFormatting" : "Brinker &amp; Dozois, 2009)", "plainTextFormattedCitation" : "(Brinker &amp; Dozois, 2009)", "previouslyFormattedCitation" : "(Brinker &amp; Dozois, 2009)" }, "properties" : { "noteIndex" : 0 }, "schema" : "https://github.com/citation-style-language/schema/raw/master/csl-citation.json" }</w:instrText>
      </w:r>
      <w:r w:rsidRPr="000E46EC">
        <w:rPr>
          <w:b/>
        </w:rPr>
        <w:fldChar w:fldCharType="separate"/>
      </w:r>
      <w:r w:rsidRPr="000E46EC">
        <w:rPr>
          <w:b/>
          <w:noProof/>
        </w:rPr>
        <w:t>Brinker &amp; Dozois, 2009)</w:t>
      </w:r>
      <w:r w:rsidRPr="000E46EC">
        <w:rPr>
          <w:b/>
        </w:rPr>
        <w:fldChar w:fldCharType="end"/>
      </w:r>
      <w:r w:rsidRPr="00A01151">
        <w:rPr>
          <w:b/>
        </w:rPr>
        <w:t>.</w:t>
      </w:r>
      <w:r w:rsidRPr="00A01151">
        <w:t xml:space="preserve"> </w:t>
      </w:r>
      <w:r w:rsidR="00BC61B8">
        <w:t>A revised 15-item version of the RTSQ</w:t>
      </w:r>
      <w:r w:rsidR="000E46EC">
        <w:t xml:space="preserve"> </w:t>
      </w:r>
      <w:r w:rsidR="000E46EC">
        <w:fldChar w:fldCharType="begin" w:fldLock="1"/>
      </w:r>
      <w:r w:rsidR="000E46EC">
        <w:instrText>ADDIN CSL_CITATION { "citationItems" : [ { "id" : "ITEM-1", "itemData" : { "DOI" : "10.1007/s10608-012-9492-1", "ISBN" : "01475916 (ISSN)", "ISSN" : "01475916", "abstract" : "The Ruminative Thought Style Questionnaire (RTSQ) is a 20-item measure assessing a single dimension of rumination over and above valence, temporal orientation of thought content, and the cognitive-affective context in which it occurs. The current study examined the factor structure of rumination as measured by the RTSQ, and whether findings of its initial validation study could be replicated within an adolescent sample (N\u00a0=\u00a02,362). An exploratory factor analysis and a subsequent confirmatory factor analysis were undertaken on two subsamples (n\u00a0=\u00a01,181) which did not significantly differ in gender and age. Five items with factor loadings of &lt;.50 or cross loadings of &gt;.30 on a second factor were removed. As hypothesised, an exploratory factor analysis on the final 15 items demonstrated the RTSQ was comprised of four rumination subcomponents, labelled \"Problem-Focused Thoughts\", \"Counterfactual Thinking\", \"Repetitive Thoughts\", and \"Anticipatory Thoughts\". A confirmatory factor analysis supported this, contrary to the initial validation study. Each of these subscales had differential contributions to psychological distress and coping styles in separate multiple regressions. Our findings support the increasing body of evidence suggesting a multidimensional structure for rumination, and clinical implications are noted. \u00a9 2012 Springer Science+Business Media New York.", "author" : [ { "dropping-particle" : "", "family" : "Tanner", "given" : "Alicia", "non-dropping-particle" : "", "parse-names" : false, "suffix" : "" }, { "dropping-particle" : "", "family" : "Voon", "given" : "David", "non-dropping-particle" : "", "parse-names" : false, "suffix" : "" }, { "dropping-particle" : "", "family" : "Hasking", "given" : "Penelope", "non-dropping-particle" : "", "parse-names" : false, "suffix" : "" }, { "dropping-particle" : "", "family" : "Martin", "given" : "Graham", "non-dropping-particle" : "", "parse-names" : false, "suffix" : "" } ], "container-title" : "Cognitive Therapy and Research", "id" : "ITEM-1", "issue" : "3", "issued" : { "date-parts" : [ [ "2013" ] ] }, "page" : "633-646", "title" : "Underlying structure of ruminative thinking: Factor analysis of the ruminative thought style questionnaire", "type" : "article-journal", "volume" : "37" }, "uris" : [ "http://www.mendeley.com/documents/?uuid=86b5aaec-1f3c-4f29-add8-263f36e0a37d" ] } ], "mendeley" : { "formattedCitation" : "(Tanner, Voon, Hasking, &amp; Martin, 2013)", "plainTextFormattedCitation" : "(Tanner, Voon, Hasking, &amp; Martin, 2013)", "previouslyFormattedCitation" : "(Tanner, Voon, Hasking, &amp; Martin, 2013)" }, "properties" : { "noteIndex" : 7 }, "schema" : "https://github.com/citation-style-language/schema/raw/master/csl-citation.json" }</w:instrText>
      </w:r>
      <w:r w:rsidR="000E46EC">
        <w:fldChar w:fldCharType="separate"/>
      </w:r>
      <w:r w:rsidR="000E46EC" w:rsidRPr="000E46EC">
        <w:rPr>
          <w:noProof/>
        </w:rPr>
        <w:t>(Tanner, Voon, Hasking, &amp; Martin, 2013)</w:t>
      </w:r>
      <w:r w:rsidR="000E46EC">
        <w:fldChar w:fldCharType="end"/>
      </w:r>
      <w:r w:rsidR="00BC61B8">
        <w:t xml:space="preserve"> was used to measure use of rumination. </w:t>
      </w:r>
      <w:r w:rsidR="003112DE">
        <w:t xml:space="preserve">A sample item is “I find that my mind goes over things again and again.” </w:t>
      </w:r>
      <w:r w:rsidR="00462B36">
        <w:t>Each item is scored on a 7-point scale and h</w:t>
      </w:r>
      <w:r w:rsidR="00FB2821">
        <w:t xml:space="preserve">igher scores indicate </w:t>
      </w:r>
      <w:r w:rsidR="00721184">
        <w:t xml:space="preserve">higher levels of rumination. </w:t>
      </w:r>
      <w:r w:rsidRPr="00A01151">
        <w:t>The RTS</w:t>
      </w:r>
      <w:r w:rsidR="003112DE">
        <w:t xml:space="preserve">Q has </w:t>
      </w:r>
      <w:r w:rsidR="00A20A62">
        <w:t>had high internal consistency and good</w:t>
      </w:r>
      <w:r w:rsidR="0035398F">
        <w:t xml:space="preserve"> test-retest reliability</w:t>
      </w:r>
      <w:r w:rsidR="003112DE">
        <w:t xml:space="preserve"> </w:t>
      </w:r>
      <w:r w:rsidRPr="00A01151">
        <w:t>and</w:t>
      </w:r>
      <w:r w:rsidR="00A20A62">
        <w:t xml:space="preserve"> convergent</w:t>
      </w:r>
      <w:r w:rsidRPr="00A01151">
        <w:t xml:space="preserve"> validity in past </w:t>
      </w:r>
      <w:r w:rsidR="00A20A62">
        <w:t>studies</w:t>
      </w:r>
      <w:r w:rsidRPr="00A01151">
        <w:t xml:space="preserve"> </w:t>
      </w:r>
      <w:r w:rsidRPr="00A01151">
        <w:fldChar w:fldCharType="begin" w:fldLock="1"/>
      </w:r>
      <w:r w:rsidR="000E46EC">
        <w:instrText>ADDIN CSL_CITATION { "citationItems" : [ { "id" : "ITEM-1", "itemData" : { "DOI" : "10.1002/jclp.20542", "ISSN" : "00219762", "author" : [ { "dropping-particle" : "", "family" : "Brinker", "given" : "Jay K.", "non-dropping-particle" : "", "parse-names" : false, "suffix" : "" }, { "dropping-particle" : "", "family" : "Dozois", "given" : "David J.A.", "non-dropping-particle" : "", "parse-names" : false, "suffix" : "" } ], "container-title" : "Journal of Clinical Psychology", "id" : "ITEM-1", "issue" : "1", "issued" : { "date-parts" : [ [ "2009", "1", "1" ] ] }, "page" : "1-19", "publisher" : "Wiley Subscription Services, Inc., A Wiley Company", "title" : "Ruminative thought style and depressed mood", "type" : "article-journal", "volume" : "65" }, "uris" : [ "http://www.mendeley.com/documents/?uuid=45c07c68-bfda-344d-9e30-9ea6a15d5ac2" ] }, { "id" : "ITEM-2", "itemData" : { "DOI" : "10.1007/s10608-012-9492-1", "ISBN" : "01475916 (ISSN)", "ISSN" : "01475916", "abstract" : "The Ruminative Thought Style Questionnaire (RTSQ) is a 20-item measure assessing a single dimension of rumination over and above valence, temporal orientation of thought content, and the cognitive-affective context in which it occurs. The current study examined the factor structure of rumination as measured by the RTSQ, and whether findings of its initial validation study could be replicated within an adolescent sample (N\u00a0=\u00a02,362). An exploratory factor analysis and a subsequent confirmatory factor analysis were undertaken on two subsamples (n\u00a0=\u00a01,181) which did not significantly differ in gender and age. Five items with factor loadings of &lt;.50 or cross loadings of &gt;.30 on a second factor were removed. As hypothesised, an exploratory factor analysis on the final 15 items demonstrated the RTSQ was comprised of four rumination subcomponents, labelled \"Problem-Focused Thoughts\", \"Counterfactual Thinking\", \"Repetitive Thoughts\", and \"Anticipatory Thoughts\". A confirmatory factor analysis supported this, contrary to the initial validation study. Each of these subscales had differential contributions to psychological distress and coping styles in separate multiple regressions. Our findings support the increasing body of evidence suggesting a multidimensional structure for rumination, and clinical implications are noted. \u00a9 2012 Springer Science+Business Media New York.", "author" : [ { "dropping-particle" : "", "family" : "Tanner", "given" : "Alicia", "non-dropping-particle" : "", "parse-names" : false, "suffix" : "" }, { "dropping-particle" : "", "family" : "Voon", "given" : "David", "non-dropping-particle" : "", "parse-names" : false, "suffix" : "" }, { "dropping-particle" : "", "family" : "Hasking", "given" : "Penelope", "non-dropping-particle" : "", "parse-names" : false, "suffix" : "" }, { "dropping-particle" : "", "family" : "Martin", "given" : "Graham", "non-dropping-particle" : "", "parse-names" : false, "suffix" : "" } ], "container-title" : "Cognitive Therapy and Research", "id" : "ITEM-2", "issue" : "3", "issued" : { "date-parts" : [ [ "2013" ] ] }, "page" : "633-646", "title" : "Underlying structure of ruminative thinking: Factor analysis of the ruminative thought style questionnaire", "type" : "article-journal", "volume" : "37" }, "uris" : [ "http://www.mendeley.com/documents/?uuid=86b5aaec-1f3c-4f29-add8-263f36e0a37d" ] } ], "mendeley" : { "formattedCitation" : "(Brinker &amp; Dozois, 2009; Tanner et al., 2013)", "manualFormatting" : "(Brinker &amp; Dozois, 2009; Tanner, et al., 2013)", "plainTextFormattedCitation" : "(Brinker &amp; Dozois, 2009; Tanner et al., 2013)", "previouslyFormattedCitation" : "(Brinker &amp; Dozois, 2009; Tanner et al., 2013)" }, "properties" : { "noteIndex" : 0 }, "schema" : "https://github.com/citation-style-language/schema/raw/master/csl-citation.json" }</w:instrText>
      </w:r>
      <w:r w:rsidRPr="00A01151">
        <w:fldChar w:fldCharType="separate"/>
      </w:r>
      <w:r w:rsidRPr="00A01151">
        <w:rPr>
          <w:noProof/>
        </w:rPr>
        <w:t xml:space="preserve">(Brinker &amp; Dozois, 2009; Tanner, </w:t>
      </w:r>
      <w:r w:rsidR="003112DE">
        <w:rPr>
          <w:noProof/>
        </w:rPr>
        <w:t>et al.</w:t>
      </w:r>
      <w:r w:rsidRPr="00A01151">
        <w:rPr>
          <w:noProof/>
        </w:rPr>
        <w:t>, 2013)</w:t>
      </w:r>
      <w:r w:rsidRPr="00A01151">
        <w:fldChar w:fldCharType="end"/>
      </w:r>
      <w:r w:rsidRPr="00A01151">
        <w:t>.</w:t>
      </w:r>
      <w:r w:rsidR="00B4630F">
        <w:t xml:space="preserve"> </w:t>
      </w:r>
      <w:r w:rsidR="00EB72B2">
        <w:t xml:space="preserve"> Internal consistency in the present sample was </w:t>
      </w:r>
      <w:r w:rsidR="00EB72B2" w:rsidRPr="00EB64A3">
        <w:rPr>
          <w:rFonts w:eastAsia="Times New Roman"/>
          <w:color w:val="222222"/>
          <w:shd w:val="clear" w:color="auto" w:fill="FFFFFF"/>
        </w:rPr>
        <w:t>α</w:t>
      </w:r>
      <w:r w:rsidR="00EB72B2" w:rsidRPr="00EB64A3">
        <w:rPr>
          <w:rFonts w:eastAsia="Times New Roman"/>
        </w:rPr>
        <w:t xml:space="preserve"> =</w:t>
      </w:r>
      <w:r w:rsidR="00EB72B2">
        <w:rPr>
          <w:rFonts w:eastAsia="Times New Roman"/>
        </w:rPr>
        <w:t xml:space="preserve"> .94.</w:t>
      </w:r>
    </w:p>
    <w:p w14:paraId="16DB1FCB" w14:textId="79E8DF97" w:rsidR="00433AF4" w:rsidRDefault="00906C55" w:rsidP="008B7B43">
      <w:pPr>
        <w:spacing w:line="480" w:lineRule="auto"/>
      </w:pPr>
      <w:r>
        <w:tab/>
      </w:r>
      <w:r w:rsidRPr="006D07EC">
        <w:rPr>
          <w:rFonts w:eastAsia="Times New Roman"/>
          <w:b/>
          <w:bdr w:val="none" w:sz="0" w:space="0" w:color="auto" w:frame="1"/>
        </w:rPr>
        <w:t>Counseling Center Assessment of Psychological Symptoms, 34-item version (CCAPS-34</w:t>
      </w:r>
      <w:r w:rsidRPr="006D07EC">
        <w:rPr>
          <w:rFonts w:eastAsia="Times New Roman"/>
          <w:b/>
          <w:spacing w:val="-1"/>
          <w:bdr w:val="none" w:sz="0" w:space="0" w:color="auto" w:frame="1"/>
        </w:rPr>
        <w:t xml:space="preserve">; </w:t>
      </w:r>
      <w:r w:rsidR="000E46EC" w:rsidRPr="000E46EC">
        <w:rPr>
          <w:rFonts w:eastAsia="Times New Roman"/>
          <w:b/>
          <w:spacing w:val="-1"/>
          <w:bdr w:val="none" w:sz="0" w:space="0" w:color="auto" w:frame="1"/>
        </w:rPr>
        <w:fldChar w:fldCharType="begin" w:fldLock="1"/>
      </w:r>
      <w:r w:rsidR="000E46EC">
        <w:rPr>
          <w:rFonts w:eastAsia="Times New Roman"/>
          <w:b/>
          <w:spacing w:val="-1"/>
          <w:bdr w:val="none" w:sz="0" w:space="0" w:color="auto" w:frame="1"/>
        </w:rPr>
        <w:instrText>ADDIN CSL_CITATION { "citationItems" : [ { "id" : "ITEM-1", "itemData" : { "DOI" : "10.1177/0748175611432642", "ISSN" : "0748-1756", "abstract" : "A short version of the Counseling Center Assessment of Psychological Symptoms-62 (CCAPS-62) was created via three studies. The final short version (CCAPS-34), which contains 34 items and 7 subscales, demonstrated good discrimination power, support for the proposed factor structure, strong initial convergent validity, and adequate test-retest stability over 1-week and 2-week intervals.", "author" : [ { "dropping-particle" : "", "family" : "Locke", "given" : "Benjamin D.", "non-dropping-particle" : "", "parse-names" : false, "suffix" : "" }, { "dropping-particle" : "", "family" : "McAleavey", "given" : "Andrew a.", "non-dropping-particle" : "", "parse-names" : false, "suffix" : "" }, { "dropping-particle" : "", "family" : "Zhao", "given" : "Y.", "non-dropping-particle" : "", "parse-names" : false, "suffix" : "" }, { "dropping-particle" : "", "family" : "Lei", "given" : "P.-W.", "non-dropping-particle" : "", "parse-names" : false, "suffix" : "" }, { "dropping-particle" : "", "family" : "Hayes", "given" : "Jeffrey A.", "non-dropping-particle" : "", "parse-names" : false, "suffix" : "" }, { "dropping-particle" : "", "family" : "Castonguay", "given" : "Louis G.", "non-dropping-particle" : "", "parse-names" : false, "suffix" : "" }, { "dropping-particle" : "", "family" : "Li", "given" : "H.", "non-dropping-particle" : "", "parse-names" : false, "suffix" : "" }, { "dropping-particle" : "", "family" : "Tate", "given" : "R.", "non-dropping-particle" : "", "parse-names" : false, "suffix" : "" }, { "dropping-particle" : "", "family" : "Lin", "given" : "Y.-C.", "non-dropping-particle" : "", "parse-names" : false, "suffix" : "" } ], "container-title" : "Measurement and Evaluation in Counseling and Development", "id" : "ITEM-1", "issued" : { "date-parts" : [ [ "2012" ] ] }, "page" : "151-169", "title" : "Development and initial validation of the Counseling Center Assessment of Psychological Symptoms-34", "type" : "article-journal", "volume" : "45" }, "uris" : [ "http://www.mendeley.com/documents/?uuid=c7dd0ae0-74c7-4a74-ad3f-9e8ec4155a06" ] } ], "mendeley" : { "formattedCitation" : "(Locke et al., 2012)", "manualFormatting" : "Locke et al., 2012)", "plainTextFormattedCitation" : "(Locke et al., 2012)", "previouslyFormattedCitation" : "(Locke et al., 2012)" }, "properties" : { "noteIndex" : 7 }, "schema" : "https://github.com/citation-style-language/schema/raw/master/csl-citation.json" }</w:instrText>
      </w:r>
      <w:r w:rsidR="000E46EC" w:rsidRPr="000E46EC">
        <w:rPr>
          <w:rFonts w:eastAsia="Times New Roman"/>
          <w:b/>
          <w:spacing w:val="-1"/>
          <w:bdr w:val="none" w:sz="0" w:space="0" w:color="auto" w:frame="1"/>
        </w:rPr>
        <w:fldChar w:fldCharType="separate"/>
      </w:r>
      <w:r w:rsidR="000E46EC" w:rsidRPr="000E46EC">
        <w:rPr>
          <w:rFonts w:eastAsia="Times New Roman"/>
          <w:b/>
          <w:noProof/>
          <w:spacing w:val="-1"/>
          <w:bdr w:val="none" w:sz="0" w:space="0" w:color="auto" w:frame="1"/>
        </w:rPr>
        <w:t>Locke et al., 2012)</w:t>
      </w:r>
      <w:r w:rsidR="000E46EC" w:rsidRPr="000E46EC">
        <w:rPr>
          <w:rFonts w:eastAsia="Times New Roman"/>
          <w:b/>
          <w:spacing w:val="-1"/>
          <w:bdr w:val="none" w:sz="0" w:space="0" w:color="auto" w:frame="1"/>
        </w:rPr>
        <w:fldChar w:fldCharType="end"/>
      </w:r>
      <w:r>
        <w:rPr>
          <w:rFonts w:eastAsia="Times New Roman"/>
          <w:spacing w:val="-1"/>
          <w:bdr w:val="none" w:sz="0" w:space="0" w:color="auto" w:frame="1"/>
        </w:rPr>
        <w:t>.</w:t>
      </w:r>
      <w:r w:rsidR="006D07EC">
        <w:rPr>
          <w:rFonts w:eastAsia="Times New Roman"/>
          <w:spacing w:val="-1"/>
          <w:bdr w:val="none" w:sz="0" w:space="0" w:color="auto" w:frame="1"/>
        </w:rPr>
        <w:t xml:space="preserve"> </w:t>
      </w:r>
      <w:r>
        <w:rPr>
          <w:rFonts w:eastAsia="Times New Roman"/>
          <w:spacing w:val="-1"/>
          <w:bdr w:val="none" w:sz="0" w:space="0" w:color="auto" w:frame="1"/>
        </w:rPr>
        <w:t>The 34-item version of the CCAPS was administered to assess mental health problems across a range of domains. This measure generates subscale scores indicating distress, depression, generalized anxiety, social anxiety, hostility, eating concerns, and academic distress. Six items from the 64-item version of the CCAPS were also administered to assess family distress.</w:t>
      </w:r>
      <w:r w:rsidR="006D07EC">
        <w:rPr>
          <w:rFonts w:eastAsia="Times New Roman"/>
          <w:spacing w:val="-1"/>
          <w:bdr w:val="none" w:sz="0" w:space="0" w:color="auto" w:frame="1"/>
        </w:rPr>
        <w:t xml:space="preserve"> Each item is rated on a 5-point scale</w:t>
      </w:r>
      <w:r w:rsidR="00F4290D">
        <w:rPr>
          <w:rFonts w:eastAsia="Times New Roman"/>
          <w:spacing w:val="-1"/>
          <w:bdr w:val="none" w:sz="0" w:space="0" w:color="auto" w:frame="1"/>
        </w:rPr>
        <w:t>, subscale scores are computed based on the average of individual items,</w:t>
      </w:r>
      <w:r w:rsidR="006D07EC">
        <w:rPr>
          <w:rFonts w:eastAsia="Times New Roman"/>
          <w:spacing w:val="-1"/>
          <w:bdr w:val="none" w:sz="0" w:space="0" w:color="auto" w:frame="1"/>
        </w:rPr>
        <w:t xml:space="preserve"> and higher scores indicate higher distress. The CCAPS-34 has good internal consistency and convergent validity in college students (</w:t>
      </w:r>
      <w:r w:rsidR="006D07EC">
        <w:t>Locke et al., 2012).</w:t>
      </w:r>
      <w:r w:rsidR="005E209B">
        <w:t xml:space="preserve"> Internal consistency in the present study ranged from </w:t>
      </w:r>
      <w:r w:rsidR="005E209B" w:rsidRPr="00EB64A3">
        <w:rPr>
          <w:rFonts w:eastAsia="Times New Roman"/>
          <w:color w:val="222222"/>
          <w:shd w:val="clear" w:color="auto" w:fill="FFFFFF"/>
        </w:rPr>
        <w:t>α</w:t>
      </w:r>
      <w:r w:rsidR="005E209B" w:rsidRPr="00EB64A3">
        <w:rPr>
          <w:rFonts w:eastAsia="Times New Roman"/>
        </w:rPr>
        <w:t xml:space="preserve"> =</w:t>
      </w:r>
      <w:r w:rsidR="005E209B">
        <w:t xml:space="preserve">.76 to </w:t>
      </w:r>
      <w:r w:rsidR="005E209B" w:rsidRPr="00EB64A3">
        <w:rPr>
          <w:rFonts w:eastAsia="Times New Roman"/>
          <w:color w:val="222222"/>
          <w:shd w:val="clear" w:color="auto" w:fill="FFFFFF"/>
        </w:rPr>
        <w:t>α</w:t>
      </w:r>
      <w:r w:rsidR="005E209B" w:rsidRPr="00EB64A3">
        <w:rPr>
          <w:rFonts w:eastAsia="Times New Roman"/>
        </w:rPr>
        <w:t xml:space="preserve"> =</w:t>
      </w:r>
      <w:r w:rsidR="005E209B">
        <w:rPr>
          <w:rFonts w:eastAsia="Times New Roman"/>
        </w:rPr>
        <w:t xml:space="preserve"> </w:t>
      </w:r>
      <w:r w:rsidR="005E209B">
        <w:t>.92.</w:t>
      </w:r>
      <w:r w:rsidR="008F0569">
        <w:t xml:space="preserve"> As reported above, the </w:t>
      </w:r>
      <w:r w:rsidR="008F0569">
        <w:lastRenderedPageBreak/>
        <w:t xml:space="preserve">CCAPS can be used to calculate cutoff scores for its subscales that indicate a high probability of a clinical problem in that area </w:t>
      </w:r>
      <w:r w:rsidR="00D43297">
        <w:fldChar w:fldCharType="begin" w:fldLock="1"/>
      </w:r>
      <w:r w:rsidR="00D43297">
        <w:instrText>ADDIN CSL_CITATION { "citationItems" : [ { "id" : "ITEM-1", "itemData" : { "author" : [ { "dropping-particle" : "", "family" : "Center for Collegiate Mental Health", "given" : "", "non-dropping-particle" : "", "parse-names" : false, "suffix" : "" } ], "id" : "ITEM-1", "issued" : { "date-parts" : [ [ "2012" ] ] }, "publisher" : "Pennsylvania State University", "publisher-place" : "University Park, PA", "title" : "CCAPS 2012 Technical Manual", "type" : "book" }, "uris" : [ "http://www.mendeley.com/documents/?uuid=2ecf8065-012f-4899-8cf5-b133939ba53f" ] } ], "mendeley" : { "formattedCitation" : "(Center for Collegiate Mental Health, 2012)", "plainTextFormattedCitation" : "(Center for Collegiate Mental Health, 2012)", "previouslyFormattedCitation" : "(Center for Collegiate Mental Health, 2012)" }, "properties" : { "noteIndex" : 8 }, "schema" : "https://github.com/citation-style-language/schema/raw/master/csl-citation.json" }</w:instrText>
      </w:r>
      <w:r w:rsidR="00D43297">
        <w:fldChar w:fldCharType="separate"/>
      </w:r>
      <w:r w:rsidR="00D43297" w:rsidRPr="00D43297">
        <w:rPr>
          <w:noProof/>
        </w:rPr>
        <w:t>(Center for Collegiate Mental Health, 2012)</w:t>
      </w:r>
      <w:r w:rsidR="00D43297">
        <w:fldChar w:fldCharType="end"/>
      </w:r>
      <w:r w:rsidR="00D43297">
        <w:t>.</w:t>
      </w:r>
    </w:p>
    <w:p w14:paraId="352E255A" w14:textId="0B75BC9A" w:rsidR="0069741C" w:rsidRPr="00CF3FCA" w:rsidRDefault="00935A1C" w:rsidP="00CF3FCA">
      <w:pPr>
        <w:spacing w:line="480" w:lineRule="auto"/>
        <w:ind w:firstLine="720"/>
        <w:rPr>
          <w:rFonts w:eastAsia="Times New Roman"/>
          <w:iCs/>
        </w:rPr>
      </w:pPr>
      <w:r w:rsidRPr="00FB5E9E">
        <w:rPr>
          <w:rFonts w:eastAsia="Times New Roman"/>
          <w:b/>
          <w:iCs/>
        </w:rPr>
        <w:t xml:space="preserve">Social Adjustment Scale-Self </w:t>
      </w:r>
      <w:r w:rsidRPr="00D43297">
        <w:rPr>
          <w:rFonts w:eastAsia="Times New Roman"/>
          <w:b/>
          <w:iCs/>
        </w:rPr>
        <w:t>Report (S</w:t>
      </w:r>
      <w:r w:rsidR="00D43297" w:rsidRPr="00D43297">
        <w:rPr>
          <w:rFonts w:eastAsia="Times New Roman"/>
          <w:b/>
          <w:iCs/>
        </w:rPr>
        <w:t xml:space="preserve">AS-SR; </w:t>
      </w:r>
      <w:r w:rsidR="00D43297" w:rsidRPr="00D43297">
        <w:rPr>
          <w:rFonts w:eastAsia="Times New Roman"/>
          <w:b/>
          <w:iCs/>
        </w:rPr>
        <w:fldChar w:fldCharType="begin" w:fldLock="1"/>
      </w:r>
      <w:r w:rsidR="00D43297">
        <w:rPr>
          <w:rFonts w:eastAsia="Times New Roman"/>
          <w:b/>
          <w:iCs/>
        </w:rPr>
        <w:instrText>ADDIN CSL_CITATION { "citationItems" : [ { "id" : "ITEM-1", "itemData" : { "DOI" : "10.1001/archpsyc.1981.01780360066006", "ISSN" : "0003-990X", "author" : [ { "dropping-particle" : "", "family" : "Weissman", "given" : "Myrna M.", "non-dropping-particle" : "", "parse-names" : false, "suffix" : "" }, { "dropping-particle" : "", "family" : "Bothwell", "given" : "Sallye", "non-dropping-particle" : "", "parse-names" : false, "suffix" : "" } ], "container-title" : "Archives of General Psychiatry", "id" : "ITEM-1", "issued" : { "date-parts" : [ [ "1976" ] ] }, "page" : "1111-1115", "title" : "Assessment of social adjustment by patient self-report", "type" : "article-journal", "volume" : "33" }, "uris" : [ "http://www.mendeley.com/documents/?uuid=33070ab6-9c48-4fc2-b016-315a98b241b9" ] } ], "mendeley" : { "formattedCitation" : "(Weissman &amp; Bothwell, 1976)", "manualFormatting" : "Weissman &amp; Bothwell, 1976)", "plainTextFormattedCitation" : "(Weissman &amp; Bothwell, 1976)", "previouslyFormattedCitation" : "(Weissman &amp; Bothwell, 1976)" }, "properties" : { "noteIndex" : 8 }, "schema" : "https://github.com/citation-style-language/schema/raw/master/csl-citation.json" }</w:instrText>
      </w:r>
      <w:r w:rsidR="00D43297" w:rsidRPr="00D43297">
        <w:rPr>
          <w:rFonts w:eastAsia="Times New Roman"/>
          <w:b/>
          <w:iCs/>
        </w:rPr>
        <w:fldChar w:fldCharType="separate"/>
      </w:r>
      <w:r w:rsidR="00D43297" w:rsidRPr="00D43297">
        <w:rPr>
          <w:rFonts w:eastAsia="Times New Roman"/>
          <w:b/>
          <w:iCs/>
          <w:noProof/>
        </w:rPr>
        <w:t>Weissman &amp; Bothwell, 1976)</w:t>
      </w:r>
      <w:r w:rsidR="00D43297" w:rsidRPr="00D43297">
        <w:rPr>
          <w:rFonts w:eastAsia="Times New Roman"/>
          <w:b/>
          <w:iCs/>
        </w:rPr>
        <w:fldChar w:fldCharType="end"/>
      </w:r>
      <w:r w:rsidRPr="00FB5E9E">
        <w:rPr>
          <w:rFonts w:eastAsia="Times New Roman"/>
          <w:iCs/>
        </w:rPr>
        <w:t>.</w:t>
      </w:r>
      <w:r w:rsidRPr="0018119A">
        <w:rPr>
          <w:rFonts w:eastAsia="Times New Roman"/>
          <w:i/>
          <w:iCs/>
        </w:rPr>
        <w:t xml:space="preserve"> </w:t>
      </w:r>
      <w:r>
        <w:rPr>
          <w:rFonts w:eastAsia="Times New Roman"/>
          <w:iCs/>
        </w:rPr>
        <w:t xml:space="preserve">The SAS-SR measures </w:t>
      </w:r>
      <w:r w:rsidR="00FB2821">
        <w:rPr>
          <w:rFonts w:eastAsia="Times New Roman"/>
          <w:iCs/>
        </w:rPr>
        <w:t>functioning in several life domains. In the present study, the 6-item student role and 9-item social and leisure activity subscales were administered. A sample student role item is “</w:t>
      </w:r>
      <w:r w:rsidR="00FB2821" w:rsidRPr="00FB2821">
        <w:rPr>
          <w:rFonts w:eastAsia="Times New Roman"/>
          <w:iCs/>
        </w:rPr>
        <w:t>Have you been able to keep up with your class work in the last 2 weeks?</w:t>
      </w:r>
      <w:r w:rsidR="00FB2821">
        <w:rPr>
          <w:rFonts w:eastAsia="Times New Roman"/>
          <w:iCs/>
        </w:rPr>
        <w:t>” A sample social and leisure activity item is “H</w:t>
      </w:r>
      <w:r w:rsidR="00FB2821" w:rsidRPr="00FB2821">
        <w:rPr>
          <w:rFonts w:eastAsia="Times New Roman"/>
          <w:iCs/>
        </w:rPr>
        <w:t>ave you felt lonely and wished for more friends during the last 2 weeks?</w:t>
      </w:r>
      <w:r w:rsidR="00FB2821">
        <w:rPr>
          <w:rFonts w:eastAsia="Times New Roman"/>
          <w:iCs/>
        </w:rPr>
        <w:t>”</w:t>
      </w:r>
      <w:r w:rsidR="00462B36">
        <w:rPr>
          <w:rFonts w:eastAsia="Times New Roman"/>
          <w:iCs/>
        </w:rPr>
        <w:t xml:space="preserve"> Each item is </w:t>
      </w:r>
      <w:r w:rsidR="00C23004">
        <w:rPr>
          <w:rFonts w:eastAsia="Times New Roman"/>
          <w:iCs/>
        </w:rPr>
        <w:t>rated</w:t>
      </w:r>
      <w:r w:rsidR="00462B36">
        <w:rPr>
          <w:rFonts w:eastAsia="Times New Roman"/>
          <w:iCs/>
        </w:rPr>
        <w:t xml:space="preserve"> on a 5-point scale</w:t>
      </w:r>
      <w:r w:rsidR="00D812FF">
        <w:rPr>
          <w:rFonts w:eastAsia="Times New Roman"/>
          <w:iCs/>
        </w:rPr>
        <w:t>, mean scores are calculated for each subscale,</w:t>
      </w:r>
      <w:r w:rsidR="00462B36">
        <w:rPr>
          <w:rFonts w:eastAsia="Times New Roman"/>
          <w:iCs/>
        </w:rPr>
        <w:t xml:space="preserve"> and higher scores indica</w:t>
      </w:r>
      <w:r w:rsidR="002E2F5F">
        <w:rPr>
          <w:rFonts w:eastAsia="Times New Roman"/>
          <w:iCs/>
        </w:rPr>
        <w:t xml:space="preserve">te greater levels of impairment. </w:t>
      </w:r>
      <w:r w:rsidRPr="002E2F5F">
        <w:rPr>
          <w:rFonts w:eastAsia="Times New Roman"/>
          <w:color w:val="000000" w:themeColor="text1"/>
        </w:rPr>
        <w:t xml:space="preserve">The SAS-SR has </w:t>
      </w:r>
      <w:r w:rsidR="00B761C1" w:rsidRPr="002E2F5F">
        <w:rPr>
          <w:rFonts w:eastAsia="Times New Roman"/>
          <w:color w:val="000000" w:themeColor="text1"/>
        </w:rPr>
        <w:t>had</w:t>
      </w:r>
      <w:r w:rsidRPr="002E2F5F">
        <w:rPr>
          <w:rFonts w:eastAsia="Times New Roman"/>
          <w:color w:val="000000" w:themeColor="text1"/>
        </w:rPr>
        <w:t xml:space="preserve"> adequate reliability and validity </w:t>
      </w:r>
      <w:r w:rsidR="00B761C1" w:rsidRPr="002E2F5F">
        <w:rPr>
          <w:rFonts w:eastAsia="Times New Roman"/>
          <w:color w:val="000000" w:themeColor="text1"/>
        </w:rPr>
        <w:t>in past studies</w:t>
      </w:r>
      <w:r w:rsidR="002E2F5F" w:rsidRPr="002E2F5F">
        <w:rPr>
          <w:rFonts w:eastAsia="Times New Roman"/>
          <w:color w:val="000000" w:themeColor="text1"/>
        </w:rPr>
        <w:t xml:space="preserve"> </w:t>
      </w:r>
      <w:r w:rsidR="00D43297">
        <w:rPr>
          <w:rFonts w:eastAsia="Times New Roman"/>
          <w:color w:val="000000" w:themeColor="text1"/>
        </w:rPr>
        <w:fldChar w:fldCharType="begin" w:fldLock="1"/>
      </w:r>
      <w:r w:rsidR="00D43297">
        <w:rPr>
          <w:rFonts w:eastAsia="Times New Roman"/>
          <w:color w:val="000000" w:themeColor="text1"/>
        </w:rPr>
        <w:instrText>ADDIN CSL_CITATION { "citationItems" : [ { "id" : "ITEM-1", "itemData" : { "DOI" : "10.1001/archpsyc.1981.01780360066006", "ISSN" : "0003-990X", "author" : [ { "dropping-particle" : "", "family" : "Weissman", "given" : "Myrna M.", "non-dropping-particle" : "", "parse-names" : false, "suffix" : "" }, { "dropping-particle" : "", "family" : "Bothwell", "given" : "Sallye", "non-dropping-particle" : "", "parse-names" : false, "suffix" : "" } ], "container-title" : "Archives of General Psychiatry", "id" : "ITEM-1", "issued" : { "date-parts" : [ [ "1976" ] ] }, "page" : "1111-1115", "title" : "Assessment of social adjustment by patient self-report", "type" : "article-journal", "volume" : "33" }, "uris" : [ "http://www.mendeley.com/documents/?uuid=33070ab6-9c48-4fc2-b016-315a98b241b9" ] } ], "mendeley" : { "formattedCitation" : "(Weissman &amp; Bothwell, 1976)", "plainTextFormattedCitation" : "(Weissman &amp; Bothwell, 1976)", "previouslyFormattedCitation" : "(Weissman &amp; Bothwell, 1976)" }, "properties" : { "noteIndex" : 8 }, "schema" : "https://github.com/citation-style-language/schema/raw/master/csl-citation.json" }</w:instrText>
      </w:r>
      <w:r w:rsidR="00D43297">
        <w:rPr>
          <w:rFonts w:eastAsia="Times New Roman"/>
          <w:color w:val="000000" w:themeColor="text1"/>
        </w:rPr>
        <w:fldChar w:fldCharType="separate"/>
      </w:r>
      <w:r w:rsidR="00D43297" w:rsidRPr="00D43297">
        <w:rPr>
          <w:rFonts w:eastAsia="Times New Roman"/>
          <w:noProof/>
          <w:color w:val="000000" w:themeColor="text1"/>
        </w:rPr>
        <w:t>(Weissman &amp; Bothwell, 1976)</w:t>
      </w:r>
      <w:r w:rsidR="00D43297">
        <w:rPr>
          <w:rFonts w:eastAsia="Times New Roman"/>
          <w:color w:val="000000" w:themeColor="text1"/>
        </w:rPr>
        <w:fldChar w:fldCharType="end"/>
      </w:r>
      <w:r w:rsidR="00D43297">
        <w:rPr>
          <w:rFonts w:eastAsia="Times New Roman"/>
          <w:color w:val="000000" w:themeColor="text1"/>
        </w:rPr>
        <w:t xml:space="preserve">. </w:t>
      </w:r>
      <w:r w:rsidR="0016290C">
        <w:rPr>
          <w:rFonts w:eastAsia="Times New Roman"/>
          <w:color w:val="000000" w:themeColor="text1"/>
        </w:rPr>
        <w:t xml:space="preserve">Internal consistency was marginal in the present study (student </w:t>
      </w:r>
      <w:r w:rsidR="0016290C" w:rsidRPr="00EB64A3">
        <w:rPr>
          <w:rFonts w:eastAsia="Times New Roman"/>
          <w:color w:val="222222"/>
          <w:shd w:val="clear" w:color="auto" w:fill="FFFFFF"/>
        </w:rPr>
        <w:t>α</w:t>
      </w:r>
      <w:r w:rsidR="0016290C" w:rsidRPr="00EB64A3">
        <w:rPr>
          <w:rFonts w:eastAsia="Times New Roman"/>
        </w:rPr>
        <w:t xml:space="preserve"> =</w:t>
      </w:r>
      <w:r w:rsidR="0016290C">
        <w:rPr>
          <w:rFonts w:eastAsia="Times New Roman"/>
        </w:rPr>
        <w:t xml:space="preserve"> 0.68, social/leisure </w:t>
      </w:r>
      <w:r w:rsidR="0016290C" w:rsidRPr="00EB64A3">
        <w:rPr>
          <w:rFonts w:eastAsia="Times New Roman"/>
          <w:color w:val="222222"/>
          <w:shd w:val="clear" w:color="auto" w:fill="FFFFFF"/>
        </w:rPr>
        <w:t>α</w:t>
      </w:r>
      <w:r w:rsidR="0016290C" w:rsidRPr="00EB64A3">
        <w:rPr>
          <w:rFonts w:eastAsia="Times New Roman"/>
        </w:rPr>
        <w:t xml:space="preserve"> =</w:t>
      </w:r>
      <w:r w:rsidR="0016290C">
        <w:rPr>
          <w:rFonts w:eastAsia="Times New Roman"/>
        </w:rPr>
        <w:t xml:space="preserve"> .61).</w:t>
      </w:r>
    </w:p>
    <w:p w14:paraId="30611CA6" w14:textId="65B561E8" w:rsidR="00796306" w:rsidRPr="00CF3FCA" w:rsidRDefault="00EE2FE2" w:rsidP="008B7B43">
      <w:pPr>
        <w:spacing w:line="480" w:lineRule="auto"/>
        <w:jc w:val="center"/>
        <w:outlineLvl w:val="0"/>
        <w:rPr>
          <w:b/>
        </w:rPr>
      </w:pPr>
      <w:r w:rsidRPr="00CF3FCA">
        <w:rPr>
          <w:b/>
        </w:rPr>
        <w:t>Results</w:t>
      </w:r>
    </w:p>
    <w:p w14:paraId="1894D690" w14:textId="20F80604" w:rsidR="00796306" w:rsidRPr="00CF3FCA" w:rsidRDefault="00796306" w:rsidP="008B7B43">
      <w:pPr>
        <w:spacing w:line="480" w:lineRule="auto"/>
        <w:outlineLvl w:val="0"/>
        <w:rPr>
          <w:b/>
        </w:rPr>
      </w:pPr>
      <w:r w:rsidRPr="00CF3FCA">
        <w:rPr>
          <w:b/>
        </w:rPr>
        <w:t>Descriptive statistics</w:t>
      </w:r>
    </w:p>
    <w:p w14:paraId="04C86E09" w14:textId="31622AD8" w:rsidR="00EE2FE2" w:rsidRDefault="003C45D1" w:rsidP="008B7B43">
      <w:pPr>
        <w:spacing w:line="480" w:lineRule="auto"/>
      </w:pPr>
      <w:r>
        <w:tab/>
        <w:t xml:space="preserve">Means and standard deviations for all study variables at baseline are presented in Table 1. </w:t>
      </w:r>
      <w:r w:rsidR="003867E5">
        <w:t>Prior to conducting analyses</w:t>
      </w:r>
      <w:r w:rsidR="00463531" w:rsidRPr="00FE21E4">
        <w:t xml:space="preserve"> variables</w:t>
      </w:r>
      <w:r w:rsidR="00861ECB" w:rsidRPr="00FE21E4">
        <w:t xml:space="preserve"> were inspected for </w:t>
      </w:r>
      <w:r w:rsidR="00463531" w:rsidRPr="00FE21E4">
        <w:t xml:space="preserve">their </w:t>
      </w:r>
      <w:r w:rsidR="00861ECB" w:rsidRPr="00FE21E4">
        <w:t xml:space="preserve">distribution. </w:t>
      </w:r>
      <w:r w:rsidR="004A037D">
        <w:t xml:space="preserve">Depression, hostility, family distress, </w:t>
      </w:r>
      <w:r w:rsidR="00F673DD">
        <w:t xml:space="preserve">and </w:t>
      </w:r>
      <w:r w:rsidR="00330E14">
        <w:t xml:space="preserve">problems in </w:t>
      </w:r>
      <w:r w:rsidR="00F673DD">
        <w:t xml:space="preserve">student functioning </w:t>
      </w:r>
      <w:r w:rsidR="00EE2FE2" w:rsidRPr="00FE21E4">
        <w:t xml:space="preserve">were </w:t>
      </w:r>
      <w:r w:rsidR="00F367CE">
        <w:t>all distributed non-normally in this sample</w:t>
      </w:r>
      <w:r w:rsidR="00F673DD">
        <w:t xml:space="preserve"> and all </w:t>
      </w:r>
      <w:r w:rsidR="00861ECB" w:rsidRPr="00FE21E4">
        <w:t>demonstrated acceptable normality after a square root transformation</w:t>
      </w:r>
      <w:r w:rsidR="00F673DD">
        <w:t xml:space="preserve">. </w:t>
      </w:r>
      <w:r w:rsidR="00861ECB" w:rsidRPr="00FE21E4">
        <w:t>The transformed variables were used for all further analyses.</w:t>
      </w:r>
    </w:p>
    <w:p w14:paraId="4FF99F86" w14:textId="3669A84E" w:rsidR="00031CC4" w:rsidRPr="00FE21E4" w:rsidRDefault="00031CC4" w:rsidP="00031CC4">
      <w:pPr>
        <w:spacing w:line="480" w:lineRule="auto"/>
        <w:jc w:val="center"/>
      </w:pPr>
      <w:r>
        <w:t>[INSERT TABLE 1 AROUND HERE]</w:t>
      </w:r>
    </w:p>
    <w:p w14:paraId="1A1F2DF5" w14:textId="49AC18A2" w:rsidR="00EE2FE2" w:rsidRPr="00CF3FCA" w:rsidRDefault="00EE2FE2" w:rsidP="008B7B43">
      <w:pPr>
        <w:spacing w:line="480" w:lineRule="auto"/>
        <w:outlineLvl w:val="0"/>
        <w:rPr>
          <w:b/>
        </w:rPr>
      </w:pPr>
      <w:r w:rsidRPr="00CF3FCA">
        <w:rPr>
          <w:b/>
        </w:rPr>
        <w:t>Correlations</w:t>
      </w:r>
    </w:p>
    <w:p w14:paraId="6A90A237" w14:textId="1E127511" w:rsidR="00EE2FE2" w:rsidRPr="00FE21E4" w:rsidRDefault="00C45759" w:rsidP="008B7B43">
      <w:pPr>
        <w:spacing w:line="480" w:lineRule="auto"/>
      </w:pPr>
      <w:r w:rsidRPr="00FE21E4">
        <w:tab/>
        <w:t>Zero-order correlations were calculated for all study variables at baseline</w:t>
      </w:r>
      <w:r w:rsidR="009B1750">
        <w:t xml:space="preserve"> (see Table 2)</w:t>
      </w:r>
      <w:r w:rsidRPr="00FE21E4">
        <w:t>. Cognitive fusion was significantly c</w:t>
      </w:r>
      <w:r w:rsidR="004A037D">
        <w:t xml:space="preserve">orrelated with </w:t>
      </w:r>
      <w:r w:rsidR="00185680">
        <w:t xml:space="preserve">rumination and reappraisal, as well as </w:t>
      </w:r>
      <w:r w:rsidR="004A037D">
        <w:t xml:space="preserve">all </w:t>
      </w:r>
      <w:r w:rsidR="00185680">
        <w:t xml:space="preserve">distress </w:t>
      </w:r>
      <w:r w:rsidR="004A037D">
        <w:t>and</w:t>
      </w:r>
      <w:r w:rsidR="00375E8D">
        <w:t xml:space="preserve"> </w:t>
      </w:r>
      <w:r w:rsidR="00185680">
        <w:t xml:space="preserve">functioning </w:t>
      </w:r>
      <w:r w:rsidR="00375E8D">
        <w:t xml:space="preserve">variables with statistical significance </w:t>
      </w:r>
      <w:r w:rsidRPr="00FE21E4">
        <w:rPr>
          <w:i/>
        </w:rPr>
        <w:t>p</w:t>
      </w:r>
      <w:r w:rsidR="00CF3FCA">
        <w:rPr>
          <w:i/>
        </w:rPr>
        <w:t xml:space="preserve"> </w:t>
      </w:r>
      <w:r w:rsidRPr="00FE21E4">
        <w:t>&lt;</w:t>
      </w:r>
      <w:r w:rsidR="00CF3FCA">
        <w:t xml:space="preserve"> </w:t>
      </w:r>
      <w:r w:rsidRPr="00FE21E4">
        <w:t xml:space="preserve">.01. </w:t>
      </w:r>
      <w:r w:rsidR="00256845">
        <w:t>Higher c</w:t>
      </w:r>
      <w:r w:rsidRPr="00FE21E4">
        <w:t xml:space="preserve">ognitive fusion </w:t>
      </w:r>
      <w:r w:rsidRPr="00FE21E4">
        <w:lastRenderedPageBreak/>
        <w:t>was associated with less use of reappraisal (</w:t>
      </w:r>
      <w:r w:rsidRPr="00FE21E4">
        <w:rPr>
          <w:i/>
        </w:rPr>
        <w:t>r</w:t>
      </w:r>
      <w:r w:rsidRPr="00FE21E4">
        <w:t xml:space="preserve"> = -.35) and increased rumination (</w:t>
      </w:r>
      <w:r w:rsidRPr="00FE21E4">
        <w:rPr>
          <w:i/>
        </w:rPr>
        <w:t>r</w:t>
      </w:r>
      <w:r w:rsidRPr="00FE21E4">
        <w:t xml:space="preserve"> = .69). Higher cognitive fusion was associated with greater </w:t>
      </w:r>
      <w:r w:rsidR="00CF49FE" w:rsidRPr="00FE21E4">
        <w:t>distress</w:t>
      </w:r>
      <w:r w:rsidR="005B0A48">
        <w:t xml:space="preserve"> and problems in functioning</w:t>
      </w:r>
      <w:r w:rsidR="00CF49FE" w:rsidRPr="00FE21E4">
        <w:t xml:space="preserve"> with medium to large correlation coefficients ranging from .</w:t>
      </w:r>
      <w:r w:rsidR="00330E14">
        <w:t>38</w:t>
      </w:r>
      <w:r w:rsidR="00CF49FE" w:rsidRPr="00FE21E4">
        <w:t xml:space="preserve"> to .77. </w:t>
      </w:r>
    </w:p>
    <w:p w14:paraId="4AAE3060" w14:textId="2DB81237" w:rsidR="00CF49FE" w:rsidRDefault="00CF49FE" w:rsidP="008B7B43">
      <w:pPr>
        <w:spacing w:line="480" w:lineRule="auto"/>
      </w:pPr>
      <w:r w:rsidRPr="00FE21E4">
        <w:tab/>
        <w:t>Cognitive reappraisal was also significantly associated with rumination (</w:t>
      </w:r>
      <w:r w:rsidRPr="00FE21E4">
        <w:rPr>
          <w:i/>
        </w:rPr>
        <w:t>r</w:t>
      </w:r>
      <w:r w:rsidRPr="00FE21E4">
        <w:t xml:space="preserve"> = -.22), such that those who reappraise more tend to ruminate less. There were significant small to medium</w:t>
      </w:r>
      <w:r w:rsidR="00330E14" w:rsidRPr="00FE21E4">
        <w:t xml:space="preserve"> </w:t>
      </w:r>
      <w:r w:rsidRPr="00FE21E4">
        <w:t xml:space="preserve">negative correlations </w:t>
      </w:r>
      <w:r w:rsidR="004A037D">
        <w:t>for</w:t>
      </w:r>
      <w:r w:rsidRPr="00FE21E4">
        <w:t xml:space="preserve"> use of reappraisal </w:t>
      </w:r>
      <w:r w:rsidR="004A037D">
        <w:t>with</w:t>
      </w:r>
      <w:r w:rsidRPr="00FE21E4">
        <w:t xml:space="preserve"> distress and </w:t>
      </w:r>
      <w:r w:rsidR="005B0A48">
        <w:t>problems in functioning</w:t>
      </w:r>
      <w:r w:rsidRPr="00FE21E4">
        <w:t xml:space="preserve">, with correlation coefficients ranging from -.13 to -.39 (all </w:t>
      </w:r>
      <w:proofErr w:type="spellStart"/>
      <w:r w:rsidRPr="00FE21E4">
        <w:rPr>
          <w:i/>
        </w:rPr>
        <w:t>p</w:t>
      </w:r>
      <w:r w:rsidRPr="00FE21E4">
        <w:t>s</w:t>
      </w:r>
      <w:proofErr w:type="spellEnd"/>
      <w:r w:rsidRPr="00FE21E4">
        <w:t xml:space="preserve"> &lt; .05). </w:t>
      </w:r>
    </w:p>
    <w:p w14:paraId="43059588" w14:textId="26050E5E" w:rsidR="00C45759" w:rsidRDefault="003867E5" w:rsidP="008B7B43">
      <w:pPr>
        <w:spacing w:line="480" w:lineRule="auto"/>
      </w:pPr>
      <w:r>
        <w:tab/>
      </w:r>
      <w:r w:rsidR="00FD0F2A">
        <w:t>Correlations between outcomes of interest with cognitive fusion and cognitive reappraisal were compared using recommended methods to determine if the difference in co</w:t>
      </w:r>
      <w:r w:rsidR="00D43297">
        <w:t xml:space="preserve">rrelation size was significant </w:t>
      </w:r>
      <w:r w:rsidR="00D43297">
        <w:fldChar w:fldCharType="begin" w:fldLock="1"/>
      </w:r>
      <w:r w:rsidR="00D43297">
        <w:instrText>ADDIN CSL_CITATION { "citationItems" : [ { "id" : "ITEM-1", "itemData" : { "author" : [ { "dropping-particle" : "", "family" : "Meng", "given" : "Xiao-Li", "non-dropping-particle" : "", "parse-names" : false, "suffix" : "" }, { "dropping-particle" : "", "family" : "Rosenthal", "given" : "Robert", "non-dropping-particle" : "", "parse-names" : false, "suffix" : "" }, { "dropping-particle" : "", "family" : "Rubin", "given" : "Donald B", "non-dropping-particle" : "", "parse-names" : false, "suffix" : "" } ], "container-title" : "Psychological Bulletin", "id" : "ITEM-1", "issued" : { "date-parts" : [ [ "1992" ] ] }, "page" : "172-175", "title" : "Comparing correlated correlation coefficients", "type" : "article-journal", "volume" : "111" }, "uris" : [ "http://www.mendeley.com/documents/?uuid=bba1cb72-56e5-40ec-aad8-89e212b5beb5" ] } ], "mendeley" : { "formattedCitation" : "(Meng, Rosenthal, &amp; Rubin, 1992)", "plainTextFormattedCitation" : "(Meng, Rosenthal, &amp; Rubin, 1992)", "previouslyFormattedCitation" : "(Meng, Rosenthal, &amp; Rubin, 1992)" }, "properties" : { "noteIndex" : 9 }, "schema" : "https://github.com/citation-style-language/schema/raw/master/csl-citation.json" }</w:instrText>
      </w:r>
      <w:r w:rsidR="00D43297">
        <w:fldChar w:fldCharType="separate"/>
      </w:r>
      <w:r w:rsidR="00D43297" w:rsidRPr="00D43297">
        <w:rPr>
          <w:noProof/>
        </w:rPr>
        <w:t>(Meng, Rosenthal, &amp; Rubin, 1992)</w:t>
      </w:r>
      <w:r w:rsidR="00D43297">
        <w:fldChar w:fldCharType="end"/>
      </w:r>
      <w:r w:rsidR="00FD0F2A">
        <w:t xml:space="preserve">. The direction of all correlations with reappraisal was reversed prior to analyses to account for reappraisal measuring a putatively adaptive process, while cognitive fusion is measuring a putatively maladaptive process. Detailed results are reported in Table 2. The analyses indicated that cognitive fusion had significantly larger relationships with rumination, distress, depression, generalized anxiety, social anxiety, hostility, eating problems, academic distress, social role problems, </w:t>
      </w:r>
      <w:r w:rsidR="00705378">
        <w:t xml:space="preserve">and family distress when compared with cognitive reappraisal (all </w:t>
      </w:r>
      <w:proofErr w:type="spellStart"/>
      <w:r w:rsidR="00705378">
        <w:rPr>
          <w:i/>
        </w:rPr>
        <w:t>p</w:t>
      </w:r>
      <w:r w:rsidR="00705378">
        <w:t>s</w:t>
      </w:r>
      <w:proofErr w:type="spellEnd"/>
      <w:r w:rsidR="00705378">
        <w:t xml:space="preserve"> &lt; .05). There was not a significant difference in the size of correlations with reappraisal and fu</w:t>
      </w:r>
      <w:r w:rsidR="00F673DD">
        <w:t>sion for student role problems</w:t>
      </w:r>
      <w:r w:rsidR="00705378">
        <w:t xml:space="preserve"> (</w:t>
      </w:r>
      <w:proofErr w:type="spellStart"/>
      <w:r w:rsidR="00705378">
        <w:rPr>
          <w:i/>
        </w:rPr>
        <w:t>p</w:t>
      </w:r>
      <w:r w:rsidR="00705378">
        <w:t>s</w:t>
      </w:r>
      <w:proofErr w:type="spellEnd"/>
      <w:r w:rsidR="00705378">
        <w:t xml:space="preserve"> &gt; .05).</w:t>
      </w:r>
    </w:p>
    <w:p w14:paraId="26463EC0" w14:textId="6FE21241" w:rsidR="00031CC4" w:rsidRPr="00FE21E4" w:rsidRDefault="00031CC4" w:rsidP="00031CC4">
      <w:pPr>
        <w:spacing w:line="480" w:lineRule="auto"/>
        <w:jc w:val="center"/>
      </w:pPr>
      <w:r>
        <w:t>[INSERT TABLE 2 AROUND HERE]</w:t>
      </w:r>
    </w:p>
    <w:p w14:paraId="0AB6CDF1" w14:textId="2B7624DF" w:rsidR="004619B8" w:rsidRPr="00CF3FCA" w:rsidRDefault="00EE2FE2" w:rsidP="008B7B43">
      <w:pPr>
        <w:spacing w:line="480" w:lineRule="auto"/>
        <w:outlineLvl w:val="0"/>
        <w:rPr>
          <w:b/>
        </w:rPr>
      </w:pPr>
      <w:r w:rsidRPr="00CF3FCA">
        <w:rPr>
          <w:b/>
        </w:rPr>
        <w:t>Longitudinal regression models</w:t>
      </w:r>
    </w:p>
    <w:p w14:paraId="26323F73" w14:textId="21EBCCB2" w:rsidR="00CF49FE" w:rsidRDefault="008C3CA0" w:rsidP="008B7B43">
      <w:pPr>
        <w:spacing w:line="480" w:lineRule="auto"/>
      </w:pPr>
      <w:r w:rsidRPr="00FE21E4">
        <w:tab/>
        <w:t xml:space="preserve">A series of hierarchical regression models were computed testing cognitive fusion and cognitive reappraisal as predictors of outcome variables. Dependent variables at baseline were entered as the initial predictors in each model, followed by cognitive fusion and reappraisal </w:t>
      </w:r>
      <w:r w:rsidRPr="00FE21E4">
        <w:lastRenderedPageBreak/>
        <w:t xml:space="preserve">entered </w:t>
      </w:r>
      <w:r w:rsidR="00595173">
        <w:t xml:space="preserve">together </w:t>
      </w:r>
      <w:r w:rsidRPr="00FE21E4">
        <w:t xml:space="preserve">in the </w:t>
      </w:r>
      <w:r w:rsidR="00595173">
        <w:t>next</w:t>
      </w:r>
      <w:r w:rsidRPr="00FE21E4">
        <w:t xml:space="preserve"> step. The results of these</w:t>
      </w:r>
      <w:r w:rsidR="00B5747F">
        <w:t xml:space="preserve"> models are presented in Table 3</w:t>
      </w:r>
      <w:r w:rsidRPr="00FE21E4">
        <w:t>.</w:t>
      </w:r>
      <w:r w:rsidR="004A037D">
        <w:t xml:space="preserve"> </w:t>
      </w:r>
      <w:r w:rsidR="003C45D1">
        <w:t xml:space="preserve">Tolerance values all exceeded .4, </w:t>
      </w:r>
      <w:r w:rsidR="008460ED">
        <w:t>indicating</w:t>
      </w:r>
      <w:r w:rsidR="003C45D1">
        <w:t xml:space="preserve"> no </w:t>
      </w:r>
      <w:r w:rsidR="000D48B4">
        <w:t>problematic</w:t>
      </w:r>
      <w:r w:rsidR="003C45D1">
        <w:t xml:space="preserve"> multicollinearity.</w:t>
      </w:r>
    </w:p>
    <w:p w14:paraId="3DE2F674" w14:textId="508501C2" w:rsidR="008E3090" w:rsidRPr="00134980" w:rsidRDefault="008E3090" w:rsidP="008B7B43">
      <w:pPr>
        <w:spacing w:line="480" w:lineRule="auto"/>
        <w:rPr>
          <w:rFonts w:eastAsia="Times New Roman"/>
        </w:rPr>
      </w:pPr>
      <w:r>
        <w:tab/>
        <w:t xml:space="preserve">In </w:t>
      </w:r>
      <w:r w:rsidR="000D48B4">
        <w:t>this series of</w:t>
      </w:r>
      <w:r>
        <w:t xml:space="preserve"> </w:t>
      </w:r>
      <w:r w:rsidR="008460ED">
        <w:t xml:space="preserve">hierarchical regression </w:t>
      </w:r>
      <w:r>
        <w:t>models, cognitive fusion significantly predicted distress</w:t>
      </w:r>
      <w:r w:rsidR="009A1C2A">
        <w:t xml:space="preserve"> (</w:t>
      </w:r>
      <w:r w:rsidR="000E4388" w:rsidRPr="00FE21E4">
        <w:rPr>
          <w:i/>
        </w:rPr>
        <w:t>ß</w:t>
      </w:r>
      <w:r w:rsidR="000E4388">
        <w:rPr>
          <w:rFonts w:eastAsia="Times New Roman"/>
        </w:rPr>
        <w:t xml:space="preserve"> = .153, </w:t>
      </w:r>
      <w:r w:rsidR="000E4388">
        <w:rPr>
          <w:rFonts w:eastAsia="Times New Roman"/>
          <w:i/>
        </w:rPr>
        <w:t>p</w:t>
      </w:r>
      <w:r w:rsidR="000E4388">
        <w:rPr>
          <w:rFonts w:eastAsia="Times New Roman"/>
        </w:rPr>
        <w:t xml:space="preserve"> = .006</w:t>
      </w:r>
      <w:r w:rsidR="009A1C2A">
        <w:t>)</w:t>
      </w:r>
      <w:r>
        <w:t>, depression</w:t>
      </w:r>
      <w:r w:rsidR="009A1C2A">
        <w:t xml:space="preserve"> (</w:t>
      </w:r>
      <w:r w:rsidR="000E4388" w:rsidRPr="00FE21E4">
        <w:rPr>
          <w:i/>
        </w:rPr>
        <w:t>ß</w:t>
      </w:r>
      <w:r w:rsidR="000E4388">
        <w:rPr>
          <w:rFonts w:eastAsia="Times New Roman"/>
        </w:rPr>
        <w:t xml:space="preserve"> = .202, </w:t>
      </w:r>
      <w:r w:rsidR="000E4388">
        <w:rPr>
          <w:rFonts w:eastAsia="Times New Roman"/>
          <w:i/>
        </w:rPr>
        <w:t>p</w:t>
      </w:r>
      <w:r w:rsidR="000E4388">
        <w:rPr>
          <w:rFonts w:eastAsia="Times New Roman"/>
        </w:rPr>
        <w:t xml:space="preserve"> &lt; .001</w:t>
      </w:r>
      <w:r w:rsidR="009A1C2A">
        <w:t>)</w:t>
      </w:r>
      <w:r>
        <w:t>, generalized anxiety</w:t>
      </w:r>
      <w:r w:rsidR="009A1C2A">
        <w:t xml:space="preserve"> (</w:t>
      </w:r>
      <w:r w:rsidR="000E4388" w:rsidRPr="00FE21E4">
        <w:rPr>
          <w:i/>
        </w:rPr>
        <w:t>ß</w:t>
      </w:r>
      <w:r w:rsidR="000E4388">
        <w:rPr>
          <w:rFonts w:eastAsia="Times New Roman"/>
        </w:rPr>
        <w:t xml:space="preserve"> = .166, </w:t>
      </w:r>
      <w:r w:rsidR="000E4388">
        <w:rPr>
          <w:rFonts w:eastAsia="Times New Roman"/>
          <w:i/>
        </w:rPr>
        <w:t>p</w:t>
      </w:r>
      <w:r w:rsidR="000E4388">
        <w:rPr>
          <w:rFonts w:eastAsia="Times New Roman"/>
        </w:rPr>
        <w:t xml:space="preserve"> = .001</w:t>
      </w:r>
      <w:r w:rsidR="009A1C2A">
        <w:t>)</w:t>
      </w:r>
      <w:r>
        <w:t>, social anxiety</w:t>
      </w:r>
      <w:r w:rsidR="009A1C2A">
        <w:t xml:space="preserve"> (</w:t>
      </w:r>
      <w:r w:rsidR="000E4388" w:rsidRPr="00FE21E4">
        <w:rPr>
          <w:i/>
        </w:rPr>
        <w:t>ß</w:t>
      </w:r>
      <w:r w:rsidR="000E4388">
        <w:rPr>
          <w:rFonts w:eastAsia="Times New Roman"/>
        </w:rPr>
        <w:t xml:space="preserve"> = .167, </w:t>
      </w:r>
      <w:r w:rsidR="000E4388">
        <w:rPr>
          <w:rFonts w:eastAsia="Times New Roman"/>
          <w:i/>
        </w:rPr>
        <w:t>p</w:t>
      </w:r>
      <w:r w:rsidR="000E4388">
        <w:rPr>
          <w:rFonts w:eastAsia="Times New Roman"/>
        </w:rPr>
        <w:t xml:space="preserve"> &lt; .001</w:t>
      </w:r>
      <w:r w:rsidR="009A1C2A">
        <w:t>)</w:t>
      </w:r>
      <w:r>
        <w:t>, academic distress</w:t>
      </w:r>
      <w:r w:rsidR="009A1C2A">
        <w:t xml:space="preserve"> (</w:t>
      </w:r>
      <w:r w:rsidR="000E4388" w:rsidRPr="00FE21E4">
        <w:rPr>
          <w:i/>
        </w:rPr>
        <w:t>ß</w:t>
      </w:r>
      <w:r w:rsidR="000E4388">
        <w:rPr>
          <w:rFonts w:eastAsia="Times New Roman"/>
        </w:rPr>
        <w:t xml:space="preserve"> = .196, </w:t>
      </w:r>
      <w:r w:rsidR="000E4388">
        <w:rPr>
          <w:rFonts w:eastAsia="Times New Roman"/>
          <w:i/>
        </w:rPr>
        <w:t>p</w:t>
      </w:r>
      <w:r w:rsidR="000E4388">
        <w:rPr>
          <w:rFonts w:eastAsia="Times New Roman"/>
        </w:rPr>
        <w:t xml:space="preserve"> &lt; .001</w:t>
      </w:r>
      <w:r w:rsidR="009A1C2A">
        <w:t>)</w:t>
      </w:r>
      <w:r>
        <w:t>, and hostility</w:t>
      </w:r>
      <w:r w:rsidR="009A1C2A">
        <w:t xml:space="preserve"> </w:t>
      </w:r>
      <w:r w:rsidR="00071758">
        <w:t>one</w:t>
      </w:r>
      <w:r w:rsidR="00FF0373">
        <w:t xml:space="preserve"> </w:t>
      </w:r>
      <w:r w:rsidR="00071758">
        <w:t xml:space="preserve">month later </w:t>
      </w:r>
      <w:r w:rsidR="009A1C2A">
        <w:t>(</w:t>
      </w:r>
      <w:r w:rsidR="000E4388" w:rsidRPr="00FE21E4">
        <w:rPr>
          <w:i/>
        </w:rPr>
        <w:t>ß</w:t>
      </w:r>
      <w:r w:rsidR="000E4388">
        <w:rPr>
          <w:rFonts w:eastAsia="Times New Roman"/>
        </w:rPr>
        <w:t xml:space="preserve"> = .097, </w:t>
      </w:r>
      <w:r w:rsidR="000E4388">
        <w:rPr>
          <w:rFonts w:eastAsia="Times New Roman"/>
          <w:i/>
        </w:rPr>
        <w:t>p</w:t>
      </w:r>
      <w:r w:rsidR="000E4388">
        <w:rPr>
          <w:rFonts w:eastAsia="Times New Roman"/>
        </w:rPr>
        <w:t xml:space="preserve"> = .038</w:t>
      </w:r>
      <w:r w:rsidR="009A1C2A">
        <w:t>)</w:t>
      </w:r>
      <w:r>
        <w:t>, while controlling for reappraisal as well as the corresponding symptoms at baseline. In contrast, reappraisal was not a sig</w:t>
      </w:r>
      <w:r w:rsidR="000D48B4">
        <w:t>nificant longitudinal predictor of</w:t>
      </w:r>
      <w:r w:rsidR="008460ED">
        <w:t xml:space="preserve"> any of these outcomes while controlling for cognitive fusion and baseline symptoms</w:t>
      </w:r>
      <w:r w:rsidR="009A1C2A">
        <w:t xml:space="preserve"> (</w:t>
      </w:r>
      <w:proofErr w:type="spellStart"/>
      <w:r w:rsidR="009A1C2A">
        <w:rPr>
          <w:i/>
        </w:rPr>
        <w:t>p</w:t>
      </w:r>
      <w:r w:rsidR="009A1C2A">
        <w:t>s</w:t>
      </w:r>
      <w:proofErr w:type="spellEnd"/>
      <w:r w:rsidR="009A1C2A">
        <w:t xml:space="preserve"> &gt; .05)</w:t>
      </w:r>
      <w:r w:rsidR="008460ED">
        <w:t>.</w:t>
      </w:r>
      <w:r w:rsidR="00134980">
        <w:t xml:space="preserve"> </w:t>
      </w:r>
    </w:p>
    <w:p w14:paraId="418E9FB7" w14:textId="3D2808C7" w:rsidR="001A7453" w:rsidRDefault="000D48B4" w:rsidP="008B7B43">
      <w:pPr>
        <w:spacing w:line="480" w:lineRule="auto"/>
      </w:pPr>
      <w:r>
        <w:tab/>
      </w:r>
      <w:r w:rsidR="009A1C2A">
        <w:t xml:space="preserve">Both cognitive fusion and cognitive reappraisal </w:t>
      </w:r>
      <w:r w:rsidR="0071790B">
        <w:t>emerged as significant</w:t>
      </w:r>
      <w:r w:rsidR="00CD177D">
        <w:t xml:space="preserve"> longitudinal</w:t>
      </w:r>
      <w:r w:rsidR="0071790B">
        <w:t xml:space="preserve"> predictors of student role problems </w:t>
      </w:r>
      <w:r w:rsidR="00071758">
        <w:t>one</w:t>
      </w:r>
      <w:r w:rsidR="00FF0373">
        <w:t xml:space="preserve"> </w:t>
      </w:r>
      <w:r w:rsidR="00071758">
        <w:t xml:space="preserve">month later </w:t>
      </w:r>
      <w:r w:rsidR="0071790B">
        <w:t>as measured with the SAS-SR</w:t>
      </w:r>
      <w:r w:rsidR="000E4388">
        <w:t xml:space="preserve"> (f</w:t>
      </w:r>
      <w:r w:rsidR="009A1C2A">
        <w:t>usion:</w:t>
      </w:r>
      <w:r w:rsidR="000E4388" w:rsidRPr="000E4388">
        <w:rPr>
          <w:rFonts w:ascii="Arial" w:eastAsia="Times New Roman" w:hAnsi="Arial" w:cs="Arial"/>
          <w:color w:val="222222"/>
          <w:shd w:val="clear" w:color="auto" w:fill="FFFFFF"/>
        </w:rPr>
        <w:t xml:space="preserve"> </w:t>
      </w:r>
      <w:r w:rsidR="000E4388" w:rsidRPr="00FE21E4">
        <w:rPr>
          <w:i/>
        </w:rPr>
        <w:t>ß</w:t>
      </w:r>
      <w:r w:rsidR="000E4388">
        <w:rPr>
          <w:rFonts w:eastAsia="Times New Roman"/>
        </w:rPr>
        <w:t xml:space="preserve"> = .111, </w:t>
      </w:r>
      <w:r w:rsidR="000E4388">
        <w:rPr>
          <w:rFonts w:eastAsia="Times New Roman"/>
          <w:i/>
        </w:rPr>
        <w:t>p</w:t>
      </w:r>
      <w:r w:rsidR="000E4388">
        <w:rPr>
          <w:rFonts w:eastAsia="Times New Roman"/>
        </w:rPr>
        <w:t xml:space="preserve"> = .035</w:t>
      </w:r>
      <w:r w:rsidR="000E4388">
        <w:t>; r</w:t>
      </w:r>
      <w:r w:rsidR="009A1C2A">
        <w:t xml:space="preserve">eappraisal: </w:t>
      </w:r>
      <w:r w:rsidR="000E4388" w:rsidRPr="00FE21E4">
        <w:rPr>
          <w:i/>
        </w:rPr>
        <w:t>ß</w:t>
      </w:r>
      <w:r w:rsidR="000E4388">
        <w:rPr>
          <w:rFonts w:eastAsia="Times New Roman"/>
        </w:rPr>
        <w:t xml:space="preserve"> = -.105, </w:t>
      </w:r>
      <w:r w:rsidR="000E4388">
        <w:rPr>
          <w:rFonts w:eastAsia="Times New Roman"/>
          <w:i/>
        </w:rPr>
        <w:t>p</w:t>
      </w:r>
      <w:r w:rsidR="000E4388">
        <w:rPr>
          <w:rFonts w:eastAsia="Times New Roman"/>
        </w:rPr>
        <w:t xml:space="preserve"> = .04</w:t>
      </w:r>
      <w:r w:rsidR="009A1C2A">
        <w:t>)</w:t>
      </w:r>
      <w:r w:rsidR="0071790B">
        <w:t>.</w:t>
      </w:r>
      <w:r w:rsidR="00CD177D">
        <w:t xml:space="preserve"> Finally, neither cognitive fusion nor reappraisal significantly predicted social role problems or family distress</w:t>
      </w:r>
      <w:r w:rsidR="00071758">
        <w:t xml:space="preserve"> one</w:t>
      </w:r>
      <w:r w:rsidR="00FF0373">
        <w:t xml:space="preserve"> </w:t>
      </w:r>
      <w:r w:rsidR="00071758">
        <w:t>month later</w:t>
      </w:r>
      <w:r w:rsidR="00CD177D">
        <w:t xml:space="preserve"> when controlling for the same </w:t>
      </w:r>
      <w:r w:rsidR="001D49B8">
        <w:t>variables</w:t>
      </w:r>
      <w:r w:rsidR="00CD177D">
        <w:t xml:space="preserve"> at baseline</w:t>
      </w:r>
      <w:r w:rsidR="00C63D0F">
        <w:t xml:space="preserve"> (all </w:t>
      </w:r>
      <w:proofErr w:type="spellStart"/>
      <w:r w:rsidR="00C63D0F">
        <w:rPr>
          <w:i/>
        </w:rPr>
        <w:t>p</w:t>
      </w:r>
      <w:r w:rsidR="00C63D0F">
        <w:t>s</w:t>
      </w:r>
      <w:proofErr w:type="spellEnd"/>
      <w:r w:rsidR="00C63D0F">
        <w:t xml:space="preserve"> &gt;.05)</w:t>
      </w:r>
      <w:r w:rsidR="00CD177D">
        <w:t>.</w:t>
      </w:r>
    </w:p>
    <w:p w14:paraId="19A15887" w14:textId="60DEF16C" w:rsidR="00972B36" w:rsidRDefault="00972B36" w:rsidP="008B7B43">
      <w:pPr>
        <w:spacing w:line="480" w:lineRule="auto"/>
      </w:pPr>
      <w:r>
        <w:tab/>
        <w:t xml:space="preserve">Fusion and reappraisal together accounted for significant additional variance in the follow-up outcomes at the </w:t>
      </w:r>
      <w:r>
        <w:rPr>
          <w:i/>
        </w:rPr>
        <w:t>p</w:t>
      </w:r>
      <w:r>
        <w:t xml:space="preserve"> &lt; 0.05 level </w:t>
      </w:r>
      <w:r w:rsidRPr="00134980">
        <w:t>in</w:t>
      </w:r>
      <w:r>
        <w:t xml:space="preserve"> the models predicting distress (</w:t>
      </w:r>
      <w:r>
        <w:sym w:font="Symbol" w:char="F044"/>
      </w:r>
      <w:r>
        <w:t>R</w:t>
      </w:r>
      <w:r>
        <w:rPr>
          <w:vertAlign w:val="superscript"/>
        </w:rPr>
        <w:t xml:space="preserve">2 </w:t>
      </w:r>
      <w:r>
        <w:t>= 0.012), depression (</w:t>
      </w:r>
      <w:r>
        <w:sym w:font="Symbol" w:char="F044"/>
      </w:r>
      <w:r>
        <w:t>R</w:t>
      </w:r>
      <w:r>
        <w:rPr>
          <w:vertAlign w:val="superscript"/>
        </w:rPr>
        <w:t>2</w:t>
      </w:r>
      <w:r>
        <w:t xml:space="preserve"> = 0.025), generalized anxiety (</w:t>
      </w:r>
      <w:r>
        <w:sym w:font="Symbol" w:char="F044"/>
      </w:r>
      <w:r>
        <w:t>R</w:t>
      </w:r>
      <w:r>
        <w:rPr>
          <w:vertAlign w:val="superscript"/>
        </w:rPr>
        <w:t>2</w:t>
      </w:r>
      <w:r>
        <w:t xml:space="preserve"> = 0.016), social anxiety (</w:t>
      </w:r>
      <w:r>
        <w:sym w:font="Symbol" w:char="F044"/>
      </w:r>
      <w:r>
        <w:t>R</w:t>
      </w:r>
      <w:r>
        <w:rPr>
          <w:vertAlign w:val="superscript"/>
        </w:rPr>
        <w:t>2</w:t>
      </w:r>
      <w:r>
        <w:t xml:space="preserve"> = .02), academic distress (</w:t>
      </w:r>
      <w:r>
        <w:sym w:font="Symbol" w:char="F044"/>
      </w:r>
      <w:r>
        <w:t>R</w:t>
      </w:r>
      <w:r>
        <w:rPr>
          <w:vertAlign w:val="superscript"/>
        </w:rPr>
        <w:t>2</w:t>
      </w:r>
      <w:r>
        <w:t xml:space="preserve"> = .031), and student role problems (</w:t>
      </w:r>
      <w:r>
        <w:sym w:font="Symbol" w:char="F044"/>
      </w:r>
      <w:r>
        <w:t>R</w:t>
      </w:r>
      <w:r>
        <w:rPr>
          <w:vertAlign w:val="superscript"/>
        </w:rPr>
        <w:t>2</w:t>
      </w:r>
      <w:r>
        <w:t xml:space="preserve"> = .025).</w:t>
      </w:r>
    </w:p>
    <w:p w14:paraId="4EE344E5" w14:textId="7FD6D3A3" w:rsidR="00031CC4" w:rsidRPr="00FE21E4" w:rsidRDefault="00031CC4" w:rsidP="00031CC4">
      <w:pPr>
        <w:spacing w:line="480" w:lineRule="auto"/>
        <w:jc w:val="center"/>
      </w:pPr>
      <w:r>
        <w:t>[INSERT TABLE 3 AROUND HERE]</w:t>
      </w:r>
    </w:p>
    <w:p w14:paraId="6C0871C1" w14:textId="11933AE7" w:rsidR="00572B30" w:rsidRPr="00F673DD" w:rsidRDefault="00CF49FE" w:rsidP="00135404">
      <w:pPr>
        <w:spacing w:line="480" w:lineRule="auto"/>
        <w:jc w:val="center"/>
        <w:outlineLvl w:val="0"/>
        <w:rPr>
          <w:b/>
        </w:rPr>
      </w:pPr>
      <w:r w:rsidRPr="00F673DD">
        <w:rPr>
          <w:b/>
        </w:rPr>
        <w:t>Discussion</w:t>
      </w:r>
    </w:p>
    <w:p w14:paraId="09BE8718" w14:textId="2B04E8C4" w:rsidR="00071758" w:rsidRDefault="00111F29" w:rsidP="008B7B43">
      <w:pPr>
        <w:spacing w:line="480" w:lineRule="auto"/>
      </w:pPr>
      <w:r>
        <w:tab/>
      </w:r>
      <w:r w:rsidR="00F31DEB">
        <w:t>Although both fusion and reappraisal were associated with all outcomes studied, f</w:t>
      </w:r>
      <w:r w:rsidR="00242181">
        <w:t>usion shared larger correlations than reappraisal with nearly all outcomes (</w:t>
      </w:r>
      <w:r w:rsidR="00F31DEB">
        <w:t xml:space="preserve">rumination, distress, depression, generalized anxiety, social anxiety, hostility, eating problems, academic distress, </w:t>
      </w:r>
      <w:r w:rsidR="00F31DEB">
        <w:lastRenderedPageBreak/>
        <w:t xml:space="preserve">family distress, and social/leisure problems). </w:t>
      </w:r>
      <w:r w:rsidR="00BB57BD">
        <w:t xml:space="preserve">In addition, fusion predicted distress, depression, generalized anxiety, social anxiety, hostility, academic distress, and student role problems over time controlling for baseline symptoms and reappraisal, while reappraisal only predicted student role problems when controlling for baseline functioning and fusion.  </w:t>
      </w:r>
    </w:p>
    <w:p w14:paraId="3C65D4BF" w14:textId="401453C6" w:rsidR="00C46A4E" w:rsidRDefault="00F31DEB" w:rsidP="00710676">
      <w:pPr>
        <w:spacing w:line="480" w:lineRule="auto"/>
        <w:ind w:firstLine="720"/>
      </w:pPr>
      <w:r>
        <w:t>Th</w:t>
      </w:r>
      <w:r w:rsidR="00243E46">
        <w:t>ese findings</w:t>
      </w:r>
      <w:r>
        <w:t xml:space="preserve"> support the idea that fusion is closely connected to a broad set of outcomes across diagnoses</w:t>
      </w:r>
      <w:r w:rsidR="0014498A">
        <w:t xml:space="preserve"> and is a useful </w:t>
      </w:r>
      <w:proofErr w:type="spellStart"/>
      <w:r w:rsidR="0014498A">
        <w:t>transdiagnostic</w:t>
      </w:r>
      <w:proofErr w:type="spellEnd"/>
      <w:r w:rsidR="0014498A">
        <w:t xml:space="preserve"> treatment target</w:t>
      </w:r>
      <w:r>
        <w:t>. One possible interpretation of this is that</w:t>
      </w:r>
      <w:r w:rsidR="001F2E77">
        <w:t xml:space="preserve"> fusion has broader effects</w:t>
      </w:r>
      <w:r>
        <w:t xml:space="preserve"> because fusion describes a general way of relating to thoughts, while reappraisal </w:t>
      </w:r>
      <w:r w:rsidR="001F2E77">
        <w:t>inherently involves the content of thoughts and therefore may be more relevant to some domains than others.</w:t>
      </w:r>
      <w:r w:rsidR="00111F29">
        <w:t xml:space="preserve"> The correlation between fusion and rumination was large, </w:t>
      </w:r>
      <w:r w:rsidR="00076425">
        <w:t xml:space="preserve">replicating the findings of </w:t>
      </w:r>
      <w:proofErr w:type="spellStart"/>
      <w:r w:rsidR="00D43297">
        <w:t>Gillanders</w:t>
      </w:r>
      <w:proofErr w:type="spellEnd"/>
      <w:r w:rsidR="00D43297">
        <w:t xml:space="preserve"> et al. (2014)</w:t>
      </w:r>
      <w:r w:rsidR="00111F29">
        <w:t xml:space="preserve"> and suggesting that targeting fusion could potentially be particularly useful for those who ruminate.</w:t>
      </w:r>
      <w:r w:rsidR="00770B16">
        <w:t xml:space="preserve"> The</w:t>
      </w:r>
      <w:r w:rsidR="00C46A4E">
        <w:t xml:space="preserve"> </w:t>
      </w:r>
      <w:r w:rsidR="00770B16">
        <w:t>larger relationship between fusion and symptoms as compared to reappraisal is</w:t>
      </w:r>
      <w:r w:rsidR="00C46A4E">
        <w:t xml:space="preserve"> also consistent with past research showing that m</w:t>
      </w:r>
      <w:r w:rsidR="00C46A4E" w:rsidRPr="009377FB">
        <w:t xml:space="preserve">aladaptive coping </w:t>
      </w:r>
      <w:r w:rsidR="006E1119">
        <w:t xml:space="preserve">strategies </w:t>
      </w:r>
      <w:r w:rsidR="00C46A4E" w:rsidRPr="009377FB">
        <w:t>tend to be more predictive of psychopathology than adaptive coping</w:t>
      </w:r>
      <w:r w:rsidR="006E1119">
        <w:t xml:space="preserve"> strategies </w:t>
      </w:r>
      <w:r w:rsidR="00D43297">
        <w:fldChar w:fldCharType="begin" w:fldLock="1"/>
      </w:r>
      <w:r w:rsidR="00D43297">
        <w:instrText>ADDIN CSL_CITATION { "citationItems" : [ { "id" : "ITEM-1", "itemData" : { "DOI" : "10.1016/j.cpr.2009.11.004", "ISBN" : "02727358 (ISSN)", "ISSN" : "02727358", "PMID" : "20015584", "abstract" : "We examined the relationships between six emotion-regulation strategies (acceptance, avoidance, problem solving, reappraisal, rumination, and suppression) and symptoms of four psychopathologies (anxiety, depression, eating, and substance-related disorders). We combined 241 effect sizes from 114 studies that examined the relationships between dispositional emotion regulation and psychopathology. We focused on dispositional emotion regulation in order to assess patterns of responding to emotion over time. First, we examined the relationship between each regulatory strategy and psychopathology across the four disorders. We found a large effect size for rumination, medium to large for avoidance, problem solving, and suppression, and small to medium for reappraisal and acceptance. These results are surprising, given the prominence of reappraisal and acceptance in treatment models, such as cognitive-behavioral therapy and acceptance-based treatments, respectively. Second, we examined the relationship between each regulatory strategy and each of the four psychopathology groups. We found that internalizing disorders were more consistently associated with regulatory strategies than externalizing disorders. Lastly, many of our analyses showed that whether the sample came from a clinical or normative population significantly moderated the relationships. This finding underscores the importance of adopting a multi-sample approach to the study of psychopathology. ?? 2009 Elsevier B.V. All rights reserved.", "author" : [ { "dropping-particle" : "", "family" : "Aldao", "given" : "Amelia", "non-dropping-particle" : "", "parse-names" : false, "suffix" : "" }, { "dropping-particle" : "", "family" : "Nolen-Hoeksema", "given" : "Susan", "non-dropping-particle" : "", "parse-names" : false, "suffix" : "" }, { "dropping-particle" : "", "family" : "Schweizer", "given" : "Susanne", "non-dropping-particle" : "", "parse-names" : false, "suffix" : "" } ], "container-title" : "Clinical Psychology Review", "id" : "ITEM-1", "issue" : "2", "issued" : { "date-parts" : [ [ "2010" ] ] }, "page" : "217-237", "title" : "Emotion-regulation strategies across psychopathology: A meta-analytic review", "type" : "article-journal", "volume" : "30" }, "uris" : [ "http://www.mendeley.com/documents/?uuid=1e828dd2-c6ca-4412-81d9-8aca476075a5" ] } ], "mendeley" : { "formattedCitation" : "(Aldao, Nolen-Hoeksema, &amp; Schweizer, 2010)", "plainTextFormattedCitation" : "(Aldao, Nolen-Hoeksema, &amp; Schweizer, 2010)", "previouslyFormattedCitation" : "(Aldao, Nolen-Hoeksema, &amp; Schweizer, 2010)" }, "properties" : { "noteIndex" : 11 }, "schema" : "https://github.com/citation-style-language/schema/raw/master/csl-citation.json" }</w:instrText>
      </w:r>
      <w:r w:rsidR="00D43297">
        <w:fldChar w:fldCharType="separate"/>
      </w:r>
      <w:r w:rsidR="00D43297" w:rsidRPr="00D43297">
        <w:rPr>
          <w:noProof/>
        </w:rPr>
        <w:t>(Aldao, Nolen-Hoeksema, &amp; Schweizer, 2010)</w:t>
      </w:r>
      <w:r w:rsidR="00D43297">
        <w:fldChar w:fldCharType="end"/>
      </w:r>
      <w:r w:rsidR="00C46A4E" w:rsidRPr="009377FB">
        <w:t xml:space="preserve">. </w:t>
      </w:r>
      <w:r w:rsidR="00C46A4E">
        <w:t>It</w:t>
      </w:r>
      <w:r w:rsidR="006E1119">
        <w:t xml:space="preserve"> i</w:t>
      </w:r>
      <w:r w:rsidR="00C46A4E">
        <w:t xml:space="preserve">s unclear if this </w:t>
      </w:r>
      <w:r w:rsidR="006E1119">
        <w:t xml:space="preserve">pattern </w:t>
      </w:r>
      <w:r w:rsidR="00C46A4E">
        <w:t xml:space="preserve">is due to </w:t>
      </w:r>
      <w:r w:rsidR="006E1119">
        <w:t xml:space="preserve">true differences or to </w:t>
      </w:r>
      <w:r w:rsidR="00C46A4E">
        <w:t>measurement issues such as process and symptom measures both capturing distress.</w:t>
      </w:r>
      <w:r w:rsidR="00770B16">
        <w:t xml:space="preserve"> </w:t>
      </w:r>
    </w:p>
    <w:p w14:paraId="34EAB4A6" w14:textId="08462B5A" w:rsidR="00135404" w:rsidRDefault="00BB4AA1" w:rsidP="008B7B43">
      <w:pPr>
        <w:spacing w:line="480" w:lineRule="auto"/>
      </w:pPr>
      <w:r>
        <w:tab/>
        <w:t>In the present sample, higher fusion was associated with less reappraisal. This finding was unexpected, as we predicted that individuals who are more fused would see more need to change their thoughts with methods such as reappraisal. One</w:t>
      </w:r>
      <w:r w:rsidR="00BF0DBA">
        <w:t xml:space="preserve"> way to understand this finding</w:t>
      </w:r>
      <w:r>
        <w:t xml:space="preserve"> is that the process of reappraisal may require or support some degree of </w:t>
      </w:r>
      <w:proofErr w:type="spellStart"/>
      <w:r>
        <w:t>defusion</w:t>
      </w:r>
      <w:proofErr w:type="spellEnd"/>
      <w:r>
        <w:t>, because it is necessary to notice one’s thought process and recognize the possibility of having alternative thoughts (i.e., take a step back from one’s thoughts) in order to reappraise</w:t>
      </w:r>
      <w:r w:rsidR="00D43297">
        <w:t xml:space="preserve"> </w:t>
      </w:r>
      <w:r w:rsidR="00D43297">
        <w:fldChar w:fldCharType="begin" w:fldLock="1"/>
      </w:r>
      <w:r w:rsidR="00D43297">
        <w:instrText>ADDIN CSL_CITATION { "citationItems" : [ { "id" : "ITEM-1", "itemData" : { "author" : [ { "dropping-particle" : "", "family" : "Arch", "given" : "Joanna J", "non-dropping-particle" : "", "parse-names" : false, "suffix" : "" }, { "dropping-particle" : "", "family" : "Craske", "given" : "Michelle G", "non-dropping-particle" : "", "parse-names" : false, "suffix" : "" } ], "container-title" : "Clinical Psychology: Science and Practice", "id" : "ITEM-1", "issued" : { "date-parts" : [ [ "2008" ] ] }, "page" : "263-279", "title" : "Acceptance and commitment therapy and cognitive behavioral therapy for anxiety disorders: Different treatments, similar mechanisms?", "type" : "article-journal", "volume" : "15" }, "uris" : [ "http://www.mendeley.com/documents/?uuid=0dd00996-22d0-4518-afec-54cafafc38b4" ] } ], "mendeley" : { "formattedCitation" : "(Arch &amp; Craske, 2008)", "plainTextFormattedCitation" : "(Arch &amp; Craske, 2008)", "previouslyFormattedCitation" : "(Arch &amp; Craske, 2008)" }, "properties" : { "noteIndex" : 12 }, "schema" : "https://github.com/citation-style-language/schema/raw/master/csl-citation.json" }</w:instrText>
      </w:r>
      <w:r w:rsidR="00D43297">
        <w:fldChar w:fldCharType="separate"/>
      </w:r>
      <w:r w:rsidR="00D43297" w:rsidRPr="00D43297">
        <w:rPr>
          <w:noProof/>
        </w:rPr>
        <w:t>(Arch &amp; Craske, 2008)</w:t>
      </w:r>
      <w:r w:rsidR="00D43297">
        <w:fldChar w:fldCharType="end"/>
      </w:r>
      <w:r>
        <w:t xml:space="preserve">. </w:t>
      </w:r>
      <w:r w:rsidR="00A81F50">
        <w:t>This possibility should be tested in future research</w:t>
      </w:r>
      <w:r w:rsidR="00AF6BDB">
        <w:t xml:space="preserve"> in an intervention context</w:t>
      </w:r>
      <w:r w:rsidR="00A81F50">
        <w:t xml:space="preserve"> (for instance, </w:t>
      </w:r>
      <w:r w:rsidR="00A81F50">
        <w:lastRenderedPageBreak/>
        <w:t xml:space="preserve">by testing if </w:t>
      </w:r>
      <w:proofErr w:type="spellStart"/>
      <w:r w:rsidR="00AF6BDB">
        <w:t>defusion</w:t>
      </w:r>
      <w:proofErr w:type="spellEnd"/>
      <w:r w:rsidR="00AF6BDB">
        <w:t xml:space="preserve"> interventions lead to an increase in use of reappraisal or vice versa).</w:t>
      </w:r>
      <w:r w:rsidR="00BF0DBA">
        <w:t xml:space="preserve"> </w:t>
      </w:r>
      <w:r>
        <w:t>On the other hand, the correlation between fusion and reappraisal (</w:t>
      </w:r>
      <w:r>
        <w:rPr>
          <w:i/>
        </w:rPr>
        <w:t>r</w:t>
      </w:r>
      <w:r>
        <w:t xml:space="preserve"> = -.35) is of medium size, which supports the argument that fusion and reappraisal</w:t>
      </w:r>
      <w:r w:rsidR="00BF0DBA">
        <w:t xml:space="preserve"> are indeed distinct constructs, particularly in light of the other findings of this study.</w:t>
      </w:r>
      <w:r w:rsidR="00BC584E">
        <w:t xml:space="preserve"> </w:t>
      </w:r>
    </w:p>
    <w:p w14:paraId="560A80BD" w14:textId="7F7484B7" w:rsidR="002C03FD" w:rsidRDefault="009C62F1" w:rsidP="008B7B43">
      <w:pPr>
        <w:spacing w:line="480" w:lineRule="auto"/>
      </w:pPr>
      <w:r>
        <w:tab/>
        <w:t>Overall, our findings suggest that f</w:t>
      </w:r>
      <w:r w:rsidR="009377FB">
        <w:t xml:space="preserve">usion is a broader </w:t>
      </w:r>
      <w:r w:rsidR="009A1C2A">
        <w:t xml:space="preserve">and more consistent </w:t>
      </w:r>
      <w:r w:rsidR="009377FB">
        <w:t>predictor</w:t>
      </w:r>
      <w:r w:rsidR="00970BCD">
        <w:t xml:space="preserve"> than reappraisal</w:t>
      </w:r>
      <w:r w:rsidR="009377FB">
        <w:t>, especially in regard to psychopathology</w:t>
      </w:r>
      <w:r w:rsidR="003F4196">
        <w:t xml:space="preserve">, in a non-intervention context. </w:t>
      </w:r>
      <w:r w:rsidR="0032524A">
        <w:t>Specifically, fusion significantly predict</w:t>
      </w:r>
      <w:r w:rsidR="00703CD8">
        <w:t>ed</w:t>
      </w:r>
      <w:r w:rsidR="0032524A">
        <w:t xml:space="preserve"> mental health issues such as </w:t>
      </w:r>
      <w:r w:rsidR="00157C43">
        <w:t>d</w:t>
      </w:r>
      <w:r w:rsidR="004241F4">
        <w:t xml:space="preserve">istress, depression, generalized anxiety, </w:t>
      </w:r>
      <w:r w:rsidR="00302734">
        <w:t xml:space="preserve">social anxiety, </w:t>
      </w:r>
      <w:r w:rsidR="004241F4">
        <w:t xml:space="preserve">academic distress, </w:t>
      </w:r>
      <w:r w:rsidR="00302734">
        <w:t xml:space="preserve">student role problems, </w:t>
      </w:r>
      <w:r w:rsidR="004241F4">
        <w:t>and hostility</w:t>
      </w:r>
      <w:r w:rsidR="0032524A">
        <w:t xml:space="preserve"> when controlling for reappraisal</w:t>
      </w:r>
      <w:r w:rsidR="004241F4">
        <w:t xml:space="preserve">. </w:t>
      </w:r>
      <w:r w:rsidR="003F4196">
        <w:t xml:space="preserve">These findings support the </w:t>
      </w:r>
      <w:r w:rsidR="00A14598">
        <w:t>importance</w:t>
      </w:r>
      <w:r w:rsidR="003F4196">
        <w:t xml:space="preserve"> of evaluating and targeting fusion across a range</w:t>
      </w:r>
      <w:r w:rsidR="00697A61">
        <w:t xml:space="preserve"> of diagnoses and problem areas, given the breadth of areas that fusion can predict</w:t>
      </w:r>
      <w:r w:rsidR="0032524A">
        <w:t xml:space="preserve">. </w:t>
      </w:r>
      <w:r w:rsidR="00697A61">
        <w:t>However, fusion may be less relevant in certain areas, such as eating problems</w:t>
      </w:r>
      <w:r w:rsidR="006C65CF">
        <w:t xml:space="preserve">. </w:t>
      </w:r>
      <w:r w:rsidR="001B0393">
        <w:t>This finding</w:t>
      </w:r>
      <w:r w:rsidR="001B0393" w:rsidRPr="001B0393">
        <w:t xml:space="preserve"> </w:t>
      </w:r>
      <w:r w:rsidR="001B0393">
        <w:t>is</w:t>
      </w:r>
      <w:r w:rsidR="001B0393" w:rsidRPr="001B0393">
        <w:t xml:space="preserve"> consistent with previous research suggesting that cognitive coping strategies are more predictive in certain areas such as depression and anxiety compared to eating problems </w:t>
      </w:r>
      <w:r w:rsidR="002B4CDF">
        <w:fldChar w:fldCharType="begin" w:fldLock="1"/>
      </w:r>
      <w:r w:rsidR="002B4CDF">
        <w:instrText>ADDIN CSL_CITATION { "citationItems" : [ { "id" : "ITEM-1", "itemData" : { "DOI" : "10.1016/j.cpr.2009.11.004", "ISBN" : "02727358 (ISSN)", "ISSN" : "02727358", "PMID" : "20015584", "abstract" : "We examined the relationships between six emotion-regulation strategies (acceptance, avoidance, problem solving, reappraisal, rumination, and suppression) and symptoms of four psychopathologies (anxiety, depression, eating, and substance-related disorders). We combined 241 effect sizes from 114 studies that examined the relationships between dispositional emotion regulation and psychopathology. We focused on dispositional emotion regulation in order to assess patterns of responding to emotion over time. First, we examined the relationship between each regulatory strategy and psychopathology across the four disorders. We found a large effect size for rumination, medium to large for avoidance, problem solving, and suppression, and small to medium for reappraisal and acceptance. These results are surprising, given the prominence of reappraisal and acceptance in treatment models, such as cognitive-behavioral therapy and acceptance-based treatments, respectively. Second, we examined the relationship between each regulatory strategy and each of the four psychopathology groups. We found that internalizing disorders were more consistently associated with regulatory strategies than externalizing disorders. Lastly, many of our analyses showed that whether the sample came from a clinical or normative population significantly moderated the relationships. This finding underscores the importance of adopting a multi-sample approach to the study of psychopathology. ?? 2009 Elsevier B.V. All rights reserved.", "author" : [ { "dropping-particle" : "", "family" : "Aldao", "given" : "Amelia", "non-dropping-particle" : "", "parse-names" : false, "suffix" : "" }, { "dropping-particle" : "", "family" : "Nolen-Hoeksema", "given" : "Susan", "non-dropping-particle" : "", "parse-names" : false, "suffix" : "" }, { "dropping-particle" : "", "family" : "Schweizer", "given" : "Susanne", "non-dropping-particle" : "", "parse-names" : false, "suffix" : "" } ], "container-title" : "Clinical Psychology Review", "id" : "ITEM-1", "issue" : "2", "issued" : { "date-parts" : [ [ "2010" ] ] }, "page" : "217-237", "title" : "Emotion-regulation strategies across psychopathology: A meta-analytic review", "type" : "article-journal", "volume" : "30" }, "uris" : [ "http://www.mendeley.com/documents/?uuid=1e828dd2-c6ca-4412-81d9-8aca476075a5" ] } ], "mendeley" : { "formattedCitation" : "(Aldao, Nolen-Hoeksema, &amp; Schweizer, 2010)", "plainTextFormattedCitation" : "(Aldao, Nolen-Hoeksema, &amp; Schweizer, 2010)", "previouslyFormattedCitation" : "(Aldao, Nolen-Hoeksema, &amp; Schweizer, 2010)" }, "properties" : { "noteIndex" : 13 }, "schema" : "https://github.com/citation-style-language/schema/raw/master/csl-citation.json" }</w:instrText>
      </w:r>
      <w:r w:rsidR="002B4CDF">
        <w:fldChar w:fldCharType="separate"/>
      </w:r>
      <w:r w:rsidR="00FA10AB">
        <w:rPr>
          <w:noProof/>
        </w:rPr>
        <w:t>(Aldao et al.</w:t>
      </w:r>
      <w:r w:rsidR="002B4CDF" w:rsidRPr="002B4CDF">
        <w:rPr>
          <w:noProof/>
        </w:rPr>
        <w:t>, 2010)</w:t>
      </w:r>
      <w:r w:rsidR="002B4CDF">
        <w:fldChar w:fldCharType="end"/>
      </w:r>
      <w:r w:rsidR="001B0393">
        <w:t>.</w:t>
      </w:r>
      <w:r w:rsidR="009B6B62">
        <w:t xml:space="preserve"> </w:t>
      </w:r>
      <w:r w:rsidR="000B0FE2" w:rsidRPr="000B0FE2">
        <w:t>Fusion and reappraisal both seem to be weak predictors in interpersonal domains</w:t>
      </w:r>
      <w:r w:rsidR="00521B31">
        <w:t xml:space="preserve"> based on the present results, suggesting that interpersonal concerns may </w:t>
      </w:r>
      <w:r w:rsidR="00551A67">
        <w:t>be impacted more by other unmeasured individual or contextual factors</w:t>
      </w:r>
      <w:r w:rsidR="00521B31">
        <w:t xml:space="preserve">. </w:t>
      </w:r>
      <w:r w:rsidR="009B6B62">
        <w:t xml:space="preserve">Alternatively, it is also possible </w:t>
      </w:r>
      <w:r w:rsidR="00521B31">
        <w:t>that general measures of fusion and reappraisal</w:t>
      </w:r>
      <w:r w:rsidR="009B6B62">
        <w:t xml:space="preserve"> </w:t>
      </w:r>
      <w:r w:rsidR="00521B31">
        <w:t>do not</w:t>
      </w:r>
      <w:r w:rsidR="009B6B62">
        <w:t xml:space="preserve"> successfully assess </w:t>
      </w:r>
      <w:r w:rsidR="00521B31">
        <w:t>these processes</w:t>
      </w:r>
      <w:r w:rsidR="009B6B62">
        <w:t xml:space="preserve"> </w:t>
      </w:r>
      <w:r w:rsidR="00521B31">
        <w:t>as they</w:t>
      </w:r>
      <w:r w:rsidR="00F457D5">
        <w:t xml:space="preserve"> relate</w:t>
      </w:r>
      <w:r w:rsidR="009B6B62">
        <w:t xml:space="preserve"> to certain domai</w:t>
      </w:r>
      <w:r w:rsidR="00521B31">
        <w:t>n areas such as eating problems or interpersonal domains.</w:t>
      </w:r>
      <w:r w:rsidR="000961E1">
        <w:t xml:space="preserve"> </w:t>
      </w:r>
      <w:r w:rsidR="00302734">
        <w:t xml:space="preserve">In addition, while fusion was a statistically significant predictor of </w:t>
      </w:r>
      <w:r w:rsidR="009B00F5">
        <w:t>several outcomes</w:t>
      </w:r>
      <w:r w:rsidR="00302734">
        <w:t xml:space="preserve"> over time, R</w:t>
      </w:r>
      <w:r w:rsidR="00302734">
        <w:rPr>
          <w:vertAlign w:val="superscript"/>
        </w:rPr>
        <w:t>2</w:t>
      </w:r>
      <w:r w:rsidR="00302734">
        <w:t xml:space="preserve"> change values indicated that baseline fusion accounted for no more than 3% of the </w:t>
      </w:r>
      <w:r w:rsidR="00D779F8">
        <w:t>variance</w:t>
      </w:r>
      <w:r w:rsidR="00302734">
        <w:t xml:space="preserve"> in any outcome assessed</w:t>
      </w:r>
      <w:r w:rsidR="00D779F8">
        <w:t xml:space="preserve">. </w:t>
      </w:r>
      <w:r w:rsidR="009B00F5">
        <w:t>Although</w:t>
      </w:r>
      <w:r w:rsidR="00D779F8">
        <w:t xml:space="preserve"> being able to predict </w:t>
      </w:r>
      <w:r w:rsidR="009B00F5">
        <w:t>change</w:t>
      </w:r>
      <w:r w:rsidR="00D779F8">
        <w:t xml:space="preserve"> in these outcomes is clinically important, fusion alone </w:t>
      </w:r>
      <w:r w:rsidR="009B00F5">
        <w:t>appears to account</w:t>
      </w:r>
      <w:r w:rsidR="00D779F8">
        <w:t xml:space="preserve"> </w:t>
      </w:r>
      <w:r w:rsidR="009B00F5">
        <w:t xml:space="preserve">for a small proportion of this change </w:t>
      </w:r>
      <w:r w:rsidR="00302734">
        <w:t>and should be considered alongside other risk factors.</w:t>
      </w:r>
    </w:p>
    <w:p w14:paraId="6B4B5175" w14:textId="0D2D326E" w:rsidR="00394EC0" w:rsidRDefault="002C03FD" w:rsidP="008B7B43">
      <w:pPr>
        <w:spacing w:line="480" w:lineRule="auto"/>
      </w:pPr>
      <w:r>
        <w:lastRenderedPageBreak/>
        <w:tab/>
        <w:t>Fusion and reappraisal are connected to distinct treatment approaches, with different treatment goals. The goal of ACT is to support valued living regardless of</w:t>
      </w:r>
      <w:r w:rsidR="00071758">
        <w:t xml:space="preserve"> internal experiences such as distressing thoughts and feelings </w:t>
      </w:r>
      <w:r>
        <w:fldChar w:fldCharType="begin" w:fldLock="1"/>
      </w:r>
      <w:r>
        <w:instrText>ADDIN CSL_CITATION { "citationItems" : [ { "id" : "ITEM-1", "itemData" : { "DOI" : "10.1016/j.brat.2005.06.006", "ISBN" : "0005-7967", "ISSN" : "0005-7967", "PMID" : "16300724", "abstract" : "The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 "author" : [ { "dropping-particle" : "", "family" : "Hayes", "given" : "Steven C", "non-dropping-particle" : "", "parse-names" : false, "suffix" : "" }, { "dropping-particle" : "", "family" : "Luoma", "given" : "Jason B", "non-dropping-particle" : "", "parse-names" : false, "suffix" : "" }, { "dropping-particle" : "", "family" : "Bond", "given" : "Frank W", "non-dropping-particle" : "", "parse-names" : false, "suffix" : "" }, { "dropping-particle" : "", "family" : "Masuda", "given" : "Akihiko", "non-dropping-particle" : "", "parse-names" : false, "suffix" : "" }, { "dropping-particle" : "", "family" : "Lillis", "given" : "Jason", "non-dropping-particle" : "", "parse-names" : false, "suffix" : "" } ], "container-title" : "Behaviour Research and Therapy", "id" : "ITEM-1", "issued" : { "date-parts" : [ [ "2006" ] ] }, "page" : "1-25", "title" : "Acceptance and Commitment Therapy: Model, processes and outcomes.", "type" : "article-journal", "volume" : "44" }, "uris" : [ "http://www.mendeley.com/documents/?uuid=ff47006a-314b-4e8a-9cd4-0f9cb00fd209" ] } ], "mendeley" : { "formattedCitation" : "(Hayes et al., 2006)", "plainTextFormattedCitation" : "(Hayes et al., 2006)", "previouslyFormattedCitation" : "(Hayes et al., 2006)" }, "properties" : { "noteIndex" : 12 }, "schema" : "https://github.com/citation-style-language/schema/raw/master/csl-citation.json" }</w:instrText>
      </w:r>
      <w:r>
        <w:fldChar w:fldCharType="separate"/>
      </w:r>
      <w:r w:rsidRPr="002B4CDF">
        <w:rPr>
          <w:noProof/>
        </w:rPr>
        <w:t>(Hayes et al., 2006)</w:t>
      </w:r>
      <w:r>
        <w:fldChar w:fldCharType="end"/>
      </w:r>
      <w:r w:rsidR="00071758">
        <w:t xml:space="preserve">. In contrast, </w:t>
      </w:r>
      <w:r>
        <w:t xml:space="preserve">many other cognitive behavioral therapies such as Barlow’s Unified Protocol focus on </w:t>
      </w:r>
      <w:r w:rsidR="00071758">
        <w:t>improving</w:t>
      </w:r>
      <w:r>
        <w:t xml:space="preserve"> </w:t>
      </w:r>
      <w:r w:rsidR="00071758">
        <w:t xml:space="preserve">psychosocial </w:t>
      </w:r>
      <w:r>
        <w:t xml:space="preserve">functioning through symptom change </w:t>
      </w:r>
      <w:r>
        <w:fldChar w:fldCharType="begin" w:fldLock="1"/>
      </w:r>
      <w:r>
        <w:instrText>ADDIN CSL_CITATION { "citationItems" : [ { "id" : "ITEM-1", "itemData" : { "DOI" : "10.1016/j.cbpra.2009.06.002", "ISSN" : "1077-7229", "author" : [ { "dropping-particle" : "", "family" : "Ellard", "given" : "Kristen K", "non-dropping-particle" : "", "parse-names" : false, "suffix" : "" }, { "dropping-particle" : "", "family" : "Fairholme", "given" : "Christopher P", "non-dropping-particle" : "", "parse-names" : false, "suffix" : "" }, { "dropping-particle" : "", "family" : "Boisseau", "given" : "Christina L", "non-dropping-particle" : "", "parse-names" : false, "suffix" : "" }, { "dropping-particle" : "", "family" : "Farchione", "given" : "Todd J", "non-dropping-particle" : "", "parse-names" : false, "suffix" : "" }, { "dropping-particle" : "", "family" : "Barlow", "given" : "David H", "non-dropping-particle" : "", "parse-names" : false, "suffix" : "" } ], "container-title" : "Cognitive and Behavioral Practice", "id" : "ITEM-1", "issued" : { "date-parts" : [ [ "2010" ] ] }, "page" : "88-101", "publisher" : "Elsevier B.V.", "title" : "Unified protocol for the transdiagnostic treatment of emotional disorders: Protocol development and initial outcome data", "type" : "article-journal", "volume" : "17" }, "uris" : [ "http://www.mendeley.com/documents/?uuid=f337caaa-46a3-48fb-808b-ced259e56c50" ] } ], "mendeley" : { "formattedCitation" : "(Ellard, Fairholme, Boisseau, Farchione, &amp; Barlow, 2010)", "plainTextFormattedCitation" : "(Ellard, Fairholme, Boisseau, Farchione, &amp; Barlow, 2010)", "previouslyFormattedCitation" : "(Ellard, Fairholme, Boisseau, Farchione, &amp; Barlow, 2010)" }, "properties" : { "noteIndex" : 12 }, "schema" : "https://github.com/citation-style-language/schema/raw/master/csl-citation.json" }</w:instrText>
      </w:r>
      <w:r>
        <w:fldChar w:fldCharType="separate"/>
      </w:r>
      <w:r w:rsidRPr="002B4CDF">
        <w:rPr>
          <w:noProof/>
        </w:rPr>
        <w:t>(Ellard, Fairholme, Boisseau, Farchione, &amp; Barlow, 2010)</w:t>
      </w:r>
      <w:r>
        <w:fldChar w:fldCharType="end"/>
      </w:r>
      <w:r>
        <w:t xml:space="preserve">. </w:t>
      </w:r>
      <w:r w:rsidR="00071758">
        <w:t>The results suggest the importance of targeting how individuals relate to thoughts (i.e., fusion) in the context of either treatment approach</w:t>
      </w:r>
      <w:r w:rsidR="00710676">
        <w:t>,</w:t>
      </w:r>
      <w:r w:rsidR="00071758">
        <w:t xml:space="preserve"> whether it is to then change these thoughts or simply take action independent of these thoughts. </w:t>
      </w:r>
    </w:p>
    <w:p w14:paraId="5C4EF6CC" w14:textId="77777777" w:rsidR="00394EC0" w:rsidRPr="00710676" w:rsidRDefault="00BA4E4B" w:rsidP="00F95683">
      <w:pPr>
        <w:spacing w:line="480" w:lineRule="auto"/>
        <w:rPr>
          <w:b/>
        </w:rPr>
      </w:pPr>
      <w:r w:rsidRPr="00710676">
        <w:rPr>
          <w:b/>
        </w:rPr>
        <w:t>Limitations</w:t>
      </w:r>
    </w:p>
    <w:p w14:paraId="3A49E460" w14:textId="76627F04" w:rsidR="00AE4A26" w:rsidRDefault="00394EC0" w:rsidP="00F95683">
      <w:pPr>
        <w:spacing w:line="480" w:lineRule="auto"/>
      </w:pPr>
      <w:r>
        <w:tab/>
      </w:r>
      <w:r w:rsidR="00DB36F8">
        <w:t xml:space="preserve">First, this study was limited by </w:t>
      </w:r>
      <w:r w:rsidR="008A7639">
        <w:t xml:space="preserve">the </w:t>
      </w:r>
      <w:r w:rsidR="00E37818">
        <w:t xml:space="preserve">use of a </w:t>
      </w:r>
      <w:r w:rsidR="00DB36F8">
        <w:t>non-clinical sample</w:t>
      </w:r>
      <w:r w:rsidR="008A7639">
        <w:t xml:space="preserve"> </w:t>
      </w:r>
      <w:r w:rsidR="00DB36F8">
        <w:t xml:space="preserve">and </w:t>
      </w:r>
      <w:r w:rsidR="008A7639">
        <w:t xml:space="preserve">the </w:t>
      </w:r>
      <w:r w:rsidR="00DB36F8">
        <w:t>lack</w:t>
      </w:r>
      <w:r w:rsidR="008A7639">
        <w:t xml:space="preserve"> of</w:t>
      </w:r>
      <w:r w:rsidR="00DB36F8">
        <w:t xml:space="preserve"> </w:t>
      </w:r>
      <w:r w:rsidR="00911DF6">
        <w:t xml:space="preserve">a </w:t>
      </w:r>
      <w:r w:rsidR="00DB36F8">
        <w:t xml:space="preserve">randomized control trial (RCT) design </w:t>
      </w:r>
      <w:r w:rsidR="008A7639">
        <w:t>comparing</w:t>
      </w:r>
      <w:r w:rsidR="00DB36F8">
        <w:t xml:space="preserve"> active interventions of </w:t>
      </w:r>
      <w:proofErr w:type="spellStart"/>
      <w:r w:rsidR="00DB36F8">
        <w:t>defusion</w:t>
      </w:r>
      <w:proofErr w:type="spellEnd"/>
      <w:r w:rsidR="00DB36F8">
        <w:t xml:space="preserve"> </w:t>
      </w:r>
      <w:r w:rsidR="008A7639">
        <w:t>vs.</w:t>
      </w:r>
      <w:r w:rsidR="00DB36F8">
        <w:t xml:space="preserve"> reappraisal. Despite significant predictive findings observed within fusion and, to a lesser ext</w:t>
      </w:r>
      <w:r w:rsidR="00911DF6">
        <w:t>ent, reappraisal measures, the R</w:t>
      </w:r>
      <w:r w:rsidR="00E334DD">
        <w:rPr>
          <w:vertAlign w:val="superscript"/>
        </w:rPr>
        <w:t>2</w:t>
      </w:r>
      <w:r w:rsidR="00DB36F8">
        <w:t xml:space="preserve"> change values were relatively small. Such values are expected for longitudinal prediction research, but this speaks to the need for intervention research to determine the magnitude of change</w:t>
      </w:r>
      <w:r w:rsidR="000A3346">
        <w:t xml:space="preserve"> over a longer period of time</w:t>
      </w:r>
      <w:r w:rsidR="00DB36F8">
        <w:t xml:space="preserve">. It is also relevant to note that the undergraduate </w:t>
      </w:r>
      <w:r w:rsidR="009F60DC">
        <w:t xml:space="preserve">psychology </w:t>
      </w:r>
      <w:r w:rsidR="00DB36F8">
        <w:t>student sample used in this study could limit the generalizability of these findings, given that thes</w:t>
      </w:r>
      <w:r w:rsidR="009F60DC">
        <w:t>e participants were younger</w:t>
      </w:r>
      <w:r w:rsidR="00230937">
        <w:t>, ethnically homogeneous</w:t>
      </w:r>
      <w:r w:rsidR="00E37818">
        <w:t xml:space="preserve"> and likely</w:t>
      </w:r>
      <w:r w:rsidR="009F60DC">
        <w:t xml:space="preserve"> </w:t>
      </w:r>
      <w:r w:rsidR="00DB36F8">
        <w:t>higher in intellectual abili</w:t>
      </w:r>
      <w:r w:rsidR="009F60DC">
        <w:t>ty, socioeconomic status, and psychological mindedness compared to the general population.</w:t>
      </w:r>
      <w:r w:rsidR="005E3FC7">
        <w:t xml:space="preserve"> Measures of fusion and reappraisal both rely on </w:t>
      </w:r>
      <w:r w:rsidR="000E7398">
        <w:t>insight into one’s own psychological processes, which is correlated with education level (</w:t>
      </w:r>
      <w:proofErr w:type="spellStart"/>
      <w:r w:rsidR="000E7398">
        <w:t>Nyk</w:t>
      </w:r>
      <w:r w:rsidR="00E334DD">
        <w:t>l</w:t>
      </w:r>
      <w:r w:rsidR="000E7398">
        <w:t>íček</w:t>
      </w:r>
      <w:proofErr w:type="spellEnd"/>
      <w:r w:rsidR="000E7398">
        <w:t xml:space="preserve"> &amp; </w:t>
      </w:r>
      <w:proofErr w:type="spellStart"/>
      <w:r w:rsidR="000E7398">
        <w:t>Denollet</w:t>
      </w:r>
      <w:proofErr w:type="spellEnd"/>
      <w:r w:rsidR="000E7398">
        <w:t>, 2009)</w:t>
      </w:r>
      <w:r w:rsidR="00013041">
        <w:t>, and therefore it is unclear if these findings would hold in a less-educated sample</w:t>
      </w:r>
      <w:r w:rsidR="000E7398">
        <w:t xml:space="preserve">. </w:t>
      </w:r>
      <w:r w:rsidR="009F60DC">
        <w:t xml:space="preserve"> </w:t>
      </w:r>
      <w:r w:rsidR="004433F4">
        <w:t xml:space="preserve">In addition, the sample was not treatment-seeking, which could limit generalizability of these findings to clinical populations given that treatment-seeking participants may be more distressed and struggle with </w:t>
      </w:r>
      <w:r w:rsidR="004433F4">
        <w:lastRenderedPageBreak/>
        <w:t>fusion or reappraisal processes in more significant or unique ways.</w:t>
      </w:r>
      <w:r w:rsidR="00013041">
        <w:t xml:space="preserve"> This study must</w:t>
      </w:r>
      <w:r w:rsidR="00F63582">
        <w:t xml:space="preserve"> be</w:t>
      </w:r>
      <w:r w:rsidR="00013041">
        <w:t xml:space="preserve"> replicated with more diverse samples, particularly treatment-seeking samples and samples with more variation in educational level, in order to ensure that these findings apply to the population more broadly.</w:t>
      </w:r>
    </w:p>
    <w:p w14:paraId="67249FBF" w14:textId="11BF911F" w:rsidR="00BF1540" w:rsidRDefault="00AE4A26" w:rsidP="00802B30">
      <w:pPr>
        <w:spacing w:line="480" w:lineRule="auto"/>
      </w:pPr>
      <w:r w:rsidRPr="00AE4A26">
        <w:tab/>
      </w:r>
      <w:r w:rsidR="00DB36F8" w:rsidRPr="00AE4A26">
        <w:t xml:space="preserve">Second, this study was </w:t>
      </w:r>
      <w:r w:rsidR="00105729" w:rsidRPr="00AE4A26">
        <w:t xml:space="preserve">limited by the primary outcome measures of the CFQ and ERQ-CR. </w:t>
      </w:r>
      <w:r w:rsidR="00CA6A19" w:rsidRPr="00AE4A26">
        <w:t xml:space="preserve">While the ERQ-CR </w:t>
      </w:r>
      <w:r w:rsidR="006B6B8C" w:rsidRPr="00AE4A26">
        <w:t xml:space="preserve">assesses </w:t>
      </w:r>
      <w:r w:rsidR="00CA6A19" w:rsidRPr="00AE4A26">
        <w:t>the psychologically</w:t>
      </w:r>
      <w:r w:rsidR="00177D78">
        <w:t xml:space="preserve"> </w:t>
      </w:r>
      <w:r w:rsidR="00CA6A19" w:rsidRPr="00AE4A26">
        <w:t>healthy process of cognitive reappraisal, t</w:t>
      </w:r>
      <w:r w:rsidR="000A3346" w:rsidRPr="00AE4A26">
        <w:t>he CFQ measures</w:t>
      </w:r>
      <w:r w:rsidR="00CA6A19" w:rsidRPr="00AE4A26">
        <w:t xml:space="preserve"> symptoms of the </w:t>
      </w:r>
      <w:r w:rsidR="000A3346" w:rsidRPr="00AE4A26">
        <w:t>psych</w:t>
      </w:r>
      <w:r w:rsidR="00911DF6" w:rsidRPr="00AE4A26">
        <w:t>opathological process of fusion</w:t>
      </w:r>
      <w:r w:rsidR="000A3346" w:rsidRPr="00AE4A26">
        <w:t xml:space="preserve"> </w:t>
      </w:r>
      <w:r w:rsidR="00911DF6" w:rsidRPr="00AE4A26">
        <w:t xml:space="preserve">(as </w:t>
      </w:r>
      <w:r w:rsidR="000A3346" w:rsidRPr="00AE4A26">
        <w:t xml:space="preserve">opposed to the </w:t>
      </w:r>
      <w:r w:rsidR="00CA6A19" w:rsidRPr="00AE4A26">
        <w:t>psychologically</w:t>
      </w:r>
      <w:r w:rsidR="00177D78">
        <w:t xml:space="preserve"> </w:t>
      </w:r>
      <w:r w:rsidR="00CA6A19" w:rsidRPr="00AE4A26">
        <w:t xml:space="preserve">healthy process of </w:t>
      </w:r>
      <w:proofErr w:type="spellStart"/>
      <w:r w:rsidR="00CA6A19" w:rsidRPr="00AE4A26">
        <w:t>defusion</w:t>
      </w:r>
      <w:proofErr w:type="spellEnd"/>
      <w:r w:rsidR="00911DF6" w:rsidRPr="00AE4A26">
        <w:t>)</w:t>
      </w:r>
      <w:r w:rsidR="00CA6A19" w:rsidRPr="00AE4A26">
        <w:t xml:space="preserve">. </w:t>
      </w:r>
      <w:r w:rsidR="00266B6E" w:rsidRPr="00AE4A26">
        <w:t>By comparing a pathological process (fusion) and psychologica</w:t>
      </w:r>
      <w:r w:rsidR="007B2F1B" w:rsidRPr="00AE4A26">
        <w:t>l</w:t>
      </w:r>
      <w:r w:rsidR="00266B6E" w:rsidRPr="00AE4A26">
        <w:t>l</w:t>
      </w:r>
      <w:r w:rsidR="007B2F1B" w:rsidRPr="00AE4A26">
        <w:t>y</w:t>
      </w:r>
      <w:r w:rsidR="004B2AA3">
        <w:t xml:space="preserve"> </w:t>
      </w:r>
      <w:r w:rsidR="00266B6E" w:rsidRPr="00AE4A26">
        <w:t xml:space="preserve">healthy process (reappraisal), </w:t>
      </w:r>
      <w:r w:rsidR="00177D78">
        <w:t>i</w:t>
      </w:r>
      <w:r w:rsidR="00023F08" w:rsidRPr="00AE4A26">
        <w:t>t is possible that the differences that emerged between reappraisal and fusion could be attributable to comparing</w:t>
      </w:r>
      <w:r w:rsidR="00023F08" w:rsidRPr="004B2AA3">
        <w:t xml:space="preserve"> an adaptive and maladaptive process</w:t>
      </w:r>
      <w:r w:rsidR="00F740D0" w:rsidRPr="004B2AA3">
        <w:t xml:space="preserve">. A more direct test would compare processes of </w:t>
      </w:r>
      <w:proofErr w:type="spellStart"/>
      <w:r w:rsidR="00F740D0" w:rsidRPr="004B2AA3">
        <w:t>defusion</w:t>
      </w:r>
      <w:proofErr w:type="spellEnd"/>
      <w:r w:rsidR="00F740D0" w:rsidRPr="004B2AA3">
        <w:t xml:space="preserve"> and reappraisal, however as of the writing of </w:t>
      </w:r>
      <w:r w:rsidR="007B2F1B" w:rsidRPr="004B2AA3">
        <w:t>this article</w:t>
      </w:r>
      <w:r w:rsidR="00F740D0" w:rsidRPr="004B2AA3">
        <w:t>, the</w:t>
      </w:r>
      <w:r w:rsidR="00023F08" w:rsidRPr="004B2AA3">
        <w:t xml:space="preserve">re is only one measure of </w:t>
      </w:r>
      <w:proofErr w:type="spellStart"/>
      <w:r w:rsidR="00023F08" w:rsidRPr="004B2AA3">
        <w:t>defusion</w:t>
      </w:r>
      <w:proofErr w:type="spellEnd"/>
      <w:r w:rsidR="00691981" w:rsidRPr="004B2AA3">
        <w:t xml:space="preserve"> available, the Drexel </w:t>
      </w:r>
      <w:proofErr w:type="spellStart"/>
      <w:r w:rsidR="00691981" w:rsidRPr="004B2AA3">
        <w:t>Defusion</w:t>
      </w:r>
      <w:proofErr w:type="spellEnd"/>
      <w:r w:rsidR="00691981" w:rsidRPr="004B2AA3">
        <w:t xml:space="preserve"> Scale (Forman et al., 2012)</w:t>
      </w:r>
      <w:r w:rsidR="00023F08" w:rsidRPr="004B2AA3">
        <w:t xml:space="preserve"> and it has </w:t>
      </w:r>
      <w:r w:rsidR="00802B30">
        <w:t xml:space="preserve">potential </w:t>
      </w:r>
      <w:r w:rsidR="00023F08" w:rsidRPr="004B2AA3">
        <w:t>limitations</w:t>
      </w:r>
      <w:r w:rsidR="00E1059F" w:rsidRPr="004B2AA3">
        <w:t xml:space="preserve"> such as requiring respondents to read and comprehend an extended definition of </w:t>
      </w:r>
      <w:proofErr w:type="spellStart"/>
      <w:r w:rsidR="00E1059F" w:rsidRPr="004B2AA3">
        <w:t>defusion</w:t>
      </w:r>
      <w:proofErr w:type="spellEnd"/>
      <w:r w:rsidR="00E1059F" w:rsidRPr="004B2AA3">
        <w:t>.</w:t>
      </w:r>
      <w:r w:rsidR="00F740D0" w:rsidRPr="004B2AA3">
        <w:t xml:space="preserve"> </w:t>
      </w:r>
      <w:r w:rsidR="008253F0" w:rsidRPr="004B2AA3">
        <w:t>In the future</w:t>
      </w:r>
      <w:r w:rsidR="00802B30">
        <w:t>,</w:t>
      </w:r>
      <w:r w:rsidR="00177D78">
        <w:t xml:space="preserve"> research</w:t>
      </w:r>
      <w:r w:rsidR="005D22A8" w:rsidRPr="004B2AA3">
        <w:t xml:space="preserve"> would benefit from a replication </w:t>
      </w:r>
      <w:r w:rsidR="00177D78">
        <w:t xml:space="preserve">of </w:t>
      </w:r>
      <w:r w:rsidR="005D22A8" w:rsidRPr="004B2AA3">
        <w:t xml:space="preserve">this study with </w:t>
      </w:r>
      <w:r w:rsidR="00023F08" w:rsidRPr="004B2AA3">
        <w:t xml:space="preserve">a </w:t>
      </w:r>
      <w:r w:rsidR="008253F0" w:rsidRPr="004B2AA3">
        <w:t xml:space="preserve">well-validated </w:t>
      </w:r>
      <w:r w:rsidR="005D22A8" w:rsidRPr="004B2AA3">
        <w:t xml:space="preserve">measure </w:t>
      </w:r>
      <w:r w:rsidR="00023F08" w:rsidRPr="004B2AA3">
        <w:t xml:space="preserve">of </w:t>
      </w:r>
      <w:proofErr w:type="spellStart"/>
      <w:r w:rsidR="00023F08" w:rsidRPr="004B2AA3">
        <w:t>defusion</w:t>
      </w:r>
      <w:proofErr w:type="spellEnd"/>
      <w:r w:rsidR="00023F08" w:rsidRPr="004B2AA3">
        <w:t xml:space="preserve"> </w:t>
      </w:r>
      <w:r w:rsidR="005D22A8" w:rsidRPr="004B2AA3">
        <w:t xml:space="preserve">to ensure that these results are not due to potential measurement issues. </w:t>
      </w:r>
    </w:p>
    <w:p w14:paraId="5EB4E7BB" w14:textId="7D2F1385" w:rsidR="00BF1540" w:rsidRPr="00710676" w:rsidRDefault="00802B30" w:rsidP="00F95683">
      <w:pPr>
        <w:spacing w:line="480" w:lineRule="auto"/>
        <w:outlineLvl w:val="0"/>
        <w:rPr>
          <w:b/>
        </w:rPr>
      </w:pPr>
      <w:r>
        <w:rPr>
          <w:b/>
        </w:rPr>
        <w:t>Conclusion</w:t>
      </w:r>
    </w:p>
    <w:p w14:paraId="47E7E94F" w14:textId="294FD0D9" w:rsidR="005B3AEE" w:rsidRDefault="005337FE" w:rsidP="005D22A8">
      <w:pPr>
        <w:spacing w:line="480" w:lineRule="auto"/>
      </w:pPr>
      <w:r>
        <w:tab/>
        <w:t xml:space="preserve">There is a growing effort to develop unified methods of understanding psychological suffering and wellbeing </w:t>
      </w:r>
      <w:r w:rsidR="00FA10AB">
        <w:t>(Hayes &amp; Hof</w:t>
      </w:r>
      <w:r w:rsidR="001669C6">
        <w:t>man</w:t>
      </w:r>
      <w:r w:rsidR="00FA10AB">
        <w:t>n</w:t>
      </w:r>
      <w:r w:rsidR="001669C6">
        <w:t xml:space="preserve">, 2018; </w:t>
      </w:r>
      <w:proofErr w:type="spellStart"/>
      <w:r w:rsidR="001669C6">
        <w:t>Klepac</w:t>
      </w:r>
      <w:proofErr w:type="spellEnd"/>
      <w:r w:rsidR="001669C6">
        <w:t xml:space="preserve"> et al., 2012)</w:t>
      </w:r>
      <w:r w:rsidR="008A6EED">
        <w:t xml:space="preserve">. This study adds to the </w:t>
      </w:r>
      <w:r w:rsidR="001C3863">
        <w:t>expanding</w:t>
      </w:r>
      <w:r w:rsidR="008A6EED">
        <w:t xml:space="preserve"> body of research that aims to compare different core processes of change across theories and types of interventions, the findings of which could aid in moving the field towards a </w:t>
      </w:r>
      <w:proofErr w:type="spellStart"/>
      <w:r w:rsidR="008A6EED">
        <w:t>transdiagnostic</w:t>
      </w:r>
      <w:proofErr w:type="spellEnd"/>
      <w:r w:rsidR="008A6EED">
        <w:t xml:space="preserve">, </w:t>
      </w:r>
      <w:proofErr w:type="spellStart"/>
      <w:r w:rsidR="008A6EED">
        <w:t>transtheoretical</w:t>
      </w:r>
      <w:proofErr w:type="spellEnd"/>
      <w:r w:rsidR="008A6EED">
        <w:t xml:space="preserve"> future. </w:t>
      </w:r>
      <w:r w:rsidR="005B3AEE">
        <w:t>R</w:t>
      </w:r>
      <w:r w:rsidR="00BF68C3">
        <w:t>esults</w:t>
      </w:r>
      <w:r w:rsidR="005B3AEE">
        <w:t xml:space="preserve"> from the current study indicated</w:t>
      </w:r>
      <w:r w:rsidR="00BF68C3">
        <w:t xml:space="preserve"> that fusion shared larger correlations and served as a broader, more consistent predictor across pathological </w:t>
      </w:r>
      <w:r w:rsidR="00BF68C3">
        <w:lastRenderedPageBreak/>
        <w:t>outcomes compared to reappraisal. As such, fusion may be a more relevant process to evaluate and target in clinical wo</w:t>
      </w:r>
      <w:r w:rsidR="005B3AEE">
        <w:t>rk across a range of diagnoses, although these results require replication with a clinical sample and active intervention</w:t>
      </w:r>
      <w:r w:rsidR="0037350D">
        <w:t>.</w:t>
      </w:r>
    </w:p>
    <w:p w14:paraId="60D95540" w14:textId="77777777" w:rsidR="009377FB" w:rsidRDefault="009377FB" w:rsidP="00F95683">
      <w:pPr>
        <w:spacing w:line="480" w:lineRule="auto"/>
      </w:pPr>
    </w:p>
    <w:p w14:paraId="041A9A7D" w14:textId="79A7A5E2" w:rsidR="00AE0C14" w:rsidRPr="005E07BC" w:rsidRDefault="00AE0C14">
      <w:r>
        <w:rPr>
          <w:rFonts w:eastAsia="Times New Roman"/>
          <w:color w:val="000000" w:themeColor="text1"/>
          <w:shd w:val="clear" w:color="auto" w:fill="FFFFFF"/>
        </w:rPr>
        <w:br w:type="page"/>
      </w:r>
    </w:p>
    <w:p w14:paraId="02F223C4" w14:textId="1E52BA05" w:rsidR="004C6937" w:rsidRDefault="004C6937" w:rsidP="004C2B01">
      <w:pPr>
        <w:rPr>
          <w:b/>
          <w:color w:val="000000" w:themeColor="text1"/>
        </w:rPr>
      </w:pPr>
      <w:r w:rsidRPr="004C6937">
        <w:rPr>
          <w:b/>
          <w:color w:val="000000" w:themeColor="text1"/>
        </w:rPr>
        <w:lastRenderedPageBreak/>
        <w:t>Statement of interest</w:t>
      </w:r>
    </w:p>
    <w:p w14:paraId="66B724EA" w14:textId="77777777" w:rsidR="004C6937" w:rsidRPr="004C6937" w:rsidRDefault="004C6937" w:rsidP="004C2B01">
      <w:pPr>
        <w:rPr>
          <w:b/>
          <w:color w:val="000000" w:themeColor="text1"/>
        </w:rPr>
      </w:pPr>
    </w:p>
    <w:p w14:paraId="5962B39F" w14:textId="1F4A5D83" w:rsidR="00F70017" w:rsidRPr="00AE0C14" w:rsidRDefault="004C6937" w:rsidP="004C2B01">
      <w:pPr>
        <w:rPr>
          <w:color w:val="000000" w:themeColor="text1"/>
        </w:rPr>
      </w:pPr>
      <w:r>
        <w:rPr>
          <w:color w:val="000000" w:themeColor="text1"/>
        </w:rPr>
        <w:t>The authors report no conflict of interest.</w:t>
      </w:r>
    </w:p>
    <w:p w14:paraId="47E90489" w14:textId="77777777" w:rsidR="004C2B01" w:rsidRPr="001E56F3" w:rsidRDefault="004C2B01">
      <w:r w:rsidRPr="001E56F3">
        <w:br w:type="page"/>
      </w:r>
    </w:p>
    <w:p w14:paraId="287B0699" w14:textId="000E7578" w:rsidR="005A30B1" w:rsidRPr="00C3085D" w:rsidRDefault="00F70017" w:rsidP="001E56F3">
      <w:pPr>
        <w:jc w:val="center"/>
        <w:rPr>
          <w:color w:val="000000" w:themeColor="text1"/>
        </w:rPr>
      </w:pPr>
      <w:r w:rsidRPr="00C3085D">
        <w:rPr>
          <w:color w:val="000000" w:themeColor="text1"/>
        </w:rPr>
        <w:lastRenderedPageBreak/>
        <w:t>References</w:t>
      </w:r>
    </w:p>
    <w:p w14:paraId="45BD3F6E" w14:textId="77777777" w:rsidR="001E56F3" w:rsidRPr="00C3085D" w:rsidRDefault="001E56F3" w:rsidP="001E56F3">
      <w:pPr>
        <w:jc w:val="center"/>
        <w:rPr>
          <w:color w:val="000000" w:themeColor="text1"/>
        </w:rPr>
      </w:pPr>
    </w:p>
    <w:p w14:paraId="3421B3C0" w14:textId="77777777" w:rsidR="001E56F3" w:rsidRPr="00C3085D" w:rsidRDefault="001715B5" w:rsidP="001E56F3">
      <w:pPr>
        <w:widowControl w:val="0"/>
        <w:autoSpaceDE w:val="0"/>
        <w:autoSpaceDN w:val="0"/>
        <w:adjustRightInd w:val="0"/>
        <w:spacing w:line="480" w:lineRule="auto"/>
        <w:ind w:left="480" w:hanging="480"/>
        <w:rPr>
          <w:noProof/>
          <w:color w:val="000000" w:themeColor="text1"/>
        </w:rPr>
      </w:pPr>
      <w:r w:rsidRPr="00C3085D">
        <w:rPr>
          <w:color w:val="000000" w:themeColor="text1"/>
        </w:rPr>
        <w:fldChar w:fldCharType="begin" w:fldLock="1"/>
      </w:r>
      <w:r w:rsidRPr="00C3085D">
        <w:rPr>
          <w:color w:val="000000" w:themeColor="text1"/>
        </w:rPr>
        <w:instrText xml:space="preserve">ADDIN Mendeley Bibliography CSL_BIBLIOGRAPHY </w:instrText>
      </w:r>
      <w:r w:rsidRPr="00C3085D">
        <w:rPr>
          <w:color w:val="000000" w:themeColor="text1"/>
        </w:rPr>
        <w:fldChar w:fldCharType="separate"/>
      </w:r>
      <w:r w:rsidR="002B4CDF" w:rsidRPr="00C3085D">
        <w:rPr>
          <w:noProof/>
          <w:color w:val="000000" w:themeColor="text1"/>
        </w:rPr>
        <w:t xml:space="preserve">Aldao, A., Nolen-Hoeksema, S., &amp; Schweizer, S. (2010). Emotion-regulation strategies across psychopathology: A meta-analytic review. </w:t>
      </w:r>
      <w:r w:rsidR="002B4CDF" w:rsidRPr="00C3085D">
        <w:rPr>
          <w:i/>
          <w:iCs/>
          <w:noProof/>
          <w:color w:val="000000" w:themeColor="text1"/>
        </w:rPr>
        <w:t>Clinical Psychology Review</w:t>
      </w:r>
      <w:r w:rsidR="002B4CDF" w:rsidRPr="00C3085D">
        <w:rPr>
          <w:noProof/>
          <w:color w:val="000000" w:themeColor="text1"/>
        </w:rPr>
        <w:t xml:space="preserve">, </w:t>
      </w:r>
      <w:r w:rsidR="002B4CDF" w:rsidRPr="00C3085D">
        <w:rPr>
          <w:i/>
          <w:iCs/>
          <w:noProof/>
          <w:color w:val="000000" w:themeColor="text1"/>
        </w:rPr>
        <w:t>30</w:t>
      </w:r>
      <w:r w:rsidR="001E56F3" w:rsidRPr="00C3085D">
        <w:rPr>
          <w:noProof/>
          <w:color w:val="000000" w:themeColor="text1"/>
        </w:rPr>
        <w:t xml:space="preserve">, 217–237. doi: </w:t>
      </w:r>
      <w:r w:rsidR="002B4CDF" w:rsidRPr="00C3085D">
        <w:rPr>
          <w:noProof/>
          <w:color w:val="000000" w:themeColor="text1"/>
        </w:rPr>
        <w:t>10.1016/j.cpr.2009.11.004</w:t>
      </w:r>
    </w:p>
    <w:p w14:paraId="517AA3D5" w14:textId="177C482F"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Arch, J. J., &amp; Craske, M. G. (2008). Acceptance and commitment therapy and cognitive behavioral therapy for anxiety disorders: Different treatments, similar mechanisms? </w:t>
      </w:r>
      <w:r w:rsidRPr="00C3085D">
        <w:rPr>
          <w:i/>
          <w:iCs/>
          <w:noProof/>
          <w:color w:val="000000" w:themeColor="text1"/>
        </w:rPr>
        <w:t>Clinical Psychology: Science and Practice</w:t>
      </w:r>
      <w:r w:rsidRPr="00C3085D">
        <w:rPr>
          <w:noProof/>
          <w:color w:val="000000" w:themeColor="text1"/>
        </w:rPr>
        <w:t xml:space="preserve">, </w:t>
      </w:r>
      <w:r w:rsidRPr="00C3085D">
        <w:rPr>
          <w:i/>
          <w:iCs/>
          <w:noProof/>
          <w:color w:val="000000" w:themeColor="text1"/>
        </w:rPr>
        <w:t>15</w:t>
      </w:r>
      <w:r w:rsidRPr="00C3085D">
        <w:rPr>
          <w:noProof/>
          <w:color w:val="000000" w:themeColor="text1"/>
        </w:rPr>
        <w:t>, 263–279.</w:t>
      </w:r>
      <w:r w:rsidR="00AC3616" w:rsidRPr="00C3085D">
        <w:rPr>
          <w:noProof/>
          <w:color w:val="000000" w:themeColor="text1"/>
        </w:rPr>
        <w:t xml:space="preserve"> doi:</w:t>
      </w:r>
      <w:r w:rsidR="001E56F3" w:rsidRPr="00C3085D">
        <w:rPr>
          <w:rFonts w:eastAsia="Times New Roman"/>
          <w:color w:val="000000" w:themeColor="text1"/>
          <w:shd w:val="clear" w:color="auto" w:fill="FFFFFF"/>
        </w:rPr>
        <w:t>10.1111/j.1468-2850.2008.00137.x</w:t>
      </w:r>
    </w:p>
    <w:p w14:paraId="3BC3211B" w14:textId="4CBC78AC" w:rsidR="001E56F3" w:rsidRPr="00C3085D" w:rsidRDefault="002B4CDF" w:rsidP="001E56F3">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Barlow, D. H., Allen, L. B., &amp; </w:t>
      </w:r>
      <w:r w:rsidR="001E56F3" w:rsidRPr="00C3085D">
        <w:rPr>
          <w:noProof/>
          <w:color w:val="000000" w:themeColor="text1"/>
        </w:rPr>
        <w:t>Choate, M. L. (2004). Toward a unified treatment for emotional d</w:t>
      </w:r>
      <w:r w:rsidRPr="00C3085D">
        <w:rPr>
          <w:noProof/>
          <w:color w:val="000000" w:themeColor="text1"/>
        </w:rPr>
        <w:t xml:space="preserve">isorders. </w:t>
      </w:r>
      <w:r w:rsidRPr="00C3085D">
        <w:rPr>
          <w:i/>
          <w:iCs/>
          <w:noProof/>
          <w:color w:val="000000" w:themeColor="text1"/>
        </w:rPr>
        <w:t>Behavior Therapy</w:t>
      </w:r>
      <w:r w:rsidRPr="00C3085D">
        <w:rPr>
          <w:noProof/>
          <w:color w:val="000000" w:themeColor="text1"/>
        </w:rPr>
        <w:t xml:space="preserve">, </w:t>
      </w:r>
      <w:r w:rsidRPr="00C3085D">
        <w:rPr>
          <w:i/>
          <w:iCs/>
          <w:noProof/>
          <w:color w:val="000000" w:themeColor="text1"/>
        </w:rPr>
        <w:t>35</w:t>
      </w:r>
      <w:r w:rsidR="001E56F3" w:rsidRPr="00C3085D">
        <w:rPr>
          <w:noProof/>
          <w:color w:val="000000" w:themeColor="text1"/>
        </w:rPr>
        <w:t>, 205–230. do</w:t>
      </w:r>
      <w:r w:rsidR="00AC3616" w:rsidRPr="00C3085D">
        <w:rPr>
          <w:noProof/>
          <w:color w:val="000000" w:themeColor="text1"/>
        </w:rPr>
        <w:t>i:</w:t>
      </w:r>
      <w:r w:rsidRPr="00C3085D">
        <w:rPr>
          <w:noProof/>
          <w:color w:val="000000" w:themeColor="text1"/>
        </w:rPr>
        <w:t>10.1016/S0005-7894(04)80036-4</w:t>
      </w:r>
    </w:p>
    <w:p w14:paraId="749E43A0" w14:textId="23C9536B" w:rsidR="001E56F3" w:rsidRPr="00C3085D" w:rsidRDefault="0033421B" w:rsidP="001E56F3">
      <w:pPr>
        <w:widowControl w:val="0"/>
        <w:autoSpaceDE w:val="0"/>
        <w:autoSpaceDN w:val="0"/>
        <w:adjustRightInd w:val="0"/>
        <w:spacing w:line="480" w:lineRule="auto"/>
        <w:ind w:left="480" w:hanging="480"/>
        <w:rPr>
          <w:noProof/>
          <w:color w:val="000000" w:themeColor="text1"/>
        </w:rPr>
      </w:pPr>
      <w:r w:rsidRPr="00C3085D">
        <w:rPr>
          <w:rFonts w:eastAsia="Times New Roman"/>
          <w:color w:val="000000" w:themeColor="text1"/>
          <w:shd w:val="clear" w:color="auto" w:fill="FFFFFF"/>
        </w:rPr>
        <w:t>Barrera, T. L., Szafranski, D. D., Ratcliff, C. G., Garnaat, S. L., &amp; Norton, P. J. (2016). An experimental comparison of techniques: Cognitive defusion, cognitive restructuring, and in-vivo exposure for social anxiety. </w:t>
      </w:r>
      <w:r w:rsidR="001E56F3" w:rsidRPr="00C3085D">
        <w:rPr>
          <w:rFonts w:eastAsia="Times New Roman"/>
          <w:i/>
          <w:iCs/>
          <w:color w:val="000000" w:themeColor="text1"/>
          <w:shd w:val="clear" w:color="auto" w:fill="FFFFFF"/>
        </w:rPr>
        <w:t>Behavioural and Cognitive P</w:t>
      </w:r>
      <w:r w:rsidRPr="00C3085D">
        <w:rPr>
          <w:rFonts w:eastAsia="Times New Roman"/>
          <w:i/>
          <w:iCs/>
          <w:color w:val="000000" w:themeColor="text1"/>
          <w:shd w:val="clear" w:color="auto" w:fill="FFFFFF"/>
        </w:rPr>
        <w:t>sychotherapy</w:t>
      </w:r>
      <w:r w:rsidRPr="00C3085D">
        <w:rPr>
          <w:rFonts w:eastAsia="Times New Roman"/>
          <w:color w:val="000000" w:themeColor="text1"/>
          <w:shd w:val="clear" w:color="auto" w:fill="FFFFFF"/>
        </w:rPr>
        <w:t>, </w:t>
      </w:r>
      <w:r w:rsidRPr="00C3085D">
        <w:rPr>
          <w:rFonts w:eastAsia="Times New Roman"/>
          <w:i/>
          <w:iCs/>
          <w:color w:val="000000" w:themeColor="text1"/>
          <w:shd w:val="clear" w:color="auto" w:fill="FFFFFF"/>
        </w:rPr>
        <w:t>44</w:t>
      </w:r>
      <w:r w:rsidRPr="00C3085D">
        <w:rPr>
          <w:rFonts w:eastAsia="Times New Roman"/>
          <w:color w:val="000000" w:themeColor="text1"/>
          <w:shd w:val="clear" w:color="auto" w:fill="FFFFFF"/>
        </w:rPr>
        <w:t>, 249-254.</w:t>
      </w:r>
      <w:r w:rsidR="001E56F3" w:rsidRPr="00C3085D">
        <w:rPr>
          <w:rFonts w:eastAsia="Times New Roman"/>
          <w:color w:val="000000" w:themeColor="text1"/>
          <w:shd w:val="clear" w:color="auto" w:fill="FFFFFF"/>
        </w:rPr>
        <w:t xml:space="preserve"> </w:t>
      </w:r>
      <w:r w:rsidR="00AC3616" w:rsidRPr="00C3085D">
        <w:rPr>
          <w:rFonts w:eastAsia="Times New Roman"/>
          <w:color w:val="000000" w:themeColor="text1"/>
          <w:shd w:val="clear" w:color="auto" w:fill="FFFFFF"/>
        </w:rPr>
        <w:t>doi:</w:t>
      </w:r>
      <w:r w:rsidR="001E56F3" w:rsidRPr="00C3085D">
        <w:rPr>
          <w:rFonts w:eastAsia="Times New Roman"/>
          <w:color w:val="000000" w:themeColor="text1"/>
          <w:shd w:val="clear" w:color="auto" w:fill="FFFFFF"/>
        </w:rPr>
        <w:t>10.1017/S1352465814000630</w:t>
      </w:r>
    </w:p>
    <w:p w14:paraId="35C6A4C6" w14:textId="614A1950" w:rsidR="0033421B" w:rsidRPr="00C3085D" w:rsidRDefault="0033421B" w:rsidP="0033421B">
      <w:pPr>
        <w:widowControl w:val="0"/>
        <w:autoSpaceDE w:val="0"/>
        <w:autoSpaceDN w:val="0"/>
        <w:adjustRightInd w:val="0"/>
        <w:spacing w:line="480" w:lineRule="auto"/>
        <w:ind w:left="480" w:hanging="480"/>
        <w:rPr>
          <w:noProof/>
          <w:color w:val="000000" w:themeColor="text1"/>
        </w:rPr>
      </w:pPr>
      <w:r w:rsidRPr="00C3085D">
        <w:rPr>
          <w:rFonts w:eastAsia="Times New Roman"/>
          <w:color w:val="000000" w:themeColor="text1"/>
          <w:shd w:val="clear" w:color="auto" w:fill="FFFFFF"/>
        </w:rPr>
        <w:t>Beadman, M., Das, R. K., Freeman, T. P., Scragg, P., West, R., &amp; Kamboj, S. K. (2015). A comparison of emotion regulation strategies in response to craving cognitions: Effects on smoking behaviour, craving and affect in dependent smokers. </w:t>
      </w:r>
      <w:r w:rsidR="001E56F3" w:rsidRPr="00C3085D">
        <w:rPr>
          <w:rFonts w:eastAsia="Times New Roman"/>
          <w:i/>
          <w:iCs/>
          <w:color w:val="000000" w:themeColor="text1"/>
          <w:shd w:val="clear" w:color="auto" w:fill="FFFFFF"/>
        </w:rPr>
        <w:t>Behaviour Research and T</w:t>
      </w:r>
      <w:r w:rsidRPr="00C3085D">
        <w:rPr>
          <w:rFonts w:eastAsia="Times New Roman"/>
          <w:i/>
          <w:iCs/>
          <w:color w:val="000000" w:themeColor="text1"/>
          <w:shd w:val="clear" w:color="auto" w:fill="FFFFFF"/>
        </w:rPr>
        <w:t>herapy</w:t>
      </w:r>
      <w:r w:rsidRPr="00C3085D">
        <w:rPr>
          <w:rFonts w:eastAsia="Times New Roman"/>
          <w:color w:val="000000" w:themeColor="text1"/>
          <w:shd w:val="clear" w:color="auto" w:fill="FFFFFF"/>
        </w:rPr>
        <w:t>, </w:t>
      </w:r>
      <w:r w:rsidRPr="00C3085D">
        <w:rPr>
          <w:rFonts w:eastAsia="Times New Roman"/>
          <w:i/>
          <w:iCs/>
          <w:color w:val="000000" w:themeColor="text1"/>
          <w:shd w:val="clear" w:color="auto" w:fill="FFFFFF"/>
        </w:rPr>
        <w:t>69</w:t>
      </w:r>
      <w:r w:rsidRPr="00C3085D">
        <w:rPr>
          <w:rFonts w:eastAsia="Times New Roman"/>
          <w:color w:val="000000" w:themeColor="text1"/>
          <w:shd w:val="clear" w:color="auto" w:fill="FFFFFF"/>
        </w:rPr>
        <w:t>, 29-39.</w:t>
      </w:r>
      <w:r w:rsidR="00AC3616" w:rsidRPr="00C3085D">
        <w:rPr>
          <w:rFonts w:eastAsia="Times New Roman"/>
          <w:color w:val="000000" w:themeColor="text1"/>
          <w:shd w:val="clear" w:color="auto" w:fill="FFFFFF"/>
        </w:rPr>
        <w:t xml:space="preserve"> doi:</w:t>
      </w:r>
      <w:r w:rsidR="001E56F3" w:rsidRPr="00C3085D">
        <w:rPr>
          <w:rFonts w:eastAsia="Times New Roman"/>
          <w:color w:val="000000" w:themeColor="text1"/>
        </w:rPr>
        <w:t>10.1016/j.brat.2015.03.013</w:t>
      </w:r>
    </w:p>
    <w:p w14:paraId="3F8B49C7" w14:textId="6322BD00"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Brinker, J. K., &amp; Dozois, D. J. A. (2009). Ruminative thought style and depressed mood. </w:t>
      </w:r>
      <w:r w:rsidRPr="00C3085D">
        <w:rPr>
          <w:i/>
          <w:iCs/>
          <w:noProof/>
          <w:color w:val="000000" w:themeColor="text1"/>
        </w:rPr>
        <w:t>Journal of Clinical Psychology</w:t>
      </w:r>
      <w:r w:rsidRPr="00C3085D">
        <w:rPr>
          <w:noProof/>
          <w:color w:val="000000" w:themeColor="text1"/>
        </w:rPr>
        <w:t xml:space="preserve">, </w:t>
      </w:r>
      <w:r w:rsidRPr="00C3085D">
        <w:rPr>
          <w:i/>
          <w:iCs/>
          <w:noProof/>
          <w:color w:val="000000" w:themeColor="text1"/>
        </w:rPr>
        <w:t>65</w:t>
      </w:r>
      <w:r w:rsidR="001E56F3" w:rsidRPr="00C3085D">
        <w:rPr>
          <w:noProof/>
          <w:color w:val="000000" w:themeColor="text1"/>
        </w:rPr>
        <w:t>, 1–19. do</w:t>
      </w:r>
      <w:r w:rsidR="00AC3616" w:rsidRPr="00C3085D">
        <w:rPr>
          <w:noProof/>
          <w:color w:val="000000" w:themeColor="text1"/>
        </w:rPr>
        <w:t>i:</w:t>
      </w:r>
      <w:r w:rsidRPr="00C3085D">
        <w:rPr>
          <w:noProof/>
          <w:color w:val="000000" w:themeColor="text1"/>
        </w:rPr>
        <w:t>10.1002/jclp.20542</w:t>
      </w:r>
    </w:p>
    <w:p w14:paraId="607A77BA" w14:textId="77777777" w:rsidR="001E56F3" w:rsidRPr="00C3085D" w:rsidRDefault="002B4CDF" w:rsidP="001E56F3">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Center for Collegiate Mental Health. (2012). </w:t>
      </w:r>
      <w:r w:rsidRPr="00C3085D">
        <w:rPr>
          <w:i/>
          <w:iCs/>
          <w:noProof/>
          <w:color w:val="000000" w:themeColor="text1"/>
        </w:rPr>
        <w:t>CCAPS 2012 Technical Manual</w:t>
      </w:r>
      <w:r w:rsidRPr="00C3085D">
        <w:rPr>
          <w:noProof/>
          <w:color w:val="000000" w:themeColor="text1"/>
        </w:rPr>
        <w:t>. University Park, PA: Pennsylvania State University.</w:t>
      </w:r>
    </w:p>
    <w:p w14:paraId="78279164" w14:textId="46B99186" w:rsidR="00FA10AB" w:rsidRPr="00C3085D" w:rsidRDefault="00FA10AB" w:rsidP="00FA10AB">
      <w:pPr>
        <w:widowControl w:val="0"/>
        <w:autoSpaceDE w:val="0"/>
        <w:autoSpaceDN w:val="0"/>
        <w:adjustRightInd w:val="0"/>
        <w:spacing w:line="480" w:lineRule="auto"/>
        <w:ind w:left="480" w:hanging="480"/>
        <w:rPr>
          <w:noProof/>
          <w:color w:val="000000" w:themeColor="text1"/>
        </w:rPr>
      </w:pPr>
      <w:r w:rsidRPr="00C3085D">
        <w:rPr>
          <w:rFonts w:eastAsia="Times New Roman"/>
          <w:color w:val="000000" w:themeColor="text1"/>
          <w:shd w:val="clear" w:color="auto" w:fill="FFFFFF"/>
        </w:rPr>
        <w:t xml:space="preserve">Deacon, B. J., Fawzy, T. I., Lickel, J. J., &amp; Wolitzky-Taylor, K. B. (2011). Cognitive defusion versus cognitive restructuring in the treatment of negative self-referential thoughts: An </w:t>
      </w:r>
      <w:r w:rsidRPr="00C3085D">
        <w:rPr>
          <w:rFonts w:eastAsia="Times New Roman"/>
          <w:color w:val="000000" w:themeColor="text1"/>
          <w:shd w:val="clear" w:color="auto" w:fill="FFFFFF"/>
        </w:rPr>
        <w:lastRenderedPageBreak/>
        <w:t>investigation of process and outcome. </w:t>
      </w:r>
      <w:r w:rsidRPr="00C3085D">
        <w:rPr>
          <w:rFonts w:eastAsia="Times New Roman"/>
          <w:i/>
          <w:iCs/>
          <w:color w:val="000000" w:themeColor="text1"/>
          <w:shd w:val="clear" w:color="auto" w:fill="FFFFFF"/>
        </w:rPr>
        <w:t>Journal of Cognitive Psychotherapy</w:t>
      </w:r>
      <w:r w:rsidRPr="00C3085D">
        <w:rPr>
          <w:rFonts w:eastAsia="Times New Roman"/>
          <w:color w:val="000000" w:themeColor="text1"/>
          <w:shd w:val="clear" w:color="auto" w:fill="FFFFFF"/>
        </w:rPr>
        <w:t>, </w:t>
      </w:r>
      <w:r w:rsidRPr="00C3085D">
        <w:rPr>
          <w:rFonts w:eastAsia="Times New Roman"/>
          <w:i/>
          <w:iCs/>
          <w:color w:val="000000" w:themeColor="text1"/>
          <w:shd w:val="clear" w:color="auto" w:fill="FFFFFF"/>
        </w:rPr>
        <w:t>25</w:t>
      </w:r>
      <w:r w:rsidRPr="00C3085D">
        <w:rPr>
          <w:rFonts w:eastAsia="Times New Roman"/>
          <w:color w:val="000000" w:themeColor="text1"/>
          <w:shd w:val="clear" w:color="auto" w:fill="FFFFFF"/>
        </w:rPr>
        <w:t>, 218.</w:t>
      </w:r>
      <w:r w:rsidR="001E56F3" w:rsidRPr="00C3085D">
        <w:rPr>
          <w:rFonts w:eastAsia="Times New Roman"/>
          <w:color w:val="000000" w:themeColor="text1"/>
          <w:shd w:val="clear" w:color="auto" w:fill="FFFFFF"/>
        </w:rPr>
        <w:t xml:space="preserve"> doi:</w:t>
      </w:r>
      <w:r w:rsidR="001E56F3" w:rsidRPr="00C3085D">
        <w:rPr>
          <w:rFonts w:eastAsia="Times New Roman"/>
          <w:color w:val="000000" w:themeColor="text1"/>
        </w:rPr>
        <w:t>10.1891/0889-8391.25.3.218</w:t>
      </w:r>
    </w:p>
    <w:p w14:paraId="7C1A1C86" w14:textId="5810AA6E" w:rsidR="002B4CDF" w:rsidRPr="00C3085D" w:rsidRDefault="002B4CDF" w:rsidP="00E41B7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Ellard, K. K., Fairholme, C. P., Boisseau, C. L., Farchione, T. J., &amp; Barlow, D. H. (2010). Unified protocol for the transdiagnostic treatment of emotional disorders: Protocol development and initial outcome data. </w:t>
      </w:r>
      <w:r w:rsidRPr="00C3085D">
        <w:rPr>
          <w:i/>
          <w:iCs/>
          <w:noProof/>
          <w:color w:val="000000" w:themeColor="text1"/>
        </w:rPr>
        <w:t>Cognitive and Behavioral Practice</w:t>
      </w:r>
      <w:r w:rsidRPr="00C3085D">
        <w:rPr>
          <w:noProof/>
          <w:color w:val="000000" w:themeColor="text1"/>
        </w:rPr>
        <w:t xml:space="preserve">, </w:t>
      </w:r>
      <w:r w:rsidRPr="00C3085D">
        <w:rPr>
          <w:i/>
          <w:iCs/>
          <w:noProof/>
          <w:color w:val="000000" w:themeColor="text1"/>
        </w:rPr>
        <w:t>17</w:t>
      </w:r>
      <w:r w:rsidR="001E56F3" w:rsidRPr="00C3085D">
        <w:rPr>
          <w:noProof/>
          <w:color w:val="000000" w:themeColor="text1"/>
        </w:rPr>
        <w:t>, 88–101. doi:1</w:t>
      </w:r>
      <w:r w:rsidRPr="00C3085D">
        <w:rPr>
          <w:noProof/>
          <w:color w:val="000000" w:themeColor="text1"/>
        </w:rPr>
        <w:t>0.1016/j.cbpra.2009.06.002</w:t>
      </w:r>
    </w:p>
    <w:p w14:paraId="7E5A38CF" w14:textId="13F77469" w:rsidR="00E41B7F" w:rsidRPr="00C3085D" w:rsidRDefault="00E41B7F" w:rsidP="00D26450">
      <w:pPr>
        <w:pStyle w:val="NormalWeb"/>
        <w:spacing w:before="0" w:beforeAutospacing="0" w:after="0" w:afterAutospacing="0" w:line="480" w:lineRule="auto"/>
        <w:ind w:left="475" w:hanging="475"/>
        <w:rPr>
          <w:color w:val="000000" w:themeColor="text1"/>
        </w:rPr>
      </w:pPr>
      <w:r w:rsidRPr="00C3085D">
        <w:rPr>
          <w:color w:val="000000" w:themeColor="text1"/>
        </w:rPr>
        <w:t xml:space="preserve">Forman, E. M., Herbert, J. D., Juarascio, A. S., Yeomans, P. D., Zebell, J. A., Goetter, E. M., &amp; Moitra, E. (2012). The Drexel Defusion Scale: A new measure of experiential distancing. </w:t>
      </w:r>
      <w:r w:rsidRPr="00C3085D">
        <w:rPr>
          <w:i/>
          <w:iCs/>
          <w:color w:val="000000" w:themeColor="text1"/>
        </w:rPr>
        <w:t>Journal of Contextual Behavioral Science</w:t>
      </w:r>
      <w:r w:rsidRPr="00C3085D">
        <w:rPr>
          <w:color w:val="000000" w:themeColor="text1"/>
        </w:rPr>
        <w:t xml:space="preserve">, </w:t>
      </w:r>
      <w:r w:rsidRPr="00C3085D">
        <w:rPr>
          <w:i/>
          <w:iCs/>
          <w:color w:val="000000" w:themeColor="text1"/>
        </w:rPr>
        <w:t>1</w:t>
      </w:r>
      <w:r w:rsidRPr="00C3085D">
        <w:rPr>
          <w:color w:val="000000" w:themeColor="text1"/>
        </w:rPr>
        <w:t xml:space="preserve">, 55–65. </w:t>
      </w:r>
      <w:r w:rsidR="00E04CE8" w:rsidRPr="00C3085D">
        <w:rPr>
          <w:color w:val="000000" w:themeColor="text1"/>
        </w:rPr>
        <w:t>doi:</w:t>
      </w:r>
      <w:r w:rsidRPr="00C3085D">
        <w:rPr>
          <w:color w:val="000000" w:themeColor="text1"/>
        </w:rPr>
        <w:t>10.1016/j.jcbs.2012.09.001</w:t>
      </w:r>
    </w:p>
    <w:p w14:paraId="10C54648" w14:textId="5DF7871D" w:rsidR="002B4CDF" w:rsidRPr="00C3085D" w:rsidRDefault="002B4CDF" w:rsidP="00E41B7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Gillanders, D. T., Bolderston, H., Bond, F. W., Dempster, M., Flaxman, P. E., Campbell, L., … Remington, B. (2014). The development and initial validation of the Cognitive Fusion Questionnaire. </w:t>
      </w:r>
      <w:r w:rsidRPr="00C3085D">
        <w:rPr>
          <w:i/>
          <w:iCs/>
          <w:noProof/>
          <w:color w:val="000000" w:themeColor="text1"/>
        </w:rPr>
        <w:t>Behavior Therapy</w:t>
      </w:r>
      <w:r w:rsidRPr="00C3085D">
        <w:rPr>
          <w:noProof/>
          <w:color w:val="000000" w:themeColor="text1"/>
        </w:rPr>
        <w:t xml:space="preserve">, </w:t>
      </w:r>
      <w:r w:rsidRPr="00C3085D">
        <w:rPr>
          <w:i/>
          <w:iCs/>
          <w:noProof/>
          <w:color w:val="000000" w:themeColor="text1"/>
        </w:rPr>
        <w:t>45</w:t>
      </w:r>
      <w:r w:rsidR="00E04CE8" w:rsidRPr="00C3085D">
        <w:rPr>
          <w:noProof/>
          <w:color w:val="000000" w:themeColor="text1"/>
        </w:rPr>
        <w:t>, 83–101. doi:</w:t>
      </w:r>
      <w:r w:rsidRPr="00C3085D">
        <w:rPr>
          <w:noProof/>
          <w:color w:val="000000" w:themeColor="text1"/>
        </w:rPr>
        <w:t>10.1016/j.beth.2013.09.001</w:t>
      </w:r>
    </w:p>
    <w:p w14:paraId="7B25E689" w14:textId="677A9501"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Gross, J. J., &amp; </w:t>
      </w:r>
      <w:r w:rsidR="00E04CE8" w:rsidRPr="00C3085D">
        <w:rPr>
          <w:noProof/>
          <w:color w:val="000000" w:themeColor="text1"/>
        </w:rPr>
        <w:t>John, O. P. (2003). Individual differences in two emotion regulation processes: Implications for affect, relationships, and well-b</w:t>
      </w:r>
      <w:r w:rsidRPr="00C3085D">
        <w:rPr>
          <w:noProof/>
          <w:color w:val="000000" w:themeColor="text1"/>
        </w:rPr>
        <w:t xml:space="preserve">eing, </w:t>
      </w:r>
      <w:r w:rsidRPr="00C3085D">
        <w:rPr>
          <w:i/>
          <w:iCs/>
          <w:noProof/>
          <w:color w:val="000000" w:themeColor="text1"/>
        </w:rPr>
        <w:t>85</w:t>
      </w:r>
      <w:r w:rsidRPr="00C3085D">
        <w:rPr>
          <w:noProof/>
          <w:color w:val="000000" w:themeColor="text1"/>
        </w:rPr>
        <w:t xml:space="preserve">, 348–362. </w:t>
      </w:r>
      <w:r w:rsidR="00E04CE8" w:rsidRPr="00C3085D">
        <w:rPr>
          <w:noProof/>
          <w:color w:val="000000" w:themeColor="text1"/>
        </w:rPr>
        <w:t>doi:</w:t>
      </w:r>
      <w:r w:rsidRPr="00C3085D">
        <w:rPr>
          <w:noProof/>
          <w:color w:val="000000" w:themeColor="text1"/>
        </w:rPr>
        <w:t>10.1037/0022-3514.85.2.348</w:t>
      </w:r>
    </w:p>
    <w:p w14:paraId="780A0051" w14:textId="3D5B5384"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Hayes, S. C. (2008). Climbing our hills: A beginning conversation on the comparison of acceptance and commitment therapy and traditional cognitive behavioral therapy. </w:t>
      </w:r>
      <w:r w:rsidRPr="00C3085D">
        <w:rPr>
          <w:i/>
          <w:iCs/>
          <w:noProof/>
          <w:color w:val="000000" w:themeColor="text1"/>
        </w:rPr>
        <w:t>Clinical Psychology: Science and Practice</w:t>
      </w:r>
      <w:r w:rsidRPr="00C3085D">
        <w:rPr>
          <w:noProof/>
          <w:color w:val="000000" w:themeColor="text1"/>
        </w:rPr>
        <w:t xml:space="preserve">, </w:t>
      </w:r>
      <w:r w:rsidRPr="00C3085D">
        <w:rPr>
          <w:i/>
          <w:iCs/>
          <w:noProof/>
          <w:color w:val="000000" w:themeColor="text1"/>
        </w:rPr>
        <w:t>15</w:t>
      </w:r>
      <w:r w:rsidR="00E04CE8" w:rsidRPr="00C3085D">
        <w:rPr>
          <w:noProof/>
          <w:color w:val="000000" w:themeColor="text1"/>
        </w:rPr>
        <w:t>, 286–295. doi:</w:t>
      </w:r>
      <w:r w:rsidRPr="00C3085D">
        <w:rPr>
          <w:noProof/>
          <w:color w:val="000000" w:themeColor="text1"/>
        </w:rPr>
        <w:t>10.1111/j.1468-2850.2008.00139.x</w:t>
      </w:r>
    </w:p>
    <w:p w14:paraId="073C2FD7" w14:textId="45A61198" w:rsidR="001669C6" w:rsidRPr="00C3085D" w:rsidRDefault="001669C6" w:rsidP="001669C6">
      <w:pPr>
        <w:widowControl w:val="0"/>
        <w:autoSpaceDE w:val="0"/>
        <w:autoSpaceDN w:val="0"/>
        <w:adjustRightInd w:val="0"/>
        <w:spacing w:line="480" w:lineRule="auto"/>
        <w:ind w:left="480" w:hanging="480"/>
        <w:rPr>
          <w:noProof/>
          <w:color w:val="000000" w:themeColor="text1"/>
        </w:rPr>
      </w:pPr>
      <w:r w:rsidRPr="00C3085D">
        <w:rPr>
          <w:noProof/>
          <w:color w:val="000000" w:themeColor="text1"/>
        </w:rPr>
        <w:t>Hayes, S. C., &amp; Hofmann, S. G. (Eds.). (2018). </w:t>
      </w:r>
      <w:r w:rsidR="000D223B" w:rsidRPr="00C3085D">
        <w:rPr>
          <w:i/>
          <w:iCs/>
          <w:noProof/>
          <w:color w:val="000000" w:themeColor="text1"/>
        </w:rPr>
        <w:t>Process-B</w:t>
      </w:r>
      <w:r w:rsidR="00E04CE8" w:rsidRPr="00C3085D">
        <w:rPr>
          <w:i/>
          <w:iCs/>
          <w:noProof/>
          <w:color w:val="000000" w:themeColor="text1"/>
        </w:rPr>
        <w:t>ased CBT: T</w:t>
      </w:r>
      <w:r w:rsidR="000D223B" w:rsidRPr="00C3085D">
        <w:rPr>
          <w:i/>
          <w:iCs/>
          <w:noProof/>
          <w:color w:val="000000" w:themeColor="text1"/>
        </w:rPr>
        <w:t>he Science and C</w:t>
      </w:r>
      <w:r w:rsidR="00B062E0" w:rsidRPr="00C3085D">
        <w:rPr>
          <w:i/>
          <w:iCs/>
          <w:noProof/>
          <w:color w:val="000000" w:themeColor="text1"/>
        </w:rPr>
        <w:t>ore Clinical Competencies of Cognitive Behavioral T</w:t>
      </w:r>
      <w:r w:rsidRPr="00C3085D">
        <w:rPr>
          <w:i/>
          <w:iCs/>
          <w:noProof/>
          <w:color w:val="000000" w:themeColor="text1"/>
        </w:rPr>
        <w:t>herapy</w:t>
      </w:r>
      <w:r w:rsidRPr="00C3085D">
        <w:rPr>
          <w:noProof/>
          <w:color w:val="000000" w:themeColor="text1"/>
        </w:rPr>
        <w:t xml:space="preserve">. </w:t>
      </w:r>
      <w:r w:rsidR="000D223B" w:rsidRPr="00C3085D">
        <w:rPr>
          <w:noProof/>
          <w:color w:val="000000" w:themeColor="text1"/>
        </w:rPr>
        <w:t xml:space="preserve">Oakland, CA: </w:t>
      </w:r>
      <w:r w:rsidRPr="00C3085D">
        <w:rPr>
          <w:noProof/>
          <w:color w:val="000000" w:themeColor="text1"/>
        </w:rPr>
        <w:t>New Harbinger Publications.</w:t>
      </w:r>
    </w:p>
    <w:p w14:paraId="32BB08A8" w14:textId="6E871957"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Hayes, S. C., Luoma, J. B., Bond, F. W., Masuda, A., &amp; Lillis, J. (2006). Acceptance and Commitment Therapy: Model, processes and outcomes. </w:t>
      </w:r>
      <w:r w:rsidRPr="00C3085D">
        <w:rPr>
          <w:i/>
          <w:iCs/>
          <w:noProof/>
          <w:color w:val="000000" w:themeColor="text1"/>
        </w:rPr>
        <w:t>Behaviour Research and Therapy</w:t>
      </w:r>
      <w:r w:rsidRPr="00C3085D">
        <w:rPr>
          <w:noProof/>
          <w:color w:val="000000" w:themeColor="text1"/>
        </w:rPr>
        <w:t xml:space="preserve">, </w:t>
      </w:r>
      <w:r w:rsidRPr="00C3085D">
        <w:rPr>
          <w:i/>
          <w:iCs/>
          <w:noProof/>
          <w:color w:val="000000" w:themeColor="text1"/>
        </w:rPr>
        <w:lastRenderedPageBreak/>
        <w:t>44</w:t>
      </w:r>
      <w:r w:rsidR="000D223B" w:rsidRPr="00C3085D">
        <w:rPr>
          <w:noProof/>
          <w:color w:val="000000" w:themeColor="text1"/>
        </w:rPr>
        <w:t>, 1–25. doi:</w:t>
      </w:r>
      <w:r w:rsidRPr="00C3085D">
        <w:rPr>
          <w:noProof/>
          <w:color w:val="000000" w:themeColor="text1"/>
        </w:rPr>
        <w:t>10.1016/j.brat.2005.06.006</w:t>
      </w:r>
    </w:p>
    <w:p w14:paraId="4C47D7CB" w14:textId="77777777"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Hayes, S. C., Strosahl, K., &amp; Wilson, K. G. (2011). </w:t>
      </w:r>
      <w:r w:rsidRPr="00C3085D">
        <w:rPr>
          <w:i/>
          <w:iCs/>
          <w:noProof/>
          <w:color w:val="000000" w:themeColor="text1"/>
        </w:rPr>
        <w:t>Acceptance and Commitment Therapy, Second Edition: The Process and Practice of Mindful Change</w:t>
      </w:r>
      <w:r w:rsidRPr="00C3085D">
        <w:rPr>
          <w:noProof/>
          <w:color w:val="000000" w:themeColor="text1"/>
        </w:rPr>
        <w:t>. New York: Guilford Press.</w:t>
      </w:r>
    </w:p>
    <w:p w14:paraId="00806C4A" w14:textId="77777777" w:rsidR="00B062E0" w:rsidRPr="00C3085D" w:rsidRDefault="002B4CDF" w:rsidP="00B062E0">
      <w:pPr>
        <w:widowControl w:val="0"/>
        <w:autoSpaceDE w:val="0"/>
        <w:autoSpaceDN w:val="0"/>
        <w:adjustRightInd w:val="0"/>
        <w:spacing w:line="480" w:lineRule="auto"/>
        <w:ind w:left="480" w:hanging="480"/>
        <w:rPr>
          <w:noProof/>
          <w:color w:val="000000" w:themeColor="text1"/>
        </w:rPr>
      </w:pPr>
      <w:r w:rsidRPr="00C3085D">
        <w:rPr>
          <w:noProof/>
          <w:color w:val="000000" w:themeColor="text1"/>
        </w:rPr>
        <w:t>Hofmann, S. G., &amp; Asmundson, G. J. G. (2008). Acceptance and mindfulness-base</w:t>
      </w:r>
      <w:r w:rsidR="00B062E0" w:rsidRPr="00C3085D">
        <w:rPr>
          <w:noProof/>
          <w:color w:val="000000" w:themeColor="text1"/>
        </w:rPr>
        <w:t>d therapy : New wave or old hat</w:t>
      </w:r>
      <w:r w:rsidRPr="00C3085D">
        <w:rPr>
          <w:noProof/>
          <w:color w:val="000000" w:themeColor="text1"/>
        </w:rPr>
        <w:t>?</w:t>
      </w:r>
      <w:r w:rsidR="00B062E0" w:rsidRPr="00C3085D">
        <w:rPr>
          <w:noProof/>
          <w:color w:val="000000" w:themeColor="text1"/>
        </w:rPr>
        <w:t xml:space="preserve"> </w:t>
      </w:r>
      <w:r w:rsidR="00B062E0" w:rsidRPr="00C3085D">
        <w:rPr>
          <w:i/>
          <w:noProof/>
          <w:color w:val="000000" w:themeColor="text1"/>
        </w:rPr>
        <w:t>Clinical Psychology Review</w:t>
      </w:r>
      <w:r w:rsidRPr="00C3085D">
        <w:rPr>
          <w:noProof/>
          <w:color w:val="000000" w:themeColor="text1"/>
        </w:rPr>
        <w:t xml:space="preserve">, </w:t>
      </w:r>
      <w:r w:rsidRPr="00C3085D">
        <w:rPr>
          <w:i/>
          <w:iCs/>
          <w:noProof/>
          <w:color w:val="000000" w:themeColor="text1"/>
        </w:rPr>
        <w:t>28</w:t>
      </w:r>
      <w:r w:rsidRPr="00C3085D">
        <w:rPr>
          <w:noProof/>
          <w:color w:val="000000" w:themeColor="text1"/>
        </w:rPr>
        <w:t xml:space="preserve">, 1–16. </w:t>
      </w:r>
      <w:r w:rsidR="00B062E0" w:rsidRPr="00C3085D">
        <w:rPr>
          <w:noProof/>
          <w:color w:val="000000" w:themeColor="text1"/>
        </w:rPr>
        <w:t>doi:1</w:t>
      </w:r>
      <w:r w:rsidRPr="00C3085D">
        <w:rPr>
          <w:noProof/>
          <w:color w:val="000000" w:themeColor="text1"/>
        </w:rPr>
        <w:t>0.1016/j.cpr.2007.09.003</w:t>
      </w:r>
    </w:p>
    <w:p w14:paraId="370CD1B9" w14:textId="77777777" w:rsidR="00B062E0" w:rsidRPr="00C3085D" w:rsidRDefault="001669C6" w:rsidP="00B062E0">
      <w:pPr>
        <w:widowControl w:val="0"/>
        <w:autoSpaceDE w:val="0"/>
        <w:autoSpaceDN w:val="0"/>
        <w:adjustRightInd w:val="0"/>
        <w:spacing w:line="480" w:lineRule="auto"/>
        <w:ind w:left="480" w:hanging="480"/>
        <w:rPr>
          <w:noProof/>
          <w:color w:val="000000" w:themeColor="text1"/>
        </w:rPr>
      </w:pPr>
      <w:r w:rsidRPr="00C3085D">
        <w:rPr>
          <w:noProof/>
          <w:color w:val="000000" w:themeColor="text1"/>
        </w:rPr>
        <w:t>Klepac, R. K., Ronan, G. F., Andrasik, F., Arnold, K. D., Belar, C. D., Berry, S. L., ... &amp; Herbert, J. D. (2012). Guidelines for cognitive behavioral training within doctoral psychology programs in the United States: Report of the Inter-organizational Task Force on Cognitive and Behavioral Psychology Doctoral Education. </w:t>
      </w:r>
      <w:r w:rsidRPr="00C3085D">
        <w:rPr>
          <w:i/>
          <w:iCs/>
          <w:noProof/>
          <w:color w:val="000000" w:themeColor="text1"/>
        </w:rPr>
        <w:t>Behavior Therapy</w:t>
      </w:r>
      <w:r w:rsidRPr="00C3085D">
        <w:rPr>
          <w:noProof/>
          <w:color w:val="000000" w:themeColor="text1"/>
        </w:rPr>
        <w:t>, </w:t>
      </w:r>
      <w:r w:rsidRPr="00C3085D">
        <w:rPr>
          <w:i/>
          <w:iCs/>
          <w:noProof/>
          <w:color w:val="000000" w:themeColor="text1"/>
        </w:rPr>
        <w:t>43</w:t>
      </w:r>
      <w:r w:rsidRPr="00C3085D">
        <w:rPr>
          <w:noProof/>
          <w:color w:val="000000" w:themeColor="text1"/>
        </w:rPr>
        <w:t>, 687-697.</w:t>
      </w:r>
      <w:r w:rsidR="00B062E0" w:rsidRPr="00C3085D">
        <w:rPr>
          <w:noProof/>
          <w:color w:val="000000" w:themeColor="text1"/>
        </w:rPr>
        <w:t xml:space="preserve"> doi:</w:t>
      </w:r>
      <w:r w:rsidR="00B062E0" w:rsidRPr="00C3085D">
        <w:rPr>
          <w:rFonts w:eastAsia="Times New Roman"/>
          <w:color w:val="000000" w:themeColor="text1"/>
        </w:rPr>
        <w:t xml:space="preserve"> 10.1016/j.beth.2012.05.002</w:t>
      </w:r>
    </w:p>
    <w:p w14:paraId="2100AA50" w14:textId="1DAA7625" w:rsidR="00FA10AB" w:rsidRPr="00C3085D" w:rsidRDefault="00FA10AB" w:rsidP="004921E6">
      <w:pPr>
        <w:widowControl w:val="0"/>
        <w:autoSpaceDE w:val="0"/>
        <w:autoSpaceDN w:val="0"/>
        <w:adjustRightInd w:val="0"/>
        <w:spacing w:line="480" w:lineRule="auto"/>
        <w:ind w:left="480" w:hanging="480"/>
        <w:rPr>
          <w:noProof/>
          <w:color w:val="000000" w:themeColor="text1"/>
        </w:rPr>
      </w:pPr>
      <w:r w:rsidRPr="00C3085D">
        <w:rPr>
          <w:rFonts w:eastAsia="Times New Roman"/>
          <w:color w:val="000000" w:themeColor="text1"/>
          <w:shd w:val="clear" w:color="auto" w:fill="FFFFFF"/>
        </w:rPr>
        <w:t>Larsson, A., Hooper, N., Osborne, L. A., Bennett, P., &amp; McHugh, L. (2016). Using brief cognitive restructuring and cognitive defusion techniques to cope with negative thoughts. </w:t>
      </w:r>
      <w:r w:rsidR="00B062E0" w:rsidRPr="00C3085D">
        <w:rPr>
          <w:rFonts w:eastAsia="Times New Roman"/>
          <w:i/>
          <w:iCs/>
          <w:color w:val="000000" w:themeColor="text1"/>
          <w:shd w:val="clear" w:color="auto" w:fill="FFFFFF"/>
        </w:rPr>
        <w:t>Behavior M</w:t>
      </w:r>
      <w:r w:rsidRPr="00C3085D">
        <w:rPr>
          <w:rFonts w:eastAsia="Times New Roman"/>
          <w:i/>
          <w:iCs/>
          <w:color w:val="000000" w:themeColor="text1"/>
          <w:shd w:val="clear" w:color="auto" w:fill="FFFFFF"/>
        </w:rPr>
        <w:t>odification</w:t>
      </w:r>
      <w:r w:rsidRPr="00C3085D">
        <w:rPr>
          <w:rFonts w:eastAsia="Times New Roman"/>
          <w:color w:val="000000" w:themeColor="text1"/>
          <w:shd w:val="clear" w:color="auto" w:fill="FFFFFF"/>
        </w:rPr>
        <w:t>, </w:t>
      </w:r>
      <w:r w:rsidRPr="00C3085D">
        <w:rPr>
          <w:rFonts w:eastAsia="Times New Roman"/>
          <w:i/>
          <w:iCs/>
          <w:color w:val="000000" w:themeColor="text1"/>
          <w:shd w:val="clear" w:color="auto" w:fill="FFFFFF"/>
        </w:rPr>
        <w:t>40</w:t>
      </w:r>
      <w:r w:rsidRPr="00C3085D">
        <w:rPr>
          <w:rFonts w:eastAsia="Times New Roman"/>
          <w:color w:val="000000" w:themeColor="text1"/>
          <w:shd w:val="clear" w:color="auto" w:fill="FFFFFF"/>
        </w:rPr>
        <w:t>, 452-482.</w:t>
      </w:r>
      <w:r w:rsidR="00B062E0" w:rsidRPr="00C3085D">
        <w:rPr>
          <w:rFonts w:eastAsia="Times New Roman"/>
          <w:color w:val="000000" w:themeColor="text1"/>
          <w:shd w:val="clear" w:color="auto" w:fill="FFFFFF"/>
        </w:rPr>
        <w:t xml:space="preserve"> doi: 10.1177/0145445515621488.</w:t>
      </w:r>
    </w:p>
    <w:p w14:paraId="374C2CDE" w14:textId="2D3D764D" w:rsidR="00C96821" w:rsidRPr="00C3085D" w:rsidRDefault="00C96821" w:rsidP="001669C6">
      <w:pPr>
        <w:widowControl w:val="0"/>
        <w:autoSpaceDE w:val="0"/>
        <w:autoSpaceDN w:val="0"/>
        <w:adjustRightInd w:val="0"/>
        <w:spacing w:line="480" w:lineRule="auto"/>
        <w:ind w:left="480" w:hanging="480"/>
        <w:rPr>
          <w:noProof/>
          <w:color w:val="000000" w:themeColor="text1"/>
        </w:rPr>
      </w:pPr>
      <w:r w:rsidRPr="00C3085D">
        <w:rPr>
          <w:color w:val="000000" w:themeColor="text1"/>
        </w:rPr>
        <w:t xml:space="preserve">Levin, M. E., Lillis, J., &amp; Hayes, S. C. (2012). When is online pornography viewing problematic among college males? Examining the moderating role of experiential avoidance. </w:t>
      </w:r>
      <w:r w:rsidRPr="00C3085D">
        <w:rPr>
          <w:i/>
          <w:iCs/>
          <w:color w:val="000000" w:themeColor="text1"/>
        </w:rPr>
        <w:t>Sexual Addiction &amp; Compulsivity</w:t>
      </w:r>
      <w:r w:rsidRPr="00C3085D">
        <w:rPr>
          <w:color w:val="000000" w:themeColor="text1"/>
        </w:rPr>
        <w:t xml:space="preserve">, </w:t>
      </w:r>
      <w:r w:rsidRPr="00C3085D">
        <w:rPr>
          <w:i/>
          <w:iCs/>
          <w:color w:val="000000" w:themeColor="text1"/>
        </w:rPr>
        <w:t>19</w:t>
      </w:r>
      <w:r w:rsidRPr="00C3085D">
        <w:rPr>
          <w:color w:val="000000" w:themeColor="text1"/>
        </w:rPr>
        <w:t xml:space="preserve">, 168–180. </w:t>
      </w:r>
      <w:r w:rsidR="00B062E0" w:rsidRPr="00C3085D">
        <w:rPr>
          <w:color w:val="000000" w:themeColor="text1"/>
        </w:rPr>
        <w:t>doi:</w:t>
      </w:r>
      <w:r w:rsidRPr="00C3085D">
        <w:rPr>
          <w:color w:val="000000" w:themeColor="text1"/>
        </w:rPr>
        <w:t>10.1080/10720162.2012.657150</w:t>
      </w:r>
    </w:p>
    <w:p w14:paraId="3C5356A4" w14:textId="4E4EB089"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Locke, B. D., McAleavey, A. a., Zhao, Y., Lei, P.-W., Hayes, J. A., Castonguay, L. G., … Lin, Y.-C. (2012). Development and initial validation of the Counseling Center Assessment of Psychological Symptoms-34. </w:t>
      </w:r>
      <w:r w:rsidRPr="00C3085D">
        <w:rPr>
          <w:i/>
          <w:iCs/>
          <w:noProof/>
          <w:color w:val="000000" w:themeColor="text1"/>
        </w:rPr>
        <w:t>Measurement and Evaluation in Counseling and Development</w:t>
      </w:r>
      <w:r w:rsidRPr="00C3085D">
        <w:rPr>
          <w:noProof/>
          <w:color w:val="000000" w:themeColor="text1"/>
        </w:rPr>
        <w:t xml:space="preserve">, </w:t>
      </w:r>
      <w:r w:rsidRPr="00C3085D">
        <w:rPr>
          <w:i/>
          <w:iCs/>
          <w:noProof/>
          <w:color w:val="000000" w:themeColor="text1"/>
        </w:rPr>
        <w:t>45</w:t>
      </w:r>
      <w:r w:rsidRPr="00C3085D">
        <w:rPr>
          <w:noProof/>
          <w:color w:val="000000" w:themeColor="text1"/>
        </w:rPr>
        <w:t xml:space="preserve">, 151–169. </w:t>
      </w:r>
      <w:r w:rsidR="00AE52B0" w:rsidRPr="00C3085D">
        <w:rPr>
          <w:noProof/>
          <w:color w:val="000000" w:themeColor="text1"/>
        </w:rPr>
        <w:t>doi:</w:t>
      </w:r>
      <w:r w:rsidRPr="00C3085D">
        <w:rPr>
          <w:noProof/>
          <w:color w:val="000000" w:themeColor="text1"/>
        </w:rPr>
        <w:t>10.1177/0748175611432642</w:t>
      </w:r>
    </w:p>
    <w:p w14:paraId="642F9F94" w14:textId="5544C67F" w:rsidR="002B4CDF" w:rsidRPr="00C3085D" w:rsidRDefault="002B4CDF" w:rsidP="002B4CDF">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Mansell, W., Harvey, A., Watkins, E., &amp; Shafran, R. (2009). Conceptual foundations of the transdiagnostic approach to CBT. </w:t>
      </w:r>
      <w:r w:rsidRPr="00C3085D">
        <w:rPr>
          <w:i/>
          <w:iCs/>
          <w:noProof/>
          <w:color w:val="000000" w:themeColor="text1"/>
        </w:rPr>
        <w:t>Journal of Cognitive Psychotherapy</w:t>
      </w:r>
      <w:r w:rsidRPr="00C3085D">
        <w:rPr>
          <w:noProof/>
          <w:color w:val="000000" w:themeColor="text1"/>
        </w:rPr>
        <w:t xml:space="preserve">, </w:t>
      </w:r>
      <w:r w:rsidRPr="00C3085D">
        <w:rPr>
          <w:i/>
          <w:iCs/>
          <w:noProof/>
          <w:color w:val="000000" w:themeColor="text1"/>
        </w:rPr>
        <w:t>23</w:t>
      </w:r>
      <w:r w:rsidRPr="00C3085D">
        <w:rPr>
          <w:noProof/>
          <w:color w:val="000000" w:themeColor="text1"/>
        </w:rPr>
        <w:t xml:space="preserve">, 6–19. </w:t>
      </w:r>
      <w:r w:rsidR="00C3085D" w:rsidRPr="00C3085D">
        <w:rPr>
          <w:noProof/>
          <w:color w:val="000000" w:themeColor="text1"/>
        </w:rPr>
        <w:t>doi:</w:t>
      </w:r>
      <w:r w:rsidRPr="00C3085D">
        <w:rPr>
          <w:noProof/>
          <w:color w:val="000000" w:themeColor="text1"/>
        </w:rPr>
        <w:t>10.1891/0889-8391.23.1.6</w:t>
      </w:r>
    </w:p>
    <w:p w14:paraId="0C786FE4" w14:textId="1F8FB396" w:rsidR="00FA10AB" w:rsidRPr="00C3085D" w:rsidRDefault="002B4CDF" w:rsidP="00FA10AB">
      <w:pPr>
        <w:widowControl w:val="0"/>
        <w:autoSpaceDE w:val="0"/>
        <w:autoSpaceDN w:val="0"/>
        <w:adjustRightInd w:val="0"/>
        <w:spacing w:line="480" w:lineRule="auto"/>
        <w:ind w:left="480" w:hanging="480"/>
        <w:rPr>
          <w:noProof/>
          <w:color w:val="000000" w:themeColor="text1"/>
        </w:rPr>
      </w:pPr>
      <w:r w:rsidRPr="00C3085D">
        <w:rPr>
          <w:noProof/>
          <w:color w:val="000000" w:themeColor="text1"/>
        </w:rPr>
        <w:lastRenderedPageBreak/>
        <w:t xml:space="preserve">Meng, X.-L., Rosenthal, R., &amp; Rubin, D. B. (1992). Comparing correlated correlation coefficients. </w:t>
      </w:r>
      <w:r w:rsidRPr="00C3085D">
        <w:rPr>
          <w:i/>
          <w:iCs/>
          <w:noProof/>
          <w:color w:val="000000" w:themeColor="text1"/>
        </w:rPr>
        <w:t>Psychological Bulletin</w:t>
      </w:r>
      <w:r w:rsidRPr="00C3085D">
        <w:rPr>
          <w:noProof/>
          <w:color w:val="000000" w:themeColor="text1"/>
        </w:rPr>
        <w:t xml:space="preserve">, </w:t>
      </w:r>
      <w:r w:rsidRPr="00C3085D">
        <w:rPr>
          <w:i/>
          <w:iCs/>
          <w:noProof/>
          <w:color w:val="000000" w:themeColor="text1"/>
        </w:rPr>
        <w:t>111</w:t>
      </w:r>
      <w:r w:rsidRPr="00C3085D">
        <w:rPr>
          <w:noProof/>
          <w:color w:val="000000" w:themeColor="text1"/>
        </w:rPr>
        <w:t>, 172–175.</w:t>
      </w:r>
      <w:r w:rsidR="00C3085D" w:rsidRPr="00C3085D">
        <w:rPr>
          <w:noProof/>
          <w:color w:val="000000" w:themeColor="text1"/>
        </w:rPr>
        <w:t xml:space="preserve"> doi:10.1037/0033-2909.111.1.172</w:t>
      </w:r>
    </w:p>
    <w:p w14:paraId="54BD9717" w14:textId="77777777" w:rsidR="00E334DD" w:rsidRDefault="00FA10AB" w:rsidP="00E334DD">
      <w:pPr>
        <w:widowControl w:val="0"/>
        <w:autoSpaceDE w:val="0"/>
        <w:autoSpaceDN w:val="0"/>
        <w:adjustRightInd w:val="0"/>
        <w:spacing w:line="480" w:lineRule="auto"/>
        <w:ind w:left="480" w:hanging="480"/>
        <w:rPr>
          <w:rFonts w:eastAsia="Times New Roman"/>
          <w:color w:val="000000" w:themeColor="text1"/>
          <w:shd w:val="clear" w:color="auto" w:fill="FFFFFF"/>
        </w:rPr>
      </w:pPr>
      <w:r w:rsidRPr="00C3085D">
        <w:rPr>
          <w:rFonts w:eastAsia="Times New Roman"/>
          <w:color w:val="000000" w:themeColor="text1"/>
          <w:shd w:val="clear" w:color="auto" w:fill="FFFFFF"/>
        </w:rPr>
        <w:t>Moffitt, R., Brinkworth, G., Noakes, M., &amp; Mohr, P. (2012). A comparison of cognitive restructuring and cognitive defusion as strategies for resisting a craved food. </w:t>
      </w:r>
      <w:r w:rsidR="00C3085D" w:rsidRPr="00C3085D">
        <w:rPr>
          <w:rFonts w:eastAsia="Times New Roman"/>
          <w:i/>
          <w:iCs/>
          <w:color w:val="000000" w:themeColor="text1"/>
          <w:shd w:val="clear" w:color="auto" w:fill="FFFFFF"/>
        </w:rPr>
        <w:t>Psychology &amp; H</w:t>
      </w:r>
      <w:r w:rsidRPr="00C3085D">
        <w:rPr>
          <w:rFonts w:eastAsia="Times New Roman"/>
          <w:i/>
          <w:iCs/>
          <w:color w:val="000000" w:themeColor="text1"/>
          <w:shd w:val="clear" w:color="auto" w:fill="FFFFFF"/>
        </w:rPr>
        <w:t>ealth</w:t>
      </w:r>
      <w:r w:rsidRPr="00C3085D">
        <w:rPr>
          <w:rFonts w:eastAsia="Times New Roman"/>
          <w:color w:val="000000" w:themeColor="text1"/>
          <w:shd w:val="clear" w:color="auto" w:fill="FFFFFF"/>
        </w:rPr>
        <w:t>, </w:t>
      </w:r>
      <w:r w:rsidRPr="00C3085D">
        <w:rPr>
          <w:rFonts w:eastAsia="Times New Roman"/>
          <w:i/>
          <w:iCs/>
          <w:color w:val="000000" w:themeColor="text1"/>
          <w:shd w:val="clear" w:color="auto" w:fill="FFFFFF"/>
        </w:rPr>
        <w:t>27</w:t>
      </w:r>
      <w:r w:rsidRPr="00C3085D">
        <w:rPr>
          <w:rFonts w:eastAsia="Times New Roman"/>
          <w:color w:val="000000" w:themeColor="text1"/>
          <w:shd w:val="clear" w:color="auto" w:fill="FFFFFF"/>
        </w:rPr>
        <w:t>, 74-90.</w:t>
      </w:r>
      <w:r w:rsidR="00C3085D" w:rsidRPr="00C3085D">
        <w:rPr>
          <w:rFonts w:eastAsia="Times New Roman"/>
          <w:color w:val="000000" w:themeColor="text1"/>
          <w:shd w:val="clear" w:color="auto" w:fill="FFFFFF"/>
        </w:rPr>
        <w:t xml:space="preserve"> doi:10.1080/08870446.2012.694436</w:t>
      </w:r>
    </w:p>
    <w:p w14:paraId="5C0E6A3E" w14:textId="24E8CB48" w:rsidR="00E334DD" w:rsidRPr="00E334DD" w:rsidRDefault="00E334DD" w:rsidP="00FA10AB">
      <w:pPr>
        <w:widowControl w:val="0"/>
        <w:autoSpaceDE w:val="0"/>
        <w:autoSpaceDN w:val="0"/>
        <w:adjustRightInd w:val="0"/>
        <w:spacing w:line="480" w:lineRule="auto"/>
        <w:ind w:left="480" w:hanging="480"/>
        <w:rPr>
          <w:rFonts w:eastAsia="Times New Roman"/>
          <w:color w:val="000000" w:themeColor="text1"/>
          <w:shd w:val="clear" w:color="auto" w:fill="FFFFFF"/>
        </w:rPr>
      </w:pPr>
      <w:r w:rsidRPr="00820DF6">
        <w:rPr>
          <w:rFonts w:eastAsia="Times New Roman"/>
          <w:color w:val="222222"/>
          <w:shd w:val="clear" w:color="auto" w:fill="FFFFFF"/>
        </w:rPr>
        <w:t>Nyklíček, I., &amp; Denollet, J. (2009). Development and evaluation of the Balanced Index of Psychological Mindedness (BIPM). </w:t>
      </w:r>
      <w:r w:rsidRPr="00820DF6">
        <w:rPr>
          <w:rFonts w:eastAsia="Times New Roman"/>
          <w:i/>
          <w:iCs/>
          <w:color w:val="222222"/>
          <w:shd w:val="clear" w:color="auto" w:fill="FFFFFF"/>
        </w:rPr>
        <w:t>Psychological Assessment</w:t>
      </w:r>
      <w:r w:rsidRPr="00820DF6">
        <w:rPr>
          <w:rFonts w:eastAsia="Times New Roman"/>
          <w:color w:val="222222"/>
          <w:shd w:val="clear" w:color="auto" w:fill="FFFFFF"/>
        </w:rPr>
        <w:t>, </w:t>
      </w:r>
      <w:r w:rsidRPr="00820DF6">
        <w:rPr>
          <w:rFonts w:eastAsia="Times New Roman"/>
          <w:i/>
          <w:iCs/>
          <w:color w:val="222222"/>
          <w:shd w:val="clear" w:color="auto" w:fill="FFFFFF"/>
        </w:rPr>
        <w:t>21</w:t>
      </w:r>
      <w:r w:rsidRPr="00820DF6">
        <w:rPr>
          <w:rFonts w:eastAsia="Times New Roman"/>
          <w:color w:val="222222"/>
          <w:shd w:val="clear" w:color="auto" w:fill="FFFFFF"/>
        </w:rPr>
        <w:t>, 32</w:t>
      </w:r>
      <w:r w:rsidR="00820DF6">
        <w:rPr>
          <w:rFonts w:eastAsia="Times New Roman"/>
          <w:color w:val="222222"/>
          <w:shd w:val="clear" w:color="auto" w:fill="FFFFFF"/>
        </w:rPr>
        <w:t>-44</w:t>
      </w:r>
      <w:r w:rsidRPr="00820DF6">
        <w:rPr>
          <w:rFonts w:eastAsia="Times New Roman"/>
          <w:color w:val="222222"/>
          <w:shd w:val="clear" w:color="auto" w:fill="FFFFFF"/>
        </w:rPr>
        <w:t>.</w:t>
      </w:r>
      <w:r w:rsidR="00820DF6">
        <w:rPr>
          <w:rFonts w:eastAsia="Times New Roman"/>
          <w:color w:val="222222"/>
          <w:shd w:val="clear" w:color="auto" w:fill="FFFFFF"/>
        </w:rPr>
        <w:t xml:space="preserve"> doi:</w:t>
      </w:r>
      <w:r w:rsidR="00820DF6" w:rsidRPr="00820DF6">
        <w:t xml:space="preserve"> </w:t>
      </w:r>
      <w:r w:rsidR="00820DF6" w:rsidRPr="00820DF6">
        <w:rPr>
          <w:rFonts w:eastAsia="Times New Roman"/>
          <w:color w:val="222222"/>
          <w:shd w:val="clear" w:color="auto" w:fill="FFFFFF"/>
        </w:rPr>
        <w:t>10.1037/a0014418</w:t>
      </w:r>
    </w:p>
    <w:p w14:paraId="7E7AE0D2" w14:textId="3642E45A" w:rsidR="00F27000" w:rsidRPr="00C3085D" w:rsidRDefault="002B4CDF" w:rsidP="00D26450">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Tanner, A., Voon, D., Hasking, P., &amp; Martin, G. (2013). Underlying structure of ruminative thinking: Factor analysis of the ruminative thought style questionnaire. </w:t>
      </w:r>
      <w:r w:rsidRPr="00C3085D">
        <w:rPr>
          <w:i/>
          <w:iCs/>
          <w:noProof/>
          <w:color w:val="000000" w:themeColor="text1"/>
        </w:rPr>
        <w:t>Cognitive Therapy and Research</w:t>
      </w:r>
      <w:r w:rsidRPr="00C3085D">
        <w:rPr>
          <w:noProof/>
          <w:color w:val="000000" w:themeColor="text1"/>
        </w:rPr>
        <w:t xml:space="preserve">, </w:t>
      </w:r>
      <w:r w:rsidR="00C3085D" w:rsidRPr="00C3085D">
        <w:rPr>
          <w:i/>
          <w:iCs/>
          <w:noProof/>
          <w:color w:val="000000" w:themeColor="text1"/>
        </w:rPr>
        <w:t>37</w:t>
      </w:r>
      <w:r w:rsidR="00C3085D" w:rsidRPr="00C3085D">
        <w:rPr>
          <w:noProof/>
          <w:color w:val="000000" w:themeColor="text1"/>
        </w:rPr>
        <w:t>, 633–646. doi:</w:t>
      </w:r>
      <w:r w:rsidRPr="00C3085D">
        <w:rPr>
          <w:noProof/>
          <w:color w:val="000000" w:themeColor="text1"/>
        </w:rPr>
        <w:t>10.1007/s10608-012-9492-1</w:t>
      </w:r>
    </w:p>
    <w:p w14:paraId="455F607F" w14:textId="72923AFE" w:rsidR="0033421B" w:rsidRPr="00C3085D" w:rsidRDefault="002B4CDF" w:rsidP="0033421B">
      <w:pPr>
        <w:widowControl w:val="0"/>
        <w:autoSpaceDE w:val="0"/>
        <w:autoSpaceDN w:val="0"/>
        <w:adjustRightInd w:val="0"/>
        <w:spacing w:line="480" w:lineRule="auto"/>
        <w:ind w:left="480" w:hanging="480"/>
        <w:rPr>
          <w:noProof/>
          <w:color w:val="000000" w:themeColor="text1"/>
        </w:rPr>
      </w:pPr>
      <w:r w:rsidRPr="00C3085D">
        <w:rPr>
          <w:noProof/>
          <w:color w:val="000000" w:themeColor="text1"/>
        </w:rPr>
        <w:t xml:space="preserve">Weissman, M. M., &amp; Bothwell, S. (1976). Assessment of social adjustment by patient self-report. </w:t>
      </w:r>
      <w:r w:rsidRPr="00C3085D">
        <w:rPr>
          <w:i/>
          <w:iCs/>
          <w:noProof/>
          <w:color w:val="000000" w:themeColor="text1"/>
        </w:rPr>
        <w:t>Archives of General Psychiatry</w:t>
      </w:r>
      <w:r w:rsidRPr="00C3085D">
        <w:rPr>
          <w:noProof/>
          <w:color w:val="000000" w:themeColor="text1"/>
        </w:rPr>
        <w:t xml:space="preserve">, </w:t>
      </w:r>
      <w:r w:rsidRPr="00C3085D">
        <w:rPr>
          <w:i/>
          <w:iCs/>
          <w:noProof/>
          <w:color w:val="000000" w:themeColor="text1"/>
        </w:rPr>
        <w:t>33</w:t>
      </w:r>
      <w:r w:rsidRPr="00C3085D">
        <w:rPr>
          <w:noProof/>
          <w:color w:val="000000" w:themeColor="text1"/>
        </w:rPr>
        <w:t xml:space="preserve">, 1111–1115. </w:t>
      </w:r>
      <w:r w:rsidR="00C3085D" w:rsidRPr="00C3085D">
        <w:rPr>
          <w:noProof/>
          <w:color w:val="000000" w:themeColor="text1"/>
        </w:rPr>
        <w:t>doi:</w:t>
      </w:r>
      <w:r w:rsidRPr="00C3085D">
        <w:rPr>
          <w:noProof/>
          <w:color w:val="000000" w:themeColor="text1"/>
        </w:rPr>
        <w:t>10.1001/archpsyc.1981.01780360066006</w:t>
      </w:r>
    </w:p>
    <w:p w14:paraId="29840E98" w14:textId="222BFDF3" w:rsidR="0033421B" w:rsidRPr="00C3085D" w:rsidRDefault="0033421B" w:rsidP="0033421B">
      <w:pPr>
        <w:widowControl w:val="0"/>
        <w:autoSpaceDE w:val="0"/>
        <w:autoSpaceDN w:val="0"/>
        <w:adjustRightInd w:val="0"/>
        <w:spacing w:line="480" w:lineRule="auto"/>
        <w:ind w:left="480" w:hanging="480"/>
        <w:rPr>
          <w:noProof/>
          <w:color w:val="000000" w:themeColor="text1"/>
        </w:rPr>
      </w:pPr>
      <w:r w:rsidRPr="00C3085D">
        <w:rPr>
          <w:rFonts w:eastAsia="Times New Roman"/>
          <w:color w:val="000000" w:themeColor="text1"/>
          <w:shd w:val="clear" w:color="auto" w:fill="FFFFFF"/>
        </w:rPr>
        <w:t>Yovel, I., Mor, N., &amp; Shakarov, H. (2014). Examination of the core cognitive components of cognitive behavioral therapy and acceptance and commitment therapy: An analogue investigation. </w:t>
      </w:r>
      <w:r w:rsidR="00C3085D" w:rsidRPr="00C3085D">
        <w:rPr>
          <w:rFonts w:eastAsia="Times New Roman"/>
          <w:i/>
          <w:iCs/>
          <w:color w:val="000000" w:themeColor="text1"/>
          <w:shd w:val="clear" w:color="auto" w:fill="FFFFFF"/>
        </w:rPr>
        <w:t>Behavior T</w:t>
      </w:r>
      <w:r w:rsidRPr="00C3085D">
        <w:rPr>
          <w:rFonts w:eastAsia="Times New Roman"/>
          <w:i/>
          <w:iCs/>
          <w:color w:val="000000" w:themeColor="text1"/>
          <w:shd w:val="clear" w:color="auto" w:fill="FFFFFF"/>
        </w:rPr>
        <w:t>herapy</w:t>
      </w:r>
      <w:r w:rsidRPr="00C3085D">
        <w:rPr>
          <w:rFonts w:eastAsia="Times New Roman"/>
          <w:color w:val="000000" w:themeColor="text1"/>
          <w:shd w:val="clear" w:color="auto" w:fill="FFFFFF"/>
        </w:rPr>
        <w:t>, </w:t>
      </w:r>
      <w:r w:rsidRPr="00C3085D">
        <w:rPr>
          <w:rFonts w:eastAsia="Times New Roman"/>
          <w:i/>
          <w:iCs/>
          <w:color w:val="000000" w:themeColor="text1"/>
          <w:shd w:val="clear" w:color="auto" w:fill="FFFFFF"/>
        </w:rPr>
        <w:t>45</w:t>
      </w:r>
      <w:r w:rsidRPr="00C3085D">
        <w:rPr>
          <w:rFonts w:eastAsia="Times New Roman"/>
          <w:color w:val="000000" w:themeColor="text1"/>
          <w:shd w:val="clear" w:color="auto" w:fill="FFFFFF"/>
        </w:rPr>
        <w:t>, 482-494.</w:t>
      </w:r>
      <w:r w:rsidR="00C3085D" w:rsidRPr="00C3085D">
        <w:rPr>
          <w:color w:val="000000" w:themeColor="text1"/>
        </w:rPr>
        <w:t xml:space="preserve"> </w:t>
      </w:r>
      <w:r w:rsidR="00C3085D" w:rsidRPr="00C3085D">
        <w:rPr>
          <w:rFonts w:eastAsia="Times New Roman"/>
          <w:color w:val="000000" w:themeColor="text1"/>
          <w:shd w:val="clear" w:color="auto" w:fill="FFFFFF"/>
        </w:rPr>
        <w:t>doi:10.1016/j.beth.2014.02.007</w:t>
      </w:r>
    </w:p>
    <w:p w14:paraId="5AC7C3D1" w14:textId="77777777" w:rsidR="0033421B" w:rsidRPr="00C3085D" w:rsidRDefault="0033421B" w:rsidP="002B4CDF">
      <w:pPr>
        <w:widowControl w:val="0"/>
        <w:autoSpaceDE w:val="0"/>
        <w:autoSpaceDN w:val="0"/>
        <w:adjustRightInd w:val="0"/>
        <w:spacing w:line="480" w:lineRule="auto"/>
        <w:ind w:left="480" w:hanging="480"/>
        <w:rPr>
          <w:noProof/>
          <w:color w:val="000000" w:themeColor="text1"/>
        </w:rPr>
      </w:pPr>
    </w:p>
    <w:p w14:paraId="494ACA0B" w14:textId="05C7B00D" w:rsidR="00534728" w:rsidRDefault="001715B5" w:rsidP="0047080C">
      <w:pPr>
        <w:widowControl w:val="0"/>
        <w:autoSpaceDE w:val="0"/>
        <w:autoSpaceDN w:val="0"/>
        <w:adjustRightInd w:val="0"/>
        <w:spacing w:line="480" w:lineRule="auto"/>
        <w:ind w:left="480" w:hanging="480"/>
        <w:rPr>
          <w:color w:val="000000" w:themeColor="text1"/>
        </w:rPr>
      </w:pPr>
      <w:r w:rsidRPr="00C3085D">
        <w:rPr>
          <w:color w:val="000000" w:themeColor="text1"/>
        </w:rPr>
        <w:fldChar w:fldCharType="end"/>
      </w:r>
    </w:p>
    <w:p w14:paraId="58B99466" w14:textId="77777777" w:rsidR="00534728" w:rsidRDefault="00534728">
      <w:pPr>
        <w:rPr>
          <w:color w:val="000000" w:themeColor="text1"/>
        </w:rPr>
      </w:pPr>
      <w:r>
        <w:rPr>
          <w:color w:val="000000" w:themeColor="text1"/>
        </w:rPr>
        <w:br w:type="page"/>
      </w:r>
    </w:p>
    <w:p w14:paraId="1636679E" w14:textId="77777777" w:rsidR="00534728" w:rsidRPr="00714416" w:rsidRDefault="00534728" w:rsidP="00534728">
      <w:pPr>
        <w:outlineLvl w:val="0"/>
        <w:rPr>
          <w:i/>
        </w:rPr>
      </w:pPr>
      <w:r w:rsidRPr="00714416">
        <w:rPr>
          <w:i/>
        </w:rPr>
        <w:lastRenderedPageBreak/>
        <w:t>Table 1. Descriptive statistics at baseline</w:t>
      </w:r>
    </w:p>
    <w:p w14:paraId="4031D743" w14:textId="77777777" w:rsidR="00534728" w:rsidRPr="00FE21E4" w:rsidRDefault="00534728" w:rsidP="00534728"/>
    <w:tbl>
      <w:tblPr>
        <w:tblStyle w:val="TableGrid"/>
        <w:tblW w:w="5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9"/>
        <w:gridCol w:w="1170"/>
        <w:gridCol w:w="1162"/>
      </w:tblGrid>
      <w:tr w:rsidR="00534728" w:rsidRPr="0022526C" w14:paraId="6D82C0A8" w14:textId="77777777" w:rsidTr="00707A8A">
        <w:tc>
          <w:tcPr>
            <w:tcW w:w="2800" w:type="pct"/>
            <w:tcBorders>
              <w:top w:val="single" w:sz="4" w:space="0" w:color="auto"/>
              <w:bottom w:val="single" w:sz="4" w:space="0" w:color="auto"/>
            </w:tcBorders>
          </w:tcPr>
          <w:p w14:paraId="531C0E63" w14:textId="77777777" w:rsidR="00534728" w:rsidRPr="0022526C" w:rsidRDefault="00534728" w:rsidP="00707A8A">
            <w:r>
              <w:t>Variable</w:t>
            </w:r>
          </w:p>
        </w:tc>
        <w:tc>
          <w:tcPr>
            <w:tcW w:w="1104" w:type="pct"/>
            <w:tcBorders>
              <w:top w:val="single" w:sz="4" w:space="0" w:color="auto"/>
              <w:bottom w:val="single" w:sz="4" w:space="0" w:color="auto"/>
            </w:tcBorders>
          </w:tcPr>
          <w:p w14:paraId="7660DF20" w14:textId="77777777" w:rsidR="00534728" w:rsidRPr="0022526C" w:rsidRDefault="00534728" w:rsidP="00707A8A">
            <w:r w:rsidRPr="0022526C">
              <w:t>M</w:t>
            </w:r>
          </w:p>
        </w:tc>
        <w:tc>
          <w:tcPr>
            <w:tcW w:w="1096" w:type="pct"/>
            <w:tcBorders>
              <w:top w:val="single" w:sz="4" w:space="0" w:color="auto"/>
              <w:bottom w:val="single" w:sz="4" w:space="0" w:color="auto"/>
            </w:tcBorders>
          </w:tcPr>
          <w:p w14:paraId="7D5CD5CB" w14:textId="77777777" w:rsidR="00534728" w:rsidRPr="0022526C" w:rsidRDefault="00534728" w:rsidP="00707A8A">
            <w:r w:rsidRPr="0022526C">
              <w:t>SD</w:t>
            </w:r>
          </w:p>
        </w:tc>
      </w:tr>
      <w:tr w:rsidR="00534728" w:rsidRPr="0022526C" w14:paraId="3AFC27AA" w14:textId="77777777" w:rsidTr="00707A8A">
        <w:trPr>
          <w:trHeight w:val="314"/>
        </w:trPr>
        <w:tc>
          <w:tcPr>
            <w:tcW w:w="2800" w:type="pct"/>
            <w:tcBorders>
              <w:top w:val="single" w:sz="4" w:space="0" w:color="auto"/>
            </w:tcBorders>
          </w:tcPr>
          <w:p w14:paraId="4C25ED3C" w14:textId="77777777" w:rsidR="00534728" w:rsidRPr="00E95599" w:rsidRDefault="00534728" w:rsidP="00707A8A">
            <w:pPr>
              <w:ind w:left="80"/>
            </w:pPr>
            <w:r w:rsidRPr="00E95599">
              <w:t>Fusion</w:t>
            </w:r>
          </w:p>
        </w:tc>
        <w:tc>
          <w:tcPr>
            <w:tcW w:w="1104" w:type="pct"/>
            <w:tcBorders>
              <w:top w:val="single" w:sz="4" w:space="0" w:color="auto"/>
            </w:tcBorders>
          </w:tcPr>
          <w:p w14:paraId="660AE88B" w14:textId="77777777" w:rsidR="00534728" w:rsidRPr="0073276D" w:rsidRDefault="00534728" w:rsidP="00707A8A">
            <w:r w:rsidRPr="0073276D">
              <w:t>22.83</w:t>
            </w:r>
          </w:p>
        </w:tc>
        <w:tc>
          <w:tcPr>
            <w:tcW w:w="1096" w:type="pct"/>
            <w:tcBorders>
              <w:top w:val="single" w:sz="4" w:space="0" w:color="auto"/>
            </w:tcBorders>
          </w:tcPr>
          <w:p w14:paraId="4B87FCDA" w14:textId="77777777" w:rsidR="00534728" w:rsidRPr="0073276D" w:rsidRDefault="00534728" w:rsidP="00707A8A">
            <w:r w:rsidRPr="0073276D">
              <w:t>10.33</w:t>
            </w:r>
          </w:p>
        </w:tc>
      </w:tr>
      <w:tr w:rsidR="00534728" w:rsidRPr="0022526C" w14:paraId="0259C75B" w14:textId="77777777" w:rsidTr="00707A8A">
        <w:trPr>
          <w:trHeight w:val="314"/>
        </w:trPr>
        <w:tc>
          <w:tcPr>
            <w:tcW w:w="2800" w:type="pct"/>
          </w:tcPr>
          <w:p w14:paraId="768A70E2" w14:textId="77777777" w:rsidR="00534728" w:rsidRPr="0073276D" w:rsidRDefault="00534728" w:rsidP="00707A8A">
            <w:pPr>
              <w:ind w:left="80"/>
            </w:pPr>
            <w:r w:rsidRPr="0073276D">
              <w:t>Reappraisal</w:t>
            </w:r>
          </w:p>
        </w:tc>
        <w:tc>
          <w:tcPr>
            <w:tcW w:w="1104" w:type="pct"/>
          </w:tcPr>
          <w:p w14:paraId="38197CEC" w14:textId="77777777" w:rsidR="00534728" w:rsidRPr="0073276D" w:rsidRDefault="00534728" w:rsidP="00707A8A">
            <w:r w:rsidRPr="0073276D">
              <w:t>30.76</w:t>
            </w:r>
          </w:p>
        </w:tc>
        <w:tc>
          <w:tcPr>
            <w:tcW w:w="1096" w:type="pct"/>
          </w:tcPr>
          <w:p w14:paraId="44DA3616" w14:textId="77777777" w:rsidR="00534728" w:rsidRPr="0073276D" w:rsidRDefault="00534728" w:rsidP="00707A8A">
            <w:r w:rsidRPr="0073276D">
              <w:t>6.93</w:t>
            </w:r>
          </w:p>
        </w:tc>
      </w:tr>
      <w:tr w:rsidR="00534728" w:rsidRPr="0022526C" w14:paraId="4181E562" w14:textId="77777777" w:rsidTr="00707A8A">
        <w:trPr>
          <w:trHeight w:val="314"/>
        </w:trPr>
        <w:tc>
          <w:tcPr>
            <w:tcW w:w="2800" w:type="pct"/>
          </w:tcPr>
          <w:p w14:paraId="4941ADF9" w14:textId="77777777" w:rsidR="00534728" w:rsidRPr="0073276D" w:rsidRDefault="00534728" w:rsidP="00707A8A">
            <w:pPr>
              <w:ind w:left="80"/>
            </w:pPr>
            <w:r w:rsidRPr="0073276D">
              <w:t>Rumination</w:t>
            </w:r>
          </w:p>
        </w:tc>
        <w:tc>
          <w:tcPr>
            <w:tcW w:w="1104" w:type="pct"/>
          </w:tcPr>
          <w:p w14:paraId="77BC00F9" w14:textId="77777777" w:rsidR="00534728" w:rsidRPr="0073276D" w:rsidRDefault="00534728" w:rsidP="00707A8A">
            <w:r w:rsidRPr="0073276D">
              <w:t>62.91</w:t>
            </w:r>
          </w:p>
        </w:tc>
        <w:tc>
          <w:tcPr>
            <w:tcW w:w="1096" w:type="pct"/>
          </w:tcPr>
          <w:p w14:paraId="027E474C" w14:textId="77777777" w:rsidR="00534728" w:rsidRPr="0073276D" w:rsidRDefault="00534728" w:rsidP="00707A8A">
            <w:r w:rsidRPr="0073276D">
              <w:t>19.41</w:t>
            </w:r>
          </w:p>
        </w:tc>
      </w:tr>
      <w:tr w:rsidR="00534728" w:rsidRPr="0022526C" w14:paraId="1D2ABD55" w14:textId="77777777" w:rsidTr="00707A8A">
        <w:trPr>
          <w:trHeight w:val="314"/>
        </w:trPr>
        <w:tc>
          <w:tcPr>
            <w:tcW w:w="2800" w:type="pct"/>
          </w:tcPr>
          <w:p w14:paraId="2F49B1FA" w14:textId="77777777" w:rsidR="00534728" w:rsidRPr="0073276D" w:rsidRDefault="00534728" w:rsidP="00707A8A">
            <w:pPr>
              <w:ind w:left="80"/>
            </w:pPr>
            <w:r w:rsidRPr="0073276D">
              <w:t>Distress</w:t>
            </w:r>
          </w:p>
        </w:tc>
        <w:tc>
          <w:tcPr>
            <w:tcW w:w="1104" w:type="pct"/>
          </w:tcPr>
          <w:p w14:paraId="393D9857" w14:textId="77777777" w:rsidR="00534728" w:rsidRPr="0073276D" w:rsidRDefault="00534728" w:rsidP="00707A8A">
            <w:r>
              <w:t>1.07</w:t>
            </w:r>
          </w:p>
        </w:tc>
        <w:tc>
          <w:tcPr>
            <w:tcW w:w="1096" w:type="pct"/>
          </w:tcPr>
          <w:p w14:paraId="0B0A1741" w14:textId="77777777" w:rsidR="00534728" w:rsidRPr="0073276D" w:rsidRDefault="00534728" w:rsidP="00707A8A">
            <w:r>
              <w:t>0.72</w:t>
            </w:r>
          </w:p>
        </w:tc>
      </w:tr>
      <w:tr w:rsidR="00534728" w:rsidRPr="0022526C" w14:paraId="44FC72C8" w14:textId="77777777" w:rsidTr="00707A8A">
        <w:trPr>
          <w:trHeight w:val="314"/>
        </w:trPr>
        <w:tc>
          <w:tcPr>
            <w:tcW w:w="2800" w:type="pct"/>
          </w:tcPr>
          <w:p w14:paraId="0BAE1982" w14:textId="77777777" w:rsidR="00534728" w:rsidRPr="0073276D" w:rsidRDefault="00534728" w:rsidP="00707A8A">
            <w:pPr>
              <w:ind w:left="80"/>
            </w:pPr>
            <w:r w:rsidRPr="0073276D">
              <w:t>Depression</w:t>
            </w:r>
          </w:p>
        </w:tc>
        <w:tc>
          <w:tcPr>
            <w:tcW w:w="1104" w:type="pct"/>
          </w:tcPr>
          <w:p w14:paraId="31154979" w14:textId="77777777" w:rsidR="00534728" w:rsidRPr="0073276D" w:rsidRDefault="00534728" w:rsidP="00707A8A">
            <w:r>
              <w:t>0.92</w:t>
            </w:r>
          </w:p>
        </w:tc>
        <w:tc>
          <w:tcPr>
            <w:tcW w:w="1096" w:type="pct"/>
          </w:tcPr>
          <w:p w14:paraId="18B0781B" w14:textId="77777777" w:rsidR="00534728" w:rsidRPr="0073276D" w:rsidRDefault="00534728" w:rsidP="00707A8A">
            <w:r>
              <w:t>0.93</w:t>
            </w:r>
          </w:p>
        </w:tc>
      </w:tr>
      <w:tr w:rsidR="00534728" w:rsidRPr="0022526C" w14:paraId="5FAAB0CA" w14:textId="77777777" w:rsidTr="00707A8A">
        <w:trPr>
          <w:trHeight w:val="314"/>
        </w:trPr>
        <w:tc>
          <w:tcPr>
            <w:tcW w:w="2800" w:type="pct"/>
          </w:tcPr>
          <w:p w14:paraId="23CC4DBB" w14:textId="77777777" w:rsidR="00534728" w:rsidRPr="0073276D" w:rsidRDefault="00534728" w:rsidP="00707A8A">
            <w:pPr>
              <w:ind w:left="80"/>
            </w:pPr>
            <w:r w:rsidRPr="0073276D">
              <w:t>Generalized Anxiety</w:t>
            </w:r>
          </w:p>
        </w:tc>
        <w:tc>
          <w:tcPr>
            <w:tcW w:w="1104" w:type="pct"/>
          </w:tcPr>
          <w:p w14:paraId="6FCEC810" w14:textId="77777777" w:rsidR="00534728" w:rsidRPr="0073276D" w:rsidRDefault="00534728" w:rsidP="00707A8A">
            <w:r>
              <w:t>1.15</w:t>
            </w:r>
          </w:p>
        </w:tc>
        <w:tc>
          <w:tcPr>
            <w:tcW w:w="1096" w:type="pct"/>
          </w:tcPr>
          <w:p w14:paraId="6ADDF270" w14:textId="77777777" w:rsidR="00534728" w:rsidRPr="0073276D" w:rsidRDefault="00534728" w:rsidP="00707A8A">
            <w:r>
              <w:t>0.83</w:t>
            </w:r>
          </w:p>
        </w:tc>
      </w:tr>
      <w:tr w:rsidR="00534728" w:rsidRPr="0022526C" w14:paraId="60DED8B5" w14:textId="77777777" w:rsidTr="00707A8A">
        <w:trPr>
          <w:trHeight w:val="314"/>
        </w:trPr>
        <w:tc>
          <w:tcPr>
            <w:tcW w:w="2800" w:type="pct"/>
          </w:tcPr>
          <w:p w14:paraId="324D2A32" w14:textId="77777777" w:rsidR="00534728" w:rsidRPr="0073276D" w:rsidRDefault="00534728" w:rsidP="00707A8A">
            <w:pPr>
              <w:ind w:left="80"/>
            </w:pPr>
            <w:r w:rsidRPr="0073276D">
              <w:t>Social Anxiety</w:t>
            </w:r>
          </w:p>
        </w:tc>
        <w:tc>
          <w:tcPr>
            <w:tcW w:w="1104" w:type="pct"/>
          </w:tcPr>
          <w:p w14:paraId="5558A0D2" w14:textId="77777777" w:rsidR="00534728" w:rsidRPr="0073276D" w:rsidRDefault="00534728" w:rsidP="00707A8A">
            <w:r>
              <w:t>1.70</w:t>
            </w:r>
          </w:p>
        </w:tc>
        <w:tc>
          <w:tcPr>
            <w:tcW w:w="1096" w:type="pct"/>
          </w:tcPr>
          <w:p w14:paraId="441E7E44" w14:textId="77777777" w:rsidR="00534728" w:rsidRPr="0073276D" w:rsidRDefault="00534728" w:rsidP="00707A8A">
            <w:r>
              <w:t>0.93</w:t>
            </w:r>
          </w:p>
        </w:tc>
      </w:tr>
      <w:tr w:rsidR="00534728" w:rsidRPr="0022526C" w14:paraId="0D803067" w14:textId="77777777" w:rsidTr="00707A8A">
        <w:trPr>
          <w:trHeight w:val="314"/>
        </w:trPr>
        <w:tc>
          <w:tcPr>
            <w:tcW w:w="2800" w:type="pct"/>
          </w:tcPr>
          <w:p w14:paraId="602C8812" w14:textId="77777777" w:rsidR="00534728" w:rsidRPr="0073276D" w:rsidRDefault="00534728" w:rsidP="00707A8A">
            <w:pPr>
              <w:ind w:left="80"/>
            </w:pPr>
            <w:r w:rsidRPr="0073276D">
              <w:t>Hostility</w:t>
            </w:r>
          </w:p>
        </w:tc>
        <w:tc>
          <w:tcPr>
            <w:tcW w:w="1104" w:type="pct"/>
          </w:tcPr>
          <w:p w14:paraId="276CFF18" w14:textId="77777777" w:rsidR="00534728" w:rsidRPr="0073276D" w:rsidRDefault="00534728" w:rsidP="00707A8A">
            <w:r>
              <w:t>0.50</w:t>
            </w:r>
          </w:p>
        </w:tc>
        <w:tc>
          <w:tcPr>
            <w:tcW w:w="1096" w:type="pct"/>
          </w:tcPr>
          <w:p w14:paraId="1B830C6B" w14:textId="77777777" w:rsidR="00534728" w:rsidRPr="0073276D" w:rsidRDefault="00534728" w:rsidP="00707A8A">
            <w:r>
              <w:t>0.57</w:t>
            </w:r>
          </w:p>
        </w:tc>
      </w:tr>
      <w:tr w:rsidR="00534728" w:rsidRPr="0022526C" w14:paraId="0F020BCF" w14:textId="77777777" w:rsidTr="00707A8A">
        <w:trPr>
          <w:trHeight w:val="314"/>
        </w:trPr>
        <w:tc>
          <w:tcPr>
            <w:tcW w:w="2800" w:type="pct"/>
          </w:tcPr>
          <w:p w14:paraId="09CD967E" w14:textId="77777777" w:rsidR="00534728" w:rsidRPr="0073276D" w:rsidRDefault="00534728" w:rsidP="00707A8A">
            <w:pPr>
              <w:ind w:left="80"/>
            </w:pPr>
            <w:r w:rsidRPr="0073276D">
              <w:t>Eating</w:t>
            </w:r>
          </w:p>
        </w:tc>
        <w:tc>
          <w:tcPr>
            <w:tcW w:w="1104" w:type="pct"/>
          </w:tcPr>
          <w:p w14:paraId="2F1326A8" w14:textId="77777777" w:rsidR="00534728" w:rsidRPr="0073276D" w:rsidRDefault="00534728" w:rsidP="00707A8A">
            <w:r>
              <w:t>1.09</w:t>
            </w:r>
          </w:p>
        </w:tc>
        <w:tc>
          <w:tcPr>
            <w:tcW w:w="1096" w:type="pct"/>
          </w:tcPr>
          <w:p w14:paraId="0CBECE6E" w14:textId="77777777" w:rsidR="00534728" w:rsidRPr="0073276D" w:rsidRDefault="00534728" w:rsidP="00707A8A">
            <w:r>
              <w:t>1.06</w:t>
            </w:r>
          </w:p>
        </w:tc>
      </w:tr>
      <w:tr w:rsidR="00534728" w:rsidRPr="0022526C" w14:paraId="4A925193" w14:textId="77777777" w:rsidTr="00707A8A">
        <w:trPr>
          <w:trHeight w:val="314"/>
        </w:trPr>
        <w:tc>
          <w:tcPr>
            <w:tcW w:w="2800" w:type="pct"/>
          </w:tcPr>
          <w:p w14:paraId="5C8BC05D" w14:textId="77777777" w:rsidR="00534728" w:rsidRPr="0073276D" w:rsidRDefault="00534728" w:rsidP="00707A8A">
            <w:pPr>
              <w:ind w:left="80"/>
            </w:pPr>
            <w:r w:rsidRPr="0073276D">
              <w:t>Academic distress</w:t>
            </w:r>
          </w:p>
        </w:tc>
        <w:tc>
          <w:tcPr>
            <w:tcW w:w="1104" w:type="pct"/>
          </w:tcPr>
          <w:p w14:paraId="785FAA84" w14:textId="77777777" w:rsidR="00534728" w:rsidRPr="0073276D" w:rsidRDefault="00534728" w:rsidP="00707A8A">
            <w:r>
              <w:t>1.26</w:t>
            </w:r>
          </w:p>
        </w:tc>
        <w:tc>
          <w:tcPr>
            <w:tcW w:w="1096" w:type="pct"/>
          </w:tcPr>
          <w:p w14:paraId="091D7807" w14:textId="77777777" w:rsidR="00534728" w:rsidRPr="0073276D" w:rsidRDefault="00534728" w:rsidP="00707A8A">
            <w:r>
              <w:t>0.87</w:t>
            </w:r>
          </w:p>
        </w:tc>
      </w:tr>
      <w:tr w:rsidR="00534728" w:rsidRPr="0022526C" w14:paraId="244FD40C" w14:textId="77777777" w:rsidTr="00707A8A">
        <w:trPr>
          <w:trHeight w:val="314"/>
        </w:trPr>
        <w:tc>
          <w:tcPr>
            <w:tcW w:w="2800" w:type="pct"/>
          </w:tcPr>
          <w:p w14:paraId="6A50549C" w14:textId="77777777" w:rsidR="00534728" w:rsidRPr="0073276D" w:rsidRDefault="00534728" w:rsidP="00707A8A">
            <w:pPr>
              <w:ind w:left="80"/>
            </w:pPr>
            <w:r w:rsidRPr="0073276D">
              <w:t>Family distress</w:t>
            </w:r>
          </w:p>
        </w:tc>
        <w:tc>
          <w:tcPr>
            <w:tcW w:w="1104" w:type="pct"/>
          </w:tcPr>
          <w:p w14:paraId="26CAC734" w14:textId="77777777" w:rsidR="00534728" w:rsidRPr="0073276D" w:rsidRDefault="00534728" w:rsidP="00707A8A">
            <w:r>
              <w:t>0.86</w:t>
            </w:r>
          </w:p>
        </w:tc>
        <w:tc>
          <w:tcPr>
            <w:tcW w:w="1096" w:type="pct"/>
          </w:tcPr>
          <w:p w14:paraId="4C48EA42" w14:textId="77777777" w:rsidR="00534728" w:rsidRPr="0073276D" w:rsidRDefault="00534728" w:rsidP="00707A8A">
            <w:r>
              <w:t>0.81</w:t>
            </w:r>
          </w:p>
        </w:tc>
      </w:tr>
      <w:tr w:rsidR="00534728" w:rsidRPr="0022526C" w14:paraId="53E024F4" w14:textId="77777777" w:rsidTr="00707A8A">
        <w:trPr>
          <w:trHeight w:val="314"/>
        </w:trPr>
        <w:tc>
          <w:tcPr>
            <w:tcW w:w="2800" w:type="pct"/>
          </w:tcPr>
          <w:p w14:paraId="2586A3AE" w14:textId="77777777" w:rsidR="00534728" w:rsidRPr="0073276D" w:rsidRDefault="00534728" w:rsidP="00707A8A">
            <w:pPr>
              <w:ind w:left="80"/>
            </w:pPr>
            <w:r w:rsidRPr="0073276D">
              <w:t>Student problems</w:t>
            </w:r>
          </w:p>
        </w:tc>
        <w:tc>
          <w:tcPr>
            <w:tcW w:w="1104" w:type="pct"/>
          </w:tcPr>
          <w:p w14:paraId="39422374" w14:textId="77777777" w:rsidR="00534728" w:rsidRPr="0073276D" w:rsidRDefault="00534728" w:rsidP="00707A8A">
            <w:r w:rsidRPr="0073276D">
              <w:t>1.76</w:t>
            </w:r>
          </w:p>
        </w:tc>
        <w:tc>
          <w:tcPr>
            <w:tcW w:w="1096" w:type="pct"/>
          </w:tcPr>
          <w:p w14:paraId="3956D96E" w14:textId="77777777" w:rsidR="00534728" w:rsidRPr="0073276D" w:rsidRDefault="00534728" w:rsidP="00707A8A">
            <w:r w:rsidRPr="0073276D">
              <w:t>0.47</w:t>
            </w:r>
          </w:p>
        </w:tc>
      </w:tr>
      <w:tr w:rsidR="00534728" w:rsidRPr="0022526C" w14:paraId="3EAE1C48" w14:textId="77777777" w:rsidTr="00707A8A">
        <w:trPr>
          <w:trHeight w:val="314"/>
        </w:trPr>
        <w:tc>
          <w:tcPr>
            <w:tcW w:w="2800" w:type="pct"/>
            <w:tcBorders>
              <w:bottom w:val="single" w:sz="4" w:space="0" w:color="auto"/>
            </w:tcBorders>
          </w:tcPr>
          <w:p w14:paraId="58F6963B" w14:textId="77777777" w:rsidR="00534728" w:rsidRPr="0073276D" w:rsidRDefault="00534728" w:rsidP="00707A8A">
            <w:pPr>
              <w:ind w:left="80"/>
            </w:pPr>
            <w:r w:rsidRPr="0073276D">
              <w:t>Social problems</w:t>
            </w:r>
          </w:p>
        </w:tc>
        <w:tc>
          <w:tcPr>
            <w:tcW w:w="1104" w:type="pct"/>
            <w:tcBorders>
              <w:bottom w:val="single" w:sz="4" w:space="0" w:color="auto"/>
            </w:tcBorders>
          </w:tcPr>
          <w:p w14:paraId="06EE3D5D" w14:textId="77777777" w:rsidR="00534728" w:rsidRPr="0073276D" w:rsidRDefault="00534728" w:rsidP="00707A8A">
            <w:r w:rsidRPr="0073276D">
              <w:t>2.10</w:t>
            </w:r>
          </w:p>
        </w:tc>
        <w:tc>
          <w:tcPr>
            <w:tcW w:w="1096" w:type="pct"/>
            <w:tcBorders>
              <w:bottom w:val="single" w:sz="4" w:space="0" w:color="auto"/>
            </w:tcBorders>
          </w:tcPr>
          <w:p w14:paraId="7CB4C9C9" w14:textId="77777777" w:rsidR="00534728" w:rsidRPr="0073276D" w:rsidRDefault="00534728" w:rsidP="00707A8A">
            <w:r w:rsidRPr="0073276D">
              <w:t>0.56</w:t>
            </w:r>
          </w:p>
        </w:tc>
      </w:tr>
    </w:tbl>
    <w:p w14:paraId="387FBE2A" w14:textId="77777777" w:rsidR="00534728" w:rsidRPr="00517525" w:rsidRDefault="00534728" w:rsidP="00534728">
      <w:r w:rsidRPr="00FE21E4">
        <w:rPr>
          <w:i/>
        </w:rPr>
        <w:t xml:space="preserve">Note: </w:t>
      </w:r>
      <w:r>
        <w:t>D</w:t>
      </w:r>
      <w:r w:rsidRPr="00FE21E4">
        <w:t>escriptive statistics are for variables before transformation.</w:t>
      </w:r>
    </w:p>
    <w:p w14:paraId="17AF1A17" w14:textId="77777777" w:rsidR="00534728" w:rsidRDefault="00534728" w:rsidP="00534728"/>
    <w:p w14:paraId="103CC113" w14:textId="3388AD1D" w:rsidR="00534728" w:rsidRDefault="00534728">
      <w:r>
        <w:br w:type="page"/>
      </w:r>
    </w:p>
    <w:p w14:paraId="5DD17C60" w14:textId="77777777" w:rsidR="00E42813" w:rsidRDefault="00E42813" w:rsidP="00E42813">
      <w:pPr>
        <w:outlineLvl w:val="0"/>
        <w:rPr>
          <w:i/>
        </w:rPr>
      </w:pPr>
      <w:r w:rsidRPr="00714416">
        <w:rPr>
          <w:i/>
        </w:rPr>
        <w:lastRenderedPageBreak/>
        <w:t>Table 2. Correlations and Z-tests comparing correlation coefficients</w:t>
      </w:r>
    </w:p>
    <w:p w14:paraId="489D62B7" w14:textId="77777777" w:rsidR="00E42813" w:rsidRPr="00714416" w:rsidRDefault="00E42813" w:rsidP="00E42813">
      <w:pPr>
        <w:outlineLvl w:val="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530"/>
        <w:gridCol w:w="1530"/>
        <w:gridCol w:w="1080"/>
        <w:gridCol w:w="243"/>
        <w:gridCol w:w="567"/>
        <w:gridCol w:w="229"/>
        <w:gridCol w:w="204"/>
        <w:gridCol w:w="863"/>
      </w:tblGrid>
      <w:tr w:rsidR="00E42813" w14:paraId="7E7747B6" w14:textId="77777777" w:rsidTr="00707A8A">
        <w:trPr>
          <w:gridAfter w:val="2"/>
          <w:wAfter w:w="1067" w:type="dxa"/>
          <w:trHeight w:val="305"/>
        </w:trPr>
        <w:tc>
          <w:tcPr>
            <w:tcW w:w="2610" w:type="dxa"/>
            <w:tcBorders>
              <w:top w:val="single" w:sz="4" w:space="0" w:color="auto"/>
            </w:tcBorders>
          </w:tcPr>
          <w:p w14:paraId="58E0D946" w14:textId="77777777" w:rsidR="00E42813" w:rsidRDefault="00E42813" w:rsidP="00707A8A"/>
        </w:tc>
        <w:tc>
          <w:tcPr>
            <w:tcW w:w="1530" w:type="dxa"/>
            <w:tcBorders>
              <w:top w:val="single" w:sz="4" w:space="0" w:color="auto"/>
            </w:tcBorders>
          </w:tcPr>
          <w:p w14:paraId="44FC479E" w14:textId="77777777" w:rsidR="00E42813" w:rsidRDefault="00E42813" w:rsidP="00707A8A">
            <w:r>
              <w:t>Fusion</w:t>
            </w:r>
          </w:p>
        </w:tc>
        <w:tc>
          <w:tcPr>
            <w:tcW w:w="2610" w:type="dxa"/>
            <w:gridSpan w:val="2"/>
            <w:tcBorders>
              <w:top w:val="single" w:sz="4" w:space="0" w:color="auto"/>
            </w:tcBorders>
          </w:tcPr>
          <w:p w14:paraId="1D545589" w14:textId="77777777" w:rsidR="00E42813" w:rsidRDefault="00E42813" w:rsidP="00707A8A">
            <w:r>
              <w:t>Reappraisal</w:t>
            </w:r>
          </w:p>
        </w:tc>
        <w:tc>
          <w:tcPr>
            <w:tcW w:w="243" w:type="dxa"/>
            <w:tcBorders>
              <w:top w:val="single" w:sz="4" w:space="0" w:color="auto"/>
            </w:tcBorders>
          </w:tcPr>
          <w:p w14:paraId="47623A24" w14:textId="77777777" w:rsidR="00E42813" w:rsidRDefault="00E42813" w:rsidP="00707A8A"/>
        </w:tc>
        <w:tc>
          <w:tcPr>
            <w:tcW w:w="796" w:type="dxa"/>
            <w:gridSpan w:val="2"/>
            <w:tcBorders>
              <w:top w:val="single" w:sz="4" w:space="0" w:color="auto"/>
            </w:tcBorders>
          </w:tcPr>
          <w:p w14:paraId="1E5D5AF6" w14:textId="77777777" w:rsidR="00E42813" w:rsidRDefault="00E42813" w:rsidP="00707A8A">
            <w:pPr>
              <w:rPr>
                <w:i/>
              </w:rPr>
            </w:pPr>
          </w:p>
        </w:tc>
      </w:tr>
      <w:tr w:rsidR="00E42813" w14:paraId="27352748" w14:textId="77777777" w:rsidTr="00707A8A">
        <w:trPr>
          <w:trHeight w:val="333"/>
        </w:trPr>
        <w:tc>
          <w:tcPr>
            <w:tcW w:w="2610" w:type="dxa"/>
            <w:tcBorders>
              <w:bottom w:val="single" w:sz="4" w:space="0" w:color="auto"/>
            </w:tcBorders>
          </w:tcPr>
          <w:p w14:paraId="410701BC" w14:textId="77777777" w:rsidR="00E42813" w:rsidRDefault="00E42813" w:rsidP="00707A8A">
            <w:r>
              <w:t>Outcome</w:t>
            </w:r>
          </w:p>
        </w:tc>
        <w:tc>
          <w:tcPr>
            <w:tcW w:w="1530" w:type="dxa"/>
            <w:tcBorders>
              <w:bottom w:val="single" w:sz="4" w:space="0" w:color="auto"/>
            </w:tcBorders>
          </w:tcPr>
          <w:p w14:paraId="44DA6370" w14:textId="77777777" w:rsidR="00E42813" w:rsidRPr="008355B7" w:rsidRDefault="00E42813" w:rsidP="00707A8A">
            <w:r>
              <w:rPr>
                <w:i/>
              </w:rPr>
              <w:t>r</w:t>
            </w:r>
          </w:p>
        </w:tc>
        <w:tc>
          <w:tcPr>
            <w:tcW w:w="1530" w:type="dxa"/>
            <w:tcBorders>
              <w:bottom w:val="single" w:sz="4" w:space="0" w:color="auto"/>
            </w:tcBorders>
          </w:tcPr>
          <w:p w14:paraId="092586E0" w14:textId="77777777" w:rsidR="00E42813" w:rsidRDefault="00E42813" w:rsidP="00707A8A">
            <w:pPr>
              <w:rPr>
                <w:i/>
              </w:rPr>
            </w:pPr>
            <w:r>
              <w:rPr>
                <w:i/>
              </w:rPr>
              <w:t>r</w:t>
            </w:r>
          </w:p>
        </w:tc>
        <w:tc>
          <w:tcPr>
            <w:tcW w:w="1080" w:type="dxa"/>
            <w:tcBorders>
              <w:bottom w:val="single" w:sz="4" w:space="0" w:color="auto"/>
            </w:tcBorders>
          </w:tcPr>
          <w:p w14:paraId="7FB3E1EA" w14:textId="77777777" w:rsidR="00E42813" w:rsidRPr="008355B7" w:rsidRDefault="00E42813" w:rsidP="00707A8A">
            <w:r>
              <w:rPr>
                <w:i/>
              </w:rPr>
              <w:t>Z</w:t>
            </w:r>
          </w:p>
        </w:tc>
        <w:tc>
          <w:tcPr>
            <w:tcW w:w="810" w:type="dxa"/>
            <w:gridSpan w:val="2"/>
            <w:tcBorders>
              <w:bottom w:val="single" w:sz="4" w:space="0" w:color="auto"/>
            </w:tcBorders>
          </w:tcPr>
          <w:p w14:paraId="32EEC419" w14:textId="77777777" w:rsidR="00E42813" w:rsidRPr="004D202B" w:rsidRDefault="00E42813" w:rsidP="00707A8A">
            <w:pPr>
              <w:rPr>
                <w:i/>
              </w:rPr>
            </w:pPr>
          </w:p>
        </w:tc>
        <w:tc>
          <w:tcPr>
            <w:tcW w:w="433" w:type="dxa"/>
            <w:gridSpan w:val="2"/>
            <w:tcBorders>
              <w:bottom w:val="single" w:sz="4" w:space="0" w:color="auto"/>
            </w:tcBorders>
          </w:tcPr>
          <w:p w14:paraId="0CE5B0C0" w14:textId="77777777" w:rsidR="00E42813" w:rsidRDefault="00E42813" w:rsidP="00707A8A"/>
        </w:tc>
        <w:tc>
          <w:tcPr>
            <w:tcW w:w="863" w:type="dxa"/>
            <w:tcBorders>
              <w:bottom w:val="single" w:sz="4" w:space="0" w:color="auto"/>
            </w:tcBorders>
          </w:tcPr>
          <w:p w14:paraId="62BA7C08" w14:textId="77777777" w:rsidR="00E42813" w:rsidRPr="008355B7" w:rsidRDefault="00E42813" w:rsidP="00707A8A"/>
        </w:tc>
      </w:tr>
      <w:tr w:rsidR="00E42813" w14:paraId="5600D5C1" w14:textId="77777777" w:rsidTr="00707A8A">
        <w:trPr>
          <w:gridAfter w:val="5"/>
          <w:wAfter w:w="2106" w:type="dxa"/>
          <w:trHeight w:val="305"/>
        </w:trPr>
        <w:tc>
          <w:tcPr>
            <w:tcW w:w="2610" w:type="dxa"/>
            <w:tcBorders>
              <w:top w:val="single" w:sz="4" w:space="0" w:color="auto"/>
            </w:tcBorders>
          </w:tcPr>
          <w:p w14:paraId="3D30CFF8" w14:textId="77777777" w:rsidR="00E42813" w:rsidRDefault="00E42813" w:rsidP="00707A8A">
            <w:r>
              <w:t>Rumination</w:t>
            </w:r>
          </w:p>
        </w:tc>
        <w:tc>
          <w:tcPr>
            <w:tcW w:w="1530" w:type="dxa"/>
            <w:tcBorders>
              <w:top w:val="single" w:sz="4" w:space="0" w:color="auto"/>
            </w:tcBorders>
          </w:tcPr>
          <w:p w14:paraId="14A73CA1" w14:textId="77777777" w:rsidR="00E42813" w:rsidRDefault="00E42813" w:rsidP="00707A8A">
            <w:r>
              <w:t>.69***</w:t>
            </w:r>
          </w:p>
        </w:tc>
        <w:tc>
          <w:tcPr>
            <w:tcW w:w="1530" w:type="dxa"/>
            <w:tcBorders>
              <w:top w:val="single" w:sz="4" w:space="0" w:color="auto"/>
            </w:tcBorders>
          </w:tcPr>
          <w:p w14:paraId="6ECDB6AA" w14:textId="77777777" w:rsidR="00E42813" w:rsidRDefault="00E42813" w:rsidP="00707A8A">
            <w:r>
              <w:t>-.22***</w:t>
            </w:r>
          </w:p>
        </w:tc>
        <w:tc>
          <w:tcPr>
            <w:tcW w:w="1080" w:type="dxa"/>
            <w:tcBorders>
              <w:top w:val="single" w:sz="4" w:space="0" w:color="auto"/>
            </w:tcBorders>
          </w:tcPr>
          <w:p w14:paraId="64E59137" w14:textId="77777777" w:rsidR="00E42813" w:rsidRDefault="00E42813" w:rsidP="00707A8A">
            <w:r>
              <w:t>9.01***</w:t>
            </w:r>
          </w:p>
        </w:tc>
      </w:tr>
      <w:tr w:rsidR="00E42813" w14:paraId="7DE5DE29" w14:textId="77777777" w:rsidTr="00707A8A">
        <w:trPr>
          <w:gridAfter w:val="5"/>
          <w:wAfter w:w="2106" w:type="dxa"/>
        </w:trPr>
        <w:tc>
          <w:tcPr>
            <w:tcW w:w="2610" w:type="dxa"/>
          </w:tcPr>
          <w:p w14:paraId="791520BB" w14:textId="77777777" w:rsidR="00E42813" w:rsidRDefault="00E42813" w:rsidP="00707A8A">
            <w:r>
              <w:t>Distress</w:t>
            </w:r>
          </w:p>
        </w:tc>
        <w:tc>
          <w:tcPr>
            <w:tcW w:w="1530" w:type="dxa"/>
          </w:tcPr>
          <w:p w14:paraId="3A959B0C" w14:textId="77777777" w:rsidR="00E42813" w:rsidRDefault="00E42813" w:rsidP="00707A8A">
            <w:r>
              <w:t>.77***</w:t>
            </w:r>
          </w:p>
        </w:tc>
        <w:tc>
          <w:tcPr>
            <w:tcW w:w="1530" w:type="dxa"/>
          </w:tcPr>
          <w:p w14:paraId="1869F19B" w14:textId="77777777" w:rsidR="00E42813" w:rsidRDefault="00E42813" w:rsidP="00707A8A">
            <w:r>
              <w:t>-.39***</w:t>
            </w:r>
          </w:p>
        </w:tc>
        <w:tc>
          <w:tcPr>
            <w:tcW w:w="1080" w:type="dxa"/>
          </w:tcPr>
          <w:p w14:paraId="33667D68" w14:textId="77777777" w:rsidR="00E42813" w:rsidRDefault="00E42813" w:rsidP="00707A8A">
            <w:r>
              <w:t>8.62***</w:t>
            </w:r>
          </w:p>
        </w:tc>
      </w:tr>
      <w:tr w:rsidR="00E42813" w14:paraId="2D24E50B" w14:textId="77777777" w:rsidTr="00707A8A">
        <w:trPr>
          <w:gridAfter w:val="5"/>
          <w:wAfter w:w="2106" w:type="dxa"/>
        </w:trPr>
        <w:tc>
          <w:tcPr>
            <w:tcW w:w="2610" w:type="dxa"/>
          </w:tcPr>
          <w:p w14:paraId="7688D3DC" w14:textId="77777777" w:rsidR="00E42813" w:rsidRDefault="00E42813" w:rsidP="00707A8A">
            <w:r>
              <w:t>Depression</w:t>
            </w:r>
          </w:p>
        </w:tc>
        <w:tc>
          <w:tcPr>
            <w:tcW w:w="1530" w:type="dxa"/>
          </w:tcPr>
          <w:p w14:paraId="7A34A09F" w14:textId="77777777" w:rsidR="00E42813" w:rsidRDefault="00E42813" w:rsidP="00707A8A">
            <w:r>
              <w:t>.72***</w:t>
            </w:r>
          </w:p>
        </w:tc>
        <w:tc>
          <w:tcPr>
            <w:tcW w:w="1530" w:type="dxa"/>
          </w:tcPr>
          <w:p w14:paraId="5002DDC9" w14:textId="77777777" w:rsidR="00E42813" w:rsidRDefault="00E42813" w:rsidP="00707A8A">
            <w:r>
              <w:t>-.35***</w:t>
            </w:r>
          </w:p>
        </w:tc>
        <w:tc>
          <w:tcPr>
            <w:tcW w:w="1080" w:type="dxa"/>
          </w:tcPr>
          <w:p w14:paraId="190342C3" w14:textId="77777777" w:rsidR="00E42813" w:rsidRDefault="00E42813" w:rsidP="00707A8A">
            <w:r>
              <w:t>7.65***</w:t>
            </w:r>
          </w:p>
        </w:tc>
      </w:tr>
      <w:tr w:rsidR="00E42813" w14:paraId="0EEC38BD" w14:textId="77777777" w:rsidTr="00707A8A">
        <w:trPr>
          <w:gridAfter w:val="5"/>
          <w:wAfter w:w="2106" w:type="dxa"/>
          <w:trHeight w:val="297"/>
        </w:trPr>
        <w:tc>
          <w:tcPr>
            <w:tcW w:w="2610" w:type="dxa"/>
          </w:tcPr>
          <w:p w14:paraId="7B73A54B" w14:textId="77777777" w:rsidR="00E42813" w:rsidRDefault="00E42813" w:rsidP="00707A8A">
            <w:r>
              <w:t>Gen. anxiety</w:t>
            </w:r>
          </w:p>
        </w:tc>
        <w:tc>
          <w:tcPr>
            <w:tcW w:w="1530" w:type="dxa"/>
          </w:tcPr>
          <w:p w14:paraId="1E992755" w14:textId="77777777" w:rsidR="00E42813" w:rsidRDefault="00E42813" w:rsidP="00707A8A">
            <w:r>
              <w:t>.69***</w:t>
            </w:r>
          </w:p>
        </w:tc>
        <w:tc>
          <w:tcPr>
            <w:tcW w:w="1530" w:type="dxa"/>
          </w:tcPr>
          <w:p w14:paraId="7486AFBB" w14:textId="77777777" w:rsidR="00E42813" w:rsidRDefault="00E42813" w:rsidP="00707A8A">
            <w:r>
              <w:t>-.31***</w:t>
            </w:r>
          </w:p>
        </w:tc>
        <w:tc>
          <w:tcPr>
            <w:tcW w:w="1080" w:type="dxa"/>
          </w:tcPr>
          <w:p w14:paraId="6E10A08D" w14:textId="77777777" w:rsidR="00E42813" w:rsidRDefault="00E42813" w:rsidP="00707A8A">
            <w:r>
              <w:t>7.85***</w:t>
            </w:r>
          </w:p>
        </w:tc>
      </w:tr>
      <w:tr w:rsidR="00E42813" w14:paraId="0B83F903" w14:textId="77777777" w:rsidTr="00707A8A">
        <w:trPr>
          <w:gridAfter w:val="5"/>
          <w:wAfter w:w="2106" w:type="dxa"/>
          <w:trHeight w:val="360"/>
        </w:trPr>
        <w:tc>
          <w:tcPr>
            <w:tcW w:w="2610" w:type="dxa"/>
          </w:tcPr>
          <w:p w14:paraId="17495359" w14:textId="77777777" w:rsidR="00E42813" w:rsidRDefault="00E42813" w:rsidP="00707A8A">
            <w:r>
              <w:t>Soc. anxiety</w:t>
            </w:r>
          </w:p>
        </w:tc>
        <w:tc>
          <w:tcPr>
            <w:tcW w:w="1530" w:type="dxa"/>
          </w:tcPr>
          <w:p w14:paraId="730F4902" w14:textId="77777777" w:rsidR="00E42813" w:rsidRDefault="00E42813" w:rsidP="00707A8A">
            <w:r>
              <w:t>.60***</w:t>
            </w:r>
          </w:p>
        </w:tc>
        <w:tc>
          <w:tcPr>
            <w:tcW w:w="1530" w:type="dxa"/>
          </w:tcPr>
          <w:p w14:paraId="2C70BD1A" w14:textId="77777777" w:rsidR="00E42813" w:rsidRDefault="00E42813" w:rsidP="00707A8A">
            <w:r>
              <w:t>-.28***</w:t>
            </w:r>
          </w:p>
        </w:tc>
        <w:tc>
          <w:tcPr>
            <w:tcW w:w="1080" w:type="dxa"/>
          </w:tcPr>
          <w:p w14:paraId="7C134D28" w14:textId="77777777" w:rsidR="00E42813" w:rsidRDefault="00E42813" w:rsidP="00707A8A">
            <w:r>
              <w:t>5.93***</w:t>
            </w:r>
          </w:p>
        </w:tc>
      </w:tr>
      <w:tr w:rsidR="00E42813" w14:paraId="5D08CF76" w14:textId="77777777" w:rsidTr="00707A8A">
        <w:trPr>
          <w:gridAfter w:val="5"/>
          <w:wAfter w:w="2106" w:type="dxa"/>
        </w:trPr>
        <w:tc>
          <w:tcPr>
            <w:tcW w:w="2610" w:type="dxa"/>
          </w:tcPr>
          <w:p w14:paraId="60F496C5" w14:textId="77777777" w:rsidR="00E42813" w:rsidRDefault="00E42813" w:rsidP="00707A8A">
            <w:r>
              <w:t>Hostility</w:t>
            </w:r>
          </w:p>
        </w:tc>
        <w:tc>
          <w:tcPr>
            <w:tcW w:w="1530" w:type="dxa"/>
          </w:tcPr>
          <w:p w14:paraId="2248E3A0" w14:textId="77777777" w:rsidR="00E42813" w:rsidRDefault="00E42813" w:rsidP="00707A8A">
            <w:r>
              <w:t>.45***</w:t>
            </w:r>
          </w:p>
        </w:tc>
        <w:tc>
          <w:tcPr>
            <w:tcW w:w="1530" w:type="dxa"/>
          </w:tcPr>
          <w:p w14:paraId="615145B8" w14:textId="77777777" w:rsidR="00E42813" w:rsidRDefault="00E42813" w:rsidP="00707A8A">
            <w:r>
              <w:t>-.28***</w:t>
            </w:r>
          </w:p>
        </w:tc>
        <w:tc>
          <w:tcPr>
            <w:tcW w:w="1080" w:type="dxa"/>
          </w:tcPr>
          <w:p w14:paraId="05EC8076" w14:textId="77777777" w:rsidR="00E42813" w:rsidRDefault="00E42813" w:rsidP="00707A8A">
            <w:r>
              <w:t>3.07**</w:t>
            </w:r>
          </w:p>
        </w:tc>
      </w:tr>
      <w:tr w:rsidR="00E42813" w14:paraId="6FF4440C" w14:textId="77777777" w:rsidTr="00707A8A">
        <w:trPr>
          <w:gridAfter w:val="5"/>
          <w:wAfter w:w="2106" w:type="dxa"/>
        </w:trPr>
        <w:tc>
          <w:tcPr>
            <w:tcW w:w="2610" w:type="dxa"/>
          </w:tcPr>
          <w:p w14:paraId="360BBC3B" w14:textId="77777777" w:rsidR="00E42813" w:rsidRDefault="00E42813" w:rsidP="00707A8A">
            <w:r>
              <w:t>Eating problems</w:t>
            </w:r>
          </w:p>
        </w:tc>
        <w:tc>
          <w:tcPr>
            <w:tcW w:w="1530" w:type="dxa"/>
          </w:tcPr>
          <w:p w14:paraId="7B40FF84" w14:textId="77777777" w:rsidR="00E42813" w:rsidRDefault="00E42813" w:rsidP="00707A8A">
            <w:r>
              <w:t>.42***</w:t>
            </w:r>
          </w:p>
        </w:tc>
        <w:tc>
          <w:tcPr>
            <w:tcW w:w="1530" w:type="dxa"/>
          </w:tcPr>
          <w:p w14:paraId="0797743A" w14:textId="77777777" w:rsidR="00E42813" w:rsidRDefault="00E42813" w:rsidP="00707A8A">
            <w:r>
              <w:t>-.13*</w:t>
            </w:r>
          </w:p>
        </w:tc>
        <w:tc>
          <w:tcPr>
            <w:tcW w:w="1080" w:type="dxa"/>
          </w:tcPr>
          <w:p w14:paraId="58527F8E" w14:textId="77777777" w:rsidR="00E42813" w:rsidRDefault="00E42813" w:rsidP="00707A8A">
            <w:r>
              <w:t>4.88***</w:t>
            </w:r>
          </w:p>
        </w:tc>
      </w:tr>
      <w:tr w:rsidR="00E42813" w14:paraId="2D225B96" w14:textId="77777777" w:rsidTr="00707A8A">
        <w:trPr>
          <w:gridAfter w:val="5"/>
          <w:wAfter w:w="2106" w:type="dxa"/>
        </w:trPr>
        <w:tc>
          <w:tcPr>
            <w:tcW w:w="2610" w:type="dxa"/>
          </w:tcPr>
          <w:p w14:paraId="08E37BEB" w14:textId="77777777" w:rsidR="00E42813" w:rsidRDefault="00E42813" w:rsidP="00707A8A">
            <w:r>
              <w:t>Academic distress</w:t>
            </w:r>
          </w:p>
        </w:tc>
        <w:tc>
          <w:tcPr>
            <w:tcW w:w="1530" w:type="dxa"/>
          </w:tcPr>
          <w:p w14:paraId="1A15AE15" w14:textId="77777777" w:rsidR="00E42813" w:rsidRDefault="00E42813" w:rsidP="00707A8A">
            <w:r>
              <w:t>.54***</w:t>
            </w:r>
          </w:p>
        </w:tc>
        <w:tc>
          <w:tcPr>
            <w:tcW w:w="1530" w:type="dxa"/>
          </w:tcPr>
          <w:p w14:paraId="4CC40896" w14:textId="77777777" w:rsidR="00E42813" w:rsidRDefault="00E42813" w:rsidP="00707A8A">
            <w:r>
              <w:t>-.36***</w:t>
            </w:r>
          </w:p>
        </w:tc>
        <w:tc>
          <w:tcPr>
            <w:tcW w:w="1080" w:type="dxa"/>
          </w:tcPr>
          <w:p w14:paraId="178A3BBC" w14:textId="77777777" w:rsidR="00E42813" w:rsidRDefault="00E42813" w:rsidP="00707A8A">
            <w:r>
              <w:t>3.33***</w:t>
            </w:r>
          </w:p>
        </w:tc>
      </w:tr>
      <w:tr w:rsidR="00E42813" w14:paraId="04DAFB77" w14:textId="77777777" w:rsidTr="00707A8A">
        <w:trPr>
          <w:gridAfter w:val="5"/>
          <w:wAfter w:w="2106" w:type="dxa"/>
        </w:trPr>
        <w:tc>
          <w:tcPr>
            <w:tcW w:w="2610" w:type="dxa"/>
          </w:tcPr>
          <w:p w14:paraId="1A205D7D" w14:textId="77777777" w:rsidR="00E42813" w:rsidRDefault="00E42813" w:rsidP="00707A8A">
            <w:r>
              <w:t>Family distress</w:t>
            </w:r>
          </w:p>
        </w:tc>
        <w:tc>
          <w:tcPr>
            <w:tcW w:w="1530" w:type="dxa"/>
          </w:tcPr>
          <w:p w14:paraId="66AF4FA3" w14:textId="77777777" w:rsidR="00E42813" w:rsidRDefault="00E42813" w:rsidP="00707A8A">
            <w:r>
              <w:t>.46***</w:t>
            </w:r>
          </w:p>
        </w:tc>
        <w:tc>
          <w:tcPr>
            <w:tcW w:w="1530" w:type="dxa"/>
          </w:tcPr>
          <w:p w14:paraId="6E8F0823" w14:textId="77777777" w:rsidR="00E42813" w:rsidRDefault="00E42813" w:rsidP="00707A8A">
            <w:r>
              <w:t>-.26***</w:t>
            </w:r>
          </w:p>
        </w:tc>
        <w:tc>
          <w:tcPr>
            <w:tcW w:w="1080" w:type="dxa"/>
          </w:tcPr>
          <w:p w14:paraId="00382473" w14:textId="77777777" w:rsidR="00E42813" w:rsidRDefault="00E42813" w:rsidP="00707A8A">
            <w:r>
              <w:t>3.38***</w:t>
            </w:r>
          </w:p>
        </w:tc>
      </w:tr>
      <w:tr w:rsidR="00E42813" w14:paraId="71012C47" w14:textId="77777777" w:rsidTr="00707A8A">
        <w:trPr>
          <w:gridAfter w:val="5"/>
          <w:wAfter w:w="2106" w:type="dxa"/>
        </w:trPr>
        <w:tc>
          <w:tcPr>
            <w:tcW w:w="2610" w:type="dxa"/>
          </w:tcPr>
          <w:p w14:paraId="5FEDB3BC" w14:textId="77777777" w:rsidR="00E42813" w:rsidRDefault="00E42813" w:rsidP="00707A8A">
            <w:r>
              <w:t>Student role problems</w:t>
            </w:r>
          </w:p>
        </w:tc>
        <w:tc>
          <w:tcPr>
            <w:tcW w:w="1530" w:type="dxa"/>
          </w:tcPr>
          <w:p w14:paraId="3D1521A7" w14:textId="77777777" w:rsidR="00E42813" w:rsidRDefault="00E42813" w:rsidP="00707A8A">
            <w:r>
              <w:t>.38***</w:t>
            </w:r>
          </w:p>
        </w:tc>
        <w:tc>
          <w:tcPr>
            <w:tcW w:w="1530" w:type="dxa"/>
          </w:tcPr>
          <w:p w14:paraId="6EB8DC02" w14:textId="77777777" w:rsidR="00E42813" w:rsidRDefault="00E42813" w:rsidP="00707A8A">
            <w:r>
              <w:t>-.34***</w:t>
            </w:r>
          </w:p>
        </w:tc>
        <w:tc>
          <w:tcPr>
            <w:tcW w:w="1080" w:type="dxa"/>
          </w:tcPr>
          <w:p w14:paraId="44DD187C" w14:textId="77777777" w:rsidR="00E42813" w:rsidRDefault="00E42813" w:rsidP="00707A8A">
            <w:r>
              <w:t>0.72</w:t>
            </w:r>
          </w:p>
        </w:tc>
      </w:tr>
      <w:tr w:rsidR="00E42813" w14:paraId="48A11AD3" w14:textId="77777777" w:rsidTr="00707A8A">
        <w:trPr>
          <w:gridAfter w:val="5"/>
          <w:wAfter w:w="2106" w:type="dxa"/>
        </w:trPr>
        <w:tc>
          <w:tcPr>
            <w:tcW w:w="2610" w:type="dxa"/>
            <w:tcBorders>
              <w:bottom w:val="single" w:sz="4" w:space="0" w:color="auto"/>
            </w:tcBorders>
          </w:tcPr>
          <w:p w14:paraId="550C9AD3" w14:textId="77777777" w:rsidR="00E42813" w:rsidRDefault="00E42813" w:rsidP="00707A8A">
            <w:r>
              <w:t>Social/leisure problems</w:t>
            </w:r>
          </w:p>
        </w:tc>
        <w:tc>
          <w:tcPr>
            <w:tcW w:w="1530" w:type="dxa"/>
            <w:tcBorders>
              <w:bottom w:val="single" w:sz="4" w:space="0" w:color="auto"/>
            </w:tcBorders>
          </w:tcPr>
          <w:p w14:paraId="5F9C7461" w14:textId="77777777" w:rsidR="00E42813" w:rsidRDefault="00E42813" w:rsidP="00707A8A">
            <w:r>
              <w:t>.63***</w:t>
            </w:r>
          </w:p>
        </w:tc>
        <w:tc>
          <w:tcPr>
            <w:tcW w:w="1530" w:type="dxa"/>
            <w:tcBorders>
              <w:bottom w:val="single" w:sz="4" w:space="0" w:color="auto"/>
            </w:tcBorders>
          </w:tcPr>
          <w:p w14:paraId="1029A461" w14:textId="77777777" w:rsidR="00E42813" w:rsidRDefault="00E42813" w:rsidP="00707A8A">
            <w:r>
              <w:t>-.35***</w:t>
            </w:r>
          </w:p>
        </w:tc>
        <w:tc>
          <w:tcPr>
            <w:tcW w:w="1080" w:type="dxa"/>
            <w:tcBorders>
              <w:bottom w:val="single" w:sz="4" w:space="0" w:color="auto"/>
            </w:tcBorders>
          </w:tcPr>
          <w:p w14:paraId="2893C95F" w14:textId="77777777" w:rsidR="00E42813" w:rsidRDefault="00E42813" w:rsidP="00707A8A">
            <w:r>
              <w:t>5.46***</w:t>
            </w:r>
          </w:p>
        </w:tc>
      </w:tr>
    </w:tbl>
    <w:p w14:paraId="678EFE45" w14:textId="77777777" w:rsidR="00E42813" w:rsidRPr="00293664" w:rsidRDefault="00E42813" w:rsidP="00E42813">
      <w:r w:rsidRPr="00293664">
        <w:t>*</w:t>
      </w:r>
      <w:r w:rsidRPr="00293664">
        <w:rPr>
          <w:i/>
          <w:iCs/>
        </w:rPr>
        <w:t xml:space="preserve">p </w:t>
      </w:r>
      <w:r w:rsidRPr="00293664">
        <w:t>&lt; .05; **</w:t>
      </w:r>
      <w:r w:rsidRPr="00293664">
        <w:rPr>
          <w:i/>
          <w:iCs/>
        </w:rPr>
        <w:t xml:space="preserve">p </w:t>
      </w:r>
      <w:r w:rsidRPr="00293664">
        <w:t>&lt; .01; ***</w:t>
      </w:r>
      <w:r w:rsidRPr="00293664">
        <w:rPr>
          <w:i/>
          <w:iCs/>
        </w:rPr>
        <w:t xml:space="preserve">p </w:t>
      </w:r>
      <w:r w:rsidRPr="00293664">
        <w:t>&lt; .001.</w:t>
      </w:r>
    </w:p>
    <w:p w14:paraId="1D65F353" w14:textId="73BD934D" w:rsidR="00E42813" w:rsidRDefault="00E42813">
      <w:r>
        <w:br w:type="page"/>
      </w:r>
    </w:p>
    <w:p w14:paraId="6EE75AF9" w14:textId="77777777" w:rsidR="00E42813" w:rsidRPr="0044600C" w:rsidRDefault="00E42813" w:rsidP="00E42813">
      <w:pPr>
        <w:outlineLvl w:val="0"/>
        <w:rPr>
          <w:i/>
        </w:rPr>
      </w:pPr>
      <w:r w:rsidRPr="0044600C">
        <w:rPr>
          <w:i/>
        </w:rPr>
        <w:lastRenderedPageBreak/>
        <w:t>Table 3. Hierarchical linear regression models predicting outcomes at follow-up</w:t>
      </w:r>
    </w:p>
    <w:p w14:paraId="3C99E271" w14:textId="77777777" w:rsidR="00E42813" w:rsidRPr="00FE21E4" w:rsidRDefault="00E42813" w:rsidP="00E428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2037"/>
        <w:gridCol w:w="1010"/>
        <w:gridCol w:w="1147"/>
        <w:gridCol w:w="1174"/>
        <w:gridCol w:w="941"/>
        <w:gridCol w:w="1321"/>
        <w:gridCol w:w="1059"/>
      </w:tblGrid>
      <w:tr w:rsidR="00E42813" w:rsidRPr="00FE21E4" w14:paraId="5460BAC5" w14:textId="77777777" w:rsidTr="00707A8A">
        <w:tc>
          <w:tcPr>
            <w:tcW w:w="671" w:type="dxa"/>
            <w:tcBorders>
              <w:top w:val="single" w:sz="4" w:space="0" w:color="auto"/>
              <w:bottom w:val="single" w:sz="4" w:space="0" w:color="auto"/>
            </w:tcBorders>
          </w:tcPr>
          <w:p w14:paraId="7690D6C0" w14:textId="77777777" w:rsidR="00E42813" w:rsidRPr="00F70017" w:rsidRDefault="00E42813" w:rsidP="00707A8A">
            <w:pPr>
              <w:rPr>
                <w:b/>
              </w:rPr>
            </w:pPr>
            <w:r w:rsidRPr="00F70017">
              <w:rPr>
                <w:b/>
              </w:rPr>
              <w:t>Step</w:t>
            </w:r>
          </w:p>
        </w:tc>
        <w:tc>
          <w:tcPr>
            <w:tcW w:w="2037" w:type="dxa"/>
            <w:tcBorders>
              <w:top w:val="single" w:sz="4" w:space="0" w:color="auto"/>
              <w:bottom w:val="single" w:sz="4" w:space="0" w:color="auto"/>
            </w:tcBorders>
          </w:tcPr>
          <w:p w14:paraId="2D8B6B74" w14:textId="77777777" w:rsidR="00E42813" w:rsidRPr="00F70017" w:rsidRDefault="00E42813" w:rsidP="00707A8A">
            <w:pPr>
              <w:rPr>
                <w:b/>
              </w:rPr>
            </w:pPr>
            <w:r w:rsidRPr="00F70017">
              <w:rPr>
                <w:b/>
              </w:rPr>
              <w:t>Variable</w:t>
            </w:r>
          </w:p>
        </w:tc>
        <w:tc>
          <w:tcPr>
            <w:tcW w:w="1010" w:type="dxa"/>
            <w:tcBorders>
              <w:top w:val="single" w:sz="4" w:space="0" w:color="auto"/>
              <w:bottom w:val="single" w:sz="4" w:space="0" w:color="auto"/>
            </w:tcBorders>
          </w:tcPr>
          <w:p w14:paraId="58A6039A" w14:textId="77777777" w:rsidR="00E42813" w:rsidRPr="00F70017" w:rsidRDefault="00E42813" w:rsidP="00707A8A">
            <w:pPr>
              <w:rPr>
                <w:b/>
              </w:rPr>
            </w:pPr>
            <w:r w:rsidRPr="00F70017">
              <w:rPr>
                <w:b/>
                <w:i/>
              </w:rPr>
              <w:t>ß</w:t>
            </w:r>
          </w:p>
        </w:tc>
        <w:tc>
          <w:tcPr>
            <w:tcW w:w="1147" w:type="dxa"/>
            <w:tcBorders>
              <w:top w:val="single" w:sz="4" w:space="0" w:color="auto"/>
              <w:bottom w:val="single" w:sz="4" w:space="0" w:color="auto"/>
            </w:tcBorders>
          </w:tcPr>
          <w:p w14:paraId="73E50934" w14:textId="77777777" w:rsidR="00E42813" w:rsidRPr="00F70017" w:rsidRDefault="00E42813" w:rsidP="00707A8A">
            <w:pPr>
              <w:rPr>
                <w:b/>
              </w:rPr>
            </w:pPr>
            <w:r w:rsidRPr="00F70017">
              <w:rPr>
                <w:b/>
                <w:i/>
              </w:rPr>
              <w:t>t</w:t>
            </w:r>
          </w:p>
        </w:tc>
        <w:tc>
          <w:tcPr>
            <w:tcW w:w="1174" w:type="dxa"/>
            <w:tcBorders>
              <w:top w:val="single" w:sz="4" w:space="0" w:color="auto"/>
              <w:bottom w:val="single" w:sz="4" w:space="0" w:color="auto"/>
            </w:tcBorders>
          </w:tcPr>
          <w:p w14:paraId="349EFD10" w14:textId="77777777" w:rsidR="00E42813" w:rsidRPr="00F70017" w:rsidRDefault="00E42813" w:rsidP="00707A8A">
            <w:pPr>
              <w:rPr>
                <w:b/>
              </w:rPr>
            </w:pPr>
            <w:r w:rsidRPr="00F70017">
              <w:rPr>
                <w:b/>
                <w:i/>
              </w:rPr>
              <w:t>p</w:t>
            </w:r>
          </w:p>
        </w:tc>
        <w:tc>
          <w:tcPr>
            <w:tcW w:w="941" w:type="dxa"/>
            <w:tcBorders>
              <w:top w:val="single" w:sz="4" w:space="0" w:color="auto"/>
              <w:bottom w:val="single" w:sz="4" w:space="0" w:color="auto"/>
            </w:tcBorders>
          </w:tcPr>
          <w:p w14:paraId="525F1B50" w14:textId="77777777" w:rsidR="00E42813" w:rsidRPr="00F70017" w:rsidRDefault="00E42813" w:rsidP="00707A8A">
            <w:pPr>
              <w:rPr>
                <w:b/>
              </w:rPr>
            </w:pPr>
            <w:r w:rsidRPr="00F70017">
              <w:rPr>
                <w:b/>
              </w:rPr>
              <w:t>R</w:t>
            </w:r>
            <w:r w:rsidRPr="00F70017">
              <w:rPr>
                <w:b/>
                <w:vertAlign w:val="superscript"/>
              </w:rPr>
              <w:t>2</w:t>
            </w:r>
          </w:p>
        </w:tc>
        <w:tc>
          <w:tcPr>
            <w:tcW w:w="1321" w:type="dxa"/>
            <w:tcBorders>
              <w:top w:val="single" w:sz="4" w:space="0" w:color="auto"/>
              <w:bottom w:val="single" w:sz="4" w:space="0" w:color="auto"/>
            </w:tcBorders>
          </w:tcPr>
          <w:p w14:paraId="25A7B75D" w14:textId="77777777" w:rsidR="00E42813" w:rsidRPr="00F70017" w:rsidRDefault="00E42813" w:rsidP="00707A8A">
            <w:pPr>
              <w:rPr>
                <w:b/>
              </w:rPr>
            </w:pPr>
            <w:r w:rsidRPr="00F70017">
              <w:rPr>
                <w:b/>
              </w:rPr>
              <w:t>R</w:t>
            </w:r>
            <w:r w:rsidRPr="00F70017">
              <w:rPr>
                <w:b/>
                <w:vertAlign w:val="superscript"/>
              </w:rPr>
              <w:t>2</w:t>
            </w:r>
            <w:r w:rsidRPr="00F70017">
              <w:rPr>
                <w:b/>
              </w:rPr>
              <w:t xml:space="preserve"> change</w:t>
            </w:r>
          </w:p>
        </w:tc>
        <w:tc>
          <w:tcPr>
            <w:tcW w:w="1059" w:type="dxa"/>
            <w:tcBorders>
              <w:top w:val="single" w:sz="4" w:space="0" w:color="auto"/>
              <w:bottom w:val="single" w:sz="4" w:space="0" w:color="auto"/>
            </w:tcBorders>
          </w:tcPr>
          <w:p w14:paraId="2E322275" w14:textId="77777777" w:rsidR="00E42813" w:rsidRPr="00F70017" w:rsidRDefault="00E42813" w:rsidP="00707A8A">
            <w:pPr>
              <w:rPr>
                <w:b/>
              </w:rPr>
            </w:pPr>
            <w:r w:rsidRPr="00F70017">
              <w:rPr>
                <w:b/>
                <w:i/>
              </w:rPr>
              <w:t>p</w:t>
            </w:r>
          </w:p>
        </w:tc>
      </w:tr>
      <w:tr w:rsidR="00E42813" w:rsidRPr="00FE21E4" w14:paraId="32B6B644" w14:textId="77777777" w:rsidTr="00707A8A">
        <w:tc>
          <w:tcPr>
            <w:tcW w:w="9360" w:type="dxa"/>
            <w:gridSpan w:val="8"/>
            <w:tcBorders>
              <w:top w:val="single" w:sz="4" w:space="0" w:color="auto"/>
              <w:bottom w:val="single" w:sz="4" w:space="0" w:color="auto"/>
            </w:tcBorders>
          </w:tcPr>
          <w:p w14:paraId="1DE9F05C" w14:textId="77777777" w:rsidR="00E42813" w:rsidRPr="00FE21E4" w:rsidRDefault="00E42813" w:rsidP="00707A8A">
            <w:r w:rsidRPr="00FE21E4">
              <w:t xml:space="preserve">Prediction of </w:t>
            </w:r>
            <w:r>
              <w:t xml:space="preserve">T2 </w:t>
            </w:r>
            <w:r w:rsidRPr="00FE21E4">
              <w:t>distress</w:t>
            </w:r>
          </w:p>
        </w:tc>
      </w:tr>
      <w:tr w:rsidR="00E42813" w:rsidRPr="00FE21E4" w14:paraId="3AAE2868" w14:textId="77777777" w:rsidTr="00707A8A">
        <w:tc>
          <w:tcPr>
            <w:tcW w:w="671" w:type="dxa"/>
            <w:tcBorders>
              <w:top w:val="single" w:sz="4" w:space="0" w:color="auto"/>
            </w:tcBorders>
          </w:tcPr>
          <w:p w14:paraId="267B1510" w14:textId="77777777" w:rsidR="00E42813" w:rsidRPr="00FE21E4" w:rsidRDefault="00E42813" w:rsidP="00707A8A">
            <w:r w:rsidRPr="00FE21E4">
              <w:t>1</w:t>
            </w:r>
          </w:p>
        </w:tc>
        <w:tc>
          <w:tcPr>
            <w:tcW w:w="2037" w:type="dxa"/>
            <w:tcBorders>
              <w:top w:val="single" w:sz="4" w:space="0" w:color="auto"/>
            </w:tcBorders>
          </w:tcPr>
          <w:p w14:paraId="5AE3CFCB" w14:textId="77777777" w:rsidR="00E42813" w:rsidRPr="00FE21E4" w:rsidRDefault="00E42813" w:rsidP="00707A8A">
            <w:r>
              <w:t>T1 d</w:t>
            </w:r>
            <w:r w:rsidRPr="00FE21E4">
              <w:t xml:space="preserve">istress </w:t>
            </w:r>
          </w:p>
        </w:tc>
        <w:tc>
          <w:tcPr>
            <w:tcW w:w="1010" w:type="dxa"/>
            <w:tcBorders>
              <w:top w:val="single" w:sz="4" w:space="0" w:color="auto"/>
            </w:tcBorders>
          </w:tcPr>
          <w:p w14:paraId="70A7756F" w14:textId="77777777" w:rsidR="00E42813" w:rsidRPr="00FE21E4" w:rsidRDefault="00E42813" w:rsidP="00707A8A">
            <w:r>
              <w:t>.796</w:t>
            </w:r>
          </w:p>
        </w:tc>
        <w:tc>
          <w:tcPr>
            <w:tcW w:w="1147" w:type="dxa"/>
            <w:tcBorders>
              <w:top w:val="single" w:sz="4" w:space="0" w:color="auto"/>
            </w:tcBorders>
          </w:tcPr>
          <w:p w14:paraId="63512998" w14:textId="77777777" w:rsidR="00E42813" w:rsidRPr="00FE21E4" w:rsidRDefault="00E42813" w:rsidP="00707A8A">
            <w:r>
              <w:t>22.55</w:t>
            </w:r>
          </w:p>
        </w:tc>
        <w:tc>
          <w:tcPr>
            <w:tcW w:w="1174" w:type="dxa"/>
            <w:tcBorders>
              <w:top w:val="single" w:sz="4" w:space="0" w:color="auto"/>
            </w:tcBorders>
          </w:tcPr>
          <w:p w14:paraId="3BB5993D" w14:textId="77777777" w:rsidR="00E42813" w:rsidRPr="00FE21E4" w:rsidRDefault="00E42813" w:rsidP="00707A8A">
            <w:r>
              <w:t>&lt;.001</w:t>
            </w:r>
          </w:p>
        </w:tc>
        <w:tc>
          <w:tcPr>
            <w:tcW w:w="941" w:type="dxa"/>
            <w:tcBorders>
              <w:top w:val="single" w:sz="4" w:space="0" w:color="auto"/>
            </w:tcBorders>
          </w:tcPr>
          <w:p w14:paraId="40C49E04" w14:textId="77777777" w:rsidR="00E42813" w:rsidRPr="00FE21E4" w:rsidRDefault="00E42813" w:rsidP="00707A8A">
            <w:r>
              <w:t>.634</w:t>
            </w:r>
          </w:p>
        </w:tc>
        <w:tc>
          <w:tcPr>
            <w:tcW w:w="1321" w:type="dxa"/>
            <w:tcBorders>
              <w:top w:val="single" w:sz="4" w:space="0" w:color="auto"/>
            </w:tcBorders>
          </w:tcPr>
          <w:p w14:paraId="51EEC5A9" w14:textId="77777777" w:rsidR="00E42813" w:rsidRPr="00FE21E4" w:rsidRDefault="00E42813" w:rsidP="00707A8A"/>
        </w:tc>
        <w:tc>
          <w:tcPr>
            <w:tcW w:w="1059" w:type="dxa"/>
            <w:tcBorders>
              <w:top w:val="single" w:sz="4" w:space="0" w:color="auto"/>
            </w:tcBorders>
          </w:tcPr>
          <w:p w14:paraId="5021C5CD" w14:textId="77777777" w:rsidR="00E42813" w:rsidRPr="00FE21E4" w:rsidRDefault="00E42813" w:rsidP="00707A8A"/>
        </w:tc>
      </w:tr>
      <w:tr w:rsidR="00E42813" w:rsidRPr="00FE21E4" w14:paraId="0E2E0743" w14:textId="77777777" w:rsidTr="00707A8A">
        <w:tc>
          <w:tcPr>
            <w:tcW w:w="671" w:type="dxa"/>
          </w:tcPr>
          <w:p w14:paraId="4650FCF1" w14:textId="77777777" w:rsidR="00E42813" w:rsidRPr="00FE21E4" w:rsidRDefault="00E42813" w:rsidP="00707A8A">
            <w:r w:rsidRPr="00FE21E4">
              <w:t>2</w:t>
            </w:r>
          </w:p>
        </w:tc>
        <w:tc>
          <w:tcPr>
            <w:tcW w:w="2037" w:type="dxa"/>
          </w:tcPr>
          <w:p w14:paraId="2C047741" w14:textId="77777777" w:rsidR="00E42813" w:rsidRDefault="00E42813" w:rsidP="00707A8A">
            <w:r>
              <w:t xml:space="preserve">T1 distress </w:t>
            </w:r>
          </w:p>
          <w:p w14:paraId="425FB9F3" w14:textId="77777777" w:rsidR="00E42813" w:rsidRPr="00FE21E4" w:rsidRDefault="00E42813" w:rsidP="00707A8A">
            <w:r>
              <w:t>T1 f</w:t>
            </w:r>
            <w:r w:rsidRPr="00FE21E4">
              <w:t>usion</w:t>
            </w:r>
          </w:p>
          <w:p w14:paraId="6D6D8819" w14:textId="77777777" w:rsidR="00E42813" w:rsidRPr="00FE21E4" w:rsidRDefault="00E42813" w:rsidP="00707A8A">
            <w:r>
              <w:t>T1 r</w:t>
            </w:r>
            <w:r w:rsidRPr="00FE21E4">
              <w:t>eappraisal</w:t>
            </w:r>
          </w:p>
        </w:tc>
        <w:tc>
          <w:tcPr>
            <w:tcW w:w="1010" w:type="dxa"/>
          </w:tcPr>
          <w:p w14:paraId="1E0B2BB5" w14:textId="77777777" w:rsidR="00E42813" w:rsidRDefault="00E42813" w:rsidP="00707A8A">
            <w:r>
              <w:t>.661</w:t>
            </w:r>
          </w:p>
          <w:p w14:paraId="2D9885B6" w14:textId="77777777" w:rsidR="00E42813" w:rsidRDefault="00E42813" w:rsidP="00707A8A">
            <w:r>
              <w:t>.153</w:t>
            </w:r>
          </w:p>
          <w:p w14:paraId="4F4E717B" w14:textId="77777777" w:rsidR="00E42813" w:rsidRPr="00FE21E4" w:rsidRDefault="00E42813" w:rsidP="00707A8A">
            <w:r>
              <w:t>-.044</w:t>
            </w:r>
          </w:p>
        </w:tc>
        <w:tc>
          <w:tcPr>
            <w:tcW w:w="1147" w:type="dxa"/>
          </w:tcPr>
          <w:p w14:paraId="0F6457C6" w14:textId="77777777" w:rsidR="00E42813" w:rsidRDefault="00E42813" w:rsidP="00707A8A">
            <w:r>
              <w:t>11.78</w:t>
            </w:r>
          </w:p>
          <w:p w14:paraId="17880379" w14:textId="77777777" w:rsidR="00E42813" w:rsidRDefault="00E42813" w:rsidP="00707A8A">
            <w:r>
              <w:t>2.78</w:t>
            </w:r>
          </w:p>
          <w:p w14:paraId="57FA09CE" w14:textId="77777777" w:rsidR="00E42813" w:rsidRPr="00FE21E4" w:rsidRDefault="00E42813" w:rsidP="00707A8A">
            <w:r>
              <w:t>-1.17</w:t>
            </w:r>
          </w:p>
        </w:tc>
        <w:tc>
          <w:tcPr>
            <w:tcW w:w="1174" w:type="dxa"/>
          </w:tcPr>
          <w:p w14:paraId="2E56FD4D" w14:textId="77777777" w:rsidR="00E42813" w:rsidRDefault="00E42813" w:rsidP="00707A8A">
            <w:r>
              <w:t>&lt;.001</w:t>
            </w:r>
          </w:p>
          <w:p w14:paraId="5A40482A" w14:textId="77777777" w:rsidR="00E42813" w:rsidRDefault="00E42813" w:rsidP="00707A8A">
            <w:r>
              <w:t>.006</w:t>
            </w:r>
          </w:p>
          <w:p w14:paraId="6F1D6140" w14:textId="77777777" w:rsidR="00E42813" w:rsidRPr="00FE21E4" w:rsidRDefault="00E42813" w:rsidP="00707A8A">
            <w:r>
              <w:t>.245</w:t>
            </w:r>
          </w:p>
        </w:tc>
        <w:tc>
          <w:tcPr>
            <w:tcW w:w="941" w:type="dxa"/>
          </w:tcPr>
          <w:p w14:paraId="5528C6F7" w14:textId="77777777" w:rsidR="00E42813" w:rsidRPr="00FE21E4" w:rsidRDefault="00E42813" w:rsidP="00707A8A">
            <w:r>
              <w:t>.645</w:t>
            </w:r>
          </w:p>
        </w:tc>
        <w:tc>
          <w:tcPr>
            <w:tcW w:w="1321" w:type="dxa"/>
          </w:tcPr>
          <w:p w14:paraId="1865CF2B" w14:textId="77777777" w:rsidR="00E42813" w:rsidRPr="00FE21E4" w:rsidRDefault="00E42813" w:rsidP="00707A8A">
            <w:r>
              <w:t>.012</w:t>
            </w:r>
          </w:p>
        </w:tc>
        <w:tc>
          <w:tcPr>
            <w:tcW w:w="1059" w:type="dxa"/>
          </w:tcPr>
          <w:p w14:paraId="14C96B82" w14:textId="77777777" w:rsidR="00E42813" w:rsidRPr="00FE21E4" w:rsidRDefault="00E42813" w:rsidP="00707A8A">
            <w:r>
              <w:t>.009</w:t>
            </w:r>
          </w:p>
        </w:tc>
      </w:tr>
      <w:tr w:rsidR="00E42813" w:rsidRPr="00FE21E4" w14:paraId="5C15ACFA" w14:textId="77777777" w:rsidTr="00707A8A">
        <w:tc>
          <w:tcPr>
            <w:tcW w:w="671" w:type="dxa"/>
          </w:tcPr>
          <w:p w14:paraId="16D94F30" w14:textId="77777777" w:rsidR="00E42813" w:rsidRPr="00FE21E4" w:rsidRDefault="00E42813" w:rsidP="00707A8A"/>
        </w:tc>
        <w:tc>
          <w:tcPr>
            <w:tcW w:w="2037" w:type="dxa"/>
          </w:tcPr>
          <w:p w14:paraId="29BFA09B" w14:textId="77777777" w:rsidR="00E42813" w:rsidRPr="00FE21E4" w:rsidRDefault="00E42813" w:rsidP="00707A8A"/>
        </w:tc>
        <w:tc>
          <w:tcPr>
            <w:tcW w:w="1010" w:type="dxa"/>
          </w:tcPr>
          <w:p w14:paraId="37812EAE" w14:textId="77777777" w:rsidR="00E42813" w:rsidRPr="00FE21E4" w:rsidRDefault="00E42813" w:rsidP="00707A8A"/>
        </w:tc>
        <w:tc>
          <w:tcPr>
            <w:tcW w:w="1147" w:type="dxa"/>
          </w:tcPr>
          <w:p w14:paraId="71E890EA" w14:textId="77777777" w:rsidR="00E42813" w:rsidRPr="00FE21E4" w:rsidRDefault="00E42813" w:rsidP="00707A8A"/>
        </w:tc>
        <w:tc>
          <w:tcPr>
            <w:tcW w:w="1174" w:type="dxa"/>
          </w:tcPr>
          <w:p w14:paraId="020C5AB2" w14:textId="77777777" w:rsidR="00E42813" w:rsidRPr="00FE21E4" w:rsidRDefault="00E42813" w:rsidP="00707A8A"/>
        </w:tc>
        <w:tc>
          <w:tcPr>
            <w:tcW w:w="941" w:type="dxa"/>
          </w:tcPr>
          <w:p w14:paraId="2F00118B" w14:textId="77777777" w:rsidR="00E42813" w:rsidRPr="00FE21E4" w:rsidRDefault="00E42813" w:rsidP="00707A8A"/>
        </w:tc>
        <w:tc>
          <w:tcPr>
            <w:tcW w:w="1321" w:type="dxa"/>
          </w:tcPr>
          <w:p w14:paraId="30ADC1CA" w14:textId="77777777" w:rsidR="00E42813" w:rsidRPr="00FE21E4" w:rsidRDefault="00E42813" w:rsidP="00707A8A"/>
        </w:tc>
        <w:tc>
          <w:tcPr>
            <w:tcW w:w="1059" w:type="dxa"/>
          </w:tcPr>
          <w:p w14:paraId="14F02705" w14:textId="77777777" w:rsidR="00E42813" w:rsidRPr="00FE21E4" w:rsidRDefault="00E42813" w:rsidP="00707A8A"/>
        </w:tc>
      </w:tr>
      <w:tr w:rsidR="00E42813" w:rsidRPr="00FE21E4" w14:paraId="17894755" w14:textId="77777777" w:rsidTr="00707A8A">
        <w:tc>
          <w:tcPr>
            <w:tcW w:w="9360" w:type="dxa"/>
            <w:gridSpan w:val="8"/>
            <w:tcBorders>
              <w:bottom w:val="single" w:sz="4" w:space="0" w:color="auto"/>
            </w:tcBorders>
          </w:tcPr>
          <w:p w14:paraId="4699DB92" w14:textId="77777777" w:rsidR="00E42813" w:rsidRPr="00FE21E4" w:rsidRDefault="00E42813" w:rsidP="00707A8A">
            <w:r w:rsidRPr="00FE21E4">
              <w:t xml:space="preserve">Prediction of </w:t>
            </w:r>
            <w:r>
              <w:t xml:space="preserve">T2 </w:t>
            </w:r>
            <w:r w:rsidRPr="00FE21E4">
              <w:t>depression</w:t>
            </w:r>
          </w:p>
        </w:tc>
      </w:tr>
      <w:tr w:rsidR="00E42813" w:rsidRPr="00FE21E4" w14:paraId="1B3ED761" w14:textId="77777777" w:rsidTr="00707A8A">
        <w:tc>
          <w:tcPr>
            <w:tcW w:w="671" w:type="dxa"/>
            <w:tcBorders>
              <w:top w:val="single" w:sz="4" w:space="0" w:color="auto"/>
            </w:tcBorders>
          </w:tcPr>
          <w:p w14:paraId="088252D0" w14:textId="77777777" w:rsidR="00E42813" w:rsidRPr="00FE21E4" w:rsidRDefault="00E42813" w:rsidP="00707A8A">
            <w:r w:rsidRPr="00FE21E4">
              <w:t>1</w:t>
            </w:r>
          </w:p>
        </w:tc>
        <w:tc>
          <w:tcPr>
            <w:tcW w:w="2037" w:type="dxa"/>
            <w:tcBorders>
              <w:top w:val="single" w:sz="4" w:space="0" w:color="auto"/>
            </w:tcBorders>
          </w:tcPr>
          <w:p w14:paraId="0AAF9B41" w14:textId="77777777" w:rsidR="00E42813" w:rsidRPr="00FE21E4" w:rsidRDefault="00E42813" w:rsidP="00707A8A">
            <w:r>
              <w:t>T1 d</w:t>
            </w:r>
            <w:r w:rsidRPr="00FE21E4">
              <w:t>epression</w:t>
            </w:r>
          </w:p>
        </w:tc>
        <w:tc>
          <w:tcPr>
            <w:tcW w:w="1010" w:type="dxa"/>
            <w:tcBorders>
              <w:top w:val="single" w:sz="4" w:space="0" w:color="auto"/>
            </w:tcBorders>
          </w:tcPr>
          <w:p w14:paraId="0DE3CE1B" w14:textId="77777777" w:rsidR="00E42813" w:rsidRPr="00FE21E4" w:rsidRDefault="00E42813" w:rsidP="00707A8A">
            <w:r>
              <w:t>.760</w:t>
            </w:r>
          </w:p>
        </w:tc>
        <w:tc>
          <w:tcPr>
            <w:tcW w:w="1147" w:type="dxa"/>
            <w:tcBorders>
              <w:top w:val="single" w:sz="4" w:space="0" w:color="auto"/>
            </w:tcBorders>
          </w:tcPr>
          <w:p w14:paraId="77668BD7" w14:textId="77777777" w:rsidR="00E42813" w:rsidRPr="00FE21E4" w:rsidRDefault="00E42813" w:rsidP="00707A8A">
            <w:r>
              <w:t>20.02</w:t>
            </w:r>
          </w:p>
        </w:tc>
        <w:tc>
          <w:tcPr>
            <w:tcW w:w="1174" w:type="dxa"/>
            <w:tcBorders>
              <w:top w:val="single" w:sz="4" w:space="0" w:color="auto"/>
            </w:tcBorders>
          </w:tcPr>
          <w:p w14:paraId="340FB37D" w14:textId="77777777" w:rsidR="00E42813" w:rsidRPr="00FE21E4" w:rsidRDefault="00E42813" w:rsidP="00707A8A">
            <w:r>
              <w:t>&lt;.001</w:t>
            </w:r>
          </w:p>
        </w:tc>
        <w:tc>
          <w:tcPr>
            <w:tcW w:w="941" w:type="dxa"/>
            <w:tcBorders>
              <w:top w:val="single" w:sz="4" w:space="0" w:color="auto"/>
            </w:tcBorders>
          </w:tcPr>
          <w:p w14:paraId="596589F7" w14:textId="77777777" w:rsidR="00E42813" w:rsidRPr="00FE21E4" w:rsidRDefault="00E42813" w:rsidP="00707A8A">
            <w:r>
              <w:t>.577</w:t>
            </w:r>
          </w:p>
        </w:tc>
        <w:tc>
          <w:tcPr>
            <w:tcW w:w="1321" w:type="dxa"/>
            <w:tcBorders>
              <w:top w:val="single" w:sz="4" w:space="0" w:color="auto"/>
            </w:tcBorders>
          </w:tcPr>
          <w:p w14:paraId="276AB47B" w14:textId="77777777" w:rsidR="00E42813" w:rsidRPr="00FE21E4" w:rsidRDefault="00E42813" w:rsidP="00707A8A"/>
        </w:tc>
        <w:tc>
          <w:tcPr>
            <w:tcW w:w="1059" w:type="dxa"/>
            <w:tcBorders>
              <w:top w:val="single" w:sz="4" w:space="0" w:color="auto"/>
            </w:tcBorders>
          </w:tcPr>
          <w:p w14:paraId="439A8DCD" w14:textId="77777777" w:rsidR="00E42813" w:rsidRPr="00FE21E4" w:rsidRDefault="00E42813" w:rsidP="00707A8A"/>
        </w:tc>
      </w:tr>
      <w:tr w:rsidR="00E42813" w:rsidRPr="00FE21E4" w14:paraId="326B3AF2" w14:textId="77777777" w:rsidTr="00707A8A">
        <w:tc>
          <w:tcPr>
            <w:tcW w:w="671" w:type="dxa"/>
          </w:tcPr>
          <w:p w14:paraId="54D958E9" w14:textId="77777777" w:rsidR="00E42813" w:rsidRPr="00FE21E4" w:rsidRDefault="00E42813" w:rsidP="00707A8A">
            <w:r w:rsidRPr="00FE21E4">
              <w:t>2</w:t>
            </w:r>
          </w:p>
        </w:tc>
        <w:tc>
          <w:tcPr>
            <w:tcW w:w="2037" w:type="dxa"/>
          </w:tcPr>
          <w:p w14:paraId="3134D716" w14:textId="77777777" w:rsidR="00E42813" w:rsidRDefault="00E42813" w:rsidP="00707A8A">
            <w:r>
              <w:t>T1 depression</w:t>
            </w:r>
          </w:p>
          <w:p w14:paraId="532C24CF" w14:textId="77777777" w:rsidR="00E42813" w:rsidRPr="00FE21E4" w:rsidRDefault="00E42813" w:rsidP="00707A8A">
            <w:r>
              <w:t>T1 f</w:t>
            </w:r>
            <w:r w:rsidRPr="00FE21E4">
              <w:t>usion</w:t>
            </w:r>
          </w:p>
          <w:p w14:paraId="5F8CED6B" w14:textId="77777777" w:rsidR="00E42813" w:rsidRPr="00FE21E4" w:rsidRDefault="00E42813" w:rsidP="00707A8A">
            <w:r>
              <w:t>T1 r</w:t>
            </w:r>
            <w:r w:rsidRPr="00FE21E4">
              <w:t>eappraisal</w:t>
            </w:r>
          </w:p>
        </w:tc>
        <w:tc>
          <w:tcPr>
            <w:tcW w:w="1010" w:type="dxa"/>
          </w:tcPr>
          <w:p w14:paraId="3C7D0201" w14:textId="77777777" w:rsidR="00E42813" w:rsidRDefault="00E42813" w:rsidP="00707A8A">
            <w:r>
              <w:t>.596</w:t>
            </w:r>
          </w:p>
          <w:p w14:paraId="22C2BBEE" w14:textId="77777777" w:rsidR="00E42813" w:rsidRDefault="00E42813" w:rsidP="00707A8A">
            <w:r>
              <w:t>.202</w:t>
            </w:r>
          </w:p>
          <w:p w14:paraId="23B04B97" w14:textId="77777777" w:rsidR="00E42813" w:rsidRPr="00FE21E4" w:rsidRDefault="00E42813" w:rsidP="00707A8A">
            <w:r>
              <w:t>-.058</w:t>
            </w:r>
          </w:p>
        </w:tc>
        <w:tc>
          <w:tcPr>
            <w:tcW w:w="1147" w:type="dxa"/>
          </w:tcPr>
          <w:p w14:paraId="3D50A730" w14:textId="77777777" w:rsidR="00E42813" w:rsidRDefault="00E42813" w:rsidP="00707A8A">
            <w:r>
              <w:t>11.18</w:t>
            </w:r>
          </w:p>
          <w:p w14:paraId="5A2AB347" w14:textId="77777777" w:rsidR="00E42813" w:rsidRDefault="00E42813" w:rsidP="00707A8A">
            <w:r>
              <w:t>3.78</w:t>
            </w:r>
          </w:p>
          <w:p w14:paraId="332C98A4" w14:textId="77777777" w:rsidR="00E42813" w:rsidRPr="00FE21E4" w:rsidRDefault="00E42813" w:rsidP="00707A8A">
            <w:r>
              <w:t>-1.48</w:t>
            </w:r>
          </w:p>
        </w:tc>
        <w:tc>
          <w:tcPr>
            <w:tcW w:w="1174" w:type="dxa"/>
          </w:tcPr>
          <w:p w14:paraId="50E889FE" w14:textId="77777777" w:rsidR="00E42813" w:rsidRDefault="00E42813" w:rsidP="00707A8A">
            <w:r>
              <w:t>&lt;.001</w:t>
            </w:r>
          </w:p>
          <w:p w14:paraId="0402BAE1" w14:textId="77777777" w:rsidR="00E42813" w:rsidRDefault="00E42813" w:rsidP="00707A8A">
            <w:r>
              <w:t>&lt;.001</w:t>
            </w:r>
          </w:p>
          <w:p w14:paraId="77C808E6" w14:textId="77777777" w:rsidR="00E42813" w:rsidRPr="00FE21E4" w:rsidRDefault="00E42813" w:rsidP="00707A8A">
            <w:r>
              <w:t>.141</w:t>
            </w:r>
          </w:p>
        </w:tc>
        <w:tc>
          <w:tcPr>
            <w:tcW w:w="941" w:type="dxa"/>
          </w:tcPr>
          <w:p w14:paraId="500A647A" w14:textId="77777777" w:rsidR="00E42813" w:rsidRPr="00FE21E4" w:rsidRDefault="00E42813" w:rsidP="00707A8A">
            <w:r>
              <w:t>.602</w:t>
            </w:r>
          </w:p>
        </w:tc>
        <w:tc>
          <w:tcPr>
            <w:tcW w:w="1321" w:type="dxa"/>
          </w:tcPr>
          <w:p w14:paraId="39BD7F27" w14:textId="77777777" w:rsidR="00E42813" w:rsidRPr="00FE21E4" w:rsidRDefault="00E42813" w:rsidP="00707A8A">
            <w:r>
              <w:t>.025</w:t>
            </w:r>
          </w:p>
        </w:tc>
        <w:tc>
          <w:tcPr>
            <w:tcW w:w="1059" w:type="dxa"/>
          </w:tcPr>
          <w:p w14:paraId="35C3C50C" w14:textId="77777777" w:rsidR="00E42813" w:rsidRPr="00FE21E4" w:rsidRDefault="00E42813" w:rsidP="00707A8A">
            <w:r>
              <w:t>&lt;.001</w:t>
            </w:r>
          </w:p>
        </w:tc>
      </w:tr>
      <w:tr w:rsidR="00E42813" w:rsidRPr="00FE21E4" w14:paraId="4B6CEB5B" w14:textId="77777777" w:rsidTr="00707A8A">
        <w:tc>
          <w:tcPr>
            <w:tcW w:w="671" w:type="dxa"/>
          </w:tcPr>
          <w:p w14:paraId="56C12ABB" w14:textId="77777777" w:rsidR="00E42813" w:rsidRPr="00FE21E4" w:rsidRDefault="00E42813" w:rsidP="00707A8A"/>
        </w:tc>
        <w:tc>
          <w:tcPr>
            <w:tcW w:w="2037" w:type="dxa"/>
          </w:tcPr>
          <w:p w14:paraId="4B913973" w14:textId="77777777" w:rsidR="00E42813" w:rsidRPr="00FE21E4" w:rsidRDefault="00E42813" w:rsidP="00707A8A"/>
        </w:tc>
        <w:tc>
          <w:tcPr>
            <w:tcW w:w="1010" w:type="dxa"/>
          </w:tcPr>
          <w:p w14:paraId="1D55D1BD" w14:textId="77777777" w:rsidR="00E42813" w:rsidRPr="00FE21E4" w:rsidRDefault="00E42813" w:rsidP="00707A8A"/>
        </w:tc>
        <w:tc>
          <w:tcPr>
            <w:tcW w:w="1147" w:type="dxa"/>
          </w:tcPr>
          <w:p w14:paraId="005BF4CA" w14:textId="77777777" w:rsidR="00E42813" w:rsidRPr="00FE21E4" w:rsidRDefault="00E42813" w:rsidP="00707A8A"/>
        </w:tc>
        <w:tc>
          <w:tcPr>
            <w:tcW w:w="1174" w:type="dxa"/>
          </w:tcPr>
          <w:p w14:paraId="62CA948A" w14:textId="77777777" w:rsidR="00E42813" w:rsidRPr="00FE21E4" w:rsidRDefault="00E42813" w:rsidP="00707A8A"/>
        </w:tc>
        <w:tc>
          <w:tcPr>
            <w:tcW w:w="941" w:type="dxa"/>
          </w:tcPr>
          <w:p w14:paraId="10B163F4" w14:textId="77777777" w:rsidR="00E42813" w:rsidRPr="00FE21E4" w:rsidRDefault="00E42813" w:rsidP="00707A8A"/>
        </w:tc>
        <w:tc>
          <w:tcPr>
            <w:tcW w:w="1321" w:type="dxa"/>
          </w:tcPr>
          <w:p w14:paraId="00544623" w14:textId="77777777" w:rsidR="00E42813" w:rsidRPr="00FE21E4" w:rsidRDefault="00E42813" w:rsidP="00707A8A"/>
        </w:tc>
        <w:tc>
          <w:tcPr>
            <w:tcW w:w="1059" w:type="dxa"/>
          </w:tcPr>
          <w:p w14:paraId="3C134C8F" w14:textId="77777777" w:rsidR="00E42813" w:rsidRPr="00FE21E4" w:rsidRDefault="00E42813" w:rsidP="00707A8A"/>
        </w:tc>
      </w:tr>
      <w:tr w:rsidR="00E42813" w:rsidRPr="00FE21E4" w14:paraId="5C25369A" w14:textId="77777777" w:rsidTr="00707A8A">
        <w:tc>
          <w:tcPr>
            <w:tcW w:w="9360" w:type="dxa"/>
            <w:gridSpan w:val="8"/>
            <w:tcBorders>
              <w:bottom w:val="single" w:sz="4" w:space="0" w:color="auto"/>
            </w:tcBorders>
          </w:tcPr>
          <w:p w14:paraId="2C8DEF61" w14:textId="77777777" w:rsidR="00E42813" w:rsidRPr="00FE21E4" w:rsidRDefault="00E42813" w:rsidP="00707A8A">
            <w:r w:rsidRPr="00FE21E4">
              <w:t>Prediction of</w:t>
            </w:r>
            <w:r>
              <w:t xml:space="preserve"> T2</w:t>
            </w:r>
            <w:r w:rsidRPr="00FE21E4">
              <w:t xml:space="preserve"> generalized anxiety</w:t>
            </w:r>
          </w:p>
        </w:tc>
      </w:tr>
      <w:tr w:rsidR="00E42813" w:rsidRPr="00FE21E4" w14:paraId="154433C6" w14:textId="77777777" w:rsidTr="00707A8A">
        <w:tc>
          <w:tcPr>
            <w:tcW w:w="671" w:type="dxa"/>
            <w:tcBorders>
              <w:top w:val="single" w:sz="4" w:space="0" w:color="auto"/>
            </w:tcBorders>
          </w:tcPr>
          <w:p w14:paraId="1AAC8E09" w14:textId="77777777" w:rsidR="00E42813" w:rsidRPr="00FE21E4" w:rsidRDefault="00E42813" w:rsidP="00707A8A">
            <w:r w:rsidRPr="00FE21E4">
              <w:t>1</w:t>
            </w:r>
          </w:p>
        </w:tc>
        <w:tc>
          <w:tcPr>
            <w:tcW w:w="2037" w:type="dxa"/>
            <w:tcBorders>
              <w:top w:val="single" w:sz="4" w:space="0" w:color="auto"/>
            </w:tcBorders>
          </w:tcPr>
          <w:p w14:paraId="68D1ABCF" w14:textId="77777777" w:rsidR="00E42813" w:rsidRPr="00FE21E4" w:rsidRDefault="00E42813" w:rsidP="00707A8A">
            <w:r>
              <w:t>T1 generalized</w:t>
            </w:r>
            <w:r w:rsidRPr="00FE21E4">
              <w:t xml:space="preserve"> anx</w:t>
            </w:r>
            <w:r>
              <w:t>iety</w:t>
            </w:r>
          </w:p>
        </w:tc>
        <w:tc>
          <w:tcPr>
            <w:tcW w:w="1010" w:type="dxa"/>
            <w:tcBorders>
              <w:top w:val="single" w:sz="4" w:space="0" w:color="auto"/>
            </w:tcBorders>
          </w:tcPr>
          <w:p w14:paraId="4EB91B69" w14:textId="77777777" w:rsidR="00E42813" w:rsidRPr="00FE21E4" w:rsidRDefault="00E42813" w:rsidP="00707A8A">
            <w:r>
              <w:t>.772</w:t>
            </w:r>
          </w:p>
        </w:tc>
        <w:tc>
          <w:tcPr>
            <w:tcW w:w="1147" w:type="dxa"/>
            <w:tcBorders>
              <w:top w:val="single" w:sz="4" w:space="0" w:color="auto"/>
            </w:tcBorders>
          </w:tcPr>
          <w:p w14:paraId="2E5D649C" w14:textId="77777777" w:rsidR="00E42813" w:rsidRPr="00FE21E4" w:rsidRDefault="00E42813" w:rsidP="00707A8A">
            <w:r>
              <w:t>20.82</w:t>
            </w:r>
          </w:p>
        </w:tc>
        <w:tc>
          <w:tcPr>
            <w:tcW w:w="1174" w:type="dxa"/>
            <w:tcBorders>
              <w:top w:val="single" w:sz="4" w:space="0" w:color="auto"/>
            </w:tcBorders>
          </w:tcPr>
          <w:p w14:paraId="4FE989DD" w14:textId="77777777" w:rsidR="00E42813" w:rsidRPr="00FE21E4" w:rsidRDefault="00E42813" w:rsidP="00707A8A">
            <w:r>
              <w:t>&lt;.001</w:t>
            </w:r>
          </w:p>
        </w:tc>
        <w:tc>
          <w:tcPr>
            <w:tcW w:w="941" w:type="dxa"/>
            <w:tcBorders>
              <w:top w:val="single" w:sz="4" w:space="0" w:color="auto"/>
            </w:tcBorders>
          </w:tcPr>
          <w:p w14:paraId="4D5AD148" w14:textId="77777777" w:rsidR="00E42813" w:rsidRPr="00FE21E4" w:rsidRDefault="00E42813" w:rsidP="00707A8A">
            <w:r>
              <w:t>.596</w:t>
            </w:r>
          </w:p>
        </w:tc>
        <w:tc>
          <w:tcPr>
            <w:tcW w:w="1321" w:type="dxa"/>
            <w:tcBorders>
              <w:top w:val="single" w:sz="4" w:space="0" w:color="auto"/>
            </w:tcBorders>
          </w:tcPr>
          <w:p w14:paraId="301B8382" w14:textId="77777777" w:rsidR="00E42813" w:rsidRPr="00FE21E4" w:rsidRDefault="00E42813" w:rsidP="00707A8A"/>
        </w:tc>
        <w:tc>
          <w:tcPr>
            <w:tcW w:w="1059" w:type="dxa"/>
            <w:tcBorders>
              <w:top w:val="single" w:sz="4" w:space="0" w:color="auto"/>
            </w:tcBorders>
          </w:tcPr>
          <w:p w14:paraId="2A90EF97" w14:textId="77777777" w:rsidR="00E42813" w:rsidRPr="00FE21E4" w:rsidRDefault="00E42813" w:rsidP="00707A8A"/>
        </w:tc>
      </w:tr>
      <w:tr w:rsidR="00E42813" w:rsidRPr="00FE21E4" w14:paraId="5BDB0F5E" w14:textId="77777777" w:rsidTr="00707A8A">
        <w:tc>
          <w:tcPr>
            <w:tcW w:w="671" w:type="dxa"/>
          </w:tcPr>
          <w:p w14:paraId="7482E414" w14:textId="77777777" w:rsidR="00E42813" w:rsidRPr="00FE21E4" w:rsidRDefault="00E42813" w:rsidP="00707A8A">
            <w:r w:rsidRPr="00FE21E4">
              <w:t>2</w:t>
            </w:r>
          </w:p>
        </w:tc>
        <w:tc>
          <w:tcPr>
            <w:tcW w:w="2037" w:type="dxa"/>
          </w:tcPr>
          <w:p w14:paraId="5C74D976" w14:textId="77777777" w:rsidR="00E42813" w:rsidRDefault="00E42813" w:rsidP="00707A8A">
            <w:r>
              <w:t>T1 generalized anxiety</w:t>
            </w:r>
          </w:p>
          <w:p w14:paraId="09C76A00" w14:textId="77777777" w:rsidR="00E42813" w:rsidRPr="00FE21E4" w:rsidRDefault="00E42813" w:rsidP="00707A8A">
            <w:r>
              <w:t>T1 f</w:t>
            </w:r>
            <w:r w:rsidRPr="00FE21E4">
              <w:t>usion</w:t>
            </w:r>
          </w:p>
          <w:p w14:paraId="423A2537" w14:textId="77777777" w:rsidR="00E42813" w:rsidRPr="00FE21E4" w:rsidRDefault="00E42813" w:rsidP="00707A8A">
            <w:r>
              <w:t>T1 r</w:t>
            </w:r>
            <w:r w:rsidRPr="00FE21E4">
              <w:t>eappraisal</w:t>
            </w:r>
          </w:p>
        </w:tc>
        <w:tc>
          <w:tcPr>
            <w:tcW w:w="1010" w:type="dxa"/>
          </w:tcPr>
          <w:p w14:paraId="4BB2970E" w14:textId="77777777" w:rsidR="00E42813" w:rsidRDefault="00E42813" w:rsidP="00707A8A">
            <w:r>
              <w:t>.650</w:t>
            </w:r>
          </w:p>
          <w:p w14:paraId="1D59D964" w14:textId="77777777" w:rsidR="00E42813" w:rsidRDefault="00E42813" w:rsidP="00707A8A"/>
          <w:p w14:paraId="1AF59AFC" w14:textId="77777777" w:rsidR="00E42813" w:rsidRDefault="00E42813" w:rsidP="00707A8A">
            <w:r>
              <w:t>.166</w:t>
            </w:r>
          </w:p>
          <w:p w14:paraId="5B477E3A" w14:textId="77777777" w:rsidR="00E42813" w:rsidRPr="00FE21E4" w:rsidRDefault="00E42813" w:rsidP="00707A8A">
            <w:r>
              <w:t>-.025</w:t>
            </w:r>
          </w:p>
        </w:tc>
        <w:tc>
          <w:tcPr>
            <w:tcW w:w="1147" w:type="dxa"/>
          </w:tcPr>
          <w:p w14:paraId="60C25840" w14:textId="77777777" w:rsidR="00E42813" w:rsidRDefault="00E42813" w:rsidP="00707A8A">
            <w:r>
              <w:t>12.91</w:t>
            </w:r>
          </w:p>
          <w:p w14:paraId="1AC07FA5" w14:textId="77777777" w:rsidR="00E42813" w:rsidRDefault="00E42813" w:rsidP="00707A8A"/>
          <w:p w14:paraId="65EDA219" w14:textId="77777777" w:rsidR="00E42813" w:rsidRDefault="00E42813" w:rsidP="00707A8A">
            <w:r>
              <w:t>3.25</w:t>
            </w:r>
          </w:p>
          <w:p w14:paraId="68708C05" w14:textId="77777777" w:rsidR="00E42813" w:rsidRPr="00FE21E4" w:rsidRDefault="00E42813" w:rsidP="00707A8A">
            <w:r>
              <w:t>-.63</w:t>
            </w:r>
          </w:p>
        </w:tc>
        <w:tc>
          <w:tcPr>
            <w:tcW w:w="1174" w:type="dxa"/>
          </w:tcPr>
          <w:p w14:paraId="40B88E15" w14:textId="77777777" w:rsidR="00E42813" w:rsidRDefault="00E42813" w:rsidP="00707A8A">
            <w:r>
              <w:t>&lt;.001</w:t>
            </w:r>
          </w:p>
          <w:p w14:paraId="032F958C" w14:textId="77777777" w:rsidR="00E42813" w:rsidRDefault="00E42813" w:rsidP="00707A8A"/>
          <w:p w14:paraId="5388CE23" w14:textId="77777777" w:rsidR="00E42813" w:rsidRDefault="00E42813" w:rsidP="00707A8A">
            <w:r>
              <w:t>.001</w:t>
            </w:r>
          </w:p>
          <w:p w14:paraId="4258E9FC" w14:textId="77777777" w:rsidR="00E42813" w:rsidRPr="00FE21E4" w:rsidRDefault="00E42813" w:rsidP="00707A8A">
            <w:r>
              <w:t>.529</w:t>
            </w:r>
          </w:p>
        </w:tc>
        <w:tc>
          <w:tcPr>
            <w:tcW w:w="941" w:type="dxa"/>
          </w:tcPr>
          <w:p w14:paraId="68154E26" w14:textId="77777777" w:rsidR="00E42813" w:rsidRPr="00FE21E4" w:rsidRDefault="00E42813" w:rsidP="00707A8A">
            <w:r>
              <w:t>.612</w:t>
            </w:r>
          </w:p>
        </w:tc>
        <w:tc>
          <w:tcPr>
            <w:tcW w:w="1321" w:type="dxa"/>
          </w:tcPr>
          <w:p w14:paraId="1463ED56" w14:textId="77777777" w:rsidR="00E42813" w:rsidRPr="00FE21E4" w:rsidRDefault="00E42813" w:rsidP="00707A8A">
            <w:r>
              <w:t>.016</w:t>
            </w:r>
          </w:p>
        </w:tc>
        <w:tc>
          <w:tcPr>
            <w:tcW w:w="1059" w:type="dxa"/>
          </w:tcPr>
          <w:p w14:paraId="5894B470" w14:textId="77777777" w:rsidR="00E42813" w:rsidRPr="00FE21E4" w:rsidRDefault="00E42813" w:rsidP="00707A8A">
            <w:r>
              <w:t>.003</w:t>
            </w:r>
          </w:p>
        </w:tc>
      </w:tr>
      <w:tr w:rsidR="00E42813" w:rsidRPr="00FE21E4" w14:paraId="2169C720" w14:textId="77777777" w:rsidTr="00707A8A">
        <w:tc>
          <w:tcPr>
            <w:tcW w:w="671" w:type="dxa"/>
          </w:tcPr>
          <w:p w14:paraId="7DE96B73" w14:textId="77777777" w:rsidR="00E42813" w:rsidRPr="00FE21E4" w:rsidRDefault="00E42813" w:rsidP="00707A8A"/>
        </w:tc>
        <w:tc>
          <w:tcPr>
            <w:tcW w:w="2037" w:type="dxa"/>
          </w:tcPr>
          <w:p w14:paraId="7ECC26F7" w14:textId="77777777" w:rsidR="00E42813" w:rsidRPr="00FE21E4" w:rsidRDefault="00E42813" w:rsidP="00707A8A"/>
        </w:tc>
        <w:tc>
          <w:tcPr>
            <w:tcW w:w="1010" w:type="dxa"/>
          </w:tcPr>
          <w:p w14:paraId="78FFCC3C" w14:textId="77777777" w:rsidR="00E42813" w:rsidRPr="00FE21E4" w:rsidRDefault="00E42813" w:rsidP="00707A8A"/>
        </w:tc>
        <w:tc>
          <w:tcPr>
            <w:tcW w:w="1147" w:type="dxa"/>
          </w:tcPr>
          <w:p w14:paraId="084B1967" w14:textId="77777777" w:rsidR="00E42813" w:rsidRPr="00FE21E4" w:rsidRDefault="00E42813" w:rsidP="00707A8A"/>
        </w:tc>
        <w:tc>
          <w:tcPr>
            <w:tcW w:w="1174" w:type="dxa"/>
          </w:tcPr>
          <w:p w14:paraId="441A44C8" w14:textId="77777777" w:rsidR="00E42813" w:rsidRPr="00FE21E4" w:rsidRDefault="00E42813" w:rsidP="00707A8A"/>
        </w:tc>
        <w:tc>
          <w:tcPr>
            <w:tcW w:w="941" w:type="dxa"/>
          </w:tcPr>
          <w:p w14:paraId="3ECD879F" w14:textId="77777777" w:rsidR="00E42813" w:rsidRPr="00FE21E4" w:rsidRDefault="00E42813" w:rsidP="00707A8A"/>
        </w:tc>
        <w:tc>
          <w:tcPr>
            <w:tcW w:w="1321" w:type="dxa"/>
          </w:tcPr>
          <w:p w14:paraId="6DD8A5DE" w14:textId="77777777" w:rsidR="00E42813" w:rsidRPr="00FE21E4" w:rsidRDefault="00E42813" w:rsidP="00707A8A"/>
        </w:tc>
        <w:tc>
          <w:tcPr>
            <w:tcW w:w="1059" w:type="dxa"/>
          </w:tcPr>
          <w:p w14:paraId="2B601DF3" w14:textId="77777777" w:rsidR="00E42813" w:rsidRPr="00FE21E4" w:rsidRDefault="00E42813" w:rsidP="00707A8A"/>
        </w:tc>
      </w:tr>
      <w:tr w:rsidR="00E42813" w:rsidRPr="00FE21E4" w14:paraId="57B6A82D" w14:textId="77777777" w:rsidTr="00707A8A">
        <w:tc>
          <w:tcPr>
            <w:tcW w:w="9360" w:type="dxa"/>
            <w:gridSpan w:val="8"/>
            <w:tcBorders>
              <w:bottom w:val="single" w:sz="4" w:space="0" w:color="auto"/>
            </w:tcBorders>
          </w:tcPr>
          <w:p w14:paraId="7208D3EA" w14:textId="77777777" w:rsidR="00E42813" w:rsidRPr="00FE21E4" w:rsidRDefault="00E42813" w:rsidP="00707A8A">
            <w:r w:rsidRPr="00FE21E4">
              <w:t xml:space="preserve">Prediction of </w:t>
            </w:r>
            <w:r>
              <w:t xml:space="preserve">T2 </w:t>
            </w:r>
            <w:r w:rsidRPr="00FE21E4">
              <w:t>social anxiety</w:t>
            </w:r>
          </w:p>
        </w:tc>
      </w:tr>
      <w:tr w:rsidR="00E42813" w:rsidRPr="00FE21E4" w14:paraId="3A749F62" w14:textId="77777777" w:rsidTr="00707A8A">
        <w:tc>
          <w:tcPr>
            <w:tcW w:w="671" w:type="dxa"/>
            <w:tcBorders>
              <w:top w:val="single" w:sz="4" w:space="0" w:color="auto"/>
            </w:tcBorders>
          </w:tcPr>
          <w:p w14:paraId="155E9D0B" w14:textId="77777777" w:rsidR="00E42813" w:rsidRPr="00FE21E4" w:rsidRDefault="00E42813" w:rsidP="00707A8A">
            <w:r w:rsidRPr="00FE21E4">
              <w:t>1</w:t>
            </w:r>
          </w:p>
        </w:tc>
        <w:tc>
          <w:tcPr>
            <w:tcW w:w="2037" w:type="dxa"/>
            <w:tcBorders>
              <w:top w:val="single" w:sz="4" w:space="0" w:color="auto"/>
            </w:tcBorders>
          </w:tcPr>
          <w:p w14:paraId="69BB688A" w14:textId="77777777" w:rsidR="00E42813" w:rsidRPr="00FE21E4" w:rsidRDefault="00E42813" w:rsidP="00707A8A">
            <w:r>
              <w:t>T1 social anxiety</w:t>
            </w:r>
            <w:r w:rsidRPr="00FE21E4">
              <w:t xml:space="preserve"> </w:t>
            </w:r>
          </w:p>
        </w:tc>
        <w:tc>
          <w:tcPr>
            <w:tcW w:w="1010" w:type="dxa"/>
            <w:tcBorders>
              <w:top w:val="single" w:sz="4" w:space="0" w:color="auto"/>
            </w:tcBorders>
          </w:tcPr>
          <w:p w14:paraId="55A66327" w14:textId="77777777" w:rsidR="00E42813" w:rsidRPr="00FE21E4" w:rsidRDefault="00E42813" w:rsidP="00707A8A">
            <w:r>
              <w:t>.841</w:t>
            </w:r>
          </w:p>
        </w:tc>
        <w:tc>
          <w:tcPr>
            <w:tcW w:w="1147" w:type="dxa"/>
            <w:tcBorders>
              <w:top w:val="single" w:sz="4" w:space="0" w:color="auto"/>
            </w:tcBorders>
          </w:tcPr>
          <w:p w14:paraId="6B36B405" w14:textId="77777777" w:rsidR="00E42813" w:rsidRPr="00FE21E4" w:rsidRDefault="00E42813" w:rsidP="00707A8A">
            <w:r>
              <w:t>26.67</w:t>
            </w:r>
          </w:p>
        </w:tc>
        <w:tc>
          <w:tcPr>
            <w:tcW w:w="1174" w:type="dxa"/>
            <w:tcBorders>
              <w:top w:val="single" w:sz="4" w:space="0" w:color="auto"/>
            </w:tcBorders>
          </w:tcPr>
          <w:p w14:paraId="2CA51064" w14:textId="77777777" w:rsidR="00E42813" w:rsidRPr="00FE21E4" w:rsidRDefault="00E42813" w:rsidP="00707A8A">
            <w:r>
              <w:t>&lt;.001</w:t>
            </w:r>
          </w:p>
        </w:tc>
        <w:tc>
          <w:tcPr>
            <w:tcW w:w="941" w:type="dxa"/>
            <w:tcBorders>
              <w:top w:val="single" w:sz="4" w:space="0" w:color="auto"/>
            </w:tcBorders>
          </w:tcPr>
          <w:p w14:paraId="53728772" w14:textId="77777777" w:rsidR="00E42813" w:rsidRPr="00FE21E4" w:rsidRDefault="00E42813" w:rsidP="00707A8A">
            <w:r>
              <w:t>.707</w:t>
            </w:r>
          </w:p>
        </w:tc>
        <w:tc>
          <w:tcPr>
            <w:tcW w:w="1321" w:type="dxa"/>
            <w:tcBorders>
              <w:top w:val="single" w:sz="4" w:space="0" w:color="auto"/>
            </w:tcBorders>
          </w:tcPr>
          <w:p w14:paraId="6BC30650" w14:textId="77777777" w:rsidR="00E42813" w:rsidRPr="00FE21E4" w:rsidRDefault="00E42813" w:rsidP="00707A8A"/>
        </w:tc>
        <w:tc>
          <w:tcPr>
            <w:tcW w:w="1059" w:type="dxa"/>
            <w:tcBorders>
              <w:top w:val="single" w:sz="4" w:space="0" w:color="auto"/>
            </w:tcBorders>
          </w:tcPr>
          <w:p w14:paraId="33D62C77" w14:textId="77777777" w:rsidR="00E42813" w:rsidRPr="00FE21E4" w:rsidRDefault="00E42813" w:rsidP="00707A8A"/>
        </w:tc>
      </w:tr>
      <w:tr w:rsidR="00E42813" w:rsidRPr="00FE21E4" w14:paraId="72261290" w14:textId="77777777" w:rsidTr="00707A8A">
        <w:tc>
          <w:tcPr>
            <w:tcW w:w="671" w:type="dxa"/>
          </w:tcPr>
          <w:p w14:paraId="27133763" w14:textId="77777777" w:rsidR="00E42813" w:rsidRPr="00FE21E4" w:rsidRDefault="00E42813" w:rsidP="00707A8A">
            <w:r w:rsidRPr="00FE21E4">
              <w:t>2</w:t>
            </w:r>
          </w:p>
        </w:tc>
        <w:tc>
          <w:tcPr>
            <w:tcW w:w="2037" w:type="dxa"/>
          </w:tcPr>
          <w:p w14:paraId="2740A111" w14:textId="77777777" w:rsidR="00E42813" w:rsidRDefault="00E42813" w:rsidP="00707A8A">
            <w:r>
              <w:t xml:space="preserve">T1 social anxiety </w:t>
            </w:r>
          </w:p>
          <w:p w14:paraId="756FC351" w14:textId="77777777" w:rsidR="00E42813" w:rsidRPr="00FE21E4" w:rsidRDefault="00E42813" w:rsidP="00707A8A">
            <w:r>
              <w:t>T1 f</w:t>
            </w:r>
            <w:r w:rsidRPr="00FE21E4">
              <w:t>usion</w:t>
            </w:r>
          </w:p>
          <w:p w14:paraId="5BA4F8D4" w14:textId="77777777" w:rsidR="00E42813" w:rsidRPr="00FE21E4" w:rsidRDefault="00E42813" w:rsidP="00707A8A">
            <w:r>
              <w:t>T1 r</w:t>
            </w:r>
            <w:r w:rsidRPr="00FE21E4">
              <w:t>eappraisal</w:t>
            </w:r>
          </w:p>
        </w:tc>
        <w:tc>
          <w:tcPr>
            <w:tcW w:w="1010" w:type="dxa"/>
          </w:tcPr>
          <w:p w14:paraId="62EAC756" w14:textId="77777777" w:rsidR="00E42813" w:rsidRDefault="00E42813" w:rsidP="00707A8A">
            <w:r>
              <w:t>.736</w:t>
            </w:r>
          </w:p>
          <w:p w14:paraId="63EE24C7" w14:textId="77777777" w:rsidR="00E42813" w:rsidRDefault="00E42813" w:rsidP="00707A8A">
            <w:r>
              <w:t>.167</w:t>
            </w:r>
          </w:p>
          <w:p w14:paraId="4205CDC5" w14:textId="77777777" w:rsidR="00E42813" w:rsidRPr="00FE21E4" w:rsidRDefault="00E42813" w:rsidP="00707A8A">
            <w:r>
              <w:t>-.021</w:t>
            </w:r>
          </w:p>
        </w:tc>
        <w:tc>
          <w:tcPr>
            <w:tcW w:w="1147" w:type="dxa"/>
          </w:tcPr>
          <w:p w14:paraId="73B3D27C" w14:textId="77777777" w:rsidR="00E42813" w:rsidRDefault="00E42813" w:rsidP="00707A8A">
            <w:r>
              <w:t>19.28</w:t>
            </w:r>
          </w:p>
          <w:p w14:paraId="549EC9AB" w14:textId="77777777" w:rsidR="00E42813" w:rsidRDefault="00E42813" w:rsidP="00707A8A">
            <w:r>
              <w:t>4.26</w:t>
            </w:r>
          </w:p>
          <w:p w14:paraId="6AAB913E" w14:textId="77777777" w:rsidR="00E42813" w:rsidRPr="00FE21E4" w:rsidRDefault="00E42813" w:rsidP="00707A8A">
            <w:r>
              <w:t>-.66</w:t>
            </w:r>
          </w:p>
        </w:tc>
        <w:tc>
          <w:tcPr>
            <w:tcW w:w="1174" w:type="dxa"/>
          </w:tcPr>
          <w:p w14:paraId="52EFD57C" w14:textId="77777777" w:rsidR="00E42813" w:rsidRDefault="00E42813" w:rsidP="00707A8A">
            <w:r>
              <w:t>&lt;.001</w:t>
            </w:r>
          </w:p>
          <w:p w14:paraId="55DDC758" w14:textId="77777777" w:rsidR="00E42813" w:rsidRDefault="00E42813" w:rsidP="00707A8A">
            <w:r>
              <w:t>&lt;.001</w:t>
            </w:r>
          </w:p>
          <w:p w14:paraId="383557E1" w14:textId="77777777" w:rsidR="00E42813" w:rsidRPr="00FE21E4" w:rsidRDefault="00E42813" w:rsidP="00707A8A">
            <w:r>
              <w:t>.509</w:t>
            </w:r>
          </w:p>
        </w:tc>
        <w:tc>
          <w:tcPr>
            <w:tcW w:w="941" w:type="dxa"/>
          </w:tcPr>
          <w:p w14:paraId="71793591" w14:textId="77777777" w:rsidR="00E42813" w:rsidRPr="00FE21E4" w:rsidRDefault="00E42813" w:rsidP="00707A8A">
            <w:r>
              <w:t>.727</w:t>
            </w:r>
          </w:p>
        </w:tc>
        <w:tc>
          <w:tcPr>
            <w:tcW w:w="1321" w:type="dxa"/>
          </w:tcPr>
          <w:p w14:paraId="5208EBEB" w14:textId="77777777" w:rsidR="00E42813" w:rsidRPr="00FE21E4" w:rsidRDefault="00E42813" w:rsidP="00707A8A">
            <w:r>
              <w:t>.020</w:t>
            </w:r>
          </w:p>
        </w:tc>
        <w:tc>
          <w:tcPr>
            <w:tcW w:w="1059" w:type="dxa"/>
          </w:tcPr>
          <w:p w14:paraId="3B4F741B" w14:textId="77777777" w:rsidR="00E42813" w:rsidRPr="00FE21E4" w:rsidRDefault="00E42813" w:rsidP="00707A8A">
            <w:r>
              <w:t>&lt;.001</w:t>
            </w:r>
          </w:p>
        </w:tc>
      </w:tr>
      <w:tr w:rsidR="00E42813" w:rsidRPr="00FE21E4" w14:paraId="1349543B" w14:textId="77777777" w:rsidTr="00707A8A">
        <w:tc>
          <w:tcPr>
            <w:tcW w:w="671" w:type="dxa"/>
          </w:tcPr>
          <w:p w14:paraId="39A30796" w14:textId="77777777" w:rsidR="00E42813" w:rsidRPr="00FE21E4" w:rsidRDefault="00E42813" w:rsidP="00707A8A"/>
        </w:tc>
        <w:tc>
          <w:tcPr>
            <w:tcW w:w="2037" w:type="dxa"/>
          </w:tcPr>
          <w:p w14:paraId="3E66E746" w14:textId="77777777" w:rsidR="00E42813" w:rsidRPr="00FE21E4" w:rsidRDefault="00E42813" w:rsidP="00707A8A"/>
        </w:tc>
        <w:tc>
          <w:tcPr>
            <w:tcW w:w="1010" w:type="dxa"/>
          </w:tcPr>
          <w:p w14:paraId="0CC343D8" w14:textId="77777777" w:rsidR="00E42813" w:rsidRPr="00FE21E4" w:rsidRDefault="00E42813" w:rsidP="00707A8A"/>
        </w:tc>
        <w:tc>
          <w:tcPr>
            <w:tcW w:w="1147" w:type="dxa"/>
          </w:tcPr>
          <w:p w14:paraId="3A0E8006" w14:textId="77777777" w:rsidR="00E42813" w:rsidRPr="00FE21E4" w:rsidRDefault="00E42813" w:rsidP="00707A8A"/>
        </w:tc>
        <w:tc>
          <w:tcPr>
            <w:tcW w:w="1174" w:type="dxa"/>
          </w:tcPr>
          <w:p w14:paraId="595235C1" w14:textId="77777777" w:rsidR="00E42813" w:rsidRPr="00FE21E4" w:rsidRDefault="00E42813" w:rsidP="00707A8A"/>
        </w:tc>
        <w:tc>
          <w:tcPr>
            <w:tcW w:w="941" w:type="dxa"/>
          </w:tcPr>
          <w:p w14:paraId="41E50335" w14:textId="77777777" w:rsidR="00E42813" w:rsidRPr="00FE21E4" w:rsidRDefault="00E42813" w:rsidP="00707A8A"/>
        </w:tc>
        <w:tc>
          <w:tcPr>
            <w:tcW w:w="1321" w:type="dxa"/>
          </w:tcPr>
          <w:p w14:paraId="09B8D6C8" w14:textId="77777777" w:rsidR="00E42813" w:rsidRPr="00FE21E4" w:rsidRDefault="00E42813" w:rsidP="00707A8A"/>
        </w:tc>
        <w:tc>
          <w:tcPr>
            <w:tcW w:w="1059" w:type="dxa"/>
          </w:tcPr>
          <w:p w14:paraId="131477EC" w14:textId="77777777" w:rsidR="00E42813" w:rsidRPr="00FE21E4" w:rsidRDefault="00E42813" w:rsidP="00707A8A"/>
        </w:tc>
      </w:tr>
      <w:tr w:rsidR="00E42813" w:rsidRPr="00FE21E4" w14:paraId="195D8393" w14:textId="77777777" w:rsidTr="00707A8A">
        <w:tc>
          <w:tcPr>
            <w:tcW w:w="9360" w:type="dxa"/>
            <w:gridSpan w:val="8"/>
            <w:tcBorders>
              <w:bottom w:val="single" w:sz="4" w:space="0" w:color="auto"/>
            </w:tcBorders>
          </w:tcPr>
          <w:p w14:paraId="7F311773" w14:textId="77777777" w:rsidR="00E42813" w:rsidRPr="00FE21E4" w:rsidRDefault="00E42813" w:rsidP="00707A8A">
            <w:r w:rsidRPr="00FE21E4">
              <w:t xml:space="preserve">Prediction of </w:t>
            </w:r>
            <w:r>
              <w:t xml:space="preserve">T2 </w:t>
            </w:r>
            <w:r w:rsidRPr="00FE21E4">
              <w:t>hostility</w:t>
            </w:r>
          </w:p>
        </w:tc>
      </w:tr>
      <w:tr w:rsidR="00E42813" w:rsidRPr="00FE21E4" w14:paraId="771F361A" w14:textId="77777777" w:rsidTr="00707A8A">
        <w:trPr>
          <w:trHeight w:val="305"/>
        </w:trPr>
        <w:tc>
          <w:tcPr>
            <w:tcW w:w="671" w:type="dxa"/>
            <w:tcBorders>
              <w:top w:val="single" w:sz="4" w:space="0" w:color="auto"/>
            </w:tcBorders>
          </w:tcPr>
          <w:p w14:paraId="338D6E5A" w14:textId="77777777" w:rsidR="00E42813" w:rsidRPr="00FE21E4" w:rsidRDefault="00E42813" w:rsidP="00707A8A">
            <w:r w:rsidRPr="00FE21E4">
              <w:t>1</w:t>
            </w:r>
          </w:p>
        </w:tc>
        <w:tc>
          <w:tcPr>
            <w:tcW w:w="2037" w:type="dxa"/>
            <w:tcBorders>
              <w:top w:val="single" w:sz="4" w:space="0" w:color="auto"/>
            </w:tcBorders>
          </w:tcPr>
          <w:p w14:paraId="53CF4544" w14:textId="77777777" w:rsidR="00E42813" w:rsidRPr="00FE21E4" w:rsidRDefault="00E42813" w:rsidP="00707A8A">
            <w:r>
              <w:t>T1 hostility</w:t>
            </w:r>
          </w:p>
        </w:tc>
        <w:tc>
          <w:tcPr>
            <w:tcW w:w="1010" w:type="dxa"/>
            <w:tcBorders>
              <w:top w:val="single" w:sz="4" w:space="0" w:color="auto"/>
            </w:tcBorders>
          </w:tcPr>
          <w:p w14:paraId="51A121FC" w14:textId="77777777" w:rsidR="00E42813" w:rsidRPr="00FE21E4" w:rsidRDefault="00E42813" w:rsidP="00707A8A">
            <w:r>
              <w:t>.709</w:t>
            </w:r>
          </w:p>
        </w:tc>
        <w:tc>
          <w:tcPr>
            <w:tcW w:w="1147" w:type="dxa"/>
            <w:tcBorders>
              <w:top w:val="single" w:sz="4" w:space="0" w:color="auto"/>
            </w:tcBorders>
          </w:tcPr>
          <w:p w14:paraId="2DA1AA0C" w14:textId="77777777" w:rsidR="00E42813" w:rsidRPr="00FE21E4" w:rsidRDefault="00E42813" w:rsidP="00707A8A">
            <w:r>
              <w:t>17.21</w:t>
            </w:r>
          </w:p>
        </w:tc>
        <w:tc>
          <w:tcPr>
            <w:tcW w:w="1174" w:type="dxa"/>
            <w:tcBorders>
              <w:top w:val="single" w:sz="4" w:space="0" w:color="auto"/>
            </w:tcBorders>
          </w:tcPr>
          <w:p w14:paraId="2E055E9C" w14:textId="77777777" w:rsidR="00E42813" w:rsidRPr="00FE21E4" w:rsidRDefault="00E42813" w:rsidP="00707A8A">
            <w:r>
              <w:t>&lt;.001</w:t>
            </w:r>
          </w:p>
        </w:tc>
        <w:tc>
          <w:tcPr>
            <w:tcW w:w="941" w:type="dxa"/>
            <w:tcBorders>
              <w:top w:val="single" w:sz="4" w:space="0" w:color="auto"/>
            </w:tcBorders>
          </w:tcPr>
          <w:p w14:paraId="1F0B4EC1" w14:textId="77777777" w:rsidR="00E42813" w:rsidRPr="00FE21E4" w:rsidRDefault="00E42813" w:rsidP="00707A8A">
            <w:r>
              <w:t>.502</w:t>
            </w:r>
          </w:p>
        </w:tc>
        <w:tc>
          <w:tcPr>
            <w:tcW w:w="1321" w:type="dxa"/>
            <w:tcBorders>
              <w:top w:val="single" w:sz="4" w:space="0" w:color="auto"/>
            </w:tcBorders>
          </w:tcPr>
          <w:p w14:paraId="0FD911EA" w14:textId="77777777" w:rsidR="00E42813" w:rsidRPr="00FE21E4" w:rsidRDefault="00E42813" w:rsidP="00707A8A"/>
        </w:tc>
        <w:tc>
          <w:tcPr>
            <w:tcW w:w="1059" w:type="dxa"/>
            <w:tcBorders>
              <w:top w:val="single" w:sz="4" w:space="0" w:color="auto"/>
            </w:tcBorders>
          </w:tcPr>
          <w:p w14:paraId="159102A5" w14:textId="77777777" w:rsidR="00E42813" w:rsidRPr="00FE21E4" w:rsidRDefault="00E42813" w:rsidP="00707A8A"/>
        </w:tc>
      </w:tr>
      <w:tr w:rsidR="00E42813" w:rsidRPr="00FE21E4" w14:paraId="7230E9BB" w14:textId="77777777" w:rsidTr="00707A8A">
        <w:tc>
          <w:tcPr>
            <w:tcW w:w="671" w:type="dxa"/>
          </w:tcPr>
          <w:p w14:paraId="036B6C33" w14:textId="77777777" w:rsidR="00E42813" w:rsidRPr="00FE21E4" w:rsidRDefault="00E42813" w:rsidP="00707A8A">
            <w:r w:rsidRPr="00FE21E4">
              <w:t>2</w:t>
            </w:r>
          </w:p>
        </w:tc>
        <w:tc>
          <w:tcPr>
            <w:tcW w:w="2037" w:type="dxa"/>
          </w:tcPr>
          <w:p w14:paraId="4B22919B" w14:textId="77777777" w:rsidR="00E42813" w:rsidRDefault="00E42813" w:rsidP="00707A8A">
            <w:r>
              <w:t>T1 hostility</w:t>
            </w:r>
          </w:p>
          <w:p w14:paraId="0838C02D" w14:textId="77777777" w:rsidR="00E42813" w:rsidRDefault="00E42813" w:rsidP="00707A8A">
            <w:r>
              <w:t>T1 fusion</w:t>
            </w:r>
          </w:p>
          <w:p w14:paraId="04314229" w14:textId="77777777" w:rsidR="00E42813" w:rsidRPr="00FE21E4" w:rsidRDefault="00E42813" w:rsidP="00707A8A">
            <w:r>
              <w:t>T1 reappraisal</w:t>
            </w:r>
          </w:p>
        </w:tc>
        <w:tc>
          <w:tcPr>
            <w:tcW w:w="1010" w:type="dxa"/>
          </w:tcPr>
          <w:p w14:paraId="70C3E121" w14:textId="77777777" w:rsidR="00E42813" w:rsidRDefault="00E42813" w:rsidP="00707A8A">
            <w:r>
              <w:t>.664</w:t>
            </w:r>
          </w:p>
          <w:p w14:paraId="25A09EB5" w14:textId="77777777" w:rsidR="00E42813" w:rsidRDefault="00E42813" w:rsidP="00707A8A">
            <w:r>
              <w:t>.097</w:t>
            </w:r>
          </w:p>
          <w:p w14:paraId="1DF55900" w14:textId="77777777" w:rsidR="00E42813" w:rsidRPr="00FE21E4" w:rsidRDefault="00E42813" w:rsidP="00707A8A">
            <w:r>
              <w:t>-.019</w:t>
            </w:r>
          </w:p>
        </w:tc>
        <w:tc>
          <w:tcPr>
            <w:tcW w:w="1147" w:type="dxa"/>
          </w:tcPr>
          <w:p w14:paraId="68642745" w14:textId="77777777" w:rsidR="00E42813" w:rsidRDefault="00E42813" w:rsidP="00707A8A">
            <w:r>
              <w:t>14.63</w:t>
            </w:r>
          </w:p>
          <w:p w14:paraId="65436CD6" w14:textId="77777777" w:rsidR="00E42813" w:rsidRDefault="00E42813" w:rsidP="00707A8A">
            <w:r>
              <w:t>2.08</w:t>
            </w:r>
          </w:p>
          <w:p w14:paraId="66B347B9" w14:textId="77777777" w:rsidR="00E42813" w:rsidRPr="00FE21E4" w:rsidRDefault="00E42813" w:rsidP="00707A8A">
            <w:r>
              <w:t>-.44</w:t>
            </w:r>
          </w:p>
        </w:tc>
        <w:tc>
          <w:tcPr>
            <w:tcW w:w="1174" w:type="dxa"/>
          </w:tcPr>
          <w:p w14:paraId="06D37953" w14:textId="77777777" w:rsidR="00E42813" w:rsidRDefault="00E42813" w:rsidP="00707A8A">
            <w:r>
              <w:t>&lt;.001</w:t>
            </w:r>
          </w:p>
          <w:p w14:paraId="79E214F4" w14:textId="77777777" w:rsidR="00E42813" w:rsidRDefault="00E42813" w:rsidP="00707A8A">
            <w:r>
              <w:t>.038</w:t>
            </w:r>
          </w:p>
          <w:p w14:paraId="714AD07F" w14:textId="77777777" w:rsidR="00E42813" w:rsidRPr="00FE21E4" w:rsidRDefault="00E42813" w:rsidP="00707A8A">
            <w:r>
              <w:t>.663</w:t>
            </w:r>
          </w:p>
        </w:tc>
        <w:tc>
          <w:tcPr>
            <w:tcW w:w="941" w:type="dxa"/>
          </w:tcPr>
          <w:p w14:paraId="5E2D7BB7" w14:textId="77777777" w:rsidR="00E42813" w:rsidRPr="00FE21E4" w:rsidRDefault="00E42813" w:rsidP="00707A8A">
            <w:r>
              <w:t>.511</w:t>
            </w:r>
          </w:p>
        </w:tc>
        <w:tc>
          <w:tcPr>
            <w:tcW w:w="1321" w:type="dxa"/>
          </w:tcPr>
          <w:p w14:paraId="11F004C2" w14:textId="77777777" w:rsidR="00E42813" w:rsidRPr="00FE21E4" w:rsidRDefault="00E42813" w:rsidP="00707A8A">
            <w:r>
              <w:t>.009</w:t>
            </w:r>
          </w:p>
        </w:tc>
        <w:tc>
          <w:tcPr>
            <w:tcW w:w="1059" w:type="dxa"/>
          </w:tcPr>
          <w:p w14:paraId="3FF341D2" w14:textId="77777777" w:rsidR="00E42813" w:rsidRPr="00FE21E4" w:rsidRDefault="00E42813" w:rsidP="00707A8A">
            <w:r>
              <w:t>.069</w:t>
            </w:r>
          </w:p>
        </w:tc>
      </w:tr>
      <w:tr w:rsidR="00E42813" w:rsidRPr="00FE21E4" w14:paraId="6AFBB5A7" w14:textId="77777777" w:rsidTr="00707A8A">
        <w:tc>
          <w:tcPr>
            <w:tcW w:w="671" w:type="dxa"/>
          </w:tcPr>
          <w:p w14:paraId="59839FF8" w14:textId="77777777" w:rsidR="00E42813" w:rsidRPr="00FE21E4" w:rsidRDefault="00E42813" w:rsidP="00707A8A"/>
        </w:tc>
        <w:tc>
          <w:tcPr>
            <w:tcW w:w="2037" w:type="dxa"/>
          </w:tcPr>
          <w:p w14:paraId="299CE2CF" w14:textId="77777777" w:rsidR="00E42813" w:rsidRPr="00FE21E4" w:rsidRDefault="00E42813" w:rsidP="00707A8A"/>
        </w:tc>
        <w:tc>
          <w:tcPr>
            <w:tcW w:w="1010" w:type="dxa"/>
          </w:tcPr>
          <w:p w14:paraId="02B5E064" w14:textId="77777777" w:rsidR="00E42813" w:rsidRPr="00FE21E4" w:rsidRDefault="00E42813" w:rsidP="00707A8A"/>
        </w:tc>
        <w:tc>
          <w:tcPr>
            <w:tcW w:w="1147" w:type="dxa"/>
          </w:tcPr>
          <w:p w14:paraId="166E10DB" w14:textId="77777777" w:rsidR="00E42813" w:rsidRPr="00FE21E4" w:rsidRDefault="00E42813" w:rsidP="00707A8A"/>
        </w:tc>
        <w:tc>
          <w:tcPr>
            <w:tcW w:w="1174" w:type="dxa"/>
          </w:tcPr>
          <w:p w14:paraId="178961B4" w14:textId="77777777" w:rsidR="00E42813" w:rsidRPr="00FE21E4" w:rsidRDefault="00E42813" w:rsidP="00707A8A"/>
        </w:tc>
        <w:tc>
          <w:tcPr>
            <w:tcW w:w="941" w:type="dxa"/>
          </w:tcPr>
          <w:p w14:paraId="0C75ED17" w14:textId="77777777" w:rsidR="00E42813" w:rsidRPr="00FE21E4" w:rsidRDefault="00E42813" w:rsidP="00707A8A"/>
        </w:tc>
        <w:tc>
          <w:tcPr>
            <w:tcW w:w="1321" w:type="dxa"/>
          </w:tcPr>
          <w:p w14:paraId="231555C3" w14:textId="77777777" w:rsidR="00E42813" w:rsidRPr="00FE21E4" w:rsidRDefault="00E42813" w:rsidP="00707A8A"/>
        </w:tc>
        <w:tc>
          <w:tcPr>
            <w:tcW w:w="1059" w:type="dxa"/>
          </w:tcPr>
          <w:p w14:paraId="0487DB7B" w14:textId="77777777" w:rsidR="00E42813" w:rsidRPr="00FE21E4" w:rsidRDefault="00E42813" w:rsidP="00707A8A"/>
        </w:tc>
      </w:tr>
      <w:tr w:rsidR="00E42813" w:rsidRPr="00FE21E4" w14:paraId="7A55BCA7" w14:textId="77777777" w:rsidTr="00707A8A">
        <w:tc>
          <w:tcPr>
            <w:tcW w:w="9360" w:type="dxa"/>
            <w:gridSpan w:val="8"/>
            <w:tcBorders>
              <w:bottom w:val="single" w:sz="4" w:space="0" w:color="auto"/>
            </w:tcBorders>
          </w:tcPr>
          <w:p w14:paraId="5574BBCE" w14:textId="77777777" w:rsidR="00E42813" w:rsidRPr="00FE21E4" w:rsidRDefault="00E42813" w:rsidP="00707A8A">
            <w:r w:rsidRPr="00FE21E4">
              <w:t>Prediction of</w:t>
            </w:r>
            <w:r>
              <w:t xml:space="preserve"> T2</w:t>
            </w:r>
            <w:r w:rsidRPr="00FE21E4">
              <w:t xml:space="preserve"> eating problems</w:t>
            </w:r>
          </w:p>
        </w:tc>
      </w:tr>
      <w:tr w:rsidR="00E42813" w:rsidRPr="00FE21E4" w14:paraId="0F35EB1D" w14:textId="77777777" w:rsidTr="00707A8A">
        <w:tc>
          <w:tcPr>
            <w:tcW w:w="671" w:type="dxa"/>
            <w:tcBorders>
              <w:top w:val="single" w:sz="4" w:space="0" w:color="auto"/>
            </w:tcBorders>
          </w:tcPr>
          <w:p w14:paraId="4633454F" w14:textId="77777777" w:rsidR="00E42813" w:rsidRPr="00FE21E4" w:rsidRDefault="00E42813" w:rsidP="00707A8A">
            <w:r w:rsidRPr="00FE21E4">
              <w:t>1</w:t>
            </w:r>
          </w:p>
        </w:tc>
        <w:tc>
          <w:tcPr>
            <w:tcW w:w="2037" w:type="dxa"/>
            <w:tcBorders>
              <w:top w:val="single" w:sz="4" w:space="0" w:color="auto"/>
            </w:tcBorders>
          </w:tcPr>
          <w:p w14:paraId="37F6BE3E" w14:textId="77777777" w:rsidR="00E42813" w:rsidRPr="00FE21E4" w:rsidRDefault="00E42813" w:rsidP="00707A8A">
            <w:r>
              <w:t>T1 eating problems</w:t>
            </w:r>
          </w:p>
        </w:tc>
        <w:tc>
          <w:tcPr>
            <w:tcW w:w="1010" w:type="dxa"/>
            <w:tcBorders>
              <w:top w:val="single" w:sz="4" w:space="0" w:color="auto"/>
            </w:tcBorders>
          </w:tcPr>
          <w:p w14:paraId="0FED2280" w14:textId="77777777" w:rsidR="00E42813" w:rsidRPr="00FE21E4" w:rsidRDefault="00E42813" w:rsidP="00707A8A">
            <w:r>
              <w:t>.755</w:t>
            </w:r>
          </w:p>
        </w:tc>
        <w:tc>
          <w:tcPr>
            <w:tcW w:w="1147" w:type="dxa"/>
            <w:tcBorders>
              <w:top w:val="single" w:sz="4" w:space="0" w:color="auto"/>
            </w:tcBorders>
          </w:tcPr>
          <w:p w14:paraId="1751310A" w14:textId="77777777" w:rsidR="00E42813" w:rsidRPr="00FE21E4" w:rsidRDefault="00E42813" w:rsidP="00707A8A">
            <w:r>
              <w:t>19.77</w:t>
            </w:r>
          </w:p>
        </w:tc>
        <w:tc>
          <w:tcPr>
            <w:tcW w:w="1174" w:type="dxa"/>
            <w:tcBorders>
              <w:top w:val="single" w:sz="4" w:space="0" w:color="auto"/>
            </w:tcBorders>
          </w:tcPr>
          <w:p w14:paraId="20D30A60" w14:textId="77777777" w:rsidR="00E42813" w:rsidRPr="00FE21E4" w:rsidRDefault="00E42813" w:rsidP="00707A8A">
            <w:r>
              <w:t>&lt;.001</w:t>
            </w:r>
          </w:p>
        </w:tc>
        <w:tc>
          <w:tcPr>
            <w:tcW w:w="941" w:type="dxa"/>
            <w:tcBorders>
              <w:top w:val="single" w:sz="4" w:space="0" w:color="auto"/>
            </w:tcBorders>
          </w:tcPr>
          <w:p w14:paraId="5B41D220" w14:textId="77777777" w:rsidR="00E42813" w:rsidRPr="00FE21E4" w:rsidRDefault="00E42813" w:rsidP="00707A8A">
            <w:r>
              <w:t>.571</w:t>
            </w:r>
          </w:p>
        </w:tc>
        <w:tc>
          <w:tcPr>
            <w:tcW w:w="1321" w:type="dxa"/>
            <w:tcBorders>
              <w:top w:val="single" w:sz="4" w:space="0" w:color="auto"/>
            </w:tcBorders>
          </w:tcPr>
          <w:p w14:paraId="0726F9E2" w14:textId="77777777" w:rsidR="00E42813" w:rsidRPr="00FE21E4" w:rsidRDefault="00E42813" w:rsidP="00707A8A"/>
        </w:tc>
        <w:tc>
          <w:tcPr>
            <w:tcW w:w="1059" w:type="dxa"/>
            <w:tcBorders>
              <w:top w:val="single" w:sz="4" w:space="0" w:color="auto"/>
            </w:tcBorders>
          </w:tcPr>
          <w:p w14:paraId="7D4D07EC" w14:textId="77777777" w:rsidR="00E42813" w:rsidRPr="00FE21E4" w:rsidRDefault="00E42813" w:rsidP="00707A8A"/>
        </w:tc>
      </w:tr>
      <w:tr w:rsidR="00E42813" w:rsidRPr="00FE21E4" w14:paraId="147132B3" w14:textId="77777777" w:rsidTr="00707A8A">
        <w:tc>
          <w:tcPr>
            <w:tcW w:w="671" w:type="dxa"/>
          </w:tcPr>
          <w:p w14:paraId="22896D1C" w14:textId="77777777" w:rsidR="00E42813" w:rsidRPr="00FE21E4" w:rsidRDefault="00E42813" w:rsidP="00707A8A">
            <w:r w:rsidRPr="00FE21E4">
              <w:t>2</w:t>
            </w:r>
          </w:p>
        </w:tc>
        <w:tc>
          <w:tcPr>
            <w:tcW w:w="2037" w:type="dxa"/>
          </w:tcPr>
          <w:p w14:paraId="0D2BA025" w14:textId="77777777" w:rsidR="00E42813" w:rsidRDefault="00E42813" w:rsidP="00707A8A">
            <w:r>
              <w:t>T1 eating problems</w:t>
            </w:r>
          </w:p>
          <w:p w14:paraId="5DAB5E2B" w14:textId="77777777" w:rsidR="00E42813" w:rsidRDefault="00E42813" w:rsidP="00707A8A">
            <w:r>
              <w:t>T1 fusion</w:t>
            </w:r>
          </w:p>
          <w:p w14:paraId="12487057" w14:textId="77777777" w:rsidR="00E42813" w:rsidRPr="00FE21E4" w:rsidRDefault="00E42813" w:rsidP="00707A8A">
            <w:r>
              <w:t>T1 reappraisal</w:t>
            </w:r>
          </w:p>
        </w:tc>
        <w:tc>
          <w:tcPr>
            <w:tcW w:w="1010" w:type="dxa"/>
          </w:tcPr>
          <w:p w14:paraId="000A6F7C" w14:textId="77777777" w:rsidR="00E42813" w:rsidRDefault="00E42813" w:rsidP="00707A8A">
            <w:r>
              <w:t>.728</w:t>
            </w:r>
          </w:p>
          <w:p w14:paraId="2B638C2A" w14:textId="77777777" w:rsidR="00E42813" w:rsidRDefault="00E42813" w:rsidP="00707A8A"/>
          <w:p w14:paraId="2504EFDE" w14:textId="77777777" w:rsidR="00E42813" w:rsidRDefault="00E42813" w:rsidP="00707A8A">
            <w:r>
              <w:t>.047</w:t>
            </w:r>
          </w:p>
          <w:p w14:paraId="4972D923" w14:textId="77777777" w:rsidR="00E42813" w:rsidRPr="00FE21E4" w:rsidRDefault="00E42813" w:rsidP="00707A8A">
            <w:r>
              <w:t>-.063</w:t>
            </w:r>
          </w:p>
        </w:tc>
        <w:tc>
          <w:tcPr>
            <w:tcW w:w="1147" w:type="dxa"/>
          </w:tcPr>
          <w:p w14:paraId="5600E41D" w14:textId="77777777" w:rsidR="00E42813" w:rsidRDefault="00E42813" w:rsidP="00707A8A">
            <w:r>
              <w:t>17.51</w:t>
            </w:r>
          </w:p>
          <w:p w14:paraId="7B3C028D" w14:textId="77777777" w:rsidR="00E42813" w:rsidRDefault="00E42813" w:rsidP="00707A8A"/>
          <w:p w14:paraId="483AC924" w14:textId="77777777" w:rsidR="00E42813" w:rsidRDefault="00E42813" w:rsidP="00707A8A">
            <w:r>
              <w:t>1.08</w:t>
            </w:r>
          </w:p>
          <w:p w14:paraId="124355E7" w14:textId="77777777" w:rsidR="00E42813" w:rsidRPr="00FE21E4" w:rsidRDefault="00E42813" w:rsidP="00707A8A">
            <w:r>
              <w:t>-1.56</w:t>
            </w:r>
          </w:p>
        </w:tc>
        <w:tc>
          <w:tcPr>
            <w:tcW w:w="1174" w:type="dxa"/>
          </w:tcPr>
          <w:p w14:paraId="3C434101" w14:textId="77777777" w:rsidR="00E42813" w:rsidRDefault="00E42813" w:rsidP="00707A8A">
            <w:r>
              <w:t>&lt;.001</w:t>
            </w:r>
          </w:p>
          <w:p w14:paraId="7B21A524" w14:textId="77777777" w:rsidR="00E42813" w:rsidRDefault="00E42813" w:rsidP="00707A8A"/>
          <w:p w14:paraId="54C957DA" w14:textId="77777777" w:rsidR="00E42813" w:rsidRDefault="00E42813" w:rsidP="00707A8A">
            <w:r>
              <w:t>.280</w:t>
            </w:r>
          </w:p>
          <w:p w14:paraId="4B3C371D" w14:textId="77777777" w:rsidR="00E42813" w:rsidRPr="00FE21E4" w:rsidRDefault="00E42813" w:rsidP="00707A8A">
            <w:r>
              <w:t>.120</w:t>
            </w:r>
          </w:p>
        </w:tc>
        <w:tc>
          <w:tcPr>
            <w:tcW w:w="941" w:type="dxa"/>
          </w:tcPr>
          <w:p w14:paraId="601B231B" w14:textId="77777777" w:rsidR="00E42813" w:rsidRPr="00FE21E4" w:rsidRDefault="00E42813" w:rsidP="00707A8A">
            <w:r>
              <w:t>.578</w:t>
            </w:r>
          </w:p>
        </w:tc>
        <w:tc>
          <w:tcPr>
            <w:tcW w:w="1321" w:type="dxa"/>
          </w:tcPr>
          <w:p w14:paraId="0C1EBF45" w14:textId="77777777" w:rsidR="00E42813" w:rsidRPr="00FE21E4" w:rsidRDefault="00E42813" w:rsidP="00707A8A">
            <w:r>
              <w:t>.008</w:t>
            </w:r>
          </w:p>
        </w:tc>
        <w:tc>
          <w:tcPr>
            <w:tcW w:w="1059" w:type="dxa"/>
          </w:tcPr>
          <w:p w14:paraId="129C623B" w14:textId="77777777" w:rsidR="00E42813" w:rsidRPr="00FE21E4" w:rsidRDefault="00E42813" w:rsidP="00707A8A">
            <w:r>
              <w:t>.076</w:t>
            </w:r>
          </w:p>
        </w:tc>
      </w:tr>
      <w:tr w:rsidR="00E42813" w:rsidRPr="00FE21E4" w14:paraId="4305A9EC" w14:textId="77777777" w:rsidTr="00707A8A">
        <w:tc>
          <w:tcPr>
            <w:tcW w:w="671" w:type="dxa"/>
          </w:tcPr>
          <w:p w14:paraId="55B2B885" w14:textId="77777777" w:rsidR="00E42813" w:rsidRPr="00FE21E4" w:rsidRDefault="00E42813" w:rsidP="00707A8A"/>
        </w:tc>
        <w:tc>
          <w:tcPr>
            <w:tcW w:w="2037" w:type="dxa"/>
          </w:tcPr>
          <w:p w14:paraId="445DA8B3" w14:textId="77777777" w:rsidR="00E42813" w:rsidRPr="00FE21E4" w:rsidRDefault="00E42813" w:rsidP="00707A8A"/>
        </w:tc>
        <w:tc>
          <w:tcPr>
            <w:tcW w:w="1010" w:type="dxa"/>
          </w:tcPr>
          <w:p w14:paraId="581DA175" w14:textId="77777777" w:rsidR="00E42813" w:rsidRPr="00FE21E4" w:rsidRDefault="00E42813" w:rsidP="00707A8A"/>
        </w:tc>
        <w:tc>
          <w:tcPr>
            <w:tcW w:w="1147" w:type="dxa"/>
          </w:tcPr>
          <w:p w14:paraId="03C7FBD2" w14:textId="77777777" w:rsidR="00E42813" w:rsidRPr="00FE21E4" w:rsidRDefault="00E42813" w:rsidP="00707A8A"/>
        </w:tc>
        <w:tc>
          <w:tcPr>
            <w:tcW w:w="1174" w:type="dxa"/>
          </w:tcPr>
          <w:p w14:paraId="2A145380" w14:textId="77777777" w:rsidR="00E42813" w:rsidRPr="00FE21E4" w:rsidRDefault="00E42813" w:rsidP="00707A8A"/>
        </w:tc>
        <w:tc>
          <w:tcPr>
            <w:tcW w:w="941" w:type="dxa"/>
          </w:tcPr>
          <w:p w14:paraId="68D40F6B" w14:textId="77777777" w:rsidR="00E42813" w:rsidRPr="00FE21E4" w:rsidRDefault="00E42813" w:rsidP="00707A8A"/>
        </w:tc>
        <w:tc>
          <w:tcPr>
            <w:tcW w:w="1321" w:type="dxa"/>
          </w:tcPr>
          <w:p w14:paraId="2A60655F" w14:textId="77777777" w:rsidR="00E42813" w:rsidRPr="00FE21E4" w:rsidRDefault="00E42813" w:rsidP="00707A8A"/>
        </w:tc>
        <w:tc>
          <w:tcPr>
            <w:tcW w:w="1059" w:type="dxa"/>
          </w:tcPr>
          <w:p w14:paraId="4F1DBDC2" w14:textId="77777777" w:rsidR="00E42813" w:rsidRPr="00FE21E4" w:rsidRDefault="00E42813" w:rsidP="00707A8A"/>
        </w:tc>
      </w:tr>
      <w:tr w:rsidR="00E42813" w:rsidRPr="00FE21E4" w14:paraId="06865668" w14:textId="77777777" w:rsidTr="00707A8A">
        <w:trPr>
          <w:trHeight w:val="305"/>
        </w:trPr>
        <w:tc>
          <w:tcPr>
            <w:tcW w:w="9360" w:type="dxa"/>
            <w:gridSpan w:val="8"/>
            <w:tcBorders>
              <w:bottom w:val="single" w:sz="4" w:space="0" w:color="auto"/>
            </w:tcBorders>
          </w:tcPr>
          <w:p w14:paraId="4B549288" w14:textId="77777777" w:rsidR="00E42813" w:rsidRPr="00FE21E4" w:rsidRDefault="00E42813" w:rsidP="00707A8A">
            <w:r w:rsidRPr="00FE21E4">
              <w:t xml:space="preserve">Prediction of </w:t>
            </w:r>
            <w:r>
              <w:t xml:space="preserve">T2 </w:t>
            </w:r>
            <w:r w:rsidRPr="00FE21E4">
              <w:t>academic distress</w:t>
            </w:r>
          </w:p>
        </w:tc>
      </w:tr>
      <w:tr w:rsidR="00E42813" w:rsidRPr="00FE21E4" w14:paraId="1A5E754F" w14:textId="77777777" w:rsidTr="00707A8A">
        <w:tc>
          <w:tcPr>
            <w:tcW w:w="671" w:type="dxa"/>
            <w:tcBorders>
              <w:top w:val="single" w:sz="4" w:space="0" w:color="auto"/>
            </w:tcBorders>
          </w:tcPr>
          <w:p w14:paraId="6AAD95F1" w14:textId="77777777" w:rsidR="00E42813" w:rsidRPr="00FE21E4" w:rsidRDefault="00E42813" w:rsidP="00707A8A">
            <w:r w:rsidRPr="00FE21E4">
              <w:t>1</w:t>
            </w:r>
          </w:p>
        </w:tc>
        <w:tc>
          <w:tcPr>
            <w:tcW w:w="2037" w:type="dxa"/>
            <w:tcBorders>
              <w:top w:val="single" w:sz="4" w:space="0" w:color="auto"/>
            </w:tcBorders>
          </w:tcPr>
          <w:p w14:paraId="205E274E" w14:textId="77777777" w:rsidR="00E42813" w:rsidRPr="00FE21E4" w:rsidRDefault="00E42813" w:rsidP="00707A8A">
            <w:r>
              <w:t>T1 academic distress</w:t>
            </w:r>
          </w:p>
        </w:tc>
        <w:tc>
          <w:tcPr>
            <w:tcW w:w="1010" w:type="dxa"/>
            <w:tcBorders>
              <w:top w:val="single" w:sz="4" w:space="0" w:color="auto"/>
            </w:tcBorders>
          </w:tcPr>
          <w:p w14:paraId="57168C43" w14:textId="77777777" w:rsidR="00E42813" w:rsidRPr="00FE21E4" w:rsidRDefault="00E42813" w:rsidP="00707A8A">
            <w:r>
              <w:t>.687</w:t>
            </w:r>
          </w:p>
        </w:tc>
        <w:tc>
          <w:tcPr>
            <w:tcW w:w="1147" w:type="dxa"/>
            <w:tcBorders>
              <w:top w:val="single" w:sz="4" w:space="0" w:color="auto"/>
            </w:tcBorders>
          </w:tcPr>
          <w:p w14:paraId="170FD7A2" w14:textId="77777777" w:rsidR="00E42813" w:rsidRPr="00FE21E4" w:rsidRDefault="00E42813" w:rsidP="00707A8A">
            <w:r>
              <w:t>16.05</w:t>
            </w:r>
          </w:p>
        </w:tc>
        <w:tc>
          <w:tcPr>
            <w:tcW w:w="1174" w:type="dxa"/>
            <w:tcBorders>
              <w:top w:val="single" w:sz="4" w:space="0" w:color="auto"/>
            </w:tcBorders>
          </w:tcPr>
          <w:p w14:paraId="55D02DE7" w14:textId="77777777" w:rsidR="00E42813" w:rsidRPr="00FE21E4" w:rsidRDefault="00E42813" w:rsidP="00707A8A">
            <w:r>
              <w:t>&lt;.001</w:t>
            </w:r>
          </w:p>
        </w:tc>
        <w:tc>
          <w:tcPr>
            <w:tcW w:w="941" w:type="dxa"/>
            <w:tcBorders>
              <w:top w:val="single" w:sz="4" w:space="0" w:color="auto"/>
            </w:tcBorders>
          </w:tcPr>
          <w:p w14:paraId="2E7DDEC5" w14:textId="77777777" w:rsidR="00E42813" w:rsidRPr="00FE21E4" w:rsidRDefault="00E42813" w:rsidP="00707A8A">
            <w:r>
              <w:t>.471</w:t>
            </w:r>
          </w:p>
        </w:tc>
        <w:tc>
          <w:tcPr>
            <w:tcW w:w="1321" w:type="dxa"/>
            <w:tcBorders>
              <w:top w:val="single" w:sz="4" w:space="0" w:color="auto"/>
            </w:tcBorders>
          </w:tcPr>
          <w:p w14:paraId="2DD7FBF7" w14:textId="77777777" w:rsidR="00E42813" w:rsidRPr="00FE21E4" w:rsidRDefault="00E42813" w:rsidP="00707A8A"/>
        </w:tc>
        <w:tc>
          <w:tcPr>
            <w:tcW w:w="1059" w:type="dxa"/>
            <w:tcBorders>
              <w:top w:val="single" w:sz="4" w:space="0" w:color="auto"/>
            </w:tcBorders>
          </w:tcPr>
          <w:p w14:paraId="51EA08BF" w14:textId="77777777" w:rsidR="00E42813" w:rsidRPr="00FE21E4" w:rsidRDefault="00E42813" w:rsidP="00707A8A"/>
        </w:tc>
      </w:tr>
      <w:tr w:rsidR="00E42813" w:rsidRPr="00FE21E4" w14:paraId="0A51D6FE" w14:textId="77777777" w:rsidTr="00707A8A">
        <w:tc>
          <w:tcPr>
            <w:tcW w:w="671" w:type="dxa"/>
          </w:tcPr>
          <w:p w14:paraId="34C71D15" w14:textId="77777777" w:rsidR="00E42813" w:rsidRPr="00FE21E4" w:rsidRDefault="00E42813" w:rsidP="00707A8A">
            <w:r w:rsidRPr="00FE21E4">
              <w:lastRenderedPageBreak/>
              <w:t>2</w:t>
            </w:r>
          </w:p>
        </w:tc>
        <w:tc>
          <w:tcPr>
            <w:tcW w:w="2037" w:type="dxa"/>
          </w:tcPr>
          <w:p w14:paraId="55B3901C" w14:textId="77777777" w:rsidR="00E42813" w:rsidRDefault="00E42813" w:rsidP="00707A8A">
            <w:r>
              <w:t>T1 academic distress</w:t>
            </w:r>
          </w:p>
          <w:p w14:paraId="64AC6813" w14:textId="77777777" w:rsidR="00E42813" w:rsidRDefault="00E42813" w:rsidP="00707A8A">
            <w:r>
              <w:t>T1 fusion</w:t>
            </w:r>
          </w:p>
          <w:p w14:paraId="45217BF1" w14:textId="77777777" w:rsidR="00E42813" w:rsidRPr="00FE21E4" w:rsidRDefault="00E42813" w:rsidP="00707A8A">
            <w:r>
              <w:t>T1 reappraisal</w:t>
            </w:r>
          </w:p>
        </w:tc>
        <w:tc>
          <w:tcPr>
            <w:tcW w:w="1010" w:type="dxa"/>
          </w:tcPr>
          <w:p w14:paraId="309C9AA1" w14:textId="77777777" w:rsidR="00E42813" w:rsidRDefault="00E42813" w:rsidP="00707A8A">
            <w:r>
              <w:t>.559</w:t>
            </w:r>
          </w:p>
          <w:p w14:paraId="02E4D04F" w14:textId="77777777" w:rsidR="00E42813" w:rsidRDefault="00E42813" w:rsidP="00707A8A"/>
          <w:p w14:paraId="1F18148F" w14:textId="77777777" w:rsidR="00E42813" w:rsidRDefault="00E42813" w:rsidP="00707A8A">
            <w:r>
              <w:t>.196</w:t>
            </w:r>
          </w:p>
          <w:p w14:paraId="79D96BB8" w14:textId="77777777" w:rsidR="00E42813" w:rsidRPr="00FE21E4" w:rsidRDefault="00E42813" w:rsidP="00707A8A">
            <w:r>
              <w:t>-.050</w:t>
            </w:r>
          </w:p>
        </w:tc>
        <w:tc>
          <w:tcPr>
            <w:tcW w:w="1147" w:type="dxa"/>
          </w:tcPr>
          <w:p w14:paraId="25066469" w14:textId="77777777" w:rsidR="00E42813" w:rsidRDefault="00E42813" w:rsidP="00707A8A">
            <w:r>
              <w:t>10.85</w:t>
            </w:r>
          </w:p>
          <w:p w14:paraId="0146DFA6" w14:textId="77777777" w:rsidR="00E42813" w:rsidRDefault="00E42813" w:rsidP="00707A8A"/>
          <w:p w14:paraId="16FE8C12" w14:textId="77777777" w:rsidR="00E42813" w:rsidRDefault="00E42813" w:rsidP="00707A8A">
            <w:r>
              <w:t>3.88</w:t>
            </w:r>
          </w:p>
          <w:p w14:paraId="3E503AD3" w14:textId="77777777" w:rsidR="00E42813" w:rsidRPr="00FE21E4" w:rsidRDefault="00E42813" w:rsidP="00707A8A">
            <w:r>
              <w:t>-1.09</w:t>
            </w:r>
          </w:p>
        </w:tc>
        <w:tc>
          <w:tcPr>
            <w:tcW w:w="1174" w:type="dxa"/>
          </w:tcPr>
          <w:p w14:paraId="26ED7D0B" w14:textId="77777777" w:rsidR="00E42813" w:rsidRDefault="00E42813" w:rsidP="00707A8A">
            <w:r>
              <w:t>&lt;.001</w:t>
            </w:r>
          </w:p>
          <w:p w14:paraId="7FE2DC9E" w14:textId="77777777" w:rsidR="00E42813" w:rsidRDefault="00E42813" w:rsidP="00707A8A"/>
          <w:p w14:paraId="3D36A07F" w14:textId="77777777" w:rsidR="00E42813" w:rsidRDefault="00E42813" w:rsidP="00707A8A">
            <w:r>
              <w:t>&lt;.001</w:t>
            </w:r>
          </w:p>
          <w:p w14:paraId="73B7EECB" w14:textId="77777777" w:rsidR="00E42813" w:rsidRPr="00FE21E4" w:rsidRDefault="00E42813" w:rsidP="00707A8A">
            <w:r>
              <w:t>.275</w:t>
            </w:r>
          </w:p>
        </w:tc>
        <w:tc>
          <w:tcPr>
            <w:tcW w:w="941" w:type="dxa"/>
          </w:tcPr>
          <w:p w14:paraId="7250C699" w14:textId="77777777" w:rsidR="00E42813" w:rsidRPr="00FE21E4" w:rsidRDefault="00E42813" w:rsidP="00707A8A">
            <w:r>
              <w:t>.503</w:t>
            </w:r>
          </w:p>
        </w:tc>
        <w:tc>
          <w:tcPr>
            <w:tcW w:w="1321" w:type="dxa"/>
          </w:tcPr>
          <w:p w14:paraId="1FDFC84E" w14:textId="77777777" w:rsidR="00E42813" w:rsidRPr="00FE21E4" w:rsidRDefault="00E42813" w:rsidP="00707A8A">
            <w:r>
              <w:t>.031</w:t>
            </w:r>
          </w:p>
        </w:tc>
        <w:tc>
          <w:tcPr>
            <w:tcW w:w="1059" w:type="dxa"/>
          </w:tcPr>
          <w:p w14:paraId="67142164" w14:textId="77777777" w:rsidR="00E42813" w:rsidRPr="00FE21E4" w:rsidRDefault="00E42813" w:rsidP="00707A8A">
            <w:r>
              <w:t>&lt;.001</w:t>
            </w:r>
          </w:p>
        </w:tc>
      </w:tr>
      <w:tr w:rsidR="00E42813" w:rsidRPr="00FE21E4" w14:paraId="234DFB29" w14:textId="77777777" w:rsidTr="00707A8A">
        <w:trPr>
          <w:trHeight w:val="342"/>
        </w:trPr>
        <w:tc>
          <w:tcPr>
            <w:tcW w:w="671" w:type="dxa"/>
          </w:tcPr>
          <w:p w14:paraId="00B183B4" w14:textId="77777777" w:rsidR="00E42813" w:rsidRPr="00FE21E4" w:rsidRDefault="00E42813" w:rsidP="00707A8A"/>
        </w:tc>
        <w:tc>
          <w:tcPr>
            <w:tcW w:w="2037" w:type="dxa"/>
          </w:tcPr>
          <w:p w14:paraId="3516310F" w14:textId="77777777" w:rsidR="00E42813" w:rsidRPr="00FE21E4" w:rsidRDefault="00E42813" w:rsidP="00707A8A"/>
        </w:tc>
        <w:tc>
          <w:tcPr>
            <w:tcW w:w="1010" w:type="dxa"/>
          </w:tcPr>
          <w:p w14:paraId="2F64EDC9" w14:textId="77777777" w:rsidR="00E42813" w:rsidRPr="00FE21E4" w:rsidRDefault="00E42813" w:rsidP="00707A8A"/>
        </w:tc>
        <w:tc>
          <w:tcPr>
            <w:tcW w:w="1147" w:type="dxa"/>
          </w:tcPr>
          <w:p w14:paraId="4E02F51F" w14:textId="77777777" w:rsidR="00E42813" w:rsidRPr="00FE21E4" w:rsidRDefault="00E42813" w:rsidP="00707A8A"/>
        </w:tc>
        <w:tc>
          <w:tcPr>
            <w:tcW w:w="1174" w:type="dxa"/>
          </w:tcPr>
          <w:p w14:paraId="62829830" w14:textId="77777777" w:rsidR="00E42813" w:rsidRPr="00FE21E4" w:rsidRDefault="00E42813" w:rsidP="00707A8A"/>
        </w:tc>
        <w:tc>
          <w:tcPr>
            <w:tcW w:w="941" w:type="dxa"/>
          </w:tcPr>
          <w:p w14:paraId="47155D94" w14:textId="77777777" w:rsidR="00E42813" w:rsidRPr="00FE21E4" w:rsidRDefault="00E42813" w:rsidP="00707A8A"/>
        </w:tc>
        <w:tc>
          <w:tcPr>
            <w:tcW w:w="1321" w:type="dxa"/>
          </w:tcPr>
          <w:p w14:paraId="19B3BF13" w14:textId="77777777" w:rsidR="00E42813" w:rsidRPr="00FE21E4" w:rsidRDefault="00E42813" w:rsidP="00707A8A"/>
        </w:tc>
        <w:tc>
          <w:tcPr>
            <w:tcW w:w="1059" w:type="dxa"/>
          </w:tcPr>
          <w:p w14:paraId="1FB5FA3F" w14:textId="77777777" w:rsidR="00E42813" w:rsidRPr="00FE21E4" w:rsidRDefault="00E42813" w:rsidP="00707A8A"/>
        </w:tc>
      </w:tr>
      <w:tr w:rsidR="00E42813" w:rsidRPr="00FE21E4" w14:paraId="4EEB1DE5" w14:textId="77777777" w:rsidTr="00707A8A">
        <w:tc>
          <w:tcPr>
            <w:tcW w:w="9360" w:type="dxa"/>
            <w:gridSpan w:val="8"/>
            <w:tcBorders>
              <w:bottom w:val="single" w:sz="4" w:space="0" w:color="auto"/>
            </w:tcBorders>
          </w:tcPr>
          <w:p w14:paraId="01A9172F" w14:textId="77777777" w:rsidR="00E42813" w:rsidRPr="00FE21E4" w:rsidRDefault="00E42813" w:rsidP="00707A8A">
            <w:r w:rsidRPr="00FE21E4">
              <w:t xml:space="preserve">Prediction of </w:t>
            </w:r>
            <w:r>
              <w:t xml:space="preserve">T2 </w:t>
            </w:r>
            <w:r w:rsidRPr="00FE21E4">
              <w:t>family distress</w:t>
            </w:r>
          </w:p>
        </w:tc>
      </w:tr>
      <w:tr w:rsidR="00E42813" w:rsidRPr="00FE21E4" w14:paraId="7F50E211" w14:textId="77777777" w:rsidTr="00707A8A">
        <w:trPr>
          <w:trHeight w:val="278"/>
        </w:trPr>
        <w:tc>
          <w:tcPr>
            <w:tcW w:w="671" w:type="dxa"/>
            <w:tcBorders>
              <w:top w:val="single" w:sz="4" w:space="0" w:color="auto"/>
            </w:tcBorders>
          </w:tcPr>
          <w:p w14:paraId="2CE6C065" w14:textId="77777777" w:rsidR="00E42813" w:rsidRPr="00FE21E4" w:rsidRDefault="00E42813" w:rsidP="00707A8A">
            <w:r w:rsidRPr="00FE21E4">
              <w:t>1</w:t>
            </w:r>
          </w:p>
        </w:tc>
        <w:tc>
          <w:tcPr>
            <w:tcW w:w="2037" w:type="dxa"/>
            <w:tcBorders>
              <w:top w:val="single" w:sz="4" w:space="0" w:color="auto"/>
            </w:tcBorders>
          </w:tcPr>
          <w:p w14:paraId="2B6FBEB4" w14:textId="77777777" w:rsidR="00E42813" w:rsidRPr="00FE21E4" w:rsidRDefault="00E42813" w:rsidP="00707A8A">
            <w:r>
              <w:t>T1 family distress</w:t>
            </w:r>
          </w:p>
        </w:tc>
        <w:tc>
          <w:tcPr>
            <w:tcW w:w="1010" w:type="dxa"/>
            <w:tcBorders>
              <w:top w:val="single" w:sz="4" w:space="0" w:color="auto"/>
            </w:tcBorders>
          </w:tcPr>
          <w:p w14:paraId="78F3DB53" w14:textId="77777777" w:rsidR="00E42813" w:rsidRPr="00FE21E4" w:rsidRDefault="00E42813" w:rsidP="00707A8A">
            <w:r>
              <w:t>.784</w:t>
            </w:r>
          </w:p>
        </w:tc>
        <w:tc>
          <w:tcPr>
            <w:tcW w:w="1147" w:type="dxa"/>
            <w:tcBorders>
              <w:top w:val="single" w:sz="4" w:space="0" w:color="auto"/>
            </w:tcBorders>
          </w:tcPr>
          <w:p w14:paraId="3E31FA7C" w14:textId="77777777" w:rsidR="00E42813" w:rsidRPr="00FE21E4" w:rsidRDefault="00E42813" w:rsidP="00707A8A">
            <w:r>
              <w:t>21.47</w:t>
            </w:r>
          </w:p>
        </w:tc>
        <w:tc>
          <w:tcPr>
            <w:tcW w:w="1174" w:type="dxa"/>
            <w:tcBorders>
              <w:top w:val="single" w:sz="4" w:space="0" w:color="auto"/>
            </w:tcBorders>
          </w:tcPr>
          <w:p w14:paraId="1E63404A" w14:textId="77777777" w:rsidR="00E42813" w:rsidRPr="00FE21E4" w:rsidRDefault="00E42813" w:rsidP="00707A8A">
            <w:r>
              <w:t>&lt;.001</w:t>
            </w:r>
          </w:p>
        </w:tc>
        <w:tc>
          <w:tcPr>
            <w:tcW w:w="941" w:type="dxa"/>
            <w:tcBorders>
              <w:top w:val="single" w:sz="4" w:space="0" w:color="auto"/>
            </w:tcBorders>
          </w:tcPr>
          <w:p w14:paraId="60A6172B" w14:textId="77777777" w:rsidR="00E42813" w:rsidRPr="00FE21E4" w:rsidRDefault="00E42813" w:rsidP="00707A8A">
            <w:r>
              <w:t>.615</w:t>
            </w:r>
          </w:p>
        </w:tc>
        <w:tc>
          <w:tcPr>
            <w:tcW w:w="1321" w:type="dxa"/>
            <w:tcBorders>
              <w:top w:val="single" w:sz="4" w:space="0" w:color="auto"/>
            </w:tcBorders>
          </w:tcPr>
          <w:p w14:paraId="5ED3C6FA" w14:textId="77777777" w:rsidR="00E42813" w:rsidRPr="00FE21E4" w:rsidRDefault="00E42813" w:rsidP="00707A8A"/>
        </w:tc>
        <w:tc>
          <w:tcPr>
            <w:tcW w:w="1059" w:type="dxa"/>
            <w:tcBorders>
              <w:top w:val="single" w:sz="4" w:space="0" w:color="auto"/>
            </w:tcBorders>
          </w:tcPr>
          <w:p w14:paraId="7D855668" w14:textId="77777777" w:rsidR="00E42813" w:rsidRPr="00FE21E4" w:rsidRDefault="00E42813" w:rsidP="00707A8A"/>
        </w:tc>
      </w:tr>
      <w:tr w:rsidR="00E42813" w:rsidRPr="00FE21E4" w14:paraId="4659913F" w14:textId="77777777" w:rsidTr="00707A8A">
        <w:tc>
          <w:tcPr>
            <w:tcW w:w="671" w:type="dxa"/>
          </w:tcPr>
          <w:p w14:paraId="5CFDA3FB" w14:textId="77777777" w:rsidR="00E42813" w:rsidRPr="00FE21E4" w:rsidRDefault="00E42813" w:rsidP="00707A8A">
            <w:r w:rsidRPr="00FE21E4">
              <w:t>2</w:t>
            </w:r>
          </w:p>
        </w:tc>
        <w:tc>
          <w:tcPr>
            <w:tcW w:w="2037" w:type="dxa"/>
          </w:tcPr>
          <w:p w14:paraId="0988AD21" w14:textId="77777777" w:rsidR="00E42813" w:rsidRDefault="00E42813" w:rsidP="00707A8A">
            <w:r>
              <w:t>T1 family distress</w:t>
            </w:r>
          </w:p>
          <w:p w14:paraId="5B666F67" w14:textId="77777777" w:rsidR="00E42813" w:rsidRDefault="00E42813" w:rsidP="00707A8A">
            <w:r>
              <w:t>T1 fusion</w:t>
            </w:r>
          </w:p>
          <w:p w14:paraId="03CCA6E7" w14:textId="77777777" w:rsidR="00E42813" w:rsidRPr="00FE21E4" w:rsidRDefault="00E42813" w:rsidP="00707A8A">
            <w:r>
              <w:t>T1 reappraisal</w:t>
            </w:r>
          </w:p>
        </w:tc>
        <w:tc>
          <w:tcPr>
            <w:tcW w:w="1010" w:type="dxa"/>
          </w:tcPr>
          <w:p w14:paraId="5D2B8F48" w14:textId="77777777" w:rsidR="00E42813" w:rsidRDefault="00E42813" w:rsidP="00707A8A">
            <w:r>
              <w:t>.776</w:t>
            </w:r>
          </w:p>
          <w:p w14:paraId="6B24B32A" w14:textId="77777777" w:rsidR="00E42813" w:rsidRDefault="00E42813" w:rsidP="00707A8A">
            <w:r>
              <w:t>.009</w:t>
            </w:r>
          </w:p>
          <w:p w14:paraId="79FA55AE" w14:textId="77777777" w:rsidR="00E42813" w:rsidRPr="00FE21E4" w:rsidRDefault="00E42813" w:rsidP="00707A8A">
            <w:r>
              <w:t>-.013</w:t>
            </w:r>
          </w:p>
        </w:tc>
        <w:tc>
          <w:tcPr>
            <w:tcW w:w="1147" w:type="dxa"/>
          </w:tcPr>
          <w:p w14:paraId="13B5E522" w14:textId="77777777" w:rsidR="00E42813" w:rsidRDefault="00E42813" w:rsidP="00707A8A">
            <w:r>
              <w:t>18.67</w:t>
            </w:r>
          </w:p>
          <w:p w14:paraId="4423F2A3" w14:textId="77777777" w:rsidR="00E42813" w:rsidRDefault="00E42813" w:rsidP="00707A8A">
            <w:r>
              <w:t>.22</w:t>
            </w:r>
          </w:p>
          <w:p w14:paraId="32203447" w14:textId="77777777" w:rsidR="00E42813" w:rsidRPr="00FE21E4" w:rsidRDefault="00E42813" w:rsidP="00707A8A">
            <w:r>
              <w:t>-.33</w:t>
            </w:r>
          </w:p>
        </w:tc>
        <w:tc>
          <w:tcPr>
            <w:tcW w:w="1174" w:type="dxa"/>
          </w:tcPr>
          <w:p w14:paraId="18825233" w14:textId="77777777" w:rsidR="00E42813" w:rsidRDefault="00E42813" w:rsidP="00707A8A">
            <w:r>
              <w:t>&lt;.001</w:t>
            </w:r>
          </w:p>
          <w:p w14:paraId="5A98302A" w14:textId="77777777" w:rsidR="00E42813" w:rsidRDefault="00E42813" w:rsidP="00707A8A">
            <w:r>
              <w:t>.83</w:t>
            </w:r>
          </w:p>
          <w:p w14:paraId="1B7C9998" w14:textId="77777777" w:rsidR="00E42813" w:rsidRPr="00FE21E4" w:rsidRDefault="00E42813" w:rsidP="00707A8A">
            <w:r>
              <w:t>.74</w:t>
            </w:r>
          </w:p>
        </w:tc>
        <w:tc>
          <w:tcPr>
            <w:tcW w:w="941" w:type="dxa"/>
          </w:tcPr>
          <w:p w14:paraId="161D29FF" w14:textId="77777777" w:rsidR="00E42813" w:rsidRPr="00FE21E4" w:rsidRDefault="00E42813" w:rsidP="00707A8A">
            <w:r>
              <w:t>.615</w:t>
            </w:r>
          </w:p>
        </w:tc>
        <w:tc>
          <w:tcPr>
            <w:tcW w:w="1321" w:type="dxa"/>
          </w:tcPr>
          <w:p w14:paraId="77E0E3F0" w14:textId="77777777" w:rsidR="00E42813" w:rsidRPr="00FE21E4" w:rsidRDefault="00E42813" w:rsidP="00707A8A">
            <w:r>
              <w:t>.000</w:t>
            </w:r>
          </w:p>
        </w:tc>
        <w:tc>
          <w:tcPr>
            <w:tcW w:w="1059" w:type="dxa"/>
          </w:tcPr>
          <w:p w14:paraId="09957942" w14:textId="77777777" w:rsidR="00E42813" w:rsidRPr="00FE21E4" w:rsidRDefault="00E42813" w:rsidP="00707A8A">
            <w:r>
              <w:t>.900</w:t>
            </w:r>
          </w:p>
        </w:tc>
      </w:tr>
      <w:tr w:rsidR="00E42813" w:rsidRPr="00FE21E4" w14:paraId="594387C4" w14:textId="77777777" w:rsidTr="00707A8A">
        <w:tc>
          <w:tcPr>
            <w:tcW w:w="671" w:type="dxa"/>
          </w:tcPr>
          <w:p w14:paraId="75260788" w14:textId="77777777" w:rsidR="00E42813" w:rsidRPr="00FE21E4" w:rsidRDefault="00E42813" w:rsidP="00707A8A"/>
        </w:tc>
        <w:tc>
          <w:tcPr>
            <w:tcW w:w="2037" w:type="dxa"/>
          </w:tcPr>
          <w:p w14:paraId="4EFBF0F4" w14:textId="77777777" w:rsidR="00E42813" w:rsidRPr="00FE21E4" w:rsidRDefault="00E42813" w:rsidP="00707A8A"/>
        </w:tc>
        <w:tc>
          <w:tcPr>
            <w:tcW w:w="1010" w:type="dxa"/>
          </w:tcPr>
          <w:p w14:paraId="3257A6EB" w14:textId="77777777" w:rsidR="00E42813" w:rsidRPr="00FE21E4" w:rsidRDefault="00E42813" w:rsidP="00707A8A"/>
        </w:tc>
        <w:tc>
          <w:tcPr>
            <w:tcW w:w="1147" w:type="dxa"/>
          </w:tcPr>
          <w:p w14:paraId="67AB5CE3" w14:textId="77777777" w:rsidR="00E42813" w:rsidRPr="00FE21E4" w:rsidRDefault="00E42813" w:rsidP="00707A8A"/>
        </w:tc>
        <w:tc>
          <w:tcPr>
            <w:tcW w:w="1174" w:type="dxa"/>
          </w:tcPr>
          <w:p w14:paraId="3417504D" w14:textId="77777777" w:rsidR="00E42813" w:rsidRPr="00FE21E4" w:rsidRDefault="00E42813" w:rsidP="00707A8A"/>
        </w:tc>
        <w:tc>
          <w:tcPr>
            <w:tcW w:w="941" w:type="dxa"/>
          </w:tcPr>
          <w:p w14:paraId="7D7059A9" w14:textId="77777777" w:rsidR="00E42813" w:rsidRPr="00FE21E4" w:rsidRDefault="00E42813" w:rsidP="00707A8A"/>
        </w:tc>
        <w:tc>
          <w:tcPr>
            <w:tcW w:w="1321" w:type="dxa"/>
          </w:tcPr>
          <w:p w14:paraId="5A2C915E" w14:textId="77777777" w:rsidR="00E42813" w:rsidRPr="00FE21E4" w:rsidRDefault="00E42813" w:rsidP="00707A8A"/>
        </w:tc>
        <w:tc>
          <w:tcPr>
            <w:tcW w:w="1059" w:type="dxa"/>
          </w:tcPr>
          <w:p w14:paraId="7AD1AF6B" w14:textId="77777777" w:rsidR="00E42813" w:rsidRPr="00FE21E4" w:rsidRDefault="00E42813" w:rsidP="00707A8A"/>
        </w:tc>
      </w:tr>
      <w:tr w:rsidR="00E42813" w:rsidRPr="00FE21E4" w14:paraId="6AC7066B" w14:textId="77777777" w:rsidTr="00707A8A">
        <w:tc>
          <w:tcPr>
            <w:tcW w:w="9360" w:type="dxa"/>
            <w:gridSpan w:val="8"/>
            <w:tcBorders>
              <w:bottom w:val="single" w:sz="4" w:space="0" w:color="auto"/>
            </w:tcBorders>
          </w:tcPr>
          <w:p w14:paraId="0EBC59A0" w14:textId="77777777" w:rsidR="00E42813" w:rsidRPr="00FE21E4" w:rsidRDefault="00E42813" w:rsidP="00707A8A">
            <w:r w:rsidRPr="00FE21E4">
              <w:t>Prediction of</w:t>
            </w:r>
            <w:r>
              <w:t xml:space="preserve"> T2</w:t>
            </w:r>
            <w:r w:rsidRPr="00FE21E4">
              <w:t xml:space="preserve"> student </w:t>
            </w:r>
            <w:r>
              <w:t xml:space="preserve">role </w:t>
            </w:r>
            <w:r w:rsidRPr="00FE21E4">
              <w:t>problems</w:t>
            </w:r>
          </w:p>
        </w:tc>
      </w:tr>
      <w:tr w:rsidR="00E42813" w:rsidRPr="00FE21E4" w14:paraId="3FE51311" w14:textId="77777777" w:rsidTr="00707A8A">
        <w:tc>
          <w:tcPr>
            <w:tcW w:w="671" w:type="dxa"/>
            <w:tcBorders>
              <w:top w:val="single" w:sz="4" w:space="0" w:color="auto"/>
            </w:tcBorders>
          </w:tcPr>
          <w:p w14:paraId="704E3905" w14:textId="77777777" w:rsidR="00E42813" w:rsidRPr="00FE21E4" w:rsidRDefault="00E42813" w:rsidP="00707A8A">
            <w:r w:rsidRPr="00FE21E4">
              <w:t>1</w:t>
            </w:r>
          </w:p>
        </w:tc>
        <w:tc>
          <w:tcPr>
            <w:tcW w:w="2037" w:type="dxa"/>
            <w:tcBorders>
              <w:top w:val="single" w:sz="4" w:space="0" w:color="auto"/>
            </w:tcBorders>
          </w:tcPr>
          <w:p w14:paraId="03EE624A" w14:textId="77777777" w:rsidR="00E42813" w:rsidRPr="00FE21E4" w:rsidRDefault="00E42813" w:rsidP="00707A8A">
            <w:r>
              <w:t>T1 student problems</w:t>
            </w:r>
          </w:p>
        </w:tc>
        <w:tc>
          <w:tcPr>
            <w:tcW w:w="1010" w:type="dxa"/>
            <w:tcBorders>
              <w:top w:val="single" w:sz="4" w:space="0" w:color="auto"/>
            </w:tcBorders>
          </w:tcPr>
          <w:p w14:paraId="6B3D72E4" w14:textId="77777777" w:rsidR="00E42813" w:rsidRPr="00FE21E4" w:rsidRDefault="00E42813" w:rsidP="00707A8A">
            <w:r>
              <w:t>.586</w:t>
            </w:r>
          </w:p>
        </w:tc>
        <w:tc>
          <w:tcPr>
            <w:tcW w:w="1147" w:type="dxa"/>
            <w:tcBorders>
              <w:top w:val="single" w:sz="4" w:space="0" w:color="auto"/>
            </w:tcBorders>
          </w:tcPr>
          <w:p w14:paraId="2F6D9601" w14:textId="77777777" w:rsidR="00E42813" w:rsidRPr="00FE21E4" w:rsidRDefault="00E42813" w:rsidP="00707A8A">
            <w:r>
              <w:t>12.35</w:t>
            </w:r>
          </w:p>
        </w:tc>
        <w:tc>
          <w:tcPr>
            <w:tcW w:w="1174" w:type="dxa"/>
            <w:tcBorders>
              <w:top w:val="single" w:sz="4" w:space="0" w:color="auto"/>
            </w:tcBorders>
          </w:tcPr>
          <w:p w14:paraId="1A2083E6" w14:textId="77777777" w:rsidR="00E42813" w:rsidRPr="00FE21E4" w:rsidRDefault="00E42813" w:rsidP="00707A8A">
            <w:r>
              <w:t>&lt;.001</w:t>
            </w:r>
          </w:p>
        </w:tc>
        <w:tc>
          <w:tcPr>
            <w:tcW w:w="941" w:type="dxa"/>
            <w:tcBorders>
              <w:top w:val="single" w:sz="4" w:space="0" w:color="auto"/>
            </w:tcBorders>
          </w:tcPr>
          <w:p w14:paraId="6C70D8BB" w14:textId="77777777" w:rsidR="00E42813" w:rsidRPr="00FE21E4" w:rsidRDefault="00E42813" w:rsidP="00707A8A">
            <w:r>
              <w:t>.343</w:t>
            </w:r>
          </w:p>
        </w:tc>
        <w:tc>
          <w:tcPr>
            <w:tcW w:w="1321" w:type="dxa"/>
            <w:tcBorders>
              <w:top w:val="single" w:sz="4" w:space="0" w:color="auto"/>
            </w:tcBorders>
          </w:tcPr>
          <w:p w14:paraId="40377765" w14:textId="77777777" w:rsidR="00E42813" w:rsidRPr="00FE21E4" w:rsidRDefault="00E42813" w:rsidP="00707A8A"/>
        </w:tc>
        <w:tc>
          <w:tcPr>
            <w:tcW w:w="1059" w:type="dxa"/>
            <w:tcBorders>
              <w:top w:val="single" w:sz="4" w:space="0" w:color="auto"/>
            </w:tcBorders>
          </w:tcPr>
          <w:p w14:paraId="2AEC221A" w14:textId="77777777" w:rsidR="00E42813" w:rsidRPr="00FE21E4" w:rsidRDefault="00E42813" w:rsidP="00707A8A"/>
        </w:tc>
      </w:tr>
      <w:tr w:rsidR="00E42813" w:rsidRPr="00FE21E4" w14:paraId="1DBCD982" w14:textId="77777777" w:rsidTr="00707A8A">
        <w:tc>
          <w:tcPr>
            <w:tcW w:w="671" w:type="dxa"/>
          </w:tcPr>
          <w:p w14:paraId="521941ED" w14:textId="77777777" w:rsidR="00E42813" w:rsidRPr="00FE21E4" w:rsidRDefault="00E42813" w:rsidP="00707A8A">
            <w:r w:rsidRPr="00FE21E4">
              <w:t>2</w:t>
            </w:r>
          </w:p>
        </w:tc>
        <w:tc>
          <w:tcPr>
            <w:tcW w:w="2037" w:type="dxa"/>
          </w:tcPr>
          <w:p w14:paraId="2E02F744" w14:textId="77777777" w:rsidR="00E42813" w:rsidRDefault="00E42813" w:rsidP="00707A8A">
            <w:r>
              <w:t>T1 student problems</w:t>
            </w:r>
          </w:p>
          <w:p w14:paraId="42D4C132" w14:textId="77777777" w:rsidR="00E42813" w:rsidRDefault="00E42813" w:rsidP="00707A8A">
            <w:r>
              <w:t>T1 fusion</w:t>
            </w:r>
          </w:p>
          <w:p w14:paraId="77047EAA" w14:textId="77777777" w:rsidR="00E42813" w:rsidRPr="00FE21E4" w:rsidRDefault="00E42813" w:rsidP="00707A8A">
            <w:r>
              <w:t>T1 reappraisal</w:t>
            </w:r>
          </w:p>
        </w:tc>
        <w:tc>
          <w:tcPr>
            <w:tcW w:w="1010" w:type="dxa"/>
          </w:tcPr>
          <w:p w14:paraId="027C485B" w14:textId="77777777" w:rsidR="00E42813" w:rsidRDefault="00E42813" w:rsidP="00707A8A">
            <w:r>
              <w:t>.508</w:t>
            </w:r>
          </w:p>
          <w:p w14:paraId="74F083A0" w14:textId="77777777" w:rsidR="00E42813" w:rsidRDefault="00E42813" w:rsidP="00707A8A"/>
          <w:p w14:paraId="49F696A6" w14:textId="77777777" w:rsidR="00E42813" w:rsidRDefault="00E42813" w:rsidP="00707A8A">
            <w:r>
              <w:t>.111</w:t>
            </w:r>
          </w:p>
          <w:p w14:paraId="13FE4316" w14:textId="77777777" w:rsidR="00E42813" w:rsidRPr="00FE21E4" w:rsidRDefault="00E42813" w:rsidP="00707A8A">
            <w:r>
              <w:t>-.105</w:t>
            </w:r>
          </w:p>
        </w:tc>
        <w:tc>
          <w:tcPr>
            <w:tcW w:w="1147" w:type="dxa"/>
          </w:tcPr>
          <w:p w14:paraId="1C60623C" w14:textId="77777777" w:rsidR="00E42813" w:rsidRDefault="00E42813" w:rsidP="00707A8A">
            <w:r>
              <w:t>9.74</w:t>
            </w:r>
          </w:p>
          <w:p w14:paraId="38A556F6" w14:textId="77777777" w:rsidR="00E42813" w:rsidRDefault="00E42813" w:rsidP="00707A8A"/>
          <w:p w14:paraId="3A05F9ED" w14:textId="77777777" w:rsidR="00E42813" w:rsidRDefault="00E42813" w:rsidP="00707A8A">
            <w:r>
              <w:t>2.12</w:t>
            </w:r>
          </w:p>
          <w:p w14:paraId="1251DBC8" w14:textId="77777777" w:rsidR="00E42813" w:rsidRPr="00FE21E4" w:rsidRDefault="00E42813" w:rsidP="00707A8A">
            <w:r>
              <w:t>-2.07</w:t>
            </w:r>
          </w:p>
        </w:tc>
        <w:tc>
          <w:tcPr>
            <w:tcW w:w="1174" w:type="dxa"/>
          </w:tcPr>
          <w:p w14:paraId="69694399" w14:textId="77777777" w:rsidR="00E42813" w:rsidRDefault="00E42813" w:rsidP="00707A8A">
            <w:r>
              <w:t>&lt;.001</w:t>
            </w:r>
          </w:p>
          <w:p w14:paraId="06532A6A" w14:textId="77777777" w:rsidR="00E42813" w:rsidRDefault="00E42813" w:rsidP="00707A8A"/>
          <w:p w14:paraId="3F8ED237" w14:textId="77777777" w:rsidR="00E42813" w:rsidRDefault="00E42813" w:rsidP="00707A8A">
            <w:r>
              <w:t>.035</w:t>
            </w:r>
          </w:p>
          <w:p w14:paraId="65235A2D" w14:textId="77777777" w:rsidR="00E42813" w:rsidRPr="00FE21E4" w:rsidRDefault="00E42813" w:rsidP="00707A8A">
            <w:r>
              <w:t>.040</w:t>
            </w:r>
          </w:p>
        </w:tc>
        <w:tc>
          <w:tcPr>
            <w:tcW w:w="941" w:type="dxa"/>
          </w:tcPr>
          <w:p w14:paraId="18475428" w14:textId="77777777" w:rsidR="00E42813" w:rsidRPr="00FE21E4" w:rsidRDefault="00E42813" w:rsidP="00707A8A">
            <w:r>
              <w:t>.368</w:t>
            </w:r>
          </w:p>
        </w:tc>
        <w:tc>
          <w:tcPr>
            <w:tcW w:w="1321" w:type="dxa"/>
          </w:tcPr>
          <w:p w14:paraId="037433EA" w14:textId="77777777" w:rsidR="00E42813" w:rsidRPr="00FE21E4" w:rsidRDefault="00E42813" w:rsidP="00707A8A">
            <w:r>
              <w:t>.025</w:t>
            </w:r>
          </w:p>
        </w:tc>
        <w:tc>
          <w:tcPr>
            <w:tcW w:w="1059" w:type="dxa"/>
          </w:tcPr>
          <w:p w14:paraId="1BF84006" w14:textId="77777777" w:rsidR="00E42813" w:rsidRPr="00FE21E4" w:rsidRDefault="00E42813" w:rsidP="00707A8A">
            <w:r>
              <w:t>.004</w:t>
            </w:r>
          </w:p>
        </w:tc>
      </w:tr>
      <w:tr w:rsidR="00E42813" w:rsidRPr="00FE21E4" w14:paraId="508BC5D1" w14:textId="77777777" w:rsidTr="00707A8A">
        <w:tc>
          <w:tcPr>
            <w:tcW w:w="671" w:type="dxa"/>
          </w:tcPr>
          <w:p w14:paraId="70F113F6" w14:textId="77777777" w:rsidR="00E42813" w:rsidRPr="00FE21E4" w:rsidRDefault="00E42813" w:rsidP="00707A8A"/>
        </w:tc>
        <w:tc>
          <w:tcPr>
            <w:tcW w:w="2037" w:type="dxa"/>
          </w:tcPr>
          <w:p w14:paraId="6B97A5FF" w14:textId="77777777" w:rsidR="00E42813" w:rsidRPr="00FE21E4" w:rsidRDefault="00E42813" w:rsidP="00707A8A"/>
        </w:tc>
        <w:tc>
          <w:tcPr>
            <w:tcW w:w="1010" w:type="dxa"/>
          </w:tcPr>
          <w:p w14:paraId="33C81B8D" w14:textId="77777777" w:rsidR="00E42813" w:rsidRPr="00FE21E4" w:rsidRDefault="00E42813" w:rsidP="00707A8A"/>
        </w:tc>
        <w:tc>
          <w:tcPr>
            <w:tcW w:w="1147" w:type="dxa"/>
          </w:tcPr>
          <w:p w14:paraId="1ED5CA10" w14:textId="77777777" w:rsidR="00E42813" w:rsidRPr="00FE21E4" w:rsidRDefault="00E42813" w:rsidP="00707A8A"/>
        </w:tc>
        <w:tc>
          <w:tcPr>
            <w:tcW w:w="1174" w:type="dxa"/>
          </w:tcPr>
          <w:p w14:paraId="0AB5997D" w14:textId="77777777" w:rsidR="00E42813" w:rsidRPr="00FE21E4" w:rsidRDefault="00E42813" w:rsidP="00707A8A"/>
        </w:tc>
        <w:tc>
          <w:tcPr>
            <w:tcW w:w="941" w:type="dxa"/>
          </w:tcPr>
          <w:p w14:paraId="73CE036F" w14:textId="77777777" w:rsidR="00E42813" w:rsidRPr="00FE21E4" w:rsidRDefault="00E42813" w:rsidP="00707A8A"/>
        </w:tc>
        <w:tc>
          <w:tcPr>
            <w:tcW w:w="1321" w:type="dxa"/>
          </w:tcPr>
          <w:p w14:paraId="4166ADEA" w14:textId="77777777" w:rsidR="00E42813" w:rsidRPr="00FE21E4" w:rsidRDefault="00E42813" w:rsidP="00707A8A"/>
        </w:tc>
        <w:tc>
          <w:tcPr>
            <w:tcW w:w="1059" w:type="dxa"/>
          </w:tcPr>
          <w:p w14:paraId="1B2AB5C3" w14:textId="77777777" w:rsidR="00E42813" w:rsidRPr="00FE21E4" w:rsidRDefault="00E42813" w:rsidP="00707A8A"/>
        </w:tc>
      </w:tr>
      <w:tr w:rsidR="00E42813" w:rsidRPr="00FE21E4" w14:paraId="72D4B0B7" w14:textId="77777777" w:rsidTr="00707A8A">
        <w:tc>
          <w:tcPr>
            <w:tcW w:w="9360" w:type="dxa"/>
            <w:gridSpan w:val="8"/>
            <w:tcBorders>
              <w:bottom w:val="single" w:sz="4" w:space="0" w:color="auto"/>
            </w:tcBorders>
          </w:tcPr>
          <w:p w14:paraId="1D30C3CF" w14:textId="77777777" w:rsidR="00E42813" w:rsidRPr="00FE21E4" w:rsidRDefault="00E42813" w:rsidP="00707A8A">
            <w:r w:rsidRPr="00FE21E4">
              <w:t>Prediction of</w:t>
            </w:r>
            <w:r>
              <w:t xml:space="preserve"> T2</w:t>
            </w:r>
            <w:r w:rsidRPr="00FE21E4">
              <w:t xml:space="preserve"> social</w:t>
            </w:r>
            <w:r>
              <w:t xml:space="preserve">/leisure </w:t>
            </w:r>
            <w:r w:rsidRPr="00FE21E4">
              <w:t>problems</w:t>
            </w:r>
          </w:p>
        </w:tc>
      </w:tr>
      <w:tr w:rsidR="00E42813" w:rsidRPr="00FE21E4" w14:paraId="09E5BB8A" w14:textId="77777777" w:rsidTr="00707A8A">
        <w:tc>
          <w:tcPr>
            <w:tcW w:w="671" w:type="dxa"/>
            <w:tcBorders>
              <w:top w:val="single" w:sz="4" w:space="0" w:color="auto"/>
            </w:tcBorders>
          </w:tcPr>
          <w:p w14:paraId="648C587C" w14:textId="77777777" w:rsidR="00E42813" w:rsidRPr="00FE21E4" w:rsidRDefault="00E42813" w:rsidP="00707A8A">
            <w:r w:rsidRPr="00FE21E4">
              <w:t>1</w:t>
            </w:r>
          </w:p>
        </w:tc>
        <w:tc>
          <w:tcPr>
            <w:tcW w:w="2037" w:type="dxa"/>
            <w:tcBorders>
              <w:top w:val="single" w:sz="4" w:space="0" w:color="auto"/>
            </w:tcBorders>
          </w:tcPr>
          <w:p w14:paraId="772B7E8F" w14:textId="77777777" w:rsidR="00E42813" w:rsidRPr="00FE21E4" w:rsidRDefault="00E42813" w:rsidP="00707A8A">
            <w:r>
              <w:t>T1 social problems</w:t>
            </w:r>
          </w:p>
        </w:tc>
        <w:tc>
          <w:tcPr>
            <w:tcW w:w="1010" w:type="dxa"/>
            <w:tcBorders>
              <w:top w:val="single" w:sz="4" w:space="0" w:color="auto"/>
            </w:tcBorders>
          </w:tcPr>
          <w:p w14:paraId="5AA33B45" w14:textId="77777777" w:rsidR="00E42813" w:rsidRPr="00FE21E4" w:rsidRDefault="00E42813" w:rsidP="00707A8A">
            <w:r>
              <w:t>.695</w:t>
            </w:r>
          </w:p>
        </w:tc>
        <w:tc>
          <w:tcPr>
            <w:tcW w:w="1147" w:type="dxa"/>
            <w:tcBorders>
              <w:top w:val="single" w:sz="4" w:space="0" w:color="auto"/>
            </w:tcBorders>
          </w:tcPr>
          <w:p w14:paraId="4325A1B4" w14:textId="77777777" w:rsidR="00E42813" w:rsidRPr="00FE21E4" w:rsidRDefault="00E42813" w:rsidP="00707A8A">
            <w:r>
              <w:t>16.57</w:t>
            </w:r>
          </w:p>
        </w:tc>
        <w:tc>
          <w:tcPr>
            <w:tcW w:w="1174" w:type="dxa"/>
            <w:tcBorders>
              <w:top w:val="single" w:sz="4" w:space="0" w:color="auto"/>
            </w:tcBorders>
          </w:tcPr>
          <w:p w14:paraId="15B955DA" w14:textId="77777777" w:rsidR="00E42813" w:rsidRPr="00FE21E4" w:rsidRDefault="00E42813" w:rsidP="00707A8A">
            <w:r>
              <w:t>&lt;.001</w:t>
            </w:r>
          </w:p>
        </w:tc>
        <w:tc>
          <w:tcPr>
            <w:tcW w:w="941" w:type="dxa"/>
            <w:tcBorders>
              <w:top w:val="single" w:sz="4" w:space="0" w:color="auto"/>
            </w:tcBorders>
          </w:tcPr>
          <w:p w14:paraId="021F4F69" w14:textId="77777777" w:rsidR="00E42813" w:rsidRPr="00FE21E4" w:rsidRDefault="00E42813" w:rsidP="00707A8A">
            <w:r>
              <w:t>.483</w:t>
            </w:r>
          </w:p>
        </w:tc>
        <w:tc>
          <w:tcPr>
            <w:tcW w:w="1321" w:type="dxa"/>
            <w:tcBorders>
              <w:top w:val="single" w:sz="4" w:space="0" w:color="auto"/>
            </w:tcBorders>
          </w:tcPr>
          <w:p w14:paraId="06362000" w14:textId="77777777" w:rsidR="00E42813" w:rsidRPr="00FE21E4" w:rsidRDefault="00E42813" w:rsidP="00707A8A"/>
        </w:tc>
        <w:tc>
          <w:tcPr>
            <w:tcW w:w="1059" w:type="dxa"/>
            <w:tcBorders>
              <w:top w:val="single" w:sz="4" w:space="0" w:color="auto"/>
            </w:tcBorders>
          </w:tcPr>
          <w:p w14:paraId="657663F6" w14:textId="77777777" w:rsidR="00E42813" w:rsidRPr="00FE21E4" w:rsidRDefault="00E42813" w:rsidP="00707A8A"/>
        </w:tc>
      </w:tr>
      <w:tr w:rsidR="00E42813" w:rsidRPr="00FE21E4" w14:paraId="476CA112" w14:textId="77777777" w:rsidTr="00707A8A">
        <w:tc>
          <w:tcPr>
            <w:tcW w:w="671" w:type="dxa"/>
            <w:tcBorders>
              <w:bottom w:val="single" w:sz="4" w:space="0" w:color="auto"/>
            </w:tcBorders>
          </w:tcPr>
          <w:p w14:paraId="4D5845E5" w14:textId="77777777" w:rsidR="00E42813" w:rsidRPr="00FE21E4" w:rsidRDefault="00E42813" w:rsidP="00707A8A">
            <w:r w:rsidRPr="00FE21E4">
              <w:t>2</w:t>
            </w:r>
          </w:p>
        </w:tc>
        <w:tc>
          <w:tcPr>
            <w:tcW w:w="2037" w:type="dxa"/>
            <w:tcBorders>
              <w:bottom w:val="single" w:sz="4" w:space="0" w:color="auto"/>
            </w:tcBorders>
          </w:tcPr>
          <w:p w14:paraId="4E7E34D6" w14:textId="77777777" w:rsidR="00E42813" w:rsidRDefault="00E42813" w:rsidP="00707A8A">
            <w:r>
              <w:t>T1 social problems</w:t>
            </w:r>
          </w:p>
          <w:p w14:paraId="5ABDDCFE" w14:textId="77777777" w:rsidR="00E42813" w:rsidRDefault="00E42813" w:rsidP="00707A8A">
            <w:r>
              <w:t>T1 fusion</w:t>
            </w:r>
          </w:p>
          <w:p w14:paraId="40D3E1A7" w14:textId="77777777" w:rsidR="00E42813" w:rsidRPr="00FE21E4" w:rsidRDefault="00E42813" w:rsidP="00707A8A">
            <w:r>
              <w:t>T1 reappraisal</w:t>
            </w:r>
          </w:p>
        </w:tc>
        <w:tc>
          <w:tcPr>
            <w:tcW w:w="1010" w:type="dxa"/>
            <w:tcBorders>
              <w:bottom w:val="single" w:sz="4" w:space="0" w:color="auto"/>
            </w:tcBorders>
          </w:tcPr>
          <w:p w14:paraId="1B84944B" w14:textId="77777777" w:rsidR="00E42813" w:rsidRDefault="00E42813" w:rsidP="00707A8A">
            <w:r>
              <w:t>.638</w:t>
            </w:r>
          </w:p>
          <w:p w14:paraId="4839C5CE" w14:textId="77777777" w:rsidR="00E42813" w:rsidRDefault="00E42813" w:rsidP="00707A8A"/>
          <w:p w14:paraId="6B665164" w14:textId="77777777" w:rsidR="00E42813" w:rsidRDefault="00E42813" w:rsidP="00707A8A">
            <w:r>
              <w:t>.065</w:t>
            </w:r>
          </w:p>
          <w:p w14:paraId="4F4D5633" w14:textId="77777777" w:rsidR="00E42813" w:rsidRPr="00FE21E4" w:rsidRDefault="00E42813" w:rsidP="00707A8A">
            <w:r>
              <w:t>-.044</w:t>
            </w:r>
          </w:p>
        </w:tc>
        <w:tc>
          <w:tcPr>
            <w:tcW w:w="1147" w:type="dxa"/>
            <w:tcBorders>
              <w:bottom w:val="single" w:sz="4" w:space="0" w:color="auto"/>
            </w:tcBorders>
          </w:tcPr>
          <w:p w14:paraId="64F0B984" w14:textId="77777777" w:rsidR="00E42813" w:rsidRDefault="00E42813" w:rsidP="00707A8A">
            <w:r>
              <w:t>11.54</w:t>
            </w:r>
          </w:p>
          <w:p w14:paraId="0209F8BD" w14:textId="77777777" w:rsidR="00E42813" w:rsidRDefault="00E42813" w:rsidP="00707A8A"/>
          <w:p w14:paraId="539820D5" w14:textId="77777777" w:rsidR="00E42813" w:rsidRDefault="00E42813" w:rsidP="00707A8A">
            <w:r>
              <w:t>1.18</w:t>
            </w:r>
          </w:p>
          <w:p w14:paraId="0E3071BD" w14:textId="77777777" w:rsidR="00E42813" w:rsidRPr="00FE21E4" w:rsidRDefault="00E42813" w:rsidP="00707A8A">
            <w:r>
              <w:t>-.98</w:t>
            </w:r>
          </w:p>
        </w:tc>
        <w:tc>
          <w:tcPr>
            <w:tcW w:w="1174" w:type="dxa"/>
            <w:tcBorders>
              <w:bottom w:val="single" w:sz="4" w:space="0" w:color="auto"/>
            </w:tcBorders>
          </w:tcPr>
          <w:p w14:paraId="7388086B" w14:textId="77777777" w:rsidR="00E42813" w:rsidRDefault="00E42813" w:rsidP="00707A8A">
            <w:r>
              <w:t>&lt;.001</w:t>
            </w:r>
          </w:p>
          <w:p w14:paraId="44B7E9E1" w14:textId="77777777" w:rsidR="00E42813" w:rsidRDefault="00E42813" w:rsidP="00707A8A"/>
          <w:p w14:paraId="5E944410" w14:textId="77777777" w:rsidR="00E42813" w:rsidRDefault="00E42813" w:rsidP="00707A8A">
            <w:r>
              <w:t>.241</w:t>
            </w:r>
          </w:p>
          <w:p w14:paraId="79040628" w14:textId="77777777" w:rsidR="00E42813" w:rsidRPr="00FE21E4" w:rsidRDefault="00E42813" w:rsidP="00707A8A">
            <w:r>
              <w:t>.327</w:t>
            </w:r>
          </w:p>
        </w:tc>
        <w:tc>
          <w:tcPr>
            <w:tcW w:w="941" w:type="dxa"/>
            <w:tcBorders>
              <w:bottom w:val="single" w:sz="4" w:space="0" w:color="auto"/>
            </w:tcBorders>
          </w:tcPr>
          <w:p w14:paraId="2A6D1F66" w14:textId="77777777" w:rsidR="00E42813" w:rsidRPr="00FE21E4" w:rsidRDefault="00E42813" w:rsidP="00707A8A">
            <w:r>
              <w:t>.488</w:t>
            </w:r>
          </w:p>
        </w:tc>
        <w:tc>
          <w:tcPr>
            <w:tcW w:w="1321" w:type="dxa"/>
            <w:tcBorders>
              <w:bottom w:val="single" w:sz="4" w:space="0" w:color="auto"/>
            </w:tcBorders>
          </w:tcPr>
          <w:p w14:paraId="375A5111" w14:textId="77777777" w:rsidR="00E42813" w:rsidRPr="00FE21E4" w:rsidRDefault="00E42813" w:rsidP="00707A8A">
            <w:r>
              <w:t>.005</w:t>
            </w:r>
          </w:p>
        </w:tc>
        <w:tc>
          <w:tcPr>
            <w:tcW w:w="1059" w:type="dxa"/>
            <w:tcBorders>
              <w:bottom w:val="single" w:sz="4" w:space="0" w:color="auto"/>
            </w:tcBorders>
          </w:tcPr>
          <w:p w14:paraId="1EE4B7D1" w14:textId="77777777" w:rsidR="00E42813" w:rsidRPr="00FE21E4" w:rsidRDefault="00E42813" w:rsidP="00707A8A">
            <w:r>
              <w:t>.245</w:t>
            </w:r>
          </w:p>
        </w:tc>
      </w:tr>
      <w:tr w:rsidR="00E42813" w:rsidRPr="00FE21E4" w14:paraId="4D5B6E3F" w14:textId="77777777" w:rsidTr="00707A8A">
        <w:tc>
          <w:tcPr>
            <w:tcW w:w="671" w:type="dxa"/>
            <w:tcBorders>
              <w:top w:val="single" w:sz="4" w:space="0" w:color="auto"/>
            </w:tcBorders>
          </w:tcPr>
          <w:p w14:paraId="2D6C08B5" w14:textId="77777777" w:rsidR="00E42813" w:rsidRPr="00FE21E4" w:rsidRDefault="00E42813" w:rsidP="00707A8A"/>
        </w:tc>
        <w:tc>
          <w:tcPr>
            <w:tcW w:w="2037" w:type="dxa"/>
            <w:tcBorders>
              <w:top w:val="single" w:sz="4" w:space="0" w:color="auto"/>
            </w:tcBorders>
          </w:tcPr>
          <w:p w14:paraId="2496C113" w14:textId="77777777" w:rsidR="00E42813" w:rsidRPr="00FE21E4" w:rsidRDefault="00E42813" w:rsidP="00707A8A"/>
        </w:tc>
        <w:tc>
          <w:tcPr>
            <w:tcW w:w="1010" w:type="dxa"/>
            <w:tcBorders>
              <w:top w:val="single" w:sz="4" w:space="0" w:color="auto"/>
            </w:tcBorders>
          </w:tcPr>
          <w:p w14:paraId="4679CE05" w14:textId="77777777" w:rsidR="00E42813" w:rsidRPr="00FE21E4" w:rsidRDefault="00E42813" w:rsidP="00707A8A"/>
        </w:tc>
        <w:tc>
          <w:tcPr>
            <w:tcW w:w="1147" w:type="dxa"/>
            <w:tcBorders>
              <w:top w:val="single" w:sz="4" w:space="0" w:color="auto"/>
            </w:tcBorders>
          </w:tcPr>
          <w:p w14:paraId="49E160AB" w14:textId="77777777" w:rsidR="00E42813" w:rsidRPr="00FE21E4" w:rsidRDefault="00E42813" w:rsidP="00707A8A"/>
        </w:tc>
        <w:tc>
          <w:tcPr>
            <w:tcW w:w="1174" w:type="dxa"/>
            <w:tcBorders>
              <w:top w:val="single" w:sz="4" w:space="0" w:color="auto"/>
            </w:tcBorders>
          </w:tcPr>
          <w:p w14:paraId="66466B91" w14:textId="77777777" w:rsidR="00E42813" w:rsidRPr="00FE21E4" w:rsidRDefault="00E42813" w:rsidP="00707A8A"/>
        </w:tc>
        <w:tc>
          <w:tcPr>
            <w:tcW w:w="941" w:type="dxa"/>
            <w:tcBorders>
              <w:top w:val="single" w:sz="4" w:space="0" w:color="auto"/>
            </w:tcBorders>
          </w:tcPr>
          <w:p w14:paraId="369985A6" w14:textId="77777777" w:rsidR="00E42813" w:rsidRPr="00FE21E4" w:rsidRDefault="00E42813" w:rsidP="00707A8A"/>
        </w:tc>
        <w:tc>
          <w:tcPr>
            <w:tcW w:w="1321" w:type="dxa"/>
            <w:tcBorders>
              <w:top w:val="single" w:sz="4" w:space="0" w:color="auto"/>
            </w:tcBorders>
          </w:tcPr>
          <w:p w14:paraId="3AA90154" w14:textId="77777777" w:rsidR="00E42813" w:rsidRPr="00FE21E4" w:rsidRDefault="00E42813" w:rsidP="00707A8A"/>
        </w:tc>
        <w:tc>
          <w:tcPr>
            <w:tcW w:w="1059" w:type="dxa"/>
            <w:tcBorders>
              <w:top w:val="single" w:sz="4" w:space="0" w:color="auto"/>
            </w:tcBorders>
          </w:tcPr>
          <w:p w14:paraId="00A4CD0F" w14:textId="77777777" w:rsidR="00E42813" w:rsidRPr="00FE21E4" w:rsidRDefault="00E42813" w:rsidP="00707A8A"/>
        </w:tc>
      </w:tr>
    </w:tbl>
    <w:p w14:paraId="47A150C3" w14:textId="77777777" w:rsidR="00E42813" w:rsidRPr="00FE21E4" w:rsidRDefault="00E42813" w:rsidP="00E42813"/>
    <w:p w14:paraId="12A42109" w14:textId="77777777" w:rsidR="00E42813" w:rsidRDefault="00E42813" w:rsidP="00E42813"/>
    <w:p w14:paraId="4AC8E2F0" w14:textId="77777777" w:rsidR="00F70017" w:rsidRPr="0047080C" w:rsidRDefault="00F70017" w:rsidP="0047080C">
      <w:pPr>
        <w:widowControl w:val="0"/>
        <w:autoSpaceDE w:val="0"/>
        <w:autoSpaceDN w:val="0"/>
        <w:adjustRightInd w:val="0"/>
        <w:spacing w:line="480" w:lineRule="auto"/>
        <w:ind w:left="480" w:hanging="480"/>
      </w:pPr>
    </w:p>
    <w:sectPr w:rsidR="00F70017" w:rsidRPr="0047080C" w:rsidSect="00F70017">
      <w:headerReference w:type="even" r:id="rId8"/>
      <w:headerReference w:type="default" r:id="rId9"/>
      <w:headerReference w:type="first" r:id="rId10"/>
      <w:pgSz w:w="12240" w:h="15840"/>
      <w:pgMar w:top="1440" w:right="1440" w:bottom="1440" w:left="1440" w:header="720" w:footer="720" w:gutter="0"/>
      <w:cols w:space="720"/>
      <w:titlePg/>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89991" w16cid:durableId="1E07C20E"/>
  <w16cid:commentId w16cid:paraId="0F3FD5E7" w16cid:durableId="1E07C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C189" w14:textId="77777777" w:rsidR="004D3520" w:rsidRDefault="004D3520" w:rsidP="009A1C2A">
      <w:r>
        <w:separator/>
      </w:r>
    </w:p>
  </w:endnote>
  <w:endnote w:type="continuationSeparator" w:id="0">
    <w:p w14:paraId="6AD58B6D" w14:textId="77777777" w:rsidR="004D3520" w:rsidRDefault="004D3520" w:rsidP="009A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54A9" w14:textId="77777777" w:rsidR="004D3520" w:rsidRDefault="004D3520" w:rsidP="009A1C2A">
      <w:r>
        <w:separator/>
      </w:r>
    </w:p>
  </w:footnote>
  <w:footnote w:type="continuationSeparator" w:id="0">
    <w:p w14:paraId="1FEC1109" w14:textId="77777777" w:rsidR="004D3520" w:rsidRDefault="004D3520" w:rsidP="009A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C940" w14:textId="77777777" w:rsidR="004C2B01" w:rsidRDefault="004C2B01" w:rsidP="007853E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80E42" w14:textId="77777777" w:rsidR="004C2B01" w:rsidRDefault="004C2B01" w:rsidP="00F700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7CD5" w14:textId="49DAF58E" w:rsidR="004C2B01" w:rsidRPr="00F70017" w:rsidRDefault="004C2B01" w:rsidP="007853E8">
    <w:pPr>
      <w:pStyle w:val="Header"/>
      <w:framePr w:wrap="none" w:vAnchor="text" w:hAnchor="margin" w:xAlign="right" w:y="1"/>
      <w:rPr>
        <w:rStyle w:val="PageNumber"/>
        <w:rFonts w:ascii="Times New Roman" w:hAnsi="Times New Roman" w:cs="Times New Roman"/>
      </w:rPr>
    </w:pPr>
    <w:r w:rsidRPr="00F70017">
      <w:rPr>
        <w:rStyle w:val="PageNumber"/>
        <w:rFonts w:ascii="Times New Roman" w:hAnsi="Times New Roman" w:cs="Times New Roman"/>
      </w:rPr>
      <w:fldChar w:fldCharType="begin"/>
    </w:r>
    <w:r w:rsidRPr="00F70017">
      <w:rPr>
        <w:rStyle w:val="PageNumber"/>
        <w:rFonts w:ascii="Times New Roman" w:hAnsi="Times New Roman" w:cs="Times New Roman"/>
      </w:rPr>
      <w:instrText xml:space="preserve">PAGE  </w:instrText>
    </w:r>
    <w:r w:rsidRPr="00F70017">
      <w:rPr>
        <w:rStyle w:val="PageNumber"/>
        <w:rFonts w:ascii="Times New Roman" w:hAnsi="Times New Roman" w:cs="Times New Roman"/>
      </w:rPr>
      <w:fldChar w:fldCharType="separate"/>
    </w:r>
    <w:r w:rsidR="00F41BF5">
      <w:rPr>
        <w:rStyle w:val="PageNumber"/>
        <w:rFonts w:ascii="Times New Roman" w:hAnsi="Times New Roman" w:cs="Times New Roman"/>
        <w:noProof/>
      </w:rPr>
      <w:t>3</w:t>
    </w:r>
    <w:r w:rsidRPr="00F70017">
      <w:rPr>
        <w:rStyle w:val="PageNumber"/>
        <w:rFonts w:ascii="Times New Roman" w:hAnsi="Times New Roman" w:cs="Times New Roman"/>
      </w:rPr>
      <w:fldChar w:fldCharType="end"/>
    </w:r>
  </w:p>
  <w:p w14:paraId="40D9A33F" w14:textId="296449F4" w:rsidR="004C2B01" w:rsidRPr="0002655F" w:rsidRDefault="004C2B01" w:rsidP="00F70017">
    <w:pPr>
      <w:pStyle w:val="Header"/>
      <w:ind w:right="360"/>
      <w:rPr>
        <w:rFonts w:ascii="Times New Roman" w:hAnsi="Times New Roman" w:cs="Times New Roman"/>
      </w:rPr>
    </w:pPr>
    <w:r>
      <w:rPr>
        <w:rFonts w:ascii="Times New Roman" w:hAnsi="Times New Roman" w:cs="Times New Roman"/>
      </w:rPr>
      <w:t>COMPARING FUSION AND REAPPRAISAL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49A1" w14:textId="372D8958" w:rsidR="004C2B01" w:rsidRPr="00F70017" w:rsidRDefault="004C2B01" w:rsidP="007853E8">
    <w:pPr>
      <w:pStyle w:val="Header"/>
      <w:framePr w:wrap="none" w:vAnchor="text" w:hAnchor="margin" w:xAlign="right" w:y="1"/>
      <w:rPr>
        <w:rStyle w:val="PageNumber"/>
        <w:rFonts w:ascii="Times New Roman" w:hAnsi="Times New Roman" w:cs="Times New Roman"/>
      </w:rPr>
    </w:pPr>
    <w:r w:rsidRPr="00F70017">
      <w:rPr>
        <w:rStyle w:val="PageNumber"/>
        <w:rFonts w:ascii="Times New Roman" w:hAnsi="Times New Roman" w:cs="Times New Roman"/>
      </w:rPr>
      <w:fldChar w:fldCharType="begin"/>
    </w:r>
    <w:r w:rsidRPr="00F70017">
      <w:rPr>
        <w:rStyle w:val="PageNumber"/>
        <w:rFonts w:ascii="Times New Roman" w:hAnsi="Times New Roman" w:cs="Times New Roman"/>
      </w:rPr>
      <w:instrText xml:space="preserve">PAGE  </w:instrText>
    </w:r>
    <w:r w:rsidRPr="00F70017">
      <w:rPr>
        <w:rStyle w:val="PageNumber"/>
        <w:rFonts w:ascii="Times New Roman" w:hAnsi="Times New Roman" w:cs="Times New Roman"/>
      </w:rPr>
      <w:fldChar w:fldCharType="separate"/>
    </w:r>
    <w:r w:rsidR="00F41BF5">
      <w:rPr>
        <w:rStyle w:val="PageNumber"/>
        <w:rFonts w:ascii="Times New Roman" w:hAnsi="Times New Roman" w:cs="Times New Roman"/>
        <w:noProof/>
      </w:rPr>
      <w:t>1</w:t>
    </w:r>
    <w:r w:rsidRPr="00F70017">
      <w:rPr>
        <w:rStyle w:val="PageNumber"/>
        <w:rFonts w:ascii="Times New Roman" w:hAnsi="Times New Roman" w:cs="Times New Roman"/>
      </w:rPr>
      <w:fldChar w:fldCharType="end"/>
    </w:r>
  </w:p>
  <w:p w14:paraId="2D301A0E" w14:textId="77777777" w:rsidR="004C2B01" w:rsidRPr="0002655F" w:rsidRDefault="004C2B01" w:rsidP="00F70017">
    <w:pPr>
      <w:pStyle w:val="Header"/>
      <w:ind w:right="360"/>
      <w:rPr>
        <w:rFonts w:ascii="Times New Roman" w:hAnsi="Times New Roman" w:cs="Times New Roman"/>
      </w:rPr>
    </w:pPr>
    <w:r>
      <w:rPr>
        <w:rFonts w:ascii="Times New Roman" w:hAnsi="Times New Roman" w:cs="Times New Roman"/>
      </w:rPr>
      <w:t>Running Head: COMPARING FUSION AND REAPPRAISAL</w:t>
    </w:r>
  </w:p>
  <w:p w14:paraId="1FEC3920" w14:textId="77777777" w:rsidR="004C2B01" w:rsidRDefault="004C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B2C"/>
    <w:multiLevelType w:val="hybridMultilevel"/>
    <w:tmpl w:val="7CA4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D27AE"/>
    <w:multiLevelType w:val="hybridMultilevel"/>
    <w:tmpl w:val="F7FE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0AF4"/>
    <w:multiLevelType w:val="hybridMultilevel"/>
    <w:tmpl w:val="B9B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A190C"/>
    <w:multiLevelType w:val="hybridMultilevel"/>
    <w:tmpl w:val="09BC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11B75"/>
    <w:multiLevelType w:val="hybridMultilevel"/>
    <w:tmpl w:val="DC4AB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99542F"/>
    <w:multiLevelType w:val="hybridMultilevel"/>
    <w:tmpl w:val="E6F00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50969"/>
    <w:multiLevelType w:val="hybridMultilevel"/>
    <w:tmpl w:val="9BB0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84075"/>
    <w:multiLevelType w:val="hybridMultilevel"/>
    <w:tmpl w:val="0EC4C69C"/>
    <w:lvl w:ilvl="0" w:tplc="D258F8EC">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20BC7"/>
    <w:multiLevelType w:val="hybridMultilevel"/>
    <w:tmpl w:val="128C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D22CB"/>
    <w:multiLevelType w:val="hybridMultilevel"/>
    <w:tmpl w:val="1878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545A5"/>
    <w:multiLevelType w:val="hybridMultilevel"/>
    <w:tmpl w:val="834470BE"/>
    <w:lvl w:ilvl="0" w:tplc="EE12EDAC">
      <w:start w:val="202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4"/>
  </w:num>
  <w:num w:numId="6">
    <w:abstractNumId w:val="5"/>
  </w:num>
  <w:num w:numId="7">
    <w:abstractNumId w:val="3"/>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A"/>
    <w:rsid w:val="00000404"/>
    <w:rsid w:val="00002190"/>
    <w:rsid w:val="0000554C"/>
    <w:rsid w:val="00013041"/>
    <w:rsid w:val="00015B57"/>
    <w:rsid w:val="000162B6"/>
    <w:rsid w:val="00023F08"/>
    <w:rsid w:val="00024860"/>
    <w:rsid w:val="0002655F"/>
    <w:rsid w:val="00031CC4"/>
    <w:rsid w:val="00035BD1"/>
    <w:rsid w:val="00040446"/>
    <w:rsid w:val="00040967"/>
    <w:rsid w:val="00041888"/>
    <w:rsid w:val="00042515"/>
    <w:rsid w:val="000452BF"/>
    <w:rsid w:val="000512F1"/>
    <w:rsid w:val="000579F5"/>
    <w:rsid w:val="000639B0"/>
    <w:rsid w:val="00071758"/>
    <w:rsid w:val="0007501A"/>
    <w:rsid w:val="00076425"/>
    <w:rsid w:val="00090DA6"/>
    <w:rsid w:val="00095969"/>
    <w:rsid w:val="000961E1"/>
    <w:rsid w:val="000A3346"/>
    <w:rsid w:val="000A6500"/>
    <w:rsid w:val="000B0650"/>
    <w:rsid w:val="000B0FE2"/>
    <w:rsid w:val="000C3167"/>
    <w:rsid w:val="000C33A2"/>
    <w:rsid w:val="000C6AE2"/>
    <w:rsid w:val="000D047B"/>
    <w:rsid w:val="000D223B"/>
    <w:rsid w:val="000D4764"/>
    <w:rsid w:val="000D48B4"/>
    <w:rsid w:val="000D58E6"/>
    <w:rsid w:val="000E4087"/>
    <w:rsid w:val="000E4388"/>
    <w:rsid w:val="000E46EC"/>
    <w:rsid w:val="000E7398"/>
    <w:rsid w:val="000E7B6C"/>
    <w:rsid w:val="000F085A"/>
    <w:rsid w:val="000F2691"/>
    <w:rsid w:val="000F3F38"/>
    <w:rsid w:val="00105729"/>
    <w:rsid w:val="00107088"/>
    <w:rsid w:val="00111F29"/>
    <w:rsid w:val="0011226E"/>
    <w:rsid w:val="00113A34"/>
    <w:rsid w:val="00116775"/>
    <w:rsid w:val="001223A6"/>
    <w:rsid w:val="00122C7B"/>
    <w:rsid w:val="00127F30"/>
    <w:rsid w:val="0013026D"/>
    <w:rsid w:val="00134980"/>
    <w:rsid w:val="00135404"/>
    <w:rsid w:val="001405D9"/>
    <w:rsid w:val="00142CB8"/>
    <w:rsid w:val="001432D8"/>
    <w:rsid w:val="0014498A"/>
    <w:rsid w:val="00151839"/>
    <w:rsid w:val="00152249"/>
    <w:rsid w:val="00156F38"/>
    <w:rsid w:val="00157C43"/>
    <w:rsid w:val="001614E1"/>
    <w:rsid w:val="00161F4F"/>
    <w:rsid w:val="0016290C"/>
    <w:rsid w:val="00163C45"/>
    <w:rsid w:val="00164940"/>
    <w:rsid w:val="00166842"/>
    <w:rsid w:val="001669C6"/>
    <w:rsid w:val="00166B9D"/>
    <w:rsid w:val="0017066C"/>
    <w:rsid w:val="00170FF2"/>
    <w:rsid w:val="001715B5"/>
    <w:rsid w:val="001747AE"/>
    <w:rsid w:val="00176DEF"/>
    <w:rsid w:val="00177D78"/>
    <w:rsid w:val="00181CA3"/>
    <w:rsid w:val="00185586"/>
    <w:rsid w:val="00185680"/>
    <w:rsid w:val="0018728B"/>
    <w:rsid w:val="001905B7"/>
    <w:rsid w:val="001914A6"/>
    <w:rsid w:val="00196D8D"/>
    <w:rsid w:val="001A2425"/>
    <w:rsid w:val="001A7453"/>
    <w:rsid w:val="001B0393"/>
    <w:rsid w:val="001C22CD"/>
    <w:rsid w:val="001C3859"/>
    <w:rsid w:val="001C3863"/>
    <w:rsid w:val="001D49B8"/>
    <w:rsid w:val="001E3082"/>
    <w:rsid w:val="001E56F3"/>
    <w:rsid w:val="001E6E58"/>
    <w:rsid w:val="001F071D"/>
    <w:rsid w:val="001F2E77"/>
    <w:rsid w:val="00200DBF"/>
    <w:rsid w:val="00214F93"/>
    <w:rsid w:val="00216125"/>
    <w:rsid w:val="0022526C"/>
    <w:rsid w:val="002254CE"/>
    <w:rsid w:val="00230937"/>
    <w:rsid w:val="00234BC3"/>
    <w:rsid w:val="00235788"/>
    <w:rsid w:val="00240142"/>
    <w:rsid w:val="0024127E"/>
    <w:rsid w:val="00242181"/>
    <w:rsid w:val="00243E46"/>
    <w:rsid w:val="0025265E"/>
    <w:rsid w:val="00256845"/>
    <w:rsid w:val="002622C1"/>
    <w:rsid w:val="0026269C"/>
    <w:rsid w:val="00264FF0"/>
    <w:rsid w:val="002664DB"/>
    <w:rsid w:val="00266B6E"/>
    <w:rsid w:val="002717C6"/>
    <w:rsid w:val="002743F9"/>
    <w:rsid w:val="002751F4"/>
    <w:rsid w:val="002806AF"/>
    <w:rsid w:val="00290D14"/>
    <w:rsid w:val="002A7334"/>
    <w:rsid w:val="002B0645"/>
    <w:rsid w:val="002B4CDF"/>
    <w:rsid w:val="002C03FD"/>
    <w:rsid w:val="002C1554"/>
    <w:rsid w:val="002C2D97"/>
    <w:rsid w:val="002C31D2"/>
    <w:rsid w:val="002C35B4"/>
    <w:rsid w:val="002D3A41"/>
    <w:rsid w:val="002D5009"/>
    <w:rsid w:val="002E2F5F"/>
    <w:rsid w:val="002E54CC"/>
    <w:rsid w:val="002F1ABB"/>
    <w:rsid w:val="002F27BF"/>
    <w:rsid w:val="002F32B0"/>
    <w:rsid w:val="00301D87"/>
    <w:rsid w:val="00302734"/>
    <w:rsid w:val="00302C98"/>
    <w:rsid w:val="00307D03"/>
    <w:rsid w:val="00310920"/>
    <w:rsid w:val="003112DE"/>
    <w:rsid w:val="00314CA4"/>
    <w:rsid w:val="00315B54"/>
    <w:rsid w:val="00316137"/>
    <w:rsid w:val="00320013"/>
    <w:rsid w:val="0032314F"/>
    <w:rsid w:val="0032497E"/>
    <w:rsid w:val="0032524A"/>
    <w:rsid w:val="00330BEB"/>
    <w:rsid w:val="00330E14"/>
    <w:rsid w:val="0033421B"/>
    <w:rsid w:val="003453CF"/>
    <w:rsid w:val="0035395E"/>
    <w:rsid w:val="0035398F"/>
    <w:rsid w:val="00353E2A"/>
    <w:rsid w:val="0035590A"/>
    <w:rsid w:val="00357FD5"/>
    <w:rsid w:val="00361070"/>
    <w:rsid w:val="0036141D"/>
    <w:rsid w:val="00362A1A"/>
    <w:rsid w:val="00363B75"/>
    <w:rsid w:val="00372C5B"/>
    <w:rsid w:val="0037350D"/>
    <w:rsid w:val="003740D0"/>
    <w:rsid w:val="00374B66"/>
    <w:rsid w:val="00375E8D"/>
    <w:rsid w:val="00377CCB"/>
    <w:rsid w:val="00381B87"/>
    <w:rsid w:val="003839E8"/>
    <w:rsid w:val="003841BD"/>
    <w:rsid w:val="003867E5"/>
    <w:rsid w:val="00387AA0"/>
    <w:rsid w:val="00394EC0"/>
    <w:rsid w:val="003A1744"/>
    <w:rsid w:val="003A3234"/>
    <w:rsid w:val="003A4152"/>
    <w:rsid w:val="003A4B59"/>
    <w:rsid w:val="003A62EC"/>
    <w:rsid w:val="003B5002"/>
    <w:rsid w:val="003C45D1"/>
    <w:rsid w:val="003C79C8"/>
    <w:rsid w:val="003D3C6E"/>
    <w:rsid w:val="003E1818"/>
    <w:rsid w:val="003E54BD"/>
    <w:rsid w:val="003E7599"/>
    <w:rsid w:val="003F0940"/>
    <w:rsid w:val="003F2F80"/>
    <w:rsid w:val="003F4196"/>
    <w:rsid w:val="003F4251"/>
    <w:rsid w:val="00400742"/>
    <w:rsid w:val="0040159F"/>
    <w:rsid w:val="00401F28"/>
    <w:rsid w:val="00410D0A"/>
    <w:rsid w:val="004130D6"/>
    <w:rsid w:val="004241F4"/>
    <w:rsid w:val="00424AE1"/>
    <w:rsid w:val="00433AF4"/>
    <w:rsid w:val="00433D8A"/>
    <w:rsid w:val="004433F4"/>
    <w:rsid w:val="0044600C"/>
    <w:rsid w:val="00446923"/>
    <w:rsid w:val="00446E45"/>
    <w:rsid w:val="004500C5"/>
    <w:rsid w:val="004512BB"/>
    <w:rsid w:val="00452AE6"/>
    <w:rsid w:val="004619B8"/>
    <w:rsid w:val="00462B36"/>
    <w:rsid w:val="00463531"/>
    <w:rsid w:val="004655C4"/>
    <w:rsid w:val="00470001"/>
    <w:rsid w:val="0047080C"/>
    <w:rsid w:val="00472E01"/>
    <w:rsid w:val="00475594"/>
    <w:rsid w:val="004757AF"/>
    <w:rsid w:val="00480B07"/>
    <w:rsid w:val="00480C65"/>
    <w:rsid w:val="00482EBF"/>
    <w:rsid w:val="00483509"/>
    <w:rsid w:val="00487B49"/>
    <w:rsid w:val="00491250"/>
    <w:rsid w:val="004921E6"/>
    <w:rsid w:val="004950FA"/>
    <w:rsid w:val="004A037D"/>
    <w:rsid w:val="004B180F"/>
    <w:rsid w:val="004B224D"/>
    <w:rsid w:val="004B2299"/>
    <w:rsid w:val="004B2AA3"/>
    <w:rsid w:val="004B3CB7"/>
    <w:rsid w:val="004B4573"/>
    <w:rsid w:val="004C2B01"/>
    <w:rsid w:val="004C6937"/>
    <w:rsid w:val="004D03D9"/>
    <w:rsid w:val="004D202B"/>
    <w:rsid w:val="004D3520"/>
    <w:rsid w:val="004E1E71"/>
    <w:rsid w:val="004E4D4D"/>
    <w:rsid w:val="004E6731"/>
    <w:rsid w:val="005041F5"/>
    <w:rsid w:val="00511D34"/>
    <w:rsid w:val="00517525"/>
    <w:rsid w:val="00520C08"/>
    <w:rsid w:val="00521B31"/>
    <w:rsid w:val="00524323"/>
    <w:rsid w:val="005337FE"/>
    <w:rsid w:val="00534728"/>
    <w:rsid w:val="0053561C"/>
    <w:rsid w:val="00536D56"/>
    <w:rsid w:val="005423D2"/>
    <w:rsid w:val="00547F47"/>
    <w:rsid w:val="00551A67"/>
    <w:rsid w:val="00560491"/>
    <w:rsid w:val="005630C1"/>
    <w:rsid w:val="005657FB"/>
    <w:rsid w:val="00566EE1"/>
    <w:rsid w:val="00572B30"/>
    <w:rsid w:val="00575C01"/>
    <w:rsid w:val="005776D3"/>
    <w:rsid w:val="005850EC"/>
    <w:rsid w:val="00586AC5"/>
    <w:rsid w:val="00586C79"/>
    <w:rsid w:val="0059032C"/>
    <w:rsid w:val="00591DD8"/>
    <w:rsid w:val="005921E6"/>
    <w:rsid w:val="00595173"/>
    <w:rsid w:val="005A30B1"/>
    <w:rsid w:val="005A4177"/>
    <w:rsid w:val="005B0A48"/>
    <w:rsid w:val="005B13ED"/>
    <w:rsid w:val="005B3AEE"/>
    <w:rsid w:val="005B3C80"/>
    <w:rsid w:val="005B7351"/>
    <w:rsid w:val="005C0D32"/>
    <w:rsid w:val="005C741B"/>
    <w:rsid w:val="005D08F8"/>
    <w:rsid w:val="005D22A8"/>
    <w:rsid w:val="005E0282"/>
    <w:rsid w:val="005E07BC"/>
    <w:rsid w:val="005E209B"/>
    <w:rsid w:val="005E3BDC"/>
    <w:rsid w:val="005E3FC7"/>
    <w:rsid w:val="006017C4"/>
    <w:rsid w:val="00603E87"/>
    <w:rsid w:val="0060448F"/>
    <w:rsid w:val="00605527"/>
    <w:rsid w:val="00626030"/>
    <w:rsid w:val="00630150"/>
    <w:rsid w:val="0063421F"/>
    <w:rsid w:val="006419D8"/>
    <w:rsid w:val="00650684"/>
    <w:rsid w:val="00652F8B"/>
    <w:rsid w:val="00654C2B"/>
    <w:rsid w:val="00655F89"/>
    <w:rsid w:val="0065648C"/>
    <w:rsid w:val="00667CAA"/>
    <w:rsid w:val="006745C1"/>
    <w:rsid w:val="00677ECF"/>
    <w:rsid w:val="00682DDB"/>
    <w:rsid w:val="006844F9"/>
    <w:rsid w:val="00691981"/>
    <w:rsid w:val="00693A4D"/>
    <w:rsid w:val="00694BA0"/>
    <w:rsid w:val="00695290"/>
    <w:rsid w:val="00695BF0"/>
    <w:rsid w:val="0069741C"/>
    <w:rsid w:val="00697A61"/>
    <w:rsid w:val="006A552B"/>
    <w:rsid w:val="006B1200"/>
    <w:rsid w:val="006B21C1"/>
    <w:rsid w:val="006B311C"/>
    <w:rsid w:val="006B3AFE"/>
    <w:rsid w:val="006B6B8C"/>
    <w:rsid w:val="006B73B6"/>
    <w:rsid w:val="006C65CF"/>
    <w:rsid w:val="006C6B33"/>
    <w:rsid w:val="006D07EC"/>
    <w:rsid w:val="006D3ED9"/>
    <w:rsid w:val="006E1119"/>
    <w:rsid w:val="006F0522"/>
    <w:rsid w:val="007032BE"/>
    <w:rsid w:val="00703CD8"/>
    <w:rsid w:val="00705378"/>
    <w:rsid w:val="0071009E"/>
    <w:rsid w:val="00710676"/>
    <w:rsid w:val="00714416"/>
    <w:rsid w:val="00716004"/>
    <w:rsid w:val="0071790B"/>
    <w:rsid w:val="00721184"/>
    <w:rsid w:val="00721F9A"/>
    <w:rsid w:val="007230DB"/>
    <w:rsid w:val="00723AC8"/>
    <w:rsid w:val="00731E64"/>
    <w:rsid w:val="00731FCD"/>
    <w:rsid w:val="0073276D"/>
    <w:rsid w:val="00740678"/>
    <w:rsid w:val="00741AC1"/>
    <w:rsid w:val="00743363"/>
    <w:rsid w:val="0074439E"/>
    <w:rsid w:val="0075297C"/>
    <w:rsid w:val="007568BC"/>
    <w:rsid w:val="00760592"/>
    <w:rsid w:val="00763910"/>
    <w:rsid w:val="00770B16"/>
    <w:rsid w:val="00775C02"/>
    <w:rsid w:val="007853E8"/>
    <w:rsid w:val="00796306"/>
    <w:rsid w:val="007B0A53"/>
    <w:rsid w:val="007B2F1B"/>
    <w:rsid w:val="007C1A64"/>
    <w:rsid w:val="007C4216"/>
    <w:rsid w:val="007D0AAD"/>
    <w:rsid w:val="007D22C4"/>
    <w:rsid w:val="007F2040"/>
    <w:rsid w:val="007F6712"/>
    <w:rsid w:val="00802B30"/>
    <w:rsid w:val="008039D4"/>
    <w:rsid w:val="00807785"/>
    <w:rsid w:val="00813F14"/>
    <w:rsid w:val="00816303"/>
    <w:rsid w:val="00820DF6"/>
    <w:rsid w:val="008253F0"/>
    <w:rsid w:val="008355B7"/>
    <w:rsid w:val="00835E33"/>
    <w:rsid w:val="008365E4"/>
    <w:rsid w:val="00836D79"/>
    <w:rsid w:val="008418E3"/>
    <w:rsid w:val="00842C78"/>
    <w:rsid w:val="008433B7"/>
    <w:rsid w:val="00844DAF"/>
    <w:rsid w:val="008460ED"/>
    <w:rsid w:val="00853AC4"/>
    <w:rsid w:val="008540A5"/>
    <w:rsid w:val="00855959"/>
    <w:rsid w:val="00855D27"/>
    <w:rsid w:val="00856654"/>
    <w:rsid w:val="00861ECB"/>
    <w:rsid w:val="00863EFE"/>
    <w:rsid w:val="00864145"/>
    <w:rsid w:val="008745D3"/>
    <w:rsid w:val="00886DCA"/>
    <w:rsid w:val="00893187"/>
    <w:rsid w:val="008A6E9B"/>
    <w:rsid w:val="008A6EED"/>
    <w:rsid w:val="008A74AA"/>
    <w:rsid w:val="008A7639"/>
    <w:rsid w:val="008B1321"/>
    <w:rsid w:val="008B57D5"/>
    <w:rsid w:val="008B7B43"/>
    <w:rsid w:val="008C2BA0"/>
    <w:rsid w:val="008C3CA0"/>
    <w:rsid w:val="008C3D7B"/>
    <w:rsid w:val="008C5744"/>
    <w:rsid w:val="008C735D"/>
    <w:rsid w:val="008C78AA"/>
    <w:rsid w:val="008D2C01"/>
    <w:rsid w:val="008D402F"/>
    <w:rsid w:val="008D7C45"/>
    <w:rsid w:val="008E2EF2"/>
    <w:rsid w:val="008E3090"/>
    <w:rsid w:val="008E3282"/>
    <w:rsid w:val="008E3D9B"/>
    <w:rsid w:val="008E4C57"/>
    <w:rsid w:val="008E5A3B"/>
    <w:rsid w:val="008F0569"/>
    <w:rsid w:val="008F3518"/>
    <w:rsid w:val="008F62CC"/>
    <w:rsid w:val="00900F9E"/>
    <w:rsid w:val="00902A17"/>
    <w:rsid w:val="009050C6"/>
    <w:rsid w:val="00906C55"/>
    <w:rsid w:val="00911954"/>
    <w:rsid w:val="00911DF6"/>
    <w:rsid w:val="00912017"/>
    <w:rsid w:val="009130A7"/>
    <w:rsid w:val="00926808"/>
    <w:rsid w:val="009278DB"/>
    <w:rsid w:val="00927950"/>
    <w:rsid w:val="00935A1C"/>
    <w:rsid w:val="009377FB"/>
    <w:rsid w:val="00951A25"/>
    <w:rsid w:val="00961957"/>
    <w:rsid w:val="009641A4"/>
    <w:rsid w:val="00966D08"/>
    <w:rsid w:val="00966F87"/>
    <w:rsid w:val="009673CE"/>
    <w:rsid w:val="00967FEC"/>
    <w:rsid w:val="00970BCD"/>
    <w:rsid w:val="009723E3"/>
    <w:rsid w:val="00972B36"/>
    <w:rsid w:val="00976CA4"/>
    <w:rsid w:val="00984E6E"/>
    <w:rsid w:val="00986045"/>
    <w:rsid w:val="009866D5"/>
    <w:rsid w:val="00993563"/>
    <w:rsid w:val="009A1C2A"/>
    <w:rsid w:val="009A2A44"/>
    <w:rsid w:val="009B00F5"/>
    <w:rsid w:val="009B1750"/>
    <w:rsid w:val="009B3A22"/>
    <w:rsid w:val="009B51C9"/>
    <w:rsid w:val="009B6B62"/>
    <w:rsid w:val="009B6D78"/>
    <w:rsid w:val="009C1AC4"/>
    <w:rsid w:val="009C62F1"/>
    <w:rsid w:val="009C69BE"/>
    <w:rsid w:val="009D41EF"/>
    <w:rsid w:val="009D6699"/>
    <w:rsid w:val="009E7891"/>
    <w:rsid w:val="009F1692"/>
    <w:rsid w:val="009F2BC2"/>
    <w:rsid w:val="009F60DC"/>
    <w:rsid w:val="009F7ACD"/>
    <w:rsid w:val="00A01151"/>
    <w:rsid w:val="00A0683A"/>
    <w:rsid w:val="00A10784"/>
    <w:rsid w:val="00A14598"/>
    <w:rsid w:val="00A15FAD"/>
    <w:rsid w:val="00A20A62"/>
    <w:rsid w:val="00A301EA"/>
    <w:rsid w:val="00A30C23"/>
    <w:rsid w:val="00A36DA0"/>
    <w:rsid w:val="00A43325"/>
    <w:rsid w:val="00A43D62"/>
    <w:rsid w:val="00A46F65"/>
    <w:rsid w:val="00A52216"/>
    <w:rsid w:val="00A52F9E"/>
    <w:rsid w:val="00A568CB"/>
    <w:rsid w:val="00A60122"/>
    <w:rsid w:val="00A70AC1"/>
    <w:rsid w:val="00A718DF"/>
    <w:rsid w:val="00A74852"/>
    <w:rsid w:val="00A81F50"/>
    <w:rsid w:val="00A83454"/>
    <w:rsid w:val="00A858B3"/>
    <w:rsid w:val="00A92792"/>
    <w:rsid w:val="00A956AA"/>
    <w:rsid w:val="00A96A4B"/>
    <w:rsid w:val="00AA20BB"/>
    <w:rsid w:val="00AA3501"/>
    <w:rsid w:val="00AA443C"/>
    <w:rsid w:val="00AB0CB4"/>
    <w:rsid w:val="00AB743F"/>
    <w:rsid w:val="00AC104F"/>
    <w:rsid w:val="00AC3616"/>
    <w:rsid w:val="00AD0099"/>
    <w:rsid w:val="00AD5539"/>
    <w:rsid w:val="00AE0C14"/>
    <w:rsid w:val="00AE3E9C"/>
    <w:rsid w:val="00AE4A26"/>
    <w:rsid w:val="00AE52B0"/>
    <w:rsid w:val="00AE7A0E"/>
    <w:rsid w:val="00AF28CD"/>
    <w:rsid w:val="00AF6268"/>
    <w:rsid w:val="00AF6BDB"/>
    <w:rsid w:val="00B00306"/>
    <w:rsid w:val="00B05717"/>
    <w:rsid w:val="00B062E0"/>
    <w:rsid w:val="00B133F6"/>
    <w:rsid w:val="00B169D8"/>
    <w:rsid w:val="00B34F1D"/>
    <w:rsid w:val="00B40E7A"/>
    <w:rsid w:val="00B41BAF"/>
    <w:rsid w:val="00B443DB"/>
    <w:rsid w:val="00B4630F"/>
    <w:rsid w:val="00B519BD"/>
    <w:rsid w:val="00B5236A"/>
    <w:rsid w:val="00B54A74"/>
    <w:rsid w:val="00B55355"/>
    <w:rsid w:val="00B5747F"/>
    <w:rsid w:val="00B57EA4"/>
    <w:rsid w:val="00B60077"/>
    <w:rsid w:val="00B60C46"/>
    <w:rsid w:val="00B61629"/>
    <w:rsid w:val="00B668AE"/>
    <w:rsid w:val="00B67B83"/>
    <w:rsid w:val="00B761C1"/>
    <w:rsid w:val="00B76F30"/>
    <w:rsid w:val="00B824C4"/>
    <w:rsid w:val="00B84C67"/>
    <w:rsid w:val="00B86570"/>
    <w:rsid w:val="00B95274"/>
    <w:rsid w:val="00B964B5"/>
    <w:rsid w:val="00BA063A"/>
    <w:rsid w:val="00BA35AF"/>
    <w:rsid w:val="00BA4E4B"/>
    <w:rsid w:val="00BA724B"/>
    <w:rsid w:val="00BA73CD"/>
    <w:rsid w:val="00BB3D9A"/>
    <w:rsid w:val="00BB4AA1"/>
    <w:rsid w:val="00BB57BD"/>
    <w:rsid w:val="00BC5339"/>
    <w:rsid w:val="00BC584E"/>
    <w:rsid w:val="00BC5FEF"/>
    <w:rsid w:val="00BC61B8"/>
    <w:rsid w:val="00BD077A"/>
    <w:rsid w:val="00BD2556"/>
    <w:rsid w:val="00BD2AEC"/>
    <w:rsid w:val="00BE2154"/>
    <w:rsid w:val="00BE77B2"/>
    <w:rsid w:val="00BE7902"/>
    <w:rsid w:val="00BF0DBA"/>
    <w:rsid w:val="00BF1518"/>
    <w:rsid w:val="00BF1540"/>
    <w:rsid w:val="00BF4DA8"/>
    <w:rsid w:val="00BF68C3"/>
    <w:rsid w:val="00C00D0A"/>
    <w:rsid w:val="00C02524"/>
    <w:rsid w:val="00C0276F"/>
    <w:rsid w:val="00C117A2"/>
    <w:rsid w:val="00C12450"/>
    <w:rsid w:val="00C15E96"/>
    <w:rsid w:val="00C20C7C"/>
    <w:rsid w:val="00C23004"/>
    <w:rsid w:val="00C2695A"/>
    <w:rsid w:val="00C3085D"/>
    <w:rsid w:val="00C31A0E"/>
    <w:rsid w:val="00C44149"/>
    <w:rsid w:val="00C45759"/>
    <w:rsid w:val="00C46A4E"/>
    <w:rsid w:val="00C46CB3"/>
    <w:rsid w:val="00C50D96"/>
    <w:rsid w:val="00C50FAB"/>
    <w:rsid w:val="00C51B22"/>
    <w:rsid w:val="00C5486F"/>
    <w:rsid w:val="00C55B4D"/>
    <w:rsid w:val="00C55DE8"/>
    <w:rsid w:val="00C5744C"/>
    <w:rsid w:val="00C606A2"/>
    <w:rsid w:val="00C63D0F"/>
    <w:rsid w:val="00C63F3F"/>
    <w:rsid w:val="00C65F96"/>
    <w:rsid w:val="00C715A7"/>
    <w:rsid w:val="00C73625"/>
    <w:rsid w:val="00C96821"/>
    <w:rsid w:val="00C96CCA"/>
    <w:rsid w:val="00CA1C75"/>
    <w:rsid w:val="00CA5A9F"/>
    <w:rsid w:val="00CA6365"/>
    <w:rsid w:val="00CA6A19"/>
    <w:rsid w:val="00CC16FF"/>
    <w:rsid w:val="00CC4665"/>
    <w:rsid w:val="00CD177D"/>
    <w:rsid w:val="00CD2C43"/>
    <w:rsid w:val="00CD3601"/>
    <w:rsid w:val="00CE0507"/>
    <w:rsid w:val="00CE3B60"/>
    <w:rsid w:val="00CE56E0"/>
    <w:rsid w:val="00CF3FCA"/>
    <w:rsid w:val="00CF49FE"/>
    <w:rsid w:val="00CF544D"/>
    <w:rsid w:val="00D068CE"/>
    <w:rsid w:val="00D133F7"/>
    <w:rsid w:val="00D20388"/>
    <w:rsid w:val="00D222CB"/>
    <w:rsid w:val="00D242F2"/>
    <w:rsid w:val="00D258DE"/>
    <w:rsid w:val="00D26450"/>
    <w:rsid w:val="00D27657"/>
    <w:rsid w:val="00D27ACE"/>
    <w:rsid w:val="00D317CA"/>
    <w:rsid w:val="00D328A4"/>
    <w:rsid w:val="00D34A10"/>
    <w:rsid w:val="00D37341"/>
    <w:rsid w:val="00D42FDA"/>
    <w:rsid w:val="00D43297"/>
    <w:rsid w:val="00D46A49"/>
    <w:rsid w:val="00D51A6A"/>
    <w:rsid w:val="00D55BC1"/>
    <w:rsid w:val="00D63767"/>
    <w:rsid w:val="00D67094"/>
    <w:rsid w:val="00D70389"/>
    <w:rsid w:val="00D779F8"/>
    <w:rsid w:val="00D812FF"/>
    <w:rsid w:val="00D84E4F"/>
    <w:rsid w:val="00D87B91"/>
    <w:rsid w:val="00D942DD"/>
    <w:rsid w:val="00D965AF"/>
    <w:rsid w:val="00DA59B2"/>
    <w:rsid w:val="00DB2EA1"/>
    <w:rsid w:val="00DB36F8"/>
    <w:rsid w:val="00DB5C1E"/>
    <w:rsid w:val="00DB5D3A"/>
    <w:rsid w:val="00DB763C"/>
    <w:rsid w:val="00DC4808"/>
    <w:rsid w:val="00DC6C6D"/>
    <w:rsid w:val="00DD1B8E"/>
    <w:rsid w:val="00DD241F"/>
    <w:rsid w:val="00DD35E8"/>
    <w:rsid w:val="00DD3A8E"/>
    <w:rsid w:val="00DE136B"/>
    <w:rsid w:val="00DE7BB6"/>
    <w:rsid w:val="00DF3A79"/>
    <w:rsid w:val="00DF6FC1"/>
    <w:rsid w:val="00E02185"/>
    <w:rsid w:val="00E02F6E"/>
    <w:rsid w:val="00E04CE8"/>
    <w:rsid w:val="00E1059F"/>
    <w:rsid w:val="00E16487"/>
    <w:rsid w:val="00E24EFB"/>
    <w:rsid w:val="00E334DD"/>
    <w:rsid w:val="00E37818"/>
    <w:rsid w:val="00E40741"/>
    <w:rsid w:val="00E41B7F"/>
    <w:rsid w:val="00E41E2B"/>
    <w:rsid w:val="00E42813"/>
    <w:rsid w:val="00E44210"/>
    <w:rsid w:val="00E44222"/>
    <w:rsid w:val="00E50116"/>
    <w:rsid w:val="00E5125A"/>
    <w:rsid w:val="00E55BE5"/>
    <w:rsid w:val="00E631D5"/>
    <w:rsid w:val="00E6365E"/>
    <w:rsid w:val="00E63E52"/>
    <w:rsid w:val="00E658E8"/>
    <w:rsid w:val="00E66247"/>
    <w:rsid w:val="00E708F3"/>
    <w:rsid w:val="00E72E97"/>
    <w:rsid w:val="00E74125"/>
    <w:rsid w:val="00E76800"/>
    <w:rsid w:val="00E77E72"/>
    <w:rsid w:val="00E80F96"/>
    <w:rsid w:val="00E901F2"/>
    <w:rsid w:val="00E931F5"/>
    <w:rsid w:val="00E95599"/>
    <w:rsid w:val="00E97480"/>
    <w:rsid w:val="00E97DB8"/>
    <w:rsid w:val="00EA0318"/>
    <w:rsid w:val="00EA2783"/>
    <w:rsid w:val="00EB35ED"/>
    <w:rsid w:val="00EB64A3"/>
    <w:rsid w:val="00EB72B2"/>
    <w:rsid w:val="00EC3BC1"/>
    <w:rsid w:val="00EC500B"/>
    <w:rsid w:val="00EC74DB"/>
    <w:rsid w:val="00ED5898"/>
    <w:rsid w:val="00ED5AC4"/>
    <w:rsid w:val="00ED6518"/>
    <w:rsid w:val="00ED7FAB"/>
    <w:rsid w:val="00EE2FE2"/>
    <w:rsid w:val="00EE36E7"/>
    <w:rsid w:val="00EE38E2"/>
    <w:rsid w:val="00EE75EB"/>
    <w:rsid w:val="00EF3243"/>
    <w:rsid w:val="00EF3249"/>
    <w:rsid w:val="00F0577C"/>
    <w:rsid w:val="00F26043"/>
    <w:rsid w:val="00F27000"/>
    <w:rsid w:val="00F27FF3"/>
    <w:rsid w:val="00F314C1"/>
    <w:rsid w:val="00F31DEB"/>
    <w:rsid w:val="00F34BAB"/>
    <w:rsid w:val="00F367CE"/>
    <w:rsid w:val="00F36BD6"/>
    <w:rsid w:val="00F37E04"/>
    <w:rsid w:val="00F40E12"/>
    <w:rsid w:val="00F418F7"/>
    <w:rsid w:val="00F41BF5"/>
    <w:rsid w:val="00F4290D"/>
    <w:rsid w:val="00F42F1B"/>
    <w:rsid w:val="00F45360"/>
    <w:rsid w:val="00F457D5"/>
    <w:rsid w:val="00F51DC1"/>
    <w:rsid w:val="00F52EF1"/>
    <w:rsid w:val="00F56967"/>
    <w:rsid w:val="00F57FDE"/>
    <w:rsid w:val="00F63582"/>
    <w:rsid w:val="00F65107"/>
    <w:rsid w:val="00F6511A"/>
    <w:rsid w:val="00F673DD"/>
    <w:rsid w:val="00F70017"/>
    <w:rsid w:val="00F740D0"/>
    <w:rsid w:val="00F831BA"/>
    <w:rsid w:val="00F8734B"/>
    <w:rsid w:val="00F92159"/>
    <w:rsid w:val="00F94A18"/>
    <w:rsid w:val="00F95196"/>
    <w:rsid w:val="00F95683"/>
    <w:rsid w:val="00FA10AB"/>
    <w:rsid w:val="00FA183E"/>
    <w:rsid w:val="00FA79E1"/>
    <w:rsid w:val="00FB0BA6"/>
    <w:rsid w:val="00FB16C3"/>
    <w:rsid w:val="00FB2821"/>
    <w:rsid w:val="00FB5CC8"/>
    <w:rsid w:val="00FB5E13"/>
    <w:rsid w:val="00FB669F"/>
    <w:rsid w:val="00FC7951"/>
    <w:rsid w:val="00FD06B7"/>
    <w:rsid w:val="00FD0F2A"/>
    <w:rsid w:val="00FD40FD"/>
    <w:rsid w:val="00FD5761"/>
    <w:rsid w:val="00FE02F0"/>
    <w:rsid w:val="00FE1838"/>
    <w:rsid w:val="00FE21E4"/>
    <w:rsid w:val="00FE6D66"/>
    <w:rsid w:val="00FF0373"/>
    <w:rsid w:val="00FF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985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88"/>
    <w:rPr>
      <w:rFonts w:ascii="Times New Roman" w:hAnsi="Times New Roman" w:cs="Times New Roman"/>
    </w:rPr>
  </w:style>
  <w:style w:type="paragraph" w:styleId="Heading3">
    <w:name w:val="heading 3"/>
    <w:basedOn w:val="Normal"/>
    <w:link w:val="Heading3Char"/>
    <w:uiPriority w:val="9"/>
    <w:qFormat/>
    <w:rsid w:val="009278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5A7"/>
    <w:rPr>
      <w:color w:val="0563C1" w:themeColor="hyperlink"/>
      <w:u w:val="single"/>
    </w:rPr>
  </w:style>
  <w:style w:type="paragraph" w:styleId="ListParagraph">
    <w:name w:val="List Paragraph"/>
    <w:basedOn w:val="Normal"/>
    <w:uiPriority w:val="34"/>
    <w:qFormat/>
    <w:rsid w:val="00524323"/>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95290"/>
    <w:rPr>
      <w:sz w:val="16"/>
      <w:szCs w:val="16"/>
    </w:rPr>
  </w:style>
  <w:style w:type="paragraph" w:styleId="CommentText">
    <w:name w:val="annotation text"/>
    <w:basedOn w:val="Normal"/>
    <w:link w:val="CommentTextChar"/>
    <w:uiPriority w:val="99"/>
    <w:semiHidden/>
    <w:unhideWhenUsed/>
    <w:rsid w:val="00695290"/>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95290"/>
    <w:rPr>
      <w:sz w:val="20"/>
      <w:szCs w:val="20"/>
    </w:rPr>
  </w:style>
  <w:style w:type="paragraph" w:styleId="CommentSubject">
    <w:name w:val="annotation subject"/>
    <w:basedOn w:val="CommentText"/>
    <w:next w:val="CommentText"/>
    <w:link w:val="CommentSubjectChar"/>
    <w:uiPriority w:val="99"/>
    <w:semiHidden/>
    <w:unhideWhenUsed/>
    <w:rsid w:val="00695290"/>
    <w:rPr>
      <w:b/>
      <w:bCs/>
    </w:rPr>
  </w:style>
  <w:style w:type="character" w:customStyle="1" w:styleId="CommentSubjectChar">
    <w:name w:val="Comment Subject Char"/>
    <w:basedOn w:val="CommentTextChar"/>
    <w:link w:val="CommentSubject"/>
    <w:uiPriority w:val="99"/>
    <w:semiHidden/>
    <w:rsid w:val="00695290"/>
    <w:rPr>
      <w:b/>
      <w:bCs/>
      <w:sz w:val="20"/>
      <w:szCs w:val="20"/>
    </w:rPr>
  </w:style>
  <w:style w:type="paragraph" w:styleId="BalloonText">
    <w:name w:val="Balloon Text"/>
    <w:basedOn w:val="Normal"/>
    <w:link w:val="BalloonTextChar"/>
    <w:uiPriority w:val="99"/>
    <w:semiHidden/>
    <w:unhideWhenUsed/>
    <w:rsid w:val="0069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90"/>
    <w:rPr>
      <w:rFonts w:ascii="Segoe UI" w:hAnsi="Segoe UI" w:cs="Segoe UI"/>
      <w:sz w:val="18"/>
      <w:szCs w:val="18"/>
    </w:rPr>
  </w:style>
  <w:style w:type="paragraph" w:styleId="Revision">
    <w:name w:val="Revision"/>
    <w:hidden/>
    <w:uiPriority w:val="99"/>
    <w:semiHidden/>
    <w:rsid w:val="00122C7B"/>
  </w:style>
  <w:style w:type="character" w:customStyle="1" w:styleId="il">
    <w:name w:val="il"/>
    <w:basedOn w:val="DefaultParagraphFont"/>
    <w:rsid w:val="00C96CCA"/>
  </w:style>
  <w:style w:type="table" w:styleId="TableGrid">
    <w:name w:val="Table Grid"/>
    <w:basedOn w:val="TableNormal"/>
    <w:uiPriority w:val="39"/>
    <w:rsid w:val="0011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A7453"/>
  </w:style>
  <w:style w:type="character" w:customStyle="1" w:styleId="DocumentMapChar">
    <w:name w:val="Document Map Char"/>
    <w:basedOn w:val="DefaultParagraphFont"/>
    <w:link w:val="DocumentMap"/>
    <w:uiPriority w:val="99"/>
    <w:semiHidden/>
    <w:rsid w:val="001A7453"/>
    <w:rPr>
      <w:rFonts w:ascii="Times New Roman" w:hAnsi="Times New Roman" w:cs="Times New Roman"/>
    </w:rPr>
  </w:style>
  <w:style w:type="paragraph" w:styleId="Header">
    <w:name w:val="header"/>
    <w:basedOn w:val="Normal"/>
    <w:link w:val="HeaderChar"/>
    <w:uiPriority w:val="99"/>
    <w:unhideWhenUsed/>
    <w:rsid w:val="009A1C2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A1C2A"/>
  </w:style>
  <w:style w:type="paragraph" w:styleId="Footer">
    <w:name w:val="footer"/>
    <w:basedOn w:val="Normal"/>
    <w:link w:val="FooterChar"/>
    <w:uiPriority w:val="99"/>
    <w:unhideWhenUsed/>
    <w:rsid w:val="009A1C2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A1C2A"/>
  </w:style>
  <w:style w:type="character" w:styleId="PageNumber">
    <w:name w:val="page number"/>
    <w:basedOn w:val="DefaultParagraphFont"/>
    <w:uiPriority w:val="99"/>
    <w:semiHidden/>
    <w:unhideWhenUsed/>
    <w:rsid w:val="00F70017"/>
  </w:style>
  <w:style w:type="paragraph" w:styleId="NormalWeb">
    <w:name w:val="Normal (Web)"/>
    <w:basedOn w:val="Normal"/>
    <w:uiPriority w:val="99"/>
    <w:unhideWhenUsed/>
    <w:rsid w:val="00E41B7F"/>
    <w:pPr>
      <w:spacing w:before="100" w:beforeAutospacing="1" w:after="100" w:afterAutospacing="1"/>
    </w:pPr>
  </w:style>
  <w:style w:type="character" w:customStyle="1" w:styleId="Heading3Char">
    <w:name w:val="Heading 3 Char"/>
    <w:basedOn w:val="DefaultParagraphFont"/>
    <w:link w:val="Heading3"/>
    <w:uiPriority w:val="9"/>
    <w:rsid w:val="009278DB"/>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480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2835">
      <w:bodyDiv w:val="1"/>
      <w:marLeft w:val="0"/>
      <w:marRight w:val="0"/>
      <w:marTop w:val="0"/>
      <w:marBottom w:val="0"/>
      <w:divBdr>
        <w:top w:val="none" w:sz="0" w:space="0" w:color="auto"/>
        <w:left w:val="none" w:sz="0" w:space="0" w:color="auto"/>
        <w:bottom w:val="none" w:sz="0" w:space="0" w:color="auto"/>
        <w:right w:val="none" w:sz="0" w:space="0" w:color="auto"/>
      </w:divBdr>
    </w:div>
    <w:div w:id="87384663">
      <w:bodyDiv w:val="1"/>
      <w:marLeft w:val="0"/>
      <w:marRight w:val="0"/>
      <w:marTop w:val="0"/>
      <w:marBottom w:val="0"/>
      <w:divBdr>
        <w:top w:val="none" w:sz="0" w:space="0" w:color="auto"/>
        <w:left w:val="none" w:sz="0" w:space="0" w:color="auto"/>
        <w:bottom w:val="none" w:sz="0" w:space="0" w:color="auto"/>
        <w:right w:val="none" w:sz="0" w:space="0" w:color="auto"/>
      </w:divBdr>
    </w:div>
    <w:div w:id="115417965">
      <w:bodyDiv w:val="1"/>
      <w:marLeft w:val="0"/>
      <w:marRight w:val="0"/>
      <w:marTop w:val="0"/>
      <w:marBottom w:val="0"/>
      <w:divBdr>
        <w:top w:val="none" w:sz="0" w:space="0" w:color="auto"/>
        <w:left w:val="none" w:sz="0" w:space="0" w:color="auto"/>
        <w:bottom w:val="none" w:sz="0" w:space="0" w:color="auto"/>
        <w:right w:val="none" w:sz="0" w:space="0" w:color="auto"/>
      </w:divBdr>
    </w:div>
    <w:div w:id="119885309">
      <w:bodyDiv w:val="1"/>
      <w:marLeft w:val="0"/>
      <w:marRight w:val="0"/>
      <w:marTop w:val="0"/>
      <w:marBottom w:val="0"/>
      <w:divBdr>
        <w:top w:val="none" w:sz="0" w:space="0" w:color="auto"/>
        <w:left w:val="none" w:sz="0" w:space="0" w:color="auto"/>
        <w:bottom w:val="none" w:sz="0" w:space="0" w:color="auto"/>
        <w:right w:val="none" w:sz="0" w:space="0" w:color="auto"/>
      </w:divBdr>
    </w:div>
    <w:div w:id="150143763">
      <w:bodyDiv w:val="1"/>
      <w:marLeft w:val="0"/>
      <w:marRight w:val="0"/>
      <w:marTop w:val="0"/>
      <w:marBottom w:val="0"/>
      <w:divBdr>
        <w:top w:val="none" w:sz="0" w:space="0" w:color="auto"/>
        <w:left w:val="none" w:sz="0" w:space="0" w:color="auto"/>
        <w:bottom w:val="none" w:sz="0" w:space="0" w:color="auto"/>
        <w:right w:val="none" w:sz="0" w:space="0" w:color="auto"/>
      </w:divBdr>
    </w:div>
    <w:div w:id="191498847">
      <w:bodyDiv w:val="1"/>
      <w:marLeft w:val="0"/>
      <w:marRight w:val="0"/>
      <w:marTop w:val="0"/>
      <w:marBottom w:val="0"/>
      <w:divBdr>
        <w:top w:val="none" w:sz="0" w:space="0" w:color="auto"/>
        <w:left w:val="none" w:sz="0" w:space="0" w:color="auto"/>
        <w:bottom w:val="none" w:sz="0" w:space="0" w:color="auto"/>
        <w:right w:val="none" w:sz="0" w:space="0" w:color="auto"/>
      </w:divBdr>
    </w:div>
    <w:div w:id="303704301">
      <w:bodyDiv w:val="1"/>
      <w:marLeft w:val="0"/>
      <w:marRight w:val="0"/>
      <w:marTop w:val="0"/>
      <w:marBottom w:val="0"/>
      <w:divBdr>
        <w:top w:val="none" w:sz="0" w:space="0" w:color="auto"/>
        <w:left w:val="none" w:sz="0" w:space="0" w:color="auto"/>
        <w:bottom w:val="none" w:sz="0" w:space="0" w:color="auto"/>
        <w:right w:val="none" w:sz="0" w:space="0" w:color="auto"/>
      </w:divBdr>
      <w:divsChild>
        <w:div w:id="1705211015">
          <w:marLeft w:val="0"/>
          <w:marRight w:val="0"/>
          <w:marTop w:val="0"/>
          <w:marBottom w:val="0"/>
          <w:divBdr>
            <w:top w:val="none" w:sz="0" w:space="0" w:color="auto"/>
            <w:left w:val="none" w:sz="0" w:space="0" w:color="auto"/>
            <w:bottom w:val="none" w:sz="0" w:space="0" w:color="auto"/>
            <w:right w:val="none" w:sz="0" w:space="0" w:color="auto"/>
          </w:divBdr>
        </w:div>
        <w:div w:id="146674739">
          <w:marLeft w:val="0"/>
          <w:marRight w:val="0"/>
          <w:marTop w:val="0"/>
          <w:marBottom w:val="0"/>
          <w:divBdr>
            <w:top w:val="none" w:sz="0" w:space="0" w:color="auto"/>
            <w:left w:val="none" w:sz="0" w:space="0" w:color="auto"/>
            <w:bottom w:val="none" w:sz="0" w:space="0" w:color="auto"/>
            <w:right w:val="none" w:sz="0" w:space="0" w:color="auto"/>
          </w:divBdr>
        </w:div>
        <w:div w:id="1834254078">
          <w:marLeft w:val="0"/>
          <w:marRight w:val="0"/>
          <w:marTop w:val="0"/>
          <w:marBottom w:val="0"/>
          <w:divBdr>
            <w:top w:val="none" w:sz="0" w:space="0" w:color="auto"/>
            <w:left w:val="none" w:sz="0" w:space="0" w:color="auto"/>
            <w:bottom w:val="none" w:sz="0" w:space="0" w:color="auto"/>
            <w:right w:val="none" w:sz="0" w:space="0" w:color="auto"/>
          </w:divBdr>
        </w:div>
        <w:div w:id="171141056">
          <w:marLeft w:val="0"/>
          <w:marRight w:val="0"/>
          <w:marTop w:val="0"/>
          <w:marBottom w:val="0"/>
          <w:divBdr>
            <w:top w:val="none" w:sz="0" w:space="0" w:color="auto"/>
            <w:left w:val="none" w:sz="0" w:space="0" w:color="auto"/>
            <w:bottom w:val="none" w:sz="0" w:space="0" w:color="auto"/>
            <w:right w:val="none" w:sz="0" w:space="0" w:color="auto"/>
          </w:divBdr>
        </w:div>
        <w:div w:id="1237783590">
          <w:marLeft w:val="0"/>
          <w:marRight w:val="0"/>
          <w:marTop w:val="0"/>
          <w:marBottom w:val="0"/>
          <w:divBdr>
            <w:top w:val="none" w:sz="0" w:space="0" w:color="auto"/>
            <w:left w:val="none" w:sz="0" w:space="0" w:color="auto"/>
            <w:bottom w:val="none" w:sz="0" w:space="0" w:color="auto"/>
            <w:right w:val="none" w:sz="0" w:space="0" w:color="auto"/>
          </w:divBdr>
        </w:div>
      </w:divsChild>
    </w:div>
    <w:div w:id="480200366">
      <w:bodyDiv w:val="1"/>
      <w:marLeft w:val="0"/>
      <w:marRight w:val="0"/>
      <w:marTop w:val="0"/>
      <w:marBottom w:val="0"/>
      <w:divBdr>
        <w:top w:val="none" w:sz="0" w:space="0" w:color="auto"/>
        <w:left w:val="none" w:sz="0" w:space="0" w:color="auto"/>
        <w:bottom w:val="none" w:sz="0" w:space="0" w:color="auto"/>
        <w:right w:val="none" w:sz="0" w:space="0" w:color="auto"/>
      </w:divBdr>
    </w:div>
    <w:div w:id="552498861">
      <w:bodyDiv w:val="1"/>
      <w:marLeft w:val="0"/>
      <w:marRight w:val="0"/>
      <w:marTop w:val="0"/>
      <w:marBottom w:val="0"/>
      <w:divBdr>
        <w:top w:val="none" w:sz="0" w:space="0" w:color="auto"/>
        <w:left w:val="none" w:sz="0" w:space="0" w:color="auto"/>
        <w:bottom w:val="none" w:sz="0" w:space="0" w:color="auto"/>
        <w:right w:val="none" w:sz="0" w:space="0" w:color="auto"/>
      </w:divBdr>
    </w:div>
    <w:div w:id="590434250">
      <w:bodyDiv w:val="1"/>
      <w:marLeft w:val="0"/>
      <w:marRight w:val="0"/>
      <w:marTop w:val="0"/>
      <w:marBottom w:val="0"/>
      <w:divBdr>
        <w:top w:val="none" w:sz="0" w:space="0" w:color="auto"/>
        <w:left w:val="none" w:sz="0" w:space="0" w:color="auto"/>
        <w:bottom w:val="none" w:sz="0" w:space="0" w:color="auto"/>
        <w:right w:val="none" w:sz="0" w:space="0" w:color="auto"/>
      </w:divBdr>
    </w:div>
    <w:div w:id="687174766">
      <w:bodyDiv w:val="1"/>
      <w:marLeft w:val="0"/>
      <w:marRight w:val="0"/>
      <w:marTop w:val="0"/>
      <w:marBottom w:val="0"/>
      <w:divBdr>
        <w:top w:val="none" w:sz="0" w:space="0" w:color="auto"/>
        <w:left w:val="none" w:sz="0" w:space="0" w:color="auto"/>
        <w:bottom w:val="none" w:sz="0" w:space="0" w:color="auto"/>
        <w:right w:val="none" w:sz="0" w:space="0" w:color="auto"/>
      </w:divBdr>
    </w:div>
    <w:div w:id="716971045">
      <w:bodyDiv w:val="1"/>
      <w:marLeft w:val="0"/>
      <w:marRight w:val="0"/>
      <w:marTop w:val="0"/>
      <w:marBottom w:val="0"/>
      <w:divBdr>
        <w:top w:val="none" w:sz="0" w:space="0" w:color="auto"/>
        <w:left w:val="none" w:sz="0" w:space="0" w:color="auto"/>
        <w:bottom w:val="none" w:sz="0" w:space="0" w:color="auto"/>
        <w:right w:val="none" w:sz="0" w:space="0" w:color="auto"/>
      </w:divBdr>
    </w:div>
    <w:div w:id="756439203">
      <w:bodyDiv w:val="1"/>
      <w:marLeft w:val="0"/>
      <w:marRight w:val="0"/>
      <w:marTop w:val="0"/>
      <w:marBottom w:val="0"/>
      <w:divBdr>
        <w:top w:val="none" w:sz="0" w:space="0" w:color="auto"/>
        <w:left w:val="none" w:sz="0" w:space="0" w:color="auto"/>
        <w:bottom w:val="none" w:sz="0" w:space="0" w:color="auto"/>
        <w:right w:val="none" w:sz="0" w:space="0" w:color="auto"/>
      </w:divBdr>
    </w:div>
    <w:div w:id="846022455">
      <w:bodyDiv w:val="1"/>
      <w:marLeft w:val="0"/>
      <w:marRight w:val="0"/>
      <w:marTop w:val="0"/>
      <w:marBottom w:val="0"/>
      <w:divBdr>
        <w:top w:val="none" w:sz="0" w:space="0" w:color="auto"/>
        <w:left w:val="none" w:sz="0" w:space="0" w:color="auto"/>
        <w:bottom w:val="none" w:sz="0" w:space="0" w:color="auto"/>
        <w:right w:val="none" w:sz="0" w:space="0" w:color="auto"/>
      </w:divBdr>
    </w:div>
    <w:div w:id="870917850">
      <w:bodyDiv w:val="1"/>
      <w:marLeft w:val="0"/>
      <w:marRight w:val="0"/>
      <w:marTop w:val="0"/>
      <w:marBottom w:val="0"/>
      <w:divBdr>
        <w:top w:val="none" w:sz="0" w:space="0" w:color="auto"/>
        <w:left w:val="none" w:sz="0" w:space="0" w:color="auto"/>
        <w:bottom w:val="none" w:sz="0" w:space="0" w:color="auto"/>
        <w:right w:val="none" w:sz="0" w:space="0" w:color="auto"/>
      </w:divBdr>
    </w:div>
    <w:div w:id="1116096661">
      <w:bodyDiv w:val="1"/>
      <w:marLeft w:val="0"/>
      <w:marRight w:val="0"/>
      <w:marTop w:val="0"/>
      <w:marBottom w:val="0"/>
      <w:divBdr>
        <w:top w:val="none" w:sz="0" w:space="0" w:color="auto"/>
        <w:left w:val="none" w:sz="0" w:space="0" w:color="auto"/>
        <w:bottom w:val="none" w:sz="0" w:space="0" w:color="auto"/>
        <w:right w:val="none" w:sz="0" w:space="0" w:color="auto"/>
      </w:divBdr>
      <w:divsChild>
        <w:div w:id="1748527222">
          <w:marLeft w:val="0"/>
          <w:marRight w:val="0"/>
          <w:marTop w:val="0"/>
          <w:marBottom w:val="0"/>
          <w:divBdr>
            <w:top w:val="none" w:sz="0" w:space="0" w:color="auto"/>
            <w:left w:val="none" w:sz="0" w:space="0" w:color="auto"/>
            <w:bottom w:val="none" w:sz="0" w:space="0" w:color="auto"/>
            <w:right w:val="none" w:sz="0" w:space="0" w:color="auto"/>
          </w:divBdr>
          <w:divsChild>
            <w:div w:id="37751464">
              <w:marLeft w:val="0"/>
              <w:marRight w:val="0"/>
              <w:marTop w:val="0"/>
              <w:marBottom w:val="0"/>
              <w:divBdr>
                <w:top w:val="none" w:sz="0" w:space="0" w:color="auto"/>
                <w:left w:val="none" w:sz="0" w:space="0" w:color="auto"/>
                <w:bottom w:val="none" w:sz="0" w:space="0" w:color="auto"/>
                <w:right w:val="none" w:sz="0" w:space="0" w:color="auto"/>
              </w:divBdr>
            </w:div>
          </w:divsChild>
        </w:div>
        <w:div w:id="415715777">
          <w:marLeft w:val="0"/>
          <w:marRight w:val="0"/>
          <w:marTop w:val="0"/>
          <w:marBottom w:val="0"/>
          <w:divBdr>
            <w:top w:val="none" w:sz="0" w:space="0" w:color="auto"/>
            <w:left w:val="none" w:sz="0" w:space="0" w:color="auto"/>
            <w:bottom w:val="none" w:sz="0" w:space="0" w:color="auto"/>
            <w:right w:val="none" w:sz="0" w:space="0" w:color="auto"/>
          </w:divBdr>
          <w:divsChild>
            <w:div w:id="631834698">
              <w:marLeft w:val="0"/>
              <w:marRight w:val="0"/>
              <w:marTop w:val="0"/>
              <w:marBottom w:val="0"/>
              <w:divBdr>
                <w:top w:val="none" w:sz="0" w:space="0" w:color="auto"/>
                <w:left w:val="none" w:sz="0" w:space="0" w:color="auto"/>
                <w:bottom w:val="none" w:sz="0" w:space="0" w:color="auto"/>
                <w:right w:val="none" w:sz="0" w:space="0" w:color="auto"/>
              </w:divBdr>
            </w:div>
          </w:divsChild>
        </w:div>
        <w:div w:id="552735819">
          <w:marLeft w:val="0"/>
          <w:marRight w:val="0"/>
          <w:marTop w:val="0"/>
          <w:marBottom w:val="0"/>
          <w:divBdr>
            <w:top w:val="none" w:sz="0" w:space="0" w:color="auto"/>
            <w:left w:val="none" w:sz="0" w:space="0" w:color="auto"/>
            <w:bottom w:val="none" w:sz="0" w:space="0" w:color="auto"/>
            <w:right w:val="none" w:sz="0" w:space="0" w:color="auto"/>
          </w:divBdr>
          <w:divsChild>
            <w:div w:id="209658563">
              <w:marLeft w:val="0"/>
              <w:marRight w:val="0"/>
              <w:marTop w:val="0"/>
              <w:marBottom w:val="0"/>
              <w:divBdr>
                <w:top w:val="none" w:sz="0" w:space="0" w:color="auto"/>
                <w:left w:val="none" w:sz="0" w:space="0" w:color="auto"/>
                <w:bottom w:val="none" w:sz="0" w:space="0" w:color="auto"/>
                <w:right w:val="none" w:sz="0" w:space="0" w:color="auto"/>
              </w:divBdr>
            </w:div>
          </w:divsChild>
        </w:div>
        <w:div w:id="989678929">
          <w:marLeft w:val="0"/>
          <w:marRight w:val="0"/>
          <w:marTop w:val="0"/>
          <w:marBottom w:val="0"/>
          <w:divBdr>
            <w:top w:val="none" w:sz="0" w:space="0" w:color="auto"/>
            <w:left w:val="none" w:sz="0" w:space="0" w:color="auto"/>
            <w:bottom w:val="none" w:sz="0" w:space="0" w:color="auto"/>
            <w:right w:val="none" w:sz="0" w:space="0" w:color="auto"/>
          </w:divBdr>
          <w:divsChild>
            <w:div w:id="2124573575">
              <w:marLeft w:val="0"/>
              <w:marRight w:val="0"/>
              <w:marTop w:val="0"/>
              <w:marBottom w:val="0"/>
              <w:divBdr>
                <w:top w:val="none" w:sz="0" w:space="0" w:color="auto"/>
                <w:left w:val="none" w:sz="0" w:space="0" w:color="auto"/>
                <w:bottom w:val="none" w:sz="0" w:space="0" w:color="auto"/>
                <w:right w:val="none" w:sz="0" w:space="0" w:color="auto"/>
              </w:divBdr>
            </w:div>
          </w:divsChild>
        </w:div>
        <w:div w:id="747576074">
          <w:marLeft w:val="0"/>
          <w:marRight w:val="0"/>
          <w:marTop w:val="0"/>
          <w:marBottom w:val="0"/>
          <w:divBdr>
            <w:top w:val="none" w:sz="0" w:space="0" w:color="auto"/>
            <w:left w:val="none" w:sz="0" w:space="0" w:color="auto"/>
            <w:bottom w:val="none" w:sz="0" w:space="0" w:color="auto"/>
            <w:right w:val="none" w:sz="0" w:space="0" w:color="auto"/>
          </w:divBdr>
          <w:divsChild>
            <w:div w:id="699547700">
              <w:marLeft w:val="0"/>
              <w:marRight w:val="0"/>
              <w:marTop w:val="0"/>
              <w:marBottom w:val="0"/>
              <w:divBdr>
                <w:top w:val="none" w:sz="0" w:space="0" w:color="auto"/>
                <w:left w:val="none" w:sz="0" w:space="0" w:color="auto"/>
                <w:bottom w:val="none" w:sz="0" w:space="0" w:color="auto"/>
                <w:right w:val="none" w:sz="0" w:space="0" w:color="auto"/>
              </w:divBdr>
            </w:div>
          </w:divsChild>
        </w:div>
        <w:div w:id="12466622">
          <w:marLeft w:val="0"/>
          <w:marRight w:val="0"/>
          <w:marTop w:val="0"/>
          <w:marBottom w:val="0"/>
          <w:divBdr>
            <w:top w:val="none" w:sz="0" w:space="0" w:color="auto"/>
            <w:left w:val="none" w:sz="0" w:space="0" w:color="auto"/>
            <w:bottom w:val="none" w:sz="0" w:space="0" w:color="auto"/>
            <w:right w:val="none" w:sz="0" w:space="0" w:color="auto"/>
          </w:divBdr>
          <w:divsChild>
            <w:div w:id="15543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2125">
      <w:bodyDiv w:val="1"/>
      <w:marLeft w:val="0"/>
      <w:marRight w:val="0"/>
      <w:marTop w:val="0"/>
      <w:marBottom w:val="0"/>
      <w:divBdr>
        <w:top w:val="none" w:sz="0" w:space="0" w:color="auto"/>
        <w:left w:val="none" w:sz="0" w:space="0" w:color="auto"/>
        <w:bottom w:val="none" w:sz="0" w:space="0" w:color="auto"/>
        <w:right w:val="none" w:sz="0" w:space="0" w:color="auto"/>
      </w:divBdr>
    </w:div>
    <w:div w:id="1203515750">
      <w:bodyDiv w:val="1"/>
      <w:marLeft w:val="0"/>
      <w:marRight w:val="0"/>
      <w:marTop w:val="0"/>
      <w:marBottom w:val="0"/>
      <w:divBdr>
        <w:top w:val="none" w:sz="0" w:space="0" w:color="auto"/>
        <w:left w:val="none" w:sz="0" w:space="0" w:color="auto"/>
        <w:bottom w:val="none" w:sz="0" w:space="0" w:color="auto"/>
        <w:right w:val="none" w:sz="0" w:space="0" w:color="auto"/>
      </w:divBdr>
    </w:div>
    <w:div w:id="1225292049">
      <w:bodyDiv w:val="1"/>
      <w:marLeft w:val="0"/>
      <w:marRight w:val="0"/>
      <w:marTop w:val="0"/>
      <w:marBottom w:val="0"/>
      <w:divBdr>
        <w:top w:val="none" w:sz="0" w:space="0" w:color="auto"/>
        <w:left w:val="none" w:sz="0" w:space="0" w:color="auto"/>
        <w:bottom w:val="none" w:sz="0" w:space="0" w:color="auto"/>
        <w:right w:val="none" w:sz="0" w:space="0" w:color="auto"/>
      </w:divBdr>
    </w:div>
    <w:div w:id="1253127935">
      <w:bodyDiv w:val="1"/>
      <w:marLeft w:val="0"/>
      <w:marRight w:val="0"/>
      <w:marTop w:val="0"/>
      <w:marBottom w:val="0"/>
      <w:divBdr>
        <w:top w:val="none" w:sz="0" w:space="0" w:color="auto"/>
        <w:left w:val="none" w:sz="0" w:space="0" w:color="auto"/>
        <w:bottom w:val="none" w:sz="0" w:space="0" w:color="auto"/>
        <w:right w:val="none" w:sz="0" w:space="0" w:color="auto"/>
      </w:divBdr>
    </w:div>
    <w:div w:id="1277102689">
      <w:bodyDiv w:val="1"/>
      <w:marLeft w:val="0"/>
      <w:marRight w:val="0"/>
      <w:marTop w:val="0"/>
      <w:marBottom w:val="0"/>
      <w:divBdr>
        <w:top w:val="none" w:sz="0" w:space="0" w:color="auto"/>
        <w:left w:val="none" w:sz="0" w:space="0" w:color="auto"/>
        <w:bottom w:val="none" w:sz="0" w:space="0" w:color="auto"/>
        <w:right w:val="none" w:sz="0" w:space="0" w:color="auto"/>
      </w:divBdr>
    </w:div>
    <w:div w:id="1352606968">
      <w:bodyDiv w:val="1"/>
      <w:marLeft w:val="0"/>
      <w:marRight w:val="0"/>
      <w:marTop w:val="0"/>
      <w:marBottom w:val="0"/>
      <w:divBdr>
        <w:top w:val="none" w:sz="0" w:space="0" w:color="auto"/>
        <w:left w:val="none" w:sz="0" w:space="0" w:color="auto"/>
        <w:bottom w:val="none" w:sz="0" w:space="0" w:color="auto"/>
        <w:right w:val="none" w:sz="0" w:space="0" w:color="auto"/>
      </w:divBdr>
    </w:div>
    <w:div w:id="1408265796">
      <w:bodyDiv w:val="1"/>
      <w:marLeft w:val="0"/>
      <w:marRight w:val="0"/>
      <w:marTop w:val="0"/>
      <w:marBottom w:val="0"/>
      <w:divBdr>
        <w:top w:val="none" w:sz="0" w:space="0" w:color="auto"/>
        <w:left w:val="none" w:sz="0" w:space="0" w:color="auto"/>
        <w:bottom w:val="none" w:sz="0" w:space="0" w:color="auto"/>
        <w:right w:val="none" w:sz="0" w:space="0" w:color="auto"/>
      </w:divBdr>
    </w:div>
    <w:div w:id="1545753302">
      <w:bodyDiv w:val="1"/>
      <w:marLeft w:val="0"/>
      <w:marRight w:val="0"/>
      <w:marTop w:val="0"/>
      <w:marBottom w:val="0"/>
      <w:divBdr>
        <w:top w:val="none" w:sz="0" w:space="0" w:color="auto"/>
        <w:left w:val="none" w:sz="0" w:space="0" w:color="auto"/>
        <w:bottom w:val="none" w:sz="0" w:space="0" w:color="auto"/>
        <w:right w:val="none" w:sz="0" w:space="0" w:color="auto"/>
      </w:divBdr>
    </w:div>
    <w:div w:id="1649893429">
      <w:bodyDiv w:val="1"/>
      <w:marLeft w:val="0"/>
      <w:marRight w:val="0"/>
      <w:marTop w:val="0"/>
      <w:marBottom w:val="0"/>
      <w:divBdr>
        <w:top w:val="none" w:sz="0" w:space="0" w:color="auto"/>
        <w:left w:val="none" w:sz="0" w:space="0" w:color="auto"/>
        <w:bottom w:val="none" w:sz="0" w:space="0" w:color="auto"/>
        <w:right w:val="none" w:sz="0" w:space="0" w:color="auto"/>
      </w:divBdr>
    </w:div>
    <w:div w:id="1663772597">
      <w:bodyDiv w:val="1"/>
      <w:marLeft w:val="0"/>
      <w:marRight w:val="0"/>
      <w:marTop w:val="0"/>
      <w:marBottom w:val="0"/>
      <w:divBdr>
        <w:top w:val="none" w:sz="0" w:space="0" w:color="auto"/>
        <w:left w:val="none" w:sz="0" w:space="0" w:color="auto"/>
        <w:bottom w:val="none" w:sz="0" w:space="0" w:color="auto"/>
        <w:right w:val="none" w:sz="0" w:space="0" w:color="auto"/>
      </w:divBdr>
    </w:div>
    <w:div w:id="1949924746">
      <w:bodyDiv w:val="1"/>
      <w:marLeft w:val="0"/>
      <w:marRight w:val="0"/>
      <w:marTop w:val="0"/>
      <w:marBottom w:val="0"/>
      <w:divBdr>
        <w:top w:val="none" w:sz="0" w:space="0" w:color="auto"/>
        <w:left w:val="none" w:sz="0" w:space="0" w:color="auto"/>
        <w:bottom w:val="none" w:sz="0" w:space="0" w:color="auto"/>
        <w:right w:val="none" w:sz="0" w:space="0" w:color="auto"/>
      </w:divBdr>
      <w:divsChild>
        <w:div w:id="617374626">
          <w:marLeft w:val="0"/>
          <w:marRight w:val="0"/>
          <w:marTop w:val="0"/>
          <w:marBottom w:val="0"/>
          <w:divBdr>
            <w:top w:val="none" w:sz="0" w:space="0" w:color="auto"/>
            <w:left w:val="none" w:sz="0" w:space="0" w:color="auto"/>
            <w:bottom w:val="none" w:sz="0" w:space="0" w:color="auto"/>
            <w:right w:val="none" w:sz="0" w:space="0" w:color="auto"/>
          </w:divBdr>
        </w:div>
      </w:divsChild>
    </w:div>
    <w:div w:id="2064211680">
      <w:bodyDiv w:val="1"/>
      <w:marLeft w:val="0"/>
      <w:marRight w:val="0"/>
      <w:marTop w:val="0"/>
      <w:marBottom w:val="0"/>
      <w:divBdr>
        <w:top w:val="none" w:sz="0" w:space="0" w:color="auto"/>
        <w:left w:val="none" w:sz="0" w:space="0" w:color="auto"/>
        <w:bottom w:val="none" w:sz="0" w:space="0" w:color="auto"/>
        <w:right w:val="none" w:sz="0" w:space="0" w:color="auto"/>
      </w:divBdr>
    </w:div>
    <w:div w:id="2100445076">
      <w:bodyDiv w:val="1"/>
      <w:marLeft w:val="0"/>
      <w:marRight w:val="0"/>
      <w:marTop w:val="0"/>
      <w:marBottom w:val="0"/>
      <w:divBdr>
        <w:top w:val="none" w:sz="0" w:space="0" w:color="auto"/>
        <w:left w:val="none" w:sz="0" w:space="0" w:color="auto"/>
        <w:bottom w:val="none" w:sz="0" w:space="0" w:color="auto"/>
        <w:right w:val="none" w:sz="0" w:space="0" w:color="auto"/>
      </w:divBdr>
    </w:div>
    <w:div w:id="2107459274">
      <w:bodyDiv w:val="1"/>
      <w:marLeft w:val="0"/>
      <w:marRight w:val="0"/>
      <w:marTop w:val="0"/>
      <w:marBottom w:val="0"/>
      <w:divBdr>
        <w:top w:val="none" w:sz="0" w:space="0" w:color="auto"/>
        <w:left w:val="none" w:sz="0" w:space="0" w:color="auto"/>
        <w:bottom w:val="none" w:sz="0" w:space="0" w:color="auto"/>
        <w:right w:val="none" w:sz="0" w:space="0" w:color="auto"/>
      </w:divBdr>
    </w:div>
    <w:div w:id="211393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95EA37-BB6E-4265-816D-C3320C34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14412</Words>
  <Characters>82154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2018-08-11T14:53:00Z</dcterms:created>
  <dcterms:modified xsi:type="dcterms:W3CDTF">2018-08-11T14:53:00Z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