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D90D6" w14:textId="7A4CA8E2" w:rsidR="00D110BE" w:rsidRPr="00C2506E" w:rsidRDefault="002B2947" w:rsidP="002F001D">
      <w:pPr>
        <w:pStyle w:val="NZVJarticletype"/>
        <w:rPr>
          <w:color w:val="000000" w:themeColor="text1"/>
        </w:rPr>
      </w:pPr>
      <w:r>
        <w:rPr>
          <w:color w:val="000000" w:themeColor="text1"/>
        </w:rPr>
        <w:t>Short communication</w:t>
      </w:r>
    </w:p>
    <w:p w14:paraId="20EE9412" w14:textId="15C4299F" w:rsidR="002F001D" w:rsidRPr="00C2506E" w:rsidRDefault="002F001D" w:rsidP="002F001D">
      <w:pPr>
        <w:pStyle w:val="StyleNZVJHeading1Arial16ptLeftLinespacingsingle"/>
        <w:rPr>
          <w:rFonts w:eastAsia="Arial"/>
          <w:color w:val="000000" w:themeColor="text1"/>
        </w:rPr>
      </w:pPr>
      <w:r w:rsidRPr="00C2506E">
        <w:rPr>
          <w:rFonts w:eastAsia="Arial"/>
          <w:color w:val="000000" w:themeColor="text1"/>
        </w:rPr>
        <w:t xml:space="preserve">Reducing </w:t>
      </w:r>
      <w:r w:rsidR="002B2947">
        <w:rPr>
          <w:rFonts w:eastAsia="Arial"/>
          <w:color w:val="000000" w:themeColor="text1"/>
        </w:rPr>
        <w:t>o</w:t>
      </w:r>
      <w:r w:rsidRPr="00C2506E">
        <w:rPr>
          <w:rFonts w:eastAsia="Arial"/>
          <w:color w:val="000000" w:themeColor="text1"/>
        </w:rPr>
        <w:t xml:space="preserve">ccupational </w:t>
      </w:r>
      <w:r w:rsidR="002B2947">
        <w:rPr>
          <w:rFonts w:eastAsia="Arial"/>
          <w:color w:val="000000" w:themeColor="text1"/>
        </w:rPr>
        <w:t>d</w:t>
      </w:r>
      <w:r w:rsidRPr="00C2506E">
        <w:rPr>
          <w:rFonts w:eastAsia="Arial"/>
          <w:color w:val="000000" w:themeColor="text1"/>
        </w:rPr>
        <w:t xml:space="preserve">istress in </w:t>
      </w:r>
      <w:r w:rsidR="002B2947">
        <w:rPr>
          <w:rFonts w:eastAsia="Arial"/>
          <w:color w:val="000000" w:themeColor="text1"/>
        </w:rPr>
        <w:t>v</w:t>
      </w:r>
      <w:r w:rsidRPr="00C2506E">
        <w:rPr>
          <w:rFonts w:eastAsia="Arial"/>
          <w:color w:val="000000" w:themeColor="text1"/>
        </w:rPr>
        <w:t xml:space="preserve">eterinary </w:t>
      </w:r>
      <w:r w:rsidR="002B2947">
        <w:rPr>
          <w:rFonts w:eastAsia="Arial"/>
          <w:color w:val="000000" w:themeColor="text1"/>
        </w:rPr>
        <w:t>m</w:t>
      </w:r>
      <w:r w:rsidRPr="00C2506E">
        <w:rPr>
          <w:rFonts w:eastAsia="Arial"/>
          <w:color w:val="000000" w:themeColor="text1"/>
        </w:rPr>
        <w:t xml:space="preserve">edicine </w:t>
      </w:r>
      <w:r w:rsidR="002B2947">
        <w:rPr>
          <w:rFonts w:eastAsia="Arial"/>
          <w:color w:val="000000" w:themeColor="text1"/>
        </w:rPr>
        <w:t>p</w:t>
      </w:r>
      <w:r w:rsidRPr="00C2506E">
        <w:rPr>
          <w:rFonts w:eastAsia="Arial"/>
          <w:color w:val="000000" w:themeColor="text1"/>
        </w:rPr>
        <w:t xml:space="preserve">ersonnel with </w:t>
      </w:r>
      <w:r w:rsidR="002B2947">
        <w:rPr>
          <w:rFonts w:eastAsia="Arial"/>
          <w:color w:val="000000" w:themeColor="text1"/>
        </w:rPr>
        <w:t>a</w:t>
      </w:r>
      <w:r w:rsidRPr="00C2506E">
        <w:rPr>
          <w:rFonts w:eastAsia="Arial"/>
          <w:color w:val="000000" w:themeColor="text1"/>
        </w:rPr>
        <w:t xml:space="preserve">cceptance and </w:t>
      </w:r>
      <w:r w:rsidR="002B2947">
        <w:rPr>
          <w:rFonts w:eastAsia="Arial"/>
          <w:color w:val="000000" w:themeColor="text1"/>
        </w:rPr>
        <w:t>c</w:t>
      </w:r>
      <w:r w:rsidRPr="00C2506E">
        <w:rPr>
          <w:rFonts w:eastAsia="Arial"/>
          <w:color w:val="000000" w:themeColor="text1"/>
        </w:rPr>
        <w:t xml:space="preserve">ommitment </w:t>
      </w:r>
      <w:r w:rsidR="002B2947">
        <w:rPr>
          <w:rFonts w:eastAsia="Arial"/>
          <w:color w:val="000000" w:themeColor="text1"/>
        </w:rPr>
        <w:t>t</w:t>
      </w:r>
      <w:r w:rsidRPr="00C2506E">
        <w:rPr>
          <w:rFonts w:eastAsia="Arial"/>
          <w:color w:val="000000" w:themeColor="text1"/>
        </w:rPr>
        <w:t xml:space="preserve">raining: </w:t>
      </w:r>
      <w:r w:rsidR="002B2947">
        <w:rPr>
          <w:rFonts w:eastAsia="Arial"/>
          <w:color w:val="000000" w:themeColor="text1"/>
        </w:rPr>
        <w:t>a p</w:t>
      </w:r>
      <w:r w:rsidRPr="00C2506E">
        <w:rPr>
          <w:rFonts w:eastAsia="Arial"/>
          <w:color w:val="000000" w:themeColor="text1"/>
        </w:rPr>
        <w:t xml:space="preserve">ilot </w:t>
      </w:r>
      <w:r w:rsidR="002B2947">
        <w:rPr>
          <w:rFonts w:eastAsia="Arial"/>
          <w:color w:val="000000" w:themeColor="text1"/>
        </w:rPr>
        <w:t>s</w:t>
      </w:r>
      <w:r w:rsidRPr="00C2506E">
        <w:rPr>
          <w:rFonts w:eastAsia="Arial"/>
          <w:color w:val="000000" w:themeColor="text1"/>
        </w:rPr>
        <w:t>tudy</w:t>
      </w:r>
    </w:p>
    <w:p w14:paraId="7BB34B21" w14:textId="77777777" w:rsidR="002F001D" w:rsidRPr="00C2506E" w:rsidRDefault="002F001D" w:rsidP="002F001D">
      <w:pPr>
        <w:spacing w:line="360" w:lineRule="auto"/>
        <w:jc w:val="center"/>
        <w:rPr>
          <w:rFonts w:eastAsia="Arial"/>
          <w:b/>
          <w:bCs/>
          <w:color w:val="000000" w:themeColor="text1"/>
          <w:sz w:val="28"/>
          <w:szCs w:val="28"/>
        </w:rPr>
      </w:pPr>
    </w:p>
    <w:p w14:paraId="285633F7" w14:textId="525CB9D1" w:rsidR="002F001D" w:rsidRPr="00C2506E" w:rsidRDefault="002F001D" w:rsidP="002F001D">
      <w:pPr>
        <w:pStyle w:val="NZVJAuthors"/>
        <w:rPr>
          <w:rFonts w:ascii="Times New Roman" w:eastAsiaTheme="minorEastAsia" w:hAnsi="Times New Roman" w:cstheme="minorBidi"/>
          <w:color w:val="000000" w:themeColor="text1"/>
          <w:vertAlign w:val="superscript"/>
        </w:rPr>
      </w:pPr>
      <w:r w:rsidRPr="00C2506E">
        <w:rPr>
          <w:color w:val="000000" w:themeColor="text1"/>
        </w:rPr>
        <w:t xml:space="preserve">MB </w:t>
      </w:r>
      <w:proofErr w:type="spellStart"/>
      <w:r w:rsidRPr="00C2506E">
        <w:rPr>
          <w:color w:val="000000" w:themeColor="text1"/>
        </w:rPr>
        <w:t>Spitznagel</w:t>
      </w:r>
      <w:r w:rsidR="002B2947">
        <w:rPr>
          <w:color w:val="000000" w:themeColor="text1"/>
          <w:vertAlign w:val="superscript"/>
        </w:rPr>
        <w:t>a</w:t>
      </w:r>
      <w:proofErr w:type="spellEnd"/>
      <w:r w:rsidRPr="00C2506E">
        <w:rPr>
          <w:rFonts w:cs="Arial"/>
          <w:color w:val="000000" w:themeColor="text1"/>
          <w:vertAlign w:val="superscript"/>
          <w:lang w:val="en-GB"/>
        </w:rPr>
        <w:t>§</w:t>
      </w:r>
      <w:r w:rsidR="002B2947">
        <w:rPr>
          <w:rFonts w:cs="Arial"/>
          <w:color w:val="000000" w:themeColor="text1"/>
          <w:lang w:val="en-GB"/>
        </w:rPr>
        <w:t>,</w:t>
      </w:r>
      <w:r w:rsidRPr="00C2506E">
        <w:rPr>
          <w:color w:val="000000" w:themeColor="text1"/>
          <w:vertAlign w:val="superscript"/>
          <w:lang w:val="en-GB"/>
        </w:rPr>
        <w:t xml:space="preserve"> </w:t>
      </w:r>
      <w:r w:rsidRPr="00C2506E">
        <w:rPr>
          <w:color w:val="000000" w:themeColor="text1"/>
        </w:rPr>
        <w:t xml:space="preserve">ASG </w:t>
      </w:r>
      <w:proofErr w:type="spellStart"/>
      <w:r w:rsidRPr="00C2506E">
        <w:rPr>
          <w:color w:val="000000" w:themeColor="text1"/>
        </w:rPr>
        <w:t>Updegraff</w:t>
      </w:r>
      <w:r w:rsidR="002B2947">
        <w:rPr>
          <w:color w:val="000000" w:themeColor="text1"/>
          <w:vertAlign w:val="superscript"/>
        </w:rPr>
        <w:t>a</w:t>
      </w:r>
      <w:proofErr w:type="spellEnd"/>
      <w:r w:rsidR="002B2947">
        <w:rPr>
          <w:color w:val="000000" w:themeColor="text1"/>
        </w:rPr>
        <w:t>,</w:t>
      </w:r>
      <w:r w:rsidRPr="00C2506E">
        <w:rPr>
          <w:color w:val="000000" w:themeColor="text1"/>
          <w:vertAlign w:val="superscript"/>
        </w:rPr>
        <w:t xml:space="preserve"> </w:t>
      </w:r>
      <w:r w:rsidRPr="00C2506E">
        <w:rPr>
          <w:color w:val="000000" w:themeColor="text1"/>
        </w:rPr>
        <w:t xml:space="preserve">MP </w:t>
      </w:r>
      <w:proofErr w:type="spellStart"/>
      <w:r w:rsidRPr="00C2506E">
        <w:rPr>
          <w:color w:val="000000" w:themeColor="text1"/>
        </w:rPr>
        <w:t>Twohig</w:t>
      </w:r>
      <w:r w:rsidR="002B2947">
        <w:rPr>
          <w:color w:val="000000" w:themeColor="text1"/>
          <w:vertAlign w:val="superscript"/>
        </w:rPr>
        <w:t>b</w:t>
      </w:r>
      <w:proofErr w:type="spellEnd"/>
      <w:r w:rsidR="002B2947">
        <w:rPr>
          <w:color w:val="000000" w:themeColor="text1"/>
        </w:rPr>
        <w:t>,</w:t>
      </w:r>
      <w:r w:rsidRPr="00C2506E">
        <w:rPr>
          <w:color w:val="000000" w:themeColor="text1"/>
          <w:vertAlign w:val="superscript"/>
        </w:rPr>
        <w:t xml:space="preserve"> </w:t>
      </w:r>
      <w:r w:rsidRPr="00C2506E">
        <w:rPr>
          <w:color w:val="000000" w:themeColor="text1"/>
        </w:rPr>
        <w:t xml:space="preserve">MD </w:t>
      </w:r>
      <w:proofErr w:type="spellStart"/>
      <w:r w:rsidRPr="00C2506E">
        <w:rPr>
          <w:color w:val="000000" w:themeColor="text1"/>
        </w:rPr>
        <w:t>Carlson</w:t>
      </w:r>
      <w:r w:rsidR="002B2947">
        <w:rPr>
          <w:color w:val="000000" w:themeColor="text1"/>
          <w:vertAlign w:val="superscript"/>
        </w:rPr>
        <w:t>c</w:t>
      </w:r>
      <w:proofErr w:type="spellEnd"/>
      <w:r w:rsidR="002B2947">
        <w:rPr>
          <w:color w:val="000000" w:themeColor="text1"/>
        </w:rPr>
        <w:t xml:space="preserve"> and</w:t>
      </w:r>
      <w:r w:rsidRPr="00C2506E">
        <w:rPr>
          <w:color w:val="000000" w:themeColor="text1"/>
        </w:rPr>
        <w:t xml:space="preserve"> CM </w:t>
      </w:r>
      <w:proofErr w:type="spellStart"/>
      <w:r w:rsidRPr="00C2506E">
        <w:rPr>
          <w:color w:val="000000" w:themeColor="text1"/>
        </w:rPr>
        <w:t>Fulkerson</w:t>
      </w:r>
      <w:r w:rsidR="002B2947">
        <w:rPr>
          <w:color w:val="000000" w:themeColor="text1"/>
          <w:vertAlign w:val="superscript"/>
        </w:rPr>
        <w:t>d</w:t>
      </w:r>
      <w:proofErr w:type="spellEnd"/>
    </w:p>
    <w:p w14:paraId="0E1451B1" w14:textId="69FF0BAA" w:rsidR="002F001D" w:rsidRPr="00C2506E" w:rsidRDefault="002B2947" w:rsidP="002F001D">
      <w:pPr>
        <w:rPr>
          <w:color w:val="000000" w:themeColor="text1"/>
          <w:sz w:val="24"/>
          <w:szCs w:val="24"/>
        </w:rPr>
      </w:pPr>
      <w:r>
        <w:rPr>
          <w:color w:val="000000" w:themeColor="text1"/>
          <w:vertAlign w:val="superscript"/>
        </w:rPr>
        <w:t>a</w:t>
      </w:r>
      <w:r w:rsidR="00105BF9">
        <w:rPr>
          <w:color w:val="000000" w:themeColor="text1"/>
          <w:vertAlign w:val="superscript"/>
        </w:rPr>
        <w:t xml:space="preserve"> </w:t>
      </w:r>
      <w:r w:rsidR="002F001D" w:rsidRPr="00C2506E">
        <w:rPr>
          <w:color w:val="000000" w:themeColor="text1"/>
        </w:rPr>
        <w:t>Department of Psychological Sciences, Kent State University, Kent, OH</w:t>
      </w:r>
      <w:r>
        <w:rPr>
          <w:color w:val="000000" w:themeColor="text1"/>
        </w:rPr>
        <w:t xml:space="preserve">, </w:t>
      </w:r>
      <w:r w:rsidR="002F001D" w:rsidRPr="00C2506E">
        <w:rPr>
          <w:color w:val="000000" w:themeColor="text1"/>
        </w:rPr>
        <w:t>USA</w:t>
      </w:r>
    </w:p>
    <w:p w14:paraId="3C8EA74D" w14:textId="2273A15E" w:rsidR="002F001D" w:rsidRPr="00C2506E" w:rsidRDefault="002B2947" w:rsidP="002F001D">
      <w:pPr>
        <w:rPr>
          <w:color w:val="000000" w:themeColor="text1"/>
        </w:rPr>
      </w:pPr>
      <w:r>
        <w:rPr>
          <w:color w:val="000000" w:themeColor="text1"/>
          <w:vertAlign w:val="superscript"/>
        </w:rPr>
        <w:t xml:space="preserve">b </w:t>
      </w:r>
      <w:r w:rsidRPr="00C2506E">
        <w:rPr>
          <w:color w:val="000000" w:themeColor="text1"/>
        </w:rPr>
        <w:t xml:space="preserve">Department of Psychology, </w:t>
      </w:r>
      <w:r w:rsidR="002F001D" w:rsidRPr="00C2506E">
        <w:rPr>
          <w:color w:val="000000" w:themeColor="text1"/>
        </w:rPr>
        <w:t>Utah State University, Logan</w:t>
      </w:r>
      <w:r>
        <w:rPr>
          <w:color w:val="000000" w:themeColor="text1"/>
        </w:rPr>
        <w:t>,</w:t>
      </w:r>
      <w:r w:rsidR="002F001D" w:rsidRPr="00C2506E">
        <w:rPr>
          <w:color w:val="000000" w:themeColor="text1"/>
        </w:rPr>
        <w:t xml:space="preserve"> UT</w:t>
      </w:r>
      <w:r>
        <w:rPr>
          <w:color w:val="000000" w:themeColor="text1"/>
        </w:rPr>
        <w:t>,</w:t>
      </w:r>
      <w:r w:rsidR="002F001D" w:rsidRPr="00C2506E">
        <w:rPr>
          <w:color w:val="000000" w:themeColor="text1"/>
        </w:rPr>
        <w:t xml:space="preserve"> USA </w:t>
      </w:r>
    </w:p>
    <w:p w14:paraId="47B5110F" w14:textId="6D78FC44" w:rsidR="002F001D" w:rsidRPr="00C2506E" w:rsidRDefault="002B2947" w:rsidP="002F001D">
      <w:pPr>
        <w:rPr>
          <w:color w:val="000000" w:themeColor="text1"/>
        </w:rPr>
      </w:pPr>
      <w:r>
        <w:rPr>
          <w:color w:val="000000" w:themeColor="text1"/>
          <w:vertAlign w:val="superscript"/>
        </w:rPr>
        <w:t>c</w:t>
      </w:r>
      <w:r w:rsidR="00105BF9">
        <w:rPr>
          <w:color w:val="000000" w:themeColor="text1"/>
          <w:vertAlign w:val="superscript"/>
        </w:rPr>
        <w:t xml:space="preserve"> </w:t>
      </w:r>
      <w:r w:rsidR="002F001D" w:rsidRPr="00C2506E">
        <w:rPr>
          <w:color w:val="000000" w:themeColor="text1"/>
        </w:rPr>
        <w:t>Stow Kent Animal Hospital, Kent, OH</w:t>
      </w:r>
      <w:r>
        <w:rPr>
          <w:color w:val="000000" w:themeColor="text1"/>
        </w:rPr>
        <w:t xml:space="preserve">, </w:t>
      </w:r>
      <w:r w:rsidR="002F001D" w:rsidRPr="00C2506E">
        <w:rPr>
          <w:color w:val="000000" w:themeColor="text1"/>
        </w:rPr>
        <w:t>USA</w:t>
      </w:r>
    </w:p>
    <w:p w14:paraId="085C4F5C" w14:textId="47DA13C8" w:rsidR="002F001D" w:rsidRPr="00C2506E" w:rsidRDefault="002B2947" w:rsidP="002F001D">
      <w:pPr>
        <w:rPr>
          <w:color w:val="000000" w:themeColor="text1"/>
          <w:vertAlign w:val="superscript"/>
        </w:rPr>
      </w:pPr>
      <w:r>
        <w:rPr>
          <w:color w:val="000000" w:themeColor="text1"/>
          <w:vertAlign w:val="superscript"/>
        </w:rPr>
        <w:t>d</w:t>
      </w:r>
      <w:r>
        <w:rPr>
          <w:color w:val="000000" w:themeColor="text1"/>
        </w:rPr>
        <w:t xml:space="preserve"> </w:t>
      </w:r>
      <w:r w:rsidRPr="00C2506E">
        <w:rPr>
          <w:color w:val="000000" w:themeColor="text1"/>
        </w:rPr>
        <w:t xml:space="preserve">Department of Veterinary Clinical Sciences, </w:t>
      </w:r>
      <w:r w:rsidR="002F001D" w:rsidRPr="00C2506E">
        <w:rPr>
          <w:color w:val="000000" w:themeColor="text1"/>
        </w:rPr>
        <w:t xml:space="preserve">College of Veterinary Medicine </w:t>
      </w:r>
      <w:r w:rsidR="000A06FF" w:rsidRPr="00C2506E">
        <w:rPr>
          <w:color w:val="000000" w:themeColor="text1"/>
        </w:rPr>
        <w:t xml:space="preserve">and </w:t>
      </w:r>
      <w:proofErr w:type="spellStart"/>
      <w:r w:rsidR="000A06FF" w:rsidRPr="00C2506E">
        <w:rPr>
          <w:color w:val="000000" w:themeColor="text1"/>
        </w:rPr>
        <w:t>Center</w:t>
      </w:r>
      <w:proofErr w:type="spellEnd"/>
      <w:r w:rsidR="000A06FF" w:rsidRPr="00C2506E">
        <w:rPr>
          <w:color w:val="000000" w:themeColor="text1"/>
        </w:rPr>
        <w:t xml:space="preserve"> for Cancer Research</w:t>
      </w:r>
      <w:r w:rsidR="000A06FF">
        <w:rPr>
          <w:color w:val="000000" w:themeColor="text1"/>
        </w:rPr>
        <w:t>,</w:t>
      </w:r>
      <w:r w:rsidR="00105BF9">
        <w:rPr>
          <w:color w:val="000000" w:themeColor="text1"/>
        </w:rPr>
        <w:t xml:space="preserve"> </w:t>
      </w:r>
      <w:r w:rsidR="002F001D" w:rsidRPr="00C2506E">
        <w:rPr>
          <w:color w:val="000000" w:themeColor="text1"/>
        </w:rPr>
        <w:t>Purdue University</w:t>
      </w:r>
      <w:r>
        <w:rPr>
          <w:color w:val="000000" w:themeColor="text1"/>
        </w:rPr>
        <w:t xml:space="preserve">, </w:t>
      </w:r>
      <w:r w:rsidR="002F001D" w:rsidRPr="00C2506E">
        <w:rPr>
          <w:color w:val="000000" w:themeColor="text1"/>
        </w:rPr>
        <w:t>West Lafayette, IN</w:t>
      </w:r>
      <w:r>
        <w:rPr>
          <w:color w:val="000000" w:themeColor="text1"/>
        </w:rPr>
        <w:t xml:space="preserve">, </w:t>
      </w:r>
      <w:r w:rsidR="002F001D" w:rsidRPr="00C2506E">
        <w:rPr>
          <w:color w:val="000000" w:themeColor="text1"/>
        </w:rPr>
        <w:t>US</w:t>
      </w:r>
      <w:r>
        <w:rPr>
          <w:color w:val="000000" w:themeColor="text1"/>
        </w:rPr>
        <w:t>A</w:t>
      </w:r>
    </w:p>
    <w:p w14:paraId="585D26E8" w14:textId="77777777" w:rsidR="002F001D" w:rsidRPr="00C2506E" w:rsidRDefault="002F001D" w:rsidP="002F001D">
      <w:pPr>
        <w:rPr>
          <w:rStyle w:val="Hyperlink"/>
          <w:rFonts w:cstheme="minorBidi"/>
          <w:color w:val="000000" w:themeColor="text1"/>
        </w:rPr>
      </w:pPr>
      <w:r w:rsidRPr="00C2506E">
        <w:rPr>
          <w:color w:val="000000" w:themeColor="text1"/>
          <w:vertAlign w:val="superscript"/>
          <w:lang w:val="en-GB"/>
        </w:rPr>
        <w:t>§</w:t>
      </w:r>
      <w:r w:rsidRPr="00C2506E">
        <w:rPr>
          <w:color w:val="000000" w:themeColor="text1"/>
        </w:rPr>
        <w:t xml:space="preserve">Author for correspondence. Email: </w:t>
      </w:r>
      <w:hyperlink r:id="rId10" w:history="1">
        <w:r w:rsidRPr="00681D97">
          <w:rPr>
            <w:rStyle w:val="Hyperlink"/>
            <w:color w:val="000000" w:themeColor="text1"/>
            <w:u w:val="none"/>
          </w:rPr>
          <w:t>mspitzna@kent.edu</w:t>
        </w:r>
      </w:hyperlink>
    </w:p>
    <w:p w14:paraId="3329231B" w14:textId="77777777" w:rsidR="00D110BE" w:rsidRPr="00C2506E" w:rsidRDefault="00D110BE" w:rsidP="00D110BE">
      <w:pPr>
        <w:rPr>
          <w:color w:val="000000" w:themeColor="text1"/>
          <w:lang w:val="en-GB"/>
        </w:rPr>
      </w:pPr>
    </w:p>
    <w:p w14:paraId="4C3487E4" w14:textId="31C18CF9" w:rsidR="00D110BE" w:rsidRPr="00C2506E" w:rsidRDefault="00D110BE" w:rsidP="00D110BE">
      <w:pPr>
        <w:pStyle w:val="NZVJHeading1"/>
        <w:rPr>
          <w:color w:val="000000" w:themeColor="text1"/>
        </w:rPr>
      </w:pPr>
      <w:r w:rsidRPr="00C2506E">
        <w:rPr>
          <w:color w:val="000000" w:themeColor="text1"/>
        </w:rPr>
        <w:t>Abstract</w:t>
      </w:r>
    </w:p>
    <w:p w14:paraId="5BE956A8" w14:textId="594FBEBE" w:rsidR="002F001D" w:rsidRPr="00C2506E" w:rsidRDefault="00AE779D" w:rsidP="008E1EB7">
      <w:pPr>
        <w:pStyle w:val="NZVJParagraph"/>
        <w:rPr>
          <w:rFonts w:ascii="Times New Roman" w:hAnsi="Times New Roman"/>
          <w:sz w:val="24"/>
          <w:szCs w:val="24"/>
        </w:rPr>
      </w:pPr>
      <w:r w:rsidRPr="00C2506E">
        <w:rPr>
          <w:b/>
          <w:bCs/>
        </w:rPr>
        <w:t>Aims:</w:t>
      </w:r>
      <w:r w:rsidRPr="00C2506E">
        <w:t xml:space="preserve"> </w:t>
      </w:r>
      <w:r w:rsidR="002F001D" w:rsidRPr="00C2506E">
        <w:t xml:space="preserve">To determine whether an educational programme targeting </w:t>
      </w:r>
      <w:r w:rsidR="00256DE8">
        <w:t xml:space="preserve">the reaction of </w:t>
      </w:r>
      <w:r w:rsidR="002F001D" w:rsidRPr="00C2506E">
        <w:t>veterinary medicine personnel to difficult client interactions reduce</w:t>
      </w:r>
      <w:r w:rsidR="00256DE8">
        <w:t>s</w:t>
      </w:r>
      <w:r w:rsidR="002F001D" w:rsidRPr="00C2506E">
        <w:t xml:space="preserve"> burden transfer, stress and burnout in veterinary medicine staff. </w:t>
      </w:r>
    </w:p>
    <w:p w14:paraId="21AE483F" w14:textId="7482C4F5" w:rsidR="002F001D" w:rsidRPr="00C2506E" w:rsidRDefault="002F001D" w:rsidP="008E1EB7">
      <w:pPr>
        <w:pStyle w:val="NZVJParagraph"/>
      </w:pPr>
      <w:r w:rsidRPr="00C2506E">
        <w:rPr>
          <w:b/>
          <w:bCs/>
        </w:rPr>
        <w:t>Methods:</w:t>
      </w:r>
      <w:r w:rsidRPr="00C2506E">
        <w:t xml:space="preserve"> </w:t>
      </w:r>
      <w:r w:rsidR="00A27BD1">
        <w:t>Employees of three s</w:t>
      </w:r>
      <w:r w:rsidRPr="00C2506E">
        <w:t>mall animal veterinary hospital</w:t>
      </w:r>
      <w:r w:rsidR="000D43D3">
        <w:t>s</w:t>
      </w:r>
      <w:r w:rsidRPr="00C2506E">
        <w:t xml:space="preserve"> </w:t>
      </w:r>
      <w:r w:rsidR="00A27BD1">
        <w:t>in the south-western United States of America</w:t>
      </w:r>
      <w:r w:rsidR="00A27BD1" w:rsidRPr="00C2506E">
        <w:t xml:space="preserve"> </w:t>
      </w:r>
      <w:r w:rsidRPr="00C2506E">
        <w:t xml:space="preserve">were recruited and randomised to </w:t>
      </w:r>
      <w:r w:rsidR="00A67FA8">
        <w:t>i</w:t>
      </w:r>
      <w:r w:rsidRPr="00C2506E">
        <w:t xml:space="preserve">ntervention (educational programme; n=16) or </w:t>
      </w:r>
      <w:r w:rsidR="00A67FA8">
        <w:t>c</w:t>
      </w:r>
      <w:r w:rsidRPr="00C2506E">
        <w:t>ontrol (no intervention; n=18) groups. Participants of this randomised, parallel arms trial completed pre-programme assessment including the Burden Transfer Inventory</w:t>
      </w:r>
      <w:r w:rsidR="00F70074">
        <w:t xml:space="preserve"> (BTI)</w:t>
      </w:r>
      <w:r w:rsidRPr="00C2506E">
        <w:t>, Perceived Stress Scale, and Copenhagen Burnout Inventory. Assessment was followed by two</w:t>
      </w:r>
      <w:r w:rsidR="00F0188B">
        <w:t>,</w:t>
      </w:r>
      <w:r w:rsidRPr="00C2506E">
        <w:t xml:space="preserve"> group</w:t>
      </w:r>
      <w:r w:rsidR="00F0188B">
        <w:t>-</w:t>
      </w:r>
      <w:r w:rsidRPr="00C2506E">
        <w:t>format educational sessions</w:t>
      </w:r>
      <w:r w:rsidR="000A7581">
        <w:t>,</w:t>
      </w:r>
      <w:r w:rsidRPr="00C2506E">
        <w:t xml:space="preserve"> </w:t>
      </w:r>
      <w:r w:rsidR="00815A0F">
        <w:t xml:space="preserve">based </w:t>
      </w:r>
      <w:r w:rsidRPr="00C2506E">
        <w:t xml:space="preserve">on </w:t>
      </w:r>
      <w:r w:rsidR="0063755C">
        <w:t>a</w:t>
      </w:r>
      <w:r w:rsidRPr="00C2506E">
        <w:t xml:space="preserve">cceptance and </w:t>
      </w:r>
      <w:r w:rsidR="0063755C">
        <w:t>c</w:t>
      </w:r>
      <w:r w:rsidRPr="00C2506E">
        <w:t xml:space="preserve">ommitment </w:t>
      </w:r>
      <w:r w:rsidR="0063755C">
        <w:t>t</w:t>
      </w:r>
      <w:r w:rsidRPr="00C2506E">
        <w:t>raining</w:t>
      </w:r>
      <w:r w:rsidR="000A7581">
        <w:t>,</w:t>
      </w:r>
      <w:r w:rsidRPr="00C2506E">
        <w:t xml:space="preserve"> tailored to reducing reactivity to difficult veterinary client interactions (</w:t>
      </w:r>
      <w:r w:rsidR="0063755C">
        <w:t>i</w:t>
      </w:r>
      <w:r w:rsidRPr="00C2506E">
        <w:t xml:space="preserve">ntervention group only). After training was completed, </w:t>
      </w:r>
      <w:r w:rsidR="000A7581" w:rsidRPr="00C2506E">
        <w:t xml:space="preserve">both groups were </w:t>
      </w:r>
      <w:r w:rsidR="000A7581">
        <w:t xml:space="preserve">assessed using the same measures and the </w:t>
      </w:r>
      <w:r w:rsidR="0063755C">
        <w:t>i</w:t>
      </w:r>
      <w:r w:rsidRPr="00C2506E">
        <w:t>ntervention participants provided use and acceptability ratings</w:t>
      </w:r>
      <w:r w:rsidR="000A7581">
        <w:t>.</w:t>
      </w:r>
    </w:p>
    <w:p w14:paraId="36164ADD" w14:textId="00DBE492" w:rsidR="002F001D" w:rsidRPr="00C2506E" w:rsidRDefault="002F001D" w:rsidP="008E1EB7">
      <w:pPr>
        <w:pStyle w:val="NZVJParagraph"/>
      </w:pPr>
      <w:r w:rsidRPr="00C2506E">
        <w:rPr>
          <w:b/>
          <w:bCs/>
        </w:rPr>
        <w:t>Results:</w:t>
      </w:r>
      <w:r w:rsidRPr="00C2506E">
        <w:t xml:space="preserve"> Intervention participants rated the programme as useful and appropriate, and reported </w:t>
      </w:r>
      <w:r w:rsidR="001F7C07">
        <w:t>tha</w:t>
      </w:r>
      <w:r w:rsidR="004F5A93">
        <w:t>t</w:t>
      </w:r>
      <w:r w:rsidRPr="00C2506E">
        <w:t xml:space="preserve"> programme techniques </w:t>
      </w:r>
      <w:r w:rsidR="001F7C07">
        <w:t xml:space="preserve">were used a median </w:t>
      </w:r>
      <w:r w:rsidRPr="00C2506E">
        <w:t>of 43</w:t>
      </w:r>
      <w:r w:rsidR="001F7C07">
        <w:t xml:space="preserve"> (min 9, max 68)</w:t>
      </w:r>
      <w:r w:rsidRPr="00C2506E">
        <w:t xml:space="preserve"> times during the </w:t>
      </w:r>
      <w:r w:rsidR="002B2947">
        <w:t>2</w:t>
      </w:r>
      <w:r w:rsidRPr="00C2506E">
        <w:t xml:space="preserve"> weeks prior to retesting.  </w:t>
      </w:r>
      <w:r w:rsidR="00276BFA">
        <w:t xml:space="preserve">Relative to </w:t>
      </w:r>
      <w:r w:rsidR="0024732A">
        <w:t>pre-programme scores, m</w:t>
      </w:r>
      <w:r w:rsidR="006D3F09">
        <w:t xml:space="preserve">edian </w:t>
      </w:r>
      <w:r w:rsidR="0024732A">
        <w:t xml:space="preserve">post-programme </w:t>
      </w:r>
      <w:r w:rsidR="006D3F09">
        <w:t>s</w:t>
      </w:r>
      <w:r w:rsidR="003D270D">
        <w:t>cores for r</w:t>
      </w:r>
      <w:r w:rsidRPr="00C2506E">
        <w:t xml:space="preserve">eaction </w:t>
      </w:r>
      <w:r w:rsidR="008E2BAB">
        <w:t>(</w:t>
      </w:r>
      <w:proofErr w:type="spellStart"/>
      <w:r w:rsidR="008E2BAB">
        <w:t>subscore</w:t>
      </w:r>
      <w:proofErr w:type="spellEnd"/>
      <w:r w:rsidR="008E2BAB">
        <w:t xml:space="preserve"> of </w:t>
      </w:r>
      <w:r w:rsidR="00F70074">
        <w:t xml:space="preserve">BTI) </w:t>
      </w:r>
      <w:r w:rsidRPr="005D64C4">
        <w:t xml:space="preserve">to difficult client interactions decreased in the </w:t>
      </w:r>
      <w:r w:rsidR="0063755C" w:rsidRPr="005D64C4">
        <w:t>i</w:t>
      </w:r>
      <w:r w:rsidRPr="005D64C4">
        <w:t xml:space="preserve">ntervention </w:t>
      </w:r>
      <w:r w:rsidRPr="005D64C4">
        <w:rPr>
          <w:shd w:val="clear" w:color="auto" w:fill="FFFFFF"/>
        </w:rPr>
        <w:t xml:space="preserve">group </w:t>
      </w:r>
      <w:r w:rsidR="00034B01" w:rsidRPr="005D64C4">
        <w:rPr>
          <w:shd w:val="clear" w:color="auto" w:fill="FFFFFF"/>
        </w:rPr>
        <w:t xml:space="preserve">(33 </w:t>
      </w:r>
      <w:r w:rsidR="00034B01" w:rsidRPr="005D64C4">
        <w:rPr>
          <w:i/>
          <w:iCs/>
          <w:shd w:val="clear" w:color="auto" w:fill="FFFFFF"/>
        </w:rPr>
        <w:t>vs</w:t>
      </w:r>
      <w:r w:rsidR="00034B01" w:rsidRPr="005D64C4">
        <w:rPr>
          <w:shd w:val="clear" w:color="auto" w:fill="FFFFFF"/>
        </w:rPr>
        <w:t>. 54;</w:t>
      </w:r>
      <w:r w:rsidRPr="005D64C4">
        <w:rPr>
          <w:shd w:val="clear" w:color="auto" w:fill="FFFFFF"/>
        </w:rPr>
        <w:t xml:space="preserve"> p=</w:t>
      </w:r>
      <w:r w:rsidR="00034B01" w:rsidRPr="005D64C4">
        <w:rPr>
          <w:shd w:val="clear" w:color="auto" w:fill="FFFFFF"/>
        </w:rPr>
        <w:t>0</w:t>
      </w:r>
      <w:r w:rsidRPr="005D64C4">
        <w:rPr>
          <w:shd w:val="clear" w:color="auto" w:fill="FFFFFF"/>
        </w:rPr>
        <w:t>.047)</w:t>
      </w:r>
      <w:r w:rsidRPr="005D64C4">
        <w:t xml:space="preserve">, but not in </w:t>
      </w:r>
      <w:r w:rsidR="0063755C" w:rsidRPr="005D64C4">
        <w:t>the c</w:t>
      </w:r>
      <w:r w:rsidRPr="005D64C4">
        <w:t>ontrol</w:t>
      </w:r>
      <w:r w:rsidR="0063755C" w:rsidRPr="005D64C4">
        <w:t xml:space="preserve"> group</w:t>
      </w:r>
      <w:r w:rsidR="00F779BD">
        <w:t xml:space="preserve"> (51 </w:t>
      </w:r>
      <w:r w:rsidR="00F779BD" w:rsidRPr="00F779BD">
        <w:rPr>
          <w:i/>
          <w:iCs/>
        </w:rPr>
        <w:t>vs</w:t>
      </w:r>
      <w:r w:rsidR="00F779BD">
        <w:t>. 59; p = 0.210)</w:t>
      </w:r>
      <w:r w:rsidRPr="005D64C4">
        <w:rPr>
          <w:shd w:val="clear" w:color="auto" w:fill="FFFFFF"/>
        </w:rPr>
        <w:t xml:space="preserve">. </w:t>
      </w:r>
      <w:r w:rsidR="00F779BD">
        <w:rPr>
          <w:shd w:val="clear" w:color="auto" w:fill="FFFFFF"/>
        </w:rPr>
        <w:t>Changes in median scores for stress and burnout from p</w:t>
      </w:r>
      <w:r w:rsidRPr="005D64C4">
        <w:rPr>
          <w:shd w:val="clear" w:color="auto" w:fill="FFFFFF"/>
        </w:rPr>
        <w:t>re</w:t>
      </w:r>
      <w:r w:rsidR="003A794B" w:rsidRPr="005D64C4">
        <w:rPr>
          <w:shd w:val="clear" w:color="auto" w:fill="FFFFFF"/>
        </w:rPr>
        <w:t xml:space="preserve">- </w:t>
      </w:r>
      <w:r w:rsidR="00F779BD">
        <w:rPr>
          <w:shd w:val="clear" w:color="auto" w:fill="FFFFFF"/>
        </w:rPr>
        <w:t xml:space="preserve">to </w:t>
      </w:r>
      <w:r w:rsidR="003A794B" w:rsidRPr="005D64C4">
        <w:rPr>
          <w:shd w:val="clear" w:color="auto" w:fill="FFFFFF"/>
        </w:rPr>
        <w:t>p</w:t>
      </w:r>
      <w:r w:rsidRPr="005D64C4">
        <w:rPr>
          <w:shd w:val="clear" w:color="auto" w:fill="FFFFFF"/>
        </w:rPr>
        <w:t>ost-programme</w:t>
      </w:r>
      <w:r w:rsidR="00F779BD">
        <w:rPr>
          <w:shd w:val="clear" w:color="auto" w:fill="FFFFFF"/>
        </w:rPr>
        <w:t xml:space="preserve"> were non-significant for both groups</w:t>
      </w:r>
      <w:r w:rsidRPr="00C2506E">
        <w:rPr>
          <w:shd w:val="clear" w:color="auto" w:fill="FFFFFF"/>
        </w:rPr>
        <w:t xml:space="preserve">. </w:t>
      </w:r>
    </w:p>
    <w:p w14:paraId="1042E00C" w14:textId="77777777" w:rsidR="002F001D" w:rsidRPr="00C2506E" w:rsidRDefault="002F001D" w:rsidP="008E1EB7">
      <w:pPr>
        <w:pStyle w:val="NZVJParagraph"/>
        <w:rPr>
          <w:rFonts w:cstheme="minorBidi"/>
        </w:rPr>
      </w:pPr>
      <w:r w:rsidRPr="00C2506E">
        <w:rPr>
          <w:b/>
          <w:bCs/>
        </w:rPr>
        <w:t>Conclusions:</w:t>
      </w:r>
      <w:r w:rsidRPr="00C2506E">
        <w:t xml:space="preserve"> This pilot and feasibility trial showed high rates of acceptability and use by participants, as well as promising reductions in burden transfer. A larger scale clinical trial with follow-up at extended time points is needed to more fully examine the efficacy of this novel programme. </w:t>
      </w:r>
    </w:p>
    <w:p w14:paraId="5AF61D5C" w14:textId="6F0C4358" w:rsidR="002F001D" w:rsidRPr="00C2506E" w:rsidRDefault="002F001D" w:rsidP="008E1EB7">
      <w:pPr>
        <w:pStyle w:val="NZVJParagraph"/>
      </w:pPr>
      <w:r w:rsidRPr="00C2506E">
        <w:rPr>
          <w:b/>
          <w:bCs/>
        </w:rPr>
        <w:lastRenderedPageBreak/>
        <w:t xml:space="preserve">Clinical </w:t>
      </w:r>
      <w:r w:rsidR="003A794B">
        <w:rPr>
          <w:b/>
          <w:bCs/>
        </w:rPr>
        <w:t>r</w:t>
      </w:r>
      <w:r w:rsidRPr="00C2506E">
        <w:rPr>
          <w:b/>
          <w:bCs/>
        </w:rPr>
        <w:t>elevance:</w:t>
      </w:r>
      <w:r w:rsidRPr="00C2506E">
        <w:t xml:space="preserve"> Preliminary findings suggest this programme may be a useful approach to reducing occupational distress for individuals working in the field of veterinary medicine. </w:t>
      </w:r>
    </w:p>
    <w:p w14:paraId="2ED13E3F" w14:textId="7DF863AF" w:rsidR="002F001D" w:rsidRPr="00C2506E" w:rsidRDefault="002F001D" w:rsidP="008E1EB7">
      <w:pPr>
        <w:pStyle w:val="NZVJParagraph"/>
      </w:pPr>
      <w:r w:rsidRPr="00C2506E">
        <w:rPr>
          <w:b/>
          <w:bCs/>
        </w:rPr>
        <w:t>Keywords:</w:t>
      </w:r>
      <w:r w:rsidRPr="00C2506E">
        <w:t xml:space="preserve"> Acceptance and </w:t>
      </w:r>
      <w:r w:rsidR="00F70074">
        <w:t>c</w:t>
      </w:r>
      <w:r w:rsidRPr="00C2506E">
        <w:t xml:space="preserve">ommitment </w:t>
      </w:r>
      <w:r w:rsidR="00F70074">
        <w:t>t</w:t>
      </w:r>
      <w:r w:rsidRPr="00C2506E">
        <w:t>raining, burden transfer, veterinarian stress, veterinarian burnout, veterinarian wellbeing, occupational distress</w:t>
      </w:r>
    </w:p>
    <w:p w14:paraId="78F39972" w14:textId="3795790E" w:rsidR="002F001D" w:rsidRPr="00C2506E" w:rsidRDefault="002F001D" w:rsidP="008E1EB7">
      <w:pPr>
        <w:pStyle w:val="NZVJParagraph"/>
      </w:pPr>
      <w:r w:rsidRPr="00C2506E">
        <w:rPr>
          <w:b/>
          <w:bCs/>
        </w:rPr>
        <w:t>Abbreviations</w:t>
      </w:r>
      <w:r w:rsidRPr="00C2506E">
        <w:t xml:space="preserve">: ACT: Acceptance and </w:t>
      </w:r>
      <w:r w:rsidR="00220AB4">
        <w:t>c</w:t>
      </w:r>
      <w:r w:rsidRPr="00C2506E">
        <w:t xml:space="preserve">ommitment </w:t>
      </w:r>
      <w:r w:rsidR="00220AB4">
        <w:t>t</w:t>
      </w:r>
      <w:r w:rsidRPr="00C2506E">
        <w:t xml:space="preserve">raining; CBI: Copenhagen Burnout Inventory; DANCE: Daily hassles, </w:t>
      </w:r>
      <w:r w:rsidR="00E67302">
        <w:t>a</w:t>
      </w:r>
      <w:r w:rsidRPr="00C2506E">
        <w:t xml:space="preserve">ffect, </w:t>
      </w:r>
      <w:r w:rsidR="00E67302">
        <w:t>n</w:t>
      </w:r>
      <w:r w:rsidRPr="00C2506E">
        <w:t>on-adherent/</w:t>
      </w:r>
      <w:r w:rsidR="00E67302">
        <w:t>i</w:t>
      </w:r>
      <w:r w:rsidRPr="00C2506E">
        <w:t xml:space="preserve">nconsiderate, </w:t>
      </w:r>
      <w:r w:rsidR="00E67302">
        <w:t>c</w:t>
      </w:r>
      <w:r w:rsidRPr="00C2506E">
        <w:t xml:space="preserve">onfrontations, </w:t>
      </w:r>
      <w:r w:rsidR="00E67302">
        <w:t>e</w:t>
      </w:r>
      <w:r w:rsidRPr="00C2506E">
        <w:t xml:space="preserve">xcess </w:t>
      </w:r>
      <w:r w:rsidR="00E67302">
        <w:t>c</w:t>
      </w:r>
      <w:r w:rsidRPr="00C2506E">
        <w:t>ommunications; PSS: Perceived Stress Scale</w:t>
      </w:r>
    </w:p>
    <w:p w14:paraId="6949F74F" w14:textId="311870C1" w:rsidR="00AE779D" w:rsidRPr="00C2506E" w:rsidRDefault="00AE779D" w:rsidP="00D110BE">
      <w:pPr>
        <w:pStyle w:val="NZVJHeading1"/>
        <w:rPr>
          <w:rFonts w:cs="Times New Roman"/>
          <w:color w:val="000000" w:themeColor="text1"/>
          <w:sz w:val="24"/>
          <w:lang w:val="en-GB"/>
        </w:rPr>
      </w:pPr>
    </w:p>
    <w:p w14:paraId="4C568D76" w14:textId="77777777" w:rsidR="00C2506E" w:rsidRPr="00C2506E" w:rsidRDefault="00C2506E" w:rsidP="00E041A1">
      <w:pPr>
        <w:pStyle w:val="NZVJHeading1"/>
        <w:rPr>
          <w:rFonts w:ascii="Times New Roman" w:hAnsi="Times New Roman"/>
        </w:rPr>
      </w:pPr>
      <w:r w:rsidRPr="00C2506E">
        <w:t>Introduction</w:t>
      </w:r>
    </w:p>
    <w:p w14:paraId="2F7DB57F" w14:textId="5FFBB640" w:rsidR="00C2506E" w:rsidRPr="00C2506E" w:rsidRDefault="00C2506E" w:rsidP="008E1EB7">
      <w:pPr>
        <w:pStyle w:val="NZVJParagraph"/>
        <w:rPr>
          <w:rFonts w:eastAsiaTheme="minorEastAsia"/>
          <w:bCs/>
          <w:iCs/>
          <w:sz w:val="24"/>
          <w:szCs w:val="24"/>
        </w:rPr>
      </w:pPr>
      <w:r w:rsidRPr="00C2506E">
        <w:t xml:space="preserve">Although 80% of veterinarians describe their occupation as stressful (Bartram and Baldwin 2008; Nett </w:t>
      </w:r>
      <w:r w:rsidRPr="00C2506E">
        <w:rPr>
          <w:i/>
          <w:iCs/>
        </w:rPr>
        <w:t>et al</w:t>
      </w:r>
      <w:r w:rsidRPr="00C2506E">
        <w:t>. 2015), there remains a dearth of</w:t>
      </w:r>
      <w:r w:rsidRPr="00C2506E">
        <w:rPr>
          <w:rStyle w:val="highlight"/>
          <w:rFonts w:ascii="Times New Roman" w:hAnsi="Times New Roman" w:cs="Times New Roman"/>
          <w:color w:val="000000" w:themeColor="text1"/>
          <w:shd w:val="clear" w:color="auto" w:fill="FFFFFF"/>
        </w:rPr>
        <w:t xml:space="preserve"> r</w:t>
      </w:r>
      <w:r w:rsidRPr="00C2506E">
        <w:rPr>
          <w:shd w:val="clear" w:color="auto" w:fill="FFFFFF"/>
        </w:rPr>
        <w:t>esearch examining strategies to address this problem (Moir and Van den Brink 2020).</w:t>
      </w:r>
      <w:r w:rsidRPr="00C2506E">
        <w:rPr>
          <w:vertAlign w:val="superscript"/>
        </w:rPr>
        <w:t xml:space="preserve"> </w:t>
      </w:r>
      <w:bookmarkStart w:id="0" w:name="_Hlk63583993"/>
      <w:r w:rsidRPr="00C2506E">
        <w:t>Many occupational stressors in veterinary medicine have been identified, including</w:t>
      </w:r>
      <w:bookmarkEnd w:id="0"/>
      <w:r w:rsidRPr="00C2506E">
        <w:t xml:space="preserve"> compassion fatigue, moral distress, overwork, fear of complaints, and frustration with unrealistic client expectations and non-compliance (Moses </w:t>
      </w:r>
      <w:r w:rsidRPr="00C2506E">
        <w:rPr>
          <w:i/>
          <w:iCs/>
        </w:rPr>
        <w:t>et al</w:t>
      </w:r>
      <w:r w:rsidRPr="00C2506E">
        <w:t xml:space="preserve">. 2018; Van de </w:t>
      </w:r>
      <w:proofErr w:type="spellStart"/>
      <w:r w:rsidRPr="00C2506E">
        <w:t>Grieke</w:t>
      </w:r>
      <w:proofErr w:type="spellEnd"/>
      <w:r w:rsidRPr="00C2506E">
        <w:t xml:space="preserve"> </w:t>
      </w:r>
      <w:r w:rsidRPr="00C2506E">
        <w:rPr>
          <w:i/>
          <w:iCs/>
        </w:rPr>
        <w:t>et al</w:t>
      </w:r>
      <w:r w:rsidRPr="00C2506E">
        <w:t>. 2018</w:t>
      </w:r>
      <w:r w:rsidR="002229D1">
        <w:t>;</w:t>
      </w:r>
      <w:r w:rsidR="002B2947" w:rsidRPr="002B2947">
        <w:rPr>
          <w:shd w:val="clear" w:color="auto" w:fill="FFFFFF"/>
        </w:rPr>
        <w:t xml:space="preserve"> </w:t>
      </w:r>
      <w:r w:rsidR="002B2947" w:rsidRPr="00C2506E">
        <w:rPr>
          <w:shd w:val="clear" w:color="auto" w:fill="FFFFFF"/>
        </w:rPr>
        <w:t>Moir and Van den Brink 2020</w:t>
      </w:r>
      <w:r w:rsidRPr="00C2506E">
        <w:t>).</w:t>
      </w:r>
      <w:r w:rsidRPr="00C2506E">
        <w:rPr>
          <w:vertAlign w:val="superscript"/>
        </w:rPr>
        <w:t xml:space="preserve"> </w:t>
      </w:r>
      <w:bookmarkStart w:id="1" w:name="_Hlk31266669"/>
      <w:r w:rsidRPr="00C2506E">
        <w:t xml:space="preserve">At the core of these stressors </w:t>
      </w:r>
      <w:r w:rsidR="00B61F17">
        <w:t>may</w:t>
      </w:r>
      <w:r w:rsidR="00B61F17" w:rsidRPr="00C2506E">
        <w:t xml:space="preserve"> </w:t>
      </w:r>
      <w:r w:rsidRPr="00C2506E">
        <w:t xml:space="preserve">often be the difficult interactions that veterinary personnel have with </w:t>
      </w:r>
      <w:bookmarkEnd w:id="1"/>
      <w:r w:rsidRPr="00C2506E">
        <w:t xml:space="preserve">clients who are experiencing caregiver burden (Spitznagel </w:t>
      </w:r>
      <w:r w:rsidRPr="00C2506E">
        <w:rPr>
          <w:i/>
          <w:iCs/>
        </w:rPr>
        <w:t>et al</w:t>
      </w:r>
      <w:r w:rsidRPr="00C2506E">
        <w:t xml:space="preserve">. 2017; Spitznagel </w:t>
      </w:r>
      <w:r w:rsidRPr="00C2506E">
        <w:rPr>
          <w:i/>
          <w:iCs/>
        </w:rPr>
        <w:t>et al</w:t>
      </w:r>
      <w:r w:rsidRPr="00C2506E">
        <w:t xml:space="preserve">. 2019a), </w:t>
      </w:r>
      <w:bookmarkStart w:id="2" w:name="_Hlk63610993"/>
      <w:bookmarkStart w:id="3" w:name="_Hlk63611320"/>
      <w:r w:rsidRPr="00C2506E">
        <w:t>the multi-faceted strain associated with caring for a loved one with an illness</w:t>
      </w:r>
      <w:bookmarkEnd w:id="2"/>
      <w:r w:rsidRPr="00C2506E">
        <w:t xml:space="preserve"> (</w:t>
      </w:r>
      <w:proofErr w:type="spellStart"/>
      <w:r w:rsidRPr="00C2506E">
        <w:t>Zarit</w:t>
      </w:r>
      <w:proofErr w:type="spellEnd"/>
      <w:r w:rsidRPr="00C2506E">
        <w:t xml:space="preserve"> </w:t>
      </w:r>
      <w:r w:rsidRPr="00C2506E">
        <w:rPr>
          <w:i/>
          <w:iCs/>
        </w:rPr>
        <w:t>et al.</w:t>
      </w:r>
      <w:r w:rsidRPr="00C2506E">
        <w:t xml:space="preserve"> 1980). </w:t>
      </w:r>
      <w:bookmarkStart w:id="4" w:name="_Hlk63584394"/>
      <w:bookmarkEnd w:id="3"/>
      <w:r w:rsidRPr="00C2506E">
        <w:t>Recently,</w:t>
      </w:r>
      <w:r w:rsidRPr="00C2506E">
        <w:rPr>
          <w:bCs/>
          <w:iCs/>
          <w:vertAlign w:val="superscript"/>
        </w:rPr>
        <w:t xml:space="preserve"> </w:t>
      </w:r>
      <w:r w:rsidRPr="00C2506E">
        <w:rPr>
          <w:bCs/>
          <w:iCs/>
        </w:rPr>
        <w:t>the caregiver burden experienced by veterinary clients with a sick companion animal has been linked to distress in veterinary personnel</w:t>
      </w:r>
      <w:bookmarkEnd w:id="4"/>
      <w:r w:rsidRPr="00C2506E">
        <w:rPr>
          <w:bCs/>
          <w:iCs/>
        </w:rPr>
        <w:t xml:space="preserve">, a phenomenon termed “burden transfer” (Spitznagel </w:t>
      </w:r>
      <w:r w:rsidRPr="00C2506E">
        <w:rPr>
          <w:i/>
          <w:iCs/>
        </w:rPr>
        <w:t>et al</w:t>
      </w:r>
      <w:r w:rsidRPr="00C2506E">
        <w:t>.</w:t>
      </w:r>
      <w:r w:rsidRPr="00C2506E">
        <w:rPr>
          <w:bCs/>
          <w:iCs/>
        </w:rPr>
        <w:t xml:space="preserve"> 2019b). This </w:t>
      </w:r>
      <w:bookmarkStart w:id="5" w:name="_Hlk63611383"/>
      <w:r w:rsidRPr="00C2506E">
        <w:rPr>
          <w:bCs/>
          <w:iCs/>
        </w:rPr>
        <w:t xml:space="preserve">theory of burden transfer posits that </w:t>
      </w:r>
      <w:r w:rsidRPr="00C2506E">
        <w:t>caregiver burden in veterinary clients underlies stressful encounters with providers, effectively transferring client burden to veterinary personnel.</w:t>
      </w:r>
      <w:r w:rsidRPr="00C2506E">
        <w:rPr>
          <w:bCs/>
          <w:iCs/>
        </w:rPr>
        <w:t xml:space="preserve"> </w:t>
      </w:r>
      <w:bookmarkEnd w:id="5"/>
    </w:p>
    <w:p w14:paraId="04A88383" w14:textId="6C915278" w:rsidR="00C2506E" w:rsidRPr="00C2506E" w:rsidRDefault="00C2506E" w:rsidP="008E1EB7">
      <w:pPr>
        <w:pStyle w:val="NZVJParagraph"/>
        <w:rPr>
          <w:shd w:val="clear" w:color="auto" w:fill="FFFFFF"/>
        </w:rPr>
      </w:pPr>
      <w:r w:rsidRPr="00C2506E">
        <w:rPr>
          <w:shd w:val="clear" w:color="auto" w:fill="FFFFFF"/>
        </w:rPr>
        <w:t>We have previously identified specific domains of difficult veterinarian-client interactions through factor analysis, and refer to these in combination as the “</w:t>
      </w:r>
      <w:r w:rsidR="006337A9">
        <w:rPr>
          <w:shd w:val="clear" w:color="auto" w:fill="FFFFFF"/>
        </w:rPr>
        <w:t>b</w:t>
      </w:r>
      <w:r w:rsidRPr="00C2506E">
        <w:rPr>
          <w:shd w:val="clear" w:color="auto" w:fill="FFFFFF"/>
        </w:rPr>
        <w:t xml:space="preserve">urden </w:t>
      </w:r>
      <w:r w:rsidR="006337A9">
        <w:rPr>
          <w:shd w:val="clear" w:color="auto" w:fill="FFFFFF"/>
        </w:rPr>
        <w:t>t</w:t>
      </w:r>
      <w:r w:rsidRPr="00C2506E">
        <w:rPr>
          <w:shd w:val="clear" w:color="auto" w:fill="FFFFFF"/>
        </w:rPr>
        <w:t xml:space="preserve">ransfer DANCE”: </w:t>
      </w:r>
      <w:r w:rsidR="00F00A18">
        <w:rPr>
          <w:u w:val="single"/>
          <w:shd w:val="clear" w:color="auto" w:fill="FFFFFF"/>
        </w:rPr>
        <w:t>d</w:t>
      </w:r>
      <w:r w:rsidRPr="00C2506E">
        <w:rPr>
          <w:shd w:val="clear" w:color="auto" w:fill="FFFFFF"/>
        </w:rPr>
        <w:t xml:space="preserve">aily hassles (e.g., clients wanting impossible predictions, having difficulty making decisions, following others’ advice about patient health needs, shopping around to compare costs), </w:t>
      </w:r>
      <w:r w:rsidR="00F00A18">
        <w:rPr>
          <w:u w:val="single"/>
          <w:shd w:val="clear" w:color="auto" w:fill="FFFFFF"/>
        </w:rPr>
        <w:t>a</w:t>
      </w:r>
      <w:r w:rsidRPr="00C2506E">
        <w:rPr>
          <w:shd w:val="clear" w:color="auto" w:fill="FFFFFF"/>
        </w:rPr>
        <w:t xml:space="preserve">ffect (e.g., clients requiring euthanasia counselling, demonstrating anxiety, sadness, grief), </w:t>
      </w:r>
      <w:r w:rsidR="00F00A18">
        <w:rPr>
          <w:u w:val="single"/>
          <w:shd w:val="clear" w:color="auto" w:fill="FFFFFF"/>
        </w:rPr>
        <w:t>n</w:t>
      </w:r>
      <w:r w:rsidRPr="00C2506E">
        <w:rPr>
          <w:shd w:val="clear" w:color="auto" w:fill="FFFFFF"/>
        </w:rPr>
        <w:t xml:space="preserve">on-adherent/inconsiderate behaviours (e.g., clients declining recommended work-up or treatment, no-showing for appointments), </w:t>
      </w:r>
      <w:r w:rsidR="00F00A18">
        <w:rPr>
          <w:u w:val="single"/>
          <w:shd w:val="clear" w:color="auto" w:fill="FFFFFF"/>
        </w:rPr>
        <w:t>c</w:t>
      </w:r>
      <w:r w:rsidRPr="00C2506E">
        <w:rPr>
          <w:shd w:val="clear" w:color="auto" w:fill="FFFFFF"/>
        </w:rPr>
        <w:t xml:space="preserve">onfrontations (e.g., clients becoming upset, blaming, refusing to pay for services, making a complaint), and </w:t>
      </w:r>
      <w:r w:rsidR="00F00A18">
        <w:rPr>
          <w:u w:val="single"/>
          <w:shd w:val="clear" w:color="auto" w:fill="FFFFFF"/>
        </w:rPr>
        <w:t>e</w:t>
      </w:r>
      <w:r w:rsidRPr="00C2506E">
        <w:rPr>
          <w:shd w:val="clear" w:color="auto" w:fill="FFFFFF"/>
        </w:rPr>
        <w:t xml:space="preserve">xcess communications (e.g., frequent phone or email contact). These behaviours are related to caregiver burden in the veterinary client and significantly predict stress and burnout for veterinarians (Spitznagel et al. 2019b). </w:t>
      </w:r>
    </w:p>
    <w:p w14:paraId="4FC9D8CF" w14:textId="6ABFE54D" w:rsidR="00C2506E" w:rsidRPr="00C2506E" w:rsidRDefault="00C2506E" w:rsidP="008E1EB7">
      <w:pPr>
        <w:pStyle w:val="NZVJParagraph"/>
      </w:pPr>
      <w:r w:rsidRPr="00C2506E">
        <w:t xml:space="preserve">Importantly, while the frequency of DANCE interactions correlates with stress and burnout for veterinarians, in most cases, the </w:t>
      </w:r>
      <w:r w:rsidRPr="00DE0C81">
        <w:t>reaction</w:t>
      </w:r>
      <w:r w:rsidRPr="00C2506E">
        <w:t xml:space="preserve"> to these behaviours, or how bothered they feel by them, is a far more critical predictor than the frequency of these events </w:t>
      </w:r>
      <w:r w:rsidRPr="00C2506E">
        <w:rPr>
          <w:bCs/>
          <w:iCs/>
        </w:rPr>
        <w:t xml:space="preserve">(Spitznagel </w:t>
      </w:r>
      <w:r w:rsidRPr="00C2506E">
        <w:rPr>
          <w:i/>
          <w:iCs/>
        </w:rPr>
        <w:t>et al</w:t>
      </w:r>
      <w:r w:rsidRPr="00C2506E">
        <w:t>.</w:t>
      </w:r>
      <w:r w:rsidRPr="00C2506E">
        <w:rPr>
          <w:bCs/>
          <w:iCs/>
        </w:rPr>
        <w:t xml:space="preserve"> 2019b). DANCE </w:t>
      </w:r>
      <w:r w:rsidRPr="00C2506E">
        <w:rPr>
          <w:bCs/>
          <w:iCs/>
        </w:rPr>
        <w:lastRenderedPageBreak/>
        <w:t>reactivity thus appears to drive the transfer of burden, resulting in negative outcomes</w:t>
      </w:r>
      <w:r w:rsidRPr="00C2506E">
        <w:t xml:space="preserve">. For example, a client </w:t>
      </w:r>
      <w:r w:rsidR="00301BE3">
        <w:t>under</w:t>
      </w:r>
      <w:r w:rsidRPr="00301BE3">
        <w:t xml:space="preserve"> financial </w:t>
      </w:r>
      <w:r w:rsidR="00301BE3">
        <w:t>stress</w:t>
      </w:r>
      <w:r w:rsidR="00301BE3" w:rsidRPr="00C2506E">
        <w:t xml:space="preserve"> </w:t>
      </w:r>
      <w:r w:rsidRPr="00C2506E">
        <w:t>might refuse a recommended treatment or request euthanasia for a treatable problem (an interaction in the “</w:t>
      </w:r>
      <w:r w:rsidR="00DE0C81">
        <w:t>n</w:t>
      </w:r>
      <w:r w:rsidRPr="00C2506E">
        <w:t xml:space="preserve">on-adherence” DANCE category). In this case, the client’s burden could transfer to the veterinarian, resulting in moral distress due to the ethical conflict of not being permitted to help an otherwise treatable animal. </w:t>
      </w:r>
      <w:r w:rsidRPr="00204598">
        <w:t>Or</w:t>
      </w:r>
      <w:r w:rsidRPr="00C2506E">
        <w:t xml:space="preserve">, a client with caregiver burden involving uncertainty about the future </w:t>
      </w:r>
      <w:r w:rsidR="008F2BEA">
        <w:t>may</w:t>
      </w:r>
      <w:r w:rsidRPr="00C2506E">
        <w:t xml:space="preserve"> cry</w:t>
      </w:r>
      <w:r w:rsidR="008F2BEA">
        <w:t xml:space="preserve"> </w:t>
      </w:r>
      <w:r w:rsidRPr="00C2506E">
        <w:t>while discussing their terminally ill pet (an interaction in the “</w:t>
      </w:r>
      <w:r w:rsidR="00DE0C81">
        <w:t>a</w:t>
      </w:r>
      <w:r w:rsidRPr="00C2506E">
        <w:t xml:space="preserve">ffect” DANCE category). Through repeated interactions of this nature, client burden might transfer to the veterinarian, resulting in compassion fatigue. </w:t>
      </w:r>
      <w:r w:rsidRPr="00C2506E">
        <w:rPr>
          <w:bCs/>
          <w:iCs/>
        </w:rPr>
        <w:t xml:space="preserve">DANCE interactions could thus serve as a mechanism for commonly discussed outcomes in veterinary medicine like moral distress (Moses </w:t>
      </w:r>
      <w:r w:rsidRPr="00C2506E">
        <w:rPr>
          <w:i/>
          <w:iCs/>
        </w:rPr>
        <w:t>et al</w:t>
      </w:r>
      <w:r w:rsidRPr="00C2506E">
        <w:t>.</w:t>
      </w:r>
      <w:r w:rsidRPr="00C2506E">
        <w:rPr>
          <w:bCs/>
          <w:iCs/>
        </w:rPr>
        <w:t xml:space="preserve"> 2018) and compassion fatigue (Cohen 2007). Moreover, the veterinary provider’s reaction to other DANCE interactions</w:t>
      </w:r>
      <w:r w:rsidRPr="00C2506E">
        <w:t xml:space="preserve"> (e.g., </w:t>
      </w:r>
      <w:r w:rsidR="002F5A6B">
        <w:t>d</w:t>
      </w:r>
      <w:r w:rsidRPr="00C2506E">
        <w:t xml:space="preserve">aily </w:t>
      </w:r>
      <w:r w:rsidR="002F5A6B">
        <w:t>h</w:t>
      </w:r>
      <w:r w:rsidRPr="00C2506E">
        <w:t xml:space="preserve">assles, </w:t>
      </w:r>
      <w:r w:rsidR="002F5A6B">
        <w:t>c</w:t>
      </w:r>
      <w:r w:rsidRPr="00C2506E">
        <w:t xml:space="preserve">onfrontations, </w:t>
      </w:r>
      <w:r w:rsidR="002F5A6B">
        <w:t>e</w:t>
      </w:r>
      <w:r w:rsidRPr="00C2506E">
        <w:t xml:space="preserve">xcess </w:t>
      </w:r>
      <w:r w:rsidR="002F5A6B">
        <w:t>c</w:t>
      </w:r>
      <w:r w:rsidRPr="00C2506E">
        <w:t xml:space="preserve">ommunication) could extend beyond these outcomes, providing greater insight into mechanisms of occupational distress in the field. </w:t>
      </w:r>
    </w:p>
    <w:p w14:paraId="0D8F5B16" w14:textId="3C27676B" w:rsidR="00C2506E" w:rsidRPr="00C2506E" w:rsidRDefault="00C2506E" w:rsidP="008E1EB7">
      <w:pPr>
        <w:pStyle w:val="NZVJParagraph"/>
      </w:pPr>
      <w:r w:rsidRPr="00C2506E">
        <w:t xml:space="preserve">Whereas changing the behaviour of veterinary clients (and thus the frequency of such interactions) might prove difficult, the veterinary medicine worker’s reaction to (or how affected they are by) such challenging encounters is a potentially modifiable risk factor for occupational distress. A skills-based education programme that reduces burden transfer could help protect against negative downstream consequences like stress and burnout. An </w:t>
      </w:r>
      <w:r w:rsidR="001C0F8E">
        <w:rPr>
          <w:shd w:val="clear" w:color="auto" w:fill="FFFFFF"/>
        </w:rPr>
        <w:t>a</w:t>
      </w:r>
      <w:r w:rsidRPr="00C2506E">
        <w:rPr>
          <w:shd w:val="clear" w:color="auto" w:fill="FFFFFF"/>
        </w:rPr>
        <w:t xml:space="preserve">cceptance and </w:t>
      </w:r>
      <w:r w:rsidR="001C0F8E">
        <w:rPr>
          <w:shd w:val="clear" w:color="auto" w:fill="FFFFFF"/>
        </w:rPr>
        <w:t>c</w:t>
      </w:r>
      <w:r w:rsidRPr="00C2506E">
        <w:rPr>
          <w:shd w:val="clear" w:color="auto" w:fill="FFFFFF"/>
        </w:rPr>
        <w:t xml:space="preserve">ommitment </w:t>
      </w:r>
      <w:r w:rsidR="001C0F8E">
        <w:rPr>
          <w:shd w:val="clear" w:color="auto" w:fill="FFFFFF"/>
        </w:rPr>
        <w:t>t</w:t>
      </w:r>
      <w:r w:rsidRPr="00C2506E">
        <w:rPr>
          <w:shd w:val="clear" w:color="auto" w:fill="FFFFFF"/>
        </w:rPr>
        <w:t xml:space="preserve">raining (ACT) programme targeting reactivity to </w:t>
      </w:r>
      <w:r w:rsidRPr="00C2506E">
        <w:t xml:space="preserve">veterinary client DANCE interactions </w:t>
      </w:r>
      <w:r w:rsidRPr="00C2506E">
        <w:rPr>
          <w:shd w:val="clear" w:color="auto" w:fill="FFFFFF"/>
        </w:rPr>
        <w:t>may be of use to this end. ACT is an evidence-based framework that addresses an individual’s relationship with stressful thoughts, feelings, and urges, encouraging emotional acceptance, and a re-focus on taking committed action aligned with values (Hayes 2004). This enables the individual to respond in ways</w:t>
      </w:r>
      <w:r w:rsidR="00F779BD">
        <w:rPr>
          <w:shd w:val="clear" w:color="auto" w:fill="FFFFFF"/>
        </w:rPr>
        <w:t xml:space="preserve"> that help them to develop meaning and gain fulfilment in their work </w:t>
      </w:r>
      <w:r w:rsidRPr="00C2506E">
        <w:rPr>
          <w:shd w:val="clear" w:color="auto" w:fill="FFFFFF"/>
        </w:rPr>
        <w:t xml:space="preserve">instead of simply reacting in the moment. ACT has previously shown effectiveness in workplace contexts (e.g., </w:t>
      </w:r>
      <w:r w:rsidR="00DE0C81" w:rsidRPr="00C2506E">
        <w:rPr>
          <w:shd w:val="clear" w:color="auto" w:fill="FFFFFF"/>
        </w:rPr>
        <w:t xml:space="preserve">Hayes </w:t>
      </w:r>
      <w:r w:rsidR="00DE0C81" w:rsidRPr="00C2506E">
        <w:rPr>
          <w:i/>
          <w:iCs/>
        </w:rPr>
        <w:t>et al</w:t>
      </w:r>
      <w:r w:rsidR="00DE0C81" w:rsidRPr="00C2506E">
        <w:t>.</w:t>
      </w:r>
      <w:r w:rsidR="00DE0C81" w:rsidRPr="00C2506E">
        <w:rPr>
          <w:shd w:val="clear" w:color="auto" w:fill="FFFFFF"/>
        </w:rPr>
        <w:t xml:space="preserve"> 2004; </w:t>
      </w:r>
      <w:proofErr w:type="spellStart"/>
      <w:r w:rsidRPr="00C2506E">
        <w:rPr>
          <w:shd w:val="clear" w:color="auto" w:fill="FFFFFF"/>
        </w:rPr>
        <w:t>Brinkborg</w:t>
      </w:r>
      <w:proofErr w:type="spellEnd"/>
      <w:r w:rsidRPr="00C2506E">
        <w:rPr>
          <w:shd w:val="clear" w:color="auto" w:fill="FFFFFF"/>
        </w:rPr>
        <w:t xml:space="preserve"> </w:t>
      </w:r>
      <w:r w:rsidRPr="00C2506E">
        <w:rPr>
          <w:i/>
          <w:iCs/>
        </w:rPr>
        <w:t>et al</w:t>
      </w:r>
      <w:r w:rsidRPr="00C2506E">
        <w:t>.</w:t>
      </w:r>
      <w:r w:rsidRPr="00C2506E">
        <w:rPr>
          <w:shd w:val="clear" w:color="auto" w:fill="FFFFFF"/>
        </w:rPr>
        <w:t xml:space="preserve"> 2011</w:t>
      </w:r>
      <w:r w:rsidR="00DE0C81">
        <w:rPr>
          <w:shd w:val="clear" w:color="auto" w:fill="FFFFFF"/>
        </w:rPr>
        <w:t xml:space="preserve">; </w:t>
      </w:r>
      <w:proofErr w:type="spellStart"/>
      <w:r w:rsidRPr="00C2506E">
        <w:rPr>
          <w:shd w:val="clear" w:color="auto" w:fill="FFFFFF"/>
        </w:rPr>
        <w:t>Pulschen</w:t>
      </w:r>
      <w:proofErr w:type="spellEnd"/>
      <w:r w:rsidRPr="00C2506E">
        <w:rPr>
          <w:shd w:val="clear" w:color="auto" w:fill="FFFFFF"/>
        </w:rPr>
        <w:t xml:space="preserve"> and </w:t>
      </w:r>
      <w:proofErr w:type="spellStart"/>
      <w:r w:rsidRPr="00C2506E">
        <w:rPr>
          <w:shd w:val="clear" w:color="auto" w:fill="FFFFFF"/>
        </w:rPr>
        <w:t>Pulschen</w:t>
      </w:r>
      <w:proofErr w:type="spellEnd"/>
      <w:r w:rsidRPr="00C2506E">
        <w:rPr>
          <w:shd w:val="clear" w:color="auto" w:fill="FFFFFF"/>
        </w:rPr>
        <w:t xml:space="preserve"> 2015) but has not been used to address burden transfer and has never been applied in veterinary medicine. </w:t>
      </w:r>
    </w:p>
    <w:p w14:paraId="33F29BD2" w14:textId="76816BDA" w:rsidR="00C2506E" w:rsidRPr="00E041A1" w:rsidRDefault="00C2506E" w:rsidP="008E1EB7">
      <w:pPr>
        <w:pStyle w:val="NZVJParagraph"/>
      </w:pPr>
      <w:r w:rsidRPr="00C2506E">
        <w:t xml:space="preserve">The aim of this work was to conduct pilot </w:t>
      </w:r>
      <w:r w:rsidR="00242BDB">
        <w:t>study of whether</w:t>
      </w:r>
      <w:r w:rsidRPr="00C2506E">
        <w:t xml:space="preserve"> an ACT-based educational programme created to specifically target reactivity to DANCE interactions in veterinary medicine personnel working in a small animal setting</w:t>
      </w:r>
      <w:r w:rsidR="00242BDB">
        <w:t xml:space="preserve"> would reduce burden transfer, stress and burnout</w:t>
      </w:r>
      <w:r w:rsidRPr="00C2506E">
        <w:t>. We hypothesi</w:t>
      </w:r>
      <w:r w:rsidR="00DE0C81">
        <w:t>s</w:t>
      </w:r>
      <w:r w:rsidRPr="00C2506E">
        <w:t xml:space="preserve">ed that </w:t>
      </w:r>
      <w:r w:rsidR="00DE0C81">
        <w:t>p</w:t>
      </w:r>
      <w:r w:rsidRPr="00C2506E">
        <w:t>articipants would find the programme appropriate and useful, and</w:t>
      </w:r>
      <w:r w:rsidR="009E4D17">
        <w:t xml:space="preserve"> that</w:t>
      </w:r>
      <w:r w:rsidRPr="00C2506E">
        <w:t xml:space="preserve"> </w:t>
      </w:r>
      <w:r w:rsidR="00DE0C81">
        <w:t>b</w:t>
      </w:r>
      <w:r w:rsidRPr="00C2506E">
        <w:t xml:space="preserve">urden transfer, stress, and burnout would be decreased </w:t>
      </w:r>
      <w:r w:rsidR="00DF6A5E">
        <w:t>when measured after receiving the educational programme</w:t>
      </w:r>
      <w:r w:rsidRPr="00C2506E">
        <w:t xml:space="preserve"> in the </w:t>
      </w:r>
      <w:r w:rsidR="00DE0C81">
        <w:t>i</w:t>
      </w:r>
      <w:r w:rsidRPr="00C2506E">
        <w:t xml:space="preserve">ntervention group, but not in </w:t>
      </w:r>
      <w:r w:rsidR="00DE0C81">
        <w:t>the c</w:t>
      </w:r>
      <w:r w:rsidRPr="00C2506E">
        <w:t>ontrol</w:t>
      </w:r>
      <w:r w:rsidR="00DE0C81">
        <w:t xml:space="preserve"> group</w:t>
      </w:r>
      <w:r w:rsidRPr="00C2506E">
        <w:t xml:space="preserve">. </w:t>
      </w:r>
    </w:p>
    <w:p w14:paraId="7D50A9BE" w14:textId="77777777" w:rsidR="00C2506E" w:rsidRPr="00C2506E" w:rsidRDefault="00C2506E" w:rsidP="00E041A1">
      <w:pPr>
        <w:pStyle w:val="NZVJHeading1"/>
        <w:rPr>
          <w:rFonts w:ascii="Times New Roman" w:hAnsi="Times New Roman"/>
          <w:bCs/>
        </w:rPr>
      </w:pPr>
      <w:r w:rsidRPr="00C2506E">
        <w:t xml:space="preserve">Materials and </w:t>
      </w:r>
      <w:r w:rsidRPr="00C2506E">
        <w:rPr>
          <w:bCs/>
        </w:rPr>
        <w:t>methods</w:t>
      </w:r>
    </w:p>
    <w:p w14:paraId="1A8CD1CA" w14:textId="77777777" w:rsidR="00C2506E" w:rsidRPr="00C2506E" w:rsidRDefault="00C2506E" w:rsidP="00E041A1">
      <w:pPr>
        <w:pStyle w:val="NZVJHeading2"/>
      </w:pPr>
      <w:r w:rsidRPr="00C2506E">
        <w:t>Participants</w:t>
      </w:r>
    </w:p>
    <w:p w14:paraId="2758FE49" w14:textId="285FC841" w:rsidR="00C2506E" w:rsidRDefault="00C2506E" w:rsidP="008E1EB7">
      <w:pPr>
        <w:pStyle w:val="NZVJParagraph"/>
      </w:pPr>
      <w:r w:rsidRPr="00DE0C81">
        <w:t>Participants were employees (veterinarians and support staff) of</w:t>
      </w:r>
      <w:r w:rsidRPr="00DE0C81">
        <w:rPr>
          <w:rFonts w:eastAsia="Arial"/>
        </w:rPr>
        <w:t xml:space="preserve"> a small animal veterinary hospital group providing primary care, referral, and emergency care at three locations in the southwestern </w:t>
      </w:r>
      <w:r w:rsidRPr="00DE0C81">
        <w:rPr>
          <w:rFonts w:eastAsia="Arial"/>
        </w:rPr>
        <w:lastRenderedPageBreak/>
        <w:t>United States</w:t>
      </w:r>
      <w:r w:rsidR="00DE0C81">
        <w:rPr>
          <w:rFonts w:eastAsia="Arial"/>
        </w:rPr>
        <w:t xml:space="preserve"> of America</w:t>
      </w:r>
      <w:r w:rsidRPr="00DE0C81">
        <w:rPr>
          <w:rFonts w:eastAsia="Arial"/>
        </w:rPr>
        <w:t xml:space="preserve">. Inclusion criteria for the study were: over age 18 and able to speak and comprehend English. Exclusion criteria were working in a position with less than </w:t>
      </w:r>
      <w:r w:rsidRPr="00DE0C81">
        <w:t xml:space="preserve">10% of activities involving client interaction and not attending work during the study period. </w:t>
      </w:r>
      <w:bookmarkStart w:id="6" w:name="_Hlk63586813"/>
      <w:r w:rsidRPr="00DE0C81">
        <w:t>Participants were neither screened nor excluded for psychological issues</w:t>
      </w:r>
      <w:bookmarkEnd w:id="6"/>
      <w:r w:rsidRPr="00DE0C81">
        <w:t xml:space="preserve"> such as depression or anxiety, as such exclusions could limit generalisability to the workforce. </w:t>
      </w:r>
    </w:p>
    <w:p w14:paraId="6AED211A" w14:textId="710B8B75" w:rsidR="00EC0259" w:rsidRPr="00C2506E" w:rsidRDefault="00EC0259" w:rsidP="00EC0259">
      <w:pPr>
        <w:pStyle w:val="NZVJHeading2"/>
      </w:pPr>
      <w:r w:rsidRPr="00F779BD">
        <w:t>Study design</w:t>
      </w:r>
    </w:p>
    <w:p w14:paraId="261BC0C8" w14:textId="2B9DA03D" w:rsidR="00EC0259" w:rsidRDefault="00EC0259" w:rsidP="008E1EB7">
      <w:pPr>
        <w:pStyle w:val="NZVJParagraph"/>
      </w:pPr>
      <w:proofErr w:type="gramStart"/>
      <w:r w:rsidRPr="00C2506E">
        <w:t>This randomised, parallel arms</w:t>
      </w:r>
      <w:proofErr w:type="gramEnd"/>
      <w:r w:rsidRPr="00C2506E">
        <w:t xml:space="preserve"> (</w:t>
      </w:r>
      <w:r>
        <w:t>i</w:t>
      </w:r>
      <w:r w:rsidRPr="00C2506E">
        <w:t xml:space="preserve">ntervention, </w:t>
      </w:r>
      <w:r>
        <w:t>c</w:t>
      </w:r>
      <w:r w:rsidRPr="00C2506E">
        <w:t xml:space="preserve">ontrol) pilot trial was approved by the Institutional Review Board of Kent State University </w:t>
      </w:r>
      <w:r>
        <w:t>(</w:t>
      </w:r>
      <w:r w:rsidRPr="00C2506E">
        <w:t>Kent, Ohio</w:t>
      </w:r>
      <w:r>
        <w:t>,</w:t>
      </w:r>
      <w:r w:rsidRPr="00C2506E">
        <w:t xml:space="preserve"> USA</w:t>
      </w:r>
      <w:r>
        <w:t>)</w:t>
      </w:r>
      <w:r w:rsidRPr="00C2506E">
        <w:t xml:space="preserve">. The study took place from January </w:t>
      </w:r>
      <w:r w:rsidR="00AA68B1">
        <w:t>to</w:t>
      </w:r>
      <w:r w:rsidR="00AA68B1" w:rsidRPr="00C2506E">
        <w:t xml:space="preserve"> </w:t>
      </w:r>
      <w:r w:rsidRPr="00C2506E">
        <w:t>May 2020. To construct study groups in the most generalisable manner, the programme was provided as an educational opportunity for all hospital employees. Those choosing to participate in the programme were given the additional option to provide anonymi</w:t>
      </w:r>
      <w:r>
        <w:t>s</w:t>
      </w:r>
      <w:r w:rsidRPr="00C2506E">
        <w:t>ed data for research. Data were collected through the online data collection platform, Qualtrics (Provo, UT</w:t>
      </w:r>
      <w:r>
        <w:t>,</w:t>
      </w:r>
      <w:r w:rsidRPr="00C2506E">
        <w:t xml:space="preserve"> USA), beginning with informed consent, which noted the study purpose, participant rights, Institutional Review Board approval status, and contact information. </w:t>
      </w:r>
    </w:p>
    <w:p w14:paraId="7D9226F3" w14:textId="6497712E" w:rsidR="00EC0259" w:rsidRPr="00DE0C81" w:rsidRDefault="00EC0259" w:rsidP="008E1EB7">
      <w:pPr>
        <w:pStyle w:val="NZVJParagraph"/>
      </w:pPr>
      <w:r w:rsidRPr="00C2506E">
        <w:t xml:space="preserve">Individuals choosing to be involved in research were allocated to </w:t>
      </w:r>
      <w:r>
        <w:t xml:space="preserve">one of two </w:t>
      </w:r>
      <w:r w:rsidRPr="00C2506E">
        <w:t>group</w:t>
      </w:r>
      <w:r>
        <w:t>s</w:t>
      </w:r>
      <w:r w:rsidRPr="00C2506E">
        <w:t xml:space="preserve"> via Qualtrics auto</w:t>
      </w:r>
      <w:r>
        <w:t>-</w:t>
      </w:r>
      <w:r w:rsidRPr="00C2506E">
        <w:t>randomisation</w:t>
      </w:r>
      <w:r w:rsidR="008F0BBB">
        <w:t xml:space="preserve">: the </w:t>
      </w:r>
      <w:r>
        <w:t>i</w:t>
      </w:r>
      <w:r w:rsidRPr="00C2506E">
        <w:t>ntervention group</w:t>
      </w:r>
      <w:r w:rsidR="008F0BBB">
        <w:t xml:space="preserve"> which received an educational programme based on ACT and the control group which did not.</w:t>
      </w:r>
      <w:r w:rsidR="00455928">
        <w:t xml:space="preserve"> Both groups completed three</w:t>
      </w:r>
      <w:r w:rsidRPr="00C2506E">
        <w:t xml:space="preserve"> measures (</w:t>
      </w:r>
      <w:r w:rsidR="00455928">
        <w:t xml:space="preserve">Burden Transfer </w:t>
      </w:r>
      <w:proofErr w:type="gramStart"/>
      <w:r w:rsidR="00455928">
        <w:t>Inventory</w:t>
      </w:r>
      <w:r w:rsidR="00D7435F">
        <w:t>(</w:t>
      </w:r>
      <w:proofErr w:type="gramEnd"/>
      <w:r w:rsidR="00D7435F">
        <w:t>BTI)</w:t>
      </w:r>
      <w:r w:rsidR="00455928">
        <w:t>, Perceived Stress Scale</w:t>
      </w:r>
      <w:r w:rsidR="00D7435F">
        <w:t xml:space="preserve"> (PSS)</w:t>
      </w:r>
      <w:r w:rsidR="00455928">
        <w:t xml:space="preserve"> and Copenhagen Burnout Inventory</w:t>
      </w:r>
      <w:r w:rsidR="00D7435F">
        <w:t xml:space="preserve"> (CBI)</w:t>
      </w:r>
      <w:r w:rsidR="00455928">
        <w:t xml:space="preserve">: see below for more details) and provided </w:t>
      </w:r>
      <w:r w:rsidRPr="00C2506E">
        <w:t xml:space="preserve">demographic information </w:t>
      </w:r>
      <w:r w:rsidR="00455928">
        <w:t>in a</w:t>
      </w:r>
      <w:r w:rsidRPr="00C2506E">
        <w:t xml:space="preserve"> </w:t>
      </w:r>
      <w:r>
        <w:t>b</w:t>
      </w:r>
      <w:r w:rsidRPr="00C2506E">
        <w:t xml:space="preserve">aseline </w:t>
      </w:r>
      <w:r>
        <w:t xml:space="preserve">session </w:t>
      </w:r>
      <w:r w:rsidRPr="00C2506E">
        <w:t>(</w:t>
      </w:r>
      <w:r>
        <w:t>p</w:t>
      </w:r>
      <w:r w:rsidRPr="00C2506E">
        <w:t>re-programme</w:t>
      </w:r>
      <w:r w:rsidRPr="00F779BD">
        <w:t>)</w:t>
      </w:r>
      <w:r w:rsidR="001C08CA" w:rsidRPr="00F779BD">
        <w:t>.</w:t>
      </w:r>
      <w:r w:rsidRPr="00F779BD">
        <w:t xml:space="preserve"> </w:t>
      </w:r>
      <w:r w:rsidR="001C08CA" w:rsidRPr="00F779BD">
        <w:t>W</w:t>
      </w:r>
      <w:r w:rsidRPr="00F779BD">
        <w:t xml:space="preserve">ithin 1 month of </w:t>
      </w:r>
      <w:r w:rsidR="001C08CA" w:rsidRPr="00F779BD">
        <w:t>the</w:t>
      </w:r>
      <w:r w:rsidR="001C08CA">
        <w:t xml:space="preserve"> baseline session</w:t>
      </w:r>
      <w:r w:rsidR="00944C1A">
        <w:t>, the intervention group then completed two ACT sessions (see below). W</w:t>
      </w:r>
      <w:r w:rsidRPr="00C2506E">
        <w:t>ithin 1 month</w:t>
      </w:r>
      <w:r w:rsidR="00944C1A">
        <w:t xml:space="preserve"> of completing the ACT session, both groups completed the measures again in a review session</w:t>
      </w:r>
      <w:r w:rsidRPr="00C2506E">
        <w:t xml:space="preserve"> (</w:t>
      </w:r>
      <w:r>
        <w:t>p</w:t>
      </w:r>
      <w:r w:rsidRPr="00C2506E">
        <w:t xml:space="preserve">ost-programme). </w:t>
      </w:r>
      <w:r w:rsidR="00944C1A">
        <w:t>Therefore,</w:t>
      </w:r>
      <w:r w:rsidRPr="00C2506E">
        <w:t xml:space="preserve"> the </w:t>
      </w:r>
      <w:r>
        <w:t>c</w:t>
      </w:r>
      <w:r w:rsidRPr="00C2506E">
        <w:t xml:space="preserve">ontrol group completed </w:t>
      </w:r>
      <w:r>
        <w:t>p</w:t>
      </w:r>
      <w:r w:rsidRPr="00C2506E">
        <w:t>re</w:t>
      </w:r>
      <w:r>
        <w:t>-programme</w:t>
      </w:r>
      <w:r w:rsidRPr="00C2506E">
        <w:t xml:space="preserve"> and </w:t>
      </w:r>
      <w:r>
        <w:t>p</w:t>
      </w:r>
      <w:r w:rsidRPr="00C2506E">
        <w:t>ost</w:t>
      </w:r>
      <w:r>
        <w:t>-programme</w:t>
      </w:r>
      <w:r w:rsidRPr="00C2506E">
        <w:t xml:space="preserve"> measures in the same timeframe as the </w:t>
      </w:r>
      <w:r>
        <w:t>i</w:t>
      </w:r>
      <w:r w:rsidRPr="00C2506E">
        <w:t xml:space="preserve">ntervention group, without having completed the </w:t>
      </w:r>
      <w:r>
        <w:t xml:space="preserve">ACT </w:t>
      </w:r>
      <w:r w:rsidRPr="00C2506E">
        <w:t>programme, which was made available to them following data collection; these individuals were sent</w:t>
      </w:r>
      <w:r>
        <w:t xml:space="preserve"> a</w:t>
      </w:r>
      <w:r w:rsidRPr="00C2506E">
        <w:t xml:space="preserve"> link via email</w:t>
      </w:r>
      <w:r w:rsidRPr="00611D60">
        <w:t xml:space="preserve"> </w:t>
      </w:r>
      <w:r>
        <w:t xml:space="preserve">to complete </w:t>
      </w:r>
      <w:r w:rsidRPr="00C2506E">
        <w:t xml:space="preserve">the </w:t>
      </w:r>
      <w:r>
        <w:t>p</w:t>
      </w:r>
      <w:r w:rsidRPr="00C2506E">
        <w:t>ost-programme measure</w:t>
      </w:r>
      <w:r>
        <w:t>s</w:t>
      </w:r>
      <w:r w:rsidRPr="00C2506E">
        <w:t xml:space="preserve">. </w:t>
      </w:r>
      <w:r w:rsidRPr="00C2506E">
        <w:rPr>
          <w:rFonts w:eastAsiaTheme="minorHAnsi"/>
        </w:rPr>
        <w:t>Due to the nature of shift work and multiple locations, group sessions could be accessed in-person (</w:t>
      </w:r>
      <w:r>
        <w:rPr>
          <w:rFonts w:eastAsiaTheme="minorHAnsi"/>
        </w:rPr>
        <w:t>b</w:t>
      </w:r>
      <w:r w:rsidRPr="00C2506E">
        <w:rPr>
          <w:rFonts w:eastAsiaTheme="minorHAnsi"/>
        </w:rPr>
        <w:t xml:space="preserve">aseline </w:t>
      </w:r>
      <w:r>
        <w:rPr>
          <w:rFonts w:eastAsiaTheme="minorHAnsi"/>
        </w:rPr>
        <w:t>s</w:t>
      </w:r>
      <w:r w:rsidRPr="00C2506E">
        <w:rPr>
          <w:rFonts w:eastAsiaTheme="minorHAnsi"/>
        </w:rPr>
        <w:t xml:space="preserve">ession and ACT </w:t>
      </w:r>
      <w:r>
        <w:rPr>
          <w:rFonts w:eastAsiaTheme="minorHAnsi"/>
        </w:rPr>
        <w:t>s</w:t>
      </w:r>
      <w:r w:rsidRPr="00C2506E">
        <w:rPr>
          <w:rFonts w:eastAsiaTheme="minorHAnsi"/>
        </w:rPr>
        <w:t xml:space="preserve">ession 1 only due to the </w:t>
      </w:r>
      <w:r w:rsidRPr="00C2506E">
        <w:t>COVID-19</w:t>
      </w:r>
      <w:r w:rsidRPr="00C2506E">
        <w:rPr>
          <w:rFonts w:eastAsiaTheme="minorHAnsi"/>
        </w:rPr>
        <w:t xml:space="preserve"> pandemic), live-streaming, or as a recording </w:t>
      </w:r>
      <w:proofErr w:type="gramStart"/>
      <w:r w:rsidRPr="00C2506E">
        <w:rPr>
          <w:rFonts w:eastAsiaTheme="minorHAnsi"/>
        </w:rPr>
        <w:t>at a later time</w:t>
      </w:r>
      <w:proofErr w:type="gramEnd"/>
      <w:r w:rsidRPr="00C2506E">
        <w:rPr>
          <w:rFonts w:eastAsiaTheme="minorHAnsi"/>
        </w:rPr>
        <w:t>. Sessions were delivered by a member of the research team (MBS) and s</w:t>
      </w:r>
      <w:r w:rsidRPr="00C2506E">
        <w:t xml:space="preserve">ession recordings were checked for fidelity to established protocol by a separate member of the team (ASGU). Participants were eligible for a raffle to win one of three gift cards for an online retailer. </w:t>
      </w:r>
    </w:p>
    <w:p w14:paraId="1C201070" w14:textId="6DAAD2FE" w:rsidR="00C2506E" w:rsidRPr="00C2506E" w:rsidRDefault="00C2506E" w:rsidP="00E041A1">
      <w:pPr>
        <w:pStyle w:val="NZVJHeading2"/>
      </w:pPr>
      <w:r w:rsidRPr="00C2506E">
        <w:t xml:space="preserve">ACT </w:t>
      </w:r>
      <w:r w:rsidR="00DE0C81">
        <w:t>e</w:t>
      </w:r>
      <w:r w:rsidRPr="00C2506E">
        <w:t xml:space="preserve">ducational </w:t>
      </w:r>
      <w:proofErr w:type="spellStart"/>
      <w:r w:rsidR="00DE0C81">
        <w:t>p</w:t>
      </w:r>
      <w:r w:rsidRPr="00C2506E">
        <w:t>rogramme</w:t>
      </w:r>
      <w:proofErr w:type="spellEnd"/>
    </w:p>
    <w:p w14:paraId="15234AF8" w14:textId="2CB0CD8B" w:rsidR="00C2506E" w:rsidRPr="00E041A1" w:rsidRDefault="00C2506E" w:rsidP="008E1EB7">
      <w:pPr>
        <w:pStyle w:val="NZVJParagraph"/>
      </w:pPr>
      <w:r w:rsidRPr="00E041A1">
        <w:t xml:space="preserve">The programme was based on an ACT framework, which combines mindfulness and emotional acceptance education with experiential exercises and techniques for behaviour change (Hayes, 2004). It relies on six inter-related components (Hayes </w:t>
      </w:r>
      <w:r w:rsidRPr="00DE0C81">
        <w:rPr>
          <w:i/>
          <w:iCs/>
        </w:rPr>
        <w:t>et al</w:t>
      </w:r>
      <w:r w:rsidRPr="00E041A1">
        <w:t xml:space="preserve">. 1999; </w:t>
      </w:r>
      <w:r w:rsidR="00DE0C81" w:rsidRPr="00E041A1">
        <w:t>Bach and Moran 2008</w:t>
      </w:r>
      <w:r w:rsidR="00DE0C81">
        <w:t xml:space="preserve">; </w:t>
      </w:r>
      <w:r w:rsidRPr="00E041A1">
        <w:t>Twohig and Haye</w:t>
      </w:r>
      <w:r w:rsidR="00DE0C81">
        <w:t>s</w:t>
      </w:r>
      <w:r w:rsidRPr="00E041A1">
        <w:t xml:space="preserve"> 2008): (1) “</w:t>
      </w:r>
      <w:r w:rsidR="001C0F8E">
        <w:t>b</w:t>
      </w:r>
      <w:r w:rsidRPr="00E041A1">
        <w:t xml:space="preserve">eing </w:t>
      </w:r>
      <w:r w:rsidR="001C0F8E">
        <w:t>p</w:t>
      </w:r>
      <w:r w:rsidRPr="00E041A1">
        <w:t xml:space="preserve">resent” </w:t>
      </w:r>
      <w:r w:rsidR="00063367">
        <w:t xml:space="preserve">which </w:t>
      </w:r>
      <w:r w:rsidRPr="00E041A1">
        <w:t xml:space="preserve">means consciously experiencing internal and external </w:t>
      </w:r>
      <w:r w:rsidRPr="00E041A1">
        <w:lastRenderedPageBreak/>
        <w:t>events in the moment</w:t>
      </w:r>
      <w:r w:rsidR="00063367">
        <w:t>;</w:t>
      </w:r>
      <w:r w:rsidRPr="00E041A1">
        <w:t xml:space="preserve"> (2) “</w:t>
      </w:r>
      <w:r w:rsidR="001C0F8E">
        <w:t>a</w:t>
      </w:r>
      <w:r w:rsidRPr="00E041A1">
        <w:t xml:space="preserve">cceptance” </w:t>
      </w:r>
      <w:r w:rsidR="00063367">
        <w:t xml:space="preserve">which </w:t>
      </w:r>
      <w:r w:rsidRPr="00E041A1">
        <w:t>is actively embracing inner events (e.g., thoughts, feelings, or urges) while they are occurring</w:t>
      </w:r>
      <w:r w:rsidR="00063367">
        <w:t>;</w:t>
      </w:r>
      <w:r w:rsidRPr="00E041A1">
        <w:t xml:space="preserve"> (3) “</w:t>
      </w:r>
      <w:proofErr w:type="spellStart"/>
      <w:r w:rsidR="001C0F8E">
        <w:t>d</w:t>
      </w:r>
      <w:r w:rsidRPr="00E041A1">
        <w:t>efusion</w:t>
      </w:r>
      <w:proofErr w:type="spellEnd"/>
      <w:r w:rsidRPr="00E041A1">
        <w:t xml:space="preserve">” </w:t>
      </w:r>
      <w:r w:rsidR="00063367">
        <w:t xml:space="preserve">which </w:t>
      </w:r>
      <w:r w:rsidRPr="00E041A1">
        <w:t>involves viewing inner events as no more than words, sensations, and images</w:t>
      </w:r>
      <w:r w:rsidR="00063367">
        <w:t>;</w:t>
      </w:r>
      <w:r w:rsidRPr="00E041A1">
        <w:t xml:space="preserve"> (4) </w:t>
      </w:r>
      <w:r w:rsidR="001C0F8E">
        <w:t>u</w:t>
      </w:r>
      <w:r w:rsidRPr="00E041A1">
        <w:t>nderstanding the “</w:t>
      </w:r>
      <w:r w:rsidR="001C0F8E">
        <w:t>s</w:t>
      </w:r>
      <w:r w:rsidRPr="00E041A1">
        <w:t xml:space="preserve">elf-as </w:t>
      </w:r>
      <w:r w:rsidR="001C0F8E">
        <w:t>c</w:t>
      </w:r>
      <w:r w:rsidRPr="00E041A1">
        <w:t xml:space="preserve">ontext” </w:t>
      </w:r>
      <w:r w:rsidR="00063367">
        <w:t xml:space="preserve">which </w:t>
      </w:r>
      <w:r w:rsidRPr="00E041A1">
        <w:t>involves observation of inner struggles from an outside perspective</w:t>
      </w:r>
      <w:r w:rsidR="00063367">
        <w:t>;</w:t>
      </w:r>
      <w:r w:rsidRPr="00E041A1">
        <w:t xml:space="preserve"> (5) “</w:t>
      </w:r>
      <w:r w:rsidR="001C0F8E">
        <w:t>v</w:t>
      </w:r>
      <w:r w:rsidRPr="00E041A1">
        <w:t xml:space="preserve">alues” </w:t>
      </w:r>
      <w:r w:rsidR="00063367">
        <w:t xml:space="preserve">which </w:t>
      </w:r>
      <w:r w:rsidRPr="00E041A1">
        <w:t xml:space="preserve">are areas of importance that an individual identifies and embraces as a guide to action </w:t>
      </w:r>
      <w:r w:rsidR="00063367">
        <w:t>and</w:t>
      </w:r>
      <w:r w:rsidRPr="00E041A1">
        <w:t xml:space="preserve"> 6) “</w:t>
      </w:r>
      <w:r w:rsidR="001C0F8E">
        <w:t>c</w:t>
      </w:r>
      <w:r w:rsidRPr="00E041A1">
        <w:t xml:space="preserve">ommitted </w:t>
      </w:r>
      <w:r w:rsidR="001C0F8E">
        <w:t>a</w:t>
      </w:r>
      <w:r w:rsidRPr="00E041A1">
        <w:t xml:space="preserve">ction” </w:t>
      </w:r>
      <w:r w:rsidR="00063367">
        <w:t xml:space="preserve">which </w:t>
      </w:r>
      <w:r w:rsidRPr="00E041A1">
        <w:t xml:space="preserve">means behaving in a manner that serves a chosen value. </w:t>
      </w:r>
    </w:p>
    <w:p w14:paraId="1A49614A" w14:textId="77777777" w:rsidR="00821587" w:rsidRDefault="00C2506E" w:rsidP="008E1EB7">
      <w:pPr>
        <w:pStyle w:val="NZVJParagraph"/>
      </w:pPr>
      <w:r w:rsidRPr="00E041A1">
        <w:t xml:space="preserve">The protocol utilised in the current work was based on these six core processes, with a focus on identifying DANCE interactions and reducing reactivity during these situations. The interested reader is referred to </w:t>
      </w:r>
      <w:r w:rsidR="00DE0C81">
        <w:t>the S</w:t>
      </w:r>
      <w:r w:rsidRPr="00E041A1">
        <w:t>upplement</w:t>
      </w:r>
      <w:r w:rsidR="00DE0C81">
        <w:t>ary I</w:t>
      </w:r>
      <w:r w:rsidRPr="00E041A1">
        <w:t>nformation</w:t>
      </w:r>
      <w:r w:rsidR="00DE0C81">
        <w:rPr>
          <w:rStyle w:val="FootnoteReference"/>
          <w:bCs/>
        </w:rPr>
        <w:footnoteReference w:id="1"/>
      </w:r>
      <w:r w:rsidRPr="00E041A1">
        <w:t xml:space="preserve"> for more detail</w:t>
      </w:r>
      <w:r w:rsidR="00DE0C81">
        <w:t>s</w:t>
      </w:r>
      <w:r w:rsidRPr="00E041A1">
        <w:t xml:space="preserve"> on session contents. Briefly, participants were taught to not become activated by difficult thoughts and feelings that are part of their daily work with clients, but to let personal values guide them. </w:t>
      </w:r>
    </w:p>
    <w:p w14:paraId="05FFBB01" w14:textId="14895571" w:rsidR="00C2506E" w:rsidRPr="00E041A1" w:rsidRDefault="00C2506E" w:rsidP="008E1EB7">
      <w:pPr>
        <w:pStyle w:val="NZVJParagraph"/>
      </w:pPr>
      <w:r w:rsidRPr="00E041A1">
        <w:t xml:space="preserve">Four total group sessions were </w:t>
      </w:r>
      <w:r w:rsidRPr="00F779BD">
        <w:t xml:space="preserve">delivered, spread </w:t>
      </w:r>
      <w:r w:rsidR="00DE0C81" w:rsidRPr="00F779BD">
        <w:t>1</w:t>
      </w:r>
      <w:r w:rsidRPr="00F779BD">
        <w:t xml:space="preserve"> month apart, with</w:t>
      </w:r>
      <w:r w:rsidRPr="00E041A1">
        <w:t xml:space="preserve"> homework assigned to practice skills taught between sessions. </w:t>
      </w:r>
      <w:bookmarkStart w:id="7" w:name="_Hlk63587916"/>
      <w:r w:rsidRPr="00E041A1">
        <w:t xml:space="preserve">The </w:t>
      </w:r>
      <w:r w:rsidR="00DE0C81">
        <w:t>b</w:t>
      </w:r>
      <w:r w:rsidRPr="00E041A1">
        <w:t xml:space="preserve">aseline </w:t>
      </w:r>
      <w:r w:rsidR="00DE0C81">
        <w:t>s</w:t>
      </w:r>
      <w:r w:rsidRPr="00E041A1">
        <w:t xml:space="preserve">ession included an introduction to the study, followed by collection of </w:t>
      </w:r>
      <w:r w:rsidR="006B242A">
        <w:t>pre-</w:t>
      </w:r>
      <w:r w:rsidR="0054512F">
        <w:t>programme</w:t>
      </w:r>
      <w:r w:rsidR="006B242A" w:rsidRPr="00E041A1">
        <w:t xml:space="preserve"> </w:t>
      </w:r>
      <w:r w:rsidRPr="00E041A1">
        <w:t xml:space="preserve">data and then brief education regarding burden transfer. Those assigned to the </w:t>
      </w:r>
      <w:r w:rsidR="00DE0C81">
        <w:t>i</w:t>
      </w:r>
      <w:r w:rsidRPr="00E041A1">
        <w:t xml:space="preserve">ntervention condition then completed </w:t>
      </w:r>
      <w:bookmarkEnd w:id="7"/>
      <w:r w:rsidRPr="00E041A1">
        <w:t xml:space="preserve">ACT </w:t>
      </w:r>
      <w:r w:rsidR="00DE0C81">
        <w:t>s</w:t>
      </w:r>
      <w:r w:rsidRPr="00E041A1">
        <w:t xml:space="preserve">essions 1 and 2, the “active ingredient” sessions. ACT </w:t>
      </w:r>
      <w:r w:rsidR="00DE0C81">
        <w:t>s</w:t>
      </w:r>
      <w:r w:rsidRPr="00E041A1">
        <w:t xml:space="preserve">ession 1 focused on skills for being mindfully present, identifying and accepting difficult thoughts, feelings, and urges in the context of DANCE interactions, and separating the self from these inner struggles to understand them as an observer. ACT </w:t>
      </w:r>
      <w:r w:rsidR="00DE0C81">
        <w:t>s</w:t>
      </w:r>
      <w:r w:rsidRPr="00E041A1">
        <w:t xml:space="preserve">ession 2 helped participants clarify personal values and discussed skills for taking committed action to focus on alternate values as needed during DANCE interactions. In the </w:t>
      </w:r>
      <w:r w:rsidR="00FF4DCE">
        <w:t>review</w:t>
      </w:r>
      <w:r w:rsidRPr="00E041A1">
        <w:t xml:space="preserve"> </w:t>
      </w:r>
      <w:r w:rsidR="00DE0C81">
        <w:t>s</w:t>
      </w:r>
      <w:r w:rsidRPr="00E041A1">
        <w:t>ession, post-</w:t>
      </w:r>
      <w:r w:rsidR="0054512F">
        <w:t>programme</w:t>
      </w:r>
      <w:r w:rsidR="00FF4DCE">
        <w:t xml:space="preserve"> </w:t>
      </w:r>
      <w:r w:rsidR="00C96920">
        <w:t>measures were completed</w:t>
      </w:r>
      <w:r w:rsidRPr="00E041A1">
        <w:t xml:space="preserve">, followed by a brief review of all material. </w:t>
      </w:r>
    </w:p>
    <w:p w14:paraId="3EB5BD9A" w14:textId="739F7D14" w:rsidR="00C2506E" w:rsidRPr="00F74454" w:rsidRDefault="00F74454" w:rsidP="00F74454">
      <w:pPr>
        <w:pStyle w:val="NZVJHeading2"/>
        <w:rPr>
          <w:rStyle w:val="NZVJHeading2Char"/>
          <w:b/>
        </w:rPr>
      </w:pPr>
      <w:r w:rsidRPr="00F74454">
        <w:rPr>
          <w:rStyle w:val="NZVJHeading2Char"/>
          <w:b/>
        </w:rPr>
        <w:t>Data collected</w:t>
      </w:r>
    </w:p>
    <w:p w14:paraId="5D37852D" w14:textId="59A3B9F5" w:rsidR="00C2506E" w:rsidRPr="00C2506E" w:rsidRDefault="00F74454" w:rsidP="008E1EB7">
      <w:pPr>
        <w:pStyle w:val="NZVJParagraph"/>
        <w:rPr>
          <w:b/>
        </w:rPr>
      </w:pPr>
      <w:bookmarkStart w:id="8" w:name="_Hlk63588431"/>
      <w:r>
        <w:t xml:space="preserve">Participants in both groups completed the following measures in the baseline (pre-programme) and review (post-programme) sessions. </w:t>
      </w:r>
      <w:r w:rsidR="00C2506E" w:rsidRPr="00C2506E">
        <w:t>Please see Supplement</w:t>
      </w:r>
      <w:r w:rsidR="00DE0C81">
        <w:t>ary</w:t>
      </w:r>
      <w:r w:rsidR="00C2506E" w:rsidRPr="00C2506E">
        <w:t xml:space="preserve"> Information</w:t>
      </w:r>
      <w:r w:rsidR="00DE0C81" w:rsidRPr="00DE0C81">
        <w:rPr>
          <w:vertAlign w:val="superscript"/>
        </w:rPr>
        <w:t>1</w:t>
      </w:r>
      <w:r w:rsidR="00C2506E" w:rsidRPr="00C2506E">
        <w:t xml:space="preserve"> for more detail</w:t>
      </w:r>
      <w:bookmarkEnd w:id="8"/>
      <w:r w:rsidR="00C2506E" w:rsidRPr="00C2506E">
        <w:t xml:space="preserve"> on the</w:t>
      </w:r>
      <w:r w:rsidR="00D7435F">
        <w:t>se</w:t>
      </w:r>
      <w:r w:rsidR="00C2506E" w:rsidRPr="00C2506E">
        <w:t xml:space="preserve"> measures.</w:t>
      </w:r>
    </w:p>
    <w:p w14:paraId="35FCED15" w14:textId="7EB31EB9" w:rsidR="00C2506E" w:rsidRPr="00C2506E" w:rsidRDefault="00C2506E" w:rsidP="00E041A1">
      <w:pPr>
        <w:pStyle w:val="NZVJHeading3"/>
        <w:rPr>
          <w:rFonts w:ascii="Times New Roman" w:hAnsi="Times New Roman"/>
          <w:iCs/>
          <w:sz w:val="24"/>
          <w:szCs w:val="24"/>
        </w:rPr>
      </w:pPr>
      <w:r w:rsidRPr="00C2506E">
        <w:t>The Burden Transfer Inventory</w:t>
      </w:r>
    </w:p>
    <w:p w14:paraId="43202162" w14:textId="1FE37ED1" w:rsidR="00C2506E" w:rsidRPr="00C2506E" w:rsidRDefault="00C2506E" w:rsidP="008E1EB7">
      <w:pPr>
        <w:pStyle w:val="NZVJParagraph"/>
        <w:rPr>
          <w:shd w:val="clear" w:color="auto" w:fill="FFFFFF"/>
        </w:rPr>
      </w:pPr>
      <w:r w:rsidRPr="00C2506E">
        <w:rPr>
          <w:iCs/>
        </w:rPr>
        <w:t xml:space="preserve">The </w:t>
      </w:r>
      <w:r w:rsidR="001130EA" w:rsidRPr="00C2506E">
        <w:t xml:space="preserve">Burden Transfer Inventory </w:t>
      </w:r>
      <w:r w:rsidR="001130EA">
        <w:t>(</w:t>
      </w:r>
      <w:r w:rsidRPr="00C2506E">
        <w:rPr>
          <w:iCs/>
        </w:rPr>
        <w:t xml:space="preserve">Spitznagel </w:t>
      </w:r>
      <w:r w:rsidRPr="00C2506E">
        <w:rPr>
          <w:i/>
          <w:iCs/>
        </w:rPr>
        <w:t>et al</w:t>
      </w:r>
      <w:r w:rsidRPr="00C2506E">
        <w:t>.</w:t>
      </w:r>
      <w:r w:rsidRPr="00C2506E">
        <w:rPr>
          <w:iCs/>
        </w:rPr>
        <w:t xml:space="preserve"> 2019b)</w:t>
      </w:r>
      <w:r w:rsidRPr="00C2506E">
        <w:t xml:space="preserve"> measure</w:t>
      </w:r>
      <w:r w:rsidR="001130EA">
        <w:t>s</w:t>
      </w:r>
      <w:r w:rsidRPr="00C2506E">
        <w:t xml:space="preserve"> burden transfer by asking the respondent about the </w:t>
      </w:r>
      <w:r w:rsidR="00DE0C81">
        <w:t>five</w:t>
      </w:r>
      <w:r w:rsidRPr="00C2506E">
        <w:t xml:space="preserve"> domains of client DANCE interactions. Higher BTI subscale scores indicate greater </w:t>
      </w:r>
      <w:r w:rsidR="00DE0C81">
        <w:t>f</w:t>
      </w:r>
      <w:r w:rsidRPr="00C2506E">
        <w:t xml:space="preserve">requency of (BTI </w:t>
      </w:r>
      <w:r w:rsidR="00680712">
        <w:t>f</w:t>
      </w:r>
      <w:r w:rsidRPr="00C2506E">
        <w:t xml:space="preserve">requency) or </w:t>
      </w:r>
      <w:r w:rsidR="00DE0C81">
        <w:t>r</w:t>
      </w:r>
      <w:r w:rsidRPr="00C2506E">
        <w:t xml:space="preserve">eaction to (BTI </w:t>
      </w:r>
      <w:r w:rsidR="00680712">
        <w:t>r</w:t>
      </w:r>
      <w:r w:rsidRPr="00C2506E">
        <w:t xml:space="preserve">eaction) these experiences. </w:t>
      </w:r>
      <w:r w:rsidRPr="00C2506E">
        <w:rPr>
          <w:rFonts w:cstheme="minorHAnsi"/>
          <w:shd w:val="clear" w:color="auto" w:fill="FFFFFF"/>
        </w:rPr>
        <w:t xml:space="preserve">This 33-item measure demonstrates adequate to excellent internal consistency across subscales with Cronbach’s </w:t>
      </w:r>
      <w:r w:rsidRPr="00C2506E">
        <w:rPr>
          <w:rFonts w:cstheme="minorHAnsi"/>
          <w:shd w:val="clear" w:color="auto" w:fill="FFFFFF"/>
        </w:rPr>
        <w:sym w:font="Symbol" w:char="F061"/>
      </w:r>
      <w:r w:rsidRPr="00C2506E">
        <w:rPr>
          <w:rFonts w:cstheme="minorHAnsi"/>
          <w:shd w:val="clear" w:color="auto" w:fill="FFFFFF"/>
        </w:rPr>
        <w:t xml:space="preserve"> ranging from 0.58 to 0.88 across subscales for </w:t>
      </w:r>
      <w:r w:rsidR="00680712">
        <w:rPr>
          <w:rFonts w:cstheme="minorHAnsi"/>
          <w:shd w:val="clear" w:color="auto" w:fill="FFFFFF"/>
        </w:rPr>
        <w:t>f</w:t>
      </w:r>
      <w:r w:rsidRPr="00C2506E">
        <w:rPr>
          <w:rFonts w:cstheme="minorHAnsi"/>
          <w:shd w:val="clear" w:color="auto" w:fill="FFFFFF"/>
        </w:rPr>
        <w:t xml:space="preserve">requency and </w:t>
      </w:r>
      <w:r w:rsidR="00680712">
        <w:rPr>
          <w:rFonts w:cstheme="minorHAnsi"/>
          <w:shd w:val="clear" w:color="auto" w:fill="FFFFFF"/>
        </w:rPr>
        <w:t>r</w:t>
      </w:r>
      <w:r w:rsidRPr="00C2506E">
        <w:rPr>
          <w:rFonts w:cstheme="minorHAnsi"/>
          <w:shd w:val="clear" w:color="auto" w:fill="FFFFFF"/>
        </w:rPr>
        <w:t>eaction, and from 0.92 to 0.94 for combined subscales.</w:t>
      </w:r>
    </w:p>
    <w:p w14:paraId="42AD95E0" w14:textId="4D6BDCC1" w:rsidR="00C2506E" w:rsidRPr="00C2506E" w:rsidRDefault="00C2506E" w:rsidP="00E041A1">
      <w:pPr>
        <w:pStyle w:val="NZVJHeading3"/>
        <w:rPr>
          <w:iCs/>
        </w:rPr>
      </w:pPr>
      <w:r w:rsidRPr="00C2506E">
        <w:t>The Perceived Stress Scale</w:t>
      </w:r>
    </w:p>
    <w:p w14:paraId="185B9416" w14:textId="02CC7C79" w:rsidR="00C2506E" w:rsidRPr="00C2506E" w:rsidRDefault="00C2506E" w:rsidP="008E1EB7">
      <w:pPr>
        <w:pStyle w:val="NZVJParagraph"/>
        <w:rPr>
          <w:shd w:val="clear" w:color="auto" w:fill="FFFFFF"/>
          <w:vertAlign w:val="superscript"/>
        </w:rPr>
      </w:pPr>
      <w:r w:rsidRPr="00C2506E">
        <w:rPr>
          <w:iCs/>
        </w:rPr>
        <w:lastRenderedPageBreak/>
        <w:t xml:space="preserve">The </w:t>
      </w:r>
      <w:r w:rsidR="00680712" w:rsidRPr="00C2506E">
        <w:t xml:space="preserve">Perceived Stress Scale </w:t>
      </w:r>
      <w:r w:rsidR="00680712">
        <w:t>(</w:t>
      </w:r>
      <w:r w:rsidRPr="00C2506E">
        <w:rPr>
          <w:iCs/>
        </w:rPr>
        <w:t xml:space="preserve">Cohen </w:t>
      </w:r>
      <w:r w:rsidRPr="00C2506E">
        <w:rPr>
          <w:i/>
          <w:iCs/>
        </w:rPr>
        <w:t>et al</w:t>
      </w:r>
      <w:r w:rsidRPr="00C2506E">
        <w:t>.</w:t>
      </w:r>
      <w:r w:rsidRPr="00C2506E">
        <w:rPr>
          <w:iCs/>
        </w:rPr>
        <w:t xml:space="preserve"> 1983</w:t>
      </w:r>
      <w:r w:rsidRPr="00C2506E">
        <w:rPr>
          <w:i/>
        </w:rPr>
        <w:t>)</w:t>
      </w:r>
      <w:r w:rsidRPr="00C2506E">
        <w:t xml:space="preserve"> is a </w:t>
      </w:r>
      <w:proofErr w:type="gramStart"/>
      <w:r w:rsidRPr="00C2506E">
        <w:t>widely-used</w:t>
      </w:r>
      <w:proofErr w:type="gramEnd"/>
      <w:r w:rsidRPr="00C2506E">
        <w:t xml:space="preserve"> measure of stress perception, addressing degree of current stress and feelings that life is unpredictable or overloaded on a 10-question scale. Higher PSS scores indicate greater current stress. This measure demonstrates </w:t>
      </w:r>
      <w:r w:rsidRPr="00C2506E">
        <w:rPr>
          <w:shd w:val="clear" w:color="auto" w:fill="FFFFFF"/>
        </w:rPr>
        <w:t xml:space="preserve">internal consistency </w:t>
      </w:r>
      <w:r w:rsidR="00DE0C81">
        <w:rPr>
          <w:shd w:val="clear" w:color="auto" w:fill="FFFFFF"/>
        </w:rPr>
        <w:t>(</w:t>
      </w:r>
      <w:r w:rsidRPr="00C2506E">
        <w:sym w:font="Symbol" w:char="F061"/>
      </w:r>
      <w:r w:rsidRPr="00C2506E">
        <w:t>=</w:t>
      </w:r>
      <w:r w:rsidRPr="00C2506E">
        <w:rPr>
          <w:shd w:val="clear" w:color="auto" w:fill="FFFFFF"/>
        </w:rPr>
        <w:t>0.68</w:t>
      </w:r>
      <w:r w:rsidR="00DE0C81" w:rsidRPr="00C2506E">
        <w:t>–</w:t>
      </w:r>
      <w:r w:rsidRPr="00C2506E">
        <w:rPr>
          <w:shd w:val="clear" w:color="auto" w:fill="FFFFFF"/>
        </w:rPr>
        <w:t>0.78</w:t>
      </w:r>
      <w:r w:rsidR="00DE0C81">
        <w:rPr>
          <w:shd w:val="clear" w:color="auto" w:fill="FFFFFF"/>
        </w:rPr>
        <w:t>)</w:t>
      </w:r>
      <w:r w:rsidRPr="00C2506E">
        <w:rPr>
          <w:shd w:val="clear" w:color="auto" w:fill="FFFFFF"/>
        </w:rPr>
        <w:t xml:space="preserve"> and convergent validity with anxiety and anger (</w:t>
      </w:r>
      <w:r w:rsidRPr="00C2506E">
        <w:sym w:font="Symbol" w:char="F062"/>
      </w:r>
      <w:r w:rsidRPr="00C2506E">
        <w:t>=0.54</w:t>
      </w:r>
      <w:r w:rsidR="00DE0C81" w:rsidRPr="00C2506E">
        <w:t>–</w:t>
      </w:r>
      <w:r w:rsidRPr="00C2506E">
        <w:t>0.68) (</w:t>
      </w:r>
      <w:proofErr w:type="spellStart"/>
      <w:r w:rsidRPr="00C2506E">
        <w:t>Perera</w:t>
      </w:r>
      <w:proofErr w:type="spellEnd"/>
      <w:r w:rsidRPr="00C2506E">
        <w:t xml:space="preserve"> </w:t>
      </w:r>
      <w:r w:rsidRPr="00C2506E">
        <w:rPr>
          <w:i/>
          <w:iCs/>
        </w:rPr>
        <w:t>et al</w:t>
      </w:r>
      <w:r w:rsidRPr="00C2506E">
        <w:t>. 2017).</w:t>
      </w:r>
      <w:r w:rsidRPr="00C2506E">
        <w:rPr>
          <w:shd w:val="clear" w:color="auto" w:fill="FFFFFF"/>
          <w:vertAlign w:val="superscript"/>
        </w:rPr>
        <w:t xml:space="preserve">  </w:t>
      </w:r>
    </w:p>
    <w:p w14:paraId="0C4CBE14" w14:textId="7160C411" w:rsidR="00C2506E" w:rsidRPr="00C2506E" w:rsidRDefault="00C2506E" w:rsidP="00680712">
      <w:pPr>
        <w:pStyle w:val="NZVJHeading3"/>
        <w:rPr>
          <w:iCs/>
        </w:rPr>
      </w:pPr>
      <w:r w:rsidRPr="00C2506E">
        <w:t>The Copenhagen Burnout Inventory</w:t>
      </w:r>
    </w:p>
    <w:p w14:paraId="7724AD93" w14:textId="36F13209" w:rsidR="00C2506E" w:rsidRPr="00C2506E" w:rsidRDefault="00C2506E" w:rsidP="008E1EB7">
      <w:pPr>
        <w:pStyle w:val="NZVJParagraph"/>
      </w:pPr>
      <w:r w:rsidRPr="00C2506E">
        <w:rPr>
          <w:iCs/>
        </w:rPr>
        <w:t xml:space="preserve">The </w:t>
      </w:r>
      <w:r w:rsidR="00680712" w:rsidRPr="00C2506E">
        <w:t xml:space="preserve">Copenhagen Burnout Inventory </w:t>
      </w:r>
      <w:r w:rsidR="00680712">
        <w:t>(</w:t>
      </w:r>
      <w:r w:rsidRPr="00C2506E">
        <w:rPr>
          <w:iCs/>
        </w:rPr>
        <w:t xml:space="preserve">Kristensen </w:t>
      </w:r>
      <w:r w:rsidRPr="00DE0C81">
        <w:rPr>
          <w:i/>
        </w:rPr>
        <w:t>et al.</w:t>
      </w:r>
      <w:r w:rsidRPr="00C2506E">
        <w:rPr>
          <w:iCs/>
        </w:rPr>
        <w:t xml:space="preserve"> 2005)</w:t>
      </w:r>
      <w:r w:rsidRPr="00C2506E">
        <w:t xml:space="preserve"> is a 19-item scale addressing personal, work, and client-related burnout, with higher CBI scores indicating greater current burnout. Psychometric properties of the CBI include high internal consistency (</w:t>
      </w:r>
      <w:r w:rsidRPr="00C2506E">
        <w:sym w:font="Symbol" w:char="F061"/>
      </w:r>
      <w:r w:rsidRPr="00C2506E">
        <w:t>=0.85</w:t>
      </w:r>
      <w:r w:rsidR="00DE0C81" w:rsidRPr="00C2506E">
        <w:t>–</w:t>
      </w:r>
      <w:r w:rsidRPr="00C2506E">
        <w:t>0.87) and construct validity including negative correlations with measures of mental health and vitality (r=0.39</w:t>
      </w:r>
      <w:r w:rsidR="00DE0C81" w:rsidRPr="00C2506E">
        <w:t>–</w:t>
      </w:r>
      <w:r w:rsidRPr="00C2506E">
        <w:t xml:space="preserve">0.75). Given the focus of the current study, personal burnout was omitted; work- and client-related burnout subscales were averaged for a single variable. </w:t>
      </w:r>
    </w:p>
    <w:p w14:paraId="51AD4DA6" w14:textId="55955B77" w:rsidR="00500BB6" w:rsidRDefault="00C2506E" w:rsidP="008E1EB7">
      <w:pPr>
        <w:pStyle w:val="NZVJParagraph"/>
      </w:pPr>
      <w:bookmarkStart w:id="9" w:name="_Hlk64135677"/>
      <w:r w:rsidRPr="00C2506E">
        <w:t xml:space="preserve">Participants also provided additional data through self-reported demographic information, specifically gender (multiple choice), age (continuously numbered slide bar), race or ethnicity (multiple choice), nature of employment (multiple choice), and percent of job activities involving client interaction (continuously numbered slide bar). Due to the COVID-19 pandemic and hospital-wide shift to </w:t>
      </w:r>
      <w:r w:rsidR="00DE0C81">
        <w:t>cu</w:t>
      </w:r>
      <w:r w:rsidRPr="00C2506E">
        <w:t>rb</w:t>
      </w:r>
      <w:r w:rsidR="00BF6109">
        <w:t>-</w:t>
      </w:r>
      <w:r w:rsidRPr="00C2506E">
        <w:t xml:space="preserve">side service </w:t>
      </w:r>
      <w:bookmarkStart w:id="10" w:name="_Hlk63590116"/>
      <w:r w:rsidRPr="00C2506E">
        <w:t>(i.e., the animal is brought into the hospital while the owner waits in the car and speaks to staff primarily by phone)</w:t>
      </w:r>
      <w:bookmarkEnd w:id="10"/>
      <w:r w:rsidRPr="00C2506E">
        <w:t xml:space="preserve"> during the study period, percent of job activities involving client interaction was asked at both timepoints. </w:t>
      </w:r>
    </w:p>
    <w:p w14:paraId="5523D5F7" w14:textId="7EA9C311" w:rsidR="00C2506E" w:rsidRPr="00C2506E" w:rsidRDefault="00C2506E" w:rsidP="008E1EB7">
      <w:pPr>
        <w:pStyle w:val="NZVJParagraph"/>
        <w:rPr>
          <w:rFonts w:cstheme="minorBidi"/>
        </w:rPr>
      </w:pPr>
      <w:r w:rsidRPr="00C2506E">
        <w:t xml:space="preserve">At </w:t>
      </w:r>
      <w:r w:rsidR="00373D1A">
        <w:t xml:space="preserve">the </w:t>
      </w:r>
      <w:r w:rsidR="00DE0C81">
        <w:t>p</w:t>
      </w:r>
      <w:r w:rsidRPr="00C2506E">
        <w:t>ost-programme</w:t>
      </w:r>
      <w:r w:rsidR="00373D1A">
        <w:t xml:space="preserve"> measurement</w:t>
      </w:r>
      <w:r w:rsidRPr="00C2506E">
        <w:t>, those who participated in the programme were also asked to report appropriateness and usefulness of the material presented (scale of 1</w:t>
      </w:r>
      <w:r w:rsidR="00DE0C81" w:rsidRPr="00C2506E">
        <w:t>–</w:t>
      </w:r>
      <w:r w:rsidRPr="00C2506E">
        <w:t xml:space="preserve">5 </w:t>
      </w:r>
      <w:r w:rsidR="00DE0C81">
        <w:t xml:space="preserve">where </w:t>
      </w:r>
      <w:r w:rsidRPr="00C2506E">
        <w:t>1=</w:t>
      </w:r>
      <w:r w:rsidR="00DE0C81">
        <w:t>p</w:t>
      </w:r>
      <w:r w:rsidRPr="00C2506E">
        <w:t>oor</w:t>
      </w:r>
      <w:r w:rsidR="00DE0C81">
        <w:t xml:space="preserve"> and</w:t>
      </w:r>
      <w:r w:rsidRPr="00C2506E">
        <w:t xml:space="preserve"> 5=</w:t>
      </w:r>
      <w:r w:rsidR="00DE0C81">
        <w:t>e</w:t>
      </w:r>
      <w:r w:rsidRPr="00C2506E">
        <w:t xml:space="preserve">xcellent), as well as how frequently during the preceding </w:t>
      </w:r>
      <w:r w:rsidR="00DE0C81">
        <w:t>2</w:t>
      </w:r>
      <w:r w:rsidRPr="00C2506E">
        <w:t xml:space="preserve"> weeks they used ACT techniques taught in the programme. </w:t>
      </w:r>
    </w:p>
    <w:bookmarkEnd w:id="9"/>
    <w:p w14:paraId="50F1E40C" w14:textId="20B93623" w:rsidR="00C2506E" w:rsidRPr="00C2506E" w:rsidRDefault="00C2506E" w:rsidP="00341246">
      <w:pPr>
        <w:pStyle w:val="NZVJHeading2"/>
      </w:pPr>
      <w:r w:rsidRPr="00C2506E">
        <w:t xml:space="preserve">Statistical </w:t>
      </w:r>
      <w:r w:rsidR="00DE0C81">
        <w:t>a</w:t>
      </w:r>
      <w:r w:rsidRPr="00C2506E">
        <w:t>nalysis</w:t>
      </w:r>
    </w:p>
    <w:p w14:paraId="6AC67327" w14:textId="7D0010DF" w:rsidR="00C2506E" w:rsidRPr="00C2506E" w:rsidRDefault="00C2506E" w:rsidP="008E1EB7">
      <w:pPr>
        <w:pStyle w:val="NZVJParagraph"/>
        <w:rPr>
          <w:rFonts w:ascii="Times New Roman" w:hAnsi="Times New Roman"/>
          <w:bCs/>
          <w:sz w:val="24"/>
          <w:szCs w:val="24"/>
        </w:rPr>
      </w:pPr>
      <w:r w:rsidRPr="00C2506E">
        <w:t>Demographic information and primary variables were characterised using descriptive statistics (</w:t>
      </w:r>
      <w:r w:rsidR="004200E9">
        <w:t>percentage</w:t>
      </w:r>
      <w:r w:rsidRPr="00C2506E">
        <w:t xml:space="preserve"> for categorical data, median </w:t>
      </w:r>
      <w:r w:rsidR="00DE0C81">
        <w:t>(min, max)</w:t>
      </w:r>
      <w:r w:rsidRPr="00C2506E">
        <w:t xml:space="preserve"> for continuous data)</w:t>
      </w:r>
      <w:r w:rsidRPr="00C2506E">
        <w:rPr>
          <w:bCs/>
          <w:iCs/>
          <w:lang w:eastAsia="ja-JP"/>
        </w:rPr>
        <w:t xml:space="preserve">. Due to small sample sizes in each cell, non-parametric tests and individual group comparisons were utilised. </w:t>
      </w:r>
      <w:r w:rsidRPr="00C2506E">
        <w:t xml:space="preserve">The paired samples Wilcoxon Signed Rank test </w:t>
      </w:r>
      <w:r w:rsidRPr="00C2506E">
        <w:rPr>
          <w:bCs/>
          <w:iCs/>
          <w:lang w:eastAsia="ja-JP"/>
        </w:rPr>
        <w:t>was used to test if</w:t>
      </w:r>
      <w:r w:rsidRPr="00C2506E">
        <w:t xml:space="preserve"> outcome variables (BTI</w:t>
      </w:r>
      <w:r w:rsidR="00C03337">
        <w:t xml:space="preserve"> reaction, BTI frequency</w:t>
      </w:r>
      <w:r w:rsidRPr="00C2506E">
        <w:t xml:space="preserve">, PSS, CBI) decreased from </w:t>
      </w:r>
      <w:r w:rsidR="00DE0C81">
        <w:t>p</w:t>
      </w:r>
      <w:r w:rsidRPr="00C2506E">
        <w:t>re-</w:t>
      </w:r>
      <w:r w:rsidR="000C5D57">
        <w:t>programme</w:t>
      </w:r>
      <w:r w:rsidRPr="00C2506E">
        <w:t xml:space="preserve"> to </w:t>
      </w:r>
      <w:r w:rsidR="00DE0C81">
        <w:t>p</w:t>
      </w:r>
      <w:r w:rsidRPr="00C2506E">
        <w:t>ost-</w:t>
      </w:r>
      <w:r w:rsidR="000C5D57">
        <w:t>programme</w:t>
      </w:r>
      <w:r w:rsidR="000C5D57" w:rsidRPr="00C2506E">
        <w:t xml:space="preserve"> </w:t>
      </w:r>
      <w:r w:rsidRPr="00C2506E">
        <w:t xml:space="preserve">in each group. Due to the shift to </w:t>
      </w:r>
      <w:r w:rsidR="00DE0C81">
        <w:t>cu</w:t>
      </w:r>
      <w:r w:rsidRPr="00C2506E">
        <w:t>rb</w:t>
      </w:r>
      <w:r w:rsidR="00C03337">
        <w:t>-</w:t>
      </w:r>
      <w:r w:rsidRPr="00C2506E">
        <w:t xml:space="preserve">side service during the study period, both BTI </w:t>
      </w:r>
      <w:r w:rsidR="000C5D57">
        <w:t>f</w:t>
      </w:r>
      <w:r w:rsidRPr="00C2506E">
        <w:t xml:space="preserve">requency and </w:t>
      </w:r>
      <w:r w:rsidR="000C5D57">
        <w:t>r</w:t>
      </w:r>
      <w:r w:rsidRPr="00C2506E">
        <w:t>eaction were examined. Given that no prior work has examined effects of this educational programme, interpretation of results relied on two-tailed alpha (</w:t>
      </w:r>
      <w:r w:rsidRPr="00DE0C81">
        <w:t>P</w:t>
      </w:r>
      <w:r w:rsidRPr="00C2506E">
        <w:t>&lt;0.05), as well as percent change, effect size, and directionality. All analyses were conducted using SPSS 26.0 (Armonk, NY</w:t>
      </w:r>
      <w:r w:rsidR="00DE0C81">
        <w:t>,</w:t>
      </w:r>
      <w:r w:rsidRPr="00C2506E">
        <w:t xml:space="preserve"> USA).</w:t>
      </w:r>
    </w:p>
    <w:p w14:paraId="5A3C945B" w14:textId="77777777" w:rsidR="00C2506E" w:rsidRPr="00C2506E" w:rsidRDefault="00C2506E" w:rsidP="00341246">
      <w:pPr>
        <w:pStyle w:val="NZVJHeading1"/>
      </w:pPr>
      <w:r w:rsidRPr="00C2506E">
        <w:t>Results</w:t>
      </w:r>
    </w:p>
    <w:p w14:paraId="61144431" w14:textId="77777777" w:rsidR="00C2506E" w:rsidRPr="00C2506E" w:rsidRDefault="00C2506E" w:rsidP="00341246">
      <w:pPr>
        <w:pStyle w:val="NZVJHeading2"/>
      </w:pPr>
      <w:r w:rsidRPr="00C2506E">
        <w:lastRenderedPageBreak/>
        <w:t>Participants</w:t>
      </w:r>
    </w:p>
    <w:p w14:paraId="605982A6" w14:textId="1DFE8B46" w:rsidR="00C2506E" w:rsidRPr="00341246" w:rsidRDefault="00C2506E" w:rsidP="008E1EB7">
      <w:pPr>
        <w:pStyle w:val="NZVJParagraph"/>
        <w:rPr>
          <w:rFonts w:ascii="Times New Roman" w:hAnsi="Times New Roman" w:cstheme="minorBidi"/>
          <w:sz w:val="24"/>
          <w:szCs w:val="24"/>
        </w:rPr>
      </w:pPr>
      <w:r w:rsidRPr="00C2506E">
        <w:t xml:space="preserve">Measures were completed at both timepoints </w:t>
      </w:r>
      <w:r w:rsidR="000C5D57">
        <w:t xml:space="preserve">(pre- and post-programme) </w:t>
      </w:r>
      <w:r w:rsidRPr="00C2506E">
        <w:t xml:space="preserve">by 38 individuals; </w:t>
      </w:r>
      <w:r w:rsidR="00DE0C81">
        <w:t>three</w:t>
      </w:r>
      <w:r w:rsidRPr="00C2506E">
        <w:t xml:space="preserve"> were removed from analyses due to reporting </w:t>
      </w:r>
      <w:r w:rsidR="00DE0C81">
        <w:t>&lt;</w:t>
      </w:r>
      <w:r w:rsidRPr="00C2506E">
        <w:t>10% of job activities involving client interaction</w:t>
      </w:r>
      <w:bookmarkStart w:id="11" w:name="_Hlk63614237"/>
      <w:r w:rsidRPr="00C2506E">
        <w:t xml:space="preserve">, and </w:t>
      </w:r>
      <w:r w:rsidR="00DE0C81">
        <w:t>one</w:t>
      </w:r>
      <w:r w:rsidRPr="00C2506E">
        <w:t xml:space="preserve"> was removed due to being away from work during the 2-week period prior to </w:t>
      </w:r>
      <w:r w:rsidR="00DE0C81">
        <w:t>p</w:t>
      </w:r>
      <w:r w:rsidRPr="00C2506E">
        <w:t>ost-</w:t>
      </w:r>
      <w:r w:rsidR="00DE0C81">
        <w:t>t</w:t>
      </w:r>
      <w:r w:rsidRPr="00C2506E">
        <w:t>es</w:t>
      </w:r>
      <w:bookmarkEnd w:id="11"/>
      <w:r w:rsidRPr="00C2506E">
        <w:t>t. The final analytic sample was 34 (</w:t>
      </w:r>
      <w:r w:rsidR="00DE0C81">
        <w:t>i</w:t>
      </w:r>
      <w:r w:rsidRPr="00C2506E">
        <w:t xml:space="preserve">ntervention n=16; </w:t>
      </w:r>
      <w:r w:rsidR="00DE0C81">
        <w:t>c</w:t>
      </w:r>
      <w:r w:rsidRPr="00C2506E">
        <w:t xml:space="preserve">ontrol n=18). </w:t>
      </w:r>
      <w:r w:rsidRPr="00C2506E">
        <w:rPr>
          <w:rFonts w:cs="Times New Roman"/>
          <w:shd w:val="clear" w:color="auto" w:fill="FFFFFF"/>
        </w:rPr>
        <w:t xml:space="preserve">Both groups were comprised primarily of females identifying as white, </w:t>
      </w:r>
      <w:r w:rsidR="003906F4">
        <w:rPr>
          <w:rFonts w:cs="Times New Roman"/>
          <w:shd w:val="clear" w:color="auto" w:fill="FFFFFF"/>
        </w:rPr>
        <w:t>with a mean age of</w:t>
      </w:r>
      <w:r w:rsidR="003906F4" w:rsidRPr="003906F4">
        <w:rPr>
          <w:rFonts w:cs="Times New Roman"/>
          <w:shd w:val="clear" w:color="auto" w:fill="FFFFFF"/>
        </w:rPr>
        <w:t xml:space="preserve"> </w:t>
      </w:r>
      <w:r w:rsidRPr="003906F4">
        <w:rPr>
          <w:rFonts w:cs="Times New Roman"/>
          <w:shd w:val="clear" w:color="auto" w:fill="FFFFFF"/>
        </w:rPr>
        <w:t>approximately 35</w:t>
      </w:r>
      <w:r w:rsidRPr="00C2506E">
        <w:rPr>
          <w:rFonts w:cs="Times New Roman"/>
          <w:shd w:val="clear" w:color="auto" w:fill="FFFFFF"/>
        </w:rPr>
        <w:t xml:space="preserve"> years</w:t>
      </w:r>
      <w:r w:rsidR="004C0854">
        <w:rPr>
          <w:rFonts w:cs="Times New Roman"/>
          <w:shd w:val="clear" w:color="auto" w:fill="FFFFFF"/>
        </w:rPr>
        <w:t xml:space="preserve"> </w:t>
      </w:r>
      <w:r w:rsidR="004C0854" w:rsidRPr="00C2506E">
        <w:t>(Table 1)</w:t>
      </w:r>
      <w:r w:rsidRPr="00C2506E">
        <w:rPr>
          <w:rFonts w:cs="Times New Roman"/>
          <w:shd w:val="clear" w:color="auto" w:fill="FFFFFF"/>
        </w:rPr>
        <w:t>. Positions of employment included v</w:t>
      </w:r>
      <w:r w:rsidRPr="00C2506E">
        <w:rPr>
          <w:rFonts w:cs="Times New Roman"/>
        </w:rPr>
        <w:t xml:space="preserve">eterinarians, technicians, assistants, customer service representatives, and management. </w:t>
      </w:r>
      <w:r w:rsidRPr="00C2506E">
        <w:t xml:space="preserve">Aligning with the shift to </w:t>
      </w:r>
      <w:r w:rsidR="00DE0C81">
        <w:t>curb</w:t>
      </w:r>
      <w:r w:rsidR="00924A04">
        <w:t>-</w:t>
      </w:r>
      <w:r w:rsidRPr="00C2506E">
        <w:t xml:space="preserve">side service during this period, </w:t>
      </w:r>
      <w:r w:rsidR="004537F7">
        <w:t xml:space="preserve">the </w:t>
      </w:r>
      <w:r w:rsidR="00A96D03">
        <w:t xml:space="preserve">median </w:t>
      </w:r>
      <w:r w:rsidRPr="00C2506E">
        <w:t>percent</w:t>
      </w:r>
      <w:r w:rsidR="004537F7">
        <w:t>age</w:t>
      </w:r>
      <w:r w:rsidRPr="00C2506E">
        <w:t xml:space="preserve"> of tim</w:t>
      </w:r>
      <w:r w:rsidRPr="00C2506E">
        <w:rPr>
          <w:rFonts w:cs="Times New Roman"/>
          <w:shd w:val="clear" w:color="auto" w:fill="FFFFFF"/>
        </w:rPr>
        <w:t xml:space="preserve">e </w:t>
      </w:r>
      <w:r w:rsidR="004537F7">
        <w:rPr>
          <w:rFonts w:cs="Times New Roman"/>
          <w:shd w:val="clear" w:color="auto" w:fill="FFFFFF"/>
        </w:rPr>
        <w:t xml:space="preserve">participants reported </w:t>
      </w:r>
      <w:r w:rsidRPr="00C2506E">
        <w:rPr>
          <w:rFonts w:cs="Times New Roman"/>
          <w:shd w:val="clear" w:color="auto" w:fill="FFFFFF"/>
        </w:rPr>
        <w:t>spen</w:t>
      </w:r>
      <w:r w:rsidR="004537F7">
        <w:rPr>
          <w:rFonts w:cs="Times New Roman"/>
          <w:shd w:val="clear" w:color="auto" w:fill="FFFFFF"/>
        </w:rPr>
        <w:t>ding</w:t>
      </w:r>
      <w:r w:rsidRPr="00C2506E">
        <w:rPr>
          <w:rFonts w:cs="Times New Roman"/>
          <w:shd w:val="clear" w:color="auto" w:fill="FFFFFF"/>
        </w:rPr>
        <w:t xml:space="preserve"> in client interactions was lower </w:t>
      </w:r>
      <w:r w:rsidR="002A7D0F">
        <w:rPr>
          <w:rFonts w:cs="Times New Roman"/>
          <w:shd w:val="clear" w:color="auto" w:fill="FFFFFF"/>
        </w:rPr>
        <w:t>in</w:t>
      </w:r>
      <w:r w:rsidR="002A7D0F" w:rsidRPr="00C2506E">
        <w:rPr>
          <w:rFonts w:cs="Times New Roman"/>
          <w:shd w:val="clear" w:color="auto" w:fill="FFFFFF"/>
        </w:rPr>
        <w:t xml:space="preserve"> </w:t>
      </w:r>
      <w:r w:rsidR="00EA5BA5">
        <w:rPr>
          <w:rFonts w:cs="Times New Roman"/>
          <w:shd w:val="clear" w:color="auto" w:fill="FFFFFF"/>
        </w:rPr>
        <w:t xml:space="preserve">the </w:t>
      </w:r>
      <w:r w:rsidR="00DE0C81">
        <w:rPr>
          <w:rFonts w:cs="Times New Roman"/>
          <w:shd w:val="clear" w:color="auto" w:fill="FFFFFF"/>
        </w:rPr>
        <w:t>p</w:t>
      </w:r>
      <w:r w:rsidRPr="00C2506E">
        <w:rPr>
          <w:rFonts w:cs="Times New Roman"/>
          <w:shd w:val="clear" w:color="auto" w:fill="FFFFFF"/>
        </w:rPr>
        <w:t>ost-</w:t>
      </w:r>
      <w:r w:rsidR="00EA5BA5">
        <w:rPr>
          <w:rFonts w:cs="Times New Roman"/>
          <w:shd w:val="clear" w:color="auto" w:fill="FFFFFF"/>
        </w:rPr>
        <w:t>programme</w:t>
      </w:r>
      <w:r w:rsidRPr="00C2506E">
        <w:rPr>
          <w:rFonts w:cs="Times New Roman"/>
          <w:shd w:val="clear" w:color="auto" w:fill="FFFFFF"/>
        </w:rPr>
        <w:t xml:space="preserve"> </w:t>
      </w:r>
      <w:r w:rsidR="002A7D0F" w:rsidRPr="00F779BD">
        <w:rPr>
          <w:rFonts w:cs="Times New Roman"/>
          <w:shd w:val="clear" w:color="auto" w:fill="FFFFFF"/>
        </w:rPr>
        <w:t xml:space="preserve">data </w:t>
      </w:r>
      <w:r w:rsidRPr="00F779BD">
        <w:rPr>
          <w:rFonts w:cs="Times New Roman"/>
          <w:shd w:val="clear" w:color="auto" w:fill="FFFFFF"/>
        </w:rPr>
        <w:t xml:space="preserve">than </w:t>
      </w:r>
      <w:r w:rsidR="00DE0C81" w:rsidRPr="00F779BD">
        <w:rPr>
          <w:rFonts w:cs="Times New Roman"/>
          <w:shd w:val="clear" w:color="auto" w:fill="FFFFFF"/>
        </w:rPr>
        <w:t>p</w:t>
      </w:r>
      <w:r w:rsidRPr="00F779BD">
        <w:rPr>
          <w:rFonts w:cs="Times New Roman"/>
          <w:shd w:val="clear" w:color="auto" w:fill="FFFFFF"/>
        </w:rPr>
        <w:t>re-</w:t>
      </w:r>
      <w:r w:rsidR="002A7D0F" w:rsidRPr="00F779BD">
        <w:rPr>
          <w:rFonts w:cs="Times New Roman"/>
          <w:shd w:val="clear" w:color="auto" w:fill="FFFFFF"/>
        </w:rPr>
        <w:t>programme data</w:t>
      </w:r>
      <w:r w:rsidRPr="00F779BD">
        <w:rPr>
          <w:rFonts w:cs="Times New Roman"/>
          <w:shd w:val="clear" w:color="auto" w:fill="FFFFFF"/>
        </w:rPr>
        <w:t xml:space="preserve"> </w:t>
      </w:r>
      <w:r w:rsidR="00B26302" w:rsidRPr="00F779BD">
        <w:rPr>
          <w:rFonts w:cs="Times New Roman"/>
          <w:shd w:val="clear" w:color="auto" w:fill="FFFFFF"/>
        </w:rPr>
        <w:t xml:space="preserve">for the control </w:t>
      </w:r>
      <w:r w:rsidRPr="00F779BD">
        <w:rPr>
          <w:rFonts w:cs="Times New Roman"/>
          <w:shd w:val="clear" w:color="auto" w:fill="FFFFFF"/>
        </w:rPr>
        <w:t xml:space="preserve">group </w:t>
      </w:r>
      <w:r w:rsidR="00EC17A8" w:rsidRPr="00F779BD">
        <w:rPr>
          <w:rFonts w:cs="Times New Roman"/>
          <w:shd w:val="clear" w:color="auto" w:fill="FFFFFF"/>
        </w:rPr>
        <w:t>(</w:t>
      </w:r>
      <w:r w:rsidR="00F779BD" w:rsidRPr="00F779BD">
        <w:rPr>
          <w:rFonts w:cs="Times New Roman"/>
          <w:shd w:val="clear" w:color="auto" w:fill="FFFFFF"/>
        </w:rPr>
        <w:t>56</w:t>
      </w:r>
      <w:r w:rsidR="00D42598" w:rsidRPr="00F779BD">
        <w:rPr>
          <w:rFonts w:cs="Times New Roman"/>
          <w:shd w:val="clear" w:color="auto" w:fill="FFFFFF"/>
        </w:rPr>
        <w:t xml:space="preserve"> (min 20, max 100</w:t>
      </w:r>
      <w:r w:rsidR="001C093F" w:rsidRPr="00F779BD">
        <w:rPr>
          <w:rFonts w:cs="Times New Roman"/>
          <w:shd w:val="clear" w:color="auto" w:fill="FFFFFF"/>
        </w:rPr>
        <w:t>)</w:t>
      </w:r>
      <w:r w:rsidR="00EC17A8" w:rsidRPr="00F779BD">
        <w:rPr>
          <w:rFonts w:cs="Times New Roman"/>
          <w:shd w:val="clear" w:color="auto" w:fill="FFFFFF"/>
        </w:rPr>
        <w:t xml:space="preserve">% </w:t>
      </w:r>
      <w:r w:rsidR="00EC17A8" w:rsidRPr="00F779BD">
        <w:rPr>
          <w:rFonts w:cs="Times New Roman"/>
          <w:i/>
          <w:iCs/>
          <w:shd w:val="clear" w:color="auto" w:fill="FFFFFF"/>
        </w:rPr>
        <w:t>vs</w:t>
      </w:r>
      <w:r w:rsidR="009C2C39" w:rsidRPr="00F779BD">
        <w:rPr>
          <w:rFonts w:cs="Times New Roman"/>
          <w:i/>
          <w:iCs/>
          <w:shd w:val="clear" w:color="auto" w:fill="FFFFFF"/>
        </w:rPr>
        <w:t>.</w:t>
      </w:r>
      <w:r w:rsidR="00EC17A8" w:rsidRPr="00F779BD">
        <w:rPr>
          <w:rFonts w:cs="Times New Roman"/>
          <w:shd w:val="clear" w:color="auto" w:fill="FFFFFF"/>
        </w:rPr>
        <w:t xml:space="preserve"> </w:t>
      </w:r>
      <w:r w:rsidR="00D42598" w:rsidRPr="00F779BD">
        <w:rPr>
          <w:rFonts w:cs="Times New Roman"/>
          <w:shd w:val="clear" w:color="auto" w:fill="FFFFFF"/>
        </w:rPr>
        <w:t>74 (min 31, max 100</w:t>
      </w:r>
      <w:r w:rsidR="003B49D9" w:rsidRPr="00F779BD">
        <w:rPr>
          <w:rFonts w:cs="Times New Roman"/>
          <w:shd w:val="clear" w:color="auto" w:fill="FFFFFF"/>
        </w:rPr>
        <w:t>)</w:t>
      </w:r>
      <w:r w:rsidR="00EC17A8" w:rsidRPr="00F779BD">
        <w:rPr>
          <w:rFonts w:cs="Times New Roman"/>
          <w:shd w:val="clear" w:color="auto" w:fill="FFFFFF"/>
        </w:rPr>
        <w:t>%; p=0.012)</w:t>
      </w:r>
      <w:r w:rsidR="00F779BD" w:rsidRPr="00F779BD">
        <w:rPr>
          <w:rFonts w:cs="Times New Roman"/>
          <w:shd w:val="clear" w:color="auto" w:fill="FFFFFF"/>
        </w:rPr>
        <w:t xml:space="preserve">. For the </w:t>
      </w:r>
      <w:r w:rsidR="00EC17A8" w:rsidRPr="00F779BD">
        <w:rPr>
          <w:rFonts w:cs="Times New Roman"/>
          <w:shd w:val="clear" w:color="auto" w:fill="FFFFFF"/>
        </w:rPr>
        <w:t>intervention group</w:t>
      </w:r>
      <w:r w:rsidR="00F779BD" w:rsidRPr="00F779BD">
        <w:rPr>
          <w:rFonts w:cs="Times New Roman"/>
          <w:shd w:val="clear" w:color="auto" w:fill="FFFFFF"/>
        </w:rPr>
        <w:t>, there was a trend towards a lower percentage post-</w:t>
      </w:r>
      <w:proofErr w:type="gramStart"/>
      <w:r w:rsidR="00F779BD" w:rsidRPr="00F779BD">
        <w:rPr>
          <w:rFonts w:cs="Times New Roman"/>
          <w:shd w:val="clear" w:color="auto" w:fill="FFFFFF"/>
        </w:rPr>
        <w:t xml:space="preserve">programme </w:t>
      </w:r>
      <w:r w:rsidR="00EC17A8" w:rsidRPr="00F779BD">
        <w:rPr>
          <w:rFonts w:cs="Times New Roman"/>
          <w:shd w:val="clear" w:color="auto" w:fill="FFFFFF"/>
        </w:rPr>
        <w:t xml:space="preserve"> (</w:t>
      </w:r>
      <w:proofErr w:type="gramEnd"/>
      <w:r w:rsidR="00651824" w:rsidRPr="00F779BD">
        <w:rPr>
          <w:rFonts w:cs="Times New Roman"/>
          <w:shd w:val="clear" w:color="auto" w:fill="FFFFFF"/>
        </w:rPr>
        <w:t>7</w:t>
      </w:r>
      <w:r w:rsidR="00EC17A8" w:rsidRPr="00F779BD">
        <w:rPr>
          <w:rFonts w:cs="Times New Roman"/>
          <w:shd w:val="clear" w:color="auto" w:fill="FFFFFF"/>
        </w:rPr>
        <w:t>0</w:t>
      </w:r>
      <w:r w:rsidR="00651824" w:rsidRPr="00F779BD">
        <w:rPr>
          <w:rFonts w:cs="Times New Roman"/>
          <w:shd w:val="clear" w:color="auto" w:fill="FFFFFF"/>
        </w:rPr>
        <w:t xml:space="preserve"> (min 21, max 100)</w:t>
      </w:r>
      <w:r w:rsidR="00EC17A8" w:rsidRPr="00F779BD">
        <w:rPr>
          <w:rFonts w:cs="Times New Roman"/>
          <w:shd w:val="clear" w:color="auto" w:fill="FFFFFF"/>
        </w:rPr>
        <w:t xml:space="preserve">% </w:t>
      </w:r>
      <w:r w:rsidR="00EC17A8" w:rsidRPr="00F779BD">
        <w:rPr>
          <w:rFonts w:cs="Times New Roman"/>
          <w:i/>
          <w:iCs/>
          <w:shd w:val="clear" w:color="auto" w:fill="FFFFFF"/>
        </w:rPr>
        <w:t>vs</w:t>
      </w:r>
      <w:r w:rsidR="00651824" w:rsidRPr="00F779BD">
        <w:rPr>
          <w:rFonts w:cs="Times New Roman"/>
          <w:i/>
          <w:iCs/>
          <w:shd w:val="clear" w:color="auto" w:fill="FFFFFF"/>
        </w:rPr>
        <w:t>.</w:t>
      </w:r>
      <w:r w:rsidR="00EC17A8" w:rsidRPr="00F779BD">
        <w:rPr>
          <w:rFonts w:cs="Times New Roman"/>
          <w:shd w:val="clear" w:color="auto" w:fill="FFFFFF"/>
        </w:rPr>
        <w:t xml:space="preserve"> </w:t>
      </w:r>
      <w:r w:rsidR="00651824" w:rsidRPr="00F779BD">
        <w:rPr>
          <w:rFonts w:cs="Times New Roman"/>
          <w:shd w:val="clear" w:color="auto" w:fill="FFFFFF"/>
        </w:rPr>
        <w:t>8</w:t>
      </w:r>
      <w:r w:rsidR="00EC17A8" w:rsidRPr="00F779BD">
        <w:rPr>
          <w:rFonts w:cs="Times New Roman"/>
          <w:shd w:val="clear" w:color="auto" w:fill="FFFFFF"/>
        </w:rPr>
        <w:t>0</w:t>
      </w:r>
      <w:r w:rsidR="00651824" w:rsidRPr="00F779BD">
        <w:rPr>
          <w:rFonts w:cs="Times New Roman"/>
          <w:shd w:val="clear" w:color="auto" w:fill="FFFFFF"/>
        </w:rPr>
        <w:t xml:space="preserve"> (</w:t>
      </w:r>
      <w:r w:rsidR="00E82538" w:rsidRPr="00F779BD">
        <w:rPr>
          <w:rFonts w:cs="Times New Roman"/>
          <w:shd w:val="clear" w:color="auto" w:fill="FFFFFF"/>
        </w:rPr>
        <w:t>min 27, max 100)</w:t>
      </w:r>
      <w:r w:rsidR="00EC17A8" w:rsidRPr="00F779BD">
        <w:rPr>
          <w:rFonts w:cs="Times New Roman"/>
          <w:shd w:val="clear" w:color="auto" w:fill="FFFFFF"/>
        </w:rPr>
        <w:t>%; p=0.091)</w:t>
      </w:r>
      <w:r w:rsidRPr="00F779BD">
        <w:rPr>
          <w:rFonts w:cs="Times New Roman"/>
          <w:shd w:val="clear" w:color="auto" w:fill="FFFFFF"/>
        </w:rPr>
        <w:t xml:space="preserve">.  </w:t>
      </w:r>
      <w:r w:rsidRPr="00F779BD">
        <w:t>No variables differed significantly between the two groups.</w:t>
      </w:r>
      <w:r w:rsidRPr="00C2506E">
        <w:t xml:space="preserve"> </w:t>
      </w:r>
    </w:p>
    <w:p w14:paraId="64F5F903" w14:textId="45413106" w:rsidR="00C2506E" w:rsidRPr="00C2506E" w:rsidRDefault="00C2506E" w:rsidP="00341246">
      <w:pPr>
        <w:pStyle w:val="NZVJHeading2"/>
      </w:pPr>
      <w:r w:rsidRPr="00C2506E">
        <w:t xml:space="preserve">Acceptability of ACT </w:t>
      </w:r>
      <w:r w:rsidR="00DE0C81">
        <w:t>e</w:t>
      </w:r>
      <w:r w:rsidRPr="00C2506E">
        <w:t xml:space="preserve">ducational </w:t>
      </w:r>
      <w:proofErr w:type="spellStart"/>
      <w:r w:rsidR="00DE0C81">
        <w:t>p</w:t>
      </w:r>
      <w:r w:rsidRPr="00C2506E">
        <w:t>rogramme</w:t>
      </w:r>
      <w:proofErr w:type="spellEnd"/>
    </w:p>
    <w:p w14:paraId="10AC71D2" w14:textId="4EC07338" w:rsidR="00C2506E" w:rsidRPr="00341246" w:rsidRDefault="00C2506E" w:rsidP="008E1EB7">
      <w:pPr>
        <w:pStyle w:val="NZVJParagraph"/>
        <w:rPr>
          <w:rFonts w:ascii="Times New Roman" w:hAnsi="Times New Roman" w:cstheme="minorBidi"/>
          <w:sz w:val="24"/>
          <w:szCs w:val="24"/>
        </w:rPr>
      </w:pPr>
      <w:r w:rsidRPr="00C2506E">
        <w:t xml:space="preserve"> At </w:t>
      </w:r>
      <w:r w:rsidR="00DE0C81">
        <w:t>p</w:t>
      </w:r>
      <w:r w:rsidRPr="00C2506E">
        <w:t>ost-</w:t>
      </w:r>
      <w:r w:rsidR="002A7D0F">
        <w:t>programme</w:t>
      </w:r>
      <w:r w:rsidR="009347A2">
        <w:t xml:space="preserve"> session</w:t>
      </w:r>
      <w:r w:rsidRPr="00C2506E">
        <w:t xml:space="preserve">, 100% of the participants randomised to the </w:t>
      </w:r>
      <w:r w:rsidR="00DE0C81">
        <w:t>i</w:t>
      </w:r>
      <w:r w:rsidRPr="00C2506E">
        <w:t>ntervention group reported that the level and content of the material presented was appropriate, and 93.3% indicated the material was useful (i.e., ratings of “Average,” “Above Average,” or “Excellent” for each category</w:t>
      </w:r>
      <w:r w:rsidR="00B12EDA">
        <w:t xml:space="preserve">; </w:t>
      </w:r>
      <w:r w:rsidR="0067252B">
        <w:t>Table 2)</w:t>
      </w:r>
      <w:r w:rsidRPr="00C2506E">
        <w:t xml:space="preserve">. </w:t>
      </w:r>
      <w:bookmarkStart w:id="12" w:name="_Hlk63590589"/>
      <w:r w:rsidR="00B12EDA">
        <w:t>P</w:t>
      </w:r>
      <w:r w:rsidRPr="00C2506E">
        <w:t>articipant</w:t>
      </w:r>
      <w:r w:rsidR="00B12EDA">
        <w:t>s reported</w:t>
      </w:r>
      <w:r w:rsidRPr="00C2506E">
        <w:t xml:space="preserve"> us</w:t>
      </w:r>
      <w:r w:rsidR="00B12EDA">
        <w:t>ing</w:t>
      </w:r>
      <w:r w:rsidRPr="00C2506E">
        <w:t xml:space="preserve"> techniques taught during the programme </w:t>
      </w:r>
      <w:r w:rsidR="00B12EDA">
        <w:t>a median of</w:t>
      </w:r>
      <w:r w:rsidR="00B12EDA" w:rsidRPr="00C2506E">
        <w:t xml:space="preserve"> </w:t>
      </w:r>
      <w:r w:rsidRPr="00C2506E">
        <w:t xml:space="preserve">43 </w:t>
      </w:r>
      <w:r w:rsidR="00D65B71">
        <w:t xml:space="preserve">(min 9, max 68) </w:t>
      </w:r>
      <w:r w:rsidRPr="00C2506E">
        <w:t>times during the preceding 2 weeks.</w:t>
      </w:r>
      <w:bookmarkEnd w:id="12"/>
    </w:p>
    <w:p w14:paraId="42974581" w14:textId="6D2D04E5" w:rsidR="00C2506E" w:rsidRPr="00C2506E" w:rsidRDefault="00025EB2" w:rsidP="00341246">
      <w:pPr>
        <w:pStyle w:val="NZVJHeading2"/>
      </w:pPr>
      <w:r>
        <w:t xml:space="preserve">Effect of </w:t>
      </w:r>
      <w:proofErr w:type="spellStart"/>
      <w:r>
        <w:t>programme</w:t>
      </w:r>
      <w:proofErr w:type="spellEnd"/>
      <w:r>
        <w:t xml:space="preserve"> on</w:t>
      </w:r>
      <w:r w:rsidR="00C2506E" w:rsidRPr="00C2506E">
        <w:t xml:space="preserve"> </w:t>
      </w:r>
      <w:r w:rsidR="00DE0C81">
        <w:t>b</w:t>
      </w:r>
      <w:r w:rsidR="00C2506E" w:rsidRPr="00C2506E">
        <w:t xml:space="preserve">urden </w:t>
      </w:r>
      <w:r w:rsidR="00DE0C81">
        <w:t>t</w:t>
      </w:r>
      <w:r w:rsidR="00C2506E" w:rsidRPr="00C2506E">
        <w:t xml:space="preserve">ransfer, </w:t>
      </w:r>
      <w:r w:rsidR="00DE0C81">
        <w:t>s</w:t>
      </w:r>
      <w:r w:rsidR="00C2506E" w:rsidRPr="00C2506E">
        <w:t xml:space="preserve">tress, and </w:t>
      </w:r>
      <w:r w:rsidR="00DE0C81">
        <w:t>b</w:t>
      </w:r>
      <w:r w:rsidR="00C2506E" w:rsidRPr="00C2506E">
        <w:t xml:space="preserve">urnout </w:t>
      </w:r>
    </w:p>
    <w:p w14:paraId="2C77242E" w14:textId="2CDA077A" w:rsidR="00C2506E" w:rsidRPr="00341246" w:rsidRDefault="00435C63" w:rsidP="008E1EB7">
      <w:pPr>
        <w:pStyle w:val="NZVJParagraph"/>
        <w:rPr>
          <w:rFonts w:ascii="Times New Roman" w:hAnsi="Times New Roman"/>
          <w:sz w:val="24"/>
          <w:szCs w:val="24"/>
          <w:shd w:val="clear" w:color="auto" w:fill="FFFFFF"/>
        </w:rPr>
      </w:pPr>
      <w:r w:rsidRPr="00F779BD">
        <w:t>M</w:t>
      </w:r>
      <w:r w:rsidR="00C2506E" w:rsidRPr="00F779BD">
        <w:rPr>
          <w:shd w:val="clear" w:color="auto" w:fill="FFFFFF"/>
        </w:rPr>
        <w:t>edian BTI</w:t>
      </w:r>
      <w:r w:rsidR="00C2506E" w:rsidRPr="00F779BD">
        <w:t xml:space="preserve"> </w:t>
      </w:r>
      <w:r w:rsidR="009347A2" w:rsidRPr="00F779BD">
        <w:t>f</w:t>
      </w:r>
      <w:r w:rsidR="00C2506E" w:rsidRPr="00F779BD">
        <w:t xml:space="preserve">requency </w:t>
      </w:r>
      <w:r w:rsidRPr="00F779BD">
        <w:rPr>
          <w:shd w:val="clear" w:color="auto" w:fill="FFFFFF"/>
        </w:rPr>
        <w:t xml:space="preserve">scores </w:t>
      </w:r>
      <w:r w:rsidR="00C2506E" w:rsidRPr="00F779BD">
        <w:rPr>
          <w:shd w:val="clear" w:color="auto" w:fill="FFFFFF"/>
        </w:rPr>
        <w:t xml:space="preserve">were lower </w:t>
      </w:r>
      <w:r w:rsidR="00925FF8" w:rsidRPr="00F779BD">
        <w:rPr>
          <w:shd w:val="clear" w:color="auto" w:fill="FFFFFF"/>
        </w:rPr>
        <w:t>when measured post</w:t>
      </w:r>
      <w:r w:rsidR="00C2506E" w:rsidRPr="00F779BD">
        <w:rPr>
          <w:shd w:val="clear" w:color="auto" w:fill="FFFFFF"/>
        </w:rPr>
        <w:t xml:space="preserve">-programme </w:t>
      </w:r>
      <w:r w:rsidR="00D33670" w:rsidRPr="00F779BD">
        <w:rPr>
          <w:shd w:val="clear" w:color="auto" w:fill="FFFFFF"/>
        </w:rPr>
        <w:t xml:space="preserve">compared to pre-programme for both the </w:t>
      </w:r>
      <w:r w:rsidR="00DE0C81" w:rsidRPr="00F779BD">
        <w:rPr>
          <w:shd w:val="clear" w:color="auto" w:fill="FFFFFF"/>
        </w:rPr>
        <w:t>i</w:t>
      </w:r>
      <w:r w:rsidR="00C2506E" w:rsidRPr="00F779BD">
        <w:rPr>
          <w:shd w:val="clear" w:color="auto" w:fill="FFFFFF"/>
        </w:rPr>
        <w:t>ntervention</w:t>
      </w:r>
      <w:r w:rsidR="00D33670" w:rsidRPr="00F779BD">
        <w:rPr>
          <w:shd w:val="clear" w:color="auto" w:fill="FFFFFF"/>
        </w:rPr>
        <w:t xml:space="preserve"> group</w:t>
      </w:r>
      <w:r w:rsidR="00C2506E" w:rsidRPr="00F779BD">
        <w:rPr>
          <w:shd w:val="clear" w:color="auto" w:fill="FFFFFF"/>
        </w:rPr>
        <w:t xml:space="preserve"> </w:t>
      </w:r>
      <w:r w:rsidR="00D33670" w:rsidRPr="00F779BD">
        <w:rPr>
          <w:shd w:val="clear" w:color="auto" w:fill="FFFFFF"/>
        </w:rPr>
        <w:t>(</w:t>
      </w:r>
      <w:r w:rsidR="00F11313" w:rsidRPr="00F779BD">
        <w:rPr>
          <w:shd w:val="clear" w:color="auto" w:fill="FFFFFF"/>
        </w:rPr>
        <w:t xml:space="preserve">64 </w:t>
      </w:r>
      <w:r w:rsidR="00F11313" w:rsidRPr="00F779BD">
        <w:rPr>
          <w:i/>
          <w:iCs/>
          <w:shd w:val="clear" w:color="auto" w:fill="FFFFFF"/>
        </w:rPr>
        <w:t>vs.</w:t>
      </w:r>
      <w:r w:rsidR="00F11313" w:rsidRPr="00F779BD">
        <w:rPr>
          <w:shd w:val="clear" w:color="auto" w:fill="FFFFFF"/>
        </w:rPr>
        <w:t xml:space="preserve"> 68</w:t>
      </w:r>
      <w:r w:rsidR="00F248AD" w:rsidRPr="00F779BD">
        <w:rPr>
          <w:shd w:val="clear" w:color="auto" w:fill="FFFFFF"/>
        </w:rPr>
        <w:t>;</w:t>
      </w:r>
      <w:r w:rsidR="00C2506E" w:rsidRPr="00F779BD">
        <w:rPr>
          <w:shd w:val="clear" w:color="auto" w:fill="FFFFFF"/>
        </w:rPr>
        <w:t xml:space="preserve"> p=0.041</w:t>
      </w:r>
      <w:r w:rsidR="00F248AD" w:rsidRPr="00F779BD">
        <w:rPr>
          <w:shd w:val="clear" w:color="auto" w:fill="FFFFFF"/>
        </w:rPr>
        <w:t xml:space="preserve">) </w:t>
      </w:r>
      <w:r w:rsidR="00D33670" w:rsidRPr="00F779BD">
        <w:rPr>
          <w:shd w:val="clear" w:color="auto" w:fill="FFFFFF"/>
        </w:rPr>
        <w:t>and the c</w:t>
      </w:r>
      <w:r w:rsidR="00C2506E" w:rsidRPr="00F779BD">
        <w:rPr>
          <w:shd w:val="clear" w:color="auto" w:fill="FFFFFF"/>
        </w:rPr>
        <w:t>ontrol</w:t>
      </w:r>
      <w:r w:rsidR="00D33670" w:rsidRPr="00F779BD">
        <w:rPr>
          <w:shd w:val="clear" w:color="auto" w:fill="FFFFFF"/>
        </w:rPr>
        <w:t xml:space="preserve"> group</w:t>
      </w:r>
      <w:r w:rsidR="00F11313" w:rsidRPr="00F779BD">
        <w:rPr>
          <w:shd w:val="clear" w:color="auto" w:fill="FFFFFF"/>
        </w:rPr>
        <w:t xml:space="preserve"> </w:t>
      </w:r>
      <w:r w:rsidR="00F248AD" w:rsidRPr="00F779BD">
        <w:rPr>
          <w:shd w:val="clear" w:color="auto" w:fill="FFFFFF"/>
        </w:rPr>
        <w:t>(</w:t>
      </w:r>
      <w:r w:rsidR="00B97485" w:rsidRPr="00F779BD">
        <w:rPr>
          <w:shd w:val="clear" w:color="auto" w:fill="FFFFFF"/>
        </w:rPr>
        <w:t xml:space="preserve">58 </w:t>
      </w:r>
      <w:r w:rsidR="00B97485" w:rsidRPr="00F779BD">
        <w:rPr>
          <w:i/>
          <w:iCs/>
          <w:shd w:val="clear" w:color="auto" w:fill="FFFFFF"/>
        </w:rPr>
        <w:t>vs</w:t>
      </w:r>
      <w:r w:rsidR="00CA5A35" w:rsidRPr="00F779BD">
        <w:rPr>
          <w:i/>
          <w:iCs/>
          <w:shd w:val="clear" w:color="auto" w:fill="FFFFFF"/>
        </w:rPr>
        <w:t>.</w:t>
      </w:r>
      <w:r w:rsidR="00B97485" w:rsidRPr="00F779BD">
        <w:rPr>
          <w:i/>
          <w:iCs/>
          <w:shd w:val="clear" w:color="auto" w:fill="FFFFFF"/>
        </w:rPr>
        <w:t xml:space="preserve"> </w:t>
      </w:r>
      <w:r w:rsidR="00B97485" w:rsidRPr="00F779BD">
        <w:rPr>
          <w:shd w:val="clear" w:color="auto" w:fill="FFFFFF"/>
        </w:rPr>
        <w:t>62;</w:t>
      </w:r>
      <w:r w:rsidR="00C2506E" w:rsidRPr="00F779BD">
        <w:rPr>
          <w:shd w:val="clear" w:color="auto" w:fill="FFFFFF"/>
        </w:rPr>
        <w:t xml:space="preserve"> p=0.006)</w:t>
      </w:r>
      <w:r w:rsidR="00F248AD" w:rsidRPr="00F779BD">
        <w:rPr>
          <w:shd w:val="clear" w:color="auto" w:fill="FFFFFF"/>
        </w:rPr>
        <w:t xml:space="preserve"> (Table 3)</w:t>
      </w:r>
      <w:r w:rsidR="00C2506E" w:rsidRPr="00F779BD">
        <w:rPr>
          <w:shd w:val="clear" w:color="auto" w:fill="FFFFFF"/>
        </w:rPr>
        <w:t xml:space="preserve">. </w:t>
      </w:r>
      <w:r w:rsidR="00E46F04" w:rsidRPr="00F779BD">
        <w:rPr>
          <w:shd w:val="clear" w:color="auto" w:fill="FFFFFF"/>
        </w:rPr>
        <w:t>In contrast</w:t>
      </w:r>
      <w:r w:rsidR="00C2506E" w:rsidRPr="00F779BD">
        <w:rPr>
          <w:shd w:val="clear" w:color="auto" w:fill="FFFFFF"/>
        </w:rPr>
        <w:t xml:space="preserve">, median BTI </w:t>
      </w:r>
      <w:r w:rsidR="006B6A43" w:rsidRPr="00F779BD">
        <w:t xml:space="preserve">reaction </w:t>
      </w:r>
      <w:r w:rsidR="00E46F04" w:rsidRPr="00F779BD">
        <w:rPr>
          <w:shd w:val="clear" w:color="auto" w:fill="FFFFFF"/>
        </w:rPr>
        <w:t xml:space="preserve">scores </w:t>
      </w:r>
      <w:r w:rsidR="00C2506E" w:rsidRPr="00F779BD">
        <w:rPr>
          <w:shd w:val="clear" w:color="auto" w:fill="FFFFFF"/>
        </w:rPr>
        <w:t xml:space="preserve">were </w:t>
      </w:r>
      <w:r w:rsidR="00E46F04" w:rsidRPr="00F779BD">
        <w:rPr>
          <w:shd w:val="clear" w:color="auto" w:fill="FFFFFF"/>
        </w:rPr>
        <w:t xml:space="preserve">only </w:t>
      </w:r>
      <w:r w:rsidR="00C2506E" w:rsidRPr="00F779BD">
        <w:rPr>
          <w:shd w:val="clear" w:color="auto" w:fill="FFFFFF"/>
        </w:rPr>
        <w:t xml:space="preserve">lower </w:t>
      </w:r>
      <w:r w:rsidR="004D781B" w:rsidRPr="00F779BD">
        <w:rPr>
          <w:shd w:val="clear" w:color="auto" w:fill="FFFFFF"/>
        </w:rPr>
        <w:t>post-programme compared to</w:t>
      </w:r>
      <w:r w:rsidR="00C2506E" w:rsidRPr="00F779BD">
        <w:rPr>
          <w:shd w:val="clear" w:color="auto" w:fill="FFFFFF"/>
        </w:rPr>
        <w:t xml:space="preserve"> </w:t>
      </w:r>
      <w:r w:rsidR="00DE0C81" w:rsidRPr="00F779BD">
        <w:rPr>
          <w:shd w:val="clear" w:color="auto" w:fill="FFFFFF"/>
        </w:rPr>
        <w:t>p</w:t>
      </w:r>
      <w:r w:rsidR="00C2506E" w:rsidRPr="00F779BD">
        <w:rPr>
          <w:shd w:val="clear" w:color="auto" w:fill="FFFFFF"/>
        </w:rPr>
        <w:t xml:space="preserve">re-programme for the </w:t>
      </w:r>
      <w:r w:rsidR="00DE0C81" w:rsidRPr="00F779BD">
        <w:rPr>
          <w:shd w:val="clear" w:color="auto" w:fill="FFFFFF"/>
        </w:rPr>
        <w:t>i</w:t>
      </w:r>
      <w:r w:rsidR="00C2506E" w:rsidRPr="00F779BD">
        <w:rPr>
          <w:shd w:val="clear" w:color="auto" w:fill="FFFFFF"/>
        </w:rPr>
        <w:t xml:space="preserve">ntervention group </w:t>
      </w:r>
      <w:r w:rsidR="004D4237" w:rsidRPr="00F779BD">
        <w:rPr>
          <w:shd w:val="clear" w:color="auto" w:fill="FFFFFF"/>
        </w:rPr>
        <w:t>(</w:t>
      </w:r>
      <w:r w:rsidR="00206473" w:rsidRPr="00F779BD">
        <w:rPr>
          <w:shd w:val="clear" w:color="auto" w:fill="FFFFFF"/>
        </w:rPr>
        <w:t xml:space="preserve">33 </w:t>
      </w:r>
      <w:r w:rsidR="00206473" w:rsidRPr="00F779BD">
        <w:rPr>
          <w:i/>
          <w:iCs/>
          <w:shd w:val="clear" w:color="auto" w:fill="FFFFFF"/>
        </w:rPr>
        <w:t>vs</w:t>
      </w:r>
      <w:r w:rsidR="009C7C52" w:rsidRPr="00F779BD">
        <w:rPr>
          <w:shd w:val="clear" w:color="auto" w:fill="FFFFFF"/>
        </w:rPr>
        <w:t>.</w:t>
      </w:r>
      <w:r w:rsidR="00206473" w:rsidRPr="00F779BD">
        <w:rPr>
          <w:shd w:val="clear" w:color="auto" w:fill="FFFFFF"/>
        </w:rPr>
        <w:t xml:space="preserve"> 54;</w:t>
      </w:r>
      <w:r w:rsidR="00C2506E" w:rsidRPr="00F779BD">
        <w:rPr>
          <w:shd w:val="clear" w:color="auto" w:fill="FFFFFF"/>
        </w:rPr>
        <w:t xml:space="preserve"> p=.047)</w:t>
      </w:r>
      <w:r w:rsidR="00206473" w:rsidRPr="00F779BD">
        <w:rPr>
          <w:shd w:val="clear" w:color="auto" w:fill="FFFFFF"/>
        </w:rPr>
        <w:t xml:space="preserve">. </w:t>
      </w:r>
      <w:r w:rsidR="00F779BD" w:rsidRPr="00F779BD">
        <w:rPr>
          <w:shd w:val="clear" w:color="auto" w:fill="FFFFFF"/>
        </w:rPr>
        <w:t>Changes in median scores for stress (PSS) and burnout (CBI) from pre- to post-programme did not reach statistical significance (see Table 3).</w:t>
      </w:r>
      <w:r w:rsidR="00734C03" w:rsidRPr="009C7C52">
        <w:rPr>
          <w:shd w:val="clear" w:color="auto" w:fill="FFFFFF"/>
        </w:rPr>
        <w:t xml:space="preserve"> </w:t>
      </w:r>
    </w:p>
    <w:p w14:paraId="71B3B9E5" w14:textId="77777777" w:rsidR="00C2506E" w:rsidRPr="00C2506E" w:rsidRDefault="00C2506E" w:rsidP="00341246">
      <w:pPr>
        <w:pStyle w:val="NZVJHeading1"/>
      </w:pPr>
      <w:r w:rsidRPr="00C2506E">
        <w:t>Discussion</w:t>
      </w:r>
    </w:p>
    <w:p w14:paraId="16EF8772" w14:textId="367EB6D9" w:rsidR="00C2506E" w:rsidRPr="00C2506E" w:rsidRDefault="00C2506E" w:rsidP="008E1EB7">
      <w:pPr>
        <w:pStyle w:val="NZVJParagraph"/>
        <w:rPr>
          <w:rFonts w:eastAsiaTheme="minorEastAsia"/>
          <w:sz w:val="24"/>
          <w:szCs w:val="24"/>
        </w:rPr>
      </w:pPr>
      <w:r w:rsidRPr="00C2506E">
        <w:t xml:space="preserve">The present study was a feasibility and pilot trial of a new ACT-based educational programme aimed at decreasing burden transfer, stress, and burnout in veterinary medicine personnel via reduction of reactivity to </w:t>
      </w:r>
      <w:bookmarkStart w:id="13" w:name="_Hlk64110359"/>
      <w:r w:rsidRPr="00C2506E">
        <w:t xml:space="preserve">DANCE interactions with clients, which prior research shows are associated with stress and burnout in veterinarians </w:t>
      </w:r>
      <w:r w:rsidRPr="00C2506E">
        <w:rPr>
          <w:bCs/>
          <w:iCs/>
        </w:rPr>
        <w:t xml:space="preserve">(Spitznagel </w:t>
      </w:r>
      <w:r w:rsidRPr="00C2506E">
        <w:rPr>
          <w:i/>
          <w:iCs/>
        </w:rPr>
        <w:t>et al</w:t>
      </w:r>
      <w:r w:rsidRPr="00C2506E">
        <w:t>.</w:t>
      </w:r>
      <w:r w:rsidRPr="00C2506E">
        <w:rPr>
          <w:bCs/>
          <w:iCs/>
        </w:rPr>
        <w:t xml:space="preserve"> 2019b)</w:t>
      </w:r>
      <w:r w:rsidRPr="00C2506E">
        <w:t xml:space="preserve">. </w:t>
      </w:r>
      <w:bookmarkEnd w:id="13"/>
      <w:r w:rsidRPr="00C2506E">
        <w:t xml:space="preserve">Overall, participants found the programme acceptable and used the skills that were taught. While frequency of DANCE interactions decreased in both the </w:t>
      </w:r>
      <w:r w:rsidR="00DE0C81">
        <w:t>i</w:t>
      </w:r>
      <w:r w:rsidRPr="00C2506E">
        <w:t xml:space="preserve">ntervention and </w:t>
      </w:r>
      <w:r w:rsidR="00DE0C81">
        <w:t>c</w:t>
      </w:r>
      <w:r w:rsidRPr="00C2506E">
        <w:t xml:space="preserve">ontrol groups with the change to </w:t>
      </w:r>
      <w:r w:rsidR="00DE0C81">
        <w:t>cu</w:t>
      </w:r>
      <w:r w:rsidRPr="00C2506E">
        <w:t>rb</w:t>
      </w:r>
      <w:r w:rsidR="00924A04">
        <w:t>-</w:t>
      </w:r>
      <w:r w:rsidRPr="00C2506E">
        <w:t xml:space="preserve">side service and lower general client interaction, reaction to DANCE interactions was significantly </w:t>
      </w:r>
      <w:r w:rsidRPr="00C2506E">
        <w:lastRenderedPageBreak/>
        <w:t xml:space="preserve">decreased in the </w:t>
      </w:r>
      <w:r w:rsidR="00DE0C81">
        <w:t>i</w:t>
      </w:r>
      <w:r w:rsidRPr="00C2506E">
        <w:t xml:space="preserve">ntervention group only. Measures of stress and burnout did not show statistically significant differences.  </w:t>
      </w:r>
    </w:p>
    <w:p w14:paraId="7E2BE0A0" w14:textId="1EE4EA40" w:rsidR="00C2506E" w:rsidRPr="00C2506E" w:rsidRDefault="00C2506E" w:rsidP="008E1EB7">
      <w:pPr>
        <w:pStyle w:val="NZVJParagraph"/>
      </w:pPr>
      <w:r w:rsidRPr="00C2506E">
        <w:t xml:space="preserve">As a pilot trial, it was important to establish the acceptability of this programme for its intended audience of veterinary personnel. Both appropriateness and usefulness of the programme were positively endorsed by </w:t>
      </w:r>
      <w:proofErr w:type="gramStart"/>
      <w:r w:rsidRPr="00C2506E">
        <w:t>a majority of</w:t>
      </w:r>
      <w:proofErr w:type="gramEnd"/>
      <w:r w:rsidRPr="00C2506E">
        <w:t xml:space="preserve"> participants. </w:t>
      </w:r>
      <w:r w:rsidR="00555975">
        <w:t>Use</w:t>
      </w:r>
      <w:r w:rsidR="00555975" w:rsidRPr="00C2506E">
        <w:t xml:space="preserve"> </w:t>
      </w:r>
      <w:r w:rsidRPr="00C2506E">
        <w:t xml:space="preserve">of techniques learned in the programme was high at </w:t>
      </w:r>
      <w:r w:rsidR="00DE0C81">
        <w:t>p</w:t>
      </w:r>
      <w:r w:rsidRPr="00C2506E">
        <w:t xml:space="preserve">ost-programme testing, reflecting use of these skills approximately </w:t>
      </w:r>
      <w:r w:rsidR="00DE0C81">
        <w:t>three</w:t>
      </w:r>
      <w:r w:rsidRPr="00C2506E">
        <w:t xml:space="preserve"> times per day on average. Findings suggest the programme content was well-received. It will be important to continue examining acceptability in future samples, but the likelihood of generalisability is considered good, given that the recruitment site spanned a range of services (</w:t>
      </w:r>
      <w:r w:rsidRPr="00C2506E">
        <w:rPr>
          <w:rFonts w:eastAsia="Arial"/>
        </w:rPr>
        <w:t>primary, referral, and emergency care), and the sample repr</w:t>
      </w:r>
      <w:r w:rsidRPr="00C2506E">
        <w:t xml:space="preserve">esented a range of positions (veterinarians, technicians, assistants, customer service representatives, and management).  </w:t>
      </w:r>
    </w:p>
    <w:p w14:paraId="74554D83" w14:textId="5B5D4607" w:rsidR="00C2506E" w:rsidRPr="00C2506E" w:rsidRDefault="00C2506E" w:rsidP="008E1EB7">
      <w:pPr>
        <w:pStyle w:val="NZVJParagraph"/>
      </w:pPr>
      <w:r w:rsidRPr="00C2506E">
        <w:t>As predicted, the programme reduced reaction to DANCE interactions</w:t>
      </w:r>
      <w:r w:rsidR="005F30C0">
        <w:t xml:space="preserve"> (BTI</w:t>
      </w:r>
      <w:r w:rsidR="0050365F">
        <w:t xml:space="preserve"> reaction</w:t>
      </w:r>
      <w:r w:rsidR="005F30C0">
        <w:t>)</w:t>
      </w:r>
      <w:r w:rsidRPr="00C2506E">
        <w:t xml:space="preserve">. This did not occur in the </w:t>
      </w:r>
      <w:r w:rsidR="00DE0C81">
        <w:t>c</w:t>
      </w:r>
      <w:r w:rsidRPr="00C2506E">
        <w:t xml:space="preserve">ontrol group. </w:t>
      </w:r>
      <w:r w:rsidR="00623A22" w:rsidRPr="00F779BD">
        <w:t>We</w:t>
      </w:r>
      <w:r w:rsidRPr="00F779BD">
        <w:t xml:space="preserve"> note that</w:t>
      </w:r>
      <w:r w:rsidR="00BD3081">
        <w:t>,</w:t>
      </w:r>
      <w:r w:rsidRPr="00632207">
        <w:t xml:space="preserve"> </w:t>
      </w:r>
      <w:r w:rsidR="00623A22" w:rsidRPr="00632207">
        <w:t xml:space="preserve">while it was not statistically </w:t>
      </w:r>
      <w:r w:rsidRPr="00632207">
        <w:t>significant</w:t>
      </w:r>
      <w:r w:rsidR="00623A22" w:rsidRPr="00632207">
        <w:t>,</w:t>
      </w:r>
      <w:r w:rsidR="00BD3081" w:rsidRPr="00632207">
        <w:t xml:space="preserve"> a</w:t>
      </w:r>
      <w:r w:rsidRPr="00632207">
        <w:t xml:space="preserve"> lower median raw score was also observed for </w:t>
      </w:r>
      <w:r w:rsidR="00BD3081" w:rsidRPr="00632207">
        <w:t xml:space="preserve">the </w:t>
      </w:r>
      <w:r w:rsidR="00DE0C81" w:rsidRPr="00632207">
        <w:t>c</w:t>
      </w:r>
      <w:r w:rsidRPr="00632207">
        <w:t>ontrol</w:t>
      </w:r>
      <w:r w:rsidR="00BD3081" w:rsidRPr="00632207">
        <w:t xml:space="preserve"> group</w:t>
      </w:r>
      <w:r w:rsidRPr="00C2506E">
        <w:t xml:space="preserve">; this might be explained by the decreased frequency of DANCE interactions observed in both groups. Although not an original hypothesis, the decreased frequency of DANCE interactions aligned with overall decreased client interactions due to moving to </w:t>
      </w:r>
      <w:r w:rsidR="0050365F">
        <w:t>cu</w:t>
      </w:r>
      <w:r w:rsidRPr="00C2506E">
        <w:t>rb</w:t>
      </w:r>
      <w:r w:rsidR="0050365F">
        <w:t>-</w:t>
      </w:r>
      <w:r w:rsidRPr="00C2506E">
        <w:t xml:space="preserve">side service during this period. It is possible that all participants experienced slightly greater capacity to cope with difficult client interactions due simply to having fewer of them. However, those who completed the programme showed a large, statistically significant change in BTI reaction, while the </w:t>
      </w:r>
      <w:r w:rsidR="00DE0C81">
        <w:t>c</w:t>
      </w:r>
      <w:r w:rsidRPr="00C2506E">
        <w:t>ontrol group did not. It thus appears that the programme was successful in reducing burden transfer from these difficult situations.</w:t>
      </w:r>
    </w:p>
    <w:p w14:paraId="078B904E" w14:textId="643960EF" w:rsidR="00C2506E" w:rsidRPr="00C2506E" w:rsidRDefault="009B0A32" w:rsidP="008E1EB7">
      <w:pPr>
        <w:pStyle w:val="NZVJParagraph"/>
      </w:pPr>
      <w:r>
        <w:t>We did not find evidence to support the</w:t>
      </w:r>
      <w:r w:rsidR="00C2506E" w:rsidRPr="00C2506E">
        <w:t xml:space="preserve"> prediction that reduction of stress and burnout would be observed in the </w:t>
      </w:r>
      <w:r w:rsidR="00DE0C81">
        <w:t>i</w:t>
      </w:r>
      <w:r w:rsidR="00C2506E" w:rsidRPr="00C2506E">
        <w:t xml:space="preserve">ntervention group. Burden transfer has previously been posited as a mechanism for stress and burnout (Spitznagel </w:t>
      </w:r>
      <w:r w:rsidR="00C2506E" w:rsidRPr="00C2506E">
        <w:rPr>
          <w:i/>
          <w:iCs/>
        </w:rPr>
        <w:t>et al</w:t>
      </w:r>
      <w:r w:rsidR="00C2506E" w:rsidRPr="00C2506E">
        <w:t xml:space="preserve">. 2019b), thus it would make sense if consistently reduced reactivity to DANCE interactions is needed to cumulatively contribute to detectable reductions in stress and burnout over time. Extended follow-up to examine this question is needed. </w:t>
      </w:r>
      <w:proofErr w:type="gramStart"/>
      <w:r w:rsidR="00FD0EDA">
        <w:t>However</w:t>
      </w:r>
      <w:proofErr w:type="gramEnd"/>
      <w:r w:rsidR="00FD0EDA">
        <w:t xml:space="preserve"> as</w:t>
      </w:r>
      <w:r w:rsidR="00FD0EDA" w:rsidRPr="009F0303">
        <w:t xml:space="preserve"> </w:t>
      </w:r>
      <w:r w:rsidR="00C2506E" w:rsidRPr="009F0303">
        <w:t xml:space="preserve">the </w:t>
      </w:r>
      <w:r w:rsidR="004A513E">
        <w:t xml:space="preserve">direction of </w:t>
      </w:r>
      <w:r w:rsidR="00C2506E" w:rsidRPr="009F0303">
        <w:t xml:space="preserve">change in median raw scores for stress and burnout </w:t>
      </w:r>
      <w:r w:rsidR="004A513E">
        <w:t>was</w:t>
      </w:r>
      <w:r w:rsidR="00C2506E" w:rsidRPr="009F0303">
        <w:t xml:space="preserve"> consistent with </w:t>
      </w:r>
      <w:r w:rsidR="004A513E">
        <w:t xml:space="preserve">our </w:t>
      </w:r>
      <w:r w:rsidR="00C2506E" w:rsidRPr="009F0303">
        <w:t>hypotheses,</w:t>
      </w:r>
      <w:r w:rsidR="00C2506E" w:rsidRPr="00C2506E">
        <w:t xml:space="preserve"> future work should examine </w:t>
      </w:r>
      <w:r w:rsidR="004A513E">
        <w:t>whether</w:t>
      </w:r>
      <w:r w:rsidR="004A513E" w:rsidRPr="00C2506E">
        <w:t xml:space="preserve"> </w:t>
      </w:r>
      <w:r w:rsidR="00C2506E" w:rsidRPr="00C2506E">
        <w:t xml:space="preserve">this programme </w:t>
      </w:r>
      <w:r w:rsidR="00D5126E">
        <w:t xml:space="preserve">might </w:t>
      </w:r>
      <w:r w:rsidR="00C2506E" w:rsidRPr="00C2506E">
        <w:t>lead to significantly decreased stress and burnout at later timepoints.</w:t>
      </w:r>
    </w:p>
    <w:p w14:paraId="102BC19A" w14:textId="62B18548" w:rsidR="00C2506E" w:rsidRPr="00C2506E" w:rsidRDefault="00C2506E" w:rsidP="008E1EB7">
      <w:pPr>
        <w:pStyle w:val="NZVJParagraph"/>
        <w:rPr>
          <w:rFonts w:cstheme="minorBidi"/>
        </w:rPr>
      </w:pPr>
      <w:r w:rsidRPr="00C2506E">
        <w:t xml:space="preserve">Limitations of the current work are present. The COVID-19 pandemic impacted findings in ways that could be measured (e.g., decreased client interaction), but also potentially in ways not captured here (e.g., personal life changes). Data are thus interpreted with caution, noting that future work is needed to examine these issues under less unusual circumstances. Because the pandemic led to an inability to gather for in-person group sessions midway through the programme, it is also not possible to determine if any differences would be present among those completing the programme in-person, live-streaming, or via recording at a later time. This is a </w:t>
      </w:r>
      <w:r w:rsidRPr="00C2506E">
        <w:lastRenderedPageBreak/>
        <w:t xml:space="preserve">future direction that holds important implications for delivery of such a service. The sample also lacks diversity, which is not different from the population of veterinary medicine personnel in the </w:t>
      </w:r>
      <w:r w:rsidR="00DE0C81">
        <w:t>USA</w:t>
      </w:r>
      <w:r w:rsidRPr="00C2506E">
        <w:t xml:space="preserve"> (Elmore 2020) where the study was </w:t>
      </w:r>
      <w:proofErr w:type="gramStart"/>
      <w:r w:rsidRPr="00C2506E">
        <w:t>conducted, but</w:t>
      </w:r>
      <w:proofErr w:type="gramEnd"/>
      <w:r w:rsidRPr="00C2506E">
        <w:t xml:space="preserve"> may not reflect experiences of individuals who are under-represented in the field. Finally, the small sample size and lack of extended follow-up are acknowledged. A randomised, controlled trial is needed, optimally with a larger sample, extended monitoring period, and more sophisticated analytic procedures such as mixed linear mode</w:t>
      </w:r>
      <w:r w:rsidR="00DE0C81">
        <w:t>l</w:t>
      </w:r>
      <w:r w:rsidRPr="00C2506E">
        <w:t xml:space="preserve">ling and path analysis capable of detecting small changes and moderators of benefit from this programme. Regardless of limitations, given that evidence for programmes reducing occupational distress in veterinary medicine by other methods is severely lacking </w:t>
      </w:r>
      <w:r w:rsidRPr="00C2506E">
        <w:rPr>
          <w:shd w:val="clear" w:color="auto" w:fill="FFFFFF"/>
        </w:rPr>
        <w:t>(Moir and Ven den Brink 2020),</w:t>
      </w:r>
      <w:r w:rsidRPr="00C2506E">
        <w:t xml:space="preserve"> this work represents an exciting new direction. </w:t>
      </w:r>
    </w:p>
    <w:p w14:paraId="46B16711" w14:textId="69AF1AA2" w:rsidR="00C2506E" w:rsidRPr="00C2506E" w:rsidRDefault="00C2506E" w:rsidP="008E1EB7">
      <w:pPr>
        <w:pStyle w:val="NZVJParagraph"/>
      </w:pPr>
      <w:r w:rsidRPr="00C2506E">
        <w:t>In conclusion, the ACT-based educational programme to reduce reactivity during difficult client interactions developed for the current study represents a novel approach to decreasing occupational distress in the field of veterinary medicine. This pilot and feasibility trial showed high rates of acceptability and use by participants, as well as promising reductions in burden transfer, despite confounds introduced by COVID-19. Future work should include a larger scale</w:t>
      </w:r>
      <w:r w:rsidR="00DE0C81">
        <w:t>,</w:t>
      </w:r>
      <w:r w:rsidRPr="00C2506E">
        <w:t xml:space="preserve"> controlled trial to examine if this education programme can successfully reduce burden transfer, and in turn, stress and burnout, in veterinary medicine personnel.  </w:t>
      </w:r>
      <w:bookmarkStart w:id="14" w:name="_Hlk40686509"/>
    </w:p>
    <w:p w14:paraId="1ECBE40D" w14:textId="77777777" w:rsidR="00C2506E" w:rsidRPr="00C2506E" w:rsidRDefault="00C2506E" w:rsidP="00341246">
      <w:pPr>
        <w:pStyle w:val="NZVJHeading1"/>
      </w:pPr>
      <w:r w:rsidRPr="00C2506E">
        <w:t>Acknowledgements</w:t>
      </w:r>
    </w:p>
    <w:p w14:paraId="0EF87748" w14:textId="77777777" w:rsidR="00C2506E" w:rsidRPr="00C2506E" w:rsidRDefault="00C2506E" w:rsidP="008E1EB7">
      <w:pPr>
        <w:pStyle w:val="NZVJParagraph"/>
        <w:rPr>
          <w:rFonts w:eastAsiaTheme="minorEastAsia"/>
          <w:sz w:val="24"/>
          <w:szCs w:val="24"/>
        </w:rPr>
      </w:pPr>
      <w:r w:rsidRPr="00C2506E">
        <w:t xml:space="preserve">The authors would like to acknowledge Angela Thorp, </w:t>
      </w:r>
      <w:r w:rsidRPr="00C2506E">
        <w:rPr>
          <w:shd w:val="clear" w:color="auto" w:fill="FFFFFF"/>
        </w:rPr>
        <w:t xml:space="preserve">AAS, CVT, VTS (ECC, SAIM) </w:t>
      </w:r>
      <w:r w:rsidRPr="00C2506E">
        <w:t xml:space="preserve">for her assistance with data collection. </w:t>
      </w:r>
      <w:bookmarkEnd w:id="14"/>
    </w:p>
    <w:p w14:paraId="11AA6D31" w14:textId="0091089A" w:rsidR="002F001D" w:rsidRPr="00341246" w:rsidRDefault="00C2506E" w:rsidP="008E1EB7">
      <w:pPr>
        <w:pStyle w:val="NZVJParagraph"/>
        <w:rPr>
          <w:rFonts w:cstheme="minorBidi"/>
        </w:rPr>
      </w:pPr>
      <w:r w:rsidRPr="00C2506E">
        <w:t>This work was funded through a grant to the first author (MBS) from the Kent State University Research Council.</w:t>
      </w:r>
    </w:p>
    <w:p w14:paraId="0FDA9BF5" w14:textId="77777777" w:rsidR="00BD597E" w:rsidRPr="00341246" w:rsidRDefault="00BD597E" w:rsidP="00341246">
      <w:pPr>
        <w:pStyle w:val="NZVJHeading1"/>
      </w:pPr>
      <w:r w:rsidRPr="00341246">
        <w:t>References</w:t>
      </w:r>
    </w:p>
    <w:p w14:paraId="4B5B2C06" w14:textId="5E3A520F" w:rsidR="00C2506E" w:rsidRPr="00C2506E" w:rsidRDefault="00C2506E" w:rsidP="00341246">
      <w:pPr>
        <w:pStyle w:val="NZVJReferences"/>
        <w:rPr>
          <w:rFonts w:ascii="Times New Roman" w:hAnsi="Times New Roman" w:cstheme="minorBidi"/>
          <w:sz w:val="24"/>
        </w:rPr>
      </w:pPr>
      <w:r w:rsidRPr="00C2506E">
        <w:rPr>
          <w:rFonts w:eastAsiaTheme="minorHAnsi"/>
          <w:b/>
          <w:bCs/>
        </w:rPr>
        <w:t>*Bach P, Moran DJ.</w:t>
      </w:r>
      <w:r w:rsidRPr="00C2506E">
        <w:rPr>
          <w:rFonts w:eastAsiaTheme="minorHAnsi"/>
        </w:rPr>
        <w:t xml:space="preserve"> </w:t>
      </w:r>
      <w:r w:rsidRPr="00DE0C81">
        <w:rPr>
          <w:rFonts w:eastAsiaTheme="minorHAnsi"/>
          <w:i/>
          <w:iCs/>
        </w:rPr>
        <w:t xml:space="preserve">ACT in </w:t>
      </w:r>
      <w:r w:rsidR="00DE0C81" w:rsidRPr="00DE0C81">
        <w:rPr>
          <w:rFonts w:eastAsiaTheme="minorHAnsi"/>
          <w:i/>
          <w:iCs/>
        </w:rPr>
        <w:t>P</w:t>
      </w:r>
      <w:r w:rsidRPr="00DE0C81">
        <w:rPr>
          <w:rFonts w:eastAsiaTheme="minorHAnsi"/>
          <w:i/>
          <w:iCs/>
        </w:rPr>
        <w:t xml:space="preserve">ractice: Case </w:t>
      </w:r>
      <w:r w:rsidR="00DE0C81" w:rsidRPr="00DE0C81">
        <w:rPr>
          <w:rFonts w:eastAsiaTheme="minorHAnsi"/>
          <w:i/>
          <w:iCs/>
        </w:rPr>
        <w:t>C</w:t>
      </w:r>
      <w:r w:rsidRPr="00DE0C81">
        <w:rPr>
          <w:rFonts w:eastAsiaTheme="minorHAnsi"/>
          <w:i/>
          <w:iCs/>
        </w:rPr>
        <w:t xml:space="preserve">onceptualization in </w:t>
      </w:r>
      <w:r w:rsidR="00DE0C81" w:rsidRPr="00DE0C81">
        <w:rPr>
          <w:rFonts w:eastAsiaTheme="minorHAnsi"/>
          <w:i/>
          <w:iCs/>
        </w:rPr>
        <w:t xml:space="preserve">Acceptance </w:t>
      </w:r>
      <w:r w:rsidRPr="00DE0C81">
        <w:rPr>
          <w:rFonts w:eastAsiaTheme="minorHAnsi"/>
          <w:i/>
          <w:iCs/>
        </w:rPr>
        <w:t xml:space="preserve">and </w:t>
      </w:r>
      <w:r w:rsidR="00DE0C81" w:rsidRPr="00DE0C81">
        <w:rPr>
          <w:rFonts w:eastAsiaTheme="minorHAnsi"/>
          <w:i/>
          <w:iCs/>
        </w:rPr>
        <w:t>C</w:t>
      </w:r>
      <w:r w:rsidRPr="00DE0C81">
        <w:rPr>
          <w:rFonts w:eastAsiaTheme="minorHAnsi"/>
          <w:i/>
          <w:iCs/>
        </w:rPr>
        <w:t xml:space="preserve">ommitment </w:t>
      </w:r>
      <w:r w:rsidR="00DE0C81" w:rsidRPr="00DE0C81">
        <w:rPr>
          <w:rFonts w:eastAsiaTheme="minorHAnsi"/>
          <w:i/>
          <w:iCs/>
        </w:rPr>
        <w:t>T</w:t>
      </w:r>
      <w:r w:rsidRPr="00DE0C81">
        <w:rPr>
          <w:rFonts w:eastAsiaTheme="minorHAnsi"/>
          <w:i/>
          <w:iCs/>
        </w:rPr>
        <w:t>herapy</w:t>
      </w:r>
      <w:r w:rsidRPr="00C2506E">
        <w:rPr>
          <w:rFonts w:eastAsiaTheme="minorHAnsi"/>
        </w:rPr>
        <w:t>. New Harbinger Press, R</w:t>
      </w:r>
      <w:r w:rsidRPr="00C2506E">
        <w:t>eno, NV, USA, 2008</w:t>
      </w:r>
    </w:p>
    <w:p w14:paraId="03B4C637" w14:textId="49B5CB05" w:rsidR="00C2506E" w:rsidRPr="00C2506E" w:rsidRDefault="00C2506E" w:rsidP="00341246">
      <w:pPr>
        <w:pStyle w:val="NZVJReferences"/>
      </w:pPr>
      <w:r w:rsidRPr="00C2506E">
        <w:rPr>
          <w:b/>
          <w:bCs/>
        </w:rPr>
        <w:t>Bartram DJ, Baldwin DS.</w:t>
      </w:r>
      <w:r w:rsidRPr="00C2506E">
        <w:t xml:space="preserve"> Veterinary surgeons and suicide: influences, opportunities, and research directions. </w:t>
      </w:r>
      <w:r w:rsidRPr="00DE0C81">
        <w:rPr>
          <w:i/>
          <w:iCs/>
        </w:rPr>
        <w:t>Veterinary Record</w:t>
      </w:r>
      <w:r w:rsidRPr="00C2506E">
        <w:t xml:space="preserve"> 162, 36–40, 2008.</w:t>
      </w:r>
    </w:p>
    <w:p w14:paraId="4924CBE6" w14:textId="45C24AA1" w:rsidR="00C2506E" w:rsidRPr="00C2506E" w:rsidRDefault="00C2506E" w:rsidP="00341246">
      <w:pPr>
        <w:pStyle w:val="NZVJReferences"/>
      </w:pPr>
      <w:r w:rsidRPr="00C2506E">
        <w:rPr>
          <w:b/>
          <w:bCs/>
        </w:rPr>
        <w:t>Bartram DJ, Baldwin DS.</w:t>
      </w:r>
      <w:r w:rsidRPr="00C2506E">
        <w:t xml:space="preserve"> Veterinary surgeons and suicide: a structured review of possible influences on increased risk. </w:t>
      </w:r>
      <w:r w:rsidRPr="00DE0C81">
        <w:rPr>
          <w:i/>
          <w:iCs/>
        </w:rPr>
        <w:t>Veterinary Record</w:t>
      </w:r>
      <w:r w:rsidRPr="00C2506E">
        <w:t xml:space="preserve"> 166, 388</w:t>
      </w:r>
      <w:r w:rsidR="00DE0C81" w:rsidRPr="00C2506E">
        <w:t>–</w:t>
      </w:r>
      <w:r w:rsidRPr="00C2506E">
        <w:t>97, 2010.</w:t>
      </w:r>
    </w:p>
    <w:p w14:paraId="23AF1EEF" w14:textId="5F90816E" w:rsidR="00C2506E" w:rsidRPr="00C2506E" w:rsidRDefault="00C2506E" w:rsidP="00341246">
      <w:pPr>
        <w:pStyle w:val="NZVJReferences"/>
      </w:pPr>
      <w:proofErr w:type="spellStart"/>
      <w:r w:rsidRPr="00C2506E">
        <w:rPr>
          <w:b/>
          <w:bCs/>
        </w:rPr>
        <w:t>Brannick</w:t>
      </w:r>
      <w:proofErr w:type="spellEnd"/>
      <w:r w:rsidRPr="00C2506E">
        <w:rPr>
          <w:b/>
          <w:bCs/>
        </w:rPr>
        <w:t xml:space="preserve"> EM, </w:t>
      </w:r>
      <w:proofErr w:type="spellStart"/>
      <w:r w:rsidRPr="00C2506E">
        <w:rPr>
          <w:b/>
          <w:bCs/>
        </w:rPr>
        <w:t>DeWilde</w:t>
      </w:r>
      <w:proofErr w:type="spellEnd"/>
      <w:r w:rsidRPr="00C2506E">
        <w:rPr>
          <w:b/>
          <w:bCs/>
        </w:rPr>
        <w:t xml:space="preserve"> CA, Frey E, </w:t>
      </w:r>
      <w:proofErr w:type="spellStart"/>
      <w:r w:rsidRPr="00C2506E">
        <w:rPr>
          <w:b/>
          <w:bCs/>
        </w:rPr>
        <w:t>Gluckman</w:t>
      </w:r>
      <w:proofErr w:type="spellEnd"/>
      <w:r w:rsidRPr="00C2506E">
        <w:rPr>
          <w:b/>
          <w:bCs/>
        </w:rPr>
        <w:t xml:space="preserve"> TL, Keen JL, Larsen MR, Mont SL, Rosenbaum MD, Stafford JR, </w:t>
      </w:r>
      <w:proofErr w:type="spellStart"/>
      <w:r w:rsidRPr="00C2506E">
        <w:rPr>
          <w:b/>
          <w:bCs/>
        </w:rPr>
        <w:t>Helke</w:t>
      </w:r>
      <w:proofErr w:type="spellEnd"/>
      <w:r w:rsidRPr="00C2506E">
        <w:rPr>
          <w:b/>
          <w:bCs/>
        </w:rPr>
        <w:t xml:space="preserve"> KL.</w:t>
      </w:r>
      <w:r w:rsidRPr="00C2506E">
        <w:t xml:space="preserve"> Taking stock and making strides toward wellness in the veterinary workplace</w:t>
      </w:r>
      <w:r w:rsidRPr="00DE0C81">
        <w:rPr>
          <w:i/>
          <w:iCs/>
        </w:rPr>
        <w:t>. Journal of the American Veterinary Medical Association</w:t>
      </w:r>
      <w:r w:rsidRPr="00C2506E">
        <w:t xml:space="preserve"> 247, 739–42, 2015.</w:t>
      </w:r>
    </w:p>
    <w:p w14:paraId="10426B47" w14:textId="7E2EAC2F" w:rsidR="00C2506E" w:rsidRPr="00C2506E" w:rsidRDefault="00C2506E" w:rsidP="00341246">
      <w:pPr>
        <w:pStyle w:val="NZVJReferences"/>
        <w:rPr>
          <w:rFonts w:eastAsia="Calibri"/>
        </w:rPr>
      </w:pPr>
      <w:proofErr w:type="spellStart"/>
      <w:r w:rsidRPr="00C2506E">
        <w:rPr>
          <w:rFonts w:eastAsia="Calibri"/>
          <w:b/>
          <w:bCs/>
        </w:rPr>
        <w:lastRenderedPageBreak/>
        <w:t>Brinkborg</w:t>
      </w:r>
      <w:proofErr w:type="spellEnd"/>
      <w:r w:rsidRPr="00C2506E">
        <w:rPr>
          <w:rFonts w:eastAsia="Calibri"/>
          <w:b/>
          <w:bCs/>
        </w:rPr>
        <w:t xml:space="preserve"> H, </w:t>
      </w:r>
      <w:proofErr w:type="spellStart"/>
      <w:r w:rsidRPr="00C2506E">
        <w:rPr>
          <w:rFonts w:eastAsia="Calibri"/>
          <w:b/>
          <w:bCs/>
        </w:rPr>
        <w:t>Michanek</w:t>
      </w:r>
      <w:proofErr w:type="spellEnd"/>
      <w:r w:rsidRPr="00C2506E">
        <w:rPr>
          <w:rFonts w:eastAsia="Calibri"/>
          <w:b/>
          <w:bCs/>
        </w:rPr>
        <w:t xml:space="preserve"> J, </w:t>
      </w:r>
      <w:proofErr w:type="spellStart"/>
      <w:r w:rsidRPr="00C2506E">
        <w:rPr>
          <w:rFonts w:eastAsia="Calibri"/>
          <w:b/>
          <w:bCs/>
        </w:rPr>
        <w:t>Hesser</w:t>
      </w:r>
      <w:proofErr w:type="spellEnd"/>
      <w:r w:rsidRPr="00C2506E">
        <w:rPr>
          <w:rFonts w:eastAsia="Calibri"/>
          <w:b/>
          <w:bCs/>
        </w:rPr>
        <w:t xml:space="preserve"> H, Berglund G.</w:t>
      </w:r>
      <w:r w:rsidRPr="00C2506E">
        <w:rPr>
          <w:rFonts w:eastAsia="Calibri"/>
        </w:rPr>
        <w:t xml:space="preserve"> Acceptance and commitment therapy for the treatment of stress among social personnel: </w:t>
      </w:r>
      <w:r w:rsidR="00DE0C81">
        <w:rPr>
          <w:rFonts w:eastAsia="Calibri"/>
        </w:rPr>
        <w:t>a</w:t>
      </w:r>
      <w:r w:rsidRPr="00C2506E">
        <w:rPr>
          <w:rFonts w:eastAsia="Calibri"/>
        </w:rPr>
        <w:t xml:space="preserve"> randomized controlled trial. Behaviour </w:t>
      </w:r>
      <w:r w:rsidRPr="00DE0C81">
        <w:rPr>
          <w:rFonts w:eastAsia="Calibri"/>
          <w:i/>
          <w:iCs/>
        </w:rPr>
        <w:t>Research and Therapy</w:t>
      </w:r>
      <w:r w:rsidRPr="00C2506E">
        <w:rPr>
          <w:rFonts w:eastAsia="Calibri"/>
        </w:rPr>
        <w:t xml:space="preserve"> 49, 389</w:t>
      </w:r>
      <w:r w:rsidR="00DE0C81" w:rsidRPr="00C2506E">
        <w:t>–</w:t>
      </w:r>
      <w:r w:rsidRPr="00C2506E">
        <w:rPr>
          <w:rFonts w:eastAsia="Calibri"/>
        </w:rPr>
        <w:t>98, 2011</w:t>
      </w:r>
    </w:p>
    <w:p w14:paraId="5F1A3BF6" w14:textId="6C18602E" w:rsidR="00C2506E" w:rsidRPr="00C2506E" w:rsidRDefault="00C2506E" w:rsidP="00341246">
      <w:pPr>
        <w:pStyle w:val="NZVJReferences"/>
        <w:rPr>
          <w:rFonts w:eastAsiaTheme="minorEastAsia"/>
        </w:rPr>
      </w:pPr>
      <w:r w:rsidRPr="00C2506E">
        <w:rPr>
          <w:b/>
          <w:bCs/>
        </w:rPr>
        <w:t>Cohen SP.</w:t>
      </w:r>
      <w:r w:rsidRPr="00C2506E">
        <w:t xml:space="preserve"> Compassion fatigue and the veterinary health team. </w:t>
      </w:r>
      <w:r w:rsidRPr="00DE0C81">
        <w:rPr>
          <w:i/>
          <w:iCs/>
        </w:rPr>
        <w:t>Veterinary Clinics of North America: Small Animal Practice</w:t>
      </w:r>
      <w:r w:rsidRPr="00C2506E">
        <w:t xml:space="preserve"> 37, 123–34, 2007</w:t>
      </w:r>
    </w:p>
    <w:p w14:paraId="0C7B3CEA" w14:textId="696CABC9" w:rsidR="00C2506E" w:rsidRPr="00C2506E" w:rsidRDefault="00C2506E" w:rsidP="00341246">
      <w:pPr>
        <w:pStyle w:val="NZVJReferences"/>
      </w:pPr>
      <w:r w:rsidRPr="00C2506E">
        <w:rPr>
          <w:b/>
          <w:bCs/>
        </w:rPr>
        <w:t xml:space="preserve">Cohen S, </w:t>
      </w:r>
      <w:proofErr w:type="spellStart"/>
      <w:r w:rsidRPr="00C2506E">
        <w:rPr>
          <w:b/>
          <w:bCs/>
        </w:rPr>
        <w:t>Kamarck</w:t>
      </w:r>
      <w:proofErr w:type="spellEnd"/>
      <w:r w:rsidRPr="00C2506E">
        <w:rPr>
          <w:b/>
          <w:bCs/>
        </w:rPr>
        <w:t xml:space="preserve"> T, </w:t>
      </w:r>
      <w:proofErr w:type="spellStart"/>
      <w:r w:rsidRPr="00C2506E">
        <w:rPr>
          <w:b/>
          <w:bCs/>
        </w:rPr>
        <w:t>Mermelstein</w:t>
      </w:r>
      <w:proofErr w:type="spellEnd"/>
      <w:r w:rsidRPr="00C2506E">
        <w:rPr>
          <w:b/>
          <w:bCs/>
        </w:rPr>
        <w:t xml:space="preserve"> R.</w:t>
      </w:r>
      <w:r w:rsidRPr="00C2506E">
        <w:t xml:space="preserve"> A global measure of perceived stress. </w:t>
      </w:r>
      <w:r w:rsidRPr="00DE0C81">
        <w:rPr>
          <w:i/>
          <w:iCs/>
        </w:rPr>
        <w:t xml:space="preserve">Journal of Health and Social </w:t>
      </w:r>
      <w:proofErr w:type="spellStart"/>
      <w:r w:rsidRPr="00DE0C81">
        <w:rPr>
          <w:i/>
          <w:iCs/>
        </w:rPr>
        <w:t>Behavior</w:t>
      </w:r>
      <w:proofErr w:type="spellEnd"/>
      <w:r w:rsidRPr="00DE0C81">
        <w:rPr>
          <w:i/>
          <w:iCs/>
        </w:rPr>
        <w:t xml:space="preserve"> </w:t>
      </w:r>
      <w:r w:rsidRPr="00C2506E">
        <w:t>24, 386</w:t>
      </w:r>
      <w:r w:rsidR="00DE0C81" w:rsidRPr="00C2506E">
        <w:t>–</w:t>
      </w:r>
      <w:r w:rsidRPr="00C2506E">
        <w:t>96, 1983</w:t>
      </w:r>
    </w:p>
    <w:p w14:paraId="6EDC89BD" w14:textId="6EDB2D7B" w:rsidR="00C2506E" w:rsidRPr="00C2506E" w:rsidRDefault="00C2506E" w:rsidP="00341246">
      <w:pPr>
        <w:pStyle w:val="NZVJReferences"/>
      </w:pPr>
      <w:r w:rsidRPr="00C2506E">
        <w:rPr>
          <w:b/>
          <w:bCs/>
        </w:rPr>
        <w:t>Elmore RG.</w:t>
      </w:r>
      <w:r w:rsidRPr="00C2506E">
        <w:t xml:space="preserve"> The lack of racial diversity in veterinary medicine. </w:t>
      </w:r>
      <w:r w:rsidRPr="00DE0C81">
        <w:rPr>
          <w:i/>
          <w:iCs/>
        </w:rPr>
        <w:t>Journal of the American Veterinary Medical Association</w:t>
      </w:r>
      <w:r w:rsidRPr="00C2506E">
        <w:t xml:space="preserve"> 222, 24</w:t>
      </w:r>
      <w:r w:rsidR="00DE0C81" w:rsidRPr="00C2506E">
        <w:t>–</w:t>
      </w:r>
      <w:r w:rsidRPr="00C2506E">
        <w:t>6, 2020</w:t>
      </w:r>
    </w:p>
    <w:p w14:paraId="1D9D025C" w14:textId="090731A3" w:rsidR="00C2506E" w:rsidRPr="00C2506E" w:rsidRDefault="00C2506E" w:rsidP="00341246">
      <w:pPr>
        <w:pStyle w:val="NZVJReferences"/>
      </w:pPr>
      <w:r w:rsidRPr="00C2506E">
        <w:rPr>
          <w:b/>
          <w:bCs/>
        </w:rPr>
        <w:t>*Hayes SC.</w:t>
      </w:r>
      <w:r w:rsidRPr="00C2506E">
        <w:t xml:space="preserve"> </w:t>
      </w:r>
      <w:r w:rsidRPr="00DE0C81">
        <w:rPr>
          <w:i/>
          <w:iCs/>
        </w:rPr>
        <w:t xml:space="preserve">Acceptance and Commitment Therapy and the </w:t>
      </w:r>
      <w:r w:rsidR="00DE0C81" w:rsidRPr="00DE0C81">
        <w:rPr>
          <w:i/>
          <w:iCs/>
        </w:rPr>
        <w:t>N</w:t>
      </w:r>
      <w:r w:rsidRPr="00DE0C81">
        <w:rPr>
          <w:i/>
          <w:iCs/>
        </w:rPr>
        <w:t xml:space="preserve">ew </w:t>
      </w:r>
      <w:proofErr w:type="spellStart"/>
      <w:r w:rsidR="00DE0C81" w:rsidRPr="00DE0C81">
        <w:rPr>
          <w:i/>
          <w:iCs/>
        </w:rPr>
        <w:t>B</w:t>
      </w:r>
      <w:r w:rsidRPr="00DE0C81">
        <w:rPr>
          <w:i/>
          <w:iCs/>
        </w:rPr>
        <w:t>ehavior</w:t>
      </w:r>
      <w:proofErr w:type="spellEnd"/>
      <w:r w:rsidRPr="00DE0C81">
        <w:rPr>
          <w:i/>
          <w:iCs/>
        </w:rPr>
        <w:t xml:space="preserve"> </w:t>
      </w:r>
      <w:r w:rsidR="00DE0C81" w:rsidRPr="00DE0C81">
        <w:rPr>
          <w:i/>
          <w:iCs/>
        </w:rPr>
        <w:t>T</w:t>
      </w:r>
      <w:r w:rsidRPr="00DE0C81">
        <w:rPr>
          <w:i/>
          <w:iCs/>
        </w:rPr>
        <w:t xml:space="preserve">herapies: Mindfulness, </w:t>
      </w:r>
      <w:r w:rsidR="00DE0C81" w:rsidRPr="00DE0C81">
        <w:rPr>
          <w:i/>
          <w:iCs/>
        </w:rPr>
        <w:t>A</w:t>
      </w:r>
      <w:r w:rsidRPr="00DE0C81">
        <w:rPr>
          <w:i/>
          <w:iCs/>
        </w:rPr>
        <w:t xml:space="preserve">cceptance and </w:t>
      </w:r>
      <w:r w:rsidR="00DE0C81" w:rsidRPr="00DE0C81">
        <w:rPr>
          <w:i/>
          <w:iCs/>
        </w:rPr>
        <w:t>R</w:t>
      </w:r>
      <w:r w:rsidRPr="00DE0C81">
        <w:rPr>
          <w:i/>
          <w:iCs/>
        </w:rPr>
        <w:t>elationship</w:t>
      </w:r>
      <w:r w:rsidRPr="00C2506E">
        <w:t>. Guilford Press, New York, NY, USA, 2004.</w:t>
      </w:r>
    </w:p>
    <w:p w14:paraId="2B705013" w14:textId="0E7C2821" w:rsidR="00C2506E" w:rsidRPr="00C2506E" w:rsidRDefault="00C2506E" w:rsidP="00341246">
      <w:pPr>
        <w:pStyle w:val="NZVJReferences"/>
      </w:pPr>
      <w:r w:rsidRPr="00C2506E">
        <w:rPr>
          <w:b/>
          <w:bCs/>
        </w:rPr>
        <w:t xml:space="preserve">Hayes SC, Bissett R, Roget N, Padilla M, </w:t>
      </w:r>
      <w:proofErr w:type="spellStart"/>
      <w:r w:rsidRPr="00C2506E">
        <w:rPr>
          <w:b/>
          <w:bCs/>
        </w:rPr>
        <w:t>Kohlenberg</w:t>
      </w:r>
      <w:proofErr w:type="spellEnd"/>
      <w:r w:rsidRPr="00C2506E">
        <w:rPr>
          <w:b/>
          <w:bCs/>
        </w:rPr>
        <w:t xml:space="preserve"> BS, Fisher G, Masuda A, </w:t>
      </w:r>
      <w:proofErr w:type="spellStart"/>
      <w:r w:rsidRPr="00C2506E">
        <w:rPr>
          <w:b/>
          <w:bCs/>
        </w:rPr>
        <w:t>Pistorello</w:t>
      </w:r>
      <w:proofErr w:type="spellEnd"/>
      <w:r w:rsidRPr="00C2506E">
        <w:rPr>
          <w:b/>
          <w:bCs/>
        </w:rPr>
        <w:t xml:space="preserve"> J, Rye AK, Berry K,</w:t>
      </w:r>
      <w:r w:rsidRPr="00C2506E">
        <w:t xml:space="preserve"> </w:t>
      </w:r>
      <w:r w:rsidRPr="00DE0C81">
        <w:rPr>
          <w:b/>
          <w:bCs/>
          <w:i/>
          <w:iCs/>
        </w:rPr>
        <w:t>et al.</w:t>
      </w:r>
      <w:r w:rsidRPr="00C2506E">
        <w:t xml:space="preserve"> The impact of acceptance and commitment training and multicultural training on the stigmatizing attitudes and professional burnout of substance abuse </w:t>
      </w:r>
      <w:proofErr w:type="spellStart"/>
      <w:r w:rsidRPr="00C2506E">
        <w:t>counselors</w:t>
      </w:r>
      <w:proofErr w:type="spellEnd"/>
      <w:r w:rsidRPr="00C2506E">
        <w:t xml:space="preserve">. </w:t>
      </w:r>
      <w:proofErr w:type="spellStart"/>
      <w:r w:rsidRPr="00DE0C81">
        <w:rPr>
          <w:i/>
          <w:iCs/>
        </w:rPr>
        <w:t>Behavior</w:t>
      </w:r>
      <w:proofErr w:type="spellEnd"/>
      <w:r w:rsidRPr="00DE0C81">
        <w:rPr>
          <w:i/>
          <w:iCs/>
        </w:rPr>
        <w:t xml:space="preserve"> Therapy</w:t>
      </w:r>
      <w:r w:rsidRPr="00C2506E">
        <w:t xml:space="preserve"> 35, 821</w:t>
      </w:r>
      <w:r w:rsidR="00DE0C81" w:rsidRPr="00C2506E">
        <w:t>–</w:t>
      </w:r>
      <w:r w:rsidRPr="00C2506E">
        <w:t>35, 2004</w:t>
      </w:r>
    </w:p>
    <w:p w14:paraId="0EBCBBC7" w14:textId="4C1C2599" w:rsidR="00C2506E" w:rsidRPr="00C2506E" w:rsidRDefault="00C2506E" w:rsidP="00341246">
      <w:pPr>
        <w:pStyle w:val="NZVJReferences"/>
      </w:pPr>
      <w:r w:rsidRPr="00C2506E">
        <w:rPr>
          <w:b/>
          <w:bCs/>
          <w:shd w:val="clear" w:color="auto" w:fill="FFFFFF"/>
        </w:rPr>
        <w:t>*Hayes SC,</w:t>
      </w:r>
      <w:r w:rsidR="00DE0C81">
        <w:rPr>
          <w:b/>
          <w:bCs/>
          <w:shd w:val="clear" w:color="auto" w:fill="FFFFFF"/>
        </w:rPr>
        <w:t xml:space="preserve"> </w:t>
      </w:r>
      <w:proofErr w:type="spellStart"/>
      <w:r w:rsidRPr="00C2506E">
        <w:rPr>
          <w:b/>
          <w:bCs/>
          <w:shd w:val="clear" w:color="auto" w:fill="FFFFFF"/>
        </w:rPr>
        <w:t>Strosahl</w:t>
      </w:r>
      <w:proofErr w:type="spellEnd"/>
      <w:r w:rsidRPr="00C2506E">
        <w:rPr>
          <w:b/>
          <w:bCs/>
          <w:shd w:val="clear" w:color="auto" w:fill="FFFFFF"/>
        </w:rPr>
        <w:t xml:space="preserve"> K, Wilson KG</w:t>
      </w:r>
      <w:r w:rsidRPr="00DE0C81">
        <w:rPr>
          <w:b/>
          <w:bCs/>
          <w:i/>
          <w:iCs/>
          <w:shd w:val="clear" w:color="auto" w:fill="FFFFFF"/>
        </w:rPr>
        <w:t>.</w:t>
      </w:r>
      <w:r w:rsidRPr="00DE0C81">
        <w:rPr>
          <w:i/>
          <w:iCs/>
          <w:shd w:val="clear" w:color="auto" w:fill="FFFFFF"/>
        </w:rPr>
        <w:t xml:space="preserve"> Acceptance and Commitment Therapy: An </w:t>
      </w:r>
      <w:r w:rsidR="00DE0C81" w:rsidRPr="00DE0C81">
        <w:rPr>
          <w:i/>
          <w:iCs/>
          <w:shd w:val="clear" w:color="auto" w:fill="FFFFFF"/>
        </w:rPr>
        <w:t>E</w:t>
      </w:r>
      <w:r w:rsidRPr="00DE0C81">
        <w:rPr>
          <w:i/>
          <w:iCs/>
          <w:shd w:val="clear" w:color="auto" w:fill="FFFFFF"/>
        </w:rPr>
        <w:t xml:space="preserve">xperiential </w:t>
      </w:r>
      <w:r w:rsidR="00DE0C81" w:rsidRPr="00DE0C81">
        <w:rPr>
          <w:i/>
          <w:iCs/>
          <w:shd w:val="clear" w:color="auto" w:fill="FFFFFF"/>
        </w:rPr>
        <w:t>A</w:t>
      </w:r>
      <w:r w:rsidRPr="00DE0C81">
        <w:rPr>
          <w:i/>
          <w:iCs/>
          <w:shd w:val="clear" w:color="auto" w:fill="FFFFFF"/>
        </w:rPr>
        <w:t xml:space="preserve">pproach to </w:t>
      </w:r>
      <w:proofErr w:type="spellStart"/>
      <w:r w:rsidR="00DE0C81" w:rsidRPr="00DE0C81">
        <w:rPr>
          <w:i/>
          <w:iCs/>
          <w:shd w:val="clear" w:color="auto" w:fill="FFFFFF"/>
        </w:rPr>
        <w:t>B</w:t>
      </w:r>
      <w:r w:rsidRPr="00DE0C81">
        <w:rPr>
          <w:i/>
          <w:iCs/>
          <w:shd w:val="clear" w:color="auto" w:fill="FFFFFF"/>
        </w:rPr>
        <w:t>ehavior</w:t>
      </w:r>
      <w:proofErr w:type="spellEnd"/>
      <w:r w:rsidRPr="00DE0C81">
        <w:rPr>
          <w:i/>
          <w:iCs/>
          <w:shd w:val="clear" w:color="auto" w:fill="FFFFFF"/>
        </w:rPr>
        <w:t xml:space="preserve"> </w:t>
      </w:r>
      <w:r w:rsidR="00DE0C81" w:rsidRPr="00DE0C81">
        <w:rPr>
          <w:i/>
          <w:iCs/>
          <w:shd w:val="clear" w:color="auto" w:fill="FFFFFF"/>
        </w:rPr>
        <w:t>C</w:t>
      </w:r>
      <w:r w:rsidRPr="00DE0C81">
        <w:rPr>
          <w:i/>
          <w:iCs/>
          <w:shd w:val="clear" w:color="auto" w:fill="FFFFFF"/>
        </w:rPr>
        <w:t>hange</w:t>
      </w:r>
      <w:r w:rsidRPr="00C2506E">
        <w:rPr>
          <w:shd w:val="clear" w:color="auto" w:fill="FFFFFF"/>
        </w:rPr>
        <w:t xml:space="preserve">. </w:t>
      </w:r>
      <w:r w:rsidRPr="00C2506E">
        <w:t>Guilford Press, New York, NY, USA, 1999</w:t>
      </w:r>
    </w:p>
    <w:p w14:paraId="797C70B8" w14:textId="76D458B8" w:rsidR="00C2506E" w:rsidRPr="00C2506E" w:rsidRDefault="00C2506E" w:rsidP="00341246">
      <w:pPr>
        <w:pStyle w:val="NZVJReferences"/>
      </w:pPr>
      <w:r w:rsidRPr="00C2506E">
        <w:rPr>
          <w:b/>
          <w:bCs/>
        </w:rPr>
        <w:t xml:space="preserve">Kristensen TS, </w:t>
      </w:r>
      <w:proofErr w:type="spellStart"/>
      <w:r w:rsidRPr="00C2506E">
        <w:rPr>
          <w:b/>
          <w:bCs/>
        </w:rPr>
        <w:t>Borritz</w:t>
      </w:r>
      <w:proofErr w:type="spellEnd"/>
      <w:r w:rsidRPr="00C2506E">
        <w:rPr>
          <w:b/>
          <w:bCs/>
        </w:rPr>
        <w:t xml:space="preserve"> M, </w:t>
      </w:r>
      <w:proofErr w:type="spellStart"/>
      <w:r w:rsidRPr="00C2506E">
        <w:rPr>
          <w:b/>
          <w:bCs/>
        </w:rPr>
        <w:t>Villadsen</w:t>
      </w:r>
      <w:proofErr w:type="spellEnd"/>
      <w:r w:rsidRPr="00C2506E">
        <w:rPr>
          <w:b/>
          <w:bCs/>
        </w:rPr>
        <w:t xml:space="preserve"> E, Christensen KB. </w:t>
      </w:r>
      <w:r w:rsidRPr="00C2506E">
        <w:t xml:space="preserve">The Copenhagen Burnout Inventory: </w:t>
      </w:r>
      <w:r w:rsidR="004815EB">
        <w:t>a</w:t>
      </w:r>
      <w:r w:rsidRPr="00C2506E">
        <w:t xml:space="preserve"> new tool for the assessment of burnout. </w:t>
      </w:r>
      <w:r w:rsidRPr="00DE0C81">
        <w:rPr>
          <w:i/>
          <w:iCs/>
        </w:rPr>
        <w:t>Work Stress</w:t>
      </w:r>
      <w:r w:rsidRPr="00C2506E">
        <w:t xml:space="preserve"> 19, 192</w:t>
      </w:r>
      <w:r w:rsidR="00DE0C81" w:rsidRPr="00C2506E">
        <w:t>–</w:t>
      </w:r>
      <w:r w:rsidRPr="00C2506E">
        <w:t>207, 2005.</w:t>
      </w:r>
    </w:p>
    <w:p w14:paraId="35FD4239" w14:textId="39ADCD54" w:rsidR="00C2506E" w:rsidRPr="00C2506E" w:rsidRDefault="00C2506E" w:rsidP="00341246">
      <w:pPr>
        <w:pStyle w:val="NZVJReferences"/>
      </w:pPr>
      <w:r w:rsidRPr="00C2506E">
        <w:rPr>
          <w:b/>
          <w:bCs/>
        </w:rPr>
        <w:t>Moir FM, Van den Brink A</w:t>
      </w:r>
      <w:r w:rsidRPr="00C2506E">
        <w:t>. Current insights in veterinarians’ psychological well-being.</w:t>
      </w:r>
      <w:r w:rsidRPr="00DE0C81">
        <w:rPr>
          <w:i/>
          <w:iCs/>
        </w:rPr>
        <w:t xml:space="preserve"> New Zealand Veterinary Journal</w:t>
      </w:r>
      <w:r w:rsidRPr="00C2506E">
        <w:t xml:space="preserve"> 68, 3</w:t>
      </w:r>
      <w:r w:rsidR="00DE0C81" w:rsidRPr="00C2506E">
        <w:t>–</w:t>
      </w:r>
      <w:r w:rsidRPr="00C2506E">
        <w:t>12, 2020</w:t>
      </w:r>
      <w:bookmarkStart w:id="15" w:name="_Hlk31643728"/>
    </w:p>
    <w:p w14:paraId="4FE25674" w14:textId="16469AB8" w:rsidR="00C2506E" w:rsidRPr="00C2506E" w:rsidRDefault="00C2506E" w:rsidP="00341246">
      <w:pPr>
        <w:pStyle w:val="NZVJReferences"/>
      </w:pPr>
      <w:r w:rsidRPr="00C2506E">
        <w:rPr>
          <w:b/>
          <w:bCs/>
        </w:rPr>
        <w:t xml:space="preserve">Moses L, </w:t>
      </w:r>
      <w:proofErr w:type="spellStart"/>
      <w:r w:rsidRPr="00C2506E">
        <w:rPr>
          <w:b/>
          <w:bCs/>
        </w:rPr>
        <w:t>Malowney</w:t>
      </w:r>
      <w:proofErr w:type="spellEnd"/>
      <w:r w:rsidRPr="00C2506E">
        <w:rPr>
          <w:b/>
          <w:bCs/>
        </w:rPr>
        <w:t xml:space="preserve"> MJ, Boyd JW. </w:t>
      </w:r>
      <w:r w:rsidRPr="00C2506E">
        <w:t xml:space="preserve">Ethical conflict and moral distress in veterinary practice: </w:t>
      </w:r>
      <w:r w:rsidR="004815EB">
        <w:t>a</w:t>
      </w:r>
      <w:r w:rsidRPr="00C2506E">
        <w:t xml:space="preserve"> survey of North American veterinarians. </w:t>
      </w:r>
      <w:r w:rsidRPr="00DE0C81">
        <w:rPr>
          <w:i/>
          <w:iCs/>
        </w:rPr>
        <w:t>Journal of Veterinary Internal Medicine</w:t>
      </w:r>
      <w:r w:rsidRPr="00C2506E">
        <w:t xml:space="preserve"> 32, 2115</w:t>
      </w:r>
      <w:r w:rsidR="00DE0C81" w:rsidRPr="00C2506E">
        <w:t>–</w:t>
      </w:r>
      <w:r w:rsidRPr="00C2506E">
        <w:t>22, 2018</w:t>
      </w:r>
    </w:p>
    <w:p w14:paraId="391B8080" w14:textId="2DAA3912" w:rsidR="00C2506E" w:rsidRPr="00C2506E" w:rsidRDefault="00C2506E" w:rsidP="00341246">
      <w:pPr>
        <w:pStyle w:val="NZVJReferences"/>
      </w:pPr>
      <w:r w:rsidRPr="00C2506E">
        <w:rPr>
          <w:b/>
          <w:bCs/>
        </w:rPr>
        <w:t xml:space="preserve">Nett RJ, Witte TR, </w:t>
      </w:r>
      <w:proofErr w:type="spellStart"/>
      <w:r w:rsidRPr="00C2506E">
        <w:rPr>
          <w:b/>
          <w:bCs/>
        </w:rPr>
        <w:t>Holzbauer</w:t>
      </w:r>
      <w:proofErr w:type="spellEnd"/>
      <w:r w:rsidRPr="00C2506E">
        <w:rPr>
          <w:b/>
          <w:bCs/>
        </w:rPr>
        <w:t xml:space="preserve"> SM, </w:t>
      </w:r>
      <w:proofErr w:type="spellStart"/>
      <w:r w:rsidRPr="00C2506E">
        <w:rPr>
          <w:b/>
          <w:bCs/>
        </w:rPr>
        <w:t>Elchos</w:t>
      </w:r>
      <w:proofErr w:type="spellEnd"/>
      <w:r w:rsidRPr="00C2506E">
        <w:rPr>
          <w:b/>
          <w:bCs/>
        </w:rPr>
        <w:t xml:space="preserve"> BL, Campagnolo ER, Musgrave KJ, Carter KK, </w:t>
      </w:r>
      <w:proofErr w:type="spellStart"/>
      <w:r w:rsidRPr="00C2506E">
        <w:rPr>
          <w:b/>
          <w:bCs/>
        </w:rPr>
        <w:t>Kurkijian</w:t>
      </w:r>
      <w:proofErr w:type="spellEnd"/>
      <w:r w:rsidRPr="00C2506E">
        <w:rPr>
          <w:b/>
          <w:bCs/>
        </w:rPr>
        <w:t xml:space="preserve"> KM, </w:t>
      </w:r>
      <w:proofErr w:type="spellStart"/>
      <w:r w:rsidRPr="00C2506E">
        <w:rPr>
          <w:b/>
          <w:bCs/>
        </w:rPr>
        <w:t>Vanicek</w:t>
      </w:r>
      <w:proofErr w:type="spellEnd"/>
      <w:r w:rsidRPr="00C2506E">
        <w:rPr>
          <w:b/>
          <w:bCs/>
        </w:rPr>
        <w:t xml:space="preserve"> CF, O’Leary DR</w:t>
      </w:r>
      <w:r w:rsidRPr="00C2506E">
        <w:t xml:space="preserve"> </w:t>
      </w:r>
      <w:r w:rsidRPr="00DE0C81">
        <w:rPr>
          <w:b/>
          <w:bCs/>
          <w:i/>
          <w:iCs/>
        </w:rPr>
        <w:t>et al</w:t>
      </w:r>
      <w:r w:rsidRPr="00C2506E">
        <w:t xml:space="preserve">. Risk factors for suicide, attitudes toward mental illness, and practice-related stressors among US veterinarians. </w:t>
      </w:r>
      <w:r w:rsidRPr="00DE0C81">
        <w:rPr>
          <w:i/>
          <w:iCs/>
        </w:rPr>
        <w:t>Journal of the American Veterinary Medical Association</w:t>
      </w:r>
      <w:r w:rsidRPr="00C2506E">
        <w:t xml:space="preserve"> 247, 945–55, 2015 </w:t>
      </w:r>
    </w:p>
    <w:p w14:paraId="6F1D789A" w14:textId="769E998D" w:rsidR="00C2506E" w:rsidRPr="00C2506E" w:rsidRDefault="00C2506E" w:rsidP="00341246">
      <w:pPr>
        <w:pStyle w:val="NZVJReferences"/>
      </w:pPr>
      <w:proofErr w:type="spellStart"/>
      <w:r w:rsidRPr="00C2506E">
        <w:rPr>
          <w:rFonts w:eastAsia="SchneidlerBT-Roman"/>
          <w:b/>
          <w:bCs/>
        </w:rPr>
        <w:t>Perera</w:t>
      </w:r>
      <w:proofErr w:type="spellEnd"/>
      <w:r w:rsidRPr="00C2506E">
        <w:rPr>
          <w:rFonts w:eastAsia="SchneidlerBT-Roman"/>
          <w:b/>
          <w:bCs/>
        </w:rPr>
        <w:t xml:space="preserve"> MJ, </w:t>
      </w:r>
      <w:proofErr w:type="spellStart"/>
      <w:r w:rsidRPr="00C2506E">
        <w:rPr>
          <w:rFonts w:eastAsia="SchneidlerBT-Roman"/>
          <w:b/>
          <w:bCs/>
        </w:rPr>
        <w:t>Brintz</w:t>
      </w:r>
      <w:proofErr w:type="spellEnd"/>
      <w:r w:rsidRPr="00C2506E">
        <w:rPr>
          <w:rFonts w:eastAsia="SchneidlerBT-Roman"/>
          <w:b/>
          <w:bCs/>
        </w:rPr>
        <w:t xml:space="preserve"> CE, Birnbaum-Weitzman O, </w:t>
      </w:r>
      <w:proofErr w:type="spellStart"/>
      <w:r w:rsidRPr="00C2506E">
        <w:rPr>
          <w:rFonts w:eastAsia="SchneidlerBT-Roman"/>
          <w:b/>
          <w:bCs/>
        </w:rPr>
        <w:t>Penedo</w:t>
      </w:r>
      <w:proofErr w:type="spellEnd"/>
      <w:r w:rsidRPr="00C2506E">
        <w:rPr>
          <w:rFonts w:eastAsia="SchneidlerBT-Roman"/>
          <w:b/>
          <w:bCs/>
        </w:rPr>
        <w:t xml:space="preserve"> FJ, Gallo LC, Gonzalez P, </w:t>
      </w:r>
      <w:proofErr w:type="spellStart"/>
      <w:r w:rsidRPr="00C2506E">
        <w:rPr>
          <w:rFonts w:eastAsia="SchneidlerBT-Roman"/>
          <w:b/>
          <w:bCs/>
        </w:rPr>
        <w:t>Gouskova</w:t>
      </w:r>
      <w:proofErr w:type="spellEnd"/>
      <w:r w:rsidRPr="00C2506E">
        <w:rPr>
          <w:rFonts w:eastAsia="SchneidlerBT-Roman"/>
          <w:b/>
          <w:bCs/>
        </w:rPr>
        <w:t xml:space="preserve"> N, </w:t>
      </w:r>
      <w:proofErr w:type="spellStart"/>
      <w:r w:rsidRPr="00C2506E">
        <w:rPr>
          <w:rFonts w:eastAsia="SchneidlerBT-Roman"/>
          <w:b/>
          <w:bCs/>
        </w:rPr>
        <w:t>Isasi</w:t>
      </w:r>
      <w:proofErr w:type="spellEnd"/>
      <w:r w:rsidRPr="00C2506E">
        <w:rPr>
          <w:rFonts w:eastAsia="SchneidlerBT-Roman"/>
          <w:b/>
          <w:bCs/>
        </w:rPr>
        <w:t xml:space="preserve"> CR, </w:t>
      </w:r>
      <w:proofErr w:type="spellStart"/>
      <w:r w:rsidRPr="00C2506E">
        <w:rPr>
          <w:rFonts w:eastAsia="SchneidlerBT-Roman"/>
          <w:b/>
          <w:bCs/>
        </w:rPr>
        <w:t>Navas-Nacher</w:t>
      </w:r>
      <w:proofErr w:type="spellEnd"/>
      <w:r w:rsidRPr="00C2506E">
        <w:rPr>
          <w:rFonts w:eastAsia="SchneidlerBT-Roman"/>
          <w:b/>
          <w:bCs/>
        </w:rPr>
        <w:t xml:space="preserve"> EL, </w:t>
      </w:r>
      <w:proofErr w:type="spellStart"/>
      <w:r w:rsidRPr="00C2506E">
        <w:rPr>
          <w:rFonts w:eastAsia="SchneidlerBT-Roman"/>
          <w:b/>
          <w:bCs/>
        </w:rPr>
        <w:t>Perreira</w:t>
      </w:r>
      <w:proofErr w:type="spellEnd"/>
      <w:r w:rsidRPr="00C2506E">
        <w:rPr>
          <w:rFonts w:eastAsia="SchneidlerBT-Roman"/>
          <w:b/>
          <w:bCs/>
        </w:rPr>
        <w:t xml:space="preserve"> KM</w:t>
      </w:r>
      <w:r w:rsidRPr="00DE0C81">
        <w:rPr>
          <w:rFonts w:eastAsia="SchneidlerBT-Roman"/>
          <w:b/>
          <w:bCs/>
          <w:i/>
          <w:iCs/>
        </w:rPr>
        <w:t>, et al.</w:t>
      </w:r>
      <w:r w:rsidRPr="00C2506E">
        <w:rPr>
          <w:rFonts w:eastAsia="SchneidlerBT-Roman"/>
        </w:rPr>
        <w:t xml:space="preserve"> Factor structure of the Perceived Stress Scale-10 (PSS) across English and Spanish language responders in the HCHS/SOL Sociocultural Ancillary Study. </w:t>
      </w:r>
      <w:r w:rsidRPr="00DE0C81">
        <w:rPr>
          <w:rFonts w:eastAsia="SchneidlerBT-Roman"/>
          <w:i/>
          <w:iCs/>
        </w:rPr>
        <w:t>Psychological Assessment</w:t>
      </w:r>
      <w:r w:rsidRPr="00C2506E">
        <w:rPr>
          <w:rFonts w:eastAsia="SchneidlerBT-Roman"/>
        </w:rPr>
        <w:t xml:space="preserve"> 29, 320–8, 2017</w:t>
      </w:r>
    </w:p>
    <w:p w14:paraId="58A89E6F" w14:textId="2DD2E7E7" w:rsidR="00C2506E" w:rsidRPr="00C2506E" w:rsidRDefault="00C2506E" w:rsidP="00341246">
      <w:pPr>
        <w:pStyle w:val="NZVJReferences"/>
      </w:pPr>
      <w:bookmarkStart w:id="16" w:name="_Hlk30412225"/>
      <w:proofErr w:type="spellStart"/>
      <w:r w:rsidRPr="00C2506E">
        <w:rPr>
          <w:b/>
          <w:bCs/>
        </w:rPr>
        <w:lastRenderedPageBreak/>
        <w:t>Pulschen</w:t>
      </w:r>
      <w:proofErr w:type="spellEnd"/>
      <w:r w:rsidRPr="00C2506E">
        <w:rPr>
          <w:b/>
          <w:bCs/>
        </w:rPr>
        <w:t xml:space="preserve"> S, </w:t>
      </w:r>
      <w:proofErr w:type="spellStart"/>
      <w:r w:rsidRPr="00C2506E">
        <w:rPr>
          <w:b/>
          <w:bCs/>
        </w:rPr>
        <w:t>Pulschen</w:t>
      </w:r>
      <w:proofErr w:type="spellEnd"/>
      <w:r w:rsidRPr="00C2506E">
        <w:rPr>
          <w:b/>
          <w:bCs/>
        </w:rPr>
        <w:t xml:space="preserve"> D. </w:t>
      </w:r>
      <w:r w:rsidRPr="00C2506E">
        <w:t xml:space="preserve">Preparation for teacher collaboration in inclusive classrooms-stress reduction for special education students via acceptance and commitment training: </w:t>
      </w:r>
      <w:r w:rsidR="006A130C">
        <w:t>a</w:t>
      </w:r>
      <w:r w:rsidRPr="00C2506E">
        <w:t xml:space="preserve"> controlled study. </w:t>
      </w:r>
      <w:r w:rsidRPr="00DE0C81">
        <w:rPr>
          <w:i/>
          <w:iCs/>
        </w:rPr>
        <w:t>Journal of Molecular Psychiatry</w:t>
      </w:r>
      <w:r w:rsidRPr="00C2506E">
        <w:t xml:space="preserve"> 3, 8, 2015</w:t>
      </w:r>
    </w:p>
    <w:p w14:paraId="57D2F724" w14:textId="0F175DD1" w:rsidR="00C2506E" w:rsidRPr="00C2506E" w:rsidRDefault="00C2506E" w:rsidP="00341246">
      <w:pPr>
        <w:pStyle w:val="NZVJReferences"/>
      </w:pPr>
      <w:r w:rsidRPr="00C2506E">
        <w:rPr>
          <w:rFonts w:eastAsia="Arial"/>
          <w:b/>
          <w:bCs/>
        </w:rPr>
        <w:t>Spitznagel MB, Jacobson DM, Cox MD, Carlson MD.</w:t>
      </w:r>
      <w:r w:rsidRPr="00C2506E">
        <w:rPr>
          <w:rFonts w:eastAsia="Arial"/>
        </w:rPr>
        <w:t xml:space="preserve"> Caregiver burden in owners of a sick companion animal: a cross-sectional observational study. </w:t>
      </w:r>
      <w:r w:rsidRPr="00DE0C81">
        <w:rPr>
          <w:rFonts w:eastAsia="Arial"/>
          <w:i/>
          <w:iCs/>
        </w:rPr>
        <w:t>Veterinary Record</w:t>
      </w:r>
      <w:r w:rsidRPr="00C2506E">
        <w:rPr>
          <w:rFonts w:eastAsia="Arial"/>
        </w:rPr>
        <w:t xml:space="preserve"> 181, 321, 2017</w:t>
      </w:r>
    </w:p>
    <w:p w14:paraId="536012B8" w14:textId="0E76C6B0" w:rsidR="00C2506E" w:rsidRPr="00C2506E" w:rsidRDefault="00C2506E" w:rsidP="00341246">
      <w:pPr>
        <w:pStyle w:val="NZVJReferences"/>
      </w:pPr>
      <w:r w:rsidRPr="00C2506E">
        <w:rPr>
          <w:rFonts w:eastAsia="Arial"/>
          <w:b/>
          <w:bCs/>
        </w:rPr>
        <w:t>Spitznagel MB, Cox MD, Jacobson DM, Albers A, Carlson MD.</w:t>
      </w:r>
      <w:r w:rsidRPr="00C2506E">
        <w:rPr>
          <w:rFonts w:eastAsia="Arial"/>
        </w:rPr>
        <w:t xml:space="preserve"> Assessment of caregiver burden and associations with psychosocial function, veterinary service use, and factors related to treatment plan adherence among owners of dogs and cats. </w:t>
      </w:r>
      <w:r w:rsidRPr="00DE0C81">
        <w:rPr>
          <w:rFonts w:eastAsia="Arial"/>
          <w:i/>
          <w:iCs/>
        </w:rPr>
        <w:t>Journal of the American Veterinary Medical Association</w:t>
      </w:r>
      <w:r w:rsidRPr="00C2506E">
        <w:rPr>
          <w:rFonts w:eastAsia="Arial"/>
        </w:rPr>
        <w:t xml:space="preserve"> 254, 124</w:t>
      </w:r>
      <w:r w:rsidR="00DE0C81" w:rsidRPr="00C2506E">
        <w:t>–</w:t>
      </w:r>
      <w:r w:rsidRPr="00C2506E">
        <w:rPr>
          <w:rFonts w:eastAsia="Arial"/>
        </w:rPr>
        <w:t>32, 2019a</w:t>
      </w:r>
    </w:p>
    <w:p w14:paraId="27BAF33D" w14:textId="7DB10468" w:rsidR="00C2506E" w:rsidRPr="00C2506E" w:rsidRDefault="00C2506E" w:rsidP="00341246">
      <w:pPr>
        <w:pStyle w:val="NZVJReferences"/>
      </w:pPr>
      <w:r w:rsidRPr="00C2506E">
        <w:rPr>
          <w:b/>
          <w:bCs/>
        </w:rPr>
        <w:t xml:space="preserve">Spitznagel MB, Ben-Porath YS, </w:t>
      </w:r>
      <w:proofErr w:type="spellStart"/>
      <w:r w:rsidRPr="00C2506E">
        <w:rPr>
          <w:b/>
          <w:bCs/>
        </w:rPr>
        <w:t>Rishniw</w:t>
      </w:r>
      <w:proofErr w:type="spellEnd"/>
      <w:r w:rsidRPr="00C2506E">
        <w:rPr>
          <w:b/>
          <w:bCs/>
        </w:rPr>
        <w:t xml:space="preserve"> M, Kogan LR, Carlson MD.</w:t>
      </w:r>
      <w:r w:rsidRPr="00C2506E">
        <w:t xml:space="preserve"> Development and validation of a Burden Transfer Inventory measure for predicting veterinarian stress related to client </w:t>
      </w:r>
      <w:proofErr w:type="spellStart"/>
      <w:r w:rsidRPr="00C2506E">
        <w:t>behavior</w:t>
      </w:r>
      <w:proofErr w:type="spellEnd"/>
      <w:r w:rsidRPr="00C2506E">
        <w:t xml:space="preserve">. </w:t>
      </w:r>
      <w:r w:rsidRPr="00DE0C81">
        <w:rPr>
          <w:i/>
          <w:iCs/>
        </w:rPr>
        <w:t>Journal of the American Veterinary Medical Association</w:t>
      </w:r>
      <w:r w:rsidRPr="00C2506E">
        <w:t xml:space="preserve"> 254, 133</w:t>
      </w:r>
      <w:r w:rsidR="00DE0C81" w:rsidRPr="00C2506E">
        <w:t>–</w:t>
      </w:r>
      <w:r w:rsidRPr="00C2506E">
        <w:t>44, 2019b</w:t>
      </w:r>
    </w:p>
    <w:p w14:paraId="4A122F32" w14:textId="6DE330CC" w:rsidR="00C2506E" w:rsidRPr="00C2506E" w:rsidRDefault="00C2506E" w:rsidP="00341246">
      <w:pPr>
        <w:pStyle w:val="NZVJReferences"/>
      </w:pPr>
      <w:r w:rsidRPr="00C2506E">
        <w:rPr>
          <w:b/>
          <w:bCs/>
        </w:rPr>
        <w:t>*Twohig M, Hayes SC.</w:t>
      </w:r>
      <w:r w:rsidRPr="00C2506E">
        <w:t xml:space="preserve"> </w:t>
      </w:r>
      <w:r w:rsidRPr="00C2506E">
        <w:rPr>
          <w:rStyle w:val="Emphasis"/>
          <w:color w:val="000000" w:themeColor="text1"/>
          <w:bdr w:val="none" w:sz="0" w:space="0" w:color="auto" w:frame="1"/>
        </w:rPr>
        <w:t xml:space="preserve">ACT Verbatim for Depression and Anxiety: Annotated </w:t>
      </w:r>
      <w:r w:rsidR="006A130C">
        <w:rPr>
          <w:rStyle w:val="Emphasis"/>
          <w:color w:val="000000" w:themeColor="text1"/>
          <w:bdr w:val="none" w:sz="0" w:space="0" w:color="auto" w:frame="1"/>
        </w:rPr>
        <w:t>T</w:t>
      </w:r>
      <w:r w:rsidRPr="00C2506E">
        <w:rPr>
          <w:rStyle w:val="Emphasis"/>
          <w:color w:val="000000" w:themeColor="text1"/>
          <w:bdr w:val="none" w:sz="0" w:space="0" w:color="auto" w:frame="1"/>
        </w:rPr>
        <w:t xml:space="preserve">ranscripts for </w:t>
      </w:r>
      <w:r w:rsidR="006A130C">
        <w:rPr>
          <w:rStyle w:val="Emphasis"/>
          <w:color w:val="000000" w:themeColor="text1"/>
          <w:bdr w:val="none" w:sz="0" w:space="0" w:color="auto" w:frame="1"/>
        </w:rPr>
        <w:t>L</w:t>
      </w:r>
      <w:r w:rsidRPr="00C2506E">
        <w:rPr>
          <w:rStyle w:val="Emphasis"/>
          <w:color w:val="000000" w:themeColor="text1"/>
          <w:bdr w:val="none" w:sz="0" w:space="0" w:color="auto" w:frame="1"/>
        </w:rPr>
        <w:t>earning Acceptance and Commitment Therapy</w:t>
      </w:r>
      <w:r w:rsidRPr="00C2506E">
        <w:t>. Context Press, Oakland, CA, USA</w:t>
      </w:r>
      <w:bookmarkEnd w:id="16"/>
      <w:r w:rsidRPr="00C2506E">
        <w:t>, 2008</w:t>
      </w:r>
    </w:p>
    <w:p w14:paraId="36A9684E" w14:textId="3FD40084" w:rsidR="00C2506E" w:rsidRPr="00C2506E" w:rsidRDefault="00C2506E" w:rsidP="00341246">
      <w:pPr>
        <w:pStyle w:val="NZVJReferences"/>
      </w:pPr>
      <w:r w:rsidRPr="00C2506E">
        <w:rPr>
          <w:b/>
          <w:bCs/>
        </w:rPr>
        <w:t xml:space="preserve">Van de </w:t>
      </w:r>
      <w:proofErr w:type="spellStart"/>
      <w:r w:rsidRPr="00C2506E">
        <w:rPr>
          <w:b/>
          <w:bCs/>
        </w:rPr>
        <w:t>Grieke</w:t>
      </w:r>
      <w:proofErr w:type="spellEnd"/>
      <w:r w:rsidRPr="00C2506E">
        <w:rPr>
          <w:b/>
          <w:bCs/>
        </w:rPr>
        <w:t xml:space="preserve"> OH, Clark MA, Witte TK, Nett RJ, Moeller AN, Stabler ME. </w:t>
      </w:r>
      <w:r w:rsidRPr="00C2506E">
        <w:t>Development of a taxonomy of practice-related stressors experienced by</w:t>
      </w:r>
      <w:r w:rsidR="00DE0C81">
        <w:t xml:space="preserve"> </w:t>
      </w:r>
      <w:r w:rsidRPr="00C2506E">
        <w:rPr>
          <w:rStyle w:val="highlight"/>
          <w:color w:val="000000" w:themeColor="text1"/>
        </w:rPr>
        <w:t>veterinarians</w:t>
      </w:r>
      <w:r w:rsidR="00DE0C81">
        <w:t xml:space="preserve"> </w:t>
      </w:r>
      <w:r w:rsidRPr="00C2506E">
        <w:t xml:space="preserve">in the United States. </w:t>
      </w:r>
      <w:r w:rsidRPr="00DE0C81">
        <w:rPr>
          <w:i/>
          <w:iCs/>
        </w:rPr>
        <w:t>Journal of the American Veterinary Medical Association</w:t>
      </w:r>
      <w:r w:rsidRPr="00C2506E">
        <w:t xml:space="preserve"> 252, 227</w:t>
      </w:r>
      <w:r w:rsidR="00DE0C81" w:rsidRPr="00C2506E">
        <w:t>–</w:t>
      </w:r>
      <w:r w:rsidRPr="00C2506E">
        <w:t>33</w:t>
      </w:r>
      <w:bookmarkEnd w:id="15"/>
      <w:r w:rsidRPr="00C2506E">
        <w:t>, 2018</w:t>
      </w:r>
    </w:p>
    <w:p w14:paraId="1C135BB2" w14:textId="43248BEA" w:rsidR="00C2506E" w:rsidRPr="00C2506E" w:rsidRDefault="00C2506E" w:rsidP="00341246">
      <w:pPr>
        <w:pStyle w:val="NZVJReferences"/>
      </w:pPr>
      <w:proofErr w:type="spellStart"/>
      <w:r w:rsidRPr="00C2506E">
        <w:rPr>
          <w:rFonts w:eastAsia="Calibri"/>
          <w:b/>
          <w:bCs/>
        </w:rPr>
        <w:t>Zarit</w:t>
      </w:r>
      <w:proofErr w:type="spellEnd"/>
      <w:r w:rsidRPr="00C2506E">
        <w:rPr>
          <w:rFonts w:eastAsia="Calibri"/>
          <w:b/>
          <w:bCs/>
        </w:rPr>
        <w:t xml:space="preserve"> SH, </w:t>
      </w:r>
      <w:proofErr w:type="spellStart"/>
      <w:r w:rsidRPr="00C2506E">
        <w:rPr>
          <w:rFonts w:eastAsia="Calibri"/>
          <w:b/>
          <w:bCs/>
        </w:rPr>
        <w:t>Reever</w:t>
      </w:r>
      <w:proofErr w:type="spellEnd"/>
      <w:r w:rsidRPr="00C2506E">
        <w:rPr>
          <w:rFonts w:eastAsia="Calibri"/>
          <w:b/>
          <w:bCs/>
        </w:rPr>
        <w:t xml:space="preserve"> KE, Bach-Peterson J</w:t>
      </w:r>
      <w:r w:rsidRPr="00C2506E">
        <w:rPr>
          <w:rFonts w:eastAsia="Calibri"/>
        </w:rPr>
        <w:t xml:space="preserve">. Relatives of the impaired elderly: correlates of feelings of burden. </w:t>
      </w:r>
      <w:r w:rsidRPr="00DE0C81">
        <w:rPr>
          <w:rFonts w:eastAsia="Calibri"/>
          <w:i/>
          <w:iCs/>
        </w:rPr>
        <w:t>The Gerontologist,</w:t>
      </w:r>
      <w:r w:rsidRPr="00C2506E">
        <w:rPr>
          <w:rFonts w:eastAsia="Calibri"/>
        </w:rPr>
        <w:t xml:space="preserve"> 20, 649–55, 1980</w:t>
      </w:r>
    </w:p>
    <w:p w14:paraId="3ADF7927" w14:textId="68C58D76" w:rsidR="00F02E1B" w:rsidRPr="00C2506E" w:rsidRDefault="00F02E1B" w:rsidP="008E1EB7">
      <w:pPr>
        <w:pStyle w:val="NZVJParagraph"/>
      </w:pPr>
      <w:bookmarkStart w:id="17" w:name="_GoBack"/>
      <w:bookmarkEnd w:id="17"/>
    </w:p>
    <w:p w14:paraId="452060CE" w14:textId="541B6ADD" w:rsidR="0037483B" w:rsidRPr="00C2506E" w:rsidRDefault="0037483B" w:rsidP="008E1EB7">
      <w:pPr>
        <w:pStyle w:val="NZVJParagraph"/>
      </w:pPr>
      <w:r w:rsidRPr="00C2506E">
        <w:t>* Non-peer-reviewed</w:t>
      </w:r>
    </w:p>
    <w:p w14:paraId="062E8905" w14:textId="77777777" w:rsidR="0037483B" w:rsidRPr="00C2506E" w:rsidRDefault="0037483B" w:rsidP="008E1EB7">
      <w:pPr>
        <w:pStyle w:val="NZVJParagraph"/>
      </w:pPr>
    </w:p>
    <w:p w14:paraId="424B318C" w14:textId="7D8194EC" w:rsidR="0037483B" w:rsidRPr="00C2506E" w:rsidRDefault="0037483B" w:rsidP="008E1EB7">
      <w:pPr>
        <w:pStyle w:val="NZVJParagraph"/>
      </w:pPr>
      <w:r w:rsidRPr="00C2506E">
        <w:t xml:space="preserve">Submitted </w:t>
      </w:r>
      <w:r w:rsidR="00D3662C">
        <w:t>7 September 2020</w:t>
      </w:r>
    </w:p>
    <w:p w14:paraId="59B8B28E" w14:textId="2D56F900" w:rsidR="0037483B" w:rsidRPr="00C2506E" w:rsidRDefault="0037483B" w:rsidP="008E1EB7">
      <w:pPr>
        <w:pStyle w:val="NZVJParagraph"/>
      </w:pPr>
      <w:r w:rsidRPr="00C2506E">
        <w:t xml:space="preserve">Accepted for publication </w:t>
      </w:r>
      <w:r w:rsidR="005340FB">
        <w:t>26 May 2020</w:t>
      </w:r>
    </w:p>
    <w:p w14:paraId="31ADA089" w14:textId="5B74E586" w:rsidR="00BD597E" w:rsidRPr="00C2506E" w:rsidRDefault="00BD597E">
      <w:pPr>
        <w:autoSpaceDE/>
        <w:autoSpaceDN/>
        <w:adjustRightInd/>
        <w:rPr>
          <w:rFonts w:eastAsia="Times New Roman"/>
          <w:color w:val="000000" w:themeColor="text1"/>
        </w:rPr>
      </w:pPr>
      <w:r w:rsidRPr="00C2506E">
        <w:rPr>
          <w:color w:val="000000" w:themeColor="text1"/>
        </w:rPr>
        <w:br w:type="page"/>
      </w:r>
    </w:p>
    <w:p w14:paraId="7B8BB8F2" w14:textId="4CE33154" w:rsidR="00341246" w:rsidRPr="00C2506E" w:rsidRDefault="00C2506E" w:rsidP="003B2FF1">
      <w:pPr>
        <w:pStyle w:val="NZVJTableheading"/>
        <w:rPr>
          <w:rFonts w:cs="Times New Roman"/>
        </w:rPr>
      </w:pPr>
      <w:r w:rsidRPr="00C2506E">
        <w:lastRenderedPageBreak/>
        <w:t xml:space="preserve">Table 1. </w:t>
      </w:r>
      <w:r w:rsidR="00341246" w:rsidRPr="00C2506E">
        <w:rPr>
          <w:shd w:val="clear" w:color="auto" w:fill="FFFFFF"/>
        </w:rPr>
        <w:t>Demographic information reported by veterinary staff of three small animal hospitals in the southwestern United States who had (</w:t>
      </w:r>
      <w:r w:rsidR="00F32A3F">
        <w:rPr>
          <w:shd w:val="clear" w:color="auto" w:fill="FFFFFF"/>
        </w:rPr>
        <w:t>i</w:t>
      </w:r>
      <w:r w:rsidR="00341246" w:rsidRPr="00C2506E">
        <w:rPr>
          <w:shd w:val="clear" w:color="auto" w:fill="FFFFFF"/>
        </w:rPr>
        <w:t>ntervention group; n=16) or had not (</w:t>
      </w:r>
      <w:r w:rsidR="00F32A3F">
        <w:rPr>
          <w:shd w:val="clear" w:color="auto" w:fill="FFFFFF"/>
        </w:rPr>
        <w:t>c</w:t>
      </w:r>
      <w:r w:rsidR="00341246" w:rsidRPr="00C2506E">
        <w:rPr>
          <w:shd w:val="clear" w:color="auto" w:fill="FFFFFF"/>
        </w:rPr>
        <w:t xml:space="preserve">ontrol group; n=18) completed an educational programme based on </w:t>
      </w:r>
      <w:r w:rsidR="00B02D22">
        <w:rPr>
          <w:shd w:val="clear" w:color="auto" w:fill="FFFFFF"/>
        </w:rPr>
        <w:t>a</w:t>
      </w:r>
      <w:r w:rsidR="00341246" w:rsidRPr="00C2506E">
        <w:rPr>
          <w:shd w:val="clear" w:color="auto" w:fill="FFFFFF"/>
        </w:rPr>
        <w:t xml:space="preserve">cceptance and </w:t>
      </w:r>
      <w:r w:rsidR="00B02D22">
        <w:rPr>
          <w:shd w:val="clear" w:color="auto" w:fill="FFFFFF"/>
        </w:rPr>
        <w:t>c</w:t>
      </w:r>
      <w:r w:rsidR="00341246" w:rsidRPr="00C2506E">
        <w:rPr>
          <w:shd w:val="clear" w:color="auto" w:fill="FFFFFF"/>
        </w:rPr>
        <w:t xml:space="preserve">ommitment </w:t>
      </w:r>
      <w:r w:rsidR="00B02D22">
        <w:rPr>
          <w:shd w:val="clear" w:color="auto" w:fill="FFFFFF"/>
        </w:rPr>
        <w:t>t</w:t>
      </w:r>
      <w:r w:rsidR="00341246" w:rsidRPr="00C2506E">
        <w:rPr>
          <w:shd w:val="clear" w:color="auto" w:fill="FFFFFF"/>
        </w:rPr>
        <w:t xml:space="preserve">raining targeting difficult client interactions in veterinary medicine.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694"/>
        <w:gridCol w:w="2268"/>
        <w:gridCol w:w="1842"/>
        <w:gridCol w:w="1985"/>
      </w:tblGrid>
      <w:tr w:rsidR="00DE0C81" w:rsidRPr="00F35CDA" w14:paraId="17147301" w14:textId="77777777" w:rsidTr="00F35CDA">
        <w:trPr>
          <w:trHeight w:val="340"/>
        </w:trPr>
        <w:tc>
          <w:tcPr>
            <w:tcW w:w="2694" w:type="dxa"/>
            <w:tcBorders>
              <w:top w:val="single" w:sz="4" w:space="0" w:color="auto"/>
              <w:bottom w:val="single" w:sz="4" w:space="0" w:color="auto"/>
            </w:tcBorders>
            <w:vAlign w:val="center"/>
          </w:tcPr>
          <w:p w14:paraId="17EC9B5B" w14:textId="63C7B2E2" w:rsidR="00DE0C81" w:rsidRPr="00F35CDA" w:rsidRDefault="00DE0C81" w:rsidP="00F35CDA">
            <w:pPr>
              <w:pStyle w:val="NZVJTableText"/>
              <w:rPr>
                <w:b/>
                <w:bCs/>
              </w:rPr>
            </w:pPr>
            <w:proofErr w:type="spellStart"/>
            <w:r w:rsidRPr="00F35CDA">
              <w:rPr>
                <w:b/>
                <w:bCs/>
              </w:rPr>
              <w:t>Variable</w:t>
            </w:r>
            <w:r w:rsidR="00FE02FD" w:rsidRPr="00F35CDA">
              <w:rPr>
                <w:b/>
                <w:bCs/>
                <w:vertAlign w:val="superscript"/>
              </w:rPr>
              <w:t>a</w:t>
            </w:r>
            <w:proofErr w:type="spellEnd"/>
          </w:p>
        </w:tc>
        <w:tc>
          <w:tcPr>
            <w:tcW w:w="2268" w:type="dxa"/>
            <w:tcBorders>
              <w:top w:val="single" w:sz="4" w:space="0" w:color="auto"/>
              <w:bottom w:val="single" w:sz="4" w:space="0" w:color="auto"/>
            </w:tcBorders>
            <w:vAlign w:val="center"/>
          </w:tcPr>
          <w:p w14:paraId="6B10B8B7" w14:textId="4C6D5974" w:rsidR="00DE0C81" w:rsidRPr="00F35CDA" w:rsidRDefault="00DE0C81" w:rsidP="00F35CDA">
            <w:pPr>
              <w:pStyle w:val="NZVJTableText"/>
              <w:jc w:val="center"/>
              <w:rPr>
                <w:b/>
                <w:bCs/>
              </w:rPr>
            </w:pPr>
            <w:r w:rsidRPr="00F35CDA">
              <w:rPr>
                <w:b/>
                <w:bCs/>
              </w:rPr>
              <w:t>Intervention</w:t>
            </w:r>
          </w:p>
        </w:tc>
        <w:tc>
          <w:tcPr>
            <w:tcW w:w="1842" w:type="dxa"/>
            <w:tcBorders>
              <w:top w:val="single" w:sz="4" w:space="0" w:color="auto"/>
              <w:bottom w:val="single" w:sz="4" w:space="0" w:color="auto"/>
            </w:tcBorders>
            <w:vAlign w:val="center"/>
          </w:tcPr>
          <w:p w14:paraId="7B8B2955" w14:textId="41465BE8" w:rsidR="00DE0C81" w:rsidRPr="00F35CDA" w:rsidRDefault="00DE0C81" w:rsidP="00F35CDA">
            <w:pPr>
              <w:pStyle w:val="NZVJTableText"/>
              <w:jc w:val="center"/>
              <w:rPr>
                <w:b/>
                <w:bCs/>
              </w:rPr>
            </w:pPr>
            <w:r w:rsidRPr="00F35CDA">
              <w:rPr>
                <w:b/>
                <w:bCs/>
              </w:rPr>
              <w:t>Control</w:t>
            </w:r>
          </w:p>
        </w:tc>
        <w:tc>
          <w:tcPr>
            <w:tcW w:w="1985" w:type="dxa"/>
            <w:tcBorders>
              <w:top w:val="single" w:sz="4" w:space="0" w:color="auto"/>
              <w:bottom w:val="single" w:sz="4" w:space="0" w:color="auto"/>
            </w:tcBorders>
            <w:vAlign w:val="center"/>
          </w:tcPr>
          <w:p w14:paraId="24BD8E9A" w14:textId="1ADF8C4E" w:rsidR="00DE0C81" w:rsidRPr="00F35CDA" w:rsidRDefault="00DE0C81" w:rsidP="00F35CDA">
            <w:pPr>
              <w:pStyle w:val="NZVJTableText"/>
              <w:jc w:val="center"/>
              <w:rPr>
                <w:b/>
                <w:bCs/>
              </w:rPr>
            </w:pPr>
            <w:r w:rsidRPr="00F35CDA">
              <w:rPr>
                <w:b/>
                <w:bCs/>
              </w:rPr>
              <w:t>Total (n=34)</w:t>
            </w:r>
          </w:p>
        </w:tc>
      </w:tr>
      <w:tr w:rsidR="00DE0C81" w14:paraId="0E45071F" w14:textId="77777777" w:rsidTr="00F35CDA">
        <w:trPr>
          <w:trHeight w:val="340"/>
        </w:trPr>
        <w:tc>
          <w:tcPr>
            <w:tcW w:w="2694" w:type="dxa"/>
            <w:tcBorders>
              <w:top w:val="single" w:sz="4" w:space="0" w:color="auto"/>
            </w:tcBorders>
            <w:vAlign w:val="center"/>
          </w:tcPr>
          <w:p w14:paraId="068CA4AA" w14:textId="43471012" w:rsidR="00DE0C81" w:rsidRDefault="00DE0C81" w:rsidP="00F35CDA">
            <w:pPr>
              <w:pStyle w:val="NZVJTableText"/>
            </w:pPr>
            <w:r>
              <w:t>Age (years)</w:t>
            </w:r>
          </w:p>
        </w:tc>
        <w:tc>
          <w:tcPr>
            <w:tcW w:w="2268" w:type="dxa"/>
            <w:tcBorders>
              <w:top w:val="single" w:sz="4" w:space="0" w:color="auto"/>
            </w:tcBorders>
            <w:vAlign w:val="center"/>
          </w:tcPr>
          <w:p w14:paraId="5C95C32E" w14:textId="7EC5E307" w:rsidR="00DE0C81" w:rsidRDefault="00DE0C81" w:rsidP="00F35CDA">
            <w:pPr>
              <w:pStyle w:val="NZVJTableText"/>
              <w:jc w:val="center"/>
            </w:pPr>
            <w:r>
              <w:t>36 (23</w:t>
            </w:r>
            <w:r w:rsidR="008B6779">
              <w:t xml:space="preserve">, </w:t>
            </w:r>
            <w:r>
              <w:t>54)</w:t>
            </w:r>
          </w:p>
        </w:tc>
        <w:tc>
          <w:tcPr>
            <w:tcW w:w="1842" w:type="dxa"/>
            <w:tcBorders>
              <w:top w:val="single" w:sz="4" w:space="0" w:color="auto"/>
            </w:tcBorders>
            <w:vAlign w:val="center"/>
          </w:tcPr>
          <w:p w14:paraId="786DA91A" w14:textId="770BD5D8" w:rsidR="00DE0C81" w:rsidRDefault="00DE0C81" w:rsidP="00F35CDA">
            <w:pPr>
              <w:pStyle w:val="NZVJTableText"/>
              <w:jc w:val="center"/>
            </w:pPr>
            <w:r>
              <w:t>36 (21</w:t>
            </w:r>
            <w:r w:rsidR="008B6779">
              <w:t xml:space="preserve">, </w:t>
            </w:r>
            <w:r>
              <w:t>58)</w:t>
            </w:r>
          </w:p>
        </w:tc>
        <w:tc>
          <w:tcPr>
            <w:tcW w:w="1985" w:type="dxa"/>
            <w:tcBorders>
              <w:top w:val="single" w:sz="4" w:space="0" w:color="auto"/>
            </w:tcBorders>
            <w:vAlign w:val="center"/>
          </w:tcPr>
          <w:p w14:paraId="21FD5225" w14:textId="23622EE5" w:rsidR="00DE0C81" w:rsidRDefault="00DE0C81" w:rsidP="00F35CDA">
            <w:pPr>
              <w:pStyle w:val="NZVJTableText"/>
              <w:jc w:val="center"/>
            </w:pPr>
            <w:r>
              <w:t>35 (21</w:t>
            </w:r>
            <w:r w:rsidR="008B6779">
              <w:t xml:space="preserve">, </w:t>
            </w:r>
            <w:r>
              <w:t>58)</w:t>
            </w:r>
          </w:p>
        </w:tc>
      </w:tr>
      <w:tr w:rsidR="00DE0C81" w14:paraId="36F584CF" w14:textId="77777777" w:rsidTr="00F35CDA">
        <w:trPr>
          <w:trHeight w:val="340"/>
        </w:trPr>
        <w:tc>
          <w:tcPr>
            <w:tcW w:w="2694" w:type="dxa"/>
            <w:vAlign w:val="center"/>
          </w:tcPr>
          <w:p w14:paraId="092EF427" w14:textId="391CF9CC" w:rsidR="00DE0C81" w:rsidRDefault="00DE0C81" w:rsidP="00F35CDA">
            <w:pPr>
              <w:pStyle w:val="NZVJTableText"/>
            </w:pPr>
            <w:r>
              <w:t>Race/ethnicity</w:t>
            </w:r>
          </w:p>
        </w:tc>
        <w:tc>
          <w:tcPr>
            <w:tcW w:w="2268" w:type="dxa"/>
            <w:vAlign w:val="center"/>
          </w:tcPr>
          <w:p w14:paraId="69591F02" w14:textId="77777777" w:rsidR="00DE0C81" w:rsidRDefault="00DE0C81" w:rsidP="00F35CDA">
            <w:pPr>
              <w:pStyle w:val="NZVJTableText"/>
              <w:jc w:val="center"/>
            </w:pPr>
          </w:p>
        </w:tc>
        <w:tc>
          <w:tcPr>
            <w:tcW w:w="1842" w:type="dxa"/>
            <w:vAlign w:val="center"/>
          </w:tcPr>
          <w:p w14:paraId="1B077B53" w14:textId="77777777" w:rsidR="00DE0C81" w:rsidRDefault="00DE0C81" w:rsidP="00F35CDA">
            <w:pPr>
              <w:pStyle w:val="NZVJTableText"/>
              <w:jc w:val="center"/>
            </w:pPr>
          </w:p>
        </w:tc>
        <w:tc>
          <w:tcPr>
            <w:tcW w:w="1985" w:type="dxa"/>
            <w:vAlign w:val="center"/>
          </w:tcPr>
          <w:p w14:paraId="0912F2B3" w14:textId="77777777" w:rsidR="00DE0C81" w:rsidRDefault="00DE0C81" w:rsidP="00F35CDA">
            <w:pPr>
              <w:pStyle w:val="NZVJTableText"/>
              <w:jc w:val="center"/>
            </w:pPr>
          </w:p>
        </w:tc>
      </w:tr>
      <w:tr w:rsidR="00DE0C81" w14:paraId="5A22AC39" w14:textId="77777777" w:rsidTr="00F35CDA">
        <w:trPr>
          <w:trHeight w:val="340"/>
        </w:trPr>
        <w:tc>
          <w:tcPr>
            <w:tcW w:w="2694" w:type="dxa"/>
            <w:vAlign w:val="center"/>
          </w:tcPr>
          <w:p w14:paraId="03F4D37E" w14:textId="05635646" w:rsidR="00DE0C81" w:rsidRDefault="00DE0C81" w:rsidP="00F35CDA">
            <w:pPr>
              <w:pStyle w:val="NZVJTableText"/>
            </w:pPr>
            <w:r>
              <w:t xml:space="preserve">   Caucasian/white</w:t>
            </w:r>
          </w:p>
        </w:tc>
        <w:tc>
          <w:tcPr>
            <w:tcW w:w="2268" w:type="dxa"/>
            <w:vAlign w:val="center"/>
          </w:tcPr>
          <w:p w14:paraId="62623787" w14:textId="4B167132" w:rsidR="00DE0C81" w:rsidRDefault="00DE0C81" w:rsidP="00F35CDA">
            <w:pPr>
              <w:pStyle w:val="NZVJTableText"/>
              <w:jc w:val="center"/>
            </w:pPr>
            <w:r>
              <w:t>12 (75%)</w:t>
            </w:r>
          </w:p>
        </w:tc>
        <w:tc>
          <w:tcPr>
            <w:tcW w:w="1842" w:type="dxa"/>
            <w:vAlign w:val="center"/>
          </w:tcPr>
          <w:p w14:paraId="6CF91D11" w14:textId="521FD9D3" w:rsidR="00DE0C81" w:rsidRDefault="00DE0C81" w:rsidP="00F35CDA">
            <w:pPr>
              <w:pStyle w:val="NZVJTableText"/>
              <w:jc w:val="center"/>
            </w:pPr>
            <w:r>
              <w:t>16 (88.9%)</w:t>
            </w:r>
          </w:p>
        </w:tc>
        <w:tc>
          <w:tcPr>
            <w:tcW w:w="1985" w:type="dxa"/>
            <w:vAlign w:val="center"/>
          </w:tcPr>
          <w:p w14:paraId="2BDD0C03" w14:textId="3B97C6FD" w:rsidR="00DE0C81" w:rsidRDefault="00DE0C81" w:rsidP="00F35CDA">
            <w:pPr>
              <w:pStyle w:val="NZVJTableText"/>
              <w:jc w:val="center"/>
            </w:pPr>
            <w:r>
              <w:t>28 (84.2%)</w:t>
            </w:r>
          </w:p>
        </w:tc>
      </w:tr>
      <w:tr w:rsidR="00DE0C81" w14:paraId="631F0B1D" w14:textId="77777777" w:rsidTr="00F35CDA">
        <w:trPr>
          <w:trHeight w:val="340"/>
        </w:trPr>
        <w:tc>
          <w:tcPr>
            <w:tcW w:w="2694" w:type="dxa"/>
            <w:vAlign w:val="center"/>
          </w:tcPr>
          <w:p w14:paraId="7F35FE70" w14:textId="613CB3C8" w:rsidR="00DE0C81" w:rsidRDefault="00DE0C81" w:rsidP="00F35CDA">
            <w:pPr>
              <w:pStyle w:val="NZVJTableText"/>
            </w:pPr>
            <w:r>
              <w:t xml:space="preserve">   Latinx/Hispanic</w:t>
            </w:r>
          </w:p>
        </w:tc>
        <w:tc>
          <w:tcPr>
            <w:tcW w:w="2268" w:type="dxa"/>
            <w:vAlign w:val="center"/>
          </w:tcPr>
          <w:p w14:paraId="556F18EE" w14:textId="6ABD112F" w:rsidR="00DE0C81" w:rsidRDefault="00DE0C81" w:rsidP="00F35CDA">
            <w:pPr>
              <w:pStyle w:val="NZVJTableText"/>
              <w:jc w:val="center"/>
            </w:pPr>
            <w:r>
              <w:t>2 (12.5%)</w:t>
            </w:r>
          </w:p>
        </w:tc>
        <w:tc>
          <w:tcPr>
            <w:tcW w:w="1842" w:type="dxa"/>
            <w:vAlign w:val="center"/>
          </w:tcPr>
          <w:p w14:paraId="221C413F" w14:textId="111CF5F9" w:rsidR="00DE0C81" w:rsidRDefault="00DE0C81" w:rsidP="00F35CDA">
            <w:pPr>
              <w:pStyle w:val="NZVJTableText"/>
              <w:jc w:val="center"/>
            </w:pPr>
            <w:r>
              <w:t>0</w:t>
            </w:r>
          </w:p>
        </w:tc>
        <w:tc>
          <w:tcPr>
            <w:tcW w:w="1985" w:type="dxa"/>
            <w:vAlign w:val="center"/>
          </w:tcPr>
          <w:p w14:paraId="30FFDF1C" w14:textId="27F89EA1" w:rsidR="00DE0C81" w:rsidRDefault="00DE0C81" w:rsidP="00F35CDA">
            <w:pPr>
              <w:pStyle w:val="NZVJTableText"/>
              <w:jc w:val="center"/>
            </w:pPr>
            <w:r>
              <w:t>2 (5.9%)</w:t>
            </w:r>
          </w:p>
        </w:tc>
      </w:tr>
      <w:tr w:rsidR="00DE0C81" w14:paraId="326777A6" w14:textId="77777777" w:rsidTr="00F35CDA">
        <w:trPr>
          <w:trHeight w:val="340"/>
        </w:trPr>
        <w:tc>
          <w:tcPr>
            <w:tcW w:w="2694" w:type="dxa"/>
            <w:vAlign w:val="center"/>
          </w:tcPr>
          <w:p w14:paraId="38FA3E7D" w14:textId="3BD762BC" w:rsidR="00DE0C81" w:rsidRDefault="00DE0C81" w:rsidP="00F35CDA">
            <w:pPr>
              <w:pStyle w:val="NZVJTableText"/>
            </w:pPr>
            <w:r>
              <w:t xml:space="preserve">   Native American</w:t>
            </w:r>
          </w:p>
        </w:tc>
        <w:tc>
          <w:tcPr>
            <w:tcW w:w="2268" w:type="dxa"/>
            <w:vAlign w:val="center"/>
          </w:tcPr>
          <w:p w14:paraId="733C0AE9" w14:textId="7973D8FE" w:rsidR="00DE0C81" w:rsidRDefault="00DE0C81" w:rsidP="00F35CDA">
            <w:pPr>
              <w:pStyle w:val="NZVJTableText"/>
              <w:jc w:val="center"/>
            </w:pPr>
            <w:r>
              <w:t>2 (12.5%)</w:t>
            </w:r>
          </w:p>
        </w:tc>
        <w:tc>
          <w:tcPr>
            <w:tcW w:w="1842" w:type="dxa"/>
            <w:vAlign w:val="center"/>
          </w:tcPr>
          <w:p w14:paraId="617B941D" w14:textId="6C587C43" w:rsidR="00DE0C81" w:rsidRDefault="00DE0C81" w:rsidP="00F35CDA">
            <w:pPr>
              <w:pStyle w:val="NZVJTableText"/>
              <w:jc w:val="center"/>
            </w:pPr>
            <w:r>
              <w:t>0</w:t>
            </w:r>
          </w:p>
        </w:tc>
        <w:tc>
          <w:tcPr>
            <w:tcW w:w="1985" w:type="dxa"/>
            <w:vAlign w:val="center"/>
          </w:tcPr>
          <w:p w14:paraId="5CEE05F5" w14:textId="19A3F713" w:rsidR="00DE0C81" w:rsidRDefault="00DE0C81" w:rsidP="00F35CDA">
            <w:pPr>
              <w:pStyle w:val="NZVJTableText"/>
              <w:jc w:val="center"/>
            </w:pPr>
            <w:r>
              <w:t>2 (5.9%)</w:t>
            </w:r>
          </w:p>
        </w:tc>
      </w:tr>
      <w:tr w:rsidR="00DE0C81" w14:paraId="17FA37C0" w14:textId="77777777" w:rsidTr="00F35CDA">
        <w:trPr>
          <w:trHeight w:val="340"/>
        </w:trPr>
        <w:tc>
          <w:tcPr>
            <w:tcW w:w="2694" w:type="dxa"/>
            <w:vAlign w:val="center"/>
          </w:tcPr>
          <w:p w14:paraId="4665E782" w14:textId="3B627CA1" w:rsidR="00DE0C81" w:rsidRDefault="00DE0C81" w:rsidP="00F35CDA">
            <w:pPr>
              <w:pStyle w:val="NZVJTableText"/>
            </w:pPr>
            <w:r>
              <w:t xml:space="preserve">   Asian American</w:t>
            </w:r>
          </w:p>
        </w:tc>
        <w:tc>
          <w:tcPr>
            <w:tcW w:w="2268" w:type="dxa"/>
            <w:vAlign w:val="center"/>
          </w:tcPr>
          <w:p w14:paraId="4E6F35A6" w14:textId="398104CE" w:rsidR="00DE0C81" w:rsidRDefault="00DE0C81" w:rsidP="00F35CDA">
            <w:pPr>
              <w:pStyle w:val="NZVJTableText"/>
              <w:jc w:val="center"/>
            </w:pPr>
            <w:r>
              <w:t>0</w:t>
            </w:r>
          </w:p>
        </w:tc>
        <w:tc>
          <w:tcPr>
            <w:tcW w:w="1842" w:type="dxa"/>
            <w:vAlign w:val="center"/>
          </w:tcPr>
          <w:p w14:paraId="1B6A0FD4" w14:textId="25A2190C" w:rsidR="00DE0C81" w:rsidRDefault="00DE0C81" w:rsidP="00F35CDA">
            <w:pPr>
              <w:pStyle w:val="NZVJTableText"/>
              <w:jc w:val="center"/>
            </w:pPr>
            <w:r>
              <w:t>0</w:t>
            </w:r>
          </w:p>
        </w:tc>
        <w:tc>
          <w:tcPr>
            <w:tcW w:w="1985" w:type="dxa"/>
            <w:vAlign w:val="center"/>
          </w:tcPr>
          <w:p w14:paraId="4EEDE86B" w14:textId="56A79C67" w:rsidR="00DE0C81" w:rsidRDefault="00DE0C81" w:rsidP="00F35CDA">
            <w:pPr>
              <w:pStyle w:val="NZVJTableText"/>
              <w:jc w:val="center"/>
            </w:pPr>
            <w:r>
              <w:t>0</w:t>
            </w:r>
          </w:p>
        </w:tc>
      </w:tr>
      <w:tr w:rsidR="00DE0C81" w14:paraId="28CF0B1C" w14:textId="77777777" w:rsidTr="00F35CDA">
        <w:trPr>
          <w:trHeight w:val="340"/>
        </w:trPr>
        <w:tc>
          <w:tcPr>
            <w:tcW w:w="2694" w:type="dxa"/>
            <w:vAlign w:val="center"/>
          </w:tcPr>
          <w:p w14:paraId="75398349" w14:textId="336686BA" w:rsidR="00DE0C81" w:rsidRDefault="00DE0C81" w:rsidP="00F35CDA">
            <w:pPr>
              <w:pStyle w:val="NZVJTableText"/>
            </w:pPr>
            <w:r>
              <w:t xml:space="preserve">   African American/Black</w:t>
            </w:r>
          </w:p>
        </w:tc>
        <w:tc>
          <w:tcPr>
            <w:tcW w:w="2268" w:type="dxa"/>
            <w:vAlign w:val="center"/>
          </w:tcPr>
          <w:p w14:paraId="3A6E6CC0" w14:textId="7727FA59" w:rsidR="00DE0C81" w:rsidRDefault="00DE0C81" w:rsidP="00F35CDA">
            <w:pPr>
              <w:pStyle w:val="NZVJTableText"/>
              <w:jc w:val="center"/>
            </w:pPr>
            <w:r>
              <w:t>0</w:t>
            </w:r>
          </w:p>
        </w:tc>
        <w:tc>
          <w:tcPr>
            <w:tcW w:w="1842" w:type="dxa"/>
            <w:vAlign w:val="center"/>
          </w:tcPr>
          <w:p w14:paraId="394EC483" w14:textId="53BC2DDA" w:rsidR="00DE0C81" w:rsidRDefault="00DE0C81" w:rsidP="00F35CDA">
            <w:pPr>
              <w:pStyle w:val="NZVJTableText"/>
              <w:jc w:val="center"/>
            </w:pPr>
            <w:r>
              <w:t>0</w:t>
            </w:r>
          </w:p>
        </w:tc>
        <w:tc>
          <w:tcPr>
            <w:tcW w:w="1985" w:type="dxa"/>
            <w:vAlign w:val="center"/>
          </w:tcPr>
          <w:p w14:paraId="1DD5A95D" w14:textId="1427209B" w:rsidR="00DE0C81" w:rsidRDefault="00DE0C81" w:rsidP="00F35CDA">
            <w:pPr>
              <w:pStyle w:val="NZVJTableText"/>
              <w:jc w:val="center"/>
            </w:pPr>
            <w:r>
              <w:t>0</w:t>
            </w:r>
          </w:p>
        </w:tc>
      </w:tr>
      <w:tr w:rsidR="00DE0C81" w14:paraId="7DB327DB" w14:textId="77777777" w:rsidTr="00F35CDA">
        <w:trPr>
          <w:trHeight w:val="340"/>
        </w:trPr>
        <w:tc>
          <w:tcPr>
            <w:tcW w:w="2694" w:type="dxa"/>
            <w:vAlign w:val="center"/>
          </w:tcPr>
          <w:p w14:paraId="77854D41" w14:textId="764F331C" w:rsidR="00DE0C81" w:rsidRDefault="00DE0C81" w:rsidP="00F35CDA">
            <w:pPr>
              <w:pStyle w:val="NZVJTableText"/>
            </w:pPr>
            <w:r>
              <w:t xml:space="preserve">   other</w:t>
            </w:r>
          </w:p>
        </w:tc>
        <w:tc>
          <w:tcPr>
            <w:tcW w:w="2268" w:type="dxa"/>
            <w:vAlign w:val="center"/>
          </w:tcPr>
          <w:p w14:paraId="4FF1BC23" w14:textId="5768A4B1" w:rsidR="00DE0C81" w:rsidRDefault="00DE0C81" w:rsidP="00F35CDA">
            <w:pPr>
              <w:pStyle w:val="NZVJTableText"/>
              <w:jc w:val="center"/>
            </w:pPr>
            <w:r>
              <w:t>0</w:t>
            </w:r>
          </w:p>
        </w:tc>
        <w:tc>
          <w:tcPr>
            <w:tcW w:w="1842" w:type="dxa"/>
            <w:vAlign w:val="center"/>
          </w:tcPr>
          <w:p w14:paraId="07CB5892" w14:textId="58D64B22" w:rsidR="00DE0C81" w:rsidRDefault="00DE0C81" w:rsidP="00F35CDA">
            <w:pPr>
              <w:pStyle w:val="NZVJTableText"/>
              <w:jc w:val="center"/>
            </w:pPr>
            <w:r>
              <w:t>2 (11.1%)</w:t>
            </w:r>
          </w:p>
        </w:tc>
        <w:tc>
          <w:tcPr>
            <w:tcW w:w="1985" w:type="dxa"/>
            <w:vAlign w:val="center"/>
          </w:tcPr>
          <w:p w14:paraId="1F1181F4" w14:textId="5BF7EAF9" w:rsidR="00DE0C81" w:rsidRDefault="00DE0C81" w:rsidP="00F35CDA">
            <w:pPr>
              <w:pStyle w:val="NZVJTableText"/>
              <w:jc w:val="center"/>
            </w:pPr>
            <w:r>
              <w:t>2 (5.9%)</w:t>
            </w:r>
          </w:p>
        </w:tc>
      </w:tr>
      <w:tr w:rsidR="00DE0C81" w14:paraId="71E9E083" w14:textId="77777777" w:rsidTr="00F35CDA">
        <w:trPr>
          <w:trHeight w:val="340"/>
        </w:trPr>
        <w:tc>
          <w:tcPr>
            <w:tcW w:w="2694" w:type="dxa"/>
            <w:vAlign w:val="center"/>
          </w:tcPr>
          <w:p w14:paraId="46B09BE9" w14:textId="2AB9FD48" w:rsidR="00DE0C81" w:rsidRDefault="00DE0C81" w:rsidP="00F35CDA">
            <w:pPr>
              <w:pStyle w:val="NZVJTableText"/>
            </w:pPr>
            <w:r>
              <w:t>Gender</w:t>
            </w:r>
          </w:p>
        </w:tc>
        <w:tc>
          <w:tcPr>
            <w:tcW w:w="2268" w:type="dxa"/>
            <w:vAlign w:val="center"/>
          </w:tcPr>
          <w:p w14:paraId="005A2133" w14:textId="77777777" w:rsidR="00DE0C81" w:rsidRDefault="00DE0C81" w:rsidP="00F35CDA">
            <w:pPr>
              <w:pStyle w:val="NZVJTableText"/>
              <w:jc w:val="center"/>
            </w:pPr>
          </w:p>
        </w:tc>
        <w:tc>
          <w:tcPr>
            <w:tcW w:w="1842" w:type="dxa"/>
            <w:vAlign w:val="center"/>
          </w:tcPr>
          <w:p w14:paraId="1CB8560E" w14:textId="77777777" w:rsidR="00DE0C81" w:rsidRDefault="00DE0C81" w:rsidP="00F35CDA">
            <w:pPr>
              <w:pStyle w:val="NZVJTableText"/>
              <w:jc w:val="center"/>
            </w:pPr>
          </w:p>
        </w:tc>
        <w:tc>
          <w:tcPr>
            <w:tcW w:w="1985" w:type="dxa"/>
            <w:vAlign w:val="center"/>
          </w:tcPr>
          <w:p w14:paraId="66CA1739" w14:textId="77777777" w:rsidR="00DE0C81" w:rsidRDefault="00DE0C81" w:rsidP="00F35CDA">
            <w:pPr>
              <w:pStyle w:val="NZVJTableText"/>
              <w:jc w:val="center"/>
            </w:pPr>
          </w:p>
        </w:tc>
      </w:tr>
      <w:tr w:rsidR="00DE0C81" w14:paraId="566F858E" w14:textId="77777777" w:rsidTr="00F35CDA">
        <w:trPr>
          <w:trHeight w:val="340"/>
        </w:trPr>
        <w:tc>
          <w:tcPr>
            <w:tcW w:w="2694" w:type="dxa"/>
            <w:vAlign w:val="center"/>
          </w:tcPr>
          <w:p w14:paraId="63F06F9D" w14:textId="712FE712" w:rsidR="00DE0C81" w:rsidRDefault="00DE0C81" w:rsidP="00F35CDA">
            <w:pPr>
              <w:pStyle w:val="NZVJTableText"/>
            </w:pPr>
            <w:r>
              <w:t xml:space="preserve">   Male</w:t>
            </w:r>
          </w:p>
        </w:tc>
        <w:tc>
          <w:tcPr>
            <w:tcW w:w="2268" w:type="dxa"/>
            <w:vAlign w:val="center"/>
          </w:tcPr>
          <w:p w14:paraId="19F6D3DF" w14:textId="50FE2B52" w:rsidR="00DE0C81" w:rsidRDefault="00DE0C81" w:rsidP="00F35CDA">
            <w:pPr>
              <w:pStyle w:val="NZVJTableText"/>
              <w:jc w:val="center"/>
            </w:pPr>
            <w:r>
              <w:t>0</w:t>
            </w:r>
          </w:p>
        </w:tc>
        <w:tc>
          <w:tcPr>
            <w:tcW w:w="1842" w:type="dxa"/>
            <w:vAlign w:val="center"/>
          </w:tcPr>
          <w:p w14:paraId="2D2AD2D3" w14:textId="740F78A0" w:rsidR="00DE0C81" w:rsidRDefault="00906923" w:rsidP="00F35CDA">
            <w:pPr>
              <w:pStyle w:val="NZVJTableText"/>
              <w:jc w:val="center"/>
            </w:pPr>
            <w:r>
              <w:t>2 (11.1%)</w:t>
            </w:r>
          </w:p>
        </w:tc>
        <w:tc>
          <w:tcPr>
            <w:tcW w:w="1985" w:type="dxa"/>
            <w:vAlign w:val="center"/>
          </w:tcPr>
          <w:p w14:paraId="5EE6C70F" w14:textId="033A0FF9" w:rsidR="00DE0C81" w:rsidRDefault="00DE0C81" w:rsidP="00F35CDA">
            <w:pPr>
              <w:pStyle w:val="NZVJTableText"/>
              <w:jc w:val="center"/>
            </w:pPr>
            <w:r>
              <w:t>0</w:t>
            </w:r>
          </w:p>
        </w:tc>
      </w:tr>
      <w:tr w:rsidR="00DE0C81" w14:paraId="7B86E9C8" w14:textId="77777777" w:rsidTr="00F35CDA">
        <w:trPr>
          <w:trHeight w:val="340"/>
        </w:trPr>
        <w:tc>
          <w:tcPr>
            <w:tcW w:w="2694" w:type="dxa"/>
            <w:vAlign w:val="center"/>
          </w:tcPr>
          <w:p w14:paraId="289F380E" w14:textId="2E07E954" w:rsidR="00DE0C81" w:rsidRDefault="00DE0C81" w:rsidP="00F35CDA">
            <w:pPr>
              <w:pStyle w:val="NZVJTableText"/>
            </w:pPr>
            <w:r>
              <w:t xml:space="preserve">   Female</w:t>
            </w:r>
          </w:p>
        </w:tc>
        <w:tc>
          <w:tcPr>
            <w:tcW w:w="2268" w:type="dxa"/>
            <w:vAlign w:val="center"/>
          </w:tcPr>
          <w:p w14:paraId="7F362755" w14:textId="2CCECD09" w:rsidR="00DE0C81" w:rsidRDefault="00DE0C81" w:rsidP="00F35CDA">
            <w:pPr>
              <w:pStyle w:val="NZVJTableText"/>
              <w:jc w:val="center"/>
            </w:pPr>
            <w:r>
              <w:t>16 (100%)</w:t>
            </w:r>
          </w:p>
        </w:tc>
        <w:tc>
          <w:tcPr>
            <w:tcW w:w="1842" w:type="dxa"/>
            <w:vAlign w:val="center"/>
          </w:tcPr>
          <w:p w14:paraId="5B8FD533" w14:textId="0125E22A" w:rsidR="00DE0C81" w:rsidRDefault="00B11ABD" w:rsidP="00F35CDA">
            <w:pPr>
              <w:pStyle w:val="NZVJTableText"/>
              <w:jc w:val="center"/>
            </w:pPr>
            <w:r>
              <w:t>16 (</w:t>
            </w:r>
            <w:r w:rsidR="00906923">
              <w:t>88.9%)</w:t>
            </w:r>
          </w:p>
        </w:tc>
        <w:tc>
          <w:tcPr>
            <w:tcW w:w="1985" w:type="dxa"/>
            <w:vAlign w:val="center"/>
          </w:tcPr>
          <w:p w14:paraId="37F2DFF7" w14:textId="68C9BA76" w:rsidR="00DE0C81" w:rsidRDefault="00906923" w:rsidP="00F35CDA">
            <w:pPr>
              <w:pStyle w:val="NZVJTableText"/>
              <w:jc w:val="center"/>
            </w:pPr>
            <w:r>
              <w:t>32 (94.1%)</w:t>
            </w:r>
          </w:p>
        </w:tc>
      </w:tr>
      <w:tr w:rsidR="00DE0C81" w14:paraId="4ABB15B1" w14:textId="77777777" w:rsidTr="00F35CDA">
        <w:trPr>
          <w:trHeight w:val="340"/>
        </w:trPr>
        <w:tc>
          <w:tcPr>
            <w:tcW w:w="2694" w:type="dxa"/>
            <w:vAlign w:val="center"/>
          </w:tcPr>
          <w:p w14:paraId="3E59BD4E" w14:textId="4327AEBA" w:rsidR="00DE0C81" w:rsidRDefault="00DE0C81" w:rsidP="00F35CDA">
            <w:pPr>
              <w:pStyle w:val="NZVJTableText"/>
            </w:pPr>
            <w:r>
              <w:t xml:space="preserve">   Prefer not to say</w:t>
            </w:r>
          </w:p>
        </w:tc>
        <w:tc>
          <w:tcPr>
            <w:tcW w:w="2268" w:type="dxa"/>
            <w:vAlign w:val="center"/>
          </w:tcPr>
          <w:p w14:paraId="13C02E15" w14:textId="1093764F" w:rsidR="00DE0C81" w:rsidRDefault="00906923" w:rsidP="00F35CDA">
            <w:pPr>
              <w:pStyle w:val="NZVJTableText"/>
              <w:jc w:val="center"/>
            </w:pPr>
            <w:r>
              <w:t>0</w:t>
            </w:r>
          </w:p>
        </w:tc>
        <w:tc>
          <w:tcPr>
            <w:tcW w:w="1842" w:type="dxa"/>
            <w:vAlign w:val="center"/>
          </w:tcPr>
          <w:p w14:paraId="4EB49FD0" w14:textId="042E62A2" w:rsidR="00DE0C81" w:rsidRDefault="00906923" w:rsidP="00F35CDA">
            <w:pPr>
              <w:pStyle w:val="NZVJTableText"/>
              <w:jc w:val="center"/>
            </w:pPr>
            <w:r>
              <w:t>0</w:t>
            </w:r>
          </w:p>
        </w:tc>
        <w:tc>
          <w:tcPr>
            <w:tcW w:w="1985" w:type="dxa"/>
            <w:vAlign w:val="center"/>
          </w:tcPr>
          <w:p w14:paraId="0263D3A5" w14:textId="028AA198" w:rsidR="00DE0C81" w:rsidRDefault="00906923" w:rsidP="00F35CDA">
            <w:pPr>
              <w:pStyle w:val="NZVJTableText"/>
              <w:jc w:val="center"/>
            </w:pPr>
            <w:r>
              <w:t>0</w:t>
            </w:r>
          </w:p>
        </w:tc>
      </w:tr>
      <w:tr w:rsidR="00DE0C81" w14:paraId="0618B8C4" w14:textId="77777777" w:rsidTr="00F35CDA">
        <w:trPr>
          <w:trHeight w:val="340"/>
        </w:trPr>
        <w:tc>
          <w:tcPr>
            <w:tcW w:w="2694" w:type="dxa"/>
            <w:vAlign w:val="center"/>
          </w:tcPr>
          <w:p w14:paraId="7788FF99" w14:textId="7002FA73" w:rsidR="00DE0C81" w:rsidRDefault="00DE0C81" w:rsidP="00F35CDA">
            <w:pPr>
              <w:pStyle w:val="NZVJTableText"/>
            </w:pPr>
            <w:r>
              <w:t>Years in field</w:t>
            </w:r>
          </w:p>
        </w:tc>
        <w:tc>
          <w:tcPr>
            <w:tcW w:w="2268" w:type="dxa"/>
            <w:vAlign w:val="center"/>
          </w:tcPr>
          <w:p w14:paraId="5DC29727" w14:textId="7F0EA11E" w:rsidR="00DE0C81" w:rsidRDefault="00294CA7" w:rsidP="00F35CDA">
            <w:pPr>
              <w:pStyle w:val="NZVJTableText"/>
              <w:jc w:val="center"/>
            </w:pPr>
            <w:r>
              <w:t>7 (1</w:t>
            </w:r>
            <w:r w:rsidR="00FE4896">
              <w:t xml:space="preserve">, </w:t>
            </w:r>
            <w:r>
              <w:t>33)</w:t>
            </w:r>
          </w:p>
        </w:tc>
        <w:tc>
          <w:tcPr>
            <w:tcW w:w="1842" w:type="dxa"/>
            <w:vAlign w:val="center"/>
          </w:tcPr>
          <w:p w14:paraId="0D2D95B4" w14:textId="0153C8AA" w:rsidR="00DE0C81" w:rsidRDefault="00294CA7" w:rsidP="00F35CDA">
            <w:pPr>
              <w:pStyle w:val="NZVJTableText"/>
              <w:jc w:val="center"/>
            </w:pPr>
            <w:r>
              <w:t>8 (1</w:t>
            </w:r>
            <w:r w:rsidR="00FE4896">
              <w:t xml:space="preserve">, </w:t>
            </w:r>
            <w:r>
              <w:t>27)</w:t>
            </w:r>
          </w:p>
        </w:tc>
        <w:tc>
          <w:tcPr>
            <w:tcW w:w="1985" w:type="dxa"/>
            <w:vAlign w:val="center"/>
          </w:tcPr>
          <w:p w14:paraId="28D4C866" w14:textId="27105B05" w:rsidR="00DE0C81" w:rsidRDefault="00D023BE" w:rsidP="00F35CDA">
            <w:pPr>
              <w:pStyle w:val="NZVJTableText"/>
              <w:jc w:val="center"/>
            </w:pPr>
            <w:r>
              <w:t>8 (1–</w:t>
            </w:r>
            <w:r w:rsidR="00FE4896">
              <w:t xml:space="preserve">, </w:t>
            </w:r>
            <w:r>
              <w:t>3)</w:t>
            </w:r>
          </w:p>
        </w:tc>
      </w:tr>
      <w:tr w:rsidR="00DE0C81" w14:paraId="3B29D517" w14:textId="77777777" w:rsidTr="00F35CDA">
        <w:trPr>
          <w:trHeight w:val="340"/>
        </w:trPr>
        <w:tc>
          <w:tcPr>
            <w:tcW w:w="2694" w:type="dxa"/>
            <w:vAlign w:val="center"/>
          </w:tcPr>
          <w:p w14:paraId="77C0936E" w14:textId="6189B3B8" w:rsidR="00DE0C81" w:rsidRDefault="00DE0C81" w:rsidP="00F35CDA">
            <w:pPr>
              <w:pStyle w:val="NZVJTableText"/>
            </w:pPr>
            <w:r>
              <w:t>Position</w:t>
            </w:r>
          </w:p>
        </w:tc>
        <w:tc>
          <w:tcPr>
            <w:tcW w:w="2268" w:type="dxa"/>
            <w:vAlign w:val="center"/>
          </w:tcPr>
          <w:p w14:paraId="31E4DD2C" w14:textId="77777777" w:rsidR="00DE0C81" w:rsidRDefault="00DE0C81" w:rsidP="00F35CDA">
            <w:pPr>
              <w:pStyle w:val="NZVJTableText"/>
              <w:jc w:val="center"/>
            </w:pPr>
          </w:p>
        </w:tc>
        <w:tc>
          <w:tcPr>
            <w:tcW w:w="1842" w:type="dxa"/>
            <w:vAlign w:val="center"/>
          </w:tcPr>
          <w:p w14:paraId="34059E5A" w14:textId="77777777" w:rsidR="00DE0C81" w:rsidRDefault="00DE0C81" w:rsidP="00F35CDA">
            <w:pPr>
              <w:pStyle w:val="NZVJTableText"/>
              <w:jc w:val="center"/>
            </w:pPr>
          </w:p>
        </w:tc>
        <w:tc>
          <w:tcPr>
            <w:tcW w:w="1985" w:type="dxa"/>
            <w:vAlign w:val="center"/>
          </w:tcPr>
          <w:p w14:paraId="5698B378" w14:textId="77777777" w:rsidR="00DE0C81" w:rsidRDefault="00DE0C81" w:rsidP="00F35CDA">
            <w:pPr>
              <w:pStyle w:val="NZVJTableText"/>
              <w:jc w:val="center"/>
            </w:pPr>
          </w:p>
        </w:tc>
      </w:tr>
      <w:tr w:rsidR="00D023BE" w14:paraId="15455820" w14:textId="77777777" w:rsidTr="00F35CDA">
        <w:trPr>
          <w:trHeight w:val="340"/>
        </w:trPr>
        <w:tc>
          <w:tcPr>
            <w:tcW w:w="2694" w:type="dxa"/>
            <w:vAlign w:val="center"/>
          </w:tcPr>
          <w:p w14:paraId="2B745900" w14:textId="66271C7A" w:rsidR="00D023BE" w:rsidRDefault="00D023BE" w:rsidP="00F35CDA">
            <w:pPr>
              <w:pStyle w:val="NZVJTableText"/>
            </w:pPr>
            <w:r>
              <w:t xml:space="preserve">   Veterinarian</w:t>
            </w:r>
          </w:p>
        </w:tc>
        <w:tc>
          <w:tcPr>
            <w:tcW w:w="2268" w:type="dxa"/>
            <w:vAlign w:val="center"/>
          </w:tcPr>
          <w:p w14:paraId="29872CBE" w14:textId="0DD9481F" w:rsidR="00D023BE" w:rsidRDefault="00D023BE" w:rsidP="00F35CDA">
            <w:pPr>
              <w:pStyle w:val="NZVJTableText"/>
              <w:jc w:val="center"/>
            </w:pPr>
            <w:r>
              <w:t>4 (25</w:t>
            </w:r>
            <w:r w:rsidR="00025A61">
              <w:t>.0</w:t>
            </w:r>
            <w:r>
              <w:t>%)</w:t>
            </w:r>
          </w:p>
        </w:tc>
        <w:tc>
          <w:tcPr>
            <w:tcW w:w="1842" w:type="dxa"/>
            <w:vAlign w:val="center"/>
          </w:tcPr>
          <w:p w14:paraId="41CC4366" w14:textId="39F3BADB" w:rsidR="00D023BE" w:rsidRDefault="00025A61" w:rsidP="00F35CDA">
            <w:pPr>
              <w:pStyle w:val="NZVJTableText"/>
              <w:jc w:val="center"/>
            </w:pPr>
            <w:r>
              <w:t>4 (22.2%)</w:t>
            </w:r>
          </w:p>
        </w:tc>
        <w:tc>
          <w:tcPr>
            <w:tcW w:w="1985" w:type="dxa"/>
            <w:vAlign w:val="center"/>
          </w:tcPr>
          <w:p w14:paraId="544279BE" w14:textId="19BACC3B" w:rsidR="00D023BE" w:rsidRDefault="00373171" w:rsidP="00F35CDA">
            <w:pPr>
              <w:pStyle w:val="NZVJTableText"/>
              <w:jc w:val="center"/>
            </w:pPr>
            <w:r>
              <w:t>8 (23.5%)</w:t>
            </w:r>
          </w:p>
        </w:tc>
      </w:tr>
      <w:tr w:rsidR="00D023BE" w14:paraId="3A02FDD1" w14:textId="77777777" w:rsidTr="00F35CDA">
        <w:trPr>
          <w:trHeight w:val="340"/>
        </w:trPr>
        <w:tc>
          <w:tcPr>
            <w:tcW w:w="2694" w:type="dxa"/>
            <w:vAlign w:val="center"/>
          </w:tcPr>
          <w:p w14:paraId="50627E58" w14:textId="61EC2A23" w:rsidR="00D023BE" w:rsidRDefault="00D023BE" w:rsidP="00F35CDA">
            <w:pPr>
              <w:pStyle w:val="NZVJTableText"/>
            </w:pPr>
            <w:r>
              <w:t xml:space="preserve">   Technician</w:t>
            </w:r>
          </w:p>
        </w:tc>
        <w:tc>
          <w:tcPr>
            <w:tcW w:w="2268" w:type="dxa"/>
            <w:vAlign w:val="center"/>
          </w:tcPr>
          <w:p w14:paraId="6D95D9D9" w14:textId="48795E21" w:rsidR="00D023BE" w:rsidRDefault="00D023BE" w:rsidP="00F35CDA">
            <w:pPr>
              <w:pStyle w:val="NZVJTableText"/>
              <w:jc w:val="center"/>
            </w:pPr>
            <w:r>
              <w:t>5 (31/1%)</w:t>
            </w:r>
          </w:p>
        </w:tc>
        <w:tc>
          <w:tcPr>
            <w:tcW w:w="1842" w:type="dxa"/>
            <w:vAlign w:val="center"/>
          </w:tcPr>
          <w:p w14:paraId="28D3388B" w14:textId="5FDD9D31" w:rsidR="00D023BE" w:rsidRDefault="00025A61" w:rsidP="00F35CDA">
            <w:pPr>
              <w:pStyle w:val="NZVJTableText"/>
              <w:jc w:val="center"/>
            </w:pPr>
            <w:r>
              <w:t>8 (44.4%)</w:t>
            </w:r>
          </w:p>
        </w:tc>
        <w:tc>
          <w:tcPr>
            <w:tcW w:w="1985" w:type="dxa"/>
            <w:vAlign w:val="center"/>
          </w:tcPr>
          <w:p w14:paraId="4A2CF6C0" w14:textId="413E9FED" w:rsidR="00D023BE" w:rsidRDefault="00373171" w:rsidP="00F35CDA">
            <w:pPr>
              <w:pStyle w:val="NZVJTableText"/>
              <w:jc w:val="center"/>
            </w:pPr>
            <w:r>
              <w:t>13 (38.2%)</w:t>
            </w:r>
          </w:p>
        </w:tc>
      </w:tr>
      <w:tr w:rsidR="00D023BE" w14:paraId="0E430AF9" w14:textId="77777777" w:rsidTr="00F35CDA">
        <w:trPr>
          <w:trHeight w:val="340"/>
        </w:trPr>
        <w:tc>
          <w:tcPr>
            <w:tcW w:w="2694" w:type="dxa"/>
            <w:vAlign w:val="center"/>
          </w:tcPr>
          <w:p w14:paraId="48DF7C45" w14:textId="38FCBFE3" w:rsidR="00D023BE" w:rsidRDefault="00D023BE" w:rsidP="00F35CDA">
            <w:pPr>
              <w:pStyle w:val="NZVJTableText"/>
            </w:pPr>
            <w:r>
              <w:t xml:space="preserve">   Assistant</w:t>
            </w:r>
          </w:p>
        </w:tc>
        <w:tc>
          <w:tcPr>
            <w:tcW w:w="2268" w:type="dxa"/>
            <w:vAlign w:val="center"/>
          </w:tcPr>
          <w:p w14:paraId="40AF4E37" w14:textId="7BA0572F" w:rsidR="00D023BE" w:rsidRDefault="00025A61" w:rsidP="00F35CDA">
            <w:pPr>
              <w:pStyle w:val="NZVJTableText"/>
              <w:jc w:val="center"/>
            </w:pPr>
            <w:r>
              <w:t>0</w:t>
            </w:r>
          </w:p>
        </w:tc>
        <w:tc>
          <w:tcPr>
            <w:tcW w:w="1842" w:type="dxa"/>
            <w:vAlign w:val="center"/>
          </w:tcPr>
          <w:p w14:paraId="20586415" w14:textId="7686EDD6" w:rsidR="00D023BE" w:rsidRDefault="00373171" w:rsidP="00F35CDA">
            <w:pPr>
              <w:pStyle w:val="NZVJTableText"/>
              <w:jc w:val="center"/>
            </w:pPr>
            <w:r>
              <w:t>2 (11.1%)</w:t>
            </w:r>
          </w:p>
        </w:tc>
        <w:tc>
          <w:tcPr>
            <w:tcW w:w="1985" w:type="dxa"/>
            <w:vAlign w:val="center"/>
          </w:tcPr>
          <w:p w14:paraId="7A0433C5" w14:textId="47B1541D" w:rsidR="00D023BE" w:rsidRDefault="00373171" w:rsidP="00F35CDA">
            <w:pPr>
              <w:pStyle w:val="NZVJTableText"/>
              <w:jc w:val="center"/>
            </w:pPr>
            <w:r>
              <w:t>2 (5.9%)</w:t>
            </w:r>
          </w:p>
        </w:tc>
      </w:tr>
      <w:tr w:rsidR="00D023BE" w14:paraId="3A45FAF7" w14:textId="77777777" w:rsidTr="00F35CDA">
        <w:trPr>
          <w:trHeight w:val="340"/>
        </w:trPr>
        <w:tc>
          <w:tcPr>
            <w:tcW w:w="2694" w:type="dxa"/>
            <w:vAlign w:val="center"/>
          </w:tcPr>
          <w:p w14:paraId="678C96AE" w14:textId="00D887F0" w:rsidR="00D023BE" w:rsidRDefault="00D023BE" w:rsidP="00F35CDA">
            <w:pPr>
              <w:pStyle w:val="NZVJTableText"/>
            </w:pPr>
            <w:r>
              <w:t xml:space="preserve">   Customer service</w:t>
            </w:r>
          </w:p>
        </w:tc>
        <w:tc>
          <w:tcPr>
            <w:tcW w:w="2268" w:type="dxa"/>
            <w:vAlign w:val="center"/>
          </w:tcPr>
          <w:p w14:paraId="177D8E92" w14:textId="5F32D343" w:rsidR="00D023BE" w:rsidRDefault="00025A61" w:rsidP="00F35CDA">
            <w:pPr>
              <w:pStyle w:val="NZVJTableText"/>
              <w:jc w:val="center"/>
            </w:pPr>
            <w:r>
              <w:t>4 (25.0%)</w:t>
            </w:r>
          </w:p>
        </w:tc>
        <w:tc>
          <w:tcPr>
            <w:tcW w:w="1842" w:type="dxa"/>
            <w:vAlign w:val="center"/>
          </w:tcPr>
          <w:p w14:paraId="46D32618" w14:textId="5B9744EB" w:rsidR="00D023BE" w:rsidRDefault="00373171" w:rsidP="00F35CDA">
            <w:pPr>
              <w:pStyle w:val="NZVJTableText"/>
              <w:jc w:val="center"/>
            </w:pPr>
            <w:r>
              <w:t>2 (11.1%)</w:t>
            </w:r>
          </w:p>
        </w:tc>
        <w:tc>
          <w:tcPr>
            <w:tcW w:w="1985" w:type="dxa"/>
            <w:vAlign w:val="center"/>
          </w:tcPr>
          <w:p w14:paraId="2D694342" w14:textId="3F04648F" w:rsidR="00D023BE" w:rsidRDefault="00373171" w:rsidP="00F35CDA">
            <w:pPr>
              <w:pStyle w:val="NZVJTableText"/>
              <w:jc w:val="center"/>
            </w:pPr>
            <w:r>
              <w:t>6 (17.6)</w:t>
            </w:r>
          </w:p>
        </w:tc>
      </w:tr>
      <w:tr w:rsidR="00D023BE" w14:paraId="380F0442" w14:textId="77777777" w:rsidTr="00F35CDA">
        <w:trPr>
          <w:trHeight w:val="340"/>
        </w:trPr>
        <w:tc>
          <w:tcPr>
            <w:tcW w:w="2694" w:type="dxa"/>
            <w:vAlign w:val="center"/>
          </w:tcPr>
          <w:p w14:paraId="4B32EB5E" w14:textId="6EA2E82F" w:rsidR="00D023BE" w:rsidRDefault="00373171" w:rsidP="00F35CDA">
            <w:pPr>
              <w:pStyle w:val="NZVJTableText"/>
            </w:pPr>
            <w:r>
              <w:t xml:space="preserve">   Management</w:t>
            </w:r>
          </w:p>
        </w:tc>
        <w:tc>
          <w:tcPr>
            <w:tcW w:w="2268" w:type="dxa"/>
            <w:vAlign w:val="center"/>
          </w:tcPr>
          <w:p w14:paraId="7B7C5714" w14:textId="2B99C613" w:rsidR="00D023BE" w:rsidRDefault="00716AF7" w:rsidP="00F35CDA">
            <w:pPr>
              <w:pStyle w:val="NZVJTableText"/>
              <w:jc w:val="center"/>
            </w:pPr>
            <w:r>
              <w:t>2 (12.5)</w:t>
            </w:r>
          </w:p>
        </w:tc>
        <w:tc>
          <w:tcPr>
            <w:tcW w:w="1842" w:type="dxa"/>
            <w:vAlign w:val="center"/>
          </w:tcPr>
          <w:p w14:paraId="6C25839D" w14:textId="4550876A" w:rsidR="00D023BE" w:rsidRDefault="00716AF7" w:rsidP="00F35CDA">
            <w:pPr>
              <w:pStyle w:val="NZVJTableText"/>
              <w:jc w:val="center"/>
            </w:pPr>
            <w:r>
              <w:t>0</w:t>
            </w:r>
          </w:p>
        </w:tc>
        <w:tc>
          <w:tcPr>
            <w:tcW w:w="1985" w:type="dxa"/>
            <w:vAlign w:val="center"/>
          </w:tcPr>
          <w:p w14:paraId="763706DB" w14:textId="46C6C440" w:rsidR="00D023BE" w:rsidRDefault="00716AF7" w:rsidP="00F35CDA">
            <w:pPr>
              <w:pStyle w:val="NZVJTableText"/>
              <w:jc w:val="center"/>
            </w:pPr>
            <w:r>
              <w:t>2 (5.9%)</w:t>
            </w:r>
          </w:p>
        </w:tc>
      </w:tr>
      <w:tr w:rsidR="00373171" w14:paraId="684F5A57" w14:textId="77777777" w:rsidTr="00F35CDA">
        <w:trPr>
          <w:trHeight w:val="340"/>
        </w:trPr>
        <w:tc>
          <w:tcPr>
            <w:tcW w:w="2694" w:type="dxa"/>
            <w:tcBorders>
              <w:bottom w:val="single" w:sz="4" w:space="0" w:color="auto"/>
            </w:tcBorders>
            <w:vAlign w:val="center"/>
          </w:tcPr>
          <w:p w14:paraId="51D2CD54" w14:textId="7BE08032" w:rsidR="00373171" w:rsidRDefault="00373171" w:rsidP="00F35CDA">
            <w:pPr>
              <w:pStyle w:val="NZVJTableText"/>
            </w:pPr>
            <w:r>
              <w:t xml:space="preserve">   Other</w:t>
            </w:r>
          </w:p>
        </w:tc>
        <w:tc>
          <w:tcPr>
            <w:tcW w:w="2268" w:type="dxa"/>
            <w:tcBorders>
              <w:bottom w:val="single" w:sz="4" w:space="0" w:color="auto"/>
            </w:tcBorders>
            <w:vAlign w:val="center"/>
          </w:tcPr>
          <w:p w14:paraId="1F1BFE0A" w14:textId="748EEA86" w:rsidR="00373171" w:rsidRDefault="00716AF7" w:rsidP="00F35CDA">
            <w:pPr>
              <w:pStyle w:val="NZVJTableText"/>
              <w:jc w:val="center"/>
            </w:pPr>
            <w:r>
              <w:t>1 (6.3%)</w:t>
            </w:r>
          </w:p>
        </w:tc>
        <w:tc>
          <w:tcPr>
            <w:tcW w:w="1842" w:type="dxa"/>
            <w:tcBorders>
              <w:bottom w:val="single" w:sz="4" w:space="0" w:color="auto"/>
            </w:tcBorders>
            <w:vAlign w:val="center"/>
          </w:tcPr>
          <w:p w14:paraId="0FED760A" w14:textId="73B2DB28" w:rsidR="00373171" w:rsidRDefault="00716AF7" w:rsidP="00F35CDA">
            <w:pPr>
              <w:pStyle w:val="NZVJTableText"/>
              <w:jc w:val="center"/>
            </w:pPr>
            <w:r>
              <w:t>1 (5.6%)</w:t>
            </w:r>
          </w:p>
        </w:tc>
        <w:tc>
          <w:tcPr>
            <w:tcW w:w="1985" w:type="dxa"/>
            <w:tcBorders>
              <w:bottom w:val="single" w:sz="4" w:space="0" w:color="auto"/>
            </w:tcBorders>
            <w:vAlign w:val="center"/>
          </w:tcPr>
          <w:p w14:paraId="23D61E26" w14:textId="39D16D0F" w:rsidR="00373171" w:rsidRDefault="00716AF7" w:rsidP="00F35CDA">
            <w:pPr>
              <w:pStyle w:val="NZVJTableText"/>
              <w:jc w:val="center"/>
            </w:pPr>
            <w:r>
              <w:t>2 (5.9%)</w:t>
            </w:r>
          </w:p>
        </w:tc>
      </w:tr>
    </w:tbl>
    <w:p w14:paraId="0408C3DC" w14:textId="42E8497E" w:rsidR="00FE02FD" w:rsidRDefault="000C1D13" w:rsidP="00516657">
      <w:pPr>
        <w:pStyle w:val="NZVJTableText"/>
      </w:pPr>
      <w:r w:rsidRPr="00967097">
        <w:rPr>
          <w:vertAlign w:val="superscript"/>
        </w:rPr>
        <w:t>a</w:t>
      </w:r>
      <w:r>
        <w:t xml:space="preserve"> </w:t>
      </w:r>
      <w:r w:rsidR="00FE02FD" w:rsidRPr="00C2506E">
        <w:rPr>
          <w:shd w:val="clear" w:color="auto" w:fill="FFFFFF"/>
        </w:rPr>
        <w:t>Median (min, max) is presented for continuous variables</w:t>
      </w:r>
      <w:r w:rsidR="00FE02FD">
        <w:rPr>
          <w:shd w:val="clear" w:color="auto" w:fill="FFFFFF"/>
        </w:rPr>
        <w:t xml:space="preserve"> and</w:t>
      </w:r>
      <w:r w:rsidR="00FE02FD" w:rsidRPr="00C2506E">
        <w:rPr>
          <w:shd w:val="clear" w:color="auto" w:fill="FFFFFF"/>
        </w:rPr>
        <w:t xml:space="preserve"> </w:t>
      </w:r>
      <w:r w:rsidR="00A97D20">
        <w:rPr>
          <w:shd w:val="clear" w:color="auto" w:fill="FFFFFF"/>
        </w:rPr>
        <w:t>number (</w:t>
      </w:r>
      <w:r w:rsidR="00FE02FD" w:rsidRPr="00C2506E">
        <w:rPr>
          <w:shd w:val="clear" w:color="auto" w:fill="FFFFFF"/>
        </w:rPr>
        <w:t>%) is reported for categorical variables.</w:t>
      </w:r>
    </w:p>
    <w:p w14:paraId="457040E8" w14:textId="77777777" w:rsidR="00C2506E" w:rsidRPr="00C2506E" w:rsidRDefault="00C2506E" w:rsidP="00C2506E">
      <w:pPr>
        <w:rPr>
          <w:rFonts w:ascii="Times New Roman" w:hAnsi="Times New Roman" w:cs="Times New Roman"/>
          <w:color w:val="000000" w:themeColor="text1"/>
          <w:sz w:val="24"/>
          <w:szCs w:val="24"/>
          <w:lang w:val="en-US" w:eastAsia="en-US"/>
        </w:rPr>
      </w:pPr>
    </w:p>
    <w:p w14:paraId="73F00BB0" w14:textId="77777777" w:rsidR="00C2506E" w:rsidRPr="00C2506E" w:rsidRDefault="00C2506E" w:rsidP="00C2506E">
      <w:pPr>
        <w:spacing w:line="480" w:lineRule="auto"/>
        <w:rPr>
          <w:rFonts w:cs="Times New Roman"/>
          <w:color w:val="000000" w:themeColor="text1"/>
        </w:rPr>
      </w:pPr>
    </w:p>
    <w:p w14:paraId="5AFD53F9" w14:textId="77777777" w:rsidR="00C2506E" w:rsidRPr="00C2506E" w:rsidRDefault="00C2506E" w:rsidP="00C2506E">
      <w:pPr>
        <w:spacing w:line="480" w:lineRule="auto"/>
        <w:rPr>
          <w:rFonts w:cs="Times New Roman"/>
          <w:color w:val="000000" w:themeColor="text1"/>
        </w:rPr>
      </w:pPr>
      <w:r w:rsidRPr="00C2506E">
        <w:rPr>
          <w:rFonts w:cs="Times New Roman"/>
          <w:color w:val="000000" w:themeColor="text1"/>
        </w:rPr>
        <w:br w:type="page"/>
      </w:r>
    </w:p>
    <w:p w14:paraId="5616B746" w14:textId="7A17513F" w:rsidR="0028501A" w:rsidRPr="00F33886" w:rsidRDefault="00C2506E" w:rsidP="00F33886">
      <w:pPr>
        <w:spacing w:after="80"/>
        <w:rPr>
          <w:b/>
          <w:bCs/>
        </w:rPr>
      </w:pPr>
      <w:r w:rsidRPr="00F33886">
        <w:lastRenderedPageBreak/>
        <w:t xml:space="preserve">Table 2. </w:t>
      </w:r>
      <w:r w:rsidR="009F0C93" w:rsidRPr="00F33886">
        <w:t>Number (%) of</w:t>
      </w:r>
      <w:r w:rsidR="00724E1E" w:rsidRPr="00F33886">
        <w:rPr>
          <w:shd w:val="clear" w:color="auto" w:fill="FFFFFF"/>
        </w:rPr>
        <w:t xml:space="preserve"> </w:t>
      </w:r>
      <w:r w:rsidR="00341246" w:rsidRPr="00F33886">
        <w:rPr>
          <w:shd w:val="clear" w:color="auto" w:fill="FFFFFF"/>
        </w:rPr>
        <w:t xml:space="preserve">veterinary staff </w:t>
      </w:r>
      <w:r w:rsidR="00FE7448" w:rsidRPr="00F33886">
        <w:rPr>
          <w:shd w:val="clear" w:color="auto" w:fill="FFFFFF"/>
        </w:rPr>
        <w:t xml:space="preserve">(intervention group; n=16) </w:t>
      </w:r>
      <w:r w:rsidR="00341246" w:rsidRPr="00F33886">
        <w:rPr>
          <w:shd w:val="clear" w:color="auto" w:fill="FFFFFF"/>
        </w:rPr>
        <w:t xml:space="preserve">of three small animal hospitals in the southwestern United States who completed an educational programme based on </w:t>
      </w:r>
      <w:r w:rsidR="00724E1E" w:rsidRPr="00F33886">
        <w:rPr>
          <w:shd w:val="clear" w:color="auto" w:fill="FFFFFF"/>
        </w:rPr>
        <w:t>a</w:t>
      </w:r>
      <w:r w:rsidR="00341246" w:rsidRPr="00F33886">
        <w:rPr>
          <w:shd w:val="clear" w:color="auto" w:fill="FFFFFF"/>
        </w:rPr>
        <w:t xml:space="preserve">cceptance and </w:t>
      </w:r>
      <w:r w:rsidR="00724E1E" w:rsidRPr="00F33886">
        <w:rPr>
          <w:shd w:val="clear" w:color="auto" w:fill="FFFFFF"/>
        </w:rPr>
        <w:t>c</w:t>
      </w:r>
      <w:r w:rsidR="00341246" w:rsidRPr="00F33886">
        <w:rPr>
          <w:shd w:val="clear" w:color="auto" w:fill="FFFFFF"/>
        </w:rPr>
        <w:t xml:space="preserve">ommitment </w:t>
      </w:r>
      <w:r w:rsidR="00724E1E" w:rsidRPr="00F33886">
        <w:rPr>
          <w:shd w:val="clear" w:color="auto" w:fill="FFFFFF"/>
        </w:rPr>
        <w:t>t</w:t>
      </w:r>
      <w:r w:rsidR="00341246" w:rsidRPr="00F33886">
        <w:rPr>
          <w:shd w:val="clear" w:color="auto" w:fill="FFFFFF"/>
        </w:rPr>
        <w:t>raining</w:t>
      </w:r>
      <w:r w:rsidR="009F0C93" w:rsidRPr="00F33886">
        <w:rPr>
          <w:shd w:val="clear" w:color="auto" w:fill="FFFFFF"/>
        </w:rPr>
        <w:t xml:space="preserve"> who reported their assessment of the acceptability of the programme</w:t>
      </w:r>
      <w:r w:rsidR="00341246" w:rsidRPr="00F33886">
        <w:rPr>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985"/>
        <w:gridCol w:w="709"/>
        <w:gridCol w:w="850"/>
        <w:gridCol w:w="1276"/>
        <w:gridCol w:w="1559"/>
        <w:gridCol w:w="1276"/>
        <w:gridCol w:w="1271"/>
      </w:tblGrid>
      <w:tr w:rsidR="00017BC3" w:rsidRPr="00F35CDA" w14:paraId="4F67427F" w14:textId="77777777" w:rsidTr="00F35CDA">
        <w:trPr>
          <w:trHeight w:val="340"/>
        </w:trPr>
        <w:tc>
          <w:tcPr>
            <w:tcW w:w="1985" w:type="dxa"/>
            <w:tcBorders>
              <w:top w:val="single" w:sz="4" w:space="0" w:color="auto"/>
              <w:bottom w:val="single" w:sz="4" w:space="0" w:color="auto"/>
            </w:tcBorders>
            <w:vAlign w:val="center"/>
          </w:tcPr>
          <w:p w14:paraId="61A2FF32" w14:textId="18439D2F" w:rsidR="00142B94" w:rsidRPr="00F35CDA" w:rsidRDefault="001243D5" w:rsidP="00516657">
            <w:pPr>
              <w:pStyle w:val="NZVJTableText"/>
              <w:rPr>
                <w:b/>
                <w:bCs/>
              </w:rPr>
            </w:pPr>
            <w:r w:rsidRPr="00F35CDA">
              <w:rPr>
                <w:b/>
                <w:bCs/>
              </w:rPr>
              <w:t>Acceptability rating</w:t>
            </w:r>
          </w:p>
        </w:tc>
        <w:tc>
          <w:tcPr>
            <w:tcW w:w="709" w:type="dxa"/>
            <w:tcBorders>
              <w:top w:val="single" w:sz="4" w:space="0" w:color="auto"/>
              <w:bottom w:val="single" w:sz="4" w:space="0" w:color="auto"/>
            </w:tcBorders>
            <w:vAlign w:val="center"/>
          </w:tcPr>
          <w:p w14:paraId="45250DF6" w14:textId="03CEF164" w:rsidR="00142B94" w:rsidRPr="00F35CDA" w:rsidRDefault="00C80B1F" w:rsidP="00F35CDA">
            <w:pPr>
              <w:pStyle w:val="NZVJTableText"/>
              <w:jc w:val="center"/>
              <w:rPr>
                <w:b/>
                <w:bCs/>
              </w:rPr>
            </w:pPr>
            <w:r w:rsidRPr="00F35CDA">
              <w:rPr>
                <w:b/>
                <w:bCs/>
              </w:rPr>
              <w:t>Poor</w:t>
            </w:r>
          </w:p>
        </w:tc>
        <w:tc>
          <w:tcPr>
            <w:tcW w:w="850" w:type="dxa"/>
            <w:tcBorders>
              <w:top w:val="single" w:sz="4" w:space="0" w:color="auto"/>
              <w:bottom w:val="single" w:sz="4" w:space="0" w:color="auto"/>
            </w:tcBorders>
            <w:vAlign w:val="center"/>
          </w:tcPr>
          <w:p w14:paraId="39956651" w14:textId="21281AD5" w:rsidR="00142B94" w:rsidRPr="00F35CDA" w:rsidRDefault="00C80B1F" w:rsidP="00F35CDA">
            <w:pPr>
              <w:pStyle w:val="NZVJTableText"/>
              <w:jc w:val="center"/>
              <w:rPr>
                <w:b/>
                <w:bCs/>
              </w:rPr>
            </w:pPr>
            <w:r w:rsidRPr="00F35CDA">
              <w:rPr>
                <w:b/>
                <w:bCs/>
              </w:rPr>
              <w:t>Fair</w:t>
            </w:r>
          </w:p>
        </w:tc>
        <w:tc>
          <w:tcPr>
            <w:tcW w:w="1276" w:type="dxa"/>
            <w:tcBorders>
              <w:top w:val="single" w:sz="4" w:space="0" w:color="auto"/>
              <w:bottom w:val="single" w:sz="4" w:space="0" w:color="auto"/>
            </w:tcBorders>
            <w:vAlign w:val="center"/>
          </w:tcPr>
          <w:p w14:paraId="338303FF" w14:textId="5E759779" w:rsidR="00142B94" w:rsidRPr="00F35CDA" w:rsidRDefault="00C80B1F" w:rsidP="00F35CDA">
            <w:pPr>
              <w:pStyle w:val="NZVJTableText"/>
              <w:jc w:val="center"/>
              <w:rPr>
                <w:b/>
                <w:bCs/>
              </w:rPr>
            </w:pPr>
            <w:r w:rsidRPr="00F35CDA">
              <w:rPr>
                <w:b/>
                <w:bCs/>
              </w:rPr>
              <w:t>Average</w:t>
            </w:r>
          </w:p>
        </w:tc>
        <w:tc>
          <w:tcPr>
            <w:tcW w:w="1559" w:type="dxa"/>
            <w:tcBorders>
              <w:top w:val="single" w:sz="4" w:space="0" w:color="auto"/>
              <w:bottom w:val="single" w:sz="4" w:space="0" w:color="auto"/>
            </w:tcBorders>
            <w:vAlign w:val="center"/>
          </w:tcPr>
          <w:p w14:paraId="443D2DEB" w14:textId="6715F8EC" w:rsidR="00142B94" w:rsidRPr="00F35CDA" w:rsidRDefault="00C80B1F" w:rsidP="00F35CDA">
            <w:pPr>
              <w:pStyle w:val="NZVJTableText"/>
              <w:jc w:val="center"/>
              <w:rPr>
                <w:b/>
                <w:bCs/>
              </w:rPr>
            </w:pPr>
            <w:r w:rsidRPr="00F35CDA">
              <w:rPr>
                <w:b/>
                <w:bCs/>
              </w:rPr>
              <w:t>Above average</w:t>
            </w:r>
          </w:p>
        </w:tc>
        <w:tc>
          <w:tcPr>
            <w:tcW w:w="1276" w:type="dxa"/>
            <w:tcBorders>
              <w:top w:val="single" w:sz="4" w:space="0" w:color="auto"/>
              <w:bottom w:val="single" w:sz="4" w:space="0" w:color="auto"/>
            </w:tcBorders>
            <w:vAlign w:val="center"/>
          </w:tcPr>
          <w:p w14:paraId="7A1779DE" w14:textId="435ECDDD" w:rsidR="00142B94" w:rsidRPr="00F35CDA" w:rsidRDefault="00C80B1F" w:rsidP="00F35CDA">
            <w:pPr>
              <w:pStyle w:val="NZVJTableText"/>
              <w:jc w:val="center"/>
              <w:rPr>
                <w:b/>
                <w:bCs/>
              </w:rPr>
            </w:pPr>
            <w:r w:rsidRPr="00F35CDA">
              <w:rPr>
                <w:b/>
                <w:bCs/>
              </w:rPr>
              <w:t>Excellent</w:t>
            </w:r>
          </w:p>
        </w:tc>
        <w:tc>
          <w:tcPr>
            <w:tcW w:w="1271" w:type="dxa"/>
            <w:tcBorders>
              <w:top w:val="single" w:sz="4" w:space="0" w:color="auto"/>
              <w:bottom w:val="single" w:sz="4" w:space="0" w:color="auto"/>
            </w:tcBorders>
            <w:vAlign w:val="center"/>
          </w:tcPr>
          <w:p w14:paraId="71AB3042" w14:textId="6C7DE6AB" w:rsidR="00142B94" w:rsidRPr="00F35CDA" w:rsidRDefault="00C80B1F" w:rsidP="00F35CDA">
            <w:pPr>
              <w:pStyle w:val="NZVJTableText"/>
              <w:jc w:val="center"/>
              <w:rPr>
                <w:b/>
                <w:bCs/>
              </w:rPr>
            </w:pPr>
            <w:r w:rsidRPr="00F35CDA">
              <w:rPr>
                <w:b/>
                <w:bCs/>
              </w:rPr>
              <w:t>Omitted item</w:t>
            </w:r>
          </w:p>
        </w:tc>
      </w:tr>
      <w:tr w:rsidR="00017BC3" w14:paraId="333A7660" w14:textId="77777777" w:rsidTr="00F35CDA">
        <w:trPr>
          <w:trHeight w:val="340"/>
        </w:trPr>
        <w:tc>
          <w:tcPr>
            <w:tcW w:w="1985" w:type="dxa"/>
            <w:tcBorders>
              <w:top w:val="single" w:sz="4" w:space="0" w:color="auto"/>
            </w:tcBorders>
            <w:vAlign w:val="center"/>
          </w:tcPr>
          <w:p w14:paraId="476ED8FA" w14:textId="43786EED" w:rsidR="00017BC3" w:rsidRDefault="00017BC3" w:rsidP="00516657">
            <w:pPr>
              <w:pStyle w:val="NZVJTableText"/>
            </w:pPr>
            <w:r>
              <w:t>Appropriateness</w:t>
            </w:r>
          </w:p>
        </w:tc>
        <w:tc>
          <w:tcPr>
            <w:tcW w:w="709" w:type="dxa"/>
            <w:tcBorders>
              <w:top w:val="single" w:sz="4" w:space="0" w:color="auto"/>
            </w:tcBorders>
            <w:vAlign w:val="center"/>
          </w:tcPr>
          <w:p w14:paraId="0286DCAB" w14:textId="3D816232" w:rsidR="00017BC3" w:rsidRDefault="00017BC3" w:rsidP="00F35CDA">
            <w:pPr>
              <w:pStyle w:val="NZVJTableText"/>
              <w:jc w:val="center"/>
            </w:pPr>
            <w:r>
              <w:t>0</w:t>
            </w:r>
          </w:p>
        </w:tc>
        <w:tc>
          <w:tcPr>
            <w:tcW w:w="850" w:type="dxa"/>
            <w:tcBorders>
              <w:top w:val="single" w:sz="4" w:space="0" w:color="auto"/>
            </w:tcBorders>
            <w:vAlign w:val="center"/>
          </w:tcPr>
          <w:p w14:paraId="0ACC4A8A" w14:textId="625FF9D4" w:rsidR="00017BC3" w:rsidRDefault="00017BC3" w:rsidP="00F35CDA">
            <w:pPr>
              <w:pStyle w:val="NZVJTableText"/>
              <w:jc w:val="center"/>
            </w:pPr>
            <w:r>
              <w:t>0</w:t>
            </w:r>
          </w:p>
        </w:tc>
        <w:tc>
          <w:tcPr>
            <w:tcW w:w="1276" w:type="dxa"/>
            <w:tcBorders>
              <w:top w:val="single" w:sz="4" w:space="0" w:color="auto"/>
            </w:tcBorders>
            <w:vAlign w:val="center"/>
          </w:tcPr>
          <w:p w14:paraId="5A544F60" w14:textId="50162334" w:rsidR="00017BC3" w:rsidRDefault="00017BC3" w:rsidP="00F35CDA">
            <w:pPr>
              <w:pStyle w:val="NZVJTableText"/>
              <w:jc w:val="center"/>
            </w:pPr>
            <w:r>
              <w:t>2 (12.5%)</w:t>
            </w:r>
          </w:p>
        </w:tc>
        <w:tc>
          <w:tcPr>
            <w:tcW w:w="1559" w:type="dxa"/>
            <w:tcBorders>
              <w:top w:val="single" w:sz="4" w:space="0" w:color="auto"/>
            </w:tcBorders>
            <w:vAlign w:val="center"/>
          </w:tcPr>
          <w:p w14:paraId="6F75EC08" w14:textId="2A39A2E7" w:rsidR="00017BC3" w:rsidRDefault="00017BC3" w:rsidP="00F35CDA">
            <w:pPr>
              <w:pStyle w:val="NZVJTableText"/>
              <w:jc w:val="center"/>
            </w:pPr>
            <w:r>
              <w:t>6 (37.5%)</w:t>
            </w:r>
          </w:p>
        </w:tc>
        <w:tc>
          <w:tcPr>
            <w:tcW w:w="1276" w:type="dxa"/>
            <w:tcBorders>
              <w:top w:val="single" w:sz="4" w:space="0" w:color="auto"/>
            </w:tcBorders>
            <w:vAlign w:val="center"/>
          </w:tcPr>
          <w:p w14:paraId="19ECDB7B" w14:textId="235220D1" w:rsidR="00017BC3" w:rsidRDefault="00017BC3" w:rsidP="00F35CDA">
            <w:pPr>
              <w:pStyle w:val="NZVJTableText"/>
              <w:jc w:val="center"/>
            </w:pPr>
            <w:r>
              <w:t>7 (41.8%)</w:t>
            </w:r>
          </w:p>
        </w:tc>
        <w:tc>
          <w:tcPr>
            <w:tcW w:w="1271" w:type="dxa"/>
            <w:tcBorders>
              <w:top w:val="single" w:sz="4" w:space="0" w:color="auto"/>
            </w:tcBorders>
            <w:vAlign w:val="center"/>
          </w:tcPr>
          <w:p w14:paraId="2EACB8CE" w14:textId="7342A538" w:rsidR="00017BC3" w:rsidRDefault="00017BC3" w:rsidP="00F35CDA">
            <w:pPr>
              <w:pStyle w:val="NZVJTableText"/>
              <w:jc w:val="center"/>
            </w:pPr>
            <w:r>
              <w:t>1 (6.3%)</w:t>
            </w:r>
          </w:p>
        </w:tc>
      </w:tr>
      <w:tr w:rsidR="00017BC3" w14:paraId="71A4CDD5" w14:textId="77777777" w:rsidTr="00F35CDA">
        <w:trPr>
          <w:trHeight w:val="340"/>
        </w:trPr>
        <w:tc>
          <w:tcPr>
            <w:tcW w:w="1985" w:type="dxa"/>
            <w:tcBorders>
              <w:bottom w:val="single" w:sz="4" w:space="0" w:color="auto"/>
            </w:tcBorders>
            <w:vAlign w:val="center"/>
          </w:tcPr>
          <w:p w14:paraId="64DC1BE9" w14:textId="14C95DDA" w:rsidR="00017BC3" w:rsidRDefault="00017BC3" w:rsidP="00516657">
            <w:pPr>
              <w:pStyle w:val="NZVJTableText"/>
            </w:pPr>
            <w:r>
              <w:t>Usefulness</w:t>
            </w:r>
          </w:p>
        </w:tc>
        <w:tc>
          <w:tcPr>
            <w:tcW w:w="709" w:type="dxa"/>
            <w:tcBorders>
              <w:bottom w:val="single" w:sz="4" w:space="0" w:color="auto"/>
            </w:tcBorders>
            <w:vAlign w:val="center"/>
          </w:tcPr>
          <w:p w14:paraId="6B27AE15" w14:textId="27A0E438" w:rsidR="00017BC3" w:rsidRDefault="00017BC3" w:rsidP="00F35CDA">
            <w:pPr>
              <w:pStyle w:val="NZVJTableText"/>
              <w:jc w:val="center"/>
            </w:pPr>
            <w:r>
              <w:t>0</w:t>
            </w:r>
          </w:p>
        </w:tc>
        <w:tc>
          <w:tcPr>
            <w:tcW w:w="850" w:type="dxa"/>
            <w:tcBorders>
              <w:bottom w:val="single" w:sz="4" w:space="0" w:color="auto"/>
            </w:tcBorders>
            <w:vAlign w:val="center"/>
          </w:tcPr>
          <w:p w14:paraId="6C4E3FCE" w14:textId="511D7C9E" w:rsidR="00017BC3" w:rsidRDefault="00017BC3" w:rsidP="00F35CDA">
            <w:pPr>
              <w:pStyle w:val="NZVJTableText"/>
              <w:jc w:val="center"/>
            </w:pPr>
            <w:r>
              <w:t>1 (6.3%)</w:t>
            </w:r>
          </w:p>
        </w:tc>
        <w:tc>
          <w:tcPr>
            <w:tcW w:w="1276" w:type="dxa"/>
            <w:tcBorders>
              <w:bottom w:val="single" w:sz="4" w:space="0" w:color="auto"/>
            </w:tcBorders>
            <w:vAlign w:val="center"/>
          </w:tcPr>
          <w:p w14:paraId="10F2BC7F" w14:textId="4D5E49BC" w:rsidR="00017BC3" w:rsidRDefault="00017BC3" w:rsidP="00F35CDA">
            <w:pPr>
              <w:pStyle w:val="NZVJTableText"/>
              <w:jc w:val="center"/>
            </w:pPr>
            <w:r>
              <w:t>2 (12.5%)</w:t>
            </w:r>
          </w:p>
        </w:tc>
        <w:tc>
          <w:tcPr>
            <w:tcW w:w="1559" w:type="dxa"/>
            <w:tcBorders>
              <w:bottom w:val="single" w:sz="4" w:space="0" w:color="auto"/>
            </w:tcBorders>
            <w:vAlign w:val="center"/>
          </w:tcPr>
          <w:p w14:paraId="4B3614F3" w14:textId="53077FE7" w:rsidR="00017BC3" w:rsidRDefault="00017BC3" w:rsidP="00F35CDA">
            <w:pPr>
              <w:pStyle w:val="NZVJTableText"/>
              <w:jc w:val="center"/>
            </w:pPr>
            <w:r>
              <w:t>5 (31.3%)</w:t>
            </w:r>
          </w:p>
        </w:tc>
        <w:tc>
          <w:tcPr>
            <w:tcW w:w="1276" w:type="dxa"/>
            <w:tcBorders>
              <w:bottom w:val="single" w:sz="4" w:space="0" w:color="auto"/>
            </w:tcBorders>
            <w:vAlign w:val="center"/>
          </w:tcPr>
          <w:p w14:paraId="74CE8CAF" w14:textId="579A0703" w:rsidR="00017BC3" w:rsidRDefault="00017BC3" w:rsidP="00F35CDA">
            <w:pPr>
              <w:pStyle w:val="NZVJTableText"/>
              <w:jc w:val="center"/>
            </w:pPr>
            <w:r>
              <w:t>7 (41.8%)</w:t>
            </w:r>
          </w:p>
        </w:tc>
        <w:tc>
          <w:tcPr>
            <w:tcW w:w="1271" w:type="dxa"/>
            <w:tcBorders>
              <w:bottom w:val="single" w:sz="4" w:space="0" w:color="auto"/>
            </w:tcBorders>
            <w:vAlign w:val="center"/>
          </w:tcPr>
          <w:p w14:paraId="32F810AF" w14:textId="5EC93DCB" w:rsidR="00017BC3" w:rsidRDefault="00017BC3" w:rsidP="00F35CDA">
            <w:pPr>
              <w:pStyle w:val="NZVJTableText"/>
              <w:jc w:val="center"/>
            </w:pPr>
            <w:r>
              <w:t>1 (6.3%)</w:t>
            </w:r>
          </w:p>
        </w:tc>
      </w:tr>
    </w:tbl>
    <w:p w14:paraId="2A7DC665" w14:textId="45221074" w:rsidR="002E5D46" w:rsidRDefault="002E5D46" w:rsidP="002E5D46"/>
    <w:p w14:paraId="5D460859" w14:textId="2B85A582" w:rsidR="00520D33" w:rsidRDefault="00520D33" w:rsidP="00C2506E">
      <w:pPr>
        <w:rPr>
          <w:rFonts w:cstheme="minorHAnsi"/>
          <w:color w:val="000000" w:themeColor="text1"/>
          <w:shd w:val="clear" w:color="auto" w:fill="FFFFFF"/>
        </w:rPr>
      </w:pPr>
      <w:r>
        <w:rPr>
          <w:rFonts w:cstheme="minorHAnsi"/>
          <w:color w:val="000000" w:themeColor="text1"/>
          <w:shd w:val="clear" w:color="auto" w:fill="FFFFFF"/>
        </w:rPr>
        <w:br w:type="page"/>
      </w:r>
    </w:p>
    <w:p w14:paraId="412B398E" w14:textId="77777777" w:rsidR="002E5D46" w:rsidRDefault="002E5D46" w:rsidP="00C2506E">
      <w:pPr>
        <w:rPr>
          <w:rFonts w:cstheme="minorHAnsi"/>
          <w:color w:val="000000" w:themeColor="text1"/>
          <w:shd w:val="clear" w:color="auto" w:fill="FFFFFF"/>
        </w:rPr>
      </w:pPr>
    </w:p>
    <w:p w14:paraId="15A3A24B" w14:textId="33B051C7" w:rsidR="009A0546" w:rsidRDefault="00C2506E" w:rsidP="003B2FF1">
      <w:pPr>
        <w:pStyle w:val="NZVJTableheading"/>
      </w:pPr>
      <w:r w:rsidRPr="00C2506E">
        <w:t xml:space="preserve">Table 3. </w:t>
      </w:r>
      <w:r w:rsidR="00341246" w:rsidRPr="00C2506E">
        <w:rPr>
          <w:shd w:val="clear" w:color="auto" w:fill="FFFFFF"/>
        </w:rPr>
        <w:t xml:space="preserve">Median (min, max) scores for </w:t>
      </w:r>
      <w:r w:rsidR="00E40D2E">
        <w:rPr>
          <w:shd w:val="clear" w:color="auto" w:fill="FFFFFF"/>
        </w:rPr>
        <w:t>the B</w:t>
      </w:r>
      <w:r w:rsidR="00341246" w:rsidRPr="00C2506E">
        <w:rPr>
          <w:shd w:val="clear" w:color="auto" w:fill="FFFFFF"/>
        </w:rPr>
        <w:t xml:space="preserve">urden </w:t>
      </w:r>
      <w:r w:rsidR="00E40D2E">
        <w:rPr>
          <w:shd w:val="clear" w:color="auto" w:fill="FFFFFF"/>
        </w:rPr>
        <w:t>T</w:t>
      </w:r>
      <w:r w:rsidR="00341246" w:rsidRPr="00C2506E">
        <w:rPr>
          <w:shd w:val="clear" w:color="auto" w:fill="FFFFFF"/>
        </w:rPr>
        <w:t xml:space="preserve">ransfer </w:t>
      </w:r>
      <w:r w:rsidR="003B2FF1">
        <w:rPr>
          <w:shd w:val="clear" w:color="auto" w:fill="FFFFFF"/>
        </w:rPr>
        <w:t>I</w:t>
      </w:r>
      <w:r w:rsidR="00E40D2E">
        <w:rPr>
          <w:shd w:val="clear" w:color="auto" w:fill="FFFFFF"/>
        </w:rPr>
        <w:t>nventory</w:t>
      </w:r>
      <w:r w:rsidR="00341246" w:rsidRPr="00C2506E">
        <w:rPr>
          <w:shd w:val="clear" w:color="auto" w:fill="FFFFFF"/>
        </w:rPr>
        <w:t xml:space="preserve">, </w:t>
      </w:r>
      <w:r w:rsidR="00E40D2E">
        <w:rPr>
          <w:shd w:val="clear" w:color="auto" w:fill="FFFFFF"/>
        </w:rPr>
        <w:t>Perceived S</w:t>
      </w:r>
      <w:r w:rsidR="00341246" w:rsidRPr="00C2506E">
        <w:rPr>
          <w:shd w:val="clear" w:color="auto" w:fill="FFFFFF"/>
        </w:rPr>
        <w:t xml:space="preserve">tress </w:t>
      </w:r>
      <w:r w:rsidR="00E40D2E">
        <w:rPr>
          <w:shd w:val="clear" w:color="auto" w:fill="FFFFFF"/>
        </w:rPr>
        <w:t>Scale</w:t>
      </w:r>
      <w:r w:rsidR="00341246" w:rsidRPr="00C2506E">
        <w:rPr>
          <w:shd w:val="clear" w:color="auto" w:fill="FFFFFF"/>
        </w:rPr>
        <w:t xml:space="preserve"> and </w:t>
      </w:r>
      <w:r w:rsidR="00E40D2E">
        <w:rPr>
          <w:shd w:val="clear" w:color="auto" w:fill="FFFFFF"/>
        </w:rPr>
        <w:t>Copenhagen B</w:t>
      </w:r>
      <w:r w:rsidR="00341246" w:rsidRPr="00C2506E">
        <w:rPr>
          <w:shd w:val="clear" w:color="auto" w:fill="FFFFFF"/>
        </w:rPr>
        <w:t>urnout</w:t>
      </w:r>
      <w:r w:rsidR="00E40D2E">
        <w:rPr>
          <w:shd w:val="clear" w:color="auto" w:fill="FFFFFF"/>
        </w:rPr>
        <w:t xml:space="preserve"> Inventory</w:t>
      </w:r>
      <w:r w:rsidR="00341246" w:rsidRPr="00C2506E">
        <w:rPr>
          <w:shd w:val="clear" w:color="auto" w:fill="FFFFFF"/>
        </w:rPr>
        <w:t xml:space="preserve"> </w:t>
      </w:r>
      <w:r w:rsidR="003B2FF1">
        <w:rPr>
          <w:shd w:val="clear" w:color="auto" w:fill="FFFFFF"/>
        </w:rPr>
        <w:t xml:space="preserve">measures </w:t>
      </w:r>
      <w:r w:rsidR="00341246" w:rsidRPr="00C2506E">
        <w:rPr>
          <w:shd w:val="clear" w:color="auto" w:fill="FFFFFF"/>
        </w:rPr>
        <w:t xml:space="preserve">which were administered to </w:t>
      </w:r>
      <w:r w:rsidR="003B2FF1">
        <w:rPr>
          <w:shd w:val="clear" w:color="auto" w:fill="FFFFFF"/>
        </w:rPr>
        <w:t>the</w:t>
      </w:r>
      <w:r w:rsidR="00341246" w:rsidRPr="00C2506E">
        <w:rPr>
          <w:shd w:val="clear" w:color="auto" w:fill="FFFFFF"/>
        </w:rPr>
        <w:t xml:space="preserve"> veterinary staff of three small animal hospitals in the southwestern United States who had (</w:t>
      </w:r>
      <w:r w:rsidR="00E73668">
        <w:rPr>
          <w:shd w:val="clear" w:color="auto" w:fill="FFFFFF"/>
        </w:rPr>
        <w:t>i</w:t>
      </w:r>
      <w:r w:rsidR="00341246" w:rsidRPr="00C2506E">
        <w:rPr>
          <w:shd w:val="clear" w:color="auto" w:fill="FFFFFF"/>
        </w:rPr>
        <w:t>ntervention group; n=16) or had not (</w:t>
      </w:r>
      <w:r w:rsidR="00E73668">
        <w:rPr>
          <w:shd w:val="clear" w:color="auto" w:fill="FFFFFF"/>
        </w:rPr>
        <w:t>c</w:t>
      </w:r>
      <w:r w:rsidR="00341246" w:rsidRPr="00C2506E">
        <w:rPr>
          <w:shd w:val="clear" w:color="auto" w:fill="FFFFFF"/>
        </w:rPr>
        <w:t xml:space="preserve">ontrol group; n=18) completed an educational programme based on </w:t>
      </w:r>
      <w:r w:rsidR="00BC4D2C">
        <w:rPr>
          <w:shd w:val="clear" w:color="auto" w:fill="FFFFFF"/>
        </w:rPr>
        <w:t>a</w:t>
      </w:r>
      <w:r w:rsidR="00341246" w:rsidRPr="00C2506E">
        <w:rPr>
          <w:shd w:val="clear" w:color="auto" w:fill="FFFFFF"/>
        </w:rPr>
        <w:t xml:space="preserve">cceptance and </w:t>
      </w:r>
      <w:r w:rsidR="00BC4D2C">
        <w:rPr>
          <w:shd w:val="clear" w:color="auto" w:fill="FFFFFF"/>
        </w:rPr>
        <w:t>c</w:t>
      </w:r>
      <w:r w:rsidR="00341246" w:rsidRPr="00C2506E">
        <w:rPr>
          <w:shd w:val="clear" w:color="auto" w:fill="FFFFFF"/>
        </w:rPr>
        <w:t xml:space="preserve">ommitment </w:t>
      </w:r>
      <w:r w:rsidR="00BC4D2C">
        <w:rPr>
          <w:shd w:val="clear" w:color="auto" w:fill="FFFFFF"/>
        </w:rPr>
        <w:t>t</w:t>
      </w:r>
      <w:r w:rsidR="00341246" w:rsidRPr="00C2506E">
        <w:rPr>
          <w:shd w:val="clear" w:color="auto" w:fill="FFFFFF"/>
        </w:rPr>
        <w:t>raining before (</w:t>
      </w:r>
      <w:r w:rsidR="00BC4D2C">
        <w:rPr>
          <w:shd w:val="clear" w:color="auto" w:fill="FFFFFF"/>
        </w:rPr>
        <w:t>p</w:t>
      </w:r>
      <w:r w:rsidR="00341246" w:rsidRPr="00C2506E">
        <w:rPr>
          <w:shd w:val="clear" w:color="auto" w:fill="FFFFFF"/>
        </w:rPr>
        <w:t>re</w:t>
      </w:r>
      <w:r w:rsidR="00BC4D2C">
        <w:rPr>
          <w:shd w:val="clear" w:color="auto" w:fill="FFFFFF"/>
        </w:rPr>
        <w:t>-programme</w:t>
      </w:r>
      <w:r w:rsidR="00341246" w:rsidRPr="00C2506E">
        <w:rPr>
          <w:shd w:val="clear" w:color="auto" w:fill="FFFFFF"/>
        </w:rPr>
        <w:t>) and after (</w:t>
      </w:r>
      <w:r w:rsidR="00BC4D2C">
        <w:rPr>
          <w:shd w:val="clear" w:color="auto" w:fill="FFFFFF"/>
        </w:rPr>
        <w:t>p</w:t>
      </w:r>
      <w:r w:rsidR="00341246" w:rsidRPr="00C2506E">
        <w:rPr>
          <w:shd w:val="clear" w:color="auto" w:fill="FFFFFF"/>
        </w:rPr>
        <w:t>ost</w:t>
      </w:r>
      <w:r w:rsidR="00BC4D2C">
        <w:rPr>
          <w:shd w:val="clear" w:color="auto" w:fill="FFFFFF"/>
        </w:rPr>
        <w:t>-programme</w:t>
      </w:r>
      <w:r w:rsidR="00341246" w:rsidRPr="00C2506E">
        <w:rPr>
          <w:shd w:val="clear" w:color="auto" w:fill="FFFFFF"/>
        </w:rPr>
        <w:t>) completing the programme.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555"/>
        <w:gridCol w:w="1698"/>
        <w:gridCol w:w="1843"/>
        <w:gridCol w:w="992"/>
        <w:gridCol w:w="992"/>
        <w:gridCol w:w="793"/>
        <w:gridCol w:w="765"/>
      </w:tblGrid>
      <w:tr w:rsidR="00941D77" w:rsidRPr="00E87D03" w14:paraId="093FF783" w14:textId="77777777" w:rsidTr="00E87D03">
        <w:trPr>
          <w:trHeight w:val="340"/>
        </w:trPr>
        <w:tc>
          <w:tcPr>
            <w:tcW w:w="2555" w:type="dxa"/>
            <w:tcBorders>
              <w:top w:val="single" w:sz="4" w:space="0" w:color="auto"/>
              <w:bottom w:val="single" w:sz="4" w:space="0" w:color="auto"/>
            </w:tcBorders>
            <w:vAlign w:val="center"/>
          </w:tcPr>
          <w:p w14:paraId="2E49EF37" w14:textId="5F47AFD2" w:rsidR="00941D77" w:rsidRPr="00E87D03" w:rsidRDefault="00941D77" w:rsidP="00516657">
            <w:pPr>
              <w:pStyle w:val="NZVJTableText"/>
              <w:rPr>
                <w:b/>
                <w:bCs/>
              </w:rPr>
            </w:pPr>
            <w:r w:rsidRPr="00E87D03">
              <w:rPr>
                <w:b/>
                <w:bCs/>
              </w:rPr>
              <w:t>Measures</w:t>
            </w:r>
          </w:p>
        </w:tc>
        <w:tc>
          <w:tcPr>
            <w:tcW w:w="1698" w:type="dxa"/>
            <w:tcBorders>
              <w:top w:val="single" w:sz="4" w:space="0" w:color="auto"/>
              <w:bottom w:val="single" w:sz="4" w:space="0" w:color="auto"/>
            </w:tcBorders>
            <w:vAlign w:val="center"/>
          </w:tcPr>
          <w:p w14:paraId="656AD550" w14:textId="2F87876F" w:rsidR="00941D77" w:rsidRPr="00E87D03" w:rsidRDefault="00941D77" w:rsidP="00E87D03">
            <w:pPr>
              <w:pStyle w:val="NZVJTableText"/>
              <w:jc w:val="center"/>
              <w:rPr>
                <w:b/>
                <w:bCs/>
              </w:rPr>
            </w:pPr>
            <w:r w:rsidRPr="00E87D03">
              <w:rPr>
                <w:b/>
                <w:bCs/>
              </w:rPr>
              <w:t>Pre-</w:t>
            </w:r>
            <w:proofErr w:type="spellStart"/>
            <w:r w:rsidRPr="00E87D03">
              <w:rPr>
                <w:b/>
                <w:bCs/>
              </w:rPr>
              <w:t>programme</w:t>
            </w:r>
            <w:proofErr w:type="spellEnd"/>
          </w:p>
        </w:tc>
        <w:tc>
          <w:tcPr>
            <w:tcW w:w="1843" w:type="dxa"/>
            <w:tcBorders>
              <w:top w:val="single" w:sz="4" w:space="0" w:color="auto"/>
              <w:bottom w:val="single" w:sz="4" w:space="0" w:color="auto"/>
            </w:tcBorders>
            <w:vAlign w:val="center"/>
          </w:tcPr>
          <w:p w14:paraId="4E865114" w14:textId="78394895" w:rsidR="00941D77" w:rsidRPr="00E87D03" w:rsidRDefault="00941D77" w:rsidP="00E87D03">
            <w:pPr>
              <w:pStyle w:val="NZVJTableText"/>
              <w:jc w:val="center"/>
              <w:rPr>
                <w:b/>
                <w:bCs/>
              </w:rPr>
            </w:pPr>
            <w:r w:rsidRPr="00E87D03">
              <w:rPr>
                <w:b/>
                <w:bCs/>
              </w:rPr>
              <w:t>Post-</w:t>
            </w:r>
            <w:proofErr w:type="spellStart"/>
            <w:r w:rsidRPr="00E87D03">
              <w:rPr>
                <w:b/>
                <w:bCs/>
              </w:rPr>
              <w:t>programme</w:t>
            </w:r>
            <w:proofErr w:type="spellEnd"/>
          </w:p>
        </w:tc>
        <w:tc>
          <w:tcPr>
            <w:tcW w:w="992" w:type="dxa"/>
            <w:tcBorders>
              <w:top w:val="single" w:sz="4" w:space="0" w:color="auto"/>
              <w:bottom w:val="single" w:sz="4" w:space="0" w:color="auto"/>
            </w:tcBorders>
            <w:vAlign w:val="center"/>
          </w:tcPr>
          <w:p w14:paraId="10A4C419" w14:textId="5C69D58C" w:rsidR="00941D77" w:rsidRPr="00E87D03" w:rsidRDefault="00BC7377" w:rsidP="00E87D03">
            <w:pPr>
              <w:pStyle w:val="NZVJTableText"/>
              <w:jc w:val="center"/>
              <w:rPr>
                <w:b/>
                <w:bCs/>
              </w:rPr>
            </w:pPr>
            <w:r w:rsidRPr="00E87D03">
              <w:rPr>
                <w:b/>
                <w:bCs/>
              </w:rPr>
              <w:t xml:space="preserve">Percent </w:t>
            </w:r>
            <w:proofErr w:type="spellStart"/>
            <w:r w:rsidRPr="00E87D03">
              <w:rPr>
                <w:b/>
                <w:bCs/>
              </w:rPr>
              <w:t>change</w:t>
            </w:r>
            <w:r w:rsidRPr="00E87D03">
              <w:rPr>
                <w:b/>
                <w:bCs/>
                <w:vertAlign w:val="superscript"/>
              </w:rPr>
              <w:t>a</w:t>
            </w:r>
            <w:proofErr w:type="spellEnd"/>
          </w:p>
        </w:tc>
        <w:tc>
          <w:tcPr>
            <w:tcW w:w="992" w:type="dxa"/>
            <w:tcBorders>
              <w:top w:val="single" w:sz="4" w:space="0" w:color="auto"/>
              <w:bottom w:val="single" w:sz="4" w:space="0" w:color="auto"/>
            </w:tcBorders>
            <w:vAlign w:val="center"/>
          </w:tcPr>
          <w:p w14:paraId="49CB8D17" w14:textId="6FC3E707" w:rsidR="00941D77" w:rsidRPr="00E87D03" w:rsidRDefault="003169AC" w:rsidP="00E87D03">
            <w:pPr>
              <w:pStyle w:val="NZVJTableText"/>
              <w:jc w:val="center"/>
              <w:rPr>
                <w:b/>
                <w:bCs/>
              </w:rPr>
            </w:pPr>
            <w:r w:rsidRPr="00E87D03">
              <w:rPr>
                <w:b/>
                <w:bCs/>
              </w:rPr>
              <w:t>Z-score</w:t>
            </w:r>
          </w:p>
        </w:tc>
        <w:tc>
          <w:tcPr>
            <w:tcW w:w="793" w:type="dxa"/>
            <w:tcBorders>
              <w:top w:val="single" w:sz="4" w:space="0" w:color="auto"/>
              <w:bottom w:val="single" w:sz="4" w:space="0" w:color="auto"/>
            </w:tcBorders>
            <w:vAlign w:val="center"/>
          </w:tcPr>
          <w:p w14:paraId="60643E2F" w14:textId="3376C95A" w:rsidR="00941D77" w:rsidRPr="00E87D03" w:rsidRDefault="003169AC" w:rsidP="00E87D03">
            <w:pPr>
              <w:pStyle w:val="NZVJTableText"/>
              <w:jc w:val="center"/>
              <w:rPr>
                <w:b/>
                <w:bCs/>
              </w:rPr>
            </w:pPr>
            <w:r w:rsidRPr="00E87D03">
              <w:rPr>
                <w:b/>
                <w:bCs/>
              </w:rPr>
              <w:t>r</w:t>
            </w:r>
          </w:p>
        </w:tc>
        <w:tc>
          <w:tcPr>
            <w:tcW w:w="765" w:type="dxa"/>
            <w:tcBorders>
              <w:top w:val="single" w:sz="4" w:space="0" w:color="auto"/>
              <w:bottom w:val="single" w:sz="4" w:space="0" w:color="auto"/>
            </w:tcBorders>
            <w:vAlign w:val="center"/>
          </w:tcPr>
          <w:p w14:paraId="11E13F24" w14:textId="0E61FE44" w:rsidR="00941D77" w:rsidRPr="00E87D03" w:rsidRDefault="00941D77" w:rsidP="00E87D03">
            <w:pPr>
              <w:pStyle w:val="NZVJTableText"/>
              <w:jc w:val="center"/>
              <w:rPr>
                <w:b/>
                <w:bCs/>
              </w:rPr>
            </w:pPr>
            <w:r w:rsidRPr="00E87D03">
              <w:rPr>
                <w:b/>
                <w:bCs/>
              </w:rPr>
              <w:t>P-value</w:t>
            </w:r>
          </w:p>
        </w:tc>
      </w:tr>
      <w:tr w:rsidR="00941D77" w14:paraId="1B8C6C69" w14:textId="77777777" w:rsidTr="00E87D03">
        <w:trPr>
          <w:trHeight w:val="340"/>
        </w:trPr>
        <w:tc>
          <w:tcPr>
            <w:tcW w:w="2555" w:type="dxa"/>
            <w:tcBorders>
              <w:top w:val="single" w:sz="4" w:space="0" w:color="auto"/>
            </w:tcBorders>
            <w:vAlign w:val="center"/>
          </w:tcPr>
          <w:p w14:paraId="76070F3D" w14:textId="0B34E656" w:rsidR="00941D77" w:rsidRDefault="00941D77" w:rsidP="00516657">
            <w:pPr>
              <w:pStyle w:val="NZVJTableText"/>
            </w:pPr>
            <w:r>
              <w:t>Perceived Stress Scale</w:t>
            </w:r>
          </w:p>
        </w:tc>
        <w:tc>
          <w:tcPr>
            <w:tcW w:w="1698" w:type="dxa"/>
            <w:tcBorders>
              <w:top w:val="single" w:sz="4" w:space="0" w:color="auto"/>
            </w:tcBorders>
            <w:vAlign w:val="center"/>
          </w:tcPr>
          <w:p w14:paraId="07E08F46" w14:textId="77777777" w:rsidR="00941D77" w:rsidRDefault="00941D77" w:rsidP="00E87D03">
            <w:pPr>
              <w:pStyle w:val="NZVJTableText"/>
              <w:jc w:val="center"/>
            </w:pPr>
          </w:p>
        </w:tc>
        <w:tc>
          <w:tcPr>
            <w:tcW w:w="1843" w:type="dxa"/>
            <w:tcBorders>
              <w:top w:val="single" w:sz="4" w:space="0" w:color="auto"/>
            </w:tcBorders>
            <w:vAlign w:val="center"/>
          </w:tcPr>
          <w:p w14:paraId="4CE52A80" w14:textId="77777777" w:rsidR="00941D77" w:rsidRDefault="00941D77" w:rsidP="00E87D03">
            <w:pPr>
              <w:pStyle w:val="NZVJTableText"/>
              <w:jc w:val="center"/>
            </w:pPr>
          </w:p>
        </w:tc>
        <w:tc>
          <w:tcPr>
            <w:tcW w:w="992" w:type="dxa"/>
            <w:tcBorders>
              <w:top w:val="single" w:sz="4" w:space="0" w:color="auto"/>
            </w:tcBorders>
            <w:vAlign w:val="center"/>
          </w:tcPr>
          <w:p w14:paraId="2E7390D1" w14:textId="77777777" w:rsidR="00941D77" w:rsidRDefault="00941D77" w:rsidP="00E87D03">
            <w:pPr>
              <w:pStyle w:val="NZVJTableText"/>
              <w:jc w:val="center"/>
            </w:pPr>
          </w:p>
        </w:tc>
        <w:tc>
          <w:tcPr>
            <w:tcW w:w="992" w:type="dxa"/>
            <w:tcBorders>
              <w:top w:val="single" w:sz="4" w:space="0" w:color="auto"/>
            </w:tcBorders>
            <w:vAlign w:val="center"/>
          </w:tcPr>
          <w:p w14:paraId="31F18053" w14:textId="77777777" w:rsidR="00941D77" w:rsidRDefault="00941D77" w:rsidP="00E87D03">
            <w:pPr>
              <w:pStyle w:val="NZVJTableText"/>
              <w:jc w:val="center"/>
            </w:pPr>
          </w:p>
        </w:tc>
        <w:tc>
          <w:tcPr>
            <w:tcW w:w="793" w:type="dxa"/>
            <w:tcBorders>
              <w:top w:val="single" w:sz="4" w:space="0" w:color="auto"/>
            </w:tcBorders>
            <w:vAlign w:val="center"/>
          </w:tcPr>
          <w:p w14:paraId="3593EB3D" w14:textId="77777777" w:rsidR="00941D77" w:rsidRDefault="00941D77" w:rsidP="00E87D03">
            <w:pPr>
              <w:pStyle w:val="NZVJTableText"/>
              <w:jc w:val="center"/>
            </w:pPr>
          </w:p>
        </w:tc>
        <w:tc>
          <w:tcPr>
            <w:tcW w:w="765" w:type="dxa"/>
            <w:tcBorders>
              <w:top w:val="single" w:sz="4" w:space="0" w:color="auto"/>
            </w:tcBorders>
            <w:vAlign w:val="center"/>
          </w:tcPr>
          <w:p w14:paraId="0E9C4193" w14:textId="5597A4A3" w:rsidR="00941D77" w:rsidRDefault="00941D77" w:rsidP="00E87D03">
            <w:pPr>
              <w:pStyle w:val="NZVJTableText"/>
              <w:jc w:val="center"/>
            </w:pPr>
          </w:p>
        </w:tc>
      </w:tr>
      <w:tr w:rsidR="00941D77" w14:paraId="367A9290" w14:textId="77777777" w:rsidTr="00E87D03">
        <w:trPr>
          <w:trHeight w:val="340"/>
        </w:trPr>
        <w:tc>
          <w:tcPr>
            <w:tcW w:w="2555" w:type="dxa"/>
            <w:vAlign w:val="center"/>
          </w:tcPr>
          <w:p w14:paraId="7527C0F9" w14:textId="4B14BE3B" w:rsidR="00941D77" w:rsidRDefault="00941D77" w:rsidP="00516657">
            <w:pPr>
              <w:pStyle w:val="NZVJTableText"/>
            </w:pPr>
            <w:r>
              <w:t xml:space="preserve">   Control group</w:t>
            </w:r>
          </w:p>
        </w:tc>
        <w:tc>
          <w:tcPr>
            <w:tcW w:w="1698" w:type="dxa"/>
            <w:vAlign w:val="center"/>
          </w:tcPr>
          <w:p w14:paraId="1122FF94" w14:textId="191F8BB1" w:rsidR="00941D77" w:rsidRDefault="00941D77" w:rsidP="00E87D03">
            <w:pPr>
              <w:pStyle w:val="NZVJTableText"/>
              <w:jc w:val="center"/>
            </w:pPr>
            <w:r>
              <w:t>21 (8, 30)</w:t>
            </w:r>
          </w:p>
        </w:tc>
        <w:tc>
          <w:tcPr>
            <w:tcW w:w="1843" w:type="dxa"/>
            <w:vAlign w:val="center"/>
          </w:tcPr>
          <w:p w14:paraId="06B392A2" w14:textId="74DCCA76" w:rsidR="00941D77" w:rsidRDefault="00941D77" w:rsidP="00E87D03">
            <w:pPr>
              <w:pStyle w:val="NZVJTableText"/>
              <w:jc w:val="center"/>
            </w:pPr>
            <w:r>
              <w:t>21 (12, 27)</w:t>
            </w:r>
          </w:p>
        </w:tc>
        <w:tc>
          <w:tcPr>
            <w:tcW w:w="992" w:type="dxa"/>
            <w:vAlign w:val="center"/>
          </w:tcPr>
          <w:p w14:paraId="54E93BD4" w14:textId="355DBD72" w:rsidR="00941D77" w:rsidRPr="00C2506E" w:rsidRDefault="00804EC6" w:rsidP="00E87D03">
            <w:pPr>
              <w:pStyle w:val="NZVJTableText"/>
              <w:jc w:val="center"/>
            </w:pPr>
            <w:r>
              <w:t>0</w:t>
            </w:r>
          </w:p>
        </w:tc>
        <w:tc>
          <w:tcPr>
            <w:tcW w:w="992" w:type="dxa"/>
            <w:vAlign w:val="center"/>
          </w:tcPr>
          <w:p w14:paraId="6F50A5A2" w14:textId="0A658A0B" w:rsidR="00941D77" w:rsidRPr="00C2506E" w:rsidRDefault="00804EC6" w:rsidP="00E87D03">
            <w:pPr>
              <w:pStyle w:val="NZVJTableText"/>
              <w:jc w:val="center"/>
            </w:pPr>
            <w:r>
              <w:t>–0.24</w:t>
            </w:r>
          </w:p>
        </w:tc>
        <w:tc>
          <w:tcPr>
            <w:tcW w:w="793" w:type="dxa"/>
            <w:vAlign w:val="center"/>
          </w:tcPr>
          <w:p w14:paraId="2BA27ED5" w14:textId="00DF95DB" w:rsidR="00941D77" w:rsidRPr="00C2506E" w:rsidRDefault="00873F41" w:rsidP="00E87D03">
            <w:pPr>
              <w:pStyle w:val="NZVJTableText"/>
              <w:jc w:val="center"/>
            </w:pPr>
            <w:r>
              <w:t>0.04</w:t>
            </w:r>
          </w:p>
        </w:tc>
        <w:tc>
          <w:tcPr>
            <w:tcW w:w="765" w:type="dxa"/>
            <w:vAlign w:val="center"/>
          </w:tcPr>
          <w:p w14:paraId="320CF75E" w14:textId="62211EAB" w:rsidR="00941D77" w:rsidRDefault="00941D77" w:rsidP="00E87D03">
            <w:pPr>
              <w:pStyle w:val="NZVJTableText"/>
              <w:jc w:val="center"/>
            </w:pPr>
            <w:r w:rsidRPr="00C2506E">
              <w:t>0.813</w:t>
            </w:r>
          </w:p>
        </w:tc>
      </w:tr>
      <w:tr w:rsidR="00941D77" w14:paraId="253AD9BB" w14:textId="77777777" w:rsidTr="00E87D03">
        <w:trPr>
          <w:trHeight w:val="340"/>
        </w:trPr>
        <w:tc>
          <w:tcPr>
            <w:tcW w:w="2555" w:type="dxa"/>
            <w:vAlign w:val="center"/>
          </w:tcPr>
          <w:p w14:paraId="175567BF" w14:textId="7965E76B" w:rsidR="00941D77" w:rsidRDefault="00941D77" w:rsidP="00516657">
            <w:pPr>
              <w:pStyle w:val="NZVJTableText"/>
            </w:pPr>
            <w:r>
              <w:t xml:space="preserve">   Intervention group</w:t>
            </w:r>
          </w:p>
        </w:tc>
        <w:tc>
          <w:tcPr>
            <w:tcW w:w="1698" w:type="dxa"/>
            <w:vAlign w:val="center"/>
          </w:tcPr>
          <w:p w14:paraId="4279BE2A" w14:textId="33F57AB9" w:rsidR="00941D77" w:rsidRPr="005B18AF" w:rsidRDefault="00941D77" w:rsidP="00E87D03">
            <w:pPr>
              <w:pStyle w:val="NZVJTableText"/>
              <w:jc w:val="center"/>
            </w:pPr>
            <w:r w:rsidRPr="00C2506E">
              <w:t>19 (9</w:t>
            </w:r>
            <w:r>
              <w:t xml:space="preserve">, </w:t>
            </w:r>
            <w:r w:rsidRPr="00C2506E">
              <w:t>26)</w:t>
            </w:r>
          </w:p>
        </w:tc>
        <w:tc>
          <w:tcPr>
            <w:tcW w:w="1843" w:type="dxa"/>
            <w:vAlign w:val="center"/>
          </w:tcPr>
          <w:p w14:paraId="53811870" w14:textId="77944147" w:rsidR="00941D77" w:rsidRPr="005B18AF" w:rsidRDefault="00941D77" w:rsidP="00E87D03">
            <w:pPr>
              <w:pStyle w:val="NZVJTableText"/>
              <w:jc w:val="center"/>
            </w:pPr>
            <w:r w:rsidRPr="00C2506E">
              <w:t>17 (9</w:t>
            </w:r>
            <w:r>
              <w:t xml:space="preserve">, </w:t>
            </w:r>
            <w:r w:rsidRPr="00C2506E">
              <w:t>27)</w:t>
            </w:r>
          </w:p>
        </w:tc>
        <w:tc>
          <w:tcPr>
            <w:tcW w:w="992" w:type="dxa"/>
            <w:vAlign w:val="center"/>
          </w:tcPr>
          <w:p w14:paraId="078C99B6" w14:textId="40FE15BF" w:rsidR="00941D77" w:rsidRPr="00C2506E" w:rsidRDefault="000574E2" w:rsidP="00E87D03">
            <w:pPr>
              <w:pStyle w:val="NZVJTableText"/>
              <w:jc w:val="center"/>
            </w:pPr>
            <w:r>
              <w:t>–11%</w:t>
            </w:r>
          </w:p>
        </w:tc>
        <w:tc>
          <w:tcPr>
            <w:tcW w:w="992" w:type="dxa"/>
            <w:vAlign w:val="center"/>
          </w:tcPr>
          <w:p w14:paraId="0FC6D636" w14:textId="4A149D97" w:rsidR="00941D77" w:rsidRPr="00C2506E" w:rsidRDefault="000574E2" w:rsidP="00E87D03">
            <w:pPr>
              <w:pStyle w:val="NZVJTableText"/>
              <w:jc w:val="center"/>
            </w:pPr>
            <w:r>
              <w:t>–0.85</w:t>
            </w:r>
          </w:p>
        </w:tc>
        <w:tc>
          <w:tcPr>
            <w:tcW w:w="793" w:type="dxa"/>
            <w:vAlign w:val="center"/>
          </w:tcPr>
          <w:p w14:paraId="491B3C8F" w14:textId="5C089884" w:rsidR="00941D77" w:rsidRPr="00C2506E" w:rsidRDefault="0092722D" w:rsidP="00E87D03">
            <w:pPr>
              <w:pStyle w:val="NZVJTableText"/>
              <w:jc w:val="center"/>
            </w:pPr>
            <w:r>
              <w:t>0.16</w:t>
            </w:r>
          </w:p>
        </w:tc>
        <w:tc>
          <w:tcPr>
            <w:tcW w:w="765" w:type="dxa"/>
            <w:vAlign w:val="center"/>
          </w:tcPr>
          <w:p w14:paraId="1A936FF5" w14:textId="79E45EF1" w:rsidR="00941D77" w:rsidRDefault="00941D77" w:rsidP="00E87D03">
            <w:pPr>
              <w:pStyle w:val="NZVJTableText"/>
              <w:jc w:val="center"/>
            </w:pPr>
            <w:r w:rsidRPr="00C2506E">
              <w:t>0.395</w:t>
            </w:r>
          </w:p>
        </w:tc>
      </w:tr>
      <w:tr w:rsidR="00941D77" w14:paraId="1B163B9B" w14:textId="77777777" w:rsidTr="00E87D03">
        <w:trPr>
          <w:trHeight w:val="340"/>
        </w:trPr>
        <w:tc>
          <w:tcPr>
            <w:tcW w:w="2555" w:type="dxa"/>
            <w:vAlign w:val="center"/>
          </w:tcPr>
          <w:p w14:paraId="5DBF9899" w14:textId="093F8434" w:rsidR="00941D77" w:rsidRDefault="00941D77" w:rsidP="00516657">
            <w:pPr>
              <w:pStyle w:val="NZVJTableText"/>
            </w:pPr>
            <w:r>
              <w:t>Copenhagen Burnout Inventory</w:t>
            </w:r>
          </w:p>
        </w:tc>
        <w:tc>
          <w:tcPr>
            <w:tcW w:w="1698" w:type="dxa"/>
            <w:vAlign w:val="center"/>
          </w:tcPr>
          <w:p w14:paraId="1A4E123B" w14:textId="77777777" w:rsidR="00941D77" w:rsidRDefault="00941D77" w:rsidP="00E87D03">
            <w:pPr>
              <w:pStyle w:val="NZVJTableText"/>
              <w:jc w:val="center"/>
            </w:pPr>
          </w:p>
        </w:tc>
        <w:tc>
          <w:tcPr>
            <w:tcW w:w="1843" w:type="dxa"/>
            <w:vAlign w:val="center"/>
          </w:tcPr>
          <w:p w14:paraId="401E2372" w14:textId="77777777" w:rsidR="00941D77" w:rsidRDefault="00941D77" w:rsidP="00E87D03">
            <w:pPr>
              <w:pStyle w:val="NZVJTableText"/>
              <w:jc w:val="center"/>
            </w:pPr>
          </w:p>
        </w:tc>
        <w:tc>
          <w:tcPr>
            <w:tcW w:w="992" w:type="dxa"/>
            <w:vAlign w:val="center"/>
          </w:tcPr>
          <w:p w14:paraId="63A9F5FD" w14:textId="77777777" w:rsidR="00941D77" w:rsidRDefault="00941D77" w:rsidP="00E87D03">
            <w:pPr>
              <w:pStyle w:val="NZVJTableText"/>
              <w:jc w:val="center"/>
            </w:pPr>
          </w:p>
        </w:tc>
        <w:tc>
          <w:tcPr>
            <w:tcW w:w="992" w:type="dxa"/>
            <w:vAlign w:val="center"/>
          </w:tcPr>
          <w:p w14:paraId="6829C3C7" w14:textId="77777777" w:rsidR="00941D77" w:rsidRDefault="00941D77" w:rsidP="00E87D03">
            <w:pPr>
              <w:pStyle w:val="NZVJTableText"/>
              <w:jc w:val="center"/>
            </w:pPr>
          </w:p>
        </w:tc>
        <w:tc>
          <w:tcPr>
            <w:tcW w:w="793" w:type="dxa"/>
            <w:vAlign w:val="center"/>
          </w:tcPr>
          <w:p w14:paraId="3F74D30B" w14:textId="77777777" w:rsidR="00941D77" w:rsidRDefault="00941D77" w:rsidP="00E87D03">
            <w:pPr>
              <w:pStyle w:val="NZVJTableText"/>
              <w:jc w:val="center"/>
            </w:pPr>
          </w:p>
        </w:tc>
        <w:tc>
          <w:tcPr>
            <w:tcW w:w="765" w:type="dxa"/>
            <w:vAlign w:val="center"/>
          </w:tcPr>
          <w:p w14:paraId="5F42A73A" w14:textId="265FACCC" w:rsidR="00941D77" w:rsidRDefault="00941D77" w:rsidP="00E87D03">
            <w:pPr>
              <w:pStyle w:val="NZVJTableText"/>
              <w:jc w:val="center"/>
            </w:pPr>
          </w:p>
        </w:tc>
      </w:tr>
      <w:tr w:rsidR="00941D77" w14:paraId="0C3CED9C" w14:textId="77777777" w:rsidTr="00E87D03">
        <w:trPr>
          <w:trHeight w:val="340"/>
        </w:trPr>
        <w:tc>
          <w:tcPr>
            <w:tcW w:w="2555" w:type="dxa"/>
            <w:vAlign w:val="center"/>
          </w:tcPr>
          <w:p w14:paraId="3EF9737D" w14:textId="38547F72" w:rsidR="00941D77" w:rsidRDefault="00941D77" w:rsidP="00516657">
            <w:pPr>
              <w:pStyle w:val="NZVJTableText"/>
            </w:pPr>
            <w:r>
              <w:t xml:space="preserve">   Control group</w:t>
            </w:r>
          </w:p>
        </w:tc>
        <w:tc>
          <w:tcPr>
            <w:tcW w:w="1698" w:type="dxa"/>
            <w:vAlign w:val="center"/>
          </w:tcPr>
          <w:p w14:paraId="02D05582" w14:textId="5CBEECFD" w:rsidR="00941D77" w:rsidRDefault="00941D77" w:rsidP="00E87D03">
            <w:pPr>
              <w:pStyle w:val="NZVJTableText"/>
              <w:jc w:val="center"/>
            </w:pPr>
            <w:r w:rsidRPr="00C2506E">
              <w:t>46 (17</w:t>
            </w:r>
            <w:r>
              <w:t xml:space="preserve">, </w:t>
            </w:r>
            <w:r w:rsidRPr="00C2506E">
              <w:t>93)</w:t>
            </w:r>
          </w:p>
        </w:tc>
        <w:tc>
          <w:tcPr>
            <w:tcW w:w="1843" w:type="dxa"/>
            <w:vAlign w:val="center"/>
          </w:tcPr>
          <w:p w14:paraId="0D6D2091" w14:textId="1DF56749" w:rsidR="00941D77" w:rsidRDefault="00941D77" w:rsidP="00E87D03">
            <w:pPr>
              <w:pStyle w:val="NZVJTableText"/>
              <w:jc w:val="center"/>
            </w:pPr>
            <w:r w:rsidRPr="00C2506E">
              <w:t>50 (13</w:t>
            </w:r>
            <w:r>
              <w:t xml:space="preserve">, </w:t>
            </w:r>
            <w:r w:rsidRPr="00C2506E">
              <w:t>87)</w:t>
            </w:r>
          </w:p>
        </w:tc>
        <w:tc>
          <w:tcPr>
            <w:tcW w:w="992" w:type="dxa"/>
            <w:vAlign w:val="center"/>
          </w:tcPr>
          <w:p w14:paraId="307BD28A" w14:textId="77777777" w:rsidR="00941D77" w:rsidRPr="00C2506E" w:rsidRDefault="00941D77" w:rsidP="00E87D03">
            <w:pPr>
              <w:pStyle w:val="NZVJTableText"/>
              <w:jc w:val="center"/>
            </w:pPr>
          </w:p>
        </w:tc>
        <w:tc>
          <w:tcPr>
            <w:tcW w:w="992" w:type="dxa"/>
            <w:vAlign w:val="center"/>
          </w:tcPr>
          <w:p w14:paraId="2E7FE773" w14:textId="77777777" w:rsidR="00941D77" w:rsidRPr="00C2506E" w:rsidRDefault="00941D77" w:rsidP="00E87D03">
            <w:pPr>
              <w:pStyle w:val="NZVJTableText"/>
              <w:jc w:val="center"/>
            </w:pPr>
          </w:p>
        </w:tc>
        <w:tc>
          <w:tcPr>
            <w:tcW w:w="793" w:type="dxa"/>
            <w:vAlign w:val="center"/>
          </w:tcPr>
          <w:p w14:paraId="7EB378DF" w14:textId="77777777" w:rsidR="00941D77" w:rsidRPr="00C2506E" w:rsidRDefault="00941D77" w:rsidP="00E87D03">
            <w:pPr>
              <w:pStyle w:val="NZVJTableText"/>
              <w:jc w:val="center"/>
            </w:pPr>
          </w:p>
        </w:tc>
        <w:tc>
          <w:tcPr>
            <w:tcW w:w="765" w:type="dxa"/>
            <w:vAlign w:val="center"/>
          </w:tcPr>
          <w:p w14:paraId="2E8700F8" w14:textId="61C932EC" w:rsidR="00941D77" w:rsidRDefault="00941D77" w:rsidP="00E87D03">
            <w:pPr>
              <w:pStyle w:val="NZVJTableText"/>
              <w:jc w:val="center"/>
            </w:pPr>
            <w:r w:rsidRPr="00C2506E">
              <w:t>0.777</w:t>
            </w:r>
          </w:p>
        </w:tc>
      </w:tr>
      <w:tr w:rsidR="00941D77" w14:paraId="7A6E58CB" w14:textId="77777777" w:rsidTr="00E87D03">
        <w:trPr>
          <w:trHeight w:val="340"/>
        </w:trPr>
        <w:tc>
          <w:tcPr>
            <w:tcW w:w="2555" w:type="dxa"/>
            <w:vAlign w:val="center"/>
          </w:tcPr>
          <w:p w14:paraId="59C52EEA" w14:textId="19FAB2B4" w:rsidR="00941D77" w:rsidRDefault="00941D77" w:rsidP="00516657">
            <w:pPr>
              <w:pStyle w:val="NZVJTableText"/>
            </w:pPr>
            <w:r>
              <w:t xml:space="preserve">   Intervention group</w:t>
            </w:r>
          </w:p>
        </w:tc>
        <w:tc>
          <w:tcPr>
            <w:tcW w:w="1698" w:type="dxa"/>
            <w:vAlign w:val="center"/>
          </w:tcPr>
          <w:p w14:paraId="7CA5A138" w14:textId="28BC5CF4" w:rsidR="00941D77" w:rsidRPr="005B18AF" w:rsidRDefault="00941D77" w:rsidP="00E87D03">
            <w:pPr>
              <w:pStyle w:val="NZVJTableText"/>
              <w:jc w:val="center"/>
            </w:pPr>
            <w:r w:rsidRPr="00C2506E">
              <w:t>54 (16</w:t>
            </w:r>
            <w:r>
              <w:t xml:space="preserve">, </w:t>
            </w:r>
            <w:r w:rsidRPr="00C2506E">
              <w:t>92)</w:t>
            </w:r>
          </w:p>
        </w:tc>
        <w:tc>
          <w:tcPr>
            <w:tcW w:w="1843" w:type="dxa"/>
            <w:vAlign w:val="center"/>
          </w:tcPr>
          <w:p w14:paraId="7926D5DB" w14:textId="69A29D0F" w:rsidR="00941D77" w:rsidRPr="005B18AF" w:rsidRDefault="00941D77" w:rsidP="00E87D03">
            <w:pPr>
              <w:pStyle w:val="NZVJTableText"/>
              <w:jc w:val="center"/>
            </w:pPr>
            <w:r w:rsidRPr="00C2506E">
              <w:t>48 (13</w:t>
            </w:r>
            <w:r>
              <w:t xml:space="preserve">, </w:t>
            </w:r>
            <w:r w:rsidRPr="00C2506E">
              <w:t>89)</w:t>
            </w:r>
          </w:p>
        </w:tc>
        <w:tc>
          <w:tcPr>
            <w:tcW w:w="992" w:type="dxa"/>
            <w:vAlign w:val="center"/>
          </w:tcPr>
          <w:p w14:paraId="74DEDD76" w14:textId="098C5AD1" w:rsidR="00941D77" w:rsidRPr="00C2506E" w:rsidRDefault="00D403EE" w:rsidP="00E87D03">
            <w:pPr>
              <w:pStyle w:val="NZVJTableText"/>
              <w:jc w:val="center"/>
            </w:pPr>
            <w:r>
              <w:t>–11%</w:t>
            </w:r>
          </w:p>
        </w:tc>
        <w:tc>
          <w:tcPr>
            <w:tcW w:w="992" w:type="dxa"/>
            <w:vAlign w:val="center"/>
          </w:tcPr>
          <w:p w14:paraId="0DE03161" w14:textId="40C8F649" w:rsidR="00941D77" w:rsidRPr="00C2506E" w:rsidRDefault="0075017C" w:rsidP="00E87D03">
            <w:pPr>
              <w:pStyle w:val="NZVJTableText"/>
              <w:jc w:val="center"/>
            </w:pPr>
            <w:r>
              <w:t>–0.3</w:t>
            </w:r>
            <w:r w:rsidR="00162CC2">
              <w:t>5</w:t>
            </w:r>
          </w:p>
        </w:tc>
        <w:tc>
          <w:tcPr>
            <w:tcW w:w="793" w:type="dxa"/>
            <w:vAlign w:val="center"/>
          </w:tcPr>
          <w:p w14:paraId="7C952A5B" w14:textId="0FFB68A0" w:rsidR="00941D77" w:rsidRPr="00C2506E" w:rsidRDefault="00162CC2" w:rsidP="00E87D03">
            <w:pPr>
              <w:pStyle w:val="NZVJTableText"/>
              <w:jc w:val="center"/>
            </w:pPr>
            <w:r>
              <w:t>0.06</w:t>
            </w:r>
          </w:p>
        </w:tc>
        <w:tc>
          <w:tcPr>
            <w:tcW w:w="765" w:type="dxa"/>
            <w:vAlign w:val="center"/>
          </w:tcPr>
          <w:p w14:paraId="61E71DC7" w14:textId="45CA4A67" w:rsidR="00941D77" w:rsidRDefault="00941D77" w:rsidP="00E87D03">
            <w:pPr>
              <w:pStyle w:val="NZVJTableText"/>
              <w:jc w:val="center"/>
            </w:pPr>
            <w:r w:rsidRPr="00C2506E">
              <w:t>0.730</w:t>
            </w:r>
          </w:p>
        </w:tc>
      </w:tr>
      <w:tr w:rsidR="00941D77" w14:paraId="2DB075BD" w14:textId="77777777" w:rsidTr="00E87D03">
        <w:trPr>
          <w:trHeight w:val="340"/>
        </w:trPr>
        <w:tc>
          <w:tcPr>
            <w:tcW w:w="2555" w:type="dxa"/>
            <w:vAlign w:val="center"/>
          </w:tcPr>
          <w:p w14:paraId="76878F3D" w14:textId="4FB9D2A3" w:rsidR="00941D77" w:rsidRDefault="00941D77" w:rsidP="00516657">
            <w:pPr>
              <w:pStyle w:val="NZVJTableText"/>
            </w:pPr>
            <w:r>
              <w:t>Burden Transfer Inventory</w:t>
            </w:r>
          </w:p>
        </w:tc>
        <w:tc>
          <w:tcPr>
            <w:tcW w:w="1698" w:type="dxa"/>
            <w:vAlign w:val="center"/>
          </w:tcPr>
          <w:p w14:paraId="498F2107" w14:textId="77777777" w:rsidR="00941D77" w:rsidRDefault="00941D77" w:rsidP="00E87D03">
            <w:pPr>
              <w:pStyle w:val="NZVJTableText"/>
              <w:jc w:val="center"/>
            </w:pPr>
          </w:p>
        </w:tc>
        <w:tc>
          <w:tcPr>
            <w:tcW w:w="1843" w:type="dxa"/>
            <w:vAlign w:val="center"/>
          </w:tcPr>
          <w:p w14:paraId="12F2F751" w14:textId="77777777" w:rsidR="00941D77" w:rsidRDefault="00941D77" w:rsidP="00E87D03">
            <w:pPr>
              <w:pStyle w:val="NZVJTableText"/>
              <w:jc w:val="center"/>
            </w:pPr>
          </w:p>
        </w:tc>
        <w:tc>
          <w:tcPr>
            <w:tcW w:w="992" w:type="dxa"/>
            <w:vAlign w:val="center"/>
          </w:tcPr>
          <w:p w14:paraId="317BA7B9" w14:textId="77777777" w:rsidR="00941D77" w:rsidRDefault="00941D77" w:rsidP="00E87D03">
            <w:pPr>
              <w:pStyle w:val="NZVJTableText"/>
              <w:jc w:val="center"/>
            </w:pPr>
          </w:p>
        </w:tc>
        <w:tc>
          <w:tcPr>
            <w:tcW w:w="992" w:type="dxa"/>
            <w:vAlign w:val="center"/>
          </w:tcPr>
          <w:p w14:paraId="2ADD1717" w14:textId="77777777" w:rsidR="00941D77" w:rsidRDefault="00941D77" w:rsidP="00E87D03">
            <w:pPr>
              <w:pStyle w:val="NZVJTableText"/>
              <w:jc w:val="center"/>
            </w:pPr>
          </w:p>
        </w:tc>
        <w:tc>
          <w:tcPr>
            <w:tcW w:w="793" w:type="dxa"/>
            <w:vAlign w:val="center"/>
          </w:tcPr>
          <w:p w14:paraId="20C6F470" w14:textId="77777777" w:rsidR="00941D77" w:rsidRDefault="00941D77" w:rsidP="00E87D03">
            <w:pPr>
              <w:pStyle w:val="NZVJTableText"/>
              <w:jc w:val="center"/>
            </w:pPr>
          </w:p>
        </w:tc>
        <w:tc>
          <w:tcPr>
            <w:tcW w:w="765" w:type="dxa"/>
            <w:vAlign w:val="center"/>
          </w:tcPr>
          <w:p w14:paraId="0E0695E0" w14:textId="66BAA132" w:rsidR="00941D77" w:rsidRDefault="00941D77" w:rsidP="00E87D03">
            <w:pPr>
              <w:pStyle w:val="NZVJTableText"/>
              <w:jc w:val="center"/>
            </w:pPr>
          </w:p>
        </w:tc>
      </w:tr>
      <w:tr w:rsidR="00941D77" w14:paraId="2FCB6B65" w14:textId="77777777" w:rsidTr="00E87D03">
        <w:trPr>
          <w:trHeight w:val="340"/>
        </w:trPr>
        <w:tc>
          <w:tcPr>
            <w:tcW w:w="2555" w:type="dxa"/>
            <w:vAlign w:val="center"/>
          </w:tcPr>
          <w:p w14:paraId="3D51D6FE" w14:textId="68EB2439" w:rsidR="00941D77" w:rsidRDefault="00941D77" w:rsidP="00516657">
            <w:pPr>
              <w:pStyle w:val="NZVJTableText"/>
            </w:pPr>
            <w:r>
              <w:t xml:space="preserve">   Frequency</w:t>
            </w:r>
          </w:p>
        </w:tc>
        <w:tc>
          <w:tcPr>
            <w:tcW w:w="1698" w:type="dxa"/>
            <w:vAlign w:val="center"/>
          </w:tcPr>
          <w:p w14:paraId="07B1B3A8" w14:textId="77777777" w:rsidR="00941D77" w:rsidRDefault="00941D77" w:rsidP="00E87D03">
            <w:pPr>
              <w:pStyle w:val="NZVJTableText"/>
              <w:jc w:val="center"/>
            </w:pPr>
          </w:p>
        </w:tc>
        <w:tc>
          <w:tcPr>
            <w:tcW w:w="1843" w:type="dxa"/>
            <w:vAlign w:val="center"/>
          </w:tcPr>
          <w:p w14:paraId="4745DE4A" w14:textId="77777777" w:rsidR="00941D77" w:rsidRDefault="00941D77" w:rsidP="00E87D03">
            <w:pPr>
              <w:pStyle w:val="NZVJTableText"/>
              <w:jc w:val="center"/>
            </w:pPr>
          </w:p>
        </w:tc>
        <w:tc>
          <w:tcPr>
            <w:tcW w:w="992" w:type="dxa"/>
            <w:vAlign w:val="center"/>
          </w:tcPr>
          <w:p w14:paraId="31B0B75E" w14:textId="77777777" w:rsidR="00941D77" w:rsidRDefault="00941D77" w:rsidP="00E87D03">
            <w:pPr>
              <w:pStyle w:val="NZVJTableText"/>
              <w:jc w:val="center"/>
            </w:pPr>
          </w:p>
        </w:tc>
        <w:tc>
          <w:tcPr>
            <w:tcW w:w="992" w:type="dxa"/>
            <w:vAlign w:val="center"/>
          </w:tcPr>
          <w:p w14:paraId="0FED182B" w14:textId="77777777" w:rsidR="00941D77" w:rsidRDefault="00941D77" w:rsidP="00E87D03">
            <w:pPr>
              <w:pStyle w:val="NZVJTableText"/>
              <w:jc w:val="center"/>
            </w:pPr>
          </w:p>
        </w:tc>
        <w:tc>
          <w:tcPr>
            <w:tcW w:w="793" w:type="dxa"/>
            <w:vAlign w:val="center"/>
          </w:tcPr>
          <w:p w14:paraId="3932AEEA" w14:textId="77777777" w:rsidR="00941D77" w:rsidRDefault="00941D77" w:rsidP="00E87D03">
            <w:pPr>
              <w:pStyle w:val="NZVJTableText"/>
              <w:jc w:val="center"/>
            </w:pPr>
          </w:p>
        </w:tc>
        <w:tc>
          <w:tcPr>
            <w:tcW w:w="765" w:type="dxa"/>
            <w:vAlign w:val="center"/>
          </w:tcPr>
          <w:p w14:paraId="5E6DA7CE" w14:textId="4AFBCEA0" w:rsidR="00941D77" w:rsidRDefault="00941D77" w:rsidP="00E87D03">
            <w:pPr>
              <w:pStyle w:val="NZVJTableText"/>
              <w:jc w:val="center"/>
            </w:pPr>
          </w:p>
        </w:tc>
      </w:tr>
      <w:tr w:rsidR="00941D77" w14:paraId="443AFD1E" w14:textId="77777777" w:rsidTr="00E87D03">
        <w:trPr>
          <w:trHeight w:val="340"/>
        </w:trPr>
        <w:tc>
          <w:tcPr>
            <w:tcW w:w="2555" w:type="dxa"/>
            <w:vAlign w:val="center"/>
          </w:tcPr>
          <w:p w14:paraId="47953387" w14:textId="5A7773FA" w:rsidR="00941D77" w:rsidRDefault="00941D77" w:rsidP="00516657">
            <w:pPr>
              <w:pStyle w:val="NZVJTableText"/>
            </w:pPr>
            <w:r>
              <w:t xml:space="preserve">      Control group</w:t>
            </w:r>
          </w:p>
        </w:tc>
        <w:tc>
          <w:tcPr>
            <w:tcW w:w="1698" w:type="dxa"/>
            <w:vAlign w:val="center"/>
          </w:tcPr>
          <w:p w14:paraId="41E6A40D" w14:textId="10CE710A" w:rsidR="00941D77" w:rsidRDefault="00941D77" w:rsidP="00E87D03">
            <w:pPr>
              <w:pStyle w:val="NZVJTableText"/>
              <w:jc w:val="center"/>
            </w:pPr>
            <w:r w:rsidRPr="00C2506E">
              <w:t>62 (0</w:t>
            </w:r>
            <w:r>
              <w:t xml:space="preserve">, </w:t>
            </w:r>
            <w:r w:rsidRPr="00C2506E">
              <w:t>104)</w:t>
            </w:r>
          </w:p>
        </w:tc>
        <w:tc>
          <w:tcPr>
            <w:tcW w:w="1843" w:type="dxa"/>
            <w:vAlign w:val="center"/>
          </w:tcPr>
          <w:p w14:paraId="483050AD" w14:textId="1A6AD4AD" w:rsidR="00941D77" w:rsidRDefault="00941D77" w:rsidP="00E87D03">
            <w:pPr>
              <w:pStyle w:val="NZVJTableText"/>
              <w:jc w:val="center"/>
            </w:pPr>
            <w:r w:rsidRPr="00C2506E">
              <w:t>58 (0</w:t>
            </w:r>
            <w:r>
              <w:t xml:space="preserve">, </w:t>
            </w:r>
            <w:r w:rsidRPr="00C2506E">
              <w:t>96)</w:t>
            </w:r>
          </w:p>
        </w:tc>
        <w:tc>
          <w:tcPr>
            <w:tcW w:w="992" w:type="dxa"/>
            <w:vAlign w:val="center"/>
          </w:tcPr>
          <w:p w14:paraId="6297C84B" w14:textId="088B114E" w:rsidR="00941D77" w:rsidRPr="00C2506E" w:rsidRDefault="003D29D5" w:rsidP="00E87D03">
            <w:pPr>
              <w:pStyle w:val="NZVJTableText"/>
              <w:jc w:val="center"/>
            </w:pPr>
            <w:r>
              <w:t>–6%</w:t>
            </w:r>
          </w:p>
        </w:tc>
        <w:tc>
          <w:tcPr>
            <w:tcW w:w="992" w:type="dxa"/>
            <w:vAlign w:val="center"/>
          </w:tcPr>
          <w:p w14:paraId="04621D3D" w14:textId="7635D471" w:rsidR="00941D77" w:rsidRPr="00C2506E" w:rsidRDefault="003D29D5" w:rsidP="00E87D03">
            <w:pPr>
              <w:pStyle w:val="NZVJTableText"/>
              <w:jc w:val="center"/>
            </w:pPr>
            <w:r>
              <w:t>–2.</w:t>
            </w:r>
            <w:r w:rsidR="003F2ECA">
              <w:t>86</w:t>
            </w:r>
          </w:p>
        </w:tc>
        <w:tc>
          <w:tcPr>
            <w:tcW w:w="793" w:type="dxa"/>
            <w:vAlign w:val="center"/>
          </w:tcPr>
          <w:p w14:paraId="416F26F4" w14:textId="1680EDFD" w:rsidR="00941D77" w:rsidRPr="00C2506E" w:rsidRDefault="003F2ECA" w:rsidP="00E87D03">
            <w:pPr>
              <w:pStyle w:val="NZVJTableText"/>
              <w:jc w:val="center"/>
            </w:pPr>
            <w:r>
              <w:t>0.45</w:t>
            </w:r>
          </w:p>
        </w:tc>
        <w:tc>
          <w:tcPr>
            <w:tcW w:w="765" w:type="dxa"/>
            <w:vAlign w:val="center"/>
          </w:tcPr>
          <w:p w14:paraId="0093E168" w14:textId="4BA62F3D" w:rsidR="00941D77" w:rsidRDefault="00941D77" w:rsidP="00E87D03">
            <w:pPr>
              <w:pStyle w:val="NZVJTableText"/>
              <w:jc w:val="center"/>
            </w:pPr>
            <w:r w:rsidRPr="00C2506E">
              <w:t>0.006</w:t>
            </w:r>
          </w:p>
        </w:tc>
      </w:tr>
      <w:tr w:rsidR="00941D77" w14:paraId="15243B26" w14:textId="77777777" w:rsidTr="00E87D03">
        <w:trPr>
          <w:trHeight w:val="340"/>
        </w:trPr>
        <w:tc>
          <w:tcPr>
            <w:tcW w:w="2555" w:type="dxa"/>
            <w:vAlign w:val="center"/>
          </w:tcPr>
          <w:p w14:paraId="1874200A" w14:textId="3C0CB260" w:rsidR="00941D77" w:rsidRDefault="00941D77" w:rsidP="00516657">
            <w:pPr>
              <w:pStyle w:val="NZVJTableText"/>
            </w:pPr>
            <w:r>
              <w:t xml:space="preserve">      Intervention group</w:t>
            </w:r>
          </w:p>
        </w:tc>
        <w:tc>
          <w:tcPr>
            <w:tcW w:w="1698" w:type="dxa"/>
            <w:vAlign w:val="center"/>
          </w:tcPr>
          <w:p w14:paraId="39FDD31C" w14:textId="16A856F1" w:rsidR="00941D77" w:rsidRPr="00817BB8" w:rsidRDefault="00941D77" w:rsidP="00E87D03">
            <w:pPr>
              <w:pStyle w:val="NZVJTableText"/>
              <w:jc w:val="center"/>
            </w:pPr>
            <w:r w:rsidRPr="00C2506E">
              <w:t>68 (33</w:t>
            </w:r>
            <w:r>
              <w:t xml:space="preserve">, </w:t>
            </w:r>
            <w:r w:rsidRPr="00C2506E">
              <w:t>99)</w:t>
            </w:r>
          </w:p>
        </w:tc>
        <w:tc>
          <w:tcPr>
            <w:tcW w:w="1843" w:type="dxa"/>
            <w:vAlign w:val="center"/>
          </w:tcPr>
          <w:p w14:paraId="5998AAD8" w14:textId="5B4E82F2" w:rsidR="00941D77" w:rsidRPr="00817BB8" w:rsidRDefault="00941D77" w:rsidP="00E87D03">
            <w:pPr>
              <w:pStyle w:val="NZVJTableText"/>
              <w:jc w:val="center"/>
            </w:pPr>
            <w:r w:rsidRPr="00C2506E">
              <w:t>64 (29</w:t>
            </w:r>
            <w:r>
              <w:t xml:space="preserve">, </w:t>
            </w:r>
            <w:r w:rsidRPr="00C2506E">
              <w:t>95)</w:t>
            </w:r>
          </w:p>
        </w:tc>
        <w:tc>
          <w:tcPr>
            <w:tcW w:w="992" w:type="dxa"/>
            <w:vAlign w:val="center"/>
          </w:tcPr>
          <w:p w14:paraId="5F56AFB1" w14:textId="0CB9B18A" w:rsidR="00941D77" w:rsidRPr="00C2506E" w:rsidRDefault="007A35C2" w:rsidP="00E87D03">
            <w:pPr>
              <w:pStyle w:val="NZVJTableText"/>
              <w:jc w:val="center"/>
            </w:pPr>
            <w:r>
              <w:t>–6%</w:t>
            </w:r>
          </w:p>
        </w:tc>
        <w:tc>
          <w:tcPr>
            <w:tcW w:w="992" w:type="dxa"/>
            <w:vAlign w:val="center"/>
          </w:tcPr>
          <w:p w14:paraId="2F97E17A" w14:textId="2BDDD794" w:rsidR="00941D77" w:rsidRPr="00C2506E" w:rsidRDefault="007A35C2" w:rsidP="00E87D03">
            <w:pPr>
              <w:pStyle w:val="NZVJTableText"/>
              <w:jc w:val="center"/>
            </w:pPr>
            <w:r>
              <w:t>–2.04</w:t>
            </w:r>
          </w:p>
        </w:tc>
        <w:tc>
          <w:tcPr>
            <w:tcW w:w="793" w:type="dxa"/>
            <w:vAlign w:val="center"/>
          </w:tcPr>
          <w:p w14:paraId="71EEAED0" w14:textId="70183176" w:rsidR="00941D77" w:rsidRPr="00C2506E" w:rsidRDefault="0041011C" w:rsidP="00E87D03">
            <w:pPr>
              <w:pStyle w:val="NZVJTableText"/>
              <w:jc w:val="center"/>
            </w:pPr>
            <w:r>
              <w:t>0.37</w:t>
            </w:r>
          </w:p>
        </w:tc>
        <w:tc>
          <w:tcPr>
            <w:tcW w:w="765" w:type="dxa"/>
            <w:vAlign w:val="center"/>
          </w:tcPr>
          <w:p w14:paraId="50DEF9DC" w14:textId="2BF85C03" w:rsidR="00941D77" w:rsidRDefault="00941D77" w:rsidP="00E87D03">
            <w:pPr>
              <w:pStyle w:val="NZVJTableText"/>
              <w:jc w:val="center"/>
            </w:pPr>
            <w:r w:rsidRPr="00C2506E">
              <w:t>0.041</w:t>
            </w:r>
          </w:p>
        </w:tc>
      </w:tr>
      <w:tr w:rsidR="00941D77" w14:paraId="59882908" w14:textId="77777777" w:rsidTr="00E87D03">
        <w:trPr>
          <w:trHeight w:val="340"/>
        </w:trPr>
        <w:tc>
          <w:tcPr>
            <w:tcW w:w="2555" w:type="dxa"/>
            <w:vAlign w:val="center"/>
          </w:tcPr>
          <w:p w14:paraId="29FDEC8F" w14:textId="0733C8D5" w:rsidR="00941D77" w:rsidRDefault="00941D77" w:rsidP="00516657">
            <w:pPr>
              <w:pStyle w:val="NZVJTableText"/>
            </w:pPr>
            <w:r>
              <w:t xml:space="preserve">   Reaction</w:t>
            </w:r>
          </w:p>
        </w:tc>
        <w:tc>
          <w:tcPr>
            <w:tcW w:w="1698" w:type="dxa"/>
            <w:vAlign w:val="center"/>
          </w:tcPr>
          <w:p w14:paraId="0D68F5EE" w14:textId="77777777" w:rsidR="00941D77" w:rsidRDefault="00941D77" w:rsidP="00E87D03">
            <w:pPr>
              <w:pStyle w:val="NZVJTableText"/>
              <w:jc w:val="center"/>
            </w:pPr>
          </w:p>
        </w:tc>
        <w:tc>
          <w:tcPr>
            <w:tcW w:w="1843" w:type="dxa"/>
            <w:vAlign w:val="center"/>
          </w:tcPr>
          <w:p w14:paraId="0EAF65FC" w14:textId="77777777" w:rsidR="00941D77" w:rsidRDefault="00941D77" w:rsidP="00E87D03">
            <w:pPr>
              <w:pStyle w:val="NZVJTableText"/>
              <w:jc w:val="center"/>
            </w:pPr>
          </w:p>
        </w:tc>
        <w:tc>
          <w:tcPr>
            <w:tcW w:w="992" w:type="dxa"/>
            <w:vAlign w:val="center"/>
          </w:tcPr>
          <w:p w14:paraId="24BCE2A4" w14:textId="77777777" w:rsidR="00941D77" w:rsidRDefault="00941D77" w:rsidP="00E87D03">
            <w:pPr>
              <w:pStyle w:val="NZVJTableText"/>
              <w:jc w:val="center"/>
            </w:pPr>
          </w:p>
        </w:tc>
        <w:tc>
          <w:tcPr>
            <w:tcW w:w="992" w:type="dxa"/>
            <w:vAlign w:val="center"/>
          </w:tcPr>
          <w:p w14:paraId="47A2D60A" w14:textId="77777777" w:rsidR="00941D77" w:rsidRDefault="00941D77" w:rsidP="00E87D03">
            <w:pPr>
              <w:pStyle w:val="NZVJTableText"/>
              <w:jc w:val="center"/>
            </w:pPr>
          </w:p>
        </w:tc>
        <w:tc>
          <w:tcPr>
            <w:tcW w:w="793" w:type="dxa"/>
            <w:vAlign w:val="center"/>
          </w:tcPr>
          <w:p w14:paraId="04D8C1F4" w14:textId="77777777" w:rsidR="00941D77" w:rsidRDefault="00941D77" w:rsidP="00E87D03">
            <w:pPr>
              <w:pStyle w:val="NZVJTableText"/>
              <w:jc w:val="center"/>
            </w:pPr>
          </w:p>
        </w:tc>
        <w:tc>
          <w:tcPr>
            <w:tcW w:w="765" w:type="dxa"/>
            <w:vAlign w:val="center"/>
          </w:tcPr>
          <w:p w14:paraId="79E822B3" w14:textId="673F5CD2" w:rsidR="00941D77" w:rsidRDefault="00941D77" w:rsidP="00E87D03">
            <w:pPr>
              <w:pStyle w:val="NZVJTableText"/>
              <w:jc w:val="center"/>
            </w:pPr>
          </w:p>
        </w:tc>
      </w:tr>
      <w:tr w:rsidR="00941D77" w14:paraId="3EE3826B" w14:textId="77777777" w:rsidTr="00E87D03">
        <w:trPr>
          <w:trHeight w:val="340"/>
        </w:trPr>
        <w:tc>
          <w:tcPr>
            <w:tcW w:w="2555" w:type="dxa"/>
            <w:vAlign w:val="center"/>
          </w:tcPr>
          <w:p w14:paraId="35505FFC" w14:textId="6317DF40" w:rsidR="00941D77" w:rsidRDefault="00941D77" w:rsidP="00516657">
            <w:pPr>
              <w:pStyle w:val="NZVJTableText"/>
            </w:pPr>
            <w:r>
              <w:t xml:space="preserve">      Control group</w:t>
            </w:r>
          </w:p>
        </w:tc>
        <w:tc>
          <w:tcPr>
            <w:tcW w:w="1698" w:type="dxa"/>
            <w:vAlign w:val="center"/>
          </w:tcPr>
          <w:p w14:paraId="677F0795" w14:textId="72505230" w:rsidR="00941D77" w:rsidRDefault="00941D77" w:rsidP="00E87D03">
            <w:pPr>
              <w:pStyle w:val="NZVJTableText"/>
              <w:jc w:val="center"/>
            </w:pPr>
            <w:r w:rsidRPr="00C2506E">
              <w:t>59 (0</w:t>
            </w:r>
            <w:r>
              <w:t xml:space="preserve">, </w:t>
            </w:r>
            <w:r w:rsidRPr="00C2506E">
              <w:t>104)</w:t>
            </w:r>
          </w:p>
        </w:tc>
        <w:tc>
          <w:tcPr>
            <w:tcW w:w="1843" w:type="dxa"/>
            <w:vAlign w:val="center"/>
          </w:tcPr>
          <w:p w14:paraId="0F52D272" w14:textId="6C2CF8BE" w:rsidR="00941D77" w:rsidRDefault="00941D77" w:rsidP="00E87D03">
            <w:pPr>
              <w:pStyle w:val="NZVJTableText"/>
              <w:jc w:val="center"/>
            </w:pPr>
            <w:r w:rsidRPr="00C2506E">
              <w:t>51 (0</w:t>
            </w:r>
            <w:r>
              <w:t xml:space="preserve">, </w:t>
            </w:r>
            <w:r w:rsidRPr="00C2506E">
              <w:t>91)</w:t>
            </w:r>
          </w:p>
        </w:tc>
        <w:tc>
          <w:tcPr>
            <w:tcW w:w="992" w:type="dxa"/>
            <w:vAlign w:val="center"/>
          </w:tcPr>
          <w:p w14:paraId="62E34684" w14:textId="5C43C0CB" w:rsidR="00941D77" w:rsidRPr="00C2506E" w:rsidRDefault="00CB1210" w:rsidP="00E87D03">
            <w:pPr>
              <w:pStyle w:val="NZVJTableText"/>
              <w:jc w:val="center"/>
            </w:pPr>
            <w:r>
              <w:t>–14%</w:t>
            </w:r>
          </w:p>
        </w:tc>
        <w:tc>
          <w:tcPr>
            <w:tcW w:w="992" w:type="dxa"/>
            <w:vAlign w:val="center"/>
          </w:tcPr>
          <w:p w14:paraId="1DF18782" w14:textId="7C2F22AA" w:rsidR="00941D77" w:rsidRPr="00C2506E" w:rsidRDefault="00CB1210" w:rsidP="00E87D03">
            <w:pPr>
              <w:pStyle w:val="NZVJTableText"/>
              <w:jc w:val="center"/>
            </w:pPr>
            <w:r>
              <w:t>–1.23</w:t>
            </w:r>
          </w:p>
        </w:tc>
        <w:tc>
          <w:tcPr>
            <w:tcW w:w="793" w:type="dxa"/>
            <w:vAlign w:val="center"/>
          </w:tcPr>
          <w:p w14:paraId="010DA57C" w14:textId="6CCE5599" w:rsidR="00941D77" w:rsidRPr="00C2506E" w:rsidRDefault="00CB1210" w:rsidP="00E87D03">
            <w:pPr>
              <w:pStyle w:val="NZVJTableText"/>
              <w:jc w:val="center"/>
            </w:pPr>
            <w:r>
              <w:t>0.21</w:t>
            </w:r>
          </w:p>
        </w:tc>
        <w:tc>
          <w:tcPr>
            <w:tcW w:w="765" w:type="dxa"/>
            <w:vAlign w:val="center"/>
          </w:tcPr>
          <w:p w14:paraId="776027CB" w14:textId="146EFDDC" w:rsidR="00941D77" w:rsidRDefault="00941D77" w:rsidP="00E87D03">
            <w:pPr>
              <w:pStyle w:val="NZVJTableText"/>
              <w:jc w:val="center"/>
            </w:pPr>
            <w:r w:rsidRPr="00C2506E">
              <w:t>0.210</w:t>
            </w:r>
          </w:p>
        </w:tc>
      </w:tr>
      <w:tr w:rsidR="00941D77" w14:paraId="09AC5CDE" w14:textId="77777777" w:rsidTr="00E87D03">
        <w:trPr>
          <w:trHeight w:val="340"/>
        </w:trPr>
        <w:tc>
          <w:tcPr>
            <w:tcW w:w="2555" w:type="dxa"/>
            <w:tcBorders>
              <w:bottom w:val="single" w:sz="4" w:space="0" w:color="auto"/>
            </w:tcBorders>
            <w:vAlign w:val="center"/>
          </w:tcPr>
          <w:p w14:paraId="0E4062FA" w14:textId="25DC7404" w:rsidR="00941D77" w:rsidRDefault="00941D77" w:rsidP="00516657">
            <w:pPr>
              <w:pStyle w:val="NZVJTableText"/>
            </w:pPr>
            <w:r>
              <w:t xml:space="preserve">      Intervention group</w:t>
            </w:r>
          </w:p>
        </w:tc>
        <w:tc>
          <w:tcPr>
            <w:tcW w:w="1698" w:type="dxa"/>
            <w:tcBorders>
              <w:bottom w:val="single" w:sz="4" w:space="0" w:color="auto"/>
            </w:tcBorders>
            <w:vAlign w:val="center"/>
          </w:tcPr>
          <w:p w14:paraId="5721CE8F" w14:textId="7461F264" w:rsidR="00941D77" w:rsidRDefault="00941D77" w:rsidP="00E87D03">
            <w:pPr>
              <w:pStyle w:val="NZVJTableText"/>
              <w:jc w:val="center"/>
            </w:pPr>
            <w:r w:rsidRPr="00C2506E">
              <w:t>54 (8</w:t>
            </w:r>
            <w:r>
              <w:t xml:space="preserve">, </w:t>
            </w:r>
            <w:r w:rsidRPr="00C2506E">
              <w:t>77)</w:t>
            </w:r>
          </w:p>
        </w:tc>
        <w:tc>
          <w:tcPr>
            <w:tcW w:w="1843" w:type="dxa"/>
            <w:tcBorders>
              <w:bottom w:val="single" w:sz="4" w:space="0" w:color="auto"/>
            </w:tcBorders>
            <w:vAlign w:val="center"/>
          </w:tcPr>
          <w:p w14:paraId="46FE3790" w14:textId="056FD7FE" w:rsidR="00941D77" w:rsidRDefault="00941D77" w:rsidP="00E87D03">
            <w:pPr>
              <w:pStyle w:val="NZVJTableText"/>
              <w:jc w:val="center"/>
            </w:pPr>
            <w:r w:rsidRPr="00C2506E">
              <w:t>33 (2</w:t>
            </w:r>
            <w:r>
              <w:t xml:space="preserve">, </w:t>
            </w:r>
            <w:r w:rsidRPr="00C2506E">
              <w:t>76)</w:t>
            </w:r>
          </w:p>
        </w:tc>
        <w:tc>
          <w:tcPr>
            <w:tcW w:w="992" w:type="dxa"/>
            <w:tcBorders>
              <w:bottom w:val="single" w:sz="4" w:space="0" w:color="auto"/>
            </w:tcBorders>
            <w:vAlign w:val="center"/>
          </w:tcPr>
          <w:p w14:paraId="27DE5A7A" w14:textId="51C84413" w:rsidR="00941D77" w:rsidRPr="00C2506E" w:rsidRDefault="00D2673F" w:rsidP="00E87D03">
            <w:pPr>
              <w:pStyle w:val="NZVJTableText"/>
              <w:jc w:val="center"/>
            </w:pPr>
            <w:r>
              <w:t>–39%</w:t>
            </w:r>
          </w:p>
        </w:tc>
        <w:tc>
          <w:tcPr>
            <w:tcW w:w="992" w:type="dxa"/>
            <w:tcBorders>
              <w:bottom w:val="single" w:sz="4" w:space="0" w:color="auto"/>
            </w:tcBorders>
            <w:vAlign w:val="center"/>
          </w:tcPr>
          <w:p w14:paraId="1417FD06" w14:textId="46DBF6F1" w:rsidR="00941D77" w:rsidRPr="00C2506E" w:rsidRDefault="001356FA" w:rsidP="00E87D03">
            <w:pPr>
              <w:pStyle w:val="NZVJTableText"/>
              <w:jc w:val="center"/>
            </w:pPr>
            <w:r>
              <w:t>–2.00</w:t>
            </w:r>
          </w:p>
        </w:tc>
        <w:tc>
          <w:tcPr>
            <w:tcW w:w="793" w:type="dxa"/>
            <w:tcBorders>
              <w:bottom w:val="single" w:sz="4" w:space="0" w:color="auto"/>
            </w:tcBorders>
            <w:vAlign w:val="center"/>
          </w:tcPr>
          <w:p w14:paraId="2BD85E3F" w14:textId="7490C72F" w:rsidR="00941D77" w:rsidRPr="00C2506E" w:rsidRDefault="001356FA" w:rsidP="00E87D03">
            <w:pPr>
              <w:pStyle w:val="NZVJTableText"/>
              <w:jc w:val="center"/>
            </w:pPr>
            <w:r>
              <w:t>0.36</w:t>
            </w:r>
          </w:p>
        </w:tc>
        <w:tc>
          <w:tcPr>
            <w:tcW w:w="765" w:type="dxa"/>
            <w:tcBorders>
              <w:bottom w:val="single" w:sz="4" w:space="0" w:color="auto"/>
            </w:tcBorders>
            <w:vAlign w:val="center"/>
          </w:tcPr>
          <w:p w14:paraId="21A67392" w14:textId="7F6A4B51" w:rsidR="00941D77" w:rsidRDefault="00941D77" w:rsidP="00E87D03">
            <w:pPr>
              <w:pStyle w:val="NZVJTableText"/>
              <w:jc w:val="center"/>
            </w:pPr>
            <w:r w:rsidRPr="00C2506E">
              <w:t>0.047</w:t>
            </w:r>
          </w:p>
        </w:tc>
      </w:tr>
    </w:tbl>
    <w:p w14:paraId="02C3E352" w14:textId="6251F969" w:rsidR="009A0546" w:rsidRPr="009A0546" w:rsidRDefault="00994600" w:rsidP="009A0546">
      <w:r w:rsidRPr="00994600">
        <w:rPr>
          <w:vertAlign w:val="superscript"/>
        </w:rPr>
        <w:t>a</w:t>
      </w:r>
      <w:r w:rsidR="00516657">
        <w:t xml:space="preserve"> Percent change in score </w:t>
      </w:r>
      <w:r>
        <w:t>from pre-programme to post-programme.</w:t>
      </w:r>
      <w:r w:rsidR="00516657">
        <w:t xml:space="preserve"> </w:t>
      </w:r>
    </w:p>
    <w:p w14:paraId="4DB61A08" w14:textId="47924F23" w:rsidR="00394EC3" w:rsidRPr="00C2506E" w:rsidRDefault="00394EC3" w:rsidP="003B2FF1">
      <w:pPr>
        <w:pStyle w:val="NZVJTableheading"/>
        <w:rPr>
          <w:lang w:val="en-GB"/>
        </w:rPr>
      </w:pPr>
    </w:p>
    <w:sectPr w:rsidR="00394EC3" w:rsidRPr="00C2506E" w:rsidSect="003F2199">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787ED" w14:textId="77777777" w:rsidR="00854B05" w:rsidRDefault="00854B05" w:rsidP="00163595">
      <w:r>
        <w:separator/>
      </w:r>
    </w:p>
  </w:endnote>
  <w:endnote w:type="continuationSeparator" w:id="0">
    <w:p w14:paraId="0359EAEE" w14:textId="77777777" w:rsidR="00854B05" w:rsidRDefault="00854B05" w:rsidP="0016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chneidlerBT-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991B1" w14:textId="77777777" w:rsidR="00E60029" w:rsidRDefault="00E60029" w:rsidP="001635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1983C" w14:textId="77777777" w:rsidR="00854B05" w:rsidRDefault="00854B05" w:rsidP="00163595">
      <w:r>
        <w:separator/>
      </w:r>
    </w:p>
  </w:footnote>
  <w:footnote w:type="continuationSeparator" w:id="0">
    <w:p w14:paraId="16C62F5C" w14:textId="77777777" w:rsidR="00854B05" w:rsidRDefault="00854B05" w:rsidP="00163595">
      <w:r>
        <w:continuationSeparator/>
      </w:r>
    </w:p>
  </w:footnote>
  <w:footnote w:id="1">
    <w:p w14:paraId="5282FAA2" w14:textId="58005093" w:rsidR="00DE0C81" w:rsidRPr="00F779BD" w:rsidRDefault="00DE0C81" w:rsidP="00F779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B67"/>
    <w:multiLevelType w:val="hybridMultilevel"/>
    <w:tmpl w:val="EA380350"/>
    <w:lvl w:ilvl="0" w:tplc="8ED2997E">
      <w:start w:val="1"/>
      <w:numFmt w:val="lowerLetter"/>
      <w:lvlText w:val="%1"/>
      <w:lvlJc w:val="left"/>
      <w:pPr>
        <w:ind w:left="360" w:hanging="360"/>
      </w:pPr>
      <w:rPr>
        <w:rFonts w:hint="default"/>
        <w:vertAlign w:val="superscrip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31749B1"/>
    <w:multiLevelType w:val="hybridMultilevel"/>
    <w:tmpl w:val="448654F8"/>
    <w:lvl w:ilvl="0" w:tplc="A2FC2344">
      <w:start w:val="7"/>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926C09"/>
    <w:multiLevelType w:val="multilevel"/>
    <w:tmpl w:val="C590D1C8"/>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BF7957"/>
    <w:multiLevelType w:val="hybridMultilevel"/>
    <w:tmpl w:val="6A8CF3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EF4D01"/>
    <w:multiLevelType w:val="hybridMultilevel"/>
    <w:tmpl w:val="642C580C"/>
    <w:lvl w:ilvl="0" w:tplc="3DC63B04">
      <w:start w:val="1"/>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797524"/>
    <w:multiLevelType w:val="hybridMultilevel"/>
    <w:tmpl w:val="C07E43EE"/>
    <w:lvl w:ilvl="0" w:tplc="20E091EE">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CF5F16"/>
    <w:multiLevelType w:val="hybridMultilevel"/>
    <w:tmpl w:val="CC1254FE"/>
    <w:lvl w:ilvl="0" w:tplc="BFD6304A">
      <w:numFmt w:val="bullet"/>
      <w:lvlText w:val=""/>
      <w:lvlJc w:val="left"/>
      <w:pPr>
        <w:ind w:left="720" w:hanging="360"/>
      </w:pPr>
      <w:rPr>
        <w:rFonts w:ascii="Symbol" w:eastAsia="Times New Roman"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2A66E5"/>
    <w:multiLevelType w:val="hybridMultilevel"/>
    <w:tmpl w:val="0F3CF806"/>
    <w:lvl w:ilvl="0" w:tplc="6A222BA0">
      <w:start w:val="1"/>
      <w:numFmt w:val="decimal"/>
      <w:lvlText w:val="%1."/>
      <w:lvlJc w:val="left"/>
      <w:pPr>
        <w:ind w:left="7731" w:hanging="360"/>
      </w:pPr>
      <w:rPr>
        <w:rFonts w:eastAsiaTheme="majorEastAsia" w:hint="default"/>
        <w:b/>
        <w:sz w:val="28"/>
      </w:rPr>
    </w:lvl>
    <w:lvl w:ilvl="1" w:tplc="14090019">
      <w:start w:val="1"/>
      <w:numFmt w:val="lowerLetter"/>
      <w:lvlText w:val="%2."/>
      <w:lvlJc w:val="left"/>
      <w:pPr>
        <w:ind w:left="8451" w:hanging="360"/>
      </w:pPr>
    </w:lvl>
    <w:lvl w:ilvl="2" w:tplc="1409001B" w:tentative="1">
      <w:start w:val="1"/>
      <w:numFmt w:val="lowerRoman"/>
      <w:lvlText w:val="%3."/>
      <w:lvlJc w:val="right"/>
      <w:pPr>
        <w:ind w:left="9171" w:hanging="180"/>
      </w:pPr>
    </w:lvl>
    <w:lvl w:ilvl="3" w:tplc="1409000F" w:tentative="1">
      <w:start w:val="1"/>
      <w:numFmt w:val="decimal"/>
      <w:lvlText w:val="%4."/>
      <w:lvlJc w:val="left"/>
      <w:pPr>
        <w:ind w:left="9891" w:hanging="360"/>
      </w:pPr>
    </w:lvl>
    <w:lvl w:ilvl="4" w:tplc="14090019" w:tentative="1">
      <w:start w:val="1"/>
      <w:numFmt w:val="lowerLetter"/>
      <w:lvlText w:val="%5."/>
      <w:lvlJc w:val="left"/>
      <w:pPr>
        <w:ind w:left="10611" w:hanging="360"/>
      </w:pPr>
    </w:lvl>
    <w:lvl w:ilvl="5" w:tplc="1409001B" w:tentative="1">
      <w:start w:val="1"/>
      <w:numFmt w:val="lowerRoman"/>
      <w:lvlText w:val="%6."/>
      <w:lvlJc w:val="right"/>
      <w:pPr>
        <w:ind w:left="11331" w:hanging="180"/>
      </w:pPr>
    </w:lvl>
    <w:lvl w:ilvl="6" w:tplc="1409000F" w:tentative="1">
      <w:start w:val="1"/>
      <w:numFmt w:val="decimal"/>
      <w:lvlText w:val="%7."/>
      <w:lvlJc w:val="left"/>
      <w:pPr>
        <w:ind w:left="12051" w:hanging="360"/>
      </w:pPr>
    </w:lvl>
    <w:lvl w:ilvl="7" w:tplc="14090019" w:tentative="1">
      <w:start w:val="1"/>
      <w:numFmt w:val="lowerLetter"/>
      <w:lvlText w:val="%8."/>
      <w:lvlJc w:val="left"/>
      <w:pPr>
        <w:ind w:left="12771" w:hanging="360"/>
      </w:pPr>
    </w:lvl>
    <w:lvl w:ilvl="8" w:tplc="1409001B" w:tentative="1">
      <w:start w:val="1"/>
      <w:numFmt w:val="lowerRoman"/>
      <w:lvlText w:val="%9."/>
      <w:lvlJc w:val="right"/>
      <w:pPr>
        <w:ind w:left="13491" w:hanging="180"/>
      </w:pPr>
    </w:lvl>
  </w:abstractNum>
  <w:abstractNum w:abstractNumId="8" w15:restartNumberingAfterBreak="0">
    <w:nsid w:val="10541718"/>
    <w:multiLevelType w:val="hybridMultilevel"/>
    <w:tmpl w:val="6E38C984"/>
    <w:lvl w:ilvl="0" w:tplc="20E091EE">
      <w:start w:val="1"/>
      <w:numFmt w:val="bullet"/>
      <w:lvlText w:val="-"/>
      <w:lvlJc w:val="left"/>
      <w:pPr>
        <w:ind w:left="360" w:hanging="360"/>
      </w:pPr>
      <w:rPr>
        <w:rFonts w:ascii="Calibri" w:eastAsiaTheme="minorHAnsi" w:hAnsi="Calibri"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6113A42"/>
    <w:multiLevelType w:val="hybridMultilevel"/>
    <w:tmpl w:val="DC403C1C"/>
    <w:lvl w:ilvl="0" w:tplc="835619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745C11"/>
    <w:multiLevelType w:val="hybridMultilevel"/>
    <w:tmpl w:val="632C1FFC"/>
    <w:lvl w:ilvl="0" w:tplc="A662770C">
      <w:start w:val="2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24585B"/>
    <w:multiLevelType w:val="hybridMultilevel"/>
    <w:tmpl w:val="E0D4D1E6"/>
    <w:lvl w:ilvl="0" w:tplc="1FBCB59C">
      <w:start w:val="1"/>
      <w:numFmt w:val="bullet"/>
      <w:lvlText w:val=""/>
      <w:lvlJc w:val="left"/>
      <w:pPr>
        <w:tabs>
          <w:tab w:val="num" w:pos="720"/>
        </w:tabs>
        <w:ind w:left="720" w:hanging="360"/>
      </w:pPr>
      <w:rPr>
        <w:rFonts w:ascii="Wingdings 2" w:hAnsi="Wingdings 2" w:hint="default"/>
      </w:rPr>
    </w:lvl>
    <w:lvl w:ilvl="1" w:tplc="C2B4011C">
      <w:start w:val="632"/>
      <w:numFmt w:val="bullet"/>
      <w:lvlText w:val=""/>
      <w:lvlJc w:val="left"/>
      <w:pPr>
        <w:tabs>
          <w:tab w:val="num" w:pos="1440"/>
        </w:tabs>
        <w:ind w:left="1440" w:hanging="360"/>
      </w:pPr>
      <w:rPr>
        <w:rFonts w:ascii="Wingdings 2" w:hAnsi="Wingdings 2" w:hint="default"/>
      </w:rPr>
    </w:lvl>
    <w:lvl w:ilvl="2" w:tplc="E754FF48">
      <w:start w:val="632"/>
      <w:numFmt w:val="bullet"/>
      <w:lvlText w:val=""/>
      <w:lvlJc w:val="left"/>
      <w:pPr>
        <w:tabs>
          <w:tab w:val="num" w:pos="2160"/>
        </w:tabs>
        <w:ind w:left="2160" w:hanging="360"/>
      </w:pPr>
      <w:rPr>
        <w:rFonts w:ascii="Wingdings 2" w:hAnsi="Wingdings 2" w:hint="default"/>
      </w:rPr>
    </w:lvl>
    <w:lvl w:ilvl="3" w:tplc="20DA8D00" w:tentative="1">
      <w:start w:val="1"/>
      <w:numFmt w:val="bullet"/>
      <w:lvlText w:val=""/>
      <w:lvlJc w:val="left"/>
      <w:pPr>
        <w:tabs>
          <w:tab w:val="num" w:pos="2880"/>
        </w:tabs>
        <w:ind w:left="2880" w:hanging="360"/>
      </w:pPr>
      <w:rPr>
        <w:rFonts w:ascii="Wingdings 2" w:hAnsi="Wingdings 2" w:hint="default"/>
      </w:rPr>
    </w:lvl>
    <w:lvl w:ilvl="4" w:tplc="BBBE18B2" w:tentative="1">
      <w:start w:val="1"/>
      <w:numFmt w:val="bullet"/>
      <w:lvlText w:val=""/>
      <w:lvlJc w:val="left"/>
      <w:pPr>
        <w:tabs>
          <w:tab w:val="num" w:pos="3600"/>
        </w:tabs>
        <w:ind w:left="3600" w:hanging="360"/>
      </w:pPr>
      <w:rPr>
        <w:rFonts w:ascii="Wingdings 2" w:hAnsi="Wingdings 2" w:hint="default"/>
      </w:rPr>
    </w:lvl>
    <w:lvl w:ilvl="5" w:tplc="D1BA617C" w:tentative="1">
      <w:start w:val="1"/>
      <w:numFmt w:val="bullet"/>
      <w:lvlText w:val=""/>
      <w:lvlJc w:val="left"/>
      <w:pPr>
        <w:tabs>
          <w:tab w:val="num" w:pos="4320"/>
        </w:tabs>
        <w:ind w:left="4320" w:hanging="360"/>
      </w:pPr>
      <w:rPr>
        <w:rFonts w:ascii="Wingdings 2" w:hAnsi="Wingdings 2" w:hint="default"/>
      </w:rPr>
    </w:lvl>
    <w:lvl w:ilvl="6" w:tplc="3FFE4A2A" w:tentative="1">
      <w:start w:val="1"/>
      <w:numFmt w:val="bullet"/>
      <w:lvlText w:val=""/>
      <w:lvlJc w:val="left"/>
      <w:pPr>
        <w:tabs>
          <w:tab w:val="num" w:pos="5040"/>
        </w:tabs>
        <w:ind w:left="5040" w:hanging="360"/>
      </w:pPr>
      <w:rPr>
        <w:rFonts w:ascii="Wingdings 2" w:hAnsi="Wingdings 2" w:hint="default"/>
      </w:rPr>
    </w:lvl>
    <w:lvl w:ilvl="7" w:tplc="A3789BF6" w:tentative="1">
      <w:start w:val="1"/>
      <w:numFmt w:val="bullet"/>
      <w:lvlText w:val=""/>
      <w:lvlJc w:val="left"/>
      <w:pPr>
        <w:tabs>
          <w:tab w:val="num" w:pos="5760"/>
        </w:tabs>
        <w:ind w:left="5760" w:hanging="360"/>
      </w:pPr>
      <w:rPr>
        <w:rFonts w:ascii="Wingdings 2" w:hAnsi="Wingdings 2" w:hint="default"/>
      </w:rPr>
    </w:lvl>
    <w:lvl w:ilvl="8" w:tplc="B45233B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3495377"/>
    <w:multiLevelType w:val="multilevel"/>
    <w:tmpl w:val="4FE0BA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4C47D1"/>
    <w:multiLevelType w:val="hybridMultilevel"/>
    <w:tmpl w:val="A6F80A2C"/>
    <w:lvl w:ilvl="0" w:tplc="B9B6EFA4">
      <w:start w:val="1"/>
      <w:numFmt w:val="bullet"/>
      <w:lvlText w:val=""/>
      <w:lvlJc w:val="left"/>
      <w:pPr>
        <w:tabs>
          <w:tab w:val="num" w:pos="720"/>
        </w:tabs>
        <w:ind w:left="720" w:hanging="360"/>
      </w:pPr>
      <w:rPr>
        <w:rFonts w:ascii="Wingdings 2" w:hAnsi="Wingdings 2" w:hint="default"/>
      </w:rPr>
    </w:lvl>
    <w:lvl w:ilvl="1" w:tplc="ED8257A2">
      <w:start w:val="1536"/>
      <w:numFmt w:val="bullet"/>
      <w:lvlText w:val=""/>
      <w:lvlJc w:val="left"/>
      <w:pPr>
        <w:tabs>
          <w:tab w:val="num" w:pos="1440"/>
        </w:tabs>
        <w:ind w:left="1440" w:hanging="360"/>
      </w:pPr>
      <w:rPr>
        <w:rFonts w:ascii="Wingdings 2" w:hAnsi="Wingdings 2" w:hint="default"/>
      </w:rPr>
    </w:lvl>
    <w:lvl w:ilvl="2" w:tplc="4AB45616">
      <w:start w:val="1"/>
      <w:numFmt w:val="bullet"/>
      <w:lvlText w:val=""/>
      <w:lvlJc w:val="left"/>
      <w:pPr>
        <w:tabs>
          <w:tab w:val="num" w:pos="2160"/>
        </w:tabs>
        <w:ind w:left="2160" w:hanging="360"/>
      </w:pPr>
      <w:rPr>
        <w:rFonts w:ascii="Wingdings 2" w:hAnsi="Wingdings 2" w:hint="default"/>
      </w:rPr>
    </w:lvl>
    <w:lvl w:ilvl="3" w:tplc="0D221BDA" w:tentative="1">
      <w:start w:val="1"/>
      <w:numFmt w:val="bullet"/>
      <w:lvlText w:val=""/>
      <w:lvlJc w:val="left"/>
      <w:pPr>
        <w:tabs>
          <w:tab w:val="num" w:pos="2880"/>
        </w:tabs>
        <w:ind w:left="2880" w:hanging="360"/>
      </w:pPr>
      <w:rPr>
        <w:rFonts w:ascii="Wingdings 2" w:hAnsi="Wingdings 2" w:hint="default"/>
      </w:rPr>
    </w:lvl>
    <w:lvl w:ilvl="4" w:tplc="F294E162" w:tentative="1">
      <w:start w:val="1"/>
      <w:numFmt w:val="bullet"/>
      <w:lvlText w:val=""/>
      <w:lvlJc w:val="left"/>
      <w:pPr>
        <w:tabs>
          <w:tab w:val="num" w:pos="3600"/>
        </w:tabs>
        <w:ind w:left="3600" w:hanging="360"/>
      </w:pPr>
      <w:rPr>
        <w:rFonts w:ascii="Wingdings 2" w:hAnsi="Wingdings 2" w:hint="default"/>
      </w:rPr>
    </w:lvl>
    <w:lvl w:ilvl="5" w:tplc="11F2F318" w:tentative="1">
      <w:start w:val="1"/>
      <w:numFmt w:val="bullet"/>
      <w:lvlText w:val=""/>
      <w:lvlJc w:val="left"/>
      <w:pPr>
        <w:tabs>
          <w:tab w:val="num" w:pos="4320"/>
        </w:tabs>
        <w:ind w:left="4320" w:hanging="360"/>
      </w:pPr>
      <w:rPr>
        <w:rFonts w:ascii="Wingdings 2" w:hAnsi="Wingdings 2" w:hint="default"/>
      </w:rPr>
    </w:lvl>
    <w:lvl w:ilvl="6" w:tplc="9892833E" w:tentative="1">
      <w:start w:val="1"/>
      <w:numFmt w:val="bullet"/>
      <w:lvlText w:val=""/>
      <w:lvlJc w:val="left"/>
      <w:pPr>
        <w:tabs>
          <w:tab w:val="num" w:pos="5040"/>
        </w:tabs>
        <w:ind w:left="5040" w:hanging="360"/>
      </w:pPr>
      <w:rPr>
        <w:rFonts w:ascii="Wingdings 2" w:hAnsi="Wingdings 2" w:hint="default"/>
      </w:rPr>
    </w:lvl>
    <w:lvl w:ilvl="7" w:tplc="42726ADC" w:tentative="1">
      <w:start w:val="1"/>
      <w:numFmt w:val="bullet"/>
      <w:lvlText w:val=""/>
      <w:lvlJc w:val="left"/>
      <w:pPr>
        <w:tabs>
          <w:tab w:val="num" w:pos="5760"/>
        </w:tabs>
        <w:ind w:left="5760" w:hanging="360"/>
      </w:pPr>
      <w:rPr>
        <w:rFonts w:ascii="Wingdings 2" w:hAnsi="Wingdings 2" w:hint="default"/>
      </w:rPr>
    </w:lvl>
    <w:lvl w:ilvl="8" w:tplc="E70EA31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5126B5E"/>
    <w:multiLevelType w:val="hybridMultilevel"/>
    <w:tmpl w:val="5830AFB8"/>
    <w:lvl w:ilvl="0" w:tplc="94D418D8">
      <w:start w:val="1"/>
      <w:numFmt w:val="decimal"/>
      <w:lvlText w:val="%1."/>
      <w:lvlJc w:val="left"/>
      <w:pPr>
        <w:ind w:left="720" w:hanging="360"/>
      </w:pPr>
      <w:rPr>
        <w:rFonts w:asciiTheme="minorHAnsi" w:eastAsiaTheme="minorHAnsi" w:hAnsiTheme="minorHAnsi" w:cs="Arial" w:hint="default"/>
        <w:b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82793A"/>
    <w:multiLevelType w:val="hybridMultilevel"/>
    <w:tmpl w:val="0638E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677B7"/>
    <w:multiLevelType w:val="hybridMultilevel"/>
    <w:tmpl w:val="0100AEEE"/>
    <w:lvl w:ilvl="0" w:tplc="CF50AE5E">
      <w:numFmt w:val="bullet"/>
      <w:lvlText w:val=""/>
      <w:lvlJc w:val="left"/>
      <w:pPr>
        <w:ind w:left="720" w:hanging="360"/>
      </w:pPr>
      <w:rPr>
        <w:rFonts w:ascii="Symbol" w:eastAsiaTheme="minorHAnsi" w:hAnsi="Symbo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2D055B3A"/>
    <w:multiLevelType w:val="multilevel"/>
    <w:tmpl w:val="8F7AA806"/>
    <w:lvl w:ilvl="0">
      <w:start w:val="1"/>
      <w:numFmt w:val="decimal"/>
      <w:lvlText w:val="%1."/>
      <w:lvlJc w:val="left"/>
      <w:pPr>
        <w:ind w:left="360" w:hanging="360"/>
      </w:pPr>
      <w:rPr>
        <w:rFonts w:hint="default"/>
      </w:rPr>
    </w:lvl>
    <w:lvl w:ilvl="1">
      <w:start w:val="1"/>
      <w:numFmt w:val="decimal"/>
      <w:isLgl/>
      <w:lvlText w:val="%1.%2."/>
      <w:lvlJc w:val="left"/>
      <w:pPr>
        <w:ind w:left="673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D666B8B"/>
    <w:multiLevelType w:val="hybridMultilevel"/>
    <w:tmpl w:val="1F0463B4"/>
    <w:lvl w:ilvl="0" w:tplc="40D6A5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9E71957"/>
    <w:multiLevelType w:val="multilevel"/>
    <w:tmpl w:val="EEC4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FF6B1A"/>
    <w:multiLevelType w:val="hybridMultilevel"/>
    <w:tmpl w:val="374A6FBE"/>
    <w:lvl w:ilvl="0" w:tplc="0DEC9C7E">
      <w:start w:val="1"/>
      <w:numFmt w:val="decimal"/>
      <w:lvlText w:val="%1."/>
      <w:lvlJc w:val="left"/>
      <w:pPr>
        <w:ind w:left="720" w:hanging="360"/>
      </w:pPr>
      <w:rPr>
        <w:rFonts w:asciiTheme="minorHAnsi" w:eastAsiaTheme="minorHAnsi" w:hAnsiTheme="minorHAnsi" w:cs="Arial" w:hint="default"/>
        <w:b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0192ED0"/>
    <w:multiLevelType w:val="multilevel"/>
    <w:tmpl w:val="01BE31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rPr>
    </w:lvl>
    <w:lvl w:ilvl="2">
      <w:start w:val="1"/>
      <w:numFmt w:val="decimal"/>
      <w:lvlText w:val="%1.%2.%3"/>
      <w:lvlJc w:val="left"/>
      <w:pPr>
        <w:ind w:left="2568" w:hanging="720"/>
      </w:pPr>
      <w:rPr>
        <w:rFonts w:hint="default"/>
        <w:b/>
      </w:rPr>
    </w:lvl>
    <w:lvl w:ilvl="3">
      <w:start w:val="1"/>
      <w:numFmt w:val="decimal"/>
      <w:lvlText w:val="%1.%2.%3.%4"/>
      <w:lvlJc w:val="left"/>
      <w:pPr>
        <w:ind w:left="3492" w:hanging="720"/>
      </w:pPr>
      <w:rPr>
        <w:rFonts w:hint="default"/>
        <w:b/>
      </w:rPr>
    </w:lvl>
    <w:lvl w:ilvl="4">
      <w:start w:val="1"/>
      <w:numFmt w:val="decimal"/>
      <w:lvlText w:val="%1.%2.%3.%4.%5"/>
      <w:lvlJc w:val="left"/>
      <w:pPr>
        <w:ind w:left="4776" w:hanging="1080"/>
      </w:pPr>
      <w:rPr>
        <w:rFonts w:hint="default"/>
        <w:b/>
      </w:rPr>
    </w:lvl>
    <w:lvl w:ilvl="5">
      <w:start w:val="1"/>
      <w:numFmt w:val="decimal"/>
      <w:lvlText w:val="%1.%2.%3.%4.%5.%6"/>
      <w:lvlJc w:val="left"/>
      <w:pPr>
        <w:ind w:left="5700" w:hanging="1080"/>
      </w:pPr>
      <w:rPr>
        <w:rFonts w:hint="default"/>
        <w:b/>
      </w:rPr>
    </w:lvl>
    <w:lvl w:ilvl="6">
      <w:start w:val="1"/>
      <w:numFmt w:val="decimal"/>
      <w:lvlText w:val="%1.%2.%3.%4.%5.%6.%7"/>
      <w:lvlJc w:val="left"/>
      <w:pPr>
        <w:ind w:left="6984" w:hanging="1440"/>
      </w:pPr>
      <w:rPr>
        <w:rFonts w:hint="default"/>
        <w:b/>
      </w:rPr>
    </w:lvl>
    <w:lvl w:ilvl="7">
      <w:start w:val="1"/>
      <w:numFmt w:val="decimal"/>
      <w:lvlText w:val="%1.%2.%3.%4.%5.%6.%7.%8"/>
      <w:lvlJc w:val="left"/>
      <w:pPr>
        <w:ind w:left="7908" w:hanging="1440"/>
      </w:pPr>
      <w:rPr>
        <w:rFonts w:hint="default"/>
        <w:b/>
      </w:rPr>
    </w:lvl>
    <w:lvl w:ilvl="8">
      <w:start w:val="1"/>
      <w:numFmt w:val="decimal"/>
      <w:lvlText w:val="%1.%2.%3.%4.%5.%6.%7.%8.%9"/>
      <w:lvlJc w:val="left"/>
      <w:pPr>
        <w:ind w:left="9192" w:hanging="1800"/>
      </w:pPr>
      <w:rPr>
        <w:rFonts w:hint="default"/>
        <w:b/>
      </w:rPr>
    </w:lvl>
  </w:abstractNum>
  <w:abstractNum w:abstractNumId="23" w15:restartNumberingAfterBreak="0">
    <w:nsid w:val="42D529DA"/>
    <w:multiLevelType w:val="hybridMultilevel"/>
    <w:tmpl w:val="7BB8CC2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4808156B"/>
    <w:multiLevelType w:val="hybridMultilevel"/>
    <w:tmpl w:val="D3D662BA"/>
    <w:lvl w:ilvl="0" w:tplc="2562AC84">
      <w:start w:val="1"/>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C6C0A88"/>
    <w:multiLevelType w:val="multilevel"/>
    <w:tmpl w:val="8F7AA806"/>
    <w:lvl w:ilvl="0">
      <w:start w:val="1"/>
      <w:numFmt w:val="decimal"/>
      <w:lvlText w:val="%1."/>
      <w:lvlJc w:val="left"/>
      <w:pPr>
        <w:ind w:left="360" w:hanging="360"/>
      </w:pPr>
      <w:rPr>
        <w:rFonts w:hint="default"/>
      </w:rPr>
    </w:lvl>
    <w:lvl w:ilvl="1">
      <w:start w:val="1"/>
      <w:numFmt w:val="decimal"/>
      <w:isLgl/>
      <w:lvlText w:val="%1.%2."/>
      <w:lvlJc w:val="left"/>
      <w:pPr>
        <w:ind w:left="673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5E27740"/>
    <w:multiLevelType w:val="hybridMultilevel"/>
    <w:tmpl w:val="CB4A5150"/>
    <w:lvl w:ilvl="0" w:tplc="8FD44F2C">
      <w:start w:val="1"/>
      <w:numFmt w:val="decimal"/>
      <w:lvlText w:val="[%1]"/>
      <w:lvlJc w:val="left"/>
      <w:pPr>
        <w:ind w:left="1440" w:hanging="36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56F66290"/>
    <w:multiLevelType w:val="hybridMultilevel"/>
    <w:tmpl w:val="9782C8B0"/>
    <w:lvl w:ilvl="0" w:tplc="B2120C74">
      <w:start w:val="1"/>
      <w:numFmt w:val="decimal"/>
      <w:lvlText w:val="%1"/>
      <w:lvlJc w:val="left"/>
      <w:pPr>
        <w:ind w:left="360" w:hanging="360"/>
      </w:pPr>
      <w:rPr>
        <w:rFonts w:hint="default"/>
        <w:vertAlign w:val="superscrip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59BD7473"/>
    <w:multiLevelType w:val="hybridMultilevel"/>
    <w:tmpl w:val="401AAE6C"/>
    <w:lvl w:ilvl="0" w:tplc="F71CB33A">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0E339E6"/>
    <w:multiLevelType w:val="hybridMultilevel"/>
    <w:tmpl w:val="BFB060AE"/>
    <w:lvl w:ilvl="0" w:tplc="326CD5CE">
      <w:numFmt w:val="bullet"/>
      <w:lvlText w:val=""/>
      <w:lvlJc w:val="left"/>
      <w:pPr>
        <w:ind w:left="720" w:hanging="360"/>
      </w:pPr>
      <w:rPr>
        <w:rFonts w:ascii="Symbol" w:eastAsiaTheme="minorHAnsi" w:hAnsi="Symbol" w:cs="Times New Roman" w:hint="default"/>
        <w:i/>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64456943"/>
    <w:multiLevelType w:val="hybridMultilevel"/>
    <w:tmpl w:val="515A3C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BE21948"/>
    <w:multiLevelType w:val="hybridMultilevel"/>
    <w:tmpl w:val="3B20BD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EEB6F2F"/>
    <w:multiLevelType w:val="hybridMultilevel"/>
    <w:tmpl w:val="472A7E54"/>
    <w:lvl w:ilvl="0" w:tplc="40D6A5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FD05010"/>
    <w:multiLevelType w:val="hybridMultilevel"/>
    <w:tmpl w:val="D608672C"/>
    <w:lvl w:ilvl="0" w:tplc="BB7C043C">
      <w:start w:val="6"/>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0314C69"/>
    <w:multiLevelType w:val="hybridMultilevel"/>
    <w:tmpl w:val="957AFBC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0816299"/>
    <w:multiLevelType w:val="hybridMultilevel"/>
    <w:tmpl w:val="D7DED972"/>
    <w:lvl w:ilvl="0" w:tplc="0C043AC4">
      <w:start w:val="3"/>
      <w:numFmt w:val="bullet"/>
      <w:lvlText w:val=""/>
      <w:lvlJc w:val="left"/>
      <w:pPr>
        <w:ind w:left="720" w:hanging="360"/>
      </w:pPr>
      <w:rPr>
        <w:rFonts w:ascii="Wingdings" w:eastAsiaTheme="minorHAnsi"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3780B95"/>
    <w:multiLevelType w:val="hybridMultilevel"/>
    <w:tmpl w:val="F63CE472"/>
    <w:lvl w:ilvl="0" w:tplc="20E091EE">
      <w:start w:val="1"/>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7" w15:restartNumberingAfterBreak="0">
    <w:nsid w:val="7C010ED3"/>
    <w:multiLevelType w:val="hybridMultilevel"/>
    <w:tmpl w:val="B08CA24A"/>
    <w:lvl w:ilvl="0" w:tplc="20E091EE">
      <w:start w:val="1"/>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DAE54AC"/>
    <w:multiLevelType w:val="hybridMultilevel"/>
    <w:tmpl w:val="14E024D4"/>
    <w:lvl w:ilvl="0" w:tplc="D8EC52B4">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6"/>
  </w:num>
  <w:num w:numId="4">
    <w:abstractNumId w:val="13"/>
  </w:num>
  <w:num w:numId="5">
    <w:abstractNumId w:val="9"/>
  </w:num>
  <w:num w:numId="6">
    <w:abstractNumId w:val="23"/>
  </w:num>
  <w:num w:numId="7">
    <w:abstractNumId w:val="11"/>
  </w:num>
  <w:num w:numId="8">
    <w:abstractNumId w:val="5"/>
  </w:num>
  <w:num w:numId="9">
    <w:abstractNumId w:val="36"/>
  </w:num>
  <w:num w:numId="10">
    <w:abstractNumId w:val="37"/>
  </w:num>
  <w:num w:numId="11">
    <w:abstractNumId w:val="8"/>
  </w:num>
  <w:num w:numId="12">
    <w:abstractNumId w:val="3"/>
  </w:num>
  <w:num w:numId="13">
    <w:abstractNumId w:val="18"/>
  </w:num>
  <w:num w:numId="14">
    <w:abstractNumId w:val="27"/>
  </w:num>
  <w:num w:numId="15">
    <w:abstractNumId w:val="0"/>
  </w:num>
  <w:num w:numId="16">
    <w:abstractNumId w:val="38"/>
  </w:num>
  <w:num w:numId="17">
    <w:abstractNumId w:val="10"/>
  </w:num>
  <w:num w:numId="18">
    <w:abstractNumId w:val="28"/>
  </w:num>
  <w:num w:numId="19">
    <w:abstractNumId w:val="34"/>
  </w:num>
  <w:num w:numId="20">
    <w:abstractNumId w:val="25"/>
  </w:num>
  <w:num w:numId="21">
    <w:abstractNumId w:val="35"/>
  </w:num>
  <w:num w:numId="22">
    <w:abstractNumId w:val="30"/>
  </w:num>
  <w:num w:numId="23">
    <w:abstractNumId w:val="7"/>
  </w:num>
  <w:num w:numId="24">
    <w:abstractNumId w:val="22"/>
  </w:num>
  <w:num w:numId="25">
    <w:abstractNumId w:val="24"/>
  </w:num>
  <w:num w:numId="26">
    <w:abstractNumId w:val="4"/>
  </w:num>
  <w:num w:numId="27">
    <w:abstractNumId w:val="15"/>
  </w:num>
  <w:num w:numId="28">
    <w:abstractNumId w:val="33"/>
  </w:num>
  <w:num w:numId="29">
    <w:abstractNumId w:val="1"/>
  </w:num>
  <w:num w:numId="30">
    <w:abstractNumId w:val="31"/>
  </w:num>
  <w:num w:numId="31">
    <w:abstractNumId w:val="2"/>
  </w:num>
  <w:num w:numId="32">
    <w:abstractNumId w:val="21"/>
  </w:num>
  <w:num w:numId="33">
    <w:abstractNumId w:val="14"/>
  </w:num>
  <w:num w:numId="34">
    <w:abstractNumId w:val="12"/>
  </w:num>
  <w:num w:numId="35">
    <w:abstractNumId w:val="26"/>
  </w:num>
  <w:num w:numId="36">
    <w:abstractNumId w:val="29"/>
  </w:num>
  <w:num w:numId="37">
    <w:abstractNumId w:val="17"/>
  </w:num>
  <w:num w:numId="38">
    <w:abstractNumId w:val="3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E2"/>
    <w:rsid w:val="00017BC3"/>
    <w:rsid w:val="00025A61"/>
    <w:rsid w:val="00025EB2"/>
    <w:rsid w:val="00034B01"/>
    <w:rsid w:val="000574E2"/>
    <w:rsid w:val="00063367"/>
    <w:rsid w:val="00096EB7"/>
    <w:rsid w:val="000A06FF"/>
    <w:rsid w:val="000A7581"/>
    <w:rsid w:val="000B4EDF"/>
    <w:rsid w:val="000B561A"/>
    <w:rsid w:val="000B6B47"/>
    <w:rsid w:val="000C1D13"/>
    <w:rsid w:val="000C5D57"/>
    <w:rsid w:val="000D43D3"/>
    <w:rsid w:val="00103614"/>
    <w:rsid w:val="00105BF9"/>
    <w:rsid w:val="00106B00"/>
    <w:rsid w:val="001130EA"/>
    <w:rsid w:val="00117E53"/>
    <w:rsid w:val="001243D5"/>
    <w:rsid w:val="00134B7B"/>
    <w:rsid w:val="001356FA"/>
    <w:rsid w:val="00140976"/>
    <w:rsid w:val="00142B94"/>
    <w:rsid w:val="001450A8"/>
    <w:rsid w:val="0014618E"/>
    <w:rsid w:val="00153947"/>
    <w:rsid w:val="00162CC2"/>
    <w:rsid w:val="00163595"/>
    <w:rsid w:val="0016501C"/>
    <w:rsid w:val="001C08CA"/>
    <w:rsid w:val="001C093F"/>
    <w:rsid w:val="001C0F8E"/>
    <w:rsid w:val="001F23A2"/>
    <w:rsid w:val="001F7C07"/>
    <w:rsid w:val="00204598"/>
    <w:rsid w:val="00206282"/>
    <w:rsid w:val="00206473"/>
    <w:rsid w:val="002165FE"/>
    <w:rsid w:val="00220AB4"/>
    <w:rsid w:val="002229D1"/>
    <w:rsid w:val="002370C4"/>
    <w:rsid w:val="002378B3"/>
    <w:rsid w:val="00242BDB"/>
    <w:rsid w:val="0024732A"/>
    <w:rsid w:val="00256DE8"/>
    <w:rsid w:val="00263BE6"/>
    <w:rsid w:val="00275C56"/>
    <w:rsid w:val="00276BFA"/>
    <w:rsid w:val="00282B86"/>
    <w:rsid w:val="0028501A"/>
    <w:rsid w:val="002856E2"/>
    <w:rsid w:val="00294CA7"/>
    <w:rsid w:val="002955B1"/>
    <w:rsid w:val="002A7D0F"/>
    <w:rsid w:val="002B237D"/>
    <w:rsid w:val="002B2947"/>
    <w:rsid w:val="002E0DF4"/>
    <w:rsid w:val="002E5D46"/>
    <w:rsid w:val="002F001D"/>
    <w:rsid w:val="002F5A6B"/>
    <w:rsid w:val="00301BE3"/>
    <w:rsid w:val="00304B1E"/>
    <w:rsid w:val="003169AC"/>
    <w:rsid w:val="00321BE5"/>
    <w:rsid w:val="00330E03"/>
    <w:rsid w:val="00333294"/>
    <w:rsid w:val="00335624"/>
    <w:rsid w:val="00336721"/>
    <w:rsid w:val="00341246"/>
    <w:rsid w:val="003526EC"/>
    <w:rsid w:val="003565E6"/>
    <w:rsid w:val="00373171"/>
    <w:rsid w:val="00373D1A"/>
    <w:rsid w:val="00374472"/>
    <w:rsid w:val="0037483B"/>
    <w:rsid w:val="003906F4"/>
    <w:rsid w:val="00394EC3"/>
    <w:rsid w:val="0039530D"/>
    <w:rsid w:val="0039546F"/>
    <w:rsid w:val="003A1C2A"/>
    <w:rsid w:val="003A42D6"/>
    <w:rsid w:val="003A794B"/>
    <w:rsid w:val="003B2FF1"/>
    <w:rsid w:val="003B49D9"/>
    <w:rsid w:val="003D11AE"/>
    <w:rsid w:val="003D1E3E"/>
    <w:rsid w:val="003D270D"/>
    <w:rsid w:val="003D29D5"/>
    <w:rsid w:val="003D2D4A"/>
    <w:rsid w:val="003D6E9F"/>
    <w:rsid w:val="003E29B6"/>
    <w:rsid w:val="003F2199"/>
    <w:rsid w:val="003F2ECA"/>
    <w:rsid w:val="004045CD"/>
    <w:rsid w:val="0041011C"/>
    <w:rsid w:val="004152C7"/>
    <w:rsid w:val="004200E9"/>
    <w:rsid w:val="00435C63"/>
    <w:rsid w:val="00436CA6"/>
    <w:rsid w:val="00436F7C"/>
    <w:rsid w:val="004401B4"/>
    <w:rsid w:val="004537F7"/>
    <w:rsid w:val="00455928"/>
    <w:rsid w:val="00465C90"/>
    <w:rsid w:val="004815EB"/>
    <w:rsid w:val="00485F25"/>
    <w:rsid w:val="00490BC6"/>
    <w:rsid w:val="00491000"/>
    <w:rsid w:val="004A0594"/>
    <w:rsid w:val="004A513E"/>
    <w:rsid w:val="004A550C"/>
    <w:rsid w:val="004C0854"/>
    <w:rsid w:val="004D4237"/>
    <w:rsid w:val="004D781B"/>
    <w:rsid w:val="004E45AF"/>
    <w:rsid w:val="004F213C"/>
    <w:rsid w:val="004F5A93"/>
    <w:rsid w:val="004F71EE"/>
    <w:rsid w:val="00500BB6"/>
    <w:rsid w:val="0050365F"/>
    <w:rsid w:val="005045AD"/>
    <w:rsid w:val="005051F6"/>
    <w:rsid w:val="005106C9"/>
    <w:rsid w:val="00516657"/>
    <w:rsid w:val="00520D33"/>
    <w:rsid w:val="0052363D"/>
    <w:rsid w:val="00525FC9"/>
    <w:rsid w:val="0053003A"/>
    <w:rsid w:val="005340FB"/>
    <w:rsid w:val="00536A89"/>
    <w:rsid w:val="0054512F"/>
    <w:rsid w:val="00554999"/>
    <w:rsid w:val="00555975"/>
    <w:rsid w:val="00555C26"/>
    <w:rsid w:val="00557812"/>
    <w:rsid w:val="00583550"/>
    <w:rsid w:val="00584A19"/>
    <w:rsid w:val="0059068D"/>
    <w:rsid w:val="005A15B3"/>
    <w:rsid w:val="005B18AF"/>
    <w:rsid w:val="005C6755"/>
    <w:rsid w:val="005D64C4"/>
    <w:rsid w:val="005F17A3"/>
    <w:rsid w:val="005F30C0"/>
    <w:rsid w:val="006057A3"/>
    <w:rsid w:val="00611D60"/>
    <w:rsid w:val="00623A22"/>
    <w:rsid w:val="00623D27"/>
    <w:rsid w:val="006316F3"/>
    <w:rsid w:val="00632207"/>
    <w:rsid w:val="006337A9"/>
    <w:rsid w:val="0063755C"/>
    <w:rsid w:val="0065002C"/>
    <w:rsid w:val="00651824"/>
    <w:rsid w:val="0065485F"/>
    <w:rsid w:val="00657C37"/>
    <w:rsid w:val="0067252B"/>
    <w:rsid w:val="00680712"/>
    <w:rsid w:val="00681D97"/>
    <w:rsid w:val="00694C60"/>
    <w:rsid w:val="00696310"/>
    <w:rsid w:val="006A130C"/>
    <w:rsid w:val="006A1602"/>
    <w:rsid w:val="006A2CAE"/>
    <w:rsid w:val="006B242A"/>
    <w:rsid w:val="006B6A43"/>
    <w:rsid w:val="006C375B"/>
    <w:rsid w:val="006D3F09"/>
    <w:rsid w:val="006D569D"/>
    <w:rsid w:val="006F0632"/>
    <w:rsid w:val="007051D7"/>
    <w:rsid w:val="00716AF7"/>
    <w:rsid w:val="00724E1E"/>
    <w:rsid w:val="00734C03"/>
    <w:rsid w:val="0075017C"/>
    <w:rsid w:val="0076447F"/>
    <w:rsid w:val="00772FC3"/>
    <w:rsid w:val="00795BE0"/>
    <w:rsid w:val="007A35C2"/>
    <w:rsid w:val="007A45F1"/>
    <w:rsid w:val="007D0E81"/>
    <w:rsid w:val="007D260A"/>
    <w:rsid w:val="007F737F"/>
    <w:rsid w:val="00804EC6"/>
    <w:rsid w:val="00806823"/>
    <w:rsid w:val="00815363"/>
    <w:rsid w:val="00815A0F"/>
    <w:rsid w:val="00817BB8"/>
    <w:rsid w:val="00821587"/>
    <w:rsid w:val="008218DD"/>
    <w:rsid w:val="00854B05"/>
    <w:rsid w:val="00873F41"/>
    <w:rsid w:val="00894648"/>
    <w:rsid w:val="008B4302"/>
    <w:rsid w:val="008B45FA"/>
    <w:rsid w:val="008B58DC"/>
    <w:rsid w:val="008B6779"/>
    <w:rsid w:val="008D68B1"/>
    <w:rsid w:val="008E1EB7"/>
    <w:rsid w:val="008E2BAB"/>
    <w:rsid w:val="008E4662"/>
    <w:rsid w:val="008E65D7"/>
    <w:rsid w:val="008E73F1"/>
    <w:rsid w:val="008F0BBB"/>
    <w:rsid w:val="008F2BEA"/>
    <w:rsid w:val="00906923"/>
    <w:rsid w:val="00910601"/>
    <w:rsid w:val="00924A04"/>
    <w:rsid w:val="00925FF8"/>
    <w:rsid w:val="0092722D"/>
    <w:rsid w:val="009347A2"/>
    <w:rsid w:val="00941D77"/>
    <w:rsid w:val="00944C1A"/>
    <w:rsid w:val="00967097"/>
    <w:rsid w:val="00994600"/>
    <w:rsid w:val="009A0546"/>
    <w:rsid w:val="009A1364"/>
    <w:rsid w:val="009A194A"/>
    <w:rsid w:val="009B0A32"/>
    <w:rsid w:val="009C2C39"/>
    <w:rsid w:val="009C47CC"/>
    <w:rsid w:val="009C7C52"/>
    <w:rsid w:val="009D5011"/>
    <w:rsid w:val="009E43BA"/>
    <w:rsid w:val="009E4D17"/>
    <w:rsid w:val="009E756C"/>
    <w:rsid w:val="009F0303"/>
    <w:rsid w:val="009F0C93"/>
    <w:rsid w:val="00A25823"/>
    <w:rsid w:val="00A27BD1"/>
    <w:rsid w:val="00A53A3E"/>
    <w:rsid w:val="00A67FA8"/>
    <w:rsid w:val="00A90ABB"/>
    <w:rsid w:val="00A96D03"/>
    <w:rsid w:val="00A96EBD"/>
    <w:rsid w:val="00A97D20"/>
    <w:rsid w:val="00AA5E3B"/>
    <w:rsid w:val="00AA68B1"/>
    <w:rsid w:val="00AA7179"/>
    <w:rsid w:val="00AA7858"/>
    <w:rsid w:val="00AB4127"/>
    <w:rsid w:val="00AB4192"/>
    <w:rsid w:val="00AD272B"/>
    <w:rsid w:val="00AE779D"/>
    <w:rsid w:val="00AF38B9"/>
    <w:rsid w:val="00B02D22"/>
    <w:rsid w:val="00B11ABD"/>
    <w:rsid w:val="00B12EDA"/>
    <w:rsid w:val="00B26302"/>
    <w:rsid w:val="00B35CDB"/>
    <w:rsid w:val="00B41CA0"/>
    <w:rsid w:val="00B4491E"/>
    <w:rsid w:val="00B61F17"/>
    <w:rsid w:val="00B85674"/>
    <w:rsid w:val="00B97485"/>
    <w:rsid w:val="00BC4D2C"/>
    <w:rsid w:val="00BC6ADD"/>
    <w:rsid w:val="00BC7377"/>
    <w:rsid w:val="00BD3081"/>
    <w:rsid w:val="00BD597E"/>
    <w:rsid w:val="00BE1BF0"/>
    <w:rsid w:val="00BF3984"/>
    <w:rsid w:val="00BF6109"/>
    <w:rsid w:val="00C03337"/>
    <w:rsid w:val="00C1489A"/>
    <w:rsid w:val="00C21D30"/>
    <w:rsid w:val="00C23239"/>
    <w:rsid w:val="00C2506E"/>
    <w:rsid w:val="00C565A1"/>
    <w:rsid w:val="00C66F19"/>
    <w:rsid w:val="00C74577"/>
    <w:rsid w:val="00C747A6"/>
    <w:rsid w:val="00C80B1F"/>
    <w:rsid w:val="00C96920"/>
    <w:rsid w:val="00CA3CCC"/>
    <w:rsid w:val="00CA5A35"/>
    <w:rsid w:val="00CA6447"/>
    <w:rsid w:val="00CA77D8"/>
    <w:rsid w:val="00CB1210"/>
    <w:rsid w:val="00CB582D"/>
    <w:rsid w:val="00CC336E"/>
    <w:rsid w:val="00CF499E"/>
    <w:rsid w:val="00CF6EA5"/>
    <w:rsid w:val="00D023BE"/>
    <w:rsid w:val="00D0695A"/>
    <w:rsid w:val="00D110BE"/>
    <w:rsid w:val="00D2673F"/>
    <w:rsid w:val="00D33670"/>
    <w:rsid w:val="00D3662C"/>
    <w:rsid w:val="00D403EE"/>
    <w:rsid w:val="00D42598"/>
    <w:rsid w:val="00D5126E"/>
    <w:rsid w:val="00D65B71"/>
    <w:rsid w:val="00D67941"/>
    <w:rsid w:val="00D7435F"/>
    <w:rsid w:val="00D900A3"/>
    <w:rsid w:val="00DA025F"/>
    <w:rsid w:val="00DA3C7F"/>
    <w:rsid w:val="00DE0C81"/>
    <w:rsid w:val="00DF6A5E"/>
    <w:rsid w:val="00E02ECB"/>
    <w:rsid w:val="00E041A1"/>
    <w:rsid w:val="00E2315C"/>
    <w:rsid w:val="00E24D2F"/>
    <w:rsid w:val="00E40D2E"/>
    <w:rsid w:val="00E46E6D"/>
    <w:rsid w:val="00E46F04"/>
    <w:rsid w:val="00E60029"/>
    <w:rsid w:val="00E61322"/>
    <w:rsid w:val="00E67302"/>
    <w:rsid w:val="00E70593"/>
    <w:rsid w:val="00E73668"/>
    <w:rsid w:val="00E82538"/>
    <w:rsid w:val="00E8278F"/>
    <w:rsid w:val="00E87D03"/>
    <w:rsid w:val="00EA5BA5"/>
    <w:rsid w:val="00EC0259"/>
    <w:rsid w:val="00EC17A8"/>
    <w:rsid w:val="00EC5DF2"/>
    <w:rsid w:val="00EC7BD8"/>
    <w:rsid w:val="00ED0CB1"/>
    <w:rsid w:val="00EF18B4"/>
    <w:rsid w:val="00F00A18"/>
    <w:rsid w:val="00F0188B"/>
    <w:rsid w:val="00F02E1B"/>
    <w:rsid w:val="00F11313"/>
    <w:rsid w:val="00F22FFD"/>
    <w:rsid w:val="00F248AD"/>
    <w:rsid w:val="00F24EFF"/>
    <w:rsid w:val="00F32A3F"/>
    <w:rsid w:val="00F33886"/>
    <w:rsid w:val="00F35CDA"/>
    <w:rsid w:val="00F41811"/>
    <w:rsid w:val="00F46ABE"/>
    <w:rsid w:val="00F5681F"/>
    <w:rsid w:val="00F60A70"/>
    <w:rsid w:val="00F70074"/>
    <w:rsid w:val="00F74454"/>
    <w:rsid w:val="00F779BD"/>
    <w:rsid w:val="00F83CC9"/>
    <w:rsid w:val="00FA41FF"/>
    <w:rsid w:val="00FB6AFE"/>
    <w:rsid w:val="00FD0EDA"/>
    <w:rsid w:val="00FE02FD"/>
    <w:rsid w:val="00FE0E90"/>
    <w:rsid w:val="00FE4896"/>
    <w:rsid w:val="00FE7448"/>
    <w:rsid w:val="00FF2D93"/>
    <w:rsid w:val="00FF4D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FCE7"/>
  <w15:chartTrackingRefBased/>
  <w15:docId w15:val="{8959D133-556F-D849-80D8-5613610C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line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595"/>
    <w:pPr>
      <w:autoSpaceDE w:val="0"/>
      <w:autoSpaceDN w:val="0"/>
      <w:adjustRightInd w:val="0"/>
    </w:pPr>
    <w:rPr>
      <w:rFonts w:ascii="Arial" w:hAnsi="Arial" w:cs="Arial"/>
      <w:sz w:val="22"/>
      <w:szCs w:val="22"/>
      <w:lang w:eastAsia="en-NZ"/>
    </w:rPr>
  </w:style>
  <w:style w:type="paragraph" w:styleId="Heading1">
    <w:name w:val="heading 1"/>
    <w:basedOn w:val="Normal"/>
    <w:next w:val="Normal"/>
    <w:link w:val="Heading1Char"/>
    <w:uiPriority w:val="9"/>
    <w:qFormat/>
    <w:rsid w:val="00B41CA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41CA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41CA0"/>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B41CA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B41CA0"/>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B41CA0"/>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B41CA0"/>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B41CA0"/>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B41CA0"/>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CA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41CA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41CA0"/>
    <w:rPr>
      <w:rFonts w:ascii="Cambria" w:eastAsia="Times New Roman" w:hAnsi="Cambria" w:cs="Times New Roman"/>
      <w:b/>
      <w:bCs/>
      <w:color w:val="4F81BD"/>
      <w:sz w:val="24"/>
    </w:rPr>
  </w:style>
  <w:style w:type="character" w:customStyle="1" w:styleId="Heading4Char">
    <w:name w:val="Heading 4 Char"/>
    <w:link w:val="Heading4"/>
    <w:uiPriority w:val="9"/>
    <w:semiHidden/>
    <w:rsid w:val="00B41CA0"/>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B41CA0"/>
    <w:rPr>
      <w:rFonts w:ascii="Cambria" w:eastAsia="Times New Roman" w:hAnsi="Cambria" w:cs="Times New Roman"/>
      <w:color w:val="243F60"/>
      <w:sz w:val="24"/>
    </w:rPr>
  </w:style>
  <w:style w:type="character" w:customStyle="1" w:styleId="Heading6Char">
    <w:name w:val="Heading 6 Char"/>
    <w:link w:val="Heading6"/>
    <w:uiPriority w:val="9"/>
    <w:semiHidden/>
    <w:rsid w:val="00B41CA0"/>
    <w:rPr>
      <w:rFonts w:ascii="Cambria" w:eastAsia="Times New Roman" w:hAnsi="Cambria" w:cs="Times New Roman"/>
      <w:i/>
      <w:iCs/>
      <w:color w:val="243F60"/>
      <w:sz w:val="24"/>
    </w:rPr>
  </w:style>
  <w:style w:type="character" w:customStyle="1" w:styleId="Heading7Char">
    <w:name w:val="Heading 7 Char"/>
    <w:link w:val="Heading7"/>
    <w:uiPriority w:val="9"/>
    <w:semiHidden/>
    <w:rsid w:val="00B41CA0"/>
    <w:rPr>
      <w:rFonts w:ascii="Cambria" w:eastAsia="Times New Roman" w:hAnsi="Cambria" w:cs="Times New Roman"/>
      <w:i/>
      <w:iCs/>
      <w:color w:val="404040"/>
      <w:sz w:val="24"/>
    </w:rPr>
  </w:style>
  <w:style w:type="character" w:customStyle="1" w:styleId="Heading8Char">
    <w:name w:val="Heading 8 Char"/>
    <w:link w:val="Heading8"/>
    <w:uiPriority w:val="9"/>
    <w:semiHidden/>
    <w:rsid w:val="00B41CA0"/>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B41CA0"/>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pPr>
      <w:spacing w:after="200"/>
    </w:pPr>
    <w:rPr>
      <w:b/>
      <w:bCs/>
      <w:color w:val="4F81BD"/>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Char4">
    <w:name w:val="Char Char4"/>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harChar3">
    <w:name w:val="Char Char3"/>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harChar2">
    <w:name w:val="Char Char2"/>
    <w:semiHidden/>
    <w:rPr>
      <w:b/>
      <w:bCs/>
      <w:sz w:val="20"/>
      <w:szCs w:val="20"/>
    </w:rPr>
  </w:style>
  <w:style w:type="paragraph" w:customStyle="1" w:styleId="NZVJarticletype">
    <w:name w:val="NZVJ article type"/>
    <w:qFormat/>
    <w:rsid w:val="0059068D"/>
    <w:pPr>
      <w:spacing w:after="200" w:line="276" w:lineRule="auto"/>
    </w:pPr>
    <w:rPr>
      <w:rFonts w:ascii="Arial" w:eastAsia="Times New Roman" w:hAnsi="Arial"/>
      <w:caps/>
      <w:sz w:val="22"/>
      <w:szCs w:val="22"/>
      <w:lang w:val="en-US" w:eastAsia="ja-JP" w:bidi="my-MM"/>
    </w:rPr>
  </w:style>
  <w:style w:type="paragraph" w:customStyle="1" w:styleId="NZVJAuthors">
    <w:name w:val="NZVJ Authors"/>
    <w:qFormat/>
    <w:rsid w:val="00B85674"/>
    <w:pPr>
      <w:spacing w:after="200" w:line="276" w:lineRule="auto"/>
    </w:pPr>
    <w:rPr>
      <w:rFonts w:ascii="Arial" w:eastAsia="Times New Roman" w:hAnsi="Arial"/>
      <w:iCs/>
      <w:sz w:val="24"/>
      <w:szCs w:val="24"/>
      <w:lang w:val="en-US" w:eastAsia="ja-JP" w:bidi="my-MM"/>
    </w:rPr>
  </w:style>
  <w:style w:type="paragraph" w:customStyle="1" w:styleId="NZVJFigurecaptions">
    <w:name w:val="NZVJ Figure captions"/>
    <w:basedOn w:val="Normal"/>
    <w:link w:val="NZVJFigurecaptionsChar"/>
    <w:autoRedefine/>
    <w:qFormat/>
    <w:rsid w:val="00B41CA0"/>
    <w:pPr>
      <w:keepNext/>
      <w:keepLines/>
    </w:pPr>
    <w:rPr>
      <w:rFonts w:eastAsia="Times New Roman"/>
      <w:b/>
    </w:rPr>
  </w:style>
  <w:style w:type="paragraph" w:customStyle="1" w:styleId="NZVJfootnotes">
    <w:name w:val="NZVJ footnotes"/>
    <w:basedOn w:val="Normal"/>
    <w:link w:val="NZVJfootnotesChar"/>
    <w:autoRedefine/>
    <w:qFormat/>
    <w:rsid w:val="00B41CA0"/>
    <w:pPr>
      <w:ind w:left="113" w:hanging="113"/>
    </w:pPr>
    <w:rPr>
      <w:sz w:val="18"/>
      <w:lang w:eastAsia="en-US"/>
    </w:rPr>
  </w:style>
  <w:style w:type="character" w:customStyle="1" w:styleId="NZVJfootnotesChar">
    <w:name w:val="NZVJ footnotes Char"/>
    <w:link w:val="NZVJfootnotes"/>
    <w:rsid w:val="00B41CA0"/>
    <w:rPr>
      <w:rFonts w:ascii="Arial" w:hAnsi="Arial"/>
      <w:sz w:val="18"/>
      <w:lang w:eastAsia="en-US"/>
    </w:rPr>
  </w:style>
  <w:style w:type="paragraph" w:customStyle="1" w:styleId="NZVJHeading1">
    <w:name w:val="NZVJ Heading 1"/>
    <w:qFormat/>
    <w:rsid w:val="005A15B3"/>
    <w:pPr>
      <w:spacing w:after="180" w:line="360" w:lineRule="auto"/>
    </w:pPr>
    <w:rPr>
      <w:rFonts w:ascii="Arial" w:eastAsia="Times New Roman" w:hAnsi="Arial" w:cs="Arial"/>
      <w:b/>
      <w:sz w:val="26"/>
      <w:szCs w:val="24"/>
      <w:lang w:val="en-US" w:eastAsia="ja-JP" w:bidi="my-MM"/>
    </w:rPr>
  </w:style>
  <w:style w:type="paragraph" w:customStyle="1" w:styleId="NZVJHeading2">
    <w:name w:val="NZVJ Heading 2"/>
    <w:qFormat/>
    <w:rsid w:val="0039530D"/>
    <w:pPr>
      <w:keepNext/>
      <w:spacing w:before="180" w:after="180" w:line="276" w:lineRule="auto"/>
    </w:pPr>
    <w:rPr>
      <w:rFonts w:ascii="Arial" w:hAnsi="Arial"/>
      <w:b/>
      <w:i/>
      <w:iCs/>
      <w:sz w:val="22"/>
      <w:szCs w:val="22"/>
      <w:lang w:val="en-US" w:eastAsia="ja-JP" w:bidi="my-MM"/>
    </w:rPr>
  </w:style>
  <w:style w:type="character" w:customStyle="1" w:styleId="NZVJHeading2Char">
    <w:name w:val="NZVJ Heading 2 Char"/>
    <w:rPr>
      <w:rFonts w:ascii="Arial" w:eastAsia="Calibri" w:hAnsi="Arial"/>
      <w:b/>
      <w:sz w:val="22"/>
      <w:szCs w:val="22"/>
      <w:lang w:val="en-US" w:eastAsia="ja-JP" w:bidi="my-MM"/>
    </w:rPr>
  </w:style>
  <w:style w:type="paragraph" w:customStyle="1" w:styleId="NZVJParagraph">
    <w:name w:val="NZVJ Paragraph"/>
    <w:basedOn w:val="Normal"/>
    <w:link w:val="NZVJParagraphChar"/>
    <w:autoRedefine/>
    <w:qFormat/>
    <w:rsid w:val="008E1EB7"/>
    <w:pPr>
      <w:spacing w:after="180" w:line="360" w:lineRule="auto"/>
    </w:pPr>
    <w:rPr>
      <w:rFonts w:eastAsia="Times New Roman"/>
    </w:rPr>
  </w:style>
  <w:style w:type="paragraph" w:customStyle="1" w:styleId="NZVJReferences">
    <w:name w:val="NZVJ References"/>
    <w:autoRedefine/>
    <w:qFormat/>
    <w:rsid w:val="007051D7"/>
    <w:pPr>
      <w:spacing w:after="200" w:line="360" w:lineRule="auto"/>
      <w:ind w:left="397" w:hanging="397"/>
    </w:pPr>
    <w:rPr>
      <w:rFonts w:ascii="Arial" w:eastAsia="Times New Roman" w:hAnsi="Arial"/>
      <w:sz w:val="22"/>
      <w:szCs w:val="24"/>
      <w:lang w:eastAsia="en-NZ"/>
    </w:rPr>
  </w:style>
  <w:style w:type="paragraph" w:customStyle="1" w:styleId="NZVJTableheading">
    <w:name w:val="NZVJ Table heading"/>
    <w:basedOn w:val="Normal"/>
    <w:next w:val="Normal"/>
    <w:link w:val="NZVJTableheadingChar"/>
    <w:autoRedefine/>
    <w:qFormat/>
    <w:rsid w:val="003B2FF1"/>
    <w:pPr>
      <w:spacing w:after="180"/>
    </w:pPr>
    <w:rPr>
      <w:rFonts w:eastAsia="Times New Roman"/>
      <w:b/>
      <w:bCs/>
    </w:rPr>
  </w:style>
  <w:style w:type="paragraph" w:customStyle="1" w:styleId="NZVJTableText">
    <w:name w:val="NZVJ Table Text"/>
    <w:autoRedefine/>
    <w:qFormat/>
    <w:rsid w:val="00516657"/>
    <w:rPr>
      <w:rFonts w:ascii="Arial" w:eastAsia="Times New Roman" w:hAnsi="Arial"/>
      <w:szCs w:val="24"/>
      <w:lang w:eastAsia="en-NZ"/>
    </w:rPr>
  </w:style>
  <w:style w:type="paragraph" w:customStyle="1" w:styleId="NZVJTitle">
    <w:name w:val="NZVJ Title"/>
    <w:qFormat/>
    <w:rsid w:val="00B85674"/>
    <w:pPr>
      <w:keepNext/>
      <w:keepLines/>
      <w:spacing w:after="200" w:line="276" w:lineRule="auto"/>
    </w:pPr>
    <w:rPr>
      <w:rFonts w:ascii="Arial" w:eastAsia="Times New Roman" w:hAnsi="Arial"/>
      <w:b/>
      <w:sz w:val="28"/>
      <w:szCs w:val="24"/>
      <w:lang w:val="en-US" w:eastAsia="ja-JP" w:bidi="my-MM"/>
    </w:rPr>
  </w:style>
  <w:style w:type="paragraph" w:styleId="FootnoteText">
    <w:name w:val="footnote text"/>
    <w:basedOn w:val="Normal"/>
    <w:semiHidden/>
    <w:pPr>
      <w:jc w:val="both"/>
    </w:pPr>
    <w:rPr>
      <w:rFonts w:eastAsia="Times New Roman"/>
      <w:sz w:val="20"/>
      <w:szCs w:val="20"/>
    </w:rPr>
  </w:style>
  <w:style w:type="character" w:styleId="FootnoteReference">
    <w:name w:val="footnote reference"/>
    <w:semiHidden/>
    <w:rPr>
      <w:vertAlign w:val="superscript"/>
    </w:rPr>
  </w:style>
  <w:style w:type="paragraph" w:styleId="TOCHeading">
    <w:name w:val="TOC Heading"/>
    <w:basedOn w:val="Heading1"/>
    <w:next w:val="Normal"/>
    <w:uiPriority w:val="39"/>
    <w:unhideWhenUsed/>
    <w:qFormat/>
    <w:rsid w:val="00B41CA0"/>
    <w:pPr>
      <w:outlineLvl w:val="9"/>
    </w:pPr>
  </w:style>
  <w:style w:type="paragraph" w:customStyle="1" w:styleId="NZVJHeading3">
    <w:name w:val="NZVJ Heading 3"/>
    <w:basedOn w:val="Normal"/>
    <w:autoRedefine/>
    <w:qFormat/>
    <w:rsid w:val="00C21D30"/>
    <w:pPr>
      <w:spacing w:after="180"/>
    </w:pPr>
    <w:rPr>
      <w:i/>
    </w:rPr>
  </w:style>
  <w:style w:type="paragraph" w:customStyle="1" w:styleId="EndNoteBibliography">
    <w:name w:val="EndNote Bibliography"/>
    <w:basedOn w:val="Normal"/>
    <w:link w:val="EndNoteBibliographyCar"/>
    <w:rsid w:val="003D1E3E"/>
    <w:pPr>
      <w:autoSpaceDE/>
      <w:autoSpaceDN/>
      <w:adjustRightInd/>
      <w:spacing w:after="200"/>
    </w:pPr>
    <w:rPr>
      <w:rFonts w:ascii="Calibri" w:hAnsi="Calibri" w:cs="Calibri"/>
      <w:noProof/>
      <w:lang w:val="en-US" w:eastAsia="en-US"/>
    </w:rPr>
  </w:style>
  <w:style w:type="character" w:customStyle="1" w:styleId="EndNoteBibliographyCar">
    <w:name w:val="EndNote Bibliography Car"/>
    <w:link w:val="EndNoteBibliography"/>
    <w:rsid w:val="003D1E3E"/>
    <w:rPr>
      <w:rFonts w:cs="Calibri"/>
      <w:noProof/>
      <w:sz w:val="22"/>
      <w:szCs w:val="22"/>
      <w:lang w:val="en-US" w:eastAsia="en-US"/>
    </w:rPr>
  </w:style>
  <w:style w:type="paragraph" w:styleId="ListParagraph">
    <w:name w:val="List Paragraph"/>
    <w:basedOn w:val="Normal"/>
    <w:uiPriority w:val="34"/>
    <w:qFormat/>
    <w:rsid w:val="00E8278F"/>
    <w:pPr>
      <w:overflowPunct w:val="0"/>
      <w:ind w:left="720"/>
      <w:contextualSpacing/>
      <w:textAlignment w:val="baseline"/>
    </w:pPr>
    <w:rPr>
      <w:rFonts w:eastAsia="Times New Roman"/>
      <w:szCs w:val="24"/>
      <w:lang w:val="nl-NL" w:eastAsia="nl-NL"/>
    </w:rPr>
  </w:style>
  <w:style w:type="paragraph" w:customStyle="1" w:styleId="StyleNZVJHeading1Arial16ptLeftLinespacingsingle">
    <w:name w:val="Style NZVJ Heading 1 + Arial 16 pt Left Line spacing:  single"/>
    <w:basedOn w:val="NZVJHeading1"/>
    <w:autoRedefine/>
    <w:qFormat/>
    <w:rsid w:val="00E8278F"/>
    <w:rPr>
      <w:rFonts w:cs="Times New Roman"/>
      <w:sz w:val="32"/>
      <w:szCs w:val="20"/>
      <w:lang w:val="en-GB"/>
    </w:rPr>
  </w:style>
  <w:style w:type="paragraph" w:customStyle="1" w:styleId="NZVJHeading1b">
    <w:name w:val="NZVJ Heading 1b"/>
    <w:basedOn w:val="NZVJHeading1"/>
    <w:autoRedefine/>
    <w:rsid w:val="00E8278F"/>
    <w:pPr>
      <w:jc w:val="center"/>
    </w:pPr>
    <w:rPr>
      <w:rFonts w:cs="Times New Roman"/>
      <w:sz w:val="24"/>
      <w:szCs w:val="20"/>
      <w:lang w:val="en-GB"/>
    </w:rPr>
  </w:style>
  <w:style w:type="character" w:customStyle="1" w:styleId="NZVJParagraphChar">
    <w:name w:val="NZVJ Paragraph Char"/>
    <w:link w:val="NZVJParagraph"/>
    <w:rsid w:val="008E1EB7"/>
    <w:rPr>
      <w:rFonts w:ascii="Arial" w:eastAsia="Times New Roman" w:hAnsi="Arial" w:cs="Arial"/>
      <w:sz w:val="22"/>
      <w:szCs w:val="22"/>
      <w:lang w:eastAsia="en-NZ"/>
    </w:rPr>
  </w:style>
  <w:style w:type="character" w:customStyle="1" w:styleId="NZVJFigurecaptionsChar">
    <w:name w:val="NZVJ Figure captions Char"/>
    <w:link w:val="NZVJFigurecaptions"/>
    <w:rsid w:val="00E8278F"/>
    <w:rPr>
      <w:rFonts w:ascii="Arial" w:eastAsia="Times New Roman" w:hAnsi="Arial"/>
      <w:b/>
      <w:sz w:val="22"/>
      <w:szCs w:val="22"/>
      <w:lang w:eastAsia="en-NZ"/>
    </w:rPr>
  </w:style>
  <w:style w:type="paragraph" w:customStyle="1" w:styleId="ANMapapertitle">
    <w:name w:val="ANM a paper title"/>
    <w:next w:val="ANMauthorname"/>
    <w:link w:val="ANMapapertitleCar"/>
    <w:uiPriority w:val="99"/>
    <w:qFormat/>
    <w:rsid w:val="00E8278F"/>
    <w:pPr>
      <w:spacing w:line="480" w:lineRule="auto"/>
    </w:pPr>
    <w:rPr>
      <w:rFonts w:ascii="Arial" w:eastAsia="Times New Roman" w:hAnsi="Arial"/>
      <w:b/>
      <w:sz w:val="24"/>
      <w:szCs w:val="24"/>
      <w:lang w:val="en-GB" w:eastAsia="fr-FR"/>
    </w:rPr>
  </w:style>
  <w:style w:type="paragraph" w:customStyle="1" w:styleId="ANMauthorname">
    <w:name w:val="ANM author name"/>
    <w:uiPriority w:val="99"/>
    <w:qFormat/>
    <w:rsid w:val="00E8278F"/>
    <w:pPr>
      <w:spacing w:line="480" w:lineRule="auto"/>
    </w:pPr>
    <w:rPr>
      <w:rFonts w:ascii="Arial" w:eastAsia="Times New Roman" w:hAnsi="Arial"/>
      <w:sz w:val="24"/>
      <w:szCs w:val="24"/>
      <w:lang w:val="en-GB" w:eastAsia="fr-FR"/>
    </w:rPr>
  </w:style>
  <w:style w:type="character" w:customStyle="1" w:styleId="ANMheading3Car">
    <w:name w:val="ANM heading 3 Car"/>
    <w:link w:val="ANMheading3"/>
    <w:uiPriority w:val="99"/>
    <w:locked/>
    <w:rsid w:val="00E8278F"/>
    <w:rPr>
      <w:rFonts w:ascii="Arial" w:hAnsi="Arial"/>
      <w:i/>
      <w:sz w:val="24"/>
      <w:szCs w:val="24"/>
      <w:lang w:val="en-GB" w:eastAsia="fr-FR"/>
    </w:rPr>
  </w:style>
  <w:style w:type="paragraph" w:customStyle="1" w:styleId="ANMmaintext">
    <w:name w:val="ANM main text"/>
    <w:link w:val="ANMmaintextCarCar"/>
    <w:uiPriority w:val="99"/>
    <w:qFormat/>
    <w:rsid w:val="00E8278F"/>
    <w:pPr>
      <w:spacing w:line="480" w:lineRule="auto"/>
    </w:pPr>
    <w:rPr>
      <w:rFonts w:ascii="Arial" w:eastAsia="Times New Roman" w:hAnsi="Arial"/>
      <w:sz w:val="24"/>
      <w:szCs w:val="24"/>
      <w:lang w:val="en-GB" w:eastAsia="fr-FR"/>
    </w:rPr>
  </w:style>
  <w:style w:type="character" w:customStyle="1" w:styleId="ANMmaintextCarCar">
    <w:name w:val="ANM main text Car Car"/>
    <w:link w:val="ANMmaintext"/>
    <w:uiPriority w:val="99"/>
    <w:locked/>
    <w:rsid w:val="00E8278F"/>
    <w:rPr>
      <w:rFonts w:ascii="Arial" w:eastAsia="Times New Roman" w:hAnsi="Arial"/>
      <w:sz w:val="24"/>
      <w:szCs w:val="24"/>
      <w:lang w:val="en-GB" w:eastAsia="fr-FR"/>
    </w:rPr>
  </w:style>
  <w:style w:type="paragraph" w:customStyle="1" w:styleId="ANMauthorsaddress">
    <w:name w:val="ANM authors address"/>
    <w:next w:val="ANMsuperscript"/>
    <w:link w:val="ANMauthorsaddressCarCar"/>
    <w:uiPriority w:val="99"/>
    <w:qFormat/>
    <w:rsid w:val="00E8278F"/>
    <w:pPr>
      <w:spacing w:line="480" w:lineRule="auto"/>
    </w:pPr>
    <w:rPr>
      <w:rFonts w:ascii="Arial" w:eastAsia="Times New Roman" w:hAnsi="Arial"/>
      <w:i/>
      <w:sz w:val="24"/>
      <w:szCs w:val="24"/>
      <w:lang w:val="en-GB" w:eastAsia="fr-FR"/>
    </w:rPr>
  </w:style>
  <w:style w:type="character" w:customStyle="1" w:styleId="ANMauthorsaddressCarCar">
    <w:name w:val="ANM authors address Car Car"/>
    <w:link w:val="ANMauthorsaddress"/>
    <w:uiPriority w:val="99"/>
    <w:locked/>
    <w:rsid w:val="00E8278F"/>
    <w:rPr>
      <w:rFonts w:ascii="Arial" w:eastAsia="Times New Roman" w:hAnsi="Arial"/>
      <w:i/>
      <w:sz w:val="24"/>
      <w:szCs w:val="24"/>
      <w:lang w:val="en-GB" w:eastAsia="fr-FR"/>
    </w:rPr>
  </w:style>
  <w:style w:type="paragraph" w:customStyle="1" w:styleId="ANMheading1">
    <w:name w:val="ANM heading 1"/>
    <w:next w:val="ANMmaintext"/>
    <w:link w:val="ANMheading1Car"/>
    <w:uiPriority w:val="99"/>
    <w:qFormat/>
    <w:rsid w:val="00E8278F"/>
    <w:pPr>
      <w:spacing w:line="480" w:lineRule="auto"/>
    </w:pPr>
    <w:rPr>
      <w:rFonts w:ascii="Arial" w:eastAsia="Times New Roman" w:hAnsi="Arial"/>
      <w:b/>
      <w:sz w:val="24"/>
      <w:szCs w:val="24"/>
      <w:lang w:val="en-GB" w:eastAsia="fr-FR"/>
    </w:rPr>
  </w:style>
  <w:style w:type="character" w:customStyle="1" w:styleId="ANMheading1Car">
    <w:name w:val="ANM heading 1 Car"/>
    <w:link w:val="ANMheading1"/>
    <w:uiPriority w:val="99"/>
    <w:locked/>
    <w:rsid w:val="00E8278F"/>
    <w:rPr>
      <w:rFonts w:ascii="Arial" w:eastAsia="Times New Roman" w:hAnsi="Arial"/>
      <w:b/>
      <w:sz w:val="24"/>
      <w:szCs w:val="24"/>
      <w:lang w:val="en-GB" w:eastAsia="fr-FR"/>
    </w:rPr>
  </w:style>
  <w:style w:type="character" w:styleId="LineNumber">
    <w:name w:val="line number"/>
    <w:uiPriority w:val="99"/>
    <w:rsid w:val="00E8278F"/>
    <w:rPr>
      <w:rFonts w:cs="Times New Roman"/>
    </w:rPr>
  </w:style>
  <w:style w:type="paragraph" w:customStyle="1" w:styleId="ANMheading2">
    <w:name w:val="ANM heading 2"/>
    <w:next w:val="ANMmaintext"/>
    <w:uiPriority w:val="99"/>
    <w:qFormat/>
    <w:rsid w:val="00E8278F"/>
    <w:pPr>
      <w:spacing w:line="480" w:lineRule="auto"/>
    </w:pPr>
    <w:rPr>
      <w:rFonts w:ascii="Arial" w:eastAsia="Times New Roman" w:hAnsi="Arial"/>
      <w:i/>
      <w:sz w:val="24"/>
      <w:szCs w:val="24"/>
      <w:lang w:val="en-GB" w:eastAsia="fr-FR"/>
    </w:rPr>
  </w:style>
  <w:style w:type="character" w:customStyle="1" w:styleId="ANMapapertitleCar">
    <w:name w:val="ANM a paper title Car"/>
    <w:link w:val="ANMapapertitle"/>
    <w:uiPriority w:val="99"/>
    <w:locked/>
    <w:rsid w:val="00E8278F"/>
    <w:rPr>
      <w:rFonts w:ascii="Arial" w:eastAsia="Times New Roman" w:hAnsi="Arial"/>
      <w:b/>
      <w:sz w:val="24"/>
      <w:szCs w:val="24"/>
      <w:lang w:val="en-GB" w:eastAsia="fr-FR"/>
    </w:rPr>
  </w:style>
  <w:style w:type="paragraph" w:customStyle="1" w:styleId="ANMsuperscript">
    <w:name w:val="ANM superscript"/>
    <w:next w:val="ANMmaintext"/>
    <w:link w:val="ANMsuperscriptCar"/>
    <w:uiPriority w:val="99"/>
    <w:qFormat/>
    <w:rsid w:val="00E8278F"/>
    <w:pPr>
      <w:spacing w:line="480" w:lineRule="auto"/>
    </w:pPr>
    <w:rPr>
      <w:rFonts w:ascii="Arial" w:eastAsia="Times New Roman" w:hAnsi="Arial"/>
      <w:sz w:val="24"/>
      <w:szCs w:val="24"/>
      <w:vertAlign w:val="superscript"/>
      <w:lang w:val="en-GB" w:eastAsia="fr-FR"/>
    </w:rPr>
  </w:style>
  <w:style w:type="paragraph" w:customStyle="1" w:styleId="ANMheading3">
    <w:name w:val="ANM heading 3"/>
    <w:next w:val="ANMmaintext"/>
    <w:link w:val="ANMheading3Car"/>
    <w:uiPriority w:val="99"/>
    <w:qFormat/>
    <w:rsid w:val="00E8278F"/>
    <w:pPr>
      <w:spacing w:line="480" w:lineRule="auto"/>
    </w:pPr>
    <w:rPr>
      <w:rFonts w:ascii="Arial" w:hAnsi="Arial"/>
      <w:i/>
      <w:sz w:val="24"/>
      <w:szCs w:val="24"/>
      <w:lang w:val="en-GB" w:eastAsia="fr-FR"/>
    </w:rPr>
  </w:style>
  <w:style w:type="character" w:customStyle="1" w:styleId="ANMsuperscriptCar">
    <w:name w:val="ANM superscript Car"/>
    <w:link w:val="ANMsuperscript"/>
    <w:uiPriority w:val="99"/>
    <w:locked/>
    <w:rsid w:val="00E8278F"/>
    <w:rPr>
      <w:rFonts w:ascii="Arial" w:eastAsia="Times New Roman" w:hAnsi="Arial"/>
      <w:sz w:val="24"/>
      <w:szCs w:val="24"/>
      <w:vertAlign w:val="superscript"/>
      <w:lang w:val="en-GB" w:eastAsia="fr-FR"/>
    </w:rPr>
  </w:style>
  <w:style w:type="paragraph" w:customStyle="1" w:styleId="ANMTabSpanner">
    <w:name w:val="ANM Tab Spanner"/>
    <w:next w:val="ANMTabcolumnheading"/>
    <w:rsid w:val="00E8278F"/>
    <w:pPr>
      <w:pBdr>
        <w:bottom w:val="single" w:sz="4" w:space="1" w:color="auto"/>
      </w:pBdr>
      <w:overflowPunct w:val="0"/>
      <w:autoSpaceDE w:val="0"/>
      <w:autoSpaceDN w:val="0"/>
      <w:adjustRightInd w:val="0"/>
      <w:spacing w:line="360" w:lineRule="auto"/>
      <w:jc w:val="center"/>
      <w:textAlignment w:val="baseline"/>
    </w:pPr>
    <w:rPr>
      <w:rFonts w:ascii="Arial" w:eastAsia="Times New Roman" w:hAnsi="Arial"/>
      <w:sz w:val="22"/>
      <w:szCs w:val="24"/>
      <w:lang w:val="en-GB" w:eastAsia="fr-FR"/>
    </w:rPr>
  </w:style>
  <w:style w:type="paragraph" w:customStyle="1" w:styleId="ANMTabcolumnheading">
    <w:name w:val="ANM Tab column heading"/>
    <w:rsid w:val="00E8278F"/>
    <w:pPr>
      <w:overflowPunct w:val="0"/>
      <w:autoSpaceDE w:val="0"/>
      <w:autoSpaceDN w:val="0"/>
      <w:adjustRightInd w:val="0"/>
      <w:spacing w:line="360" w:lineRule="auto"/>
      <w:jc w:val="center"/>
      <w:textAlignment w:val="baseline"/>
    </w:pPr>
    <w:rPr>
      <w:rFonts w:ascii="Arial" w:eastAsia="Times New Roman" w:hAnsi="Arial"/>
      <w:sz w:val="22"/>
      <w:szCs w:val="22"/>
      <w:lang w:val="en-GB" w:eastAsia="fr-FR"/>
    </w:rPr>
  </w:style>
  <w:style w:type="paragraph" w:customStyle="1" w:styleId="ANMTabstubheading">
    <w:name w:val="ANM Tab stub heading"/>
    <w:next w:val="ANMmaintext"/>
    <w:rsid w:val="00E8278F"/>
    <w:pPr>
      <w:spacing w:line="360" w:lineRule="auto"/>
    </w:pPr>
    <w:rPr>
      <w:rFonts w:ascii="Arial" w:eastAsia="Times New Roman" w:hAnsi="Arial"/>
      <w:sz w:val="22"/>
      <w:szCs w:val="22"/>
      <w:lang w:val="en-GB" w:eastAsia="fr-FR"/>
    </w:rPr>
  </w:style>
  <w:style w:type="paragraph" w:customStyle="1" w:styleId="ANMTabrowheading">
    <w:name w:val="ANM Tab row heading"/>
    <w:rsid w:val="00E8278F"/>
    <w:pPr>
      <w:spacing w:line="360" w:lineRule="auto"/>
    </w:pPr>
    <w:rPr>
      <w:rFonts w:ascii="Arial" w:eastAsia="Times New Roman" w:hAnsi="Arial"/>
      <w:sz w:val="22"/>
      <w:szCs w:val="22"/>
      <w:lang w:val="en-GB" w:eastAsia="fr-FR"/>
    </w:rPr>
  </w:style>
  <w:style w:type="paragraph" w:customStyle="1" w:styleId="ANMTabrowsubheading">
    <w:name w:val="ANM Tab row subheading"/>
    <w:next w:val="ANMTabrowheading"/>
    <w:rsid w:val="00E8278F"/>
    <w:pPr>
      <w:spacing w:line="360" w:lineRule="auto"/>
      <w:ind w:firstLine="142"/>
    </w:pPr>
    <w:rPr>
      <w:rFonts w:ascii="Arial" w:eastAsia="Times New Roman" w:hAnsi="Arial"/>
      <w:sz w:val="22"/>
      <w:szCs w:val="22"/>
      <w:lang w:val="en-GB" w:eastAsia="fr-FR"/>
    </w:rPr>
  </w:style>
  <w:style w:type="paragraph" w:customStyle="1" w:styleId="ANMTabrowsub-subheading">
    <w:name w:val="ANM Tab row sub-subheading"/>
    <w:next w:val="ANMTabrowheading"/>
    <w:rsid w:val="00E8278F"/>
    <w:pPr>
      <w:spacing w:line="360" w:lineRule="auto"/>
      <w:ind w:firstLine="284"/>
    </w:pPr>
    <w:rPr>
      <w:rFonts w:ascii="Arial" w:eastAsia="Times New Roman" w:hAnsi="Arial"/>
      <w:sz w:val="22"/>
      <w:szCs w:val="22"/>
      <w:lang w:val="en-GB" w:eastAsia="fr-FR"/>
    </w:rPr>
  </w:style>
  <w:style w:type="paragraph" w:customStyle="1" w:styleId="ANMTabFootnote">
    <w:name w:val="ANM Tab Footnote"/>
    <w:rsid w:val="00E8278F"/>
    <w:pPr>
      <w:spacing w:line="360" w:lineRule="auto"/>
    </w:pPr>
    <w:rPr>
      <w:rFonts w:ascii="Arial" w:eastAsia="Times New Roman" w:hAnsi="Arial"/>
      <w:szCs w:val="24"/>
      <w:lang w:val="en-GB" w:eastAsia="fr-FR"/>
    </w:rPr>
  </w:style>
  <w:style w:type="paragraph" w:customStyle="1" w:styleId="ANMReferences">
    <w:name w:val="ANM References"/>
    <w:basedOn w:val="ANMmaintext"/>
    <w:qFormat/>
    <w:rsid w:val="00E8278F"/>
    <w:pPr>
      <w:ind w:left="567" w:hanging="567"/>
    </w:pPr>
    <w:rPr>
      <w:sz w:val="22"/>
    </w:rPr>
  </w:style>
  <w:style w:type="paragraph" w:customStyle="1" w:styleId="Default">
    <w:name w:val="Default"/>
    <w:uiPriority w:val="99"/>
    <w:rsid w:val="00E8278F"/>
    <w:pPr>
      <w:autoSpaceDE w:val="0"/>
      <w:autoSpaceDN w:val="0"/>
      <w:adjustRightInd w:val="0"/>
    </w:pPr>
    <w:rPr>
      <w:rFonts w:ascii="Arial" w:hAnsi="Arial"/>
      <w:color w:val="000000"/>
      <w:sz w:val="24"/>
      <w:szCs w:val="24"/>
      <w:lang w:val="en-GB" w:eastAsia="en-US"/>
    </w:rPr>
  </w:style>
  <w:style w:type="character" w:customStyle="1" w:styleId="st">
    <w:name w:val="st"/>
    <w:basedOn w:val="DefaultParagraphFont"/>
    <w:semiHidden/>
    <w:rsid w:val="00E8278F"/>
  </w:style>
  <w:style w:type="character" w:styleId="Emphasis">
    <w:name w:val="Emphasis"/>
    <w:uiPriority w:val="20"/>
    <w:qFormat/>
    <w:rsid w:val="00E8278F"/>
    <w:rPr>
      <w:i/>
      <w:iCs/>
    </w:rPr>
  </w:style>
  <w:style w:type="character" w:styleId="Hyperlink">
    <w:name w:val="Hyperlink"/>
    <w:uiPriority w:val="99"/>
    <w:unhideWhenUsed/>
    <w:rsid w:val="00E8278F"/>
    <w:rPr>
      <w:color w:val="0000FF"/>
      <w:u w:val="single"/>
    </w:rPr>
  </w:style>
  <w:style w:type="paragraph" w:styleId="NoSpacing">
    <w:name w:val="No Spacing"/>
    <w:uiPriority w:val="1"/>
    <w:qFormat/>
    <w:rsid w:val="00E8278F"/>
    <w:rPr>
      <w:sz w:val="22"/>
      <w:szCs w:val="22"/>
      <w:lang w:val="en-GB" w:eastAsia="en-US"/>
    </w:rPr>
  </w:style>
  <w:style w:type="character" w:customStyle="1" w:styleId="sa8294f4d">
    <w:name w:val="s_a8294f4d"/>
    <w:basedOn w:val="DefaultParagraphFont"/>
    <w:semiHidden/>
    <w:rsid w:val="00E8278F"/>
  </w:style>
  <w:style w:type="paragraph" w:styleId="Footer">
    <w:name w:val="footer"/>
    <w:basedOn w:val="Normal"/>
    <w:link w:val="FooterChar"/>
    <w:uiPriority w:val="99"/>
    <w:unhideWhenUsed/>
    <w:rsid w:val="00E8278F"/>
    <w:pPr>
      <w:tabs>
        <w:tab w:val="center" w:pos="4536"/>
        <w:tab w:val="right" w:pos="9072"/>
      </w:tabs>
      <w:overflowPunct w:val="0"/>
      <w:textAlignment w:val="baseline"/>
    </w:pPr>
    <w:rPr>
      <w:rFonts w:eastAsia="Times New Roman"/>
      <w:szCs w:val="24"/>
      <w:lang w:val="nl-NL" w:eastAsia="nl-NL"/>
    </w:rPr>
  </w:style>
  <w:style w:type="character" w:customStyle="1" w:styleId="FooterChar">
    <w:name w:val="Footer Char"/>
    <w:basedOn w:val="DefaultParagraphFont"/>
    <w:link w:val="Footer"/>
    <w:uiPriority w:val="99"/>
    <w:rsid w:val="00E8278F"/>
    <w:rPr>
      <w:rFonts w:ascii="Arial" w:eastAsia="Times New Roman" w:hAnsi="Arial"/>
      <w:sz w:val="24"/>
      <w:szCs w:val="24"/>
      <w:lang w:val="nl-NL" w:eastAsia="nl-NL"/>
    </w:rPr>
  </w:style>
  <w:style w:type="paragraph" w:styleId="PlainText">
    <w:name w:val="Plain Text"/>
    <w:basedOn w:val="Normal"/>
    <w:link w:val="PlainTextChar"/>
    <w:rsid w:val="00E8278F"/>
    <w:pPr>
      <w:autoSpaceDE/>
      <w:autoSpaceDN/>
      <w:adjustRightInd/>
    </w:pPr>
    <w:rPr>
      <w:rFonts w:ascii="Courier New" w:hAnsi="Courier New"/>
      <w:sz w:val="20"/>
      <w:szCs w:val="20"/>
      <w:lang w:val="en-US" w:eastAsia="en-US"/>
    </w:rPr>
  </w:style>
  <w:style w:type="character" w:customStyle="1" w:styleId="PlainTextChar">
    <w:name w:val="Plain Text Char"/>
    <w:basedOn w:val="DefaultParagraphFont"/>
    <w:link w:val="PlainText"/>
    <w:rsid w:val="00E8278F"/>
    <w:rPr>
      <w:rFonts w:ascii="Courier New" w:hAnsi="Courier New"/>
      <w:lang w:val="en-US" w:eastAsia="en-US"/>
    </w:rPr>
  </w:style>
  <w:style w:type="paragraph" w:customStyle="1" w:styleId="EndNoteBibliographyTitle">
    <w:name w:val="EndNote Bibliography Title"/>
    <w:basedOn w:val="Normal"/>
    <w:link w:val="EndNoteBibliographyTitleChar"/>
    <w:rsid w:val="00E8278F"/>
    <w:pPr>
      <w:overflowPunct w:val="0"/>
      <w:jc w:val="center"/>
      <w:textAlignment w:val="baseline"/>
    </w:pPr>
    <w:rPr>
      <w:rFonts w:ascii="Calibri" w:eastAsia="Times New Roman" w:hAnsi="Calibri" w:cs="Calibri"/>
      <w:noProof/>
      <w:szCs w:val="24"/>
      <w:lang w:val="nl-NL" w:eastAsia="nl-NL"/>
    </w:rPr>
  </w:style>
  <w:style w:type="character" w:customStyle="1" w:styleId="NZVJTableheadingChar">
    <w:name w:val="NZVJ Table heading Char"/>
    <w:link w:val="NZVJTableheading"/>
    <w:rsid w:val="003B2FF1"/>
    <w:rPr>
      <w:rFonts w:ascii="Arial" w:eastAsia="Times New Roman" w:hAnsi="Arial" w:cs="Arial"/>
      <w:b/>
      <w:bCs/>
      <w:sz w:val="22"/>
      <w:szCs w:val="22"/>
      <w:lang w:eastAsia="en-NZ"/>
    </w:rPr>
  </w:style>
  <w:style w:type="character" w:customStyle="1" w:styleId="EndNoteBibliographyTitleChar">
    <w:name w:val="EndNote Bibliography Title Char"/>
    <w:link w:val="EndNoteBibliographyTitle"/>
    <w:rsid w:val="00E8278F"/>
    <w:rPr>
      <w:rFonts w:eastAsia="Times New Roman" w:cs="Calibri"/>
      <w:noProof/>
      <w:sz w:val="22"/>
      <w:szCs w:val="24"/>
      <w:lang w:val="nl-NL" w:eastAsia="nl-NL"/>
    </w:rPr>
  </w:style>
  <w:style w:type="character" w:customStyle="1" w:styleId="EndNoteBibliographyChar">
    <w:name w:val="EndNote Bibliography Char"/>
    <w:rsid w:val="00E8278F"/>
    <w:rPr>
      <w:rFonts w:eastAsia="Times New Roman" w:cs="Calibri"/>
      <w:noProof/>
      <w:sz w:val="22"/>
      <w:szCs w:val="24"/>
      <w:lang w:val="nl-NL" w:eastAsia="nl-NL"/>
    </w:rPr>
  </w:style>
  <w:style w:type="table" w:styleId="TableGrid">
    <w:name w:val="Table Grid"/>
    <w:basedOn w:val="TableNormal"/>
    <w:uiPriority w:val="59"/>
    <w:rsid w:val="00E8278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8278F"/>
    <w:rPr>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eNormal"/>
    <w:uiPriority w:val="42"/>
    <w:rsid w:val="00D110B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BD597E"/>
    <w:pPr>
      <w:pBdr>
        <w:bottom w:val="single" w:sz="8" w:space="4" w:color="4472C4" w:themeColor="accent1"/>
      </w:pBdr>
      <w:autoSpaceDE/>
      <w:autoSpaceDN/>
      <w:adjustRightInd/>
      <w:spacing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BD597E"/>
    <w:rPr>
      <w:rFonts w:asciiTheme="majorHAnsi" w:eastAsiaTheme="majorEastAsia" w:hAnsiTheme="majorHAnsi" w:cstheme="majorBidi"/>
      <w:color w:val="323E4F" w:themeColor="text2" w:themeShade="BF"/>
      <w:spacing w:val="5"/>
      <w:kern w:val="28"/>
      <w:sz w:val="52"/>
      <w:szCs w:val="52"/>
      <w:lang w:val="en-US" w:eastAsia="en-US"/>
    </w:rPr>
  </w:style>
  <w:style w:type="paragraph" w:customStyle="1" w:styleId="yiv9388047613msolistparagraph">
    <w:name w:val="yiv9388047613msolistparagraph"/>
    <w:basedOn w:val="Normal"/>
    <w:rsid w:val="00BD597E"/>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597E"/>
  </w:style>
  <w:style w:type="character" w:customStyle="1" w:styleId="BalloonTextChar">
    <w:name w:val="Balloon Text Char"/>
    <w:basedOn w:val="DefaultParagraphFont"/>
    <w:link w:val="BalloonText"/>
    <w:uiPriority w:val="99"/>
    <w:semiHidden/>
    <w:rsid w:val="00BD597E"/>
    <w:rPr>
      <w:rFonts w:ascii="Tahoma" w:hAnsi="Tahoma" w:cs="Tahoma"/>
      <w:sz w:val="16"/>
      <w:szCs w:val="16"/>
      <w:lang w:eastAsia="en-NZ"/>
    </w:rPr>
  </w:style>
  <w:style w:type="character" w:customStyle="1" w:styleId="CommentTextChar">
    <w:name w:val="Comment Text Char"/>
    <w:basedOn w:val="DefaultParagraphFont"/>
    <w:link w:val="CommentText"/>
    <w:uiPriority w:val="99"/>
    <w:rsid w:val="00BD597E"/>
    <w:rPr>
      <w:rFonts w:ascii="Arial" w:hAnsi="Arial" w:cs="Arial"/>
      <w:lang w:eastAsia="en-NZ"/>
    </w:rPr>
  </w:style>
  <w:style w:type="character" w:customStyle="1" w:styleId="CommentSubjectChar">
    <w:name w:val="Comment Subject Char"/>
    <w:basedOn w:val="CommentTextChar"/>
    <w:link w:val="CommentSubject"/>
    <w:uiPriority w:val="99"/>
    <w:semiHidden/>
    <w:rsid w:val="00BD597E"/>
    <w:rPr>
      <w:rFonts w:ascii="Arial" w:hAnsi="Arial" w:cs="Arial"/>
      <w:b/>
      <w:bCs/>
      <w:lang w:eastAsia="en-NZ"/>
    </w:rPr>
  </w:style>
  <w:style w:type="paragraph" w:styleId="Revision">
    <w:name w:val="Revision"/>
    <w:hidden/>
    <w:uiPriority w:val="99"/>
    <w:semiHidden/>
    <w:rsid w:val="00BD597E"/>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BD597E"/>
    <w:pPr>
      <w:autoSpaceDE/>
      <w:autoSpaceDN/>
      <w:adjustRightInd/>
      <w:spacing w:before="100" w:beforeAutospacing="1" w:after="100" w:afterAutospacing="1"/>
    </w:pPr>
    <w:rPr>
      <w:rFonts w:ascii="Times New Roman" w:eastAsia="Times New Roman" w:hAnsi="Times New Roman" w:cs="Times New Roman"/>
      <w:sz w:val="24"/>
      <w:szCs w:val="24"/>
    </w:rPr>
  </w:style>
  <w:style w:type="table" w:customStyle="1" w:styleId="PlainTable31">
    <w:name w:val="Plain Table 31"/>
    <w:basedOn w:val="TableNormal"/>
    <w:uiPriority w:val="43"/>
    <w:rsid w:val="00BD597E"/>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BD597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BD5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D597E"/>
    <w:rPr>
      <w:rFonts w:ascii="Courier New" w:eastAsia="Times New Roman" w:hAnsi="Courier New" w:cs="Courier New"/>
      <w:lang w:eastAsia="en-NZ"/>
    </w:rPr>
  </w:style>
  <w:style w:type="paragraph" w:styleId="Header">
    <w:name w:val="header"/>
    <w:basedOn w:val="Normal"/>
    <w:link w:val="HeaderChar"/>
    <w:uiPriority w:val="99"/>
    <w:unhideWhenUsed/>
    <w:rsid w:val="00BD597E"/>
    <w:pPr>
      <w:tabs>
        <w:tab w:val="center" w:pos="4513"/>
        <w:tab w:val="right" w:pos="9026"/>
      </w:tabs>
      <w:autoSpaceDE/>
      <w:autoSpaceDN/>
      <w:adjustRightInd/>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D597E"/>
    <w:rPr>
      <w:rFonts w:asciiTheme="minorHAnsi" w:eastAsiaTheme="minorHAnsi" w:hAnsiTheme="minorHAnsi" w:cstheme="minorBidi"/>
      <w:sz w:val="22"/>
      <w:szCs w:val="22"/>
      <w:lang w:eastAsia="en-US"/>
    </w:rPr>
  </w:style>
  <w:style w:type="character" w:customStyle="1" w:styleId="contentline-438">
    <w:name w:val="contentline-438"/>
    <w:basedOn w:val="DefaultParagraphFont"/>
    <w:rsid w:val="00BD597E"/>
  </w:style>
  <w:style w:type="character" w:styleId="UnresolvedMention">
    <w:name w:val="Unresolved Mention"/>
    <w:basedOn w:val="DefaultParagraphFont"/>
    <w:uiPriority w:val="99"/>
    <w:semiHidden/>
    <w:unhideWhenUsed/>
    <w:rsid w:val="00BD597E"/>
    <w:rPr>
      <w:color w:val="605E5C"/>
      <w:shd w:val="clear" w:color="auto" w:fill="E1DFDD"/>
    </w:rPr>
  </w:style>
  <w:style w:type="character" w:customStyle="1" w:styleId="gnkrckgcgsb">
    <w:name w:val="gnkrckgcgsb"/>
    <w:basedOn w:val="DefaultParagraphFont"/>
    <w:rsid w:val="00BD597E"/>
  </w:style>
  <w:style w:type="character" w:customStyle="1" w:styleId="highlight">
    <w:name w:val="highlight"/>
    <w:basedOn w:val="DefaultParagraphFont"/>
    <w:rsid w:val="00BD597E"/>
  </w:style>
  <w:style w:type="character" w:customStyle="1" w:styleId="DataField11pt-SingleChar">
    <w:name w:val="Data Field 11pt-Single Char"/>
    <w:link w:val="DataField11pt-Single"/>
    <w:locked/>
    <w:rsid w:val="00C2506E"/>
    <w:rPr>
      <w:rFonts w:ascii="Arial" w:eastAsia="Times New Roman" w:hAnsi="Arial" w:cs="Arial"/>
      <w:sz w:val="22"/>
    </w:rPr>
  </w:style>
  <w:style w:type="paragraph" w:customStyle="1" w:styleId="DataField11pt-Single">
    <w:name w:val="Data Field 11pt-Single"/>
    <w:basedOn w:val="Normal"/>
    <w:link w:val="DataField11pt-SingleChar"/>
    <w:rsid w:val="00C2506E"/>
    <w:pPr>
      <w:adjustRightInd/>
    </w:pPr>
    <w:rPr>
      <w:rFonts w:eastAsia="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78221">
      <w:bodyDiv w:val="1"/>
      <w:marLeft w:val="0"/>
      <w:marRight w:val="0"/>
      <w:marTop w:val="0"/>
      <w:marBottom w:val="0"/>
      <w:divBdr>
        <w:top w:val="none" w:sz="0" w:space="0" w:color="auto"/>
        <w:left w:val="none" w:sz="0" w:space="0" w:color="auto"/>
        <w:bottom w:val="none" w:sz="0" w:space="0" w:color="auto"/>
        <w:right w:val="none" w:sz="0" w:space="0" w:color="auto"/>
      </w:divBdr>
    </w:div>
    <w:div w:id="503328286">
      <w:bodyDiv w:val="1"/>
      <w:marLeft w:val="0"/>
      <w:marRight w:val="0"/>
      <w:marTop w:val="0"/>
      <w:marBottom w:val="0"/>
      <w:divBdr>
        <w:top w:val="none" w:sz="0" w:space="0" w:color="auto"/>
        <w:left w:val="none" w:sz="0" w:space="0" w:color="auto"/>
        <w:bottom w:val="none" w:sz="0" w:space="0" w:color="auto"/>
        <w:right w:val="none" w:sz="0" w:space="0" w:color="auto"/>
      </w:divBdr>
    </w:div>
    <w:div w:id="684091873">
      <w:bodyDiv w:val="1"/>
      <w:marLeft w:val="0"/>
      <w:marRight w:val="0"/>
      <w:marTop w:val="0"/>
      <w:marBottom w:val="0"/>
      <w:divBdr>
        <w:top w:val="none" w:sz="0" w:space="0" w:color="auto"/>
        <w:left w:val="none" w:sz="0" w:space="0" w:color="auto"/>
        <w:bottom w:val="none" w:sz="0" w:space="0" w:color="auto"/>
        <w:right w:val="none" w:sz="0" w:space="0" w:color="auto"/>
      </w:divBdr>
    </w:div>
    <w:div w:id="826676495">
      <w:bodyDiv w:val="1"/>
      <w:marLeft w:val="0"/>
      <w:marRight w:val="0"/>
      <w:marTop w:val="0"/>
      <w:marBottom w:val="0"/>
      <w:divBdr>
        <w:top w:val="none" w:sz="0" w:space="0" w:color="auto"/>
        <w:left w:val="none" w:sz="0" w:space="0" w:color="auto"/>
        <w:bottom w:val="none" w:sz="0" w:space="0" w:color="auto"/>
        <w:right w:val="none" w:sz="0" w:space="0" w:color="auto"/>
      </w:divBdr>
    </w:div>
    <w:div w:id="1317877244">
      <w:bodyDiv w:val="1"/>
      <w:marLeft w:val="0"/>
      <w:marRight w:val="0"/>
      <w:marTop w:val="0"/>
      <w:marBottom w:val="0"/>
      <w:divBdr>
        <w:top w:val="none" w:sz="0" w:space="0" w:color="auto"/>
        <w:left w:val="none" w:sz="0" w:space="0" w:color="auto"/>
        <w:bottom w:val="none" w:sz="0" w:space="0" w:color="auto"/>
        <w:right w:val="none" w:sz="0" w:space="0" w:color="auto"/>
      </w:divBdr>
    </w:div>
    <w:div w:id="20955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spitzna@kent.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7366ED3EE5F4E95E73AB1DB525DE6" ma:contentTypeVersion="12" ma:contentTypeDescription="Create a new document." ma:contentTypeScope="" ma:versionID="456d5610badf4b146e148416ebce5957">
  <xsd:schema xmlns:xsd="http://www.w3.org/2001/XMLSchema" xmlns:xs="http://www.w3.org/2001/XMLSchema" xmlns:p="http://schemas.microsoft.com/office/2006/metadata/properties" xmlns:ns2="8c02d019-2b92-47ff-a9d2-ee9e98b1ce72" xmlns:ns3="76bddc4b-c82f-422a-ad6f-fb1fb0d5e994" targetNamespace="http://schemas.microsoft.com/office/2006/metadata/properties" ma:root="true" ma:fieldsID="e617374fac6e3b5bf167666685d7c5f2" ns2:_="" ns3:_="">
    <xsd:import namespace="8c02d019-2b92-47ff-a9d2-ee9e98b1ce72"/>
    <xsd:import namespace="76bddc4b-c82f-422a-ad6f-fb1fb0d5e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2d019-2b92-47ff-a9d2-ee9e98b1c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ddc4b-c82f-422a-ad6f-fb1fb0d5e9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EAD6-4981-486E-B393-6504E227DC15}">
  <ds:schemaRefs>
    <ds:schemaRef ds:uri="http://schemas.microsoft.com/sharepoint/v3/contenttype/forms"/>
  </ds:schemaRefs>
</ds:datastoreItem>
</file>

<file path=customXml/itemProps2.xml><?xml version="1.0" encoding="utf-8"?>
<ds:datastoreItem xmlns:ds="http://schemas.openxmlformats.org/officeDocument/2006/customXml" ds:itemID="{D4CE60FA-60C6-4CAD-BAC3-FE07EEFAD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2d019-2b92-47ff-a9d2-ee9e98b1ce72"/>
    <ds:schemaRef ds:uri="76bddc4b-c82f-422a-ad6f-fb1fb0d5e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A4848-2C51-45B7-9C4C-9274AA0B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4916</Words>
  <Characters>28024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Effect of dry period length on the effect on an intramammary teat sealant on the risk of mastitis in cattle treated with antibiotics at drying off</vt:lpstr>
    </vt:vector>
  </TitlesOfParts>
  <Company>Massey University</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dry period length on the effect on an intramammary teat sealant on the risk of mastitis in cattle treated with antibiotics at drying off</dc:title>
  <dc:subject/>
  <dc:creator>klawrenc</dc:creator>
  <cp:keywords/>
  <cp:lastModifiedBy>Spitznagel, Mary Beth</cp:lastModifiedBy>
  <cp:revision>3</cp:revision>
  <cp:lastPrinted>2021-05-25T02:13:00Z</cp:lastPrinted>
  <dcterms:created xsi:type="dcterms:W3CDTF">2021-07-01T15:55:00Z</dcterms:created>
  <dcterms:modified xsi:type="dcterms:W3CDTF">2021-07-01T15:56:00Z</dcterms:modified>
</cp:coreProperties>
</file>