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567F9" w14:textId="2F02A209" w:rsidR="00EB3E00" w:rsidRDefault="00EB3E00" w:rsidP="0087440A">
      <w:pPr>
        <w:spacing w:line="480" w:lineRule="auto"/>
        <w:rPr>
          <w:b/>
          <w:bCs/>
        </w:rPr>
      </w:pPr>
    </w:p>
    <w:p w14:paraId="130F0060" w14:textId="418E12D4" w:rsidR="00EB3E00" w:rsidRDefault="00EB3E00" w:rsidP="0087440A">
      <w:pPr>
        <w:spacing w:line="480" w:lineRule="auto"/>
        <w:rPr>
          <w:b/>
          <w:bCs/>
        </w:rPr>
      </w:pPr>
    </w:p>
    <w:p w14:paraId="02753273" w14:textId="77777777" w:rsidR="00EB3E00" w:rsidRDefault="00EB3E00" w:rsidP="0087440A">
      <w:pPr>
        <w:spacing w:line="480" w:lineRule="auto"/>
      </w:pPr>
    </w:p>
    <w:p w14:paraId="5CA09EF0" w14:textId="30A95E97" w:rsidR="0087440A" w:rsidRPr="00C832B2" w:rsidRDefault="0087440A" w:rsidP="0087440A">
      <w:pPr>
        <w:spacing w:line="480" w:lineRule="auto"/>
        <w:jc w:val="center"/>
        <w:rPr>
          <w:b/>
          <w:bCs/>
        </w:rPr>
      </w:pPr>
      <w:r w:rsidRPr="00C832B2">
        <w:rPr>
          <w:b/>
          <w:bCs/>
        </w:rPr>
        <w:t xml:space="preserve">A </w:t>
      </w:r>
      <w:r w:rsidR="00E54DF0" w:rsidRPr="00C832B2">
        <w:rPr>
          <w:b/>
          <w:bCs/>
        </w:rPr>
        <w:t>Pilot R</w:t>
      </w:r>
      <w:r w:rsidRPr="00C832B2">
        <w:rPr>
          <w:b/>
          <w:bCs/>
        </w:rPr>
        <w:t xml:space="preserve">andomized </w:t>
      </w:r>
      <w:r w:rsidR="00E54DF0" w:rsidRPr="00C832B2">
        <w:rPr>
          <w:b/>
          <w:bCs/>
        </w:rPr>
        <w:t>C</w:t>
      </w:r>
      <w:r w:rsidRPr="00C832B2">
        <w:rPr>
          <w:b/>
          <w:bCs/>
        </w:rPr>
        <w:t xml:space="preserve">ontrolled </w:t>
      </w:r>
      <w:r w:rsidR="00E54DF0" w:rsidRPr="00C832B2">
        <w:rPr>
          <w:b/>
          <w:bCs/>
        </w:rPr>
        <w:t>T</w:t>
      </w:r>
      <w:r w:rsidRPr="00C832B2">
        <w:rPr>
          <w:b/>
          <w:bCs/>
        </w:rPr>
        <w:t xml:space="preserve">rial of </w:t>
      </w:r>
      <w:r w:rsidR="00E54DF0" w:rsidRPr="00C832B2">
        <w:rPr>
          <w:b/>
          <w:bCs/>
        </w:rPr>
        <w:t>A</w:t>
      </w:r>
      <w:r w:rsidRPr="00C832B2">
        <w:rPr>
          <w:b/>
          <w:bCs/>
        </w:rPr>
        <w:t xml:space="preserve">cceptance and </w:t>
      </w:r>
      <w:r w:rsidR="00E54DF0" w:rsidRPr="00C832B2">
        <w:rPr>
          <w:b/>
          <w:bCs/>
        </w:rPr>
        <w:t>C</w:t>
      </w:r>
      <w:r w:rsidRPr="00C832B2">
        <w:rPr>
          <w:b/>
          <w:bCs/>
        </w:rPr>
        <w:t xml:space="preserve">ommitment </w:t>
      </w:r>
      <w:r w:rsidR="00E54DF0" w:rsidRPr="00C832B2">
        <w:rPr>
          <w:b/>
          <w:bCs/>
        </w:rPr>
        <w:t>T</w:t>
      </w:r>
      <w:r w:rsidRPr="00C832B2">
        <w:rPr>
          <w:b/>
          <w:bCs/>
        </w:rPr>
        <w:t xml:space="preserve">herapy </w:t>
      </w:r>
      <w:r w:rsidR="001D5437" w:rsidRPr="00C832B2">
        <w:rPr>
          <w:b/>
          <w:bCs/>
        </w:rPr>
        <w:t xml:space="preserve">Guided </w:t>
      </w:r>
      <w:r w:rsidR="00E54DF0" w:rsidRPr="00C832B2">
        <w:rPr>
          <w:b/>
          <w:bCs/>
        </w:rPr>
        <w:t>S</w:t>
      </w:r>
      <w:r w:rsidRPr="00C832B2">
        <w:rPr>
          <w:b/>
          <w:bCs/>
        </w:rPr>
        <w:t>elf-</w:t>
      </w:r>
      <w:r w:rsidR="00E54DF0" w:rsidRPr="00C832B2">
        <w:rPr>
          <w:b/>
          <w:bCs/>
        </w:rPr>
        <w:t>H</w:t>
      </w:r>
      <w:r w:rsidRPr="00C832B2">
        <w:rPr>
          <w:b/>
          <w:bCs/>
        </w:rPr>
        <w:t xml:space="preserve">elp for </w:t>
      </w:r>
      <w:r w:rsidR="00E54DF0" w:rsidRPr="00C832B2">
        <w:rPr>
          <w:b/>
          <w:bCs/>
        </w:rPr>
        <w:t>O</w:t>
      </w:r>
      <w:r w:rsidRPr="00C832B2">
        <w:rPr>
          <w:b/>
          <w:bCs/>
        </w:rPr>
        <w:t xml:space="preserve">verweight and </w:t>
      </w:r>
      <w:r w:rsidR="00E54DF0" w:rsidRPr="00C832B2">
        <w:rPr>
          <w:b/>
          <w:bCs/>
        </w:rPr>
        <w:t>O</w:t>
      </w:r>
      <w:r w:rsidRPr="00C832B2">
        <w:rPr>
          <w:b/>
          <w:bCs/>
        </w:rPr>
        <w:t xml:space="preserve">bese </w:t>
      </w:r>
      <w:r w:rsidR="00E54DF0" w:rsidRPr="00C832B2">
        <w:rPr>
          <w:b/>
          <w:bCs/>
        </w:rPr>
        <w:t>A</w:t>
      </w:r>
      <w:r w:rsidRPr="00C832B2">
        <w:rPr>
          <w:b/>
          <w:bCs/>
        </w:rPr>
        <w:t xml:space="preserve">dults </w:t>
      </w:r>
      <w:r w:rsidR="00E54DF0" w:rsidRPr="00C832B2">
        <w:rPr>
          <w:b/>
          <w:bCs/>
        </w:rPr>
        <w:t>H</w:t>
      </w:r>
      <w:r w:rsidRPr="00C832B2">
        <w:rPr>
          <w:b/>
          <w:bCs/>
        </w:rPr>
        <w:t xml:space="preserve">igh in </w:t>
      </w:r>
      <w:r w:rsidR="00E54DF0" w:rsidRPr="00C832B2">
        <w:rPr>
          <w:b/>
          <w:bCs/>
        </w:rPr>
        <w:t>W</w:t>
      </w:r>
      <w:r w:rsidRPr="00C832B2">
        <w:rPr>
          <w:b/>
          <w:bCs/>
        </w:rPr>
        <w:t xml:space="preserve">eight </w:t>
      </w:r>
      <w:r w:rsidR="00E54DF0" w:rsidRPr="00C832B2">
        <w:rPr>
          <w:b/>
          <w:bCs/>
        </w:rPr>
        <w:t>S</w:t>
      </w:r>
      <w:r w:rsidRPr="00C832B2">
        <w:rPr>
          <w:b/>
          <w:bCs/>
        </w:rPr>
        <w:t>elf-</w:t>
      </w:r>
      <w:r w:rsidR="00E54DF0" w:rsidRPr="00C832B2">
        <w:rPr>
          <w:b/>
          <w:bCs/>
        </w:rPr>
        <w:t>S</w:t>
      </w:r>
      <w:r w:rsidRPr="00C832B2">
        <w:rPr>
          <w:b/>
          <w:bCs/>
        </w:rPr>
        <w:t>tigma</w:t>
      </w:r>
    </w:p>
    <w:p w14:paraId="248D89E5" w14:textId="41D89697" w:rsidR="0035458D" w:rsidRDefault="0035458D" w:rsidP="0035458D">
      <w:pPr>
        <w:spacing w:line="480" w:lineRule="auto"/>
        <w:jc w:val="center"/>
        <w:rPr>
          <w:vertAlign w:val="superscript"/>
        </w:rPr>
      </w:pPr>
      <w:r w:rsidRPr="0087440A">
        <w:t>Sarah Potts, Jennifer Krafft &amp; Michael E. Levin</w:t>
      </w:r>
    </w:p>
    <w:p w14:paraId="167390AC" w14:textId="77777777" w:rsidR="0053504F" w:rsidRDefault="0053504F" w:rsidP="007F083D">
      <w:pPr>
        <w:spacing w:line="480" w:lineRule="auto"/>
      </w:pPr>
    </w:p>
    <w:p w14:paraId="6C088C0B" w14:textId="77777777" w:rsidR="0053504F" w:rsidRDefault="0053504F" w:rsidP="007F083D">
      <w:pPr>
        <w:spacing w:line="480" w:lineRule="auto"/>
      </w:pPr>
    </w:p>
    <w:p w14:paraId="0F02C0ED" w14:textId="77777777" w:rsidR="0053504F" w:rsidRDefault="0053504F" w:rsidP="007F083D">
      <w:pPr>
        <w:spacing w:line="480" w:lineRule="auto"/>
      </w:pPr>
    </w:p>
    <w:p w14:paraId="47C8F4CA" w14:textId="13D29CE8" w:rsidR="0053504F" w:rsidRDefault="0053504F" w:rsidP="007F083D">
      <w:pPr>
        <w:spacing w:line="480" w:lineRule="auto"/>
      </w:pPr>
    </w:p>
    <w:p w14:paraId="11DA1FDD" w14:textId="4E30B993" w:rsidR="0053504F" w:rsidRDefault="0053504F" w:rsidP="007F083D">
      <w:pPr>
        <w:spacing w:line="480" w:lineRule="auto"/>
      </w:pPr>
    </w:p>
    <w:p w14:paraId="3E4C24C7" w14:textId="77777777" w:rsidR="0053504F" w:rsidRDefault="0053504F" w:rsidP="007F083D">
      <w:pPr>
        <w:spacing w:line="480" w:lineRule="auto"/>
      </w:pPr>
    </w:p>
    <w:p w14:paraId="6506F34E" w14:textId="77777777" w:rsidR="0053504F" w:rsidRDefault="0053504F" w:rsidP="007F083D">
      <w:pPr>
        <w:spacing w:line="480" w:lineRule="auto"/>
      </w:pPr>
    </w:p>
    <w:p w14:paraId="72FEB16F" w14:textId="1663CA7B" w:rsidR="0087440A" w:rsidRDefault="0087440A" w:rsidP="007F083D">
      <w:pPr>
        <w:pStyle w:val="ListParagraph"/>
        <w:autoSpaceDE w:val="0"/>
        <w:autoSpaceDN w:val="0"/>
        <w:adjustRightInd w:val="0"/>
        <w:spacing w:line="480" w:lineRule="auto"/>
      </w:pPr>
      <w:r>
        <w:br w:type="page"/>
      </w:r>
    </w:p>
    <w:p w14:paraId="186D5757" w14:textId="3021C66D" w:rsidR="00C910D6" w:rsidRPr="00C57E76" w:rsidRDefault="00C910D6" w:rsidP="00C57E76">
      <w:pPr>
        <w:widowControl w:val="0"/>
        <w:spacing w:line="480" w:lineRule="auto"/>
        <w:jc w:val="center"/>
        <w:rPr>
          <w:b/>
        </w:rPr>
      </w:pPr>
      <w:r w:rsidRPr="00C57E76">
        <w:rPr>
          <w:b/>
        </w:rPr>
        <w:lastRenderedPageBreak/>
        <w:t>Abstract</w:t>
      </w:r>
    </w:p>
    <w:p w14:paraId="0A623FDC" w14:textId="6B21A834" w:rsidR="00C57E76" w:rsidRDefault="005F79F5" w:rsidP="00C832B2">
      <w:pPr>
        <w:widowControl w:val="0"/>
        <w:spacing w:line="480" w:lineRule="auto"/>
      </w:pPr>
      <w:r>
        <w:t>Weight self-stigma, in which individuals internalize stigmatizing messages about weight, is a prevalent problem that contributes to poor quality of life and health</w:t>
      </w:r>
      <w:r w:rsidR="00C910D6" w:rsidRPr="0087440A">
        <w:t xml:space="preserve">. </w:t>
      </w:r>
      <w:r>
        <w:t>This</w:t>
      </w:r>
      <w:r w:rsidR="001D5437">
        <w:t xml:space="preserve"> pilot</w:t>
      </w:r>
      <w:r>
        <w:t xml:space="preserve"> randomized controlled trial evaluated acceptance and commitment therapy (ACT)</w:t>
      </w:r>
      <w:r w:rsidR="001D5437">
        <w:t xml:space="preserve"> guided</w:t>
      </w:r>
      <w:r>
        <w:t xml:space="preserve"> self-help </w:t>
      </w:r>
      <w:r w:rsidR="001D5437">
        <w:t xml:space="preserve">using </w:t>
      </w:r>
      <w:r>
        <w:rPr>
          <w:i/>
        </w:rPr>
        <w:t xml:space="preserve">The Diet </w:t>
      </w:r>
      <w:r w:rsidRPr="005F79F5">
        <w:rPr>
          <w:i/>
        </w:rPr>
        <w:t>Trap</w:t>
      </w:r>
      <w:r w:rsidR="001D5437">
        <w:rPr>
          <w:i/>
        </w:rPr>
        <w:t xml:space="preserve"> </w:t>
      </w:r>
      <w:r w:rsidR="001D5437">
        <w:t>(</w:t>
      </w:r>
      <w:r w:rsidR="00FB7478" w:rsidRPr="00A829B3">
        <w:rPr>
          <w:color w:val="131413"/>
        </w:rPr>
        <w:t>Lillis, Dahl</w:t>
      </w:r>
      <w:r w:rsidR="001B313F">
        <w:rPr>
          <w:color w:val="131413"/>
        </w:rPr>
        <w:t>,</w:t>
      </w:r>
      <w:r w:rsidR="00FB7478">
        <w:rPr>
          <w:color w:val="131413"/>
        </w:rPr>
        <w:t xml:space="preserve"> </w:t>
      </w:r>
      <w:r w:rsidR="00FB7478" w:rsidRPr="00A829B3">
        <w:rPr>
          <w:color w:val="131413"/>
        </w:rPr>
        <w:t xml:space="preserve">&amp; </w:t>
      </w:r>
      <w:proofErr w:type="spellStart"/>
      <w:r w:rsidR="00FB7478" w:rsidRPr="00A829B3">
        <w:rPr>
          <w:color w:val="131413"/>
        </w:rPr>
        <w:t>Weineland</w:t>
      </w:r>
      <w:proofErr w:type="spellEnd"/>
      <w:r w:rsidR="00FB7478">
        <w:rPr>
          <w:color w:val="131413"/>
        </w:rPr>
        <w:t>, 2014</w:t>
      </w:r>
      <w:r w:rsidR="001D5437">
        <w:t>)</w:t>
      </w:r>
      <w:r>
        <w:t xml:space="preserve"> for 55 overweight/obese adults high in weight self-stigma. Participants were randomized to the ACT self-help book plus phone coaching (GSH-P; </w:t>
      </w:r>
      <w:r>
        <w:rPr>
          <w:i/>
        </w:rPr>
        <w:t>n</w:t>
      </w:r>
      <w:r>
        <w:t xml:space="preserve">=17), self-help book plus email prompts only (GSH-E; </w:t>
      </w:r>
      <w:r>
        <w:rPr>
          <w:i/>
        </w:rPr>
        <w:t>n</w:t>
      </w:r>
      <w:r>
        <w:t>=20), or a waitlist condition (</w:t>
      </w:r>
      <w:r>
        <w:rPr>
          <w:i/>
        </w:rPr>
        <w:t>n</w:t>
      </w:r>
      <w:r>
        <w:t>=18), with online self-report assessments at baseline and posttreatment (8 weeks later)</w:t>
      </w:r>
      <w:r w:rsidR="00C910D6" w:rsidRPr="0087440A">
        <w:t>.</w:t>
      </w:r>
      <w:r>
        <w:t xml:space="preserve"> Participants reported high satisfaction ratings and engagement with the ACT self-help book, with no difference</w:t>
      </w:r>
      <w:r w:rsidR="00C57E76">
        <w:t>s</w:t>
      </w:r>
      <w:r>
        <w:t xml:space="preserve"> between GSH-P and GSH-E. Both GSH-P and GSH-E improved weight self-stigma relative to waitlist with large effect sizes. </w:t>
      </w:r>
      <w:r w:rsidR="00C57E76">
        <w:t>The</w:t>
      </w:r>
      <w:r w:rsidR="00D45751">
        <w:t>re were mixed findings for health outcomes.</w:t>
      </w:r>
      <w:r w:rsidR="00C57E76">
        <w:t xml:space="preserve"> </w:t>
      </w:r>
      <w:r w:rsidR="00DE3C6B">
        <w:t xml:space="preserve">The </w:t>
      </w:r>
      <w:r w:rsidR="00C57E76">
        <w:t xml:space="preserve">GSH-P condition improved more on </w:t>
      </w:r>
      <w:r w:rsidR="00D45751" w:rsidRPr="00D45751">
        <w:t xml:space="preserve">healthy eating behaviors </w:t>
      </w:r>
      <w:r w:rsidR="00D45751">
        <w:t>and general physical activity, but n</w:t>
      </w:r>
      <w:r w:rsidR="00D45751" w:rsidRPr="00D45751">
        <w:t>either ACT cond</w:t>
      </w:r>
      <w:r w:rsidR="00D45751">
        <w:t>i</w:t>
      </w:r>
      <w:r w:rsidR="00D45751" w:rsidRPr="00D45751">
        <w:t xml:space="preserve">tion improved more than waitlist on self-reported </w:t>
      </w:r>
      <w:r w:rsidR="00D7264B">
        <w:t>body mass index</w:t>
      </w:r>
      <w:r w:rsidR="00D45751" w:rsidRPr="00D45751">
        <w:t xml:space="preserve">, emotional eating, and </w:t>
      </w:r>
      <w:r w:rsidR="00DE3C6B">
        <w:t>a second</w:t>
      </w:r>
      <w:r w:rsidR="00D45751">
        <w:t xml:space="preserve"> measure of physical activity</w:t>
      </w:r>
      <w:r w:rsidR="00C57E76">
        <w:t>.</w:t>
      </w:r>
      <w:r w:rsidR="00C910D6" w:rsidRPr="0087440A">
        <w:t xml:space="preserve"> </w:t>
      </w:r>
      <w:r w:rsidR="000F02BE" w:rsidRPr="0087440A">
        <w:t xml:space="preserve">Results suggest </w:t>
      </w:r>
      <w:r w:rsidR="00D45751">
        <w:t xml:space="preserve">an </w:t>
      </w:r>
      <w:r w:rsidR="00C05009" w:rsidRPr="0087440A">
        <w:t xml:space="preserve">ACT </w:t>
      </w:r>
      <w:r w:rsidR="000F02BE" w:rsidRPr="0087440A">
        <w:t xml:space="preserve">self-help </w:t>
      </w:r>
      <w:r w:rsidR="00D45751">
        <w:t>book</w:t>
      </w:r>
      <w:r w:rsidR="00714802">
        <w:t xml:space="preserve"> with email prompts</w:t>
      </w:r>
      <w:r w:rsidR="00D45751">
        <w:t xml:space="preserve"> can reduce weight self-stigma and potentially improve some health behavior outcomes. Phone coaching </w:t>
      </w:r>
      <w:r w:rsidR="00E15287">
        <w:t xml:space="preserve">may </w:t>
      </w:r>
      <w:r w:rsidR="00D45751">
        <w:t>provid</w:t>
      </w:r>
      <w:r w:rsidR="00E15287">
        <w:t>e</w:t>
      </w:r>
      <w:r w:rsidR="00D45751">
        <w:t xml:space="preserve"> additional benefits for generalizing ACT to diet and physical activity. </w:t>
      </w:r>
    </w:p>
    <w:p w14:paraId="53CB3FA4" w14:textId="2D23C744" w:rsidR="00C910D6" w:rsidRPr="0087440A" w:rsidRDefault="00C57E76" w:rsidP="00C57E76">
      <w:pPr>
        <w:widowControl w:val="0"/>
        <w:spacing w:line="480" w:lineRule="auto"/>
        <w:ind w:firstLine="720"/>
      </w:pPr>
      <w:r>
        <w:rPr>
          <w:i/>
        </w:rPr>
        <w:t xml:space="preserve">Keywords: </w:t>
      </w:r>
      <w:r>
        <w:t>acceptance and commitment therapy, mindfulness, obesity, overweight, stigma.</w:t>
      </w:r>
      <w:r w:rsidR="000F02BE" w:rsidRPr="0087440A">
        <w:t xml:space="preserve"> </w:t>
      </w:r>
    </w:p>
    <w:p w14:paraId="7A734E08" w14:textId="77777777" w:rsidR="00462A25" w:rsidRPr="0087440A" w:rsidRDefault="00462A25" w:rsidP="0087440A">
      <w:r w:rsidRPr="0087440A">
        <w:br w:type="page"/>
      </w:r>
    </w:p>
    <w:p w14:paraId="2EEBC5E0" w14:textId="2E978085" w:rsidR="00E54DF0" w:rsidRPr="00C832B2" w:rsidRDefault="00E54DF0" w:rsidP="00E54DF0">
      <w:pPr>
        <w:spacing w:line="480" w:lineRule="auto"/>
        <w:jc w:val="center"/>
        <w:rPr>
          <w:b/>
          <w:bCs/>
        </w:rPr>
      </w:pPr>
      <w:r w:rsidRPr="00C832B2">
        <w:rPr>
          <w:b/>
          <w:bCs/>
        </w:rPr>
        <w:lastRenderedPageBreak/>
        <w:t xml:space="preserve">A Pilot Randomized Controlled Trial of Acceptance and Commitment Therapy </w:t>
      </w:r>
      <w:r w:rsidR="001D5437" w:rsidRPr="00C832B2">
        <w:rPr>
          <w:b/>
          <w:bCs/>
        </w:rPr>
        <w:t xml:space="preserve">Guided </w:t>
      </w:r>
      <w:r w:rsidRPr="00C832B2">
        <w:rPr>
          <w:b/>
          <w:bCs/>
        </w:rPr>
        <w:t>Self-Help for Overweight and Obese Adults High in Weight Self-Stigma</w:t>
      </w:r>
    </w:p>
    <w:p w14:paraId="220D0DA9" w14:textId="4AAC705D" w:rsidR="009F52AF" w:rsidRPr="00A829B3" w:rsidRDefault="000E7B44" w:rsidP="004B0F4B">
      <w:pPr>
        <w:widowControl w:val="0"/>
        <w:spacing w:line="480" w:lineRule="auto"/>
        <w:ind w:firstLine="720"/>
      </w:pPr>
      <w:r w:rsidRPr="00A829B3">
        <w:t xml:space="preserve">Overweight and obese individuals experience chronic, pervasive </w:t>
      </w:r>
      <w:r w:rsidR="00ED6F8E" w:rsidRPr="00A829B3">
        <w:t xml:space="preserve">stigma, which is a significant contributor to poor health outcomes </w:t>
      </w:r>
      <w:r w:rsidRPr="00A829B3">
        <w:t>(</w:t>
      </w:r>
      <w:proofErr w:type="spellStart"/>
      <w:r w:rsidR="00ED6F8E" w:rsidRPr="00A829B3">
        <w:t>Puhl</w:t>
      </w:r>
      <w:proofErr w:type="spellEnd"/>
      <w:r w:rsidR="00ED6F8E" w:rsidRPr="00A829B3">
        <w:t xml:space="preserve"> &amp; Heuer, 2010</w:t>
      </w:r>
      <w:r w:rsidRPr="00A829B3">
        <w:t xml:space="preserve">). </w:t>
      </w:r>
      <w:r w:rsidR="00ED6F8E" w:rsidRPr="00A829B3">
        <w:t>The</w:t>
      </w:r>
      <w:r w:rsidRPr="00A829B3">
        <w:t xml:space="preserve"> negative consequences </w:t>
      </w:r>
      <w:r w:rsidR="00ED6F8E" w:rsidRPr="00A829B3">
        <w:t xml:space="preserve">of stigma </w:t>
      </w:r>
      <w:r w:rsidRPr="00A829B3">
        <w:t>are further worsened among overweight and obese individuals who internalize and apply stigmatizing attitudes to themselves, a process called weight self-stigma</w:t>
      </w:r>
      <w:r w:rsidR="000F1C7D" w:rsidRPr="00A829B3">
        <w:t xml:space="preserve"> (Lillis</w:t>
      </w:r>
      <w:r w:rsidR="00300001">
        <w:t xml:space="preserve"> et al.</w:t>
      </w:r>
      <w:r w:rsidR="000F1C7D" w:rsidRPr="00A829B3">
        <w:t>, 2010)</w:t>
      </w:r>
      <w:r w:rsidRPr="00A829B3">
        <w:t xml:space="preserve">. </w:t>
      </w:r>
      <w:r w:rsidR="00DE3C6B" w:rsidRPr="00A829B3">
        <w:t xml:space="preserve">Research indicates that the negative effects of weight stigmatization from others </w:t>
      </w:r>
      <w:r w:rsidR="00DE3C6B">
        <w:t>are</w:t>
      </w:r>
      <w:r w:rsidR="00DE3C6B" w:rsidRPr="00A829B3">
        <w:t xml:space="preserve"> mediated by weight self-stigma (e.g., </w:t>
      </w:r>
      <w:proofErr w:type="spellStart"/>
      <w:r w:rsidR="00DE3C6B" w:rsidRPr="00A829B3">
        <w:t>Durso</w:t>
      </w:r>
      <w:proofErr w:type="spellEnd"/>
      <w:r w:rsidR="00300001">
        <w:t xml:space="preserve"> et al., </w:t>
      </w:r>
      <w:r w:rsidR="00DE3C6B" w:rsidRPr="00A829B3">
        <w:t>2012; O’Brien et al., 2016)</w:t>
      </w:r>
      <w:r w:rsidR="00DE3C6B">
        <w:t>, suggesting that self-stigmatization is a particularly critical factor</w:t>
      </w:r>
      <w:r w:rsidR="00DE3C6B" w:rsidRPr="00A829B3">
        <w:t xml:space="preserve">. </w:t>
      </w:r>
      <w:r w:rsidR="00F54C6A">
        <w:t>A review of the research indicates that w</w:t>
      </w:r>
      <w:r w:rsidRPr="00A829B3">
        <w:t>eight self-stigma</w:t>
      </w:r>
      <w:r w:rsidR="00A74A33" w:rsidRPr="00A829B3">
        <w:t xml:space="preserve"> </w:t>
      </w:r>
      <w:r w:rsidR="000F1C7D" w:rsidRPr="00A829B3">
        <w:t>leads</w:t>
      </w:r>
      <w:r w:rsidR="00F86249" w:rsidRPr="00A829B3">
        <w:t xml:space="preserve"> to decreased </w:t>
      </w:r>
      <w:r w:rsidR="000F1C7D" w:rsidRPr="00A829B3">
        <w:t>health-related quality of life and poorer mental health</w:t>
      </w:r>
      <w:r w:rsidR="00384253">
        <w:t>,</w:t>
      </w:r>
      <w:r w:rsidR="000F1C7D" w:rsidRPr="00A829B3">
        <w:t xml:space="preserve"> as well as </w:t>
      </w:r>
      <w:r w:rsidR="00DE3C6B">
        <w:t>behaviors further</w:t>
      </w:r>
      <w:r w:rsidR="000F1C7D" w:rsidRPr="00A829B3">
        <w:t xml:space="preserve"> contributing to weight</w:t>
      </w:r>
      <w:r w:rsidR="00384253">
        <w:t>,</w:t>
      </w:r>
      <w:r w:rsidR="000F1C7D" w:rsidRPr="00A829B3">
        <w:t xml:space="preserve"> including lower physical activity, </w:t>
      </w:r>
      <w:r w:rsidR="00384253">
        <w:t>higher rates of</w:t>
      </w:r>
      <w:r w:rsidR="00384253" w:rsidRPr="00A829B3">
        <w:t xml:space="preserve"> </w:t>
      </w:r>
      <w:r w:rsidR="000F1C7D" w:rsidRPr="00A829B3">
        <w:t>disordered eating, and poorer response to behavioral weight</w:t>
      </w:r>
      <w:r w:rsidR="00384253">
        <w:t>-</w:t>
      </w:r>
      <w:r w:rsidR="000F1C7D" w:rsidRPr="00A829B3">
        <w:t>loss interventions (</w:t>
      </w:r>
      <w:r w:rsidR="00F86249" w:rsidRPr="00A829B3">
        <w:rPr>
          <w:noProof/>
        </w:rPr>
        <w:t>Pearl &amp; Puhl, 2018)</w:t>
      </w:r>
      <w:r w:rsidR="004B0F4B" w:rsidRPr="00A829B3">
        <w:t xml:space="preserve">. </w:t>
      </w:r>
      <w:r w:rsidR="00DB7AE2">
        <w:t>W</w:t>
      </w:r>
      <w:r w:rsidR="00A74A33" w:rsidRPr="00A829B3">
        <w:t xml:space="preserve">eight self-stigma creates a vicious cycle in which stigmatized individuals engage in maladaptive behaviors (e.g. exercise avoidance, </w:t>
      </w:r>
      <w:r w:rsidR="0041340C" w:rsidRPr="00A829B3">
        <w:t>disordered eating</w:t>
      </w:r>
      <w:r w:rsidR="00A74A33" w:rsidRPr="00A829B3">
        <w:t xml:space="preserve">) </w:t>
      </w:r>
      <w:proofErr w:type="gramStart"/>
      <w:r w:rsidR="00A74A33" w:rsidRPr="00A829B3">
        <w:t>in an attempt to</w:t>
      </w:r>
      <w:proofErr w:type="gramEnd"/>
      <w:r w:rsidR="00A74A33" w:rsidRPr="00A829B3">
        <w:t xml:space="preserve"> avoid negative thoughts and emotions related to their stigma</w:t>
      </w:r>
      <w:r w:rsidR="0041340C" w:rsidRPr="00A829B3">
        <w:t xml:space="preserve"> (Tomiyama, 2014)</w:t>
      </w:r>
      <w:r w:rsidR="00A74A33" w:rsidRPr="00A829B3">
        <w:t>. L</w:t>
      </w:r>
      <w:r w:rsidR="004B0F4B" w:rsidRPr="00A829B3">
        <w:t xml:space="preserve">arge-scale epidemiological research indicates that </w:t>
      </w:r>
      <w:r w:rsidR="0041340C" w:rsidRPr="00A829B3">
        <w:t>weight self-stigma is a common process</w:t>
      </w:r>
      <w:r w:rsidR="004B0F4B" w:rsidRPr="00A829B3">
        <w:t xml:space="preserve">, being </w:t>
      </w:r>
      <w:r w:rsidR="009F52AF" w:rsidRPr="00A829B3">
        <w:t xml:space="preserve">observed in </w:t>
      </w:r>
      <w:r w:rsidR="00A74A33" w:rsidRPr="00A829B3">
        <w:t xml:space="preserve">approximately 40% of overweight and </w:t>
      </w:r>
      <w:r w:rsidR="009F52AF" w:rsidRPr="00A829B3">
        <w:t>obese adults</w:t>
      </w:r>
      <w:r w:rsidR="00A74A33" w:rsidRPr="00A829B3">
        <w:t xml:space="preserve"> (</w:t>
      </w:r>
      <w:proofErr w:type="spellStart"/>
      <w:r w:rsidR="00A74A33" w:rsidRPr="00A829B3">
        <w:t>Puh</w:t>
      </w:r>
      <w:r w:rsidR="00300001">
        <w:t>l</w:t>
      </w:r>
      <w:proofErr w:type="spellEnd"/>
      <w:r w:rsidR="00300001">
        <w:t xml:space="preserve"> et al.</w:t>
      </w:r>
      <w:r w:rsidR="00A74A33" w:rsidRPr="00A829B3">
        <w:t>, 2018)</w:t>
      </w:r>
      <w:r w:rsidR="009F52AF" w:rsidRPr="00A829B3">
        <w:t>.</w:t>
      </w:r>
      <w:r w:rsidR="00F8020E" w:rsidRPr="00A829B3">
        <w:rPr>
          <w:vertAlign w:val="superscript"/>
        </w:rPr>
        <w:t xml:space="preserve"> </w:t>
      </w:r>
      <w:r w:rsidR="00F8020E" w:rsidRPr="00A829B3">
        <w:t>Thus, weight self-stigma is a prevalent</w:t>
      </w:r>
      <w:r w:rsidR="00F8020E" w:rsidRPr="00A829B3">
        <w:rPr>
          <w:vertAlign w:val="superscript"/>
        </w:rPr>
        <w:t xml:space="preserve"> </w:t>
      </w:r>
      <w:r w:rsidR="00F8020E" w:rsidRPr="00A829B3">
        <w:t xml:space="preserve">and toxic psychological process that contributes to poor health outcomes among overweight and obese individuals. </w:t>
      </w:r>
    </w:p>
    <w:p w14:paraId="49F767B3" w14:textId="5BFABEEC" w:rsidR="004B0F4B" w:rsidRPr="00A829B3" w:rsidRDefault="00F8020E" w:rsidP="0087440A">
      <w:pPr>
        <w:widowControl w:val="0"/>
        <w:spacing w:line="480" w:lineRule="auto"/>
        <w:ind w:firstLine="720"/>
      </w:pPr>
      <w:r w:rsidRPr="00A829B3">
        <w:t xml:space="preserve">Despite </w:t>
      </w:r>
      <w:r w:rsidR="00F86249" w:rsidRPr="00A829B3">
        <w:t>its</w:t>
      </w:r>
      <w:r w:rsidRPr="00A829B3">
        <w:t xml:space="preserve"> prevalence and consequences, there </w:t>
      </w:r>
      <w:r w:rsidR="00F86249" w:rsidRPr="00A829B3">
        <w:t>are notably few</w:t>
      </w:r>
      <w:r w:rsidRPr="00A829B3">
        <w:t xml:space="preserve"> evidence-based interventions for weight self-stigma</w:t>
      </w:r>
      <w:r w:rsidR="00F86249" w:rsidRPr="00A829B3">
        <w:t xml:space="preserve"> (</w:t>
      </w:r>
      <w:r w:rsidR="00F86249" w:rsidRPr="00A829B3">
        <w:rPr>
          <w:noProof/>
        </w:rPr>
        <w:t>Pearl &amp; Puhl, 2018)</w:t>
      </w:r>
      <w:r w:rsidRPr="00A829B3">
        <w:t>. To-date, the most studied treatment is acceptance and commitment therapy (ACT; Hayes</w:t>
      </w:r>
      <w:r w:rsidR="00300001">
        <w:t xml:space="preserve"> et al.</w:t>
      </w:r>
      <w:r w:rsidRPr="00A829B3">
        <w:t>, 2012)</w:t>
      </w:r>
      <w:r w:rsidR="0041340C" w:rsidRPr="00A829B3">
        <w:t>, a moder</w:t>
      </w:r>
      <w:r w:rsidR="00EE47A8" w:rsidRPr="00A829B3">
        <w:t xml:space="preserve">n cognitive behavioral therapy that has been found effective for treating a wide range of behavioral health concerns in </w:t>
      </w:r>
      <w:r w:rsidR="00443DF3">
        <w:lastRenderedPageBreak/>
        <w:t xml:space="preserve">well </w:t>
      </w:r>
      <w:r w:rsidR="00EE47A8" w:rsidRPr="00A829B3">
        <w:t>over 300 randomized controlled trials (</w:t>
      </w:r>
      <w:r w:rsidR="00404469" w:rsidRPr="00A829B3">
        <w:t xml:space="preserve">RCTs; </w:t>
      </w:r>
      <w:r w:rsidR="00EE47A8" w:rsidRPr="00A829B3">
        <w:t>ACBS, 20</w:t>
      </w:r>
      <w:r w:rsidR="00443DF3">
        <w:t>20</w:t>
      </w:r>
      <w:r w:rsidR="00EE47A8" w:rsidRPr="00A829B3">
        <w:t>)</w:t>
      </w:r>
      <w:r w:rsidRPr="00A829B3">
        <w:t xml:space="preserve">. </w:t>
      </w:r>
      <w:r w:rsidR="00EE47A8" w:rsidRPr="00A829B3">
        <w:t>ACT is designed to reduce psychological inflexibility</w:t>
      </w:r>
      <w:r w:rsidR="00685305">
        <w:t xml:space="preserve">, </w:t>
      </w:r>
      <w:r w:rsidR="00EE47A8" w:rsidRPr="00A829B3">
        <w:t>a transdiagnostic pathological process in which behavior is rigidly guided by internal experiences (e.g., cognitions, affect, cravings), or attempts to avoid internal experiences, rather than values or direct contingencies</w:t>
      </w:r>
      <w:r w:rsidR="00F54C6A">
        <w:t xml:space="preserve"> (Hayes et al., 2012)</w:t>
      </w:r>
      <w:r w:rsidR="00EE47A8" w:rsidRPr="00A829B3">
        <w:t>. Research has found ACT to be effective for improving weight management</w:t>
      </w:r>
      <w:r w:rsidR="00586FB5" w:rsidRPr="00A829B3">
        <w:t xml:space="preserve"> and associated health behaviors</w:t>
      </w:r>
      <w:r w:rsidR="00EE47A8" w:rsidRPr="00A829B3">
        <w:t xml:space="preserve"> (</w:t>
      </w:r>
      <w:r w:rsidR="00586FB5" w:rsidRPr="00A829B3">
        <w:t>Forman</w:t>
      </w:r>
      <w:r w:rsidR="00300001">
        <w:t xml:space="preserve"> et al.</w:t>
      </w:r>
      <w:r w:rsidR="00586FB5" w:rsidRPr="00A829B3">
        <w:t>, 2015; Lillis &amp; Kendra, 2014</w:t>
      </w:r>
      <w:r w:rsidR="00EE47A8" w:rsidRPr="00A829B3">
        <w:t>)</w:t>
      </w:r>
      <w:r w:rsidR="00384253">
        <w:t xml:space="preserve">, which </w:t>
      </w:r>
      <w:r w:rsidR="00EE47A8" w:rsidRPr="00A829B3">
        <w:t>are mediated by reductions in psychological inflexibility (</w:t>
      </w:r>
      <w:r w:rsidR="00D478D5" w:rsidRPr="00A829B3">
        <w:t>e.g., Lillis</w:t>
      </w:r>
      <w:r w:rsidR="00300001">
        <w:t xml:space="preserve"> et al., </w:t>
      </w:r>
      <w:r w:rsidR="00D478D5" w:rsidRPr="00A829B3">
        <w:t>2009; Schumacher</w:t>
      </w:r>
      <w:r w:rsidR="00300001">
        <w:t xml:space="preserve"> et al.</w:t>
      </w:r>
      <w:r w:rsidR="00D478D5" w:rsidRPr="00A829B3">
        <w:t>, 2019</w:t>
      </w:r>
      <w:r w:rsidR="00EE47A8" w:rsidRPr="00A829B3">
        <w:t xml:space="preserve">). </w:t>
      </w:r>
    </w:p>
    <w:p w14:paraId="6BE93D29" w14:textId="3D7B5507" w:rsidR="00404469" w:rsidRPr="00A829B3" w:rsidRDefault="006F0D18" w:rsidP="0041340C">
      <w:pPr>
        <w:widowControl w:val="0"/>
        <w:spacing w:line="480" w:lineRule="auto"/>
        <w:ind w:firstLine="720"/>
      </w:pPr>
      <w:r w:rsidRPr="00A829B3">
        <w:t>ACT theoretically applies well to weight self-stigma, teaching acceptance and mindfulness skills that reduce the harmful effects of self-stigma</w:t>
      </w:r>
      <w:r w:rsidR="00DB7AE2">
        <w:t>tizing thoughts and feelings</w:t>
      </w:r>
      <w:r w:rsidRPr="00A829B3">
        <w:t>, while using values to increase more adaptive motivators for meaningful behavior change</w:t>
      </w:r>
      <w:r w:rsidR="00EE47A8" w:rsidRPr="00A829B3">
        <w:t>. Two</w:t>
      </w:r>
      <w:r w:rsidR="0041340C" w:rsidRPr="00A829B3">
        <w:t xml:space="preserve"> previous </w:t>
      </w:r>
      <w:proofErr w:type="gramStart"/>
      <w:r w:rsidR="00DB7AE2">
        <w:t>waitlist</w:t>
      </w:r>
      <w:proofErr w:type="gramEnd"/>
      <w:r w:rsidR="00DB7AE2">
        <w:t xml:space="preserve"> controlled </w:t>
      </w:r>
      <w:r w:rsidR="00404469" w:rsidRPr="00A829B3">
        <w:t>RCTs</w:t>
      </w:r>
      <w:r w:rsidR="0041340C" w:rsidRPr="00A829B3">
        <w:t xml:space="preserve"> have </w:t>
      </w:r>
      <w:r w:rsidR="00404469" w:rsidRPr="00A829B3">
        <w:t xml:space="preserve">evaluated ACT for weight self-stigma among overweight and obese adults, </w:t>
      </w:r>
      <w:r w:rsidR="00DB7AE2">
        <w:t>using</w:t>
      </w:r>
      <w:r w:rsidR="00404469" w:rsidRPr="00A829B3">
        <w:t xml:space="preserve"> </w:t>
      </w:r>
      <w:r w:rsidR="0041340C" w:rsidRPr="00A829B3">
        <w:t xml:space="preserve">a one-day </w:t>
      </w:r>
      <w:r w:rsidR="00404469" w:rsidRPr="00A829B3">
        <w:t>ACT workshop (Lillis et al., 2009)</w:t>
      </w:r>
      <w:r w:rsidR="0041340C" w:rsidRPr="00A829B3">
        <w:t xml:space="preserve"> and a 10-week </w:t>
      </w:r>
      <w:r w:rsidR="00404469" w:rsidRPr="00A829B3">
        <w:t xml:space="preserve">ACT </w:t>
      </w:r>
      <w:r w:rsidR="0041340C" w:rsidRPr="00A829B3">
        <w:t>group</w:t>
      </w:r>
      <w:r w:rsidR="00404469" w:rsidRPr="00A829B3">
        <w:t xml:space="preserve"> </w:t>
      </w:r>
      <w:r w:rsidR="00DB7AE2">
        <w:t xml:space="preserve">format </w:t>
      </w:r>
      <w:r w:rsidR="00404469" w:rsidRPr="00A829B3">
        <w:t>(</w:t>
      </w:r>
      <w:proofErr w:type="spellStart"/>
      <w:r w:rsidR="00404469" w:rsidRPr="00A829B3">
        <w:t>Palmeira</w:t>
      </w:r>
      <w:proofErr w:type="spellEnd"/>
      <w:r w:rsidR="00300001">
        <w:t xml:space="preserve"> et al.</w:t>
      </w:r>
      <w:r w:rsidR="00404469" w:rsidRPr="00A829B3">
        <w:t>, 2017)</w:t>
      </w:r>
      <w:r w:rsidR="0041340C" w:rsidRPr="00A829B3">
        <w:t xml:space="preserve">. </w:t>
      </w:r>
      <w:r w:rsidR="00404469" w:rsidRPr="00A829B3">
        <w:t xml:space="preserve">Both </w:t>
      </w:r>
      <w:r w:rsidR="00B2308F" w:rsidRPr="00A829B3">
        <w:t>RCTs</w:t>
      </w:r>
      <w:r w:rsidR="00404469" w:rsidRPr="00A829B3">
        <w:t xml:space="preserve"> found that relative to waitlist, ACT significantly reduced weight self-stigma, improved </w:t>
      </w:r>
      <w:r w:rsidR="00F474AB" w:rsidRPr="00A829B3">
        <w:t xml:space="preserve">mental health and quality of life, improved eating behaviors, and decreased body mass index (BMI; Lillis et al., 2009; </w:t>
      </w:r>
      <w:proofErr w:type="spellStart"/>
      <w:r w:rsidR="00F474AB" w:rsidRPr="00A829B3">
        <w:t>Palmeira</w:t>
      </w:r>
      <w:proofErr w:type="spellEnd"/>
      <w:r w:rsidR="00F474AB" w:rsidRPr="00A829B3">
        <w:t xml:space="preserve"> et al., 2017)</w:t>
      </w:r>
      <w:r w:rsidR="00404469" w:rsidRPr="00A829B3">
        <w:t xml:space="preserve">. </w:t>
      </w:r>
      <w:r w:rsidR="002753A5">
        <w:t>These studies evaluated ACT delivered in-person by trained therapists.</w:t>
      </w:r>
    </w:p>
    <w:p w14:paraId="3414AA33" w14:textId="7E2756EF" w:rsidR="0041340C" w:rsidRPr="00A829B3" w:rsidRDefault="00404469" w:rsidP="0087440A">
      <w:pPr>
        <w:widowControl w:val="0"/>
        <w:spacing w:line="480" w:lineRule="auto"/>
        <w:ind w:firstLine="720"/>
      </w:pPr>
      <w:r w:rsidRPr="00A829B3">
        <w:t xml:space="preserve">Although ACT is a promising treatment for weight self-stigma, these protocols require a trained </w:t>
      </w:r>
      <w:r w:rsidR="002753A5">
        <w:t xml:space="preserve">therapist </w:t>
      </w:r>
      <w:r w:rsidR="00DE3C6B">
        <w:t>(or comparable provider with expertise)</w:t>
      </w:r>
      <w:r w:rsidRPr="00A829B3">
        <w:t xml:space="preserve"> to deliver in-person services, which might limit the reach of services </w:t>
      </w:r>
      <w:r w:rsidR="00B2308F" w:rsidRPr="00A829B3">
        <w:t>to those who would benefit from ACT</w:t>
      </w:r>
      <w:r w:rsidRPr="00A829B3">
        <w:t xml:space="preserve">. </w:t>
      </w:r>
      <w:r w:rsidR="00B2308F" w:rsidRPr="00A829B3">
        <w:t>For example, the prevalence of weight self-stigma (</w:t>
      </w:r>
      <w:proofErr w:type="spellStart"/>
      <w:r w:rsidR="00B2308F" w:rsidRPr="00A829B3">
        <w:t>Puhl</w:t>
      </w:r>
      <w:proofErr w:type="spellEnd"/>
      <w:r w:rsidR="00B2308F" w:rsidRPr="00A829B3">
        <w:t xml:space="preserve"> et al., 2018) suggests that many more individuals would benefit from interventions than there are likely </w:t>
      </w:r>
      <w:r w:rsidR="00223E6E" w:rsidRPr="00A829B3">
        <w:t xml:space="preserve">to be </w:t>
      </w:r>
      <w:r w:rsidR="00B2308F" w:rsidRPr="00A829B3">
        <w:t>available</w:t>
      </w:r>
      <w:r w:rsidR="00C45CCC">
        <w:t xml:space="preserve"> </w:t>
      </w:r>
      <w:r w:rsidR="00B2308F" w:rsidRPr="00A829B3">
        <w:t>trained psychologists. Furthermore, many of the contact points for weight-related services do not</w:t>
      </w:r>
      <w:r w:rsidR="002753A5">
        <w:t xml:space="preserve"> necessarily</w:t>
      </w:r>
      <w:r w:rsidR="00B2308F" w:rsidRPr="00A829B3">
        <w:t xml:space="preserve"> include psychologists</w:t>
      </w:r>
      <w:r w:rsidR="002753A5">
        <w:t xml:space="preserve"> (e.g.,</w:t>
      </w:r>
      <w:r w:rsidR="00433D14" w:rsidRPr="00433D14">
        <w:t xml:space="preserve"> </w:t>
      </w:r>
      <w:bookmarkStart w:id="0" w:name="_Hlk46829923"/>
      <w:r w:rsidR="00433D14">
        <w:t xml:space="preserve">dietary education, bariatric surgery, weight loss medications, exercise </w:t>
      </w:r>
      <w:r w:rsidR="00433D14">
        <w:lastRenderedPageBreak/>
        <w:t>classes, commercial weight loss programs, self-help groups</w:t>
      </w:r>
      <w:bookmarkEnd w:id="0"/>
      <w:r w:rsidR="00433D14">
        <w:t>)</w:t>
      </w:r>
      <w:r w:rsidR="00B2308F" w:rsidRPr="00A829B3">
        <w:t>, which further reduces reach. In additio</w:t>
      </w:r>
      <w:r w:rsidR="0066664F" w:rsidRPr="00A829B3">
        <w:t xml:space="preserve">n, clients struggling with </w:t>
      </w:r>
      <w:r w:rsidR="00B2308F" w:rsidRPr="00A829B3">
        <w:t>stigma may be reticent to seek in-</w:t>
      </w:r>
      <w:r w:rsidR="0066664F" w:rsidRPr="00A829B3">
        <w:t>person services (e.g., Levin</w:t>
      </w:r>
      <w:r w:rsidR="00300001">
        <w:t xml:space="preserve"> et al.</w:t>
      </w:r>
      <w:r w:rsidR="0066664F" w:rsidRPr="00A829B3">
        <w:t>, 2018)</w:t>
      </w:r>
      <w:r w:rsidR="00B2308F" w:rsidRPr="00A829B3">
        <w:t xml:space="preserve">. </w:t>
      </w:r>
      <w:r w:rsidR="00223E6E" w:rsidRPr="00A829B3">
        <w:t>Alternate treatment modalities may be needed to</w:t>
      </w:r>
      <w:r w:rsidR="00DB7AE2">
        <w:t xml:space="preserve"> fully</w:t>
      </w:r>
      <w:r w:rsidR="00223E6E" w:rsidRPr="00A829B3">
        <w:t xml:space="preserve"> address the public health challenges of weight self-stigma. </w:t>
      </w:r>
    </w:p>
    <w:p w14:paraId="6CAE24F3" w14:textId="463F0B35" w:rsidR="00CC2980" w:rsidRPr="00A829B3" w:rsidRDefault="00B2308F" w:rsidP="0087440A">
      <w:pPr>
        <w:widowControl w:val="0"/>
        <w:spacing w:line="480" w:lineRule="auto"/>
        <w:ind w:firstLine="720"/>
      </w:pPr>
      <w:r w:rsidRPr="00A829B3">
        <w:t>Self-help books provide a promising alternative modality for providing ACT for we</w:t>
      </w:r>
      <w:r w:rsidR="004F2016" w:rsidRPr="00A829B3">
        <w:t xml:space="preserve">ight self-stigma. These books allow for patients to learn ACT at their own pace, at a low cost, </w:t>
      </w:r>
      <w:r w:rsidR="00384253">
        <w:t>in their own living environment</w:t>
      </w:r>
      <w:r w:rsidR="004F2016" w:rsidRPr="00A829B3">
        <w:t>, in a private, anonymous format, and without requiring the resources and availability of a trained provider</w:t>
      </w:r>
      <w:r w:rsidRPr="00A829B3">
        <w:t xml:space="preserve">. </w:t>
      </w:r>
      <w:r w:rsidR="00866385" w:rsidRPr="00A829B3">
        <w:t>Recently, a</w:t>
      </w:r>
      <w:r w:rsidR="00C45CCC">
        <w:t xml:space="preserve"> </w:t>
      </w:r>
      <w:r w:rsidR="00866385" w:rsidRPr="00A829B3">
        <w:t>pilot</w:t>
      </w:r>
      <w:r w:rsidR="00C45CCC">
        <w:t xml:space="preserve"> open trial</w:t>
      </w:r>
      <w:r w:rsidR="00866385" w:rsidRPr="00A829B3">
        <w:t xml:space="preserve"> </w:t>
      </w:r>
      <w:r w:rsidR="00CC2980" w:rsidRPr="00A829B3">
        <w:t>evaluated an</w:t>
      </w:r>
      <w:r w:rsidR="00F54586" w:rsidRPr="00A829B3">
        <w:t xml:space="preserve"> </w:t>
      </w:r>
      <w:r w:rsidR="00CC2980" w:rsidRPr="00A829B3">
        <w:t xml:space="preserve">ACT </w:t>
      </w:r>
      <w:r w:rsidR="00866385" w:rsidRPr="00A829B3">
        <w:t xml:space="preserve">guided self-help intervention </w:t>
      </w:r>
      <w:r w:rsidR="00CC2980" w:rsidRPr="00A829B3">
        <w:t>for weight self-stigma</w:t>
      </w:r>
      <w:r w:rsidR="00866385" w:rsidRPr="00A829B3">
        <w:t xml:space="preserve"> (</w:t>
      </w:r>
      <w:r w:rsidRPr="00A829B3">
        <w:rPr>
          <w:i/>
        </w:rPr>
        <w:t>citation removed for blind review</w:t>
      </w:r>
      <w:r w:rsidR="00866385" w:rsidRPr="00A829B3">
        <w:t xml:space="preserve">). </w:t>
      </w:r>
      <w:r w:rsidR="004069E3" w:rsidRPr="00A829B3">
        <w:t xml:space="preserve">Participants </w:t>
      </w:r>
      <w:r w:rsidR="00F54586" w:rsidRPr="00A829B3">
        <w:t>read</w:t>
      </w:r>
      <w:r w:rsidR="004069E3" w:rsidRPr="00A829B3">
        <w:t xml:space="preserve"> a self-help ACT book </w:t>
      </w:r>
      <w:r w:rsidR="000F7A70">
        <w:t xml:space="preserve">called </w:t>
      </w:r>
      <w:r w:rsidR="004069E3" w:rsidRPr="00A829B3">
        <w:rPr>
          <w:i/>
        </w:rPr>
        <w:t xml:space="preserve">The Diet Trap </w:t>
      </w:r>
      <w:r w:rsidR="004069E3" w:rsidRPr="00A829B3">
        <w:rPr>
          <w:noProof/>
        </w:rPr>
        <w:t>(Lillis</w:t>
      </w:r>
      <w:r w:rsidR="00521D84">
        <w:rPr>
          <w:noProof/>
        </w:rPr>
        <w:t xml:space="preserve"> et al.</w:t>
      </w:r>
      <w:r w:rsidR="004069E3" w:rsidRPr="00A829B3">
        <w:rPr>
          <w:noProof/>
        </w:rPr>
        <w:t>, 2014)</w:t>
      </w:r>
      <w:r w:rsidR="00CC2980" w:rsidRPr="00A829B3">
        <w:rPr>
          <w:noProof/>
        </w:rPr>
        <w:t xml:space="preserve"> and participated in weekly phone coaching calls to increase adherence to the book. </w:t>
      </w:r>
      <w:bookmarkStart w:id="1" w:name="_Hlk46827809"/>
      <w:r w:rsidR="00D31837">
        <w:rPr>
          <w:noProof/>
        </w:rPr>
        <w:t xml:space="preserve">Coaching was delivered </w:t>
      </w:r>
      <w:r w:rsidR="00D31837">
        <w:t>by</w:t>
      </w:r>
      <w:r w:rsidR="00D31837" w:rsidRPr="00A829B3">
        <w:t xml:space="preserve"> clinical/counseling psychology doctoral student</w:t>
      </w:r>
      <w:r w:rsidR="00D31837">
        <w:t>s and was based on an established protocol for increasing adherence to self-guided interventions (</w:t>
      </w:r>
      <w:proofErr w:type="spellStart"/>
      <w:r w:rsidR="00D31837">
        <w:rPr>
          <w:color w:val="000000"/>
        </w:rPr>
        <w:t>Duffecy</w:t>
      </w:r>
      <w:proofErr w:type="spellEnd"/>
      <w:r w:rsidR="00D31837">
        <w:rPr>
          <w:color w:val="000000"/>
        </w:rPr>
        <w:t xml:space="preserve"> et al., 2011</w:t>
      </w:r>
      <w:r w:rsidR="00D31837">
        <w:t xml:space="preserve">). </w:t>
      </w:r>
      <w:bookmarkEnd w:id="1"/>
      <w:r w:rsidR="00CC2980" w:rsidRPr="00A829B3">
        <w:rPr>
          <w:noProof/>
        </w:rPr>
        <w:t xml:space="preserve">This pilot trial found high program engagement rates and self-reported satisfaction as well as large improvements over time on </w:t>
      </w:r>
      <w:r w:rsidR="00D31837">
        <w:rPr>
          <w:noProof/>
        </w:rPr>
        <w:t xml:space="preserve">self-reported </w:t>
      </w:r>
      <w:r w:rsidR="00CC2980" w:rsidRPr="00A829B3">
        <w:rPr>
          <w:noProof/>
        </w:rPr>
        <w:t xml:space="preserve">weight self-stigma, eating behaviors, physical activity, and quality of life as well as a trend for improvements in </w:t>
      </w:r>
      <w:r w:rsidR="00D31837">
        <w:rPr>
          <w:noProof/>
        </w:rPr>
        <w:t>objectively measured weight</w:t>
      </w:r>
      <w:r w:rsidR="00CC2980" w:rsidRPr="00A829B3">
        <w:rPr>
          <w:noProof/>
        </w:rPr>
        <w:t xml:space="preserve">. </w:t>
      </w:r>
    </w:p>
    <w:p w14:paraId="1B2BB079" w14:textId="22B861E9" w:rsidR="00500D47" w:rsidRPr="00A829B3" w:rsidRDefault="00D31837" w:rsidP="00B2308F">
      <w:pPr>
        <w:widowControl w:val="0"/>
        <w:spacing w:line="480" w:lineRule="auto"/>
        <w:ind w:firstLine="720"/>
      </w:pPr>
      <w:r>
        <w:t>R</w:t>
      </w:r>
      <w:r w:rsidR="00CB6E36" w:rsidRPr="00A829B3">
        <w:t>esearch indicates that coaching can enhance outcomes for self-help interventions (</w:t>
      </w:r>
      <w:r w:rsidR="003511C3">
        <w:t>Baumeister</w:t>
      </w:r>
      <w:r w:rsidR="00300001">
        <w:t xml:space="preserve"> et al.</w:t>
      </w:r>
      <w:r w:rsidR="003511C3">
        <w:t>, 2014</w:t>
      </w:r>
      <w:r w:rsidR="00CB6E36" w:rsidRPr="00A829B3">
        <w:t>)</w:t>
      </w:r>
      <w:r>
        <w:t xml:space="preserve">. However, some </w:t>
      </w:r>
      <w:r w:rsidRPr="00A829B3">
        <w:t xml:space="preserve">research suggests that self-help interventions may be equally effective without more intensive coaching procedures </w:t>
      </w:r>
      <w:r>
        <w:t>(e.g., Andersson</w:t>
      </w:r>
      <w:r w:rsidR="00300001">
        <w:t xml:space="preserve"> et al.</w:t>
      </w:r>
      <w:r>
        <w:t xml:space="preserve">, 2003; Berger et al., 2011), including with ACT self-help specifically </w:t>
      </w:r>
      <w:r w:rsidRPr="00A829B3">
        <w:t>(</w:t>
      </w:r>
      <w:r>
        <w:t xml:space="preserve">e.g., </w:t>
      </w:r>
      <w:proofErr w:type="spellStart"/>
      <w:r>
        <w:t>Fledderus</w:t>
      </w:r>
      <w:proofErr w:type="spellEnd"/>
      <w:r w:rsidR="00300001">
        <w:t xml:space="preserve"> et al.</w:t>
      </w:r>
      <w:r>
        <w:t>, 201</w:t>
      </w:r>
      <w:r w:rsidR="00521D84">
        <w:t>2</w:t>
      </w:r>
      <w:r w:rsidRPr="00A829B3">
        <w:t xml:space="preserve">). </w:t>
      </w:r>
      <w:r>
        <w:t>The complexities and resource costs of delivering coaching</w:t>
      </w:r>
      <w:r w:rsidR="00CB6E36" w:rsidRPr="00A829B3">
        <w:t xml:space="preserve"> places a substantial additional burden for implementation. Thus,</w:t>
      </w:r>
      <w:r w:rsidR="00F824D0" w:rsidRPr="00A829B3">
        <w:t xml:space="preserve"> evaluating the added benefits of phone coaching is needed to further inform cost-effective treatment options that have optimal reach. </w:t>
      </w:r>
      <w:r w:rsidR="00B2308F" w:rsidRPr="00A829B3">
        <w:t xml:space="preserve"> </w:t>
      </w:r>
    </w:p>
    <w:p w14:paraId="21930BC5" w14:textId="1FBBB552" w:rsidR="00CC537A" w:rsidRPr="00A829B3" w:rsidRDefault="00CC537A" w:rsidP="0087440A">
      <w:pPr>
        <w:widowControl w:val="0"/>
        <w:spacing w:line="480" w:lineRule="auto"/>
        <w:ind w:firstLine="720"/>
      </w:pPr>
      <w:r w:rsidRPr="00A829B3">
        <w:lastRenderedPageBreak/>
        <w:t>The</w:t>
      </w:r>
      <w:r w:rsidR="00FD338B" w:rsidRPr="00A829B3">
        <w:t xml:space="preserve"> current</w:t>
      </w:r>
      <w:r w:rsidR="00FB7478">
        <w:t xml:space="preserve"> pilot</w:t>
      </w:r>
      <w:r w:rsidR="00FD338B" w:rsidRPr="00A829B3">
        <w:t xml:space="preserve"> RCT sought to evaluate </w:t>
      </w:r>
      <w:r w:rsidR="00FD338B" w:rsidRPr="00A829B3">
        <w:rPr>
          <w:i/>
        </w:rPr>
        <w:t xml:space="preserve">The Diet Trap </w:t>
      </w:r>
      <w:r w:rsidR="00FD338B" w:rsidRPr="00A829B3">
        <w:t xml:space="preserve">ACT self-help book, with </w:t>
      </w:r>
      <w:r w:rsidR="00FB7478">
        <w:t xml:space="preserve">guidance from </w:t>
      </w:r>
      <w:r w:rsidR="00FD338B" w:rsidRPr="00A829B3">
        <w:t>phone coaching</w:t>
      </w:r>
      <w:r w:rsidR="00FB7478">
        <w:t xml:space="preserve"> or brief email prompts only</w:t>
      </w:r>
      <w:r w:rsidR="00FD338B" w:rsidRPr="00A829B3">
        <w:t xml:space="preserve">, relative to a waitlist condition in a sample of 55 overweight/obese adults high in weight self-stigma. The first prediction was that ACT </w:t>
      </w:r>
      <w:r w:rsidR="00C45CCC">
        <w:t>guided self-help</w:t>
      </w:r>
      <w:r w:rsidR="00FD338B" w:rsidRPr="00A829B3">
        <w:t xml:space="preserve"> would be acceptable (i.e., high adherence to the book, high satisfaction ratings), but with greater acceptability when including phone coaching</w:t>
      </w:r>
      <w:r w:rsidR="00FB7478">
        <w:t xml:space="preserve"> versus when only receiving brief email prompts</w:t>
      </w:r>
      <w:r w:rsidR="00FD338B" w:rsidRPr="00A829B3">
        <w:t xml:space="preserve">. The second prediction was that the ACT </w:t>
      </w:r>
      <w:r w:rsidR="00C45CCC">
        <w:t>guided self-help</w:t>
      </w:r>
      <w:r w:rsidR="00FD338B" w:rsidRPr="00A829B3">
        <w:t xml:space="preserve"> would be effective relative to the waitlist condition, but with greater effectiveness when including phone coaching. The primary outcome for the study was weight self-stigma, with physical activity, eating</w:t>
      </w:r>
      <w:r w:rsidR="000F7A70">
        <w:t xml:space="preserve"> behaviors</w:t>
      </w:r>
      <w:r w:rsidR="00FD338B" w:rsidRPr="00A829B3">
        <w:t xml:space="preserve">, and BMI as secondary outcomes.  </w:t>
      </w:r>
    </w:p>
    <w:p w14:paraId="2B8CDCD3" w14:textId="77777777" w:rsidR="003B57BE" w:rsidRPr="00A829B3" w:rsidRDefault="003B57BE" w:rsidP="003B57BE">
      <w:pPr>
        <w:spacing w:line="480" w:lineRule="auto"/>
        <w:jc w:val="center"/>
        <w:rPr>
          <w:b/>
        </w:rPr>
      </w:pPr>
      <w:r w:rsidRPr="00A829B3">
        <w:rPr>
          <w:b/>
        </w:rPr>
        <w:t>Methods</w:t>
      </w:r>
    </w:p>
    <w:p w14:paraId="56004E63" w14:textId="77777777" w:rsidR="003B57BE" w:rsidRPr="00A829B3" w:rsidRDefault="003B57BE" w:rsidP="003B57BE">
      <w:pPr>
        <w:spacing w:line="480" w:lineRule="auto"/>
        <w:rPr>
          <w:b/>
        </w:rPr>
      </w:pPr>
      <w:r w:rsidRPr="00A829B3">
        <w:rPr>
          <w:b/>
        </w:rPr>
        <w:t>Participants</w:t>
      </w:r>
    </w:p>
    <w:p w14:paraId="64CC0D98" w14:textId="5FB1E9D1" w:rsidR="003B57BE" w:rsidRPr="00A829B3" w:rsidRDefault="003B57BE" w:rsidP="003B57BE">
      <w:pPr>
        <w:spacing w:line="480" w:lineRule="auto"/>
      </w:pPr>
      <w:r w:rsidRPr="00A829B3">
        <w:tab/>
        <w:t xml:space="preserve">This </w:t>
      </w:r>
      <w:r w:rsidR="00FB7478">
        <w:t xml:space="preserve">pilot </w:t>
      </w:r>
      <w:r w:rsidRPr="00A829B3">
        <w:t xml:space="preserve">study was conducted </w:t>
      </w:r>
      <w:r w:rsidR="00CC537A" w:rsidRPr="00A829B3">
        <w:t>with</w:t>
      </w:r>
      <w:r w:rsidRPr="00A829B3">
        <w:t xml:space="preserve"> a sample of 55 adults who met the inclusion criteria: being at least 18 and no more than 64 years of age, residing in the United States, having a BMI of 27.5 or higher, and having a score of 36 or higher on the Weight Self-Stigma Questionnaire</w:t>
      </w:r>
      <w:r w:rsidR="00C45CCC">
        <w:t>,</w:t>
      </w:r>
      <w:r w:rsidRPr="00A829B3">
        <w:t xml:space="preserve"> indicating problematic weight self-stigma (WSSQ; </w:t>
      </w:r>
      <w:r w:rsidRPr="00A829B3">
        <w:fldChar w:fldCharType="begin" w:fldLock="1"/>
      </w:r>
      <w:r w:rsidRPr="00A829B3">
        <w:instrText>ADDIN CSL_CITATION {"citationItems":[{"id":"ITEM-1","itemData":{"DOI":"10.1038/oby.2009.353","ISBN":"1930-739X","ISSN":"1930-7381","PMID":"19834462","abstract":"Stigma associated with being overweight or obese is widespread. Given that weight loss is difficult to achieve and maintain, researchers have been calling for interventions that reduce the impact of weight stigma on life functioning. Sound measures that are sensitive to change are needed to help guide and inform intervention studies. This study presents the weight self-stigma questionnaire (WSSQ). The WSSQ has 12 items and is designed for use only with populations of overweight or obese persons. Two samples of participants--one treatment seeking, one nontreatment seeking--were used for validation (N = 169). Results indicate that the WSSQ has good reliability and validity, and contains two distinct subscales-self-devaluation and fear of enacted stigma. The WSSQ could be useful for identifying individuals who may benefit from a stigma reduction intervention and may also help evaluate programs designed to reduce stigma.","author":[{"dropping-particle":"","family":"Lillis","given":"Jason","non-dropping-particle":"","parse-names":false,"suffix":""},{"dropping-particle":"","family":"Luoma","given":"Jason B","non-dropping-particle":"","parse-names":false,"suffix":""},{"dropping-particle":"","family":"Levin","given":"Michael E","non-dropping-particle":"","parse-names":false,"suffix":""},{"dropping-particle":"","family":"Hayes","given":"Steven C","non-dropping-particle":"","parse-names":false,"suffix":""}],"container-title":"Obesity (Silver Spring, Md.)","id":"ITEM-1","issue":"5","issued":{"date-parts":[["2010"]]},"page":"971-976","publisher":"Nature Publishing Group","title":"Measuring weight self-stigma: The Weight Self-Stigma Questionnaire.","type":"article-journal","volume":"18"},"uris":["http://www.mendeley.com/documents/?uuid=02954ca2-acb7-42d8-80a5-df49ed5fd348"]}],"mendeley":{"formattedCitation":"(Lillis, Luoma, Levin, &amp; Hayes, 2010)","manualFormatting":"Lillis, Luoma, Levin, &amp; Hayes, 2010)","plainTextFormattedCitation":"(Lillis, Luoma, Levin, &amp; Hayes, 2010)","previouslyFormattedCitation":"(Lillis, Luoma, Levin, &amp; Hayes, 2010)"},"properties":{"noteIndex":0},"schema":"https://github.com/citation-style-language/schema/raw/master/csl-citation.json"}</w:instrText>
      </w:r>
      <w:r w:rsidRPr="00A829B3">
        <w:fldChar w:fldCharType="separate"/>
      </w:r>
      <w:r w:rsidRPr="00A829B3">
        <w:rPr>
          <w:noProof/>
        </w:rPr>
        <w:t>Lillis</w:t>
      </w:r>
      <w:r w:rsidR="00521D84">
        <w:rPr>
          <w:noProof/>
        </w:rPr>
        <w:t xml:space="preserve"> et al.</w:t>
      </w:r>
      <w:r w:rsidRPr="00A829B3">
        <w:rPr>
          <w:noProof/>
        </w:rPr>
        <w:t>, 2010)</w:t>
      </w:r>
      <w:r w:rsidRPr="00A829B3">
        <w:fldChar w:fldCharType="end"/>
      </w:r>
      <w:r w:rsidRPr="00A829B3">
        <w:t xml:space="preserve">. </w:t>
      </w:r>
      <w:r w:rsidR="00650A9A" w:rsidRPr="00A829B3">
        <w:t xml:space="preserve">A cutoff score of 36 on the WSSQ was used in the previous </w:t>
      </w:r>
      <w:r w:rsidR="00C45CCC">
        <w:t xml:space="preserve">guided </w:t>
      </w:r>
      <w:r w:rsidR="00650A9A" w:rsidRPr="00A829B3">
        <w:t>self-help trial (</w:t>
      </w:r>
      <w:r w:rsidR="00650A9A" w:rsidRPr="00A829B3">
        <w:rPr>
          <w:i/>
        </w:rPr>
        <w:t xml:space="preserve">citation removed for blind </w:t>
      </w:r>
      <w:r w:rsidR="00650A9A" w:rsidRPr="00A829B3">
        <w:t xml:space="preserve">review) and is one standard deviation above the mean for obese, non-treatment seeking adults (Lillis et al., 2010). </w:t>
      </w:r>
      <w:r w:rsidRPr="00A829B3">
        <w:t xml:space="preserve">Potential participants were excluded if they were pregnant, had chest </w:t>
      </w:r>
      <w:r w:rsidR="00CC537A" w:rsidRPr="00A829B3">
        <w:t xml:space="preserve">pain, dizziness, or </w:t>
      </w:r>
      <w:r w:rsidRPr="00A829B3">
        <w:t>cardiovascular disease, or had a serious psychological diagnosis that affected their functioning</w:t>
      </w:r>
      <w:r w:rsidR="00B32A79">
        <w:t xml:space="preserve"> (see Figure 1 for participant flow)</w:t>
      </w:r>
      <w:r w:rsidRPr="00A829B3">
        <w:t>.</w:t>
      </w:r>
    </w:p>
    <w:p w14:paraId="03327410" w14:textId="43572606" w:rsidR="003B57BE" w:rsidRPr="00A829B3" w:rsidRDefault="003B57BE" w:rsidP="003B57BE">
      <w:pPr>
        <w:spacing w:line="480" w:lineRule="auto"/>
      </w:pPr>
      <w:r w:rsidRPr="00A829B3">
        <w:tab/>
        <w:t>The sample had a mean age of 38.65 (</w:t>
      </w:r>
      <w:r w:rsidRPr="000475C7">
        <w:rPr>
          <w:i/>
        </w:rPr>
        <w:t>SD</w:t>
      </w:r>
      <w:r w:rsidRPr="00A829B3">
        <w:t xml:space="preserve"> = 12.40) and a mean BMI of 37.01 (</w:t>
      </w:r>
      <w:r w:rsidRPr="000475C7">
        <w:rPr>
          <w:i/>
        </w:rPr>
        <w:t>SD</w:t>
      </w:r>
      <w:r w:rsidRPr="00A829B3">
        <w:t xml:space="preserve"> = 6.51) at baseline</w:t>
      </w:r>
      <w:r w:rsidR="00DE3C6B">
        <w:t xml:space="preserve"> (see Table 1 for demographics by condition)</w:t>
      </w:r>
      <w:r w:rsidRPr="00A829B3">
        <w:t>. Participants were mostly female (81.8%, compared to 18.2% male). The sample was 89.09% non-Hispanic/Latin</w:t>
      </w:r>
      <w:r w:rsidR="00A5435B">
        <w:t>o</w:t>
      </w:r>
      <w:r w:rsidRPr="00A829B3">
        <w:t xml:space="preserve"> White, 5.45% </w:t>
      </w:r>
      <w:r w:rsidRPr="00A829B3">
        <w:lastRenderedPageBreak/>
        <w:t>Hispanic/Latin</w:t>
      </w:r>
      <w:r w:rsidR="00A5435B">
        <w:t>o</w:t>
      </w:r>
      <w:r w:rsidRPr="00A829B3">
        <w:t xml:space="preserve"> White, 3.64% Hispanic/Latin</w:t>
      </w:r>
      <w:r w:rsidR="00A5435B">
        <w:t>o</w:t>
      </w:r>
      <w:r w:rsidRPr="00A829B3">
        <w:t xml:space="preserve"> of Other Race, and 1.82% Black. Most participants were married or partnered (60.00%) and employed (65.45%). The median income range of the sample was $40,000-$59,999.</w:t>
      </w:r>
      <w:r w:rsidR="00A146C5" w:rsidRPr="00A829B3">
        <w:t xml:space="preserve"> </w:t>
      </w:r>
      <w:proofErr w:type="gramStart"/>
      <w:r w:rsidR="006C4418">
        <w:t>The majority of</w:t>
      </w:r>
      <w:proofErr w:type="gramEnd"/>
      <w:r w:rsidR="006C4418">
        <w:t xml:space="preserve"> participants had previously participated in one or more structured weight loss intervention, with the most frequently endorsed being </w:t>
      </w:r>
      <w:r w:rsidR="006C4418" w:rsidRPr="006C4418">
        <w:t>exercise classes (67%), self-guided diet program (58%</w:t>
      </w:r>
      <w:r w:rsidR="006C4418">
        <w:t>)</w:t>
      </w:r>
      <w:r w:rsidR="006C4418" w:rsidRPr="006C4418">
        <w:t>, and commercial weight loss program (56%)</w:t>
      </w:r>
      <w:r w:rsidR="00D93E5A">
        <w:t>.</w:t>
      </w:r>
    </w:p>
    <w:p w14:paraId="7790BB17" w14:textId="06665772" w:rsidR="009D3006" w:rsidRPr="00A829B3" w:rsidRDefault="003B57BE" w:rsidP="003B57BE">
      <w:pPr>
        <w:spacing w:line="480" w:lineRule="auto"/>
        <w:rPr>
          <w:b/>
        </w:rPr>
      </w:pPr>
      <w:r w:rsidRPr="00A829B3">
        <w:rPr>
          <w:b/>
        </w:rPr>
        <w:t>Procedures</w:t>
      </w:r>
    </w:p>
    <w:p w14:paraId="2FCD552B" w14:textId="7F27DA0F" w:rsidR="00EB3E00" w:rsidRPr="00C832B2" w:rsidRDefault="009D3006" w:rsidP="003B57BE">
      <w:pPr>
        <w:spacing w:line="480" w:lineRule="auto"/>
        <w:rPr>
          <w:b/>
          <w:bCs/>
          <w:i/>
          <w:iCs/>
        </w:rPr>
      </w:pPr>
      <w:r w:rsidRPr="00C832B2">
        <w:rPr>
          <w:b/>
          <w:bCs/>
          <w:i/>
          <w:iCs/>
        </w:rPr>
        <w:t xml:space="preserve">Recruitment </w:t>
      </w:r>
    </w:p>
    <w:p w14:paraId="6E272A87" w14:textId="36E57865" w:rsidR="00EB3E00" w:rsidRPr="00A829B3" w:rsidRDefault="00EB3E00" w:rsidP="003B57BE">
      <w:pPr>
        <w:spacing w:line="480" w:lineRule="auto"/>
      </w:pPr>
      <w:r>
        <w:rPr>
          <w:b/>
          <w:bCs/>
        </w:rPr>
        <w:tab/>
      </w:r>
      <w:r w:rsidR="003B57BE" w:rsidRPr="00A829B3">
        <w:t xml:space="preserve">Participants were recruited </w:t>
      </w:r>
      <w:r w:rsidR="00A146C5" w:rsidRPr="00A829B3">
        <w:t xml:space="preserve">through </w:t>
      </w:r>
      <w:r w:rsidR="006940E0">
        <w:t xml:space="preserve">posting </w:t>
      </w:r>
      <w:r w:rsidR="00A146C5" w:rsidRPr="00A829B3">
        <w:t xml:space="preserve">flyers throughout the community, informing health care providers for referrals, </w:t>
      </w:r>
      <w:r w:rsidR="008943F7">
        <w:t xml:space="preserve">and </w:t>
      </w:r>
      <w:r w:rsidR="006940E0">
        <w:t xml:space="preserve">listing the study </w:t>
      </w:r>
      <w:r w:rsidR="00A146C5" w:rsidRPr="00A829B3">
        <w:t>online through the senior author’s clinical trial recruitment website</w:t>
      </w:r>
      <w:r w:rsidR="008943F7">
        <w:t xml:space="preserve">. Recruitment was also conducted </w:t>
      </w:r>
      <w:r w:rsidR="00FC3CE0">
        <w:t xml:space="preserve">by requesting </w:t>
      </w:r>
      <w:r w:rsidR="00A146C5" w:rsidRPr="00A829B3">
        <w:t>the authors’ university extension</w:t>
      </w:r>
      <w:r w:rsidR="008943F7">
        <w:t xml:space="preserve"> </w:t>
      </w:r>
      <w:r w:rsidR="00FC3CE0">
        <w:t xml:space="preserve">faculty and staff distribute flyers for the study at various events and services related to health promotion and diet provided throughout the state. </w:t>
      </w:r>
      <w:r w:rsidR="00A72B96" w:rsidRPr="00A829B3">
        <w:t xml:space="preserve">Recruitment was conducted from March 2017 to February 2018. </w:t>
      </w:r>
    </w:p>
    <w:p w14:paraId="6A1466AB" w14:textId="149286E1" w:rsidR="00EB3E00" w:rsidRPr="00C832B2" w:rsidRDefault="009D3006" w:rsidP="00EB3E00">
      <w:pPr>
        <w:spacing w:line="480" w:lineRule="auto"/>
        <w:rPr>
          <w:b/>
          <w:bCs/>
          <w:i/>
          <w:iCs/>
        </w:rPr>
      </w:pPr>
      <w:r w:rsidRPr="00C832B2">
        <w:rPr>
          <w:b/>
          <w:bCs/>
          <w:i/>
          <w:iCs/>
        </w:rPr>
        <w:t xml:space="preserve">Screening and </w:t>
      </w:r>
      <w:r w:rsidR="00EB3E00">
        <w:rPr>
          <w:b/>
          <w:bCs/>
          <w:i/>
          <w:iCs/>
        </w:rPr>
        <w:t>C</w:t>
      </w:r>
      <w:r w:rsidRPr="00C832B2">
        <w:rPr>
          <w:b/>
          <w:bCs/>
          <w:i/>
          <w:iCs/>
        </w:rPr>
        <w:t>onsent</w:t>
      </w:r>
    </w:p>
    <w:p w14:paraId="2F0E523E" w14:textId="77777777" w:rsidR="00EB3E00" w:rsidRDefault="00EB3E00" w:rsidP="00EB3E00">
      <w:pPr>
        <w:spacing w:line="480" w:lineRule="auto"/>
      </w:pPr>
      <w:r>
        <w:rPr>
          <w:b/>
          <w:bCs/>
        </w:rPr>
        <w:tab/>
      </w:r>
      <w:r w:rsidR="003B57BE" w:rsidRPr="00A829B3">
        <w:t xml:space="preserve">Participants </w:t>
      </w:r>
      <w:r w:rsidR="00A146C5" w:rsidRPr="00A829B3">
        <w:t xml:space="preserve">first completed an online self-report screening, which </w:t>
      </w:r>
      <w:r w:rsidR="003B57BE" w:rsidRPr="00A829B3">
        <w:t>assessed the above inclusion and exclusion criteria</w:t>
      </w:r>
      <w:r w:rsidR="00A146C5" w:rsidRPr="00A829B3">
        <w:t>, followed by an online consent form</w:t>
      </w:r>
      <w:r w:rsidR="003B57BE" w:rsidRPr="00A829B3">
        <w:t xml:space="preserve">. </w:t>
      </w:r>
    </w:p>
    <w:p w14:paraId="62009BA3" w14:textId="77777777" w:rsidR="00EB3E00" w:rsidRPr="00C832B2" w:rsidRDefault="009D3006" w:rsidP="00EB3E00">
      <w:pPr>
        <w:spacing w:line="480" w:lineRule="auto"/>
        <w:rPr>
          <w:b/>
          <w:bCs/>
          <w:i/>
          <w:iCs/>
        </w:rPr>
      </w:pPr>
      <w:r w:rsidRPr="00C832B2">
        <w:rPr>
          <w:b/>
          <w:bCs/>
          <w:i/>
          <w:iCs/>
        </w:rPr>
        <w:t>Baseline</w:t>
      </w:r>
    </w:p>
    <w:p w14:paraId="5AE32599" w14:textId="1C4899C7" w:rsidR="00564A80" w:rsidRDefault="00EB3E00" w:rsidP="00C832B2">
      <w:pPr>
        <w:spacing w:line="480" w:lineRule="auto"/>
      </w:pPr>
      <w:r>
        <w:rPr>
          <w:b/>
          <w:bCs/>
        </w:rPr>
        <w:tab/>
      </w:r>
      <w:r w:rsidR="00A146C5" w:rsidRPr="00A829B3">
        <w:t>Participants who consented completed an online baseline</w:t>
      </w:r>
      <w:r w:rsidR="00564A80">
        <w:t xml:space="preserve"> self-report</w:t>
      </w:r>
      <w:r w:rsidR="00A146C5" w:rsidRPr="00A829B3">
        <w:t xml:space="preserve"> survey delivered through Qualtric</w:t>
      </w:r>
      <w:r w:rsidR="00564A80">
        <w:t>s</w:t>
      </w:r>
      <w:r w:rsidR="00A146C5" w:rsidRPr="00A829B3">
        <w:t>.</w:t>
      </w:r>
      <w:r w:rsidR="003B57BE" w:rsidRPr="00A829B3">
        <w:t xml:space="preserve"> </w:t>
      </w:r>
      <w:r w:rsidR="009D3006">
        <w:t xml:space="preserve">All outcome and process of change measures listed in the Measures section (e.g., measures of weight self-stigma, weight management behaviors, emotional eating, binge eating, physical activity, weight-related psychological inflexibility, and general psychological inflexibility) were administered in this survey. Height and weight were also assessed in the </w:t>
      </w:r>
      <w:r w:rsidR="009D3006">
        <w:lastRenderedPageBreak/>
        <w:t xml:space="preserve">baseline </w:t>
      </w:r>
      <w:r w:rsidR="00C832B2">
        <w:t xml:space="preserve">self-report </w:t>
      </w:r>
      <w:r w:rsidR="009D3006">
        <w:t>survey and used to calculate BMI. Demographics (i.e., age, gender, race, ethnicity, marital status, income, and previous weight loss methods attempted) were also assessed in the baseline survey.</w:t>
      </w:r>
      <w:r w:rsidR="000001A5">
        <w:t xml:space="preserve"> </w:t>
      </w:r>
      <w:r w:rsidR="003B57BE" w:rsidRPr="00A829B3">
        <w:t>At the end of th</w:t>
      </w:r>
      <w:r w:rsidR="009D3006">
        <w:t xml:space="preserve">is </w:t>
      </w:r>
      <w:r w:rsidR="003B57BE" w:rsidRPr="00A829B3">
        <w:t>survey</w:t>
      </w:r>
      <w:r w:rsidR="00C76B55">
        <w:t>,</w:t>
      </w:r>
      <w:r w:rsidR="003B57BE" w:rsidRPr="00A829B3">
        <w:t xml:space="preserve"> participants were</w:t>
      </w:r>
      <w:r w:rsidR="004C6933">
        <w:t xml:space="preserve"> automatically</w:t>
      </w:r>
      <w:r w:rsidR="003B57BE" w:rsidRPr="00A829B3">
        <w:t xml:space="preserve"> randomly assigned </w:t>
      </w:r>
      <w:r w:rsidR="00A146C5" w:rsidRPr="00A829B3">
        <w:t xml:space="preserve">by Qualtrics </w:t>
      </w:r>
      <w:r w:rsidR="003B57BE" w:rsidRPr="00A829B3">
        <w:t xml:space="preserve">to one of three conditions: guided self-help with phone </w:t>
      </w:r>
      <w:r w:rsidR="00921CDE">
        <w:t>coaching</w:t>
      </w:r>
      <w:r w:rsidR="00921CDE" w:rsidRPr="00A829B3">
        <w:t xml:space="preserve"> </w:t>
      </w:r>
      <w:r w:rsidR="003B57BE" w:rsidRPr="00A829B3">
        <w:t xml:space="preserve">(GSH-P), guided self-help with email </w:t>
      </w:r>
      <w:r w:rsidR="00921CDE">
        <w:t>prompts</w:t>
      </w:r>
      <w:r w:rsidR="00921CDE" w:rsidRPr="00A829B3">
        <w:t xml:space="preserve"> </w:t>
      </w:r>
      <w:r w:rsidR="003B57BE" w:rsidRPr="00A829B3">
        <w:t>(GSH-E), or a waitlist</w:t>
      </w:r>
      <w:r w:rsidR="00A146C5" w:rsidRPr="00A829B3">
        <w:t xml:space="preserve"> condition. </w:t>
      </w:r>
      <w:r w:rsidR="004C6933">
        <w:t>Chance of a</w:t>
      </w:r>
      <w:r w:rsidR="00A72B96" w:rsidRPr="00A829B3">
        <w:t>llocation to condition was equivalent between conditions (1:1:1)</w:t>
      </w:r>
      <w:r w:rsidR="004C6933">
        <w:t xml:space="preserve"> without blocking or stratifying by any variables</w:t>
      </w:r>
      <w:r w:rsidR="00A72B96" w:rsidRPr="00A829B3">
        <w:t xml:space="preserve">. </w:t>
      </w:r>
    </w:p>
    <w:p w14:paraId="23528342" w14:textId="4DA136D3" w:rsidR="003B57BE" w:rsidRPr="00A829B3" w:rsidRDefault="00564A80" w:rsidP="00A72B96">
      <w:pPr>
        <w:spacing w:line="480" w:lineRule="auto"/>
        <w:ind w:firstLine="720"/>
      </w:pPr>
      <w:r>
        <w:t>Participants assigned to GSH-P or GSH-E conditions were asked to read their assigned book over the following eight weeks. Participants assigned to the waitlist condition were asked to simply</w:t>
      </w:r>
      <w:r w:rsidR="00D93E5A">
        <w:t xml:space="preserve"> wait</w:t>
      </w:r>
      <w:r>
        <w:t xml:space="preserve"> eight weeks before completing the next survey. </w:t>
      </w:r>
      <w:r w:rsidR="003B57BE" w:rsidRPr="00A829B3">
        <w:t>All participants were asked to complete a</w:t>
      </w:r>
      <w:r w:rsidR="00A72B96" w:rsidRPr="00A829B3">
        <w:t>n online</w:t>
      </w:r>
      <w:r w:rsidR="003B57BE" w:rsidRPr="00A829B3">
        <w:t xml:space="preserve"> posttreatment </w:t>
      </w:r>
      <w:r>
        <w:t xml:space="preserve">self-report </w:t>
      </w:r>
      <w:r w:rsidR="003B57BE" w:rsidRPr="00A829B3">
        <w:t>survey eight weeks after baseline</w:t>
      </w:r>
      <w:r w:rsidR="00A146C5" w:rsidRPr="00A829B3">
        <w:t>.</w:t>
      </w:r>
      <w:r>
        <w:t xml:space="preserve"> After completing the posttreatment survey, participants in the waitlist condition received access to the GSH-P intervention, but no </w:t>
      </w:r>
      <w:r w:rsidR="007A75CB">
        <w:t>data was collected on their use or responses to the GSH-P intervention.</w:t>
      </w:r>
      <w:r w:rsidR="003A067B">
        <w:t xml:space="preserve"> Survey data were collected automatically through the online Qualtrics platform and analyzed by</w:t>
      </w:r>
      <w:r w:rsidR="00AA7B3C">
        <w:t xml:space="preserve"> </w:t>
      </w:r>
      <w:r w:rsidR="00652C9E">
        <w:t xml:space="preserve">the first </w:t>
      </w:r>
      <w:r w:rsidR="00FA5B13">
        <w:t xml:space="preserve">and last </w:t>
      </w:r>
      <w:r w:rsidR="00652C9E">
        <w:t>author</w:t>
      </w:r>
      <w:r w:rsidR="00FA5B13">
        <w:t>s</w:t>
      </w:r>
      <w:r w:rsidR="00652C9E">
        <w:t>.</w:t>
      </w:r>
    </w:p>
    <w:p w14:paraId="4CDEEFF2" w14:textId="37302C41" w:rsidR="003D062C" w:rsidRPr="00A829B3" w:rsidRDefault="003D062C" w:rsidP="003B57BE">
      <w:pPr>
        <w:spacing w:line="480" w:lineRule="auto"/>
        <w:rPr>
          <w:b/>
        </w:rPr>
      </w:pPr>
      <w:r w:rsidRPr="00A829B3">
        <w:rPr>
          <w:b/>
        </w:rPr>
        <w:t>Guided Self-Help Conditions</w:t>
      </w:r>
    </w:p>
    <w:p w14:paraId="3361C59A" w14:textId="4F9994A7" w:rsidR="003B57BE" w:rsidRPr="00A829B3" w:rsidRDefault="003B57BE" w:rsidP="003B57BE">
      <w:pPr>
        <w:spacing w:line="480" w:lineRule="auto"/>
      </w:pPr>
      <w:r w:rsidRPr="00A829B3">
        <w:tab/>
        <w:t>Participants assigned to either</w:t>
      </w:r>
      <w:r w:rsidR="00C05E76" w:rsidRPr="00A829B3">
        <w:t xml:space="preserve"> the</w:t>
      </w:r>
      <w:r w:rsidRPr="00A829B3">
        <w:t xml:space="preserve"> GSH</w:t>
      </w:r>
      <w:r w:rsidR="00C05E76" w:rsidRPr="00A829B3">
        <w:t>-E or GSH-P</w:t>
      </w:r>
      <w:r w:rsidRPr="00A829B3">
        <w:t xml:space="preserve"> condition</w:t>
      </w:r>
      <w:r w:rsidR="00C05E76" w:rsidRPr="00A829B3">
        <w:t>s</w:t>
      </w:r>
      <w:r w:rsidRPr="00A829B3">
        <w:t xml:space="preserve"> were sent a physical copy of </w:t>
      </w:r>
      <w:r w:rsidRPr="00A829B3">
        <w:rPr>
          <w:i/>
        </w:rPr>
        <w:t>The Diet Trap</w:t>
      </w:r>
      <w:r w:rsidRPr="00A829B3">
        <w:t xml:space="preserve"> </w:t>
      </w:r>
      <w:r w:rsidRPr="00A829B3">
        <w:fldChar w:fldCharType="begin" w:fldLock="1"/>
      </w:r>
      <w:r w:rsidRPr="00A829B3">
        <w:instrText>ADDIN CSL_CITATION {"citationItems":[{"id":"ITEM-1","itemData":{"author":[{"dropping-particle":"","family":"Lillis","given":"Jason","non-dropping-particle":"","parse-names":false,"suffix":""},{"dropping-particle":"","family":"Dahl","given":"JoAnne","non-dropping-particle":"","parse-names":false,"suffix":""},{"dropping-particle":"","family":"Weineland","given":"Sandra M","non-dropping-particle":"","parse-names":false,"suffix":""}],"id":"ITEM-1","issued":{"date-parts":[["2014"]]},"publisher":"New Harbinger","publisher-place":"Oakland, CA","title":"The Diet Trap: Feed Your Psychological Needs and End the Weight Loss Struggle Using Acceptance and Commitment Therapy","type":"book"},"uris":["http://www.mendeley.com/documents/?uuid=2c14830b-4c90-4b45-aebf-78ef633909ad"]}],"mendeley":{"formattedCitation":"(Lillis, Dahl, &amp; Weineland, 2014)","plainTextFormattedCitation":"(Lillis, Dahl, &amp; Weineland, 2014)","previouslyFormattedCitation":"(Lillis, Dahl, &amp; Weineland, 2014)"},"properties":{"noteIndex":0},"schema":"https://github.com/citation-style-language/schema/raw/master/csl-citation.json"}</w:instrText>
      </w:r>
      <w:r w:rsidRPr="00A829B3">
        <w:fldChar w:fldCharType="separate"/>
      </w:r>
      <w:r w:rsidRPr="00A829B3">
        <w:rPr>
          <w:noProof/>
        </w:rPr>
        <w:t>(Lillis</w:t>
      </w:r>
      <w:r w:rsidR="00521D84">
        <w:rPr>
          <w:noProof/>
        </w:rPr>
        <w:t xml:space="preserve"> et al.</w:t>
      </w:r>
      <w:r w:rsidRPr="00A829B3">
        <w:rPr>
          <w:noProof/>
        </w:rPr>
        <w:t>, 2014)</w:t>
      </w:r>
      <w:r w:rsidRPr="00A829B3">
        <w:fldChar w:fldCharType="end"/>
      </w:r>
      <w:r w:rsidR="00A72B96" w:rsidRPr="00A829B3">
        <w:t xml:space="preserve">. </w:t>
      </w:r>
      <w:r w:rsidRPr="00A829B3">
        <w:rPr>
          <w:i/>
        </w:rPr>
        <w:t>The Diet Trap</w:t>
      </w:r>
      <w:r w:rsidRPr="00A829B3">
        <w:t xml:space="preserve"> is a self-help book that teaches a series of skills from </w:t>
      </w:r>
      <w:r w:rsidR="00A72B96" w:rsidRPr="00A829B3">
        <w:t>ACT</w:t>
      </w:r>
      <w:r w:rsidRPr="00A829B3">
        <w:t xml:space="preserve"> to </w:t>
      </w:r>
      <w:r w:rsidR="00C05E76" w:rsidRPr="00A829B3">
        <w:t>reduce the harmful effects of</w:t>
      </w:r>
      <w:r w:rsidRPr="00A829B3">
        <w:t xml:space="preserve"> weight self-stigma </w:t>
      </w:r>
      <w:r w:rsidR="00A72B96" w:rsidRPr="00A829B3">
        <w:t xml:space="preserve">and develop more adaptive motivators for engaging in meaningful health and quality of life improving behaviors. </w:t>
      </w:r>
      <w:r w:rsidRPr="00A829B3">
        <w:t xml:space="preserve">The book </w:t>
      </w:r>
      <w:r w:rsidR="00C05E76" w:rsidRPr="00A829B3">
        <w:t xml:space="preserve">teaches key ACT skills and concepts designed to increase psychological flexibility – the capacity to engage in meaningful actions while being mindful and accepting of whatever aversive internal </w:t>
      </w:r>
      <w:r w:rsidR="00C05E76" w:rsidRPr="00A829B3">
        <w:lastRenderedPageBreak/>
        <w:t xml:space="preserve">experiences may arise (e.g., self-stigmatizing thoughts and feelings). </w:t>
      </w:r>
      <w:r w:rsidRPr="00A829B3">
        <w:t xml:space="preserve">Each chapter includes </w:t>
      </w:r>
      <w:r w:rsidR="00B94C16">
        <w:t xml:space="preserve">journaling </w:t>
      </w:r>
      <w:r w:rsidRPr="00A829B3">
        <w:t xml:space="preserve">prompts </w:t>
      </w:r>
      <w:r w:rsidR="00C05E76" w:rsidRPr="00A829B3">
        <w:t>to support applying ACT to oneself.</w:t>
      </w:r>
    </w:p>
    <w:p w14:paraId="081E9C73" w14:textId="28402E07" w:rsidR="00A72B96" w:rsidRDefault="00A72B96" w:rsidP="00C05E76">
      <w:pPr>
        <w:spacing w:line="480" w:lineRule="auto"/>
        <w:ind w:firstLine="720"/>
      </w:pPr>
      <w:r w:rsidRPr="00A829B3">
        <w:t xml:space="preserve">Participants in both </w:t>
      </w:r>
      <w:r w:rsidR="00C05E76" w:rsidRPr="00A829B3">
        <w:t xml:space="preserve">GSH-E and GSH-P </w:t>
      </w:r>
      <w:r w:rsidRPr="00A829B3">
        <w:t xml:space="preserve">conditions were </w:t>
      </w:r>
      <w:r w:rsidR="00C05E76" w:rsidRPr="00A829B3">
        <w:t>asked to read one of</w:t>
      </w:r>
      <w:r w:rsidRPr="00A829B3">
        <w:t xml:space="preserve"> seven </w:t>
      </w:r>
      <w:r w:rsidR="00C05E76" w:rsidRPr="00A829B3">
        <w:t xml:space="preserve">book </w:t>
      </w:r>
      <w:r w:rsidRPr="00A829B3">
        <w:t xml:space="preserve">chapters each week for the first seven weeks. An additional </w:t>
      </w:r>
      <w:r w:rsidR="00C05E76" w:rsidRPr="00A829B3">
        <w:t xml:space="preserve">eighth </w:t>
      </w:r>
      <w:r w:rsidRPr="00A829B3">
        <w:t xml:space="preserve">week was </w:t>
      </w:r>
      <w:r w:rsidR="00C05E76" w:rsidRPr="00A829B3">
        <w:t>provided</w:t>
      </w:r>
      <w:r w:rsidRPr="00A829B3">
        <w:t xml:space="preserve"> in </w:t>
      </w:r>
      <w:r w:rsidR="00C76B55">
        <w:t xml:space="preserve">the event </w:t>
      </w:r>
      <w:r w:rsidR="0061356E">
        <w:t>participants fe</w:t>
      </w:r>
      <w:r w:rsidRPr="00A829B3">
        <w:t>ll behind on the weekly reading schedule, based on feedback we received from participants in our pilot trial (</w:t>
      </w:r>
      <w:r w:rsidRPr="00A829B3">
        <w:rPr>
          <w:i/>
        </w:rPr>
        <w:t>citation removed for blind review</w:t>
      </w:r>
      <w:r w:rsidRPr="00A829B3">
        <w:t xml:space="preserve">). In addition to the reading, participants in both GSH conditions were asked to complete the journaling activities contained within the book, and to complete a weekly online </w:t>
      </w:r>
      <w:r w:rsidR="00C05E76" w:rsidRPr="00A829B3">
        <w:t xml:space="preserve">Qualtrics </w:t>
      </w:r>
      <w:r w:rsidRPr="00A829B3">
        <w:t>quiz for each chapter they finished. The quizzes were developed to help monitor comprehension and engagement, and support adherence</w:t>
      </w:r>
      <w:r w:rsidR="00C05E76" w:rsidRPr="00A829B3">
        <w:t>,</w:t>
      </w:r>
      <w:r w:rsidRPr="00A829B3">
        <w:t xml:space="preserve"> with</w:t>
      </w:r>
      <w:r w:rsidR="00C05E76" w:rsidRPr="00A829B3">
        <w:t xml:space="preserve"> automatic</w:t>
      </w:r>
      <w:r w:rsidRPr="00A829B3">
        <w:t xml:space="preserve"> feedback </w:t>
      </w:r>
      <w:r w:rsidR="00C05E76" w:rsidRPr="00A829B3">
        <w:t xml:space="preserve">provided </w:t>
      </w:r>
      <w:r w:rsidRPr="00A829B3">
        <w:t>fo</w:t>
      </w:r>
      <w:r w:rsidR="00C05E76" w:rsidRPr="00A829B3">
        <w:t>r any incorrect quiz responses.</w:t>
      </w:r>
      <w:r w:rsidR="007A75CB">
        <w:t xml:space="preserve"> However, quizzes were not monitored for accuracy, and thus there was no system in place to confirm participants did read each chapter and/or comprehend</w:t>
      </w:r>
      <w:r w:rsidR="00C832B2">
        <w:t>ed</w:t>
      </w:r>
      <w:r w:rsidR="007A75CB">
        <w:t xml:space="preserve"> its </w:t>
      </w:r>
      <w:proofErr w:type="gramStart"/>
      <w:r w:rsidR="007A75CB">
        <w:t>content.</w:t>
      </w:r>
      <w:r w:rsidR="00C76B55">
        <w:t>.</w:t>
      </w:r>
      <w:proofErr w:type="gramEnd"/>
    </w:p>
    <w:p w14:paraId="10C574F9" w14:textId="4A985073" w:rsidR="00EB3E00" w:rsidRPr="00C832B2" w:rsidRDefault="00714802" w:rsidP="00714802">
      <w:pPr>
        <w:spacing w:line="480" w:lineRule="auto"/>
        <w:rPr>
          <w:b/>
          <w:i/>
          <w:iCs/>
        </w:rPr>
      </w:pPr>
      <w:r w:rsidRPr="00C832B2">
        <w:rPr>
          <w:b/>
          <w:i/>
          <w:iCs/>
        </w:rPr>
        <w:t xml:space="preserve">GSH-E </w:t>
      </w:r>
    </w:p>
    <w:p w14:paraId="0B44CA91" w14:textId="122B9495" w:rsidR="00714802" w:rsidRPr="00A829B3" w:rsidRDefault="00EB3E00" w:rsidP="00714802">
      <w:pPr>
        <w:spacing w:line="480" w:lineRule="auto"/>
      </w:pPr>
      <w:r>
        <w:rPr>
          <w:b/>
        </w:rPr>
        <w:tab/>
      </w:r>
      <w:r w:rsidR="00714802" w:rsidRPr="00A829B3">
        <w:t>Participants assigned to the GSH-E condition received a weekly</w:t>
      </w:r>
      <w:r w:rsidR="00714802">
        <w:t>,</w:t>
      </w:r>
      <w:r w:rsidR="00714802" w:rsidRPr="00A829B3">
        <w:t xml:space="preserve"> </w:t>
      </w:r>
      <w:r w:rsidR="00714802">
        <w:t>templated</w:t>
      </w:r>
      <w:r w:rsidR="00714802" w:rsidRPr="00A829B3">
        <w:t xml:space="preserve"> email</w:t>
      </w:r>
      <w:r w:rsidR="007A75CB">
        <w:t xml:space="preserve"> manually sent by the first author, which</w:t>
      </w:r>
      <w:r w:rsidR="00714802" w:rsidRPr="00A829B3">
        <w:t xml:space="preserve"> reminded them of the tasks to complete that week (</w:t>
      </w:r>
      <w:r w:rsidR="00981D7B">
        <w:t xml:space="preserve">i.e., </w:t>
      </w:r>
      <w:r w:rsidR="00714802" w:rsidRPr="00A829B3">
        <w:t xml:space="preserve">reading, journaling, and quiz). This email also included a </w:t>
      </w:r>
      <w:r w:rsidR="00714802">
        <w:t>brief</w:t>
      </w:r>
      <w:r w:rsidR="00C76B55">
        <w:t>,</w:t>
      </w:r>
      <w:r w:rsidR="00714802">
        <w:t xml:space="preserve"> </w:t>
      </w:r>
      <w:r w:rsidR="00714802" w:rsidRPr="00A829B3">
        <w:t xml:space="preserve">tailored, supportive statement (e.g., </w:t>
      </w:r>
      <w:r w:rsidR="00714802" w:rsidRPr="00A829B3">
        <w:rPr>
          <w:i/>
        </w:rPr>
        <w:t xml:space="preserve">It can be hard to be consistent with something like this. </w:t>
      </w:r>
      <w:proofErr w:type="gramStart"/>
      <w:r w:rsidR="00714802" w:rsidRPr="00A829B3">
        <w:rPr>
          <w:i/>
        </w:rPr>
        <w:t>You’ve</w:t>
      </w:r>
      <w:proofErr w:type="gramEnd"/>
      <w:r w:rsidR="00714802" w:rsidRPr="00A829B3">
        <w:rPr>
          <w:i/>
        </w:rPr>
        <w:t xml:space="preserve"> been doing great on that, well done!</w:t>
      </w:r>
      <w:r w:rsidR="00714802" w:rsidRPr="00A829B3">
        <w:t>)</w:t>
      </w:r>
      <w:r w:rsidR="00714802">
        <w:t>.</w:t>
      </w:r>
      <w:r w:rsidR="00714802" w:rsidRPr="00A829B3">
        <w:t xml:space="preserve"> If a participant did not complete the assigned quiz, suggesting they also may not have completed the weekly reading, up to two reminders were sent with a similar supportive tone and a request to set a new deadline. </w:t>
      </w:r>
      <w:r w:rsidR="00961B04">
        <w:t>Thus, emails solely focused on adherence to the book and activities with simple prompts and did not include any other active intervention content (e.g., skills training, discussions of how to apply skills).</w:t>
      </w:r>
      <w:r w:rsidR="007A75CB">
        <w:t xml:space="preserve"> Emails did not include in-depth interactions or discussions of barriers to adherence, questions about assignments, or similar discussions as </w:t>
      </w:r>
      <w:r w:rsidR="007A75CB">
        <w:lastRenderedPageBreak/>
        <w:t>covered in phone coaching.</w:t>
      </w:r>
      <w:r w:rsidR="007C3882" w:rsidRPr="007C3882">
        <w:t xml:space="preserve"> </w:t>
      </w:r>
      <w:r w:rsidR="007C3882">
        <w:t xml:space="preserve">Although researcher contact time was minimal through these brief emails, </w:t>
      </w:r>
      <w:r w:rsidR="007C3882" w:rsidRPr="007C3882">
        <w:t xml:space="preserve">time spent </w:t>
      </w:r>
      <w:r w:rsidR="007C3882">
        <w:t xml:space="preserve">preparing and tracking emails </w:t>
      </w:r>
      <w:r w:rsidR="007C3882" w:rsidRPr="007C3882">
        <w:t xml:space="preserve">was estimated at approximately 90 minutes </w:t>
      </w:r>
      <w:r w:rsidR="007C3882">
        <w:t>per participant over the 8 weeks.</w:t>
      </w:r>
    </w:p>
    <w:p w14:paraId="61D472F3" w14:textId="2207A25D" w:rsidR="00EB3E00" w:rsidRPr="00C832B2" w:rsidRDefault="001415C9" w:rsidP="00AD6C49">
      <w:pPr>
        <w:spacing w:line="480" w:lineRule="auto"/>
        <w:rPr>
          <w:b/>
          <w:i/>
          <w:iCs/>
        </w:rPr>
      </w:pPr>
      <w:r w:rsidRPr="00C832B2">
        <w:rPr>
          <w:b/>
          <w:i/>
          <w:iCs/>
        </w:rPr>
        <w:t>GSH-P</w:t>
      </w:r>
      <w:r w:rsidR="003B57BE" w:rsidRPr="00C832B2">
        <w:rPr>
          <w:b/>
          <w:i/>
          <w:iCs/>
        </w:rPr>
        <w:t xml:space="preserve"> </w:t>
      </w:r>
    </w:p>
    <w:p w14:paraId="1BEA2162" w14:textId="414E6833" w:rsidR="007D1F26" w:rsidRPr="00A829B3" w:rsidRDefault="00EB3E00" w:rsidP="00AD6C49">
      <w:pPr>
        <w:spacing w:line="480" w:lineRule="auto"/>
      </w:pPr>
      <w:r>
        <w:rPr>
          <w:b/>
        </w:rPr>
        <w:tab/>
      </w:r>
      <w:r w:rsidR="00921CDE">
        <w:t>P</w:t>
      </w:r>
      <w:r w:rsidR="00921CDE" w:rsidRPr="00A829B3">
        <w:t xml:space="preserve">articipants assigned to the GSH-P condition </w:t>
      </w:r>
      <w:r w:rsidR="00921CDE">
        <w:t xml:space="preserve">received </w:t>
      </w:r>
      <w:r w:rsidR="00961B04">
        <w:t>the same email prompts as the GSH-E condition</w:t>
      </w:r>
      <w:r w:rsidR="00921CDE">
        <w:t xml:space="preserve">, but also </w:t>
      </w:r>
      <w:r w:rsidR="003B57BE" w:rsidRPr="00A829B3">
        <w:t>receive</w:t>
      </w:r>
      <w:r w:rsidR="00C05E76" w:rsidRPr="00A829B3">
        <w:t xml:space="preserve">d weekly phone </w:t>
      </w:r>
      <w:r w:rsidR="00E20498">
        <w:t xml:space="preserve">coaching </w:t>
      </w:r>
      <w:r w:rsidR="00C05E76" w:rsidRPr="00A829B3">
        <w:t>session</w:t>
      </w:r>
      <w:r w:rsidR="00E20498">
        <w:t>s. All phone coaching was conducted by the</w:t>
      </w:r>
      <w:r w:rsidR="00C05E76" w:rsidRPr="00A829B3">
        <w:t xml:space="preserve"> first author, an advanced clinical/counseling psychology doctoral </w:t>
      </w:r>
      <w:r w:rsidR="003B57BE" w:rsidRPr="00A829B3">
        <w:t>student</w:t>
      </w:r>
      <w:r w:rsidR="00921CDE">
        <w:t xml:space="preserve"> at the time of the study</w:t>
      </w:r>
      <w:r w:rsidR="003B57BE" w:rsidRPr="00A829B3">
        <w:t xml:space="preserve">. Phone sessions followed a protocol based on the supportive accountability model </w:t>
      </w:r>
      <w:r w:rsidR="003B57BE" w:rsidRPr="00A829B3">
        <w:fldChar w:fldCharType="begin" w:fldLock="1"/>
      </w:r>
      <w:r w:rsidR="00300001">
        <w:instrText>ADDIN CSL_CITATION {"citationItems":[{"id":"ITEM-1","itemData":{"DOI":"10.2196/jmir.1602","ISBN":"1438-8871 (Electronic)\\r1438-8871 (Linking)","ISSN":"14388871","PMID":"21393123","abstract":"The effectiveness of and adherence to eHealth interventions is enhanced by human support. However, human support has largely not been manualized and has usually not been guided by clear models. The objective of this paper is to develop a clear theoretical model, based on relevant empirical literature, that can guide research into human support components of eHealth interventions. A review of the literature revealed little relevant information from clinical sciences. Applicable literature was drawn primarily from organizational psychology, motivation theory, and computer-mediated communication (CMC) research. We have developed a model, referred to as \"Supportive Accountability.\" We argue that human support increases adherence through accountability to a coach who is seen as trustworthy, benevolent, and having expertise. Accountability should involve clear, process-oriented expectations that the patient is involved in determining. Reciprocity in the relationship, through which the patient derives clear benefits, should be explicit. The effect of accountability may be moderated by patient motivation. The more intrinsically motivated patients are, the less support they likely require. The process of support is also mediated by the communications medium (eg, telephone, instant messaging, email). Different communications media each have their own potential benefits and disadvantages. We discuss the specific components of accountability, motivation, and CMC medium in detail. The proposed model is a first step toward understanding how human support enhances adherence to eHealth interventions. Each component of the proposed model is a testable hypothesis. As we develop viable human support models, these should be manualized to facilitate dissemination.","author":[{"dropping-particle":"","family":"Mohr","given":"David C.","non-dropping-particle":"","parse-names":false,"suffix":""},{"dropping-particle":"","family":"Cuijpers","given":"Pim","non-dropping-particle":"","parse-names":false,"suffix":""},{"dropping-particle":"","family":"Lehman","given":"Kenneth","non-dropping-particle":"","parse-names":false,"suffix":""}],"container-title":"Journal of Medical Internet Research","id":"ITEM-1","issue":"1","issued":{"date-parts":[["2011"]]},"page":"1-11","title":"Supportive accountability: A model for providing human support to enhance adherence to eHealth interventions","type":"article-journal","volume":"13"},"uris":["http://www.mendeley.com/documents/?uuid=725f8964-4fc8-4454-84b0-00cf731200d6"]}],"mendeley":{"formattedCitation":"(Mohr, Cuijpers, &amp; Lehman, 2011)","manualFormatting":"{Formatting Citation}","plainTextFormattedCitation":"(Mohr, Cuijpers, &amp; Lehman, 2011)","previouslyFormattedCitation":"(Mohr, Cuijpers, &amp; Lehman, 2011)"},"properties":{"noteIndex":0},"schema":"https://github.com/citation-style-language/schema/raw/master/csl-citation.json"}</w:instrText>
      </w:r>
      <w:r w:rsidR="003B57BE" w:rsidRPr="00A829B3">
        <w:fldChar w:fldCharType="separate"/>
      </w:r>
      <w:r w:rsidR="00300001">
        <w:rPr>
          <w:noProof/>
        </w:rPr>
        <w:t>{Formatting Citation}</w:t>
      </w:r>
      <w:r w:rsidR="003B57BE" w:rsidRPr="00A829B3">
        <w:fldChar w:fldCharType="end"/>
      </w:r>
      <w:r w:rsidR="003B57BE" w:rsidRPr="00A829B3">
        <w:t xml:space="preserve"> and aimed to promote engagement with the self-help materials. The protocol consisted of a 30-minute initial </w:t>
      </w:r>
      <w:r w:rsidR="00C05E76" w:rsidRPr="00A829B3">
        <w:t xml:space="preserve">coaching </w:t>
      </w:r>
      <w:r w:rsidR="003B57BE" w:rsidRPr="00A829B3">
        <w:t xml:space="preserve">session focused on </w:t>
      </w:r>
      <w:r w:rsidR="00981D7B">
        <w:t xml:space="preserve">increasing </w:t>
      </w:r>
      <w:r w:rsidR="003B57BE" w:rsidRPr="00A829B3">
        <w:t xml:space="preserve">motivation and </w:t>
      </w:r>
      <w:r w:rsidR="00C05E76" w:rsidRPr="00A829B3">
        <w:t>addressing</w:t>
      </w:r>
      <w:r w:rsidR="003B57BE" w:rsidRPr="00A829B3">
        <w:t xml:space="preserve"> potential barriers to engagement. The subsequent </w:t>
      </w:r>
      <w:r w:rsidR="00BB4F55">
        <w:t>six</w:t>
      </w:r>
      <w:r w:rsidR="003B57BE" w:rsidRPr="00A829B3">
        <w:t xml:space="preserve"> weekly calls were 5-10 minutes long and focused on monitoring and reinforcing adherence, answering questions, </w:t>
      </w:r>
      <w:r w:rsidR="00E152DD" w:rsidRPr="00A829B3">
        <w:t>problem solving non-adherence</w:t>
      </w:r>
      <w:r w:rsidR="0061356E">
        <w:t>,</w:t>
      </w:r>
      <w:r w:rsidR="00E152DD" w:rsidRPr="00A829B3">
        <w:t xml:space="preserve"> and </w:t>
      </w:r>
      <w:r w:rsidR="003B57BE" w:rsidRPr="00A829B3">
        <w:t xml:space="preserve">enhancing motivation. </w:t>
      </w:r>
      <w:r w:rsidR="00691F34" w:rsidRPr="00A829B3">
        <w:t xml:space="preserve">Prior to each weekly check-in, the researcher sent an email reminder to complete the chapter reading and related tasks in addition to a prompt </w:t>
      </w:r>
      <w:r w:rsidR="0061356E">
        <w:t>for</w:t>
      </w:r>
      <w:r w:rsidR="00691F34" w:rsidRPr="00A829B3">
        <w:t xml:space="preserve"> the next scheduled phone check-in. </w:t>
      </w:r>
      <w:r w:rsidR="003B57BE" w:rsidRPr="00A829B3">
        <w:t xml:space="preserve">The final, 30-minute phone call in the eighth week focused on </w:t>
      </w:r>
      <w:r w:rsidR="00921CDE">
        <w:t>reviewing</w:t>
      </w:r>
      <w:r w:rsidR="00921CDE" w:rsidRPr="00A829B3">
        <w:t xml:space="preserve"> </w:t>
      </w:r>
      <w:r w:rsidR="003B57BE" w:rsidRPr="00A829B3">
        <w:t xml:space="preserve">experiences in the program and helping generalize skills and knowledge that </w:t>
      </w:r>
      <w:r w:rsidR="00A07810">
        <w:t>were</w:t>
      </w:r>
      <w:r w:rsidR="00A07810" w:rsidRPr="00A829B3">
        <w:t xml:space="preserve"> </w:t>
      </w:r>
      <w:r w:rsidR="003B57BE" w:rsidRPr="00A829B3">
        <w:t>gained.</w:t>
      </w:r>
      <w:r w:rsidR="00E152DD" w:rsidRPr="00A829B3">
        <w:t xml:space="preserve"> </w:t>
      </w:r>
      <w:proofErr w:type="gramStart"/>
      <w:r w:rsidR="00961B04">
        <w:t>Similar to</w:t>
      </w:r>
      <w:proofErr w:type="gramEnd"/>
      <w:r w:rsidR="00961B04">
        <w:t xml:space="preserve"> the email condition, phone coaching thus focused on adherence to the book and activities</w:t>
      </w:r>
      <w:r w:rsidR="00921CDE">
        <w:t>,</w:t>
      </w:r>
      <w:r w:rsidR="00961B04">
        <w:t xml:space="preserve"> rather than introducing additional intervention content. However, phone coaching was much more extended and elaborated than the email condition</w:t>
      </w:r>
      <w:r w:rsidR="002A3D64">
        <w:t xml:space="preserve">. The </w:t>
      </w:r>
      <w:r w:rsidR="00961B04">
        <w:t xml:space="preserve">phone </w:t>
      </w:r>
      <w:r w:rsidR="002A3D64">
        <w:t xml:space="preserve">check-ins included personalized </w:t>
      </w:r>
      <w:r w:rsidR="00961B04">
        <w:t>topics related to increasing motivation and generalizing skills learned in the book to daily life</w:t>
      </w:r>
      <w:r w:rsidR="00981D7B">
        <w:t xml:space="preserve"> (e.g., how participants can apply strategies from the book to address current challenges, discussing </w:t>
      </w:r>
      <w:r w:rsidR="002A3D64">
        <w:t xml:space="preserve">concepts </w:t>
      </w:r>
      <w:r w:rsidR="00981D7B">
        <w:t>participants were learning from the book)</w:t>
      </w:r>
      <w:r w:rsidR="00961B04">
        <w:t xml:space="preserve">. </w:t>
      </w:r>
      <w:r w:rsidR="00E152DD" w:rsidRPr="00A829B3">
        <w:t>This protocol was previously tested in our initial pilot trial with high satisfaction ratings (</w:t>
      </w:r>
      <w:r w:rsidR="00E152DD" w:rsidRPr="00A829B3">
        <w:rPr>
          <w:i/>
        </w:rPr>
        <w:t xml:space="preserve">citation removed for blind </w:t>
      </w:r>
      <w:r w:rsidR="00E152DD" w:rsidRPr="00A829B3">
        <w:rPr>
          <w:i/>
        </w:rPr>
        <w:lastRenderedPageBreak/>
        <w:t>review</w:t>
      </w:r>
      <w:r w:rsidR="00E152DD" w:rsidRPr="00A829B3">
        <w:t xml:space="preserve">). </w:t>
      </w:r>
      <w:proofErr w:type="gramStart"/>
      <w:r w:rsidR="0061356E">
        <w:t>R</w:t>
      </w:r>
      <w:r w:rsidR="007D1F26" w:rsidRPr="00A829B3">
        <w:t>esearcher</w:t>
      </w:r>
      <w:proofErr w:type="gramEnd"/>
      <w:r w:rsidR="007D1F26" w:rsidRPr="00A829B3">
        <w:t xml:space="preserve"> contact</w:t>
      </w:r>
      <w:r w:rsidR="0061356E">
        <w:t xml:space="preserve"> time</w:t>
      </w:r>
      <w:r w:rsidR="007D1F26" w:rsidRPr="00A829B3">
        <w:t xml:space="preserve"> with participants in this condition was estimated at approximately 120 minutes</w:t>
      </w:r>
      <w:r w:rsidR="0061356E">
        <w:t xml:space="preserve"> per participant over the 8 weeks</w:t>
      </w:r>
      <w:r w:rsidR="007D1F26" w:rsidRPr="00A829B3">
        <w:t>.</w:t>
      </w:r>
    </w:p>
    <w:p w14:paraId="72B876B8" w14:textId="39F43A56" w:rsidR="003B57BE" w:rsidRDefault="000B5053" w:rsidP="003B57BE">
      <w:pPr>
        <w:spacing w:line="480" w:lineRule="auto"/>
        <w:rPr>
          <w:b/>
        </w:rPr>
      </w:pPr>
      <w:r w:rsidRPr="00A829B3">
        <w:rPr>
          <w:b/>
        </w:rPr>
        <w:t xml:space="preserve">Outcome </w:t>
      </w:r>
      <w:r w:rsidR="003B57BE" w:rsidRPr="00A829B3">
        <w:rPr>
          <w:b/>
        </w:rPr>
        <w:t>Measures</w:t>
      </w:r>
    </w:p>
    <w:p w14:paraId="696ED17A" w14:textId="1F2FE1DE" w:rsidR="00564A80" w:rsidRPr="00D7264B" w:rsidRDefault="00564A80" w:rsidP="00D7264B">
      <w:pPr>
        <w:pStyle w:val="PlainText"/>
        <w:spacing w:line="480" w:lineRule="auto"/>
        <w:ind w:firstLine="720"/>
        <w:rPr>
          <w:rFonts w:ascii="Times New Roman" w:hAnsi="Times New Roman" w:cs="Times New Roman"/>
          <w:sz w:val="24"/>
          <w:szCs w:val="24"/>
        </w:rPr>
      </w:pPr>
      <w:r w:rsidRPr="00D7264B">
        <w:rPr>
          <w:rFonts w:ascii="Times New Roman" w:hAnsi="Times New Roman" w:cs="Times New Roman"/>
          <w:sz w:val="24"/>
          <w:szCs w:val="24"/>
        </w:rPr>
        <w:t xml:space="preserve">All outcome and process of change measures were assessed through online self-report surveys </w:t>
      </w:r>
      <w:proofErr w:type="gramStart"/>
      <w:r w:rsidRPr="00D7264B">
        <w:rPr>
          <w:rFonts w:ascii="Times New Roman" w:hAnsi="Times New Roman" w:cs="Times New Roman"/>
          <w:sz w:val="24"/>
          <w:szCs w:val="24"/>
        </w:rPr>
        <w:t>with the exception of</w:t>
      </w:r>
      <w:proofErr w:type="gramEnd"/>
      <w:r w:rsidRPr="00D7264B">
        <w:rPr>
          <w:rFonts w:ascii="Times New Roman" w:hAnsi="Times New Roman" w:cs="Times New Roman"/>
          <w:sz w:val="24"/>
          <w:szCs w:val="24"/>
        </w:rPr>
        <w:t xml:space="preserve"> book usage and satisfaction questions, which were only administered to participants in the GSH-E and GSH-P conditions at posttreatment. </w:t>
      </w:r>
    </w:p>
    <w:p w14:paraId="2157C1EE" w14:textId="3BA70C32" w:rsidR="00EB3E00" w:rsidRPr="00C832B2" w:rsidRDefault="003B57BE" w:rsidP="003B57BE">
      <w:pPr>
        <w:spacing w:line="480" w:lineRule="auto"/>
        <w:rPr>
          <w:b/>
          <w:i/>
          <w:iCs/>
        </w:rPr>
      </w:pPr>
      <w:r w:rsidRPr="00C832B2">
        <w:rPr>
          <w:b/>
          <w:i/>
          <w:iCs/>
        </w:rPr>
        <w:t xml:space="preserve">WSSQ </w:t>
      </w:r>
      <w:r w:rsidRPr="00C832B2">
        <w:rPr>
          <w:b/>
          <w:i/>
          <w:iCs/>
        </w:rPr>
        <w:fldChar w:fldCharType="begin" w:fldLock="1"/>
      </w:r>
      <w:r w:rsidRPr="00C832B2">
        <w:rPr>
          <w:b/>
          <w:i/>
          <w:iCs/>
        </w:rPr>
        <w:instrText>ADDIN CSL_CITATION {"citationItems":[{"id":"ITEM-1","itemData":{"DOI":"10.1038/oby.2009.353","ISBN":"1930-739X","ISSN":"1930-7381","PMID":"19834462","abstract":"Stigma associated with being overweight or obese is widespread. Given that weight loss is difficult to achieve and maintain, researchers have been calling for interventions that reduce the impact of weight stigma on life functioning. Sound measures that are sensitive to change are needed to help guide and inform intervention studies. This study presents the weight self-stigma questionnaire (WSSQ). The WSSQ has 12 items and is designed for use only with populations of overweight or obese persons. Two samples of participants--one treatment seeking, one nontreatment seeking--were used for validation (N = 169). Results indicate that the WSSQ has good reliability and validity, and contains two distinct subscales-self-devaluation and fear of enacted stigma. The WSSQ could be useful for identifying individuals who may benefit from a stigma reduction intervention and may also help evaluate programs designed to reduce stigma.","author":[{"dropping-particle":"","family":"Lillis","given":"Jason","non-dropping-particle":"","parse-names":false,"suffix":""},{"dropping-particle":"","family":"Luoma","given":"Jason B","non-dropping-particle":"","parse-names":false,"suffix":""},{"dropping-particle":"","family":"Levin","given":"Michael E","non-dropping-particle":"","parse-names":false,"suffix":""},{"dropping-particle":"","family":"Hayes","given":"Steven C","non-dropping-particle":"","parse-names":false,"suffix":""}],"container-title":"Obesity (Silver Spring, Md.)","id":"ITEM-1","issue":"5","issued":{"date-parts":[["2010"]]},"page":"971-976","publisher":"Nature Publishing Group","title":"Measuring weight self-stigma: The Weight Self-Stigma Questionnaire.","type":"article-journal","volume":"18"},"uris":["http://www.mendeley.com/documents/?uuid=02954ca2-acb7-42d8-80a5-df49ed5fd348"]}],"mendeley":{"formattedCitation":"(Lillis et al., 2010)","plainTextFormattedCitation":"(Lillis et al., 2010)","previouslyFormattedCitation":"(Lillis et al., 2010)"},"properties":{"noteIndex":0},"schema":"https://github.com/citation-style-language/schema/raw/master/csl-citation.json"}</w:instrText>
      </w:r>
      <w:r w:rsidRPr="00C832B2">
        <w:rPr>
          <w:b/>
          <w:i/>
          <w:iCs/>
        </w:rPr>
        <w:fldChar w:fldCharType="separate"/>
      </w:r>
      <w:r w:rsidRPr="00C832B2">
        <w:rPr>
          <w:b/>
          <w:i/>
          <w:iCs/>
          <w:noProof/>
        </w:rPr>
        <w:t>(Lillis et al., 2010)</w:t>
      </w:r>
      <w:r w:rsidRPr="00C832B2">
        <w:rPr>
          <w:b/>
          <w:i/>
          <w:iCs/>
        </w:rPr>
        <w:fldChar w:fldCharType="end"/>
      </w:r>
    </w:p>
    <w:p w14:paraId="29AF5433" w14:textId="6A29E809" w:rsidR="003B57BE" w:rsidRPr="00A829B3" w:rsidRDefault="00EB3E00" w:rsidP="003B57BE">
      <w:pPr>
        <w:spacing w:line="480" w:lineRule="auto"/>
      </w:pPr>
      <w:r>
        <w:tab/>
      </w:r>
      <w:r w:rsidR="003B57BE" w:rsidRPr="00A829B3">
        <w:t>The WSSQ is a 12-item scale measuring weight self-stigma, including both negative attitudes toward oneself based on weight and fear of being stigmatized by others. Each item is rated from 1 (completely disagree) to 5 (completely agree), and items are summed to generate a total score. The measure has good convergent and divergent validity in addition to good internal consistency (</w:t>
      </w:r>
      <w:r w:rsidR="003B57BE" w:rsidRPr="00A829B3">
        <w:sym w:font="Symbol" w:char="F061"/>
      </w:r>
      <w:r w:rsidR="003B57BE" w:rsidRPr="00A829B3">
        <w:t xml:space="preserve"> = 0.88), and is sensitive to change </w:t>
      </w:r>
      <w:r w:rsidR="003B57BE" w:rsidRPr="00A829B3">
        <w:fldChar w:fldCharType="begin" w:fldLock="1"/>
      </w:r>
      <w:r w:rsidR="003B57BE" w:rsidRPr="00A829B3">
        <w:instrText>ADDIN CSL_CITATION {"citationItems":[{"id":"ITEM-1","itemData":{"DOI":"10.1038/oby.2009.353","ISBN":"1930-739X","ISSN":"1930-7381","PMID":"19834462","abstract":"Stigma associated with being overweight or obese is widespread. Given that weight loss is difficult to achieve and maintain, researchers have been calling for interventions that reduce the impact of weight stigma on life functioning. Sound measures that are sensitive to change are needed to help guide and inform intervention studies. This study presents the weight self-stigma questionnaire (WSSQ). The WSSQ has 12 items and is designed for use only with populations of overweight or obese persons. Two samples of participants--one treatment seeking, one nontreatment seeking--were used for validation (N = 169). Results indicate that the WSSQ has good reliability and validity, and contains two distinct subscales-self-devaluation and fear of enacted stigma. The WSSQ could be useful for identifying individuals who may benefit from a stigma reduction intervention and may also help evaluate programs designed to reduce stigma.","author":[{"dropping-particle":"","family":"Lillis","given":"Jason","non-dropping-particle":"","parse-names":false,"suffix":""},{"dropping-particle":"","family":"Luoma","given":"Jason B","non-dropping-particle":"","parse-names":false,"suffix":""},{"dropping-particle":"","family":"Levin","given":"Michael E","non-dropping-particle":"","parse-names":false,"suffix":""},{"dropping-particle":"","family":"Hayes","given":"Steven C","non-dropping-particle":"","parse-names":false,"suffix":""}],"container-title":"Obesity (Silver Spring, Md.)","id":"ITEM-1","issue":"5","issued":{"date-parts":[["2010"]]},"page":"971-976","publisher":"Nature Publishing Group","title":"Measuring weight self-stigma: The Weight Self-Stigma Questionnaire.","type":"article-journal","volume":"18"},"uris":["http://www.mendeley.com/documents/?uuid=02954ca2-acb7-42d8-80a5-df49ed5fd348"]}],"mendeley":{"formattedCitation":"(Lillis et al., 2010)","plainTextFormattedCitation":"(Lillis et al., 2010)","previouslyFormattedCitation":"(Lillis et al., 2010)"},"properties":{"noteIndex":0},"schema":"https://github.com/citation-style-language/schema/raw/master/csl-citation.json"}</w:instrText>
      </w:r>
      <w:r w:rsidR="003B57BE" w:rsidRPr="00A829B3">
        <w:fldChar w:fldCharType="separate"/>
      </w:r>
      <w:r w:rsidR="003B57BE" w:rsidRPr="00A829B3">
        <w:rPr>
          <w:noProof/>
        </w:rPr>
        <w:t>(Lillis et al., 2010)</w:t>
      </w:r>
      <w:r w:rsidR="003B57BE" w:rsidRPr="00A829B3">
        <w:fldChar w:fldCharType="end"/>
      </w:r>
      <w:r w:rsidR="003B57BE" w:rsidRPr="00A829B3">
        <w:t xml:space="preserve">. </w:t>
      </w:r>
      <w:r w:rsidR="001D61A4" w:rsidRPr="00A829B3">
        <w:t>Internal consistency</w:t>
      </w:r>
      <w:r w:rsidR="003B57BE" w:rsidRPr="00A829B3">
        <w:t xml:space="preserve"> was good in this sample (</w:t>
      </w:r>
      <w:r w:rsidR="003B57BE" w:rsidRPr="00A829B3">
        <w:sym w:font="Symbol" w:char="F061"/>
      </w:r>
      <w:r w:rsidR="003B57BE" w:rsidRPr="00A829B3">
        <w:t xml:space="preserve"> = 0.85).</w:t>
      </w:r>
    </w:p>
    <w:p w14:paraId="23D0EE60" w14:textId="1212B83B" w:rsidR="00EB3E00" w:rsidRPr="00C832B2" w:rsidRDefault="003B57BE" w:rsidP="003B57BE">
      <w:pPr>
        <w:spacing w:line="480" w:lineRule="auto"/>
        <w:rPr>
          <w:i/>
        </w:rPr>
      </w:pPr>
      <w:r w:rsidRPr="00C832B2">
        <w:rPr>
          <w:b/>
          <w:i/>
        </w:rPr>
        <w:t xml:space="preserve">Weight Control Strategies Scale (WCSS; </w:t>
      </w:r>
      <w:r w:rsidRPr="00C832B2">
        <w:rPr>
          <w:b/>
          <w:i/>
        </w:rPr>
        <w:fldChar w:fldCharType="begin" w:fldLock="1"/>
      </w:r>
      <w:r w:rsidRPr="00C832B2">
        <w:rPr>
          <w:b/>
          <w:i/>
        </w:rPr>
        <w:instrText>ADDIN CSL_CITATION {"citationItems":[{"id":"ITEM-1","itemData":{"DOI":"10.1002/oby.20368","ISSN":"19307381","abstract":"OBJECTIVE: To develop and validate the Weight Control Strategies Scale (WCSS), a self-report instrument to assess the use of specific behaviors thought to facilitate weight loss.\\n\\nDESIGN AND METHODS: Factor analysis was conducted on 323 overweight and obese adults (mean age = 48.7 ± 10.9 years, mean body mass index = 35.4 ± 4.9 kg/m(2) , 74% female) enrolled in three different behavioral weight loss trials who completed the WCSS prior to starting treatment. To evaluate construct validity, additional data on dietary intake, physical activity, treatment session attendance, and weight change were obtained from a subsample of participants before and after participation in a 48-week weight loss program.\\n\\nRESULTS: Principal components analysis with varimax rotation revealed a four-component solution for the WCSS, representing the following subscales: Dietary Choices, Self-monitoring Strategies, Physical Activity, and Psychological Coping (α from 0.79 to 0.89). Longitudinal analyses showed that WCSS subscale scores increased during treatment (P &lt; 0.01). In adjusted models, changes in WCSS total and subscale scores were associated with post-treatment weight loss (P &lt; 0.01). Additionally, changes in WCSS Dietary Choices and Physical Activity subscales were related to post-treatment changes in total daily kilocalorie consumption (P = 0.019) and weekly kilocalorie expenditure through physical activity (P &lt; 0.001), respectively.\\n\\nCONCLUSIONS: Findings support the validity and reliability of the WCSS in a weight loss treatment-seeking sample.","author":[{"dropping-particle":"","family":"Pinto","given":"Angela Marinilli","non-dropping-particle":"","parse-names":false,"suffix":""},{"dropping-particle":"","family":"Fava","given":"Joseph L.","non-dropping-particle":"","parse-names":false,"suffix":""},{"dropping-particle":"","family":"Raynor","given":"Hollie A.","non-dropping-particle":"","parse-names":false,"suffix":""},{"dropping-particle":"","family":"Larose","given":"Jessica Gokee","non-dropping-particle":"","parse-names":false,"suffix":""},{"dropping-particle":"","family":"Wing","given":"Rena R.","non-dropping-particle":"","parse-names":false,"suffix":""}],"container-title":"Obesity","id":"ITEM-1","issued":{"date-parts":[["2013"]]},"page":"2429-2436","title":"Development and validation of the Weight Control Strategies Scale","type":"article-journal","volume":"21"},"uris":["http://www.mendeley.com/documents/?uuid=f8473c4d-e8e3-4815-a11a-4711a26db780"]}],"mendeley":{"formattedCitation":"(Pinto, Fava, Raynor, Larose, &amp; Wing, 2013)","manualFormatting":"Pinto, Fava, Raynor, Larose, &amp; Wing, 2013)","plainTextFormattedCitation":"(Pinto, Fava, Raynor, Larose, &amp; Wing, 2013)","previouslyFormattedCitation":"(Pinto, Fava, Raynor, Larose, &amp; Wing, 2013)"},"properties":{"noteIndex":0},"schema":"https://github.com/citation-style-language/schema/raw/master/csl-citation.json"}</w:instrText>
      </w:r>
      <w:r w:rsidRPr="00C832B2">
        <w:rPr>
          <w:b/>
          <w:i/>
        </w:rPr>
        <w:fldChar w:fldCharType="separate"/>
      </w:r>
      <w:r w:rsidRPr="00C832B2">
        <w:rPr>
          <w:b/>
          <w:i/>
          <w:noProof/>
        </w:rPr>
        <w:t>Pinto</w:t>
      </w:r>
      <w:r w:rsidR="00300001">
        <w:rPr>
          <w:b/>
          <w:i/>
          <w:noProof/>
        </w:rPr>
        <w:t xml:space="preserve"> et al.</w:t>
      </w:r>
      <w:r w:rsidRPr="00C832B2">
        <w:rPr>
          <w:b/>
          <w:i/>
          <w:noProof/>
        </w:rPr>
        <w:t>, 2013)</w:t>
      </w:r>
      <w:r w:rsidRPr="00C832B2">
        <w:rPr>
          <w:b/>
          <w:i/>
        </w:rPr>
        <w:fldChar w:fldCharType="end"/>
      </w:r>
    </w:p>
    <w:p w14:paraId="531EAB22" w14:textId="7332727E" w:rsidR="003B57BE" w:rsidRPr="00A829B3" w:rsidRDefault="00EB3E00" w:rsidP="003B57BE">
      <w:pPr>
        <w:spacing w:line="480" w:lineRule="auto"/>
      </w:pPr>
      <w:r>
        <w:tab/>
      </w:r>
      <w:r w:rsidR="003B57BE" w:rsidRPr="00A829B3">
        <w:t xml:space="preserve">The WCSS is a 30-item </w:t>
      </w:r>
      <w:r w:rsidR="00A45EF4">
        <w:t>measure of effective</w:t>
      </w:r>
      <w:r w:rsidR="003B57BE" w:rsidRPr="00A829B3">
        <w:t xml:space="preserve"> weight </w:t>
      </w:r>
      <w:r w:rsidR="00A45EF4">
        <w:t>management</w:t>
      </w:r>
      <w:r w:rsidR="003B57BE" w:rsidRPr="00A829B3">
        <w:t xml:space="preserve"> behaviors. It has four subscales: dietary choices, self-monitoring strategies, physical activity, and psychological coping (e.g., </w:t>
      </w:r>
      <w:r w:rsidR="001D61A4" w:rsidRPr="00A829B3">
        <w:t>using effective psychological strategies for</w:t>
      </w:r>
      <w:r w:rsidR="003B57BE" w:rsidRPr="00A829B3">
        <w:t xml:space="preserve"> weight loss). Each item is rated from 0 (never) to 4 (always), for the timeframe of the past month. The WCSS </w:t>
      </w:r>
      <w:r w:rsidR="001D61A4" w:rsidRPr="00A829B3">
        <w:t>s</w:t>
      </w:r>
      <w:r w:rsidR="003B57BE" w:rsidRPr="00A829B3">
        <w:t>ubscales have good internal consistency</w:t>
      </w:r>
      <w:r w:rsidR="008F0292" w:rsidRPr="00A829B3">
        <w:t xml:space="preserve"> and validity</w:t>
      </w:r>
      <w:r w:rsidR="003B57BE" w:rsidRPr="00A829B3">
        <w:t xml:space="preserve"> </w:t>
      </w:r>
      <w:r w:rsidR="003B57BE" w:rsidRPr="00A829B3">
        <w:fldChar w:fldCharType="begin" w:fldLock="1"/>
      </w:r>
      <w:r w:rsidR="003B57BE" w:rsidRPr="00A829B3">
        <w:instrText>ADDIN CSL_CITATION {"citationItems":[{"id":"ITEM-1","itemData":{"DOI":"10.1002/oby.20368","ISSN":"19307381","abstract":"OBJECTIVE: To develop and validate the Weight Control Strategies Scale (WCSS), a self-report instrument to assess the use of specific behaviors thought to facilitate weight loss.\\n\\nDESIGN AND METHODS: Factor analysis was conducted on 323 overweight and obese adults (mean age = 48.7 ± 10.9 years, mean body mass index = 35.4 ± 4.9 kg/m(2) , 74% female) enrolled in three different behavioral weight loss trials who completed the WCSS prior to starting treatment. To evaluate construct validity, additional data on dietary intake, physical activity, treatment session attendance, and weight change were obtained from a subsample of participants before and after participation in a 48-week weight loss program.\\n\\nRESULTS: Principal components analysis with varimax rotation revealed a four-component solution for the WCSS, representing the following subscales: Dietary Choices, Self-monitoring Strategies, Physical Activity, and Psychological Coping (α from 0.79 to 0.89). Longitudinal analyses showed that WCSS subscale scores increased during treatment (P &lt; 0.01). In adjusted models, changes in WCSS total and subscale scores were associated with post-treatment weight loss (P &lt; 0.01). Additionally, changes in WCSS Dietary Choices and Physical Activity subscales were related to post-treatment changes in total daily kilocalorie consumption (P = 0.019) and weekly kilocalorie expenditure through physical activity (P &lt; 0.001), respectively.\\n\\nCONCLUSIONS: Findings support the validity and reliability of the WCSS in a weight loss treatment-seeking sample.","author":[{"dropping-particle":"","family":"Pinto","given":"Angela Marinilli","non-dropping-particle":"","parse-names":false,"suffix":""},{"dropping-particle":"","family":"Fava","given":"Joseph L.","non-dropping-particle":"","parse-names":false,"suffix":""},{"dropping-particle":"","family":"Raynor","given":"Hollie A.","non-dropping-particle":"","parse-names":false,"suffix":""},{"dropping-particle":"","family":"Larose","given":"Jessica Gokee","non-dropping-particle":"","parse-names":false,"suffix":""},{"dropping-particle":"","family":"Wing","given":"Rena R.","non-dropping-particle":"","parse-names":false,"suffix":""}],"container-title":"Obesity","id":"ITEM-1","issued":{"date-parts":[["2013"]]},"page":"2429-2436","title":"Development and validation of the Weight Control Strategies Scale","type":"article-journal","volume":"21"},"uris":["http://www.mendeley.com/documents/?uuid=f8473c4d-e8e3-4815-a11a-4711a26db780"]}],"mendeley":{"formattedCitation":"(Pinto et al., 2013)","plainTextFormattedCitation":"(Pinto et al., 2013)","previouslyFormattedCitation":"(Pinto et al., 2013)"},"properties":{"noteIndex":0},"schema":"https://github.com/citation-style-language/schema/raw/master/csl-citation.json"}</w:instrText>
      </w:r>
      <w:r w:rsidR="003B57BE" w:rsidRPr="00A829B3">
        <w:fldChar w:fldCharType="separate"/>
      </w:r>
      <w:r w:rsidR="003B57BE" w:rsidRPr="00A829B3">
        <w:rPr>
          <w:noProof/>
        </w:rPr>
        <w:t>(Pinto et al., 2013)</w:t>
      </w:r>
      <w:r w:rsidR="003B57BE" w:rsidRPr="00A829B3">
        <w:fldChar w:fldCharType="end"/>
      </w:r>
      <w:r w:rsidR="003B57BE" w:rsidRPr="00A829B3">
        <w:t>. Internal consistency was ade</w:t>
      </w:r>
      <w:r w:rsidR="008F0292" w:rsidRPr="00A829B3">
        <w:t xml:space="preserve">quate in the present sample </w:t>
      </w:r>
      <w:r w:rsidR="003B57BE" w:rsidRPr="00A829B3">
        <w:t xml:space="preserve">(dietary choices </w:t>
      </w:r>
      <w:r w:rsidR="003B57BE" w:rsidRPr="00A829B3">
        <w:sym w:font="Symbol" w:char="F061"/>
      </w:r>
      <w:r w:rsidR="003B57BE" w:rsidRPr="00A829B3">
        <w:t xml:space="preserve"> = 0.74, self-monitoring </w:t>
      </w:r>
      <w:r w:rsidR="003B57BE" w:rsidRPr="00A829B3">
        <w:sym w:font="Symbol" w:char="F061"/>
      </w:r>
      <w:r w:rsidR="003B57BE" w:rsidRPr="00A829B3">
        <w:t xml:space="preserve"> = 0.89, physical activity </w:t>
      </w:r>
      <w:r w:rsidR="003B57BE" w:rsidRPr="00A829B3">
        <w:sym w:font="Symbol" w:char="F061"/>
      </w:r>
      <w:r w:rsidR="003B57BE" w:rsidRPr="00A829B3">
        <w:t xml:space="preserve"> = 0.80, psychological coping </w:t>
      </w:r>
      <w:r w:rsidR="003B57BE" w:rsidRPr="00A829B3">
        <w:sym w:font="Symbol" w:char="F061"/>
      </w:r>
      <w:r w:rsidR="00A45EF4">
        <w:t xml:space="preserve"> = 0.76).</w:t>
      </w:r>
    </w:p>
    <w:p w14:paraId="740AED01" w14:textId="5B217E66" w:rsidR="00EB3E00" w:rsidRPr="00C832B2" w:rsidRDefault="003B57BE" w:rsidP="003B57BE">
      <w:pPr>
        <w:spacing w:line="480" w:lineRule="auto"/>
        <w:rPr>
          <w:i/>
          <w:iCs/>
        </w:rPr>
      </w:pPr>
      <w:r w:rsidRPr="00C832B2">
        <w:rPr>
          <w:b/>
          <w:i/>
          <w:iCs/>
        </w:rPr>
        <w:t xml:space="preserve">Dutch Eating Behavior Questionnaire-Emotional Eating (DEBQ-EE; </w:t>
      </w:r>
      <w:r w:rsidRPr="00C832B2">
        <w:rPr>
          <w:b/>
          <w:i/>
          <w:iCs/>
        </w:rPr>
        <w:fldChar w:fldCharType="begin" w:fldLock="1"/>
      </w:r>
      <w:r w:rsidRPr="00C832B2">
        <w:rPr>
          <w:b/>
          <w:i/>
          <w:iCs/>
        </w:rPr>
        <w:instrText>ADDIN CSL_CITATION {"citationItems":[{"id":"ITEM-1","itemData":{"DOI":"10.1002/erv.2448","author":[{"dropping-particle":"","family":"Strien","given":"T","non-dropping-particle":"van","parse-names":false,"suffix":""},{"dropping-particle":"","family":"Frijters","given":"Jan E.R.","non-dropping-particle":"","parse-names":false,"suffix":""},{"dropping-particle":"","family":"Bergers","given":"Gerard P.A.","non-dropping-particle":"","parse-names":false,"suffix":""},{"dropping-particle":"","family":"Defares","given":"Peter B.","non-dropping-particle":"","parse-names":false,"suffix":""}],"container-title":"International Journal of Eating Disorders","id":"ITEM-1","issued":{"date-parts":[["1986"]]},"page":"295-315","title":"The Dutch Eating Behavior Questionnaire (DEBQ) for assessment of restrained, emotional, and external eating behavior","type":"article-journal","volume":"5"},"uris":["http://www.mendeley.com/documents/?uuid=fe5a1c74-e150-42cd-bcc7-b140629cca37"]}],"mendeley":{"formattedCitation":"(van Strien, Frijters, Bergers, &amp; Defares, 1986)","manualFormatting":"van Strien, Frijters, Bergers, &amp; Defares, 1986)","plainTextFormattedCitation":"(van Strien, Frijters, Bergers, &amp; Defares, 1986)","previouslyFormattedCitation":"(van Strien, Frijters, Bergers, &amp; Defares, 1986)"},"properties":{"noteIndex":0},"schema":"https://github.com/citation-style-language/schema/raw/master/csl-citation.json"}</w:instrText>
      </w:r>
      <w:r w:rsidRPr="00C832B2">
        <w:rPr>
          <w:b/>
          <w:i/>
          <w:iCs/>
        </w:rPr>
        <w:fldChar w:fldCharType="separate"/>
      </w:r>
      <w:r w:rsidRPr="00C832B2">
        <w:rPr>
          <w:b/>
          <w:i/>
          <w:iCs/>
          <w:noProof/>
        </w:rPr>
        <w:t>van Strien</w:t>
      </w:r>
      <w:r w:rsidR="00300001">
        <w:rPr>
          <w:b/>
          <w:i/>
          <w:iCs/>
          <w:noProof/>
        </w:rPr>
        <w:t xml:space="preserve"> et al.</w:t>
      </w:r>
      <w:r w:rsidRPr="00C832B2">
        <w:rPr>
          <w:b/>
          <w:i/>
          <w:iCs/>
          <w:noProof/>
        </w:rPr>
        <w:t>, 1986)</w:t>
      </w:r>
      <w:r w:rsidRPr="00C832B2">
        <w:rPr>
          <w:b/>
          <w:i/>
          <w:iCs/>
        </w:rPr>
        <w:fldChar w:fldCharType="end"/>
      </w:r>
      <w:r w:rsidRPr="00C832B2">
        <w:rPr>
          <w:i/>
          <w:iCs/>
        </w:rPr>
        <w:t xml:space="preserve"> </w:t>
      </w:r>
    </w:p>
    <w:p w14:paraId="7265CED7" w14:textId="2EFAE96B" w:rsidR="00EB3E00" w:rsidRDefault="00EB3E00" w:rsidP="003B57BE">
      <w:pPr>
        <w:spacing w:line="480" w:lineRule="auto"/>
      </w:pPr>
      <w:r>
        <w:lastRenderedPageBreak/>
        <w:tab/>
      </w:r>
      <w:r w:rsidR="003B57BE" w:rsidRPr="00A829B3">
        <w:t>The 13-item Emotional Eating subscale of the DEBQ</w:t>
      </w:r>
      <w:r w:rsidR="00981D7B">
        <w:t>-EE</w:t>
      </w:r>
      <w:r w:rsidR="003B57BE" w:rsidRPr="00A829B3">
        <w:t xml:space="preserve"> assess</w:t>
      </w:r>
      <w:r w:rsidR="000B5053" w:rsidRPr="00A829B3">
        <w:t>ed</w:t>
      </w:r>
      <w:r w:rsidR="003B57BE" w:rsidRPr="00A829B3">
        <w:t xml:space="preserve"> the degree to which respondents have a desire to eat in response to unpleasant emotions such as sadness or irritation. Each item is rated from 1 (never) to 5 (very often), and items are summed together to generate a total score. </w:t>
      </w:r>
      <w:r w:rsidR="000B5053" w:rsidRPr="00A829B3">
        <w:t>The DEBQ-EE has been found to have adequate reliability and validity in previous research</w:t>
      </w:r>
      <w:r w:rsidR="003B57BE" w:rsidRPr="00A829B3">
        <w:t xml:space="preserve"> </w:t>
      </w:r>
      <w:r w:rsidR="003B57BE" w:rsidRPr="00A829B3">
        <w:fldChar w:fldCharType="begin" w:fldLock="1"/>
      </w:r>
      <w:r w:rsidR="003B57BE" w:rsidRPr="00A829B3">
        <w:instrText>ADDIN CSL_CITATION {"citationItems":[{"id":"ITEM-1","itemData":{"DOI":"10.1177/1073191117719508","ISBN":"1073191117719","ISSN":"1073-1911","abstract":"This study evaluated the ecological validity (i.e., accurate measurement of a construct as experienced in naturalistic settings) of the self-report Dutch Eating Behavior Questionnaire (DEBQ). Obese adults ( N = 50) completed the DEBQ, followed by a 2-week ecological momentary assessment protocol that included measures of eating episodes and associated intrapersonal contextual factors. Results revealed that DEBQ Emotional Eating was associated with greater negative affect and less positive affect at both pre- and post-eating episode, as well as post-eating ratings of feeling driven to eat. DEBQ External Eating was positively associated with pre-eating expectations about enjoying the taste of food, but was unrelated to actual enjoyment reported post-eating; External Eating was positively associated with the post-eating ratings of feeling driven to eat. DEBQ Dietary Restraint was positively associated with pre-eating intentions to eat less to lose/avoid gaining weight. Overall, results provide some support for the ecological validity of the DEBQ.","author":[{"dropping-particle":"","family":"Mason","given":"Tyler B.","non-dropping-particle":"","parse-names":false,"suffix":""},{"dropping-particle":"","family":"Pacanowski","given":"Carly R.","non-dropping-particle":"","parse-names":false,"suffix":""},{"dropping-particle":"","family":"Lavender","given":"Jason M.","non-dropping-particle":"","parse-names":false,"suffix":""},{"dropping-particle":"","family":"Crosby","given":"Ross D.","non-dropping-particle":"","parse-names":false,"suffix":""},{"dropping-particle":"","family":"Wonderlich","given":"Stephen A.","non-dropping-particle":"","parse-names":false,"suffix":""},{"dropping-particle":"","family":"Engel","given":"Scott G.","non-dropping-particle":"","parse-names":false,"suffix":""},{"dropping-particle":"","family":"Mitchell","given":"James E.","non-dropping-particle":"","parse-names":false,"suffix":""},{"dropping-particle":"","family":"Crow","given":"Scott J.","non-dropping-particle":"","parse-names":false,"suffix":""},{"dropping-particle":"","family":"Peterson","given":"Carol B.","non-dropping-particle":"","parse-names":false,"suffix":""}],"container-title":"Assessment","id":"ITEM-1","issued":{"date-parts":[["2019"]]},"page":"907-914","title":"Evaluating the ecological validity of the Dutch Eating Behavior Questionnaire among obese adults using ecological momentary assessment","type":"article-journal","volume":"26"},"uris":["http://www.mendeley.com/documents/?uuid=8b010bca-c9ea-4d78-8067-1d919ec6adb9"]},{"id":"ITEM-2","itemData":{"DOI":"10.1016/j.appet.2013.02.016","ISSN":"01956663","abstract":"Do people with a high score on a scale for eating in response to negative emotions also show high food intake in response to positive emotions? We studied these effects in 60 female students that were preselected on the basis of extreme high or low scores on an emotional eating questionnaire. Using a between subject design we experimentally tested the difference in food intake following a mood induction designed to induce joy or sadness (the joy vs. sad mood condition). The high and low emotional eaters did not differ in their food intake, but emotional eating significantly moderated the relationship between mood condition and food intake. Whereas low emotional eaters ate similar amounts after the sad and after the joy mood condition, high emotional eaters ate significantly more after the sad mood condition than after the joy mood condition. A further finding was that a similar moderator effect for emotional eating was found for intake of sweet food but not for intake of salty food. These findings would suggest that eating in response to negative and to positive emotions refer to two different constructs. © 2013 Elsevier Ltd.","author":[{"dropping-particle":"","family":"Strien","given":"T.","non-dropping-particle":"van","parse-names":false,"suffix":""},{"dropping-particle":"","family":"Cebolla","given":"Av","non-dropping-particle":"","parse-names":false,"suffix":""},{"dropping-particle":"","family":"Etchemendy","given":"E.","non-dropping-particle":"","parse-names":false,"suffix":""},{"dropping-particle":"","family":"Gutiérrez-Maldonado","given":"J.","non-dropping-particle":"","parse-names":false,"suffix":""},{"dropping-particle":"","family":"Ferrer-García","given":"M.","non-dropping-particle":"","parse-names":false,"suffix":""},{"dropping-particle":"","family":"Botella","given":"C.","non-dropping-particle":"","parse-names":false,"suffix":""},{"dropping-particle":"","family":"Baños","given":"R.","non-dropping-particle":"","parse-names":false,"suffix":""}],"container-title":"Appetite","id":"ITEM-2","issued":{"date-parts":[["2013"]]},"page":"20-25","publisher":"Elsevier Ltd","title":"Emotional eating and food intake after sadness and joy","type":"article-journal","volume":"66"},"uris":["http://www.mendeley.com/documents/?uuid=65f35e79-faa5-48cd-a70e-c6f708b5b8b5"]}],"mendeley":{"formattedCitation":"(Mason et al., 2019; van Strien et al., 2013)","manualFormatting":"(Mason et al., 2019; van Strien et al., 2013)","plainTextFormattedCitation":"(Mason et al., 2019; van Strien et al., 2013)","previouslyFormattedCitation":"(Mason et al., 2019; van Strien et al., 2013)"},"properties":{"noteIndex":0},"schema":"https://github.com/citation-style-language/schema/raw/master/csl-citation.json"}</w:instrText>
      </w:r>
      <w:r w:rsidR="003B57BE" w:rsidRPr="00A829B3">
        <w:fldChar w:fldCharType="separate"/>
      </w:r>
      <w:r w:rsidR="00A576DD" w:rsidRPr="00A829B3">
        <w:rPr>
          <w:noProof/>
        </w:rPr>
        <w:t>(</w:t>
      </w:r>
      <w:r w:rsidR="003B57BE" w:rsidRPr="00A829B3">
        <w:rPr>
          <w:noProof/>
        </w:rPr>
        <w:t>van Strien et al., 2013)</w:t>
      </w:r>
      <w:r w:rsidR="003B57BE" w:rsidRPr="00A829B3">
        <w:fldChar w:fldCharType="end"/>
      </w:r>
      <w:r w:rsidR="003B57BE" w:rsidRPr="00A829B3">
        <w:t>. Internal consistency was excellent for the DEBQ-EE in this study (</w:t>
      </w:r>
      <w:r w:rsidR="003B57BE" w:rsidRPr="00A829B3">
        <w:sym w:font="Symbol" w:char="F061"/>
      </w:r>
      <w:r w:rsidR="003B57BE" w:rsidRPr="00A829B3">
        <w:t xml:space="preserve"> = 0.93).</w:t>
      </w:r>
    </w:p>
    <w:p w14:paraId="5C063373" w14:textId="6AD989F5" w:rsidR="00EB3E00" w:rsidRPr="00C832B2" w:rsidRDefault="00A45EF4" w:rsidP="00EB3E00">
      <w:pPr>
        <w:spacing w:line="480" w:lineRule="auto"/>
        <w:rPr>
          <w:b/>
          <w:i/>
        </w:rPr>
      </w:pPr>
      <w:r w:rsidRPr="00C832B2">
        <w:rPr>
          <w:b/>
          <w:i/>
        </w:rPr>
        <w:t xml:space="preserve">Eating Disorder Examination Questionnaire-Binge Eating Episodes (EDE; </w:t>
      </w:r>
      <w:r w:rsidRPr="00C832B2">
        <w:rPr>
          <w:b/>
          <w:i/>
        </w:rPr>
        <w:fldChar w:fldCharType="begin" w:fldLock="1"/>
      </w:r>
      <w:r w:rsidRPr="00C832B2">
        <w:rPr>
          <w:b/>
          <w:i/>
        </w:rPr>
        <w:instrText>ADDIN CSL_CITATION {"citationItems":[{"id":"ITEM-1","itemData":{"DOI":"10.1002/1098-108X(199412)16:4&lt;363::AID-EAT2260160405&gt;3.0.CO;2-#","ISBN":"0276-3478","ISSN":"1098108X","PMID":"7866415","abstract":"A detailed comparison was made of two methods for assessing the features of eating disorders. An investigator-based interview was compared with a self-report questionnaire based directly on that interview. A number of important discrepancies emerged. Although the two measures performed similarly with respect to the assessment of unambiguous behavioral features such as self-induced vomiting and dieting, the self-report questionnaire generated higher scores than the interview when assessing more complex features such as binge eating and concerns about shape. Both methods underestimated body weight.","author":[{"dropping-particle":"","family":"Fairburn","given":"Christopher G.","non-dropping-particle":"","parse-names":false,"suffix":""},{"dropping-particle":"","family":"Beglin","given":"Sarah J.","non-dropping-particle":"","parse-names":false,"suffix":""}],"container-title":"International Journal of Eating Disorders","id":"ITEM-1","issue":"4","issued":{"date-parts":[["1994"]]},"page":"363-370","title":"Assessment of eating disorders: Interview or self-report questionnaire?","type":"article-journal","volume":"16"},"uris":["http://www.mendeley.com/documents/?uuid=c10e37d2-1ba7-40cd-aef4-c2838fb9b41a"]}],"mendeley":{"formattedCitation":"(Fairburn &amp; Beglin, 1994)","manualFormatting":"Fairburn &amp; Beglin, 1994)","plainTextFormattedCitation":"(Fairburn &amp; Beglin, 1994)","previouslyFormattedCitation":"(Fairburn &amp; Beglin, 1994)"},"properties":{"noteIndex":0},"schema":"https://github.com/citation-style-language/schema/raw/master/csl-citation.json"}</w:instrText>
      </w:r>
      <w:r w:rsidRPr="00C832B2">
        <w:rPr>
          <w:b/>
          <w:i/>
        </w:rPr>
        <w:fldChar w:fldCharType="separate"/>
      </w:r>
      <w:r w:rsidRPr="00C832B2">
        <w:rPr>
          <w:b/>
          <w:i/>
          <w:noProof/>
        </w:rPr>
        <w:t>Fairburn &amp; Beglin, 1994)</w:t>
      </w:r>
      <w:r w:rsidRPr="00C832B2">
        <w:rPr>
          <w:b/>
          <w:i/>
        </w:rPr>
        <w:fldChar w:fldCharType="end"/>
      </w:r>
      <w:r w:rsidRPr="00C832B2">
        <w:rPr>
          <w:b/>
          <w:i/>
        </w:rPr>
        <w:t xml:space="preserve"> </w:t>
      </w:r>
    </w:p>
    <w:p w14:paraId="0A3C4633" w14:textId="2466783D" w:rsidR="00A45EF4" w:rsidRPr="00A829B3" w:rsidRDefault="00EB3E00" w:rsidP="00C832B2">
      <w:pPr>
        <w:spacing w:line="480" w:lineRule="auto"/>
      </w:pPr>
      <w:r>
        <w:rPr>
          <w:b/>
        </w:rPr>
        <w:tab/>
      </w:r>
      <w:r w:rsidR="00A45EF4">
        <w:t>A single</w:t>
      </w:r>
      <w:r w:rsidR="00A45EF4" w:rsidRPr="00A829B3">
        <w:t xml:space="preserve"> EDE item assessing binge eating episodes was included. Binge eating episodes were identified as the number of times in the past 28 days in which the respondent ate an unusually large amount of food and concurrently felt a loss of control over their eating. </w:t>
      </w:r>
      <w:r w:rsidR="00A45EF4">
        <w:t>P</w:t>
      </w:r>
      <w:r w:rsidR="00A45EF4" w:rsidRPr="00A829B3">
        <w:t>revious research supports the reliability and validity of this item in assessing binge eating episodes</w:t>
      </w:r>
      <w:r w:rsidR="00996C26">
        <w:t xml:space="preserve"> </w:t>
      </w:r>
      <w:r w:rsidR="00A45EF4" w:rsidRPr="00A829B3">
        <w:t xml:space="preserve">(e.g., Fairburn &amp; </w:t>
      </w:r>
      <w:proofErr w:type="spellStart"/>
      <w:r w:rsidR="00A45EF4" w:rsidRPr="00A829B3">
        <w:t>Beglin</w:t>
      </w:r>
      <w:proofErr w:type="spellEnd"/>
      <w:r w:rsidR="00A45EF4" w:rsidRPr="00A829B3">
        <w:t xml:space="preserve">, 1994; </w:t>
      </w:r>
      <w:proofErr w:type="spellStart"/>
      <w:r w:rsidR="00A45EF4" w:rsidRPr="00A829B3">
        <w:t>Kalarchian</w:t>
      </w:r>
      <w:proofErr w:type="spellEnd"/>
      <w:r w:rsidR="00300001">
        <w:t xml:space="preserve"> et al.</w:t>
      </w:r>
      <w:r w:rsidR="00A45EF4" w:rsidRPr="00A829B3">
        <w:t xml:space="preserve">, 2000; </w:t>
      </w:r>
      <w:proofErr w:type="spellStart"/>
      <w:r w:rsidR="00A45EF4" w:rsidRPr="00A829B3">
        <w:t>Reas</w:t>
      </w:r>
      <w:proofErr w:type="spellEnd"/>
      <w:r w:rsidR="00300001">
        <w:t xml:space="preserve"> et al.</w:t>
      </w:r>
      <w:r w:rsidR="00A45EF4" w:rsidRPr="00A829B3">
        <w:t>, 2006)</w:t>
      </w:r>
      <w:r w:rsidR="00A45EF4">
        <w:t>.</w:t>
      </w:r>
    </w:p>
    <w:p w14:paraId="2304AEAD" w14:textId="0A1F915B" w:rsidR="00EB3E00" w:rsidRPr="00EB3E00" w:rsidRDefault="003B57BE" w:rsidP="003B57BE">
      <w:pPr>
        <w:spacing w:line="480" w:lineRule="auto"/>
        <w:rPr>
          <w:i/>
        </w:rPr>
      </w:pPr>
      <w:r w:rsidRPr="00C832B2">
        <w:rPr>
          <w:b/>
          <w:i/>
        </w:rPr>
        <w:t xml:space="preserve">International Physical Activity Questionnaire-Short Form (IPAQ-SF; </w:t>
      </w:r>
      <w:r w:rsidRPr="00C832B2">
        <w:rPr>
          <w:b/>
          <w:i/>
        </w:rPr>
        <w:fldChar w:fldCharType="begin" w:fldLock="1"/>
      </w:r>
      <w:r w:rsidRPr="00C832B2">
        <w:rPr>
          <w:b/>
          <w:i/>
        </w:rPr>
        <w:instrText>ADDIN CSL_CITATION {"citationItems":[{"id":"ITEM-1","itemData":{"DOI":"10.1249/01.MSS.0000078923.96621.1D","ISSN":"01959131","abstract":"BACKGROUND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 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 RESULTS Overall, the IPAQ questionnaires produced repeatable data (Spearman's rho clustered around 0.8), with comparable data from short and long forms. Criterion validity had a median rho of about 0.30, which was comparable to most other self-report validation studies. The \"usual week\" and \"last 7 d\" reference periods performed similarly, and the reliability of telephone administration was similar to the self-administered mode. CONCLUSIONS The IPAQ instruments have acceptable measurement properties, at least as good as other established self-reports. Considering the diverse samples in this study, IPAQ has reasonable measurement properties for monitoring population levels of physical activity among 18- to 65-yr-old adults in diverse settings. The short IPAQ form \"last 7 d recall\" is recommended for national monitoring and the long form for research requiring more detailed assessment.","author":[{"dropping-particle":"","family":"Craig","given":"Cora L","non-dropping-particle":"","parse-names":false,"suffix":""},{"dropping-particle":"","family":"Marshall","given":"Alison L","non-dropping-particle":"","parse-names":false,"suffix":""},{"dropping-particle":"","family":"Sjöström","given":"Michael","non-dropping-particle":"","parse-names":false,"suffix":""},{"dropping-particle":"","family":"Bauman","given":"Adrian E","non-dropping-particle":"","parse-names":false,"suffix":""},{"dropping-particle":"","family":"Booth","given":"Michael L","non-dropping-particle":"","parse-names":false,"suffix":""},{"dropping-particle":"","family":"Ainsworth","given":"Barbara E","non-dropping-particle":"","parse-names":false,"suffix":""},{"dropping-particle":"","family":"Pratt","given":"Michael","non-dropping-particle":"","parse-names":false,"suffix":""},{"dropping-particle":"","family":"Ekelund","given":"Ulf","non-dropping-particle":"","parse-names":false,"suffix":""},{"dropping-particle":"","family":"Yngve","given":"Agneta","non-dropping-particle":"","parse-names":false,"suffix":""},{"dropping-particle":"","family":"Sallis","given":"James F","non-dropping-particle":"","parse-names":false,"suffix":""},{"dropping-particle":"","family":"Oja","given":"Pekka","non-dropping-particle":"","parse-names":false,"suffix":""}],"container-title":"Medicine and Science in Sports and Exercise","id":"ITEM-1","issued":{"date-parts":[["2003"]]},"page":"1381-1395","title":"International Physical Activity Questionnaire: 12-country reliability and validity","type":"article-journal","volume":"35"},"uris":["http://www.mendeley.com/documents/?uuid=199c1f47-7da7-47ce-91f5-fa93000c80fb"]}],"mendeley":{"formattedCitation":"(Craig et al., 2003)","manualFormatting":"Craig et al., 2003)","plainTextFormattedCitation":"(Craig et al., 2003)","previouslyFormattedCitation":"(Craig et al., 2003)"},"properties":{"noteIndex":0},"schema":"https://github.com/citation-style-language/schema/raw/master/csl-citation.json"}</w:instrText>
      </w:r>
      <w:r w:rsidRPr="00C832B2">
        <w:rPr>
          <w:b/>
          <w:i/>
        </w:rPr>
        <w:fldChar w:fldCharType="separate"/>
      </w:r>
      <w:r w:rsidRPr="00C832B2">
        <w:rPr>
          <w:b/>
          <w:i/>
          <w:noProof/>
        </w:rPr>
        <w:t>Craig et al., 2003)</w:t>
      </w:r>
      <w:r w:rsidRPr="00C832B2">
        <w:rPr>
          <w:b/>
          <w:i/>
        </w:rPr>
        <w:fldChar w:fldCharType="end"/>
      </w:r>
    </w:p>
    <w:p w14:paraId="06E2F7FB" w14:textId="4F51ADA7" w:rsidR="00EB3E00" w:rsidRDefault="00EB3E00" w:rsidP="003B57BE">
      <w:pPr>
        <w:spacing w:line="480" w:lineRule="auto"/>
      </w:pPr>
      <w:r>
        <w:rPr>
          <w:i/>
        </w:rPr>
        <w:tab/>
      </w:r>
      <w:r w:rsidR="00F21F0B">
        <w:t>The IPAQ-SF is a 6</w:t>
      </w:r>
      <w:r w:rsidR="003B57BE" w:rsidRPr="00A829B3">
        <w:t xml:space="preserve">-item </w:t>
      </w:r>
      <w:r w:rsidR="000B5053" w:rsidRPr="00A829B3">
        <w:t xml:space="preserve">self-report </w:t>
      </w:r>
      <w:r w:rsidR="003B57BE" w:rsidRPr="00A829B3">
        <w:t xml:space="preserve">measure of physical activity. Respondents estimate how many days in the last week they engaged in </w:t>
      </w:r>
      <w:r w:rsidR="00F21F0B">
        <w:t xml:space="preserve">at least </w:t>
      </w:r>
      <w:proofErr w:type="gramStart"/>
      <w:r w:rsidR="00F21F0B">
        <w:t>10 minute</w:t>
      </w:r>
      <w:proofErr w:type="gramEnd"/>
      <w:r w:rsidR="00F21F0B">
        <w:t xml:space="preserve"> bouts of </w:t>
      </w:r>
      <w:r w:rsidR="003B57BE" w:rsidRPr="00A829B3">
        <w:t xml:space="preserve">vigorous exercise, moderate exercise, and walking. They then estimate how much time they typically spent on each of these activities on those days. A total physical activity score is calculated by weighting each category by its intensity, then multiplying the estimated minutes by estimated days and summing all categories. The IPAQ-SF has </w:t>
      </w:r>
      <w:r w:rsidR="00625C70" w:rsidRPr="00A829B3">
        <w:t xml:space="preserve">good temporal stability </w:t>
      </w:r>
      <w:r w:rsidR="003B57BE" w:rsidRPr="00A829B3">
        <w:t>and adequate concurrent va</w:t>
      </w:r>
      <w:r w:rsidR="00625C70" w:rsidRPr="00A829B3">
        <w:t>lidity with objective measures</w:t>
      </w:r>
      <w:r w:rsidR="003B57BE" w:rsidRPr="00A829B3">
        <w:t xml:space="preserve"> </w:t>
      </w:r>
      <w:r w:rsidR="003B57BE" w:rsidRPr="00A829B3">
        <w:fldChar w:fldCharType="begin" w:fldLock="1"/>
      </w:r>
      <w:r w:rsidR="009865DF">
        <w:instrText>ADDIN CSL_CITATION {"citationItems":[{"id":"ITEM-1","itemData":{"DOI":"10.1080/02701367.2000.11082780","ISSN":"0270-1367","PMID":"10925819","abstract":"Self-report instruments continue to be the most widely used type of physical activity measure. Sallis and Saelens summarize findings on test-retest reliability, criterion-related validity, and content validity for physical activity self-reports that were developed in, or have been used in, the 1990s.","author":[{"dropping-particle":"","family":"Sallis","given":"J F","non-dropping-particle":"","parse-names":false,"suffix":""},{"dropping-particle":"","family":"Saelens","given":"B E","non-dropping-particle":"","parse-names":false,"suffix":""}],"container-title":"Research Quarterly for Exercise and Sport","id":"ITEM-1","issued":{"date-parts":[["2000"]]},"page":"1-14","title":"Assessment of physical activity by self-report: Status, limitations, and future directions.","type":"article-journal","volume":"71"},"uris":["http://www.mendeley.com/documents/?uuid=55e1b000-e6aa-40c9-acdc-b405786aa570"]}],"mendeley":{"formattedCitation":"(Sallis &amp; Saelens, 2000)","manualFormatting":"(Craig et al., 2003; Sallis &amp; Saelens, 2000)","plainTextFormattedCitation":"(Sallis &amp; Saelens, 2000)","previouslyFormattedCitation":"(Sallis &amp; Saelens, 2000)"},"properties":{"noteIndex":0},"schema":"https://github.com/citation-style-language/schema/raw/master/csl-citation.json"}</w:instrText>
      </w:r>
      <w:r w:rsidR="003B57BE" w:rsidRPr="00A829B3">
        <w:fldChar w:fldCharType="separate"/>
      </w:r>
      <w:r w:rsidR="003B57BE" w:rsidRPr="00A829B3">
        <w:rPr>
          <w:noProof/>
        </w:rPr>
        <w:t>(</w:t>
      </w:r>
      <w:r w:rsidR="00625C70" w:rsidRPr="00A829B3">
        <w:rPr>
          <w:noProof/>
        </w:rPr>
        <w:t xml:space="preserve">Craig et al., 2003; </w:t>
      </w:r>
      <w:r w:rsidR="003B57BE" w:rsidRPr="00A829B3">
        <w:rPr>
          <w:noProof/>
        </w:rPr>
        <w:t>Sallis &amp; Saelens, 2000)</w:t>
      </w:r>
      <w:r w:rsidR="003B57BE" w:rsidRPr="00A829B3">
        <w:fldChar w:fldCharType="end"/>
      </w:r>
      <w:r w:rsidR="003B57BE" w:rsidRPr="00A829B3">
        <w:t>.</w:t>
      </w:r>
    </w:p>
    <w:p w14:paraId="5C054AAA" w14:textId="77777777" w:rsidR="00EB3E00" w:rsidRPr="00C832B2" w:rsidRDefault="0051274C" w:rsidP="00C832B2">
      <w:pPr>
        <w:spacing w:line="480" w:lineRule="auto"/>
        <w:rPr>
          <w:i/>
        </w:rPr>
      </w:pPr>
      <w:r w:rsidRPr="00C832B2">
        <w:rPr>
          <w:b/>
          <w:i/>
        </w:rPr>
        <w:t>BMI</w:t>
      </w:r>
    </w:p>
    <w:p w14:paraId="7C3D7611" w14:textId="3E867BB1" w:rsidR="0051274C" w:rsidRPr="0051274C" w:rsidRDefault="0051274C" w:rsidP="0051274C">
      <w:pPr>
        <w:widowControl w:val="0"/>
        <w:spacing w:line="480" w:lineRule="auto"/>
        <w:ind w:firstLine="720"/>
      </w:pPr>
      <w:r w:rsidRPr="0051274C">
        <w:t xml:space="preserve">Body mass index was calculated through self-reported weight in pounds and height in </w:t>
      </w:r>
      <w:r w:rsidRPr="0051274C">
        <w:lastRenderedPageBreak/>
        <w:t xml:space="preserve">inches. </w:t>
      </w:r>
      <w:r w:rsidR="005834BB">
        <w:t>Height was assessed in feet and inches at baseline. Weight was assessed at each time point with the question “</w:t>
      </w:r>
      <w:r w:rsidR="005834BB" w:rsidRPr="005834BB">
        <w:t>What is your current weight (please enter numerically in pounds)?</w:t>
      </w:r>
      <w:r w:rsidR="005834BB">
        <w:t xml:space="preserve">” BMI was calculated using the formula (weight in </w:t>
      </w:r>
      <w:proofErr w:type="spellStart"/>
      <w:r w:rsidR="005834BB">
        <w:t>lbs</w:t>
      </w:r>
      <w:proofErr w:type="spellEnd"/>
      <w:r w:rsidR="005834BB">
        <w:t>/height in inches</w:t>
      </w:r>
      <w:proofErr w:type="gramStart"/>
      <w:r w:rsidR="005834BB" w:rsidRPr="00D7264B">
        <w:rPr>
          <w:vertAlign w:val="superscript"/>
        </w:rPr>
        <w:t>2</w:t>
      </w:r>
      <w:r w:rsidR="005834BB">
        <w:t>)*</w:t>
      </w:r>
      <w:proofErr w:type="gramEnd"/>
      <w:r w:rsidR="005834BB">
        <w:t>703.</w:t>
      </w:r>
    </w:p>
    <w:p w14:paraId="3682DC91" w14:textId="484408B2" w:rsidR="00EB3E00" w:rsidRPr="00A829B3" w:rsidRDefault="000B5053" w:rsidP="003B57BE">
      <w:pPr>
        <w:spacing w:line="480" w:lineRule="auto"/>
        <w:contextualSpacing/>
        <w:rPr>
          <w:b/>
        </w:rPr>
      </w:pPr>
      <w:r w:rsidRPr="00A829B3">
        <w:rPr>
          <w:b/>
        </w:rPr>
        <w:t>Process of Change Measures</w:t>
      </w:r>
      <w:r w:rsidR="003B57BE" w:rsidRPr="00A829B3">
        <w:rPr>
          <w:b/>
        </w:rPr>
        <w:tab/>
      </w:r>
    </w:p>
    <w:p w14:paraId="246EA9AA" w14:textId="77777777" w:rsidR="00EB3E00" w:rsidRPr="00C832B2" w:rsidRDefault="003B57BE" w:rsidP="00EB3E00">
      <w:pPr>
        <w:spacing w:line="480" w:lineRule="auto"/>
        <w:contextualSpacing/>
        <w:rPr>
          <w:i/>
        </w:rPr>
      </w:pPr>
      <w:r w:rsidRPr="00C832B2">
        <w:rPr>
          <w:b/>
          <w:i/>
        </w:rPr>
        <w:t xml:space="preserve">Acceptance and Action Questionnaire for Weight-Related Difficulties (AAQW; </w:t>
      </w:r>
      <w:r w:rsidRPr="00C832B2">
        <w:rPr>
          <w:b/>
          <w:i/>
        </w:rPr>
        <w:fldChar w:fldCharType="begin" w:fldLock="1"/>
      </w:r>
      <w:r w:rsidRPr="00C832B2">
        <w:rPr>
          <w:b/>
          <w:i/>
        </w:rPr>
        <w:instrText>ADDIN CSL_CITATION {"citationItems":[{"id":"ITEM-1","itemData":{"author":[{"dropping-particle":"","family":"Lillis","given":"Jason","non-dropping-particle":"","parse-names":false,"suffix":""},{"dropping-particle":"","family":"Hayes","given":"Steven C.","non-dropping-particle":"","parse-names":false,"suffix":""}],"container-title":"International Journal of Behavioral Consultation and Therapy","id":"ITEM-1","issued":{"date-parts":[["2008"]]},"page":"30-40","title":"Measuring avoidance and inflexibility in weight related problems","type":"article-journal","volume":"4"},"uris":["http://www.mendeley.com/documents/?uuid=52175ed1-3780-4398-adc4-cd86f69e1fb8"]}],"mendeley":{"formattedCitation":"(Lillis &amp; Hayes, 2008)","manualFormatting":"Lillis &amp; Hayes, 2008)","plainTextFormattedCitation":"(Lillis &amp; Hayes, 2008)","previouslyFormattedCitation":"(Lillis &amp; Hayes, 2008)"},"properties":{"noteIndex":0},"schema":"https://github.com/citation-style-language/schema/raw/master/csl-citation.json"}</w:instrText>
      </w:r>
      <w:r w:rsidRPr="00C832B2">
        <w:rPr>
          <w:b/>
          <w:i/>
        </w:rPr>
        <w:fldChar w:fldCharType="separate"/>
      </w:r>
      <w:r w:rsidRPr="00C832B2">
        <w:rPr>
          <w:b/>
          <w:i/>
          <w:noProof/>
        </w:rPr>
        <w:t>Lillis &amp; Hayes, 2008)</w:t>
      </w:r>
      <w:r w:rsidRPr="00C832B2">
        <w:rPr>
          <w:b/>
          <w:i/>
        </w:rPr>
        <w:fldChar w:fldCharType="end"/>
      </w:r>
    </w:p>
    <w:p w14:paraId="596B7CDF" w14:textId="750E74DE" w:rsidR="003B57BE" w:rsidRPr="00A829B3" w:rsidRDefault="00EB3E00" w:rsidP="00C832B2">
      <w:pPr>
        <w:spacing w:line="480" w:lineRule="auto"/>
        <w:contextualSpacing/>
      </w:pPr>
      <w:r>
        <w:tab/>
      </w:r>
      <w:r w:rsidR="003B57BE" w:rsidRPr="00A829B3">
        <w:t xml:space="preserve">The AAQW is a 22-item measure of psychological inflexibility as it relates to thoughts and feelings about one’s weight. Each item is rated from 1 (never true) to 7 (always true). The AAQW has good internal consistency, is sensitive to treatment, and has support for concurrent validity </w:t>
      </w:r>
      <w:r w:rsidR="003B57BE" w:rsidRPr="00A829B3">
        <w:fldChar w:fldCharType="begin" w:fldLock="1"/>
      </w:r>
      <w:r w:rsidR="003B57BE" w:rsidRPr="00A829B3">
        <w:instrText>ADDIN CSL_CITATION {"citationItems":[{"id":"ITEM-1","itemData":{"author":[{"dropping-particle":"","family":"Lillis","given":"Jason","non-dropping-particle":"","parse-names":false,"suffix":""},{"dropping-particle":"","family":"Hayes","given":"Steven C.","non-dropping-particle":"","parse-names":false,"suffix":""}],"container-title":"International Journal of Behavioral Consultation and Therapy","id":"ITEM-1","issued":{"date-parts":[["2008"]]},"page":"30-40","title":"Measuring avoidance and inflexibility in weight related problems","type":"article-journal","volume":"4"},"uris":["http://www.mendeley.com/documents/?uuid=52175ed1-3780-4398-adc4-cd86f69e1fb8"]}],"mendeley":{"formattedCitation":"(Lillis &amp; Hayes, 2008)","plainTextFormattedCitation":"(Lillis &amp; Hayes, 2008)","previouslyFormattedCitation":"(Lillis &amp; Hayes, 2008)"},"properties":{"noteIndex":0},"schema":"https://github.com/citation-style-language/schema/raw/master/csl-citation.json"}</w:instrText>
      </w:r>
      <w:r w:rsidR="003B57BE" w:rsidRPr="00A829B3">
        <w:fldChar w:fldCharType="separate"/>
      </w:r>
      <w:r w:rsidR="003B57BE" w:rsidRPr="00A829B3">
        <w:rPr>
          <w:noProof/>
        </w:rPr>
        <w:t>(Lillis &amp; Hayes, 2008)</w:t>
      </w:r>
      <w:r w:rsidR="003B57BE" w:rsidRPr="00A829B3">
        <w:fldChar w:fldCharType="end"/>
      </w:r>
      <w:r w:rsidR="003B57BE" w:rsidRPr="00A829B3">
        <w:t>. Internal consistency was also good in this sample (</w:t>
      </w:r>
      <w:r w:rsidR="003B57BE" w:rsidRPr="00A829B3">
        <w:sym w:font="Symbol" w:char="F061"/>
      </w:r>
      <w:r w:rsidR="003B57BE" w:rsidRPr="00A829B3">
        <w:t xml:space="preserve"> = 0.85). </w:t>
      </w:r>
    </w:p>
    <w:p w14:paraId="469E04B5" w14:textId="68EFE039" w:rsidR="00EB3E00" w:rsidRPr="00C832B2" w:rsidRDefault="003B57BE" w:rsidP="003B57BE">
      <w:pPr>
        <w:spacing w:line="480" w:lineRule="auto"/>
        <w:rPr>
          <w:b/>
          <w:i/>
        </w:rPr>
      </w:pPr>
      <w:r w:rsidRPr="00C832B2">
        <w:rPr>
          <w:b/>
          <w:i/>
        </w:rPr>
        <w:t>Comprehensive Assessment of Acceptance and Commitment Therapy Processes (</w:t>
      </w:r>
      <w:proofErr w:type="spellStart"/>
      <w:r w:rsidRPr="00C832B2">
        <w:rPr>
          <w:b/>
          <w:i/>
        </w:rPr>
        <w:t>CompACT</w:t>
      </w:r>
      <w:proofErr w:type="spellEnd"/>
      <w:r w:rsidRPr="00C832B2">
        <w:rPr>
          <w:b/>
          <w:i/>
        </w:rPr>
        <w:t xml:space="preserve">; </w:t>
      </w:r>
      <w:r w:rsidRPr="00C832B2">
        <w:rPr>
          <w:b/>
          <w:i/>
        </w:rPr>
        <w:fldChar w:fldCharType="begin" w:fldLock="1"/>
      </w:r>
      <w:r w:rsidR="00D94DE5">
        <w:rPr>
          <w:b/>
          <w:i/>
        </w:rPr>
        <w:instrText>ADDIN CSL_CITATION {"citationItems":[{"id":"ITEM-1","itemData":{"DOI":"10.1016/j.jcbs.2016.05.003","ISSN":"22121447","abstract":"Extant ACT process measures are typically circumscribed in their focus (limited to particular theoretical sub-processes or contexts of application) and have been subject to critique in terms of their discriminant validity and conflation of process and outcome variables. Conceptual questions therefore remain regarding how best to operationalize and measure core ACT processes. In this study, we describe the development of a new general measure of ACT processes (the CompACT) and explore the measure's factor structure, validity and reliability. In phase one, ACT experts rated the face and content validity of 106 items using a Delphi consensus methodology, and produced an initial 37-itemed measure. In phase two, a non-clinical sample of participants (N=377) completed the CompACT and measures of other theoretically related and unrelated variables. An exploratory factor analysis suggested a theoretically-coherent three-factor structure (clustering ACT's six processes into three dyadic processes) for a 23-itemed version of the CompACT. The CompACT demonstrated good internal consistency, and converged and diverged in theory-consistent ways with other measured variables: higher levels of psychological inflexibility were associated with higher levels of distress and lower levels of health and wellbeing. The CompACT shows initial promise as a general measure of ACT processes.","author":[{"dropping-particle":"","family":"Francis","given":"Ashley W.","non-dropping-particle":"","parse-names":false,"suffix":""},{"dropping-particle":"","family":"Dawson","given":"David L.","non-dropping-particle":"","parse-names":false,"suffix":""},{"dropping-particle":"","family":"Golijani-Moghaddam","given":"Nima","non-dropping-particle":"","parse-names":false,"suffix":""}],"container-title":"Journal of Contextual Behavioral Science","id":"ITEM-1","issued":{"date-parts":[["2016"]]},"page":"134-145","publisher":"Elsevier","title":"The development and validation of the Comprehensive assessment of Acceptance and Commitment Therapy processes (CompACT)","type":"article-journal","volume":"5"},"uris":["http://www.mendeley.com/documents/?uuid=eb5f3033-1d89-45cc-bf1b-63d6245d5f02"]}],"mendeley":{"formattedCitation":"(Francis, Dawson, &amp; Golijani-Moghaddam, 2016)","manualFormatting":"Francis et al., 2016)","plainTextFormattedCitation":"(Francis, Dawson, &amp; Golijani-Moghaddam, 2016)","previouslyFormattedCitation":"(Francis, Dawson, &amp; Golijani-Moghaddam, 2016)"},"properties":{"noteIndex":0},"schema":"https://github.com/citation-style-language/schema/raw/master/csl-citation.json"}</w:instrText>
      </w:r>
      <w:r w:rsidRPr="00C832B2">
        <w:rPr>
          <w:b/>
          <w:i/>
        </w:rPr>
        <w:fldChar w:fldCharType="separate"/>
      </w:r>
      <w:r w:rsidRPr="00C832B2">
        <w:rPr>
          <w:b/>
          <w:i/>
          <w:noProof/>
        </w:rPr>
        <w:t>Francis</w:t>
      </w:r>
      <w:r w:rsidR="00300001">
        <w:rPr>
          <w:b/>
          <w:i/>
          <w:noProof/>
        </w:rPr>
        <w:t xml:space="preserve"> et al.</w:t>
      </w:r>
      <w:r w:rsidRPr="00C832B2">
        <w:rPr>
          <w:b/>
          <w:i/>
          <w:noProof/>
        </w:rPr>
        <w:t>, 2016)</w:t>
      </w:r>
      <w:r w:rsidRPr="00C832B2">
        <w:rPr>
          <w:b/>
          <w:i/>
        </w:rPr>
        <w:fldChar w:fldCharType="end"/>
      </w:r>
    </w:p>
    <w:p w14:paraId="0BA25CC5" w14:textId="5579DF38" w:rsidR="003B57BE" w:rsidRDefault="00EB3E00" w:rsidP="003B57BE">
      <w:pPr>
        <w:spacing w:line="480" w:lineRule="auto"/>
      </w:pPr>
      <w:r>
        <w:rPr>
          <w:b/>
        </w:rPr>
        <w:tab/>
      </w:r>
      <w:r w:rsidR="003B57BE" w:rsidRPr="00A829B3">
        <w:t xml:space="preserve">The </w:t>
      </w:r>
      <w:proofErr w:type="spellStart"/>
      <w:r w:rsidR="003B57BE" w:rsidRPr="00A829B3">
        <w:t>CompACT</w:t>
      </w:r>
      <w:proofErr w:type="spellEnd"/>
      <w:r w:rsidR="003B57BE" w:rsidRPr="00A829B3">
        <w:t xml:space="preserve"> is a 23-item measure of </w:t>
      </w:r>
      <w:r w:rsidR="00131C46" w:rsidRPr="00A829B3">
        <w:t xml:space="preserve">general </w:t>
      </w:r>
      <w:r w:rsidR="003B57BE" w:rsidRPr="00A829B3">
        <w:t>psychological flexibility</w:t>
      </w:r>
      <w:r w:rsidR="00131C46" w:rsidRPr="00A829B3">
        <w:t xml:space="preserve"> (i.e., not framed in relation to weight or other </w:t>
      </w:r>
      <w:r w:rsidR="00D079B8" w:rsidRPr="00A829B3">
        <w:t xml:space="preserve">specific </w:t>
      </w:r>
      <w:r w:rsidR="00131C46" w:rsidRPr="00A829B3">
        <w:t>concerns)</w:t>
      </w:r>
      <w:r w:rsidR="003B57BE" w:rsidRPr="00A829B3">
        <w:t xml:space="preserve">. Each item is rated from 0 (strongly disagree) to 6 (strongly agree). The </w:t>
      </w:r>
      <w:proofErr w:type="spellStart"/>
      <w:r w:rsidR="003B57BE" w:rsidRPr="00A829B3">
        <w:t>CompACT</w:t>
      </w:r>
      <w:proofErr w:type="spellEnd"/>
      <w:r w:rsidR="003B57BE" w:rsidRPr="00A829B3">
        <w:t xml:space="preserve"> has support for convergent and divergent validity, incremental validity, and superior factor structure compared to other </w:t>
      </w:r>
      <w:r w:rsidR="00C07C20">
        <w:t xml:space="preserve">general </w:t>
      </w:r>
      <w:r w:rsidR="003B57BE" w:rsidRPr="00A829B3">
        <w:t>measures of psychological flexibility (</w:t>
      </w:r>
      <w:r w:rsidR="003B57BE" w:rsidRPr="00A829B3">
        <w:fldChar w:fldCharType="begin" w:fldLock="1"/>
      </w:r>
      <w:r w:rsidR="003B57BE" w:rsidRPr="00A829B3">
        <w:instrText>ADDIN CSL_CITATION {"citationItems":[{"id":"ITEM-1","itemData":{"DOI":"10.1016/j.jcbs.2016.05.003","ISSN":"22121447","abstract":"Extant ACT process measures are typically circumscribed in their focus (limited to particular theoretical sub-processes or contexts of application) and have been subject to critique in terms of their discriminant validity and conflation of process and outcome variables. Conceptual questions therefore remain regarding how best to operationalize and measure core ACT processes. In this study, we describe the development of a new general measure of ACT processes (the CompACT) and explore the measure's factor structure, validity and reliability. In phase one, ACT experts rated the face and content validity of 106 items using a Delphi consensus methodology, and produced an initial 37-itemed measure. In phase two, a non-clinical sample of participants (N=377) completed the CompACT and measures of other theoretically related and unrelated variables. An exploratory factor analysis suggested a theoretically-coherent three-factor structure (clustering ACT's six processes into three dyadic processes) for a 23-itemed version of the CompACT. The CompACT demonstrated good internal consistency, and converged and diverged in theory-consistent ways with other measured variables: higher levels of psychological inflexibility were associated with higher levels of distress and lower levels of health and wellbeing. The CompACT shows initial promise as a general measure of ACT processes.","author":[{"dropping-particle":"","family":"Francis","given":"Ashley W.","non-dropping-particle":"","parse-names":false,"suffix":""},{"dropping-particle":"","family":"Dawson","given":"David L.","non-dropping-particle":"","parse-names":false,"suffix":""},{"dropping-particle":"","family":"Golijani-Moghaddam","given":"Nima","non-dropping-particle":"","parse-names":false,"suffix":""}],"container-title":"Journal of Contextual Behavioral Science","id":"ITEM-1","issued":{"date-parts":[["2016"]]},"page":"134-145","publisher":"Elsevier","title":"The development and validation of the Comprehensive assessment of Acceptance and Commitment Therapy processes (CompACT)","type":"article-journal","volume":"5"},"uris":["http://www.mendeley.com/documents/?uuid=eb5f3033-1d89-45cc-bf1b-63d6245d5f02"]}],"mendeley":{"formattedCitation":"(Francis et al., 2016)","manualFormatting":"Francis et al., 2016)","plainTextFormattedCitation":"(Francis et al., 2016)","previouslyFormattedCitation":"(Francis et al., 2016)"},"properties":{"noteIndex":0},"schema":"https://github.com/citation-style-language/schema/raw/master/csl-citation.json"}</w:instrText>
      </w:r>
      <w:r w:rsidR="003B57BE" w:rsidRPr="00A829B3">
        <w:fldChar w:fldCharType="separate"/>
      </w:r>
      <w:r w:rsidR="003B57BE" w:rsidRPr="00A829B3">
        <w:rPr>
          <w:noProof/>
        </w:rPr>
        <w:t>Francis et al., 2016)</w:t>
      </w:r>
      <w:r w:rsidR="003B57BE" w:rsidRPr="00A829B3">
        <w:fldChar w:fldCharType="end"/>
      </w:r>
      <w:r w:rsidR="003B57BE" w:rsidRPr="00A829B3">
        <w:t>. Internal consistency was good in this sample (</w:t>
      </w:r>
      <w:r w:rsidR="003B57BE" w:rsidRPr="00A829B3">
        <w:sym w:font="Symbol" w:char="F061"/>
      </w:r>
      <w:r w:rsidR="003B57BE" w:rsidRPr="00A829B3">
        <w:t xml:space="preserve"> = 0.88). </w:t>
      </w:r>
    </w:p>
    <w:p w14:paraId="77EFB1C4" w14:textId="12EA7BE0" w:rsidR="00EB3E00" w:rsidRPr="00C832B2" w:rsidRDefault="00EF689A" w:rsidP="00D7264B">
      <w:pPr>
        <w:spacing w:line="480" w:lineRule="auto"/>
        <w:rPr>
          <w:b/>
          <w:i/>
          <w:iCs/>
        </w:rPr>
      </w:pPr>
      <w:r w:rsidRPr="00C832B2">
        <w:rPr>
          <w:b/>
          <w:i/>
          <w:iCs/>
        </w:rPr>
        <w:t xml:space="preserve">Book Usage and Satisfaction </w:t>
      </w:r>
    </w:p>
    <w:p w14:paraId="0BE2E4FB" w14:textId="17511080" w:rsidR="004C6933" w:rsidRPr="00EF689A" w:rsidRDefault="00EB3E00" w:rsidP="00D7264B">
      <w:pPr>
        <w:spacing w:line="480" w:lineRule="auto"/>
      </w:pPr>
      <w:r>
        <w:rPr>
          <w:b/>
        </w:rPr>
        <w:tab/>
      </w:r>
      <w:r w:rsidR="00EF689A">
        <w:t>A series of self-report items were adapted from previous studies (</w:t>
      </w:r>
      <w:r w:rsidR="00EF689A">
        <w:rPr>
          <w:i/>
        </w:rPr>
        <w:t>citation removed for blind review</w:t>
      </w:r>
      <w:r w:rsidR="00EF689A">
        <w:t>) to examine self-reported use and satisfaction with the self-help book. Satisfaction items were rated on a 6-point</w:t>
      </w:r>
      <w:r w:rsidR="00632B56">
        <w:t xml:space="preserve"> scale: </w:t>
      </w:r>
      <w:r w:rsidR="00632B56" w:rsidRPr="00632B56">
        <w:t>1 (</w:t>
      </w:r>
      <w:r w:rsidR="00632B56" w:rsidRPr="00632B56">
        <w:rPr>
          <w:i/>
        </w:rPr>
        <w:t>strongly disagree</w:t>
      </w:r>
      <w:r w:rsidR="00632B56" w:rsidRPr="00632B56">
        <w:t>), 2 (</w:t>
      </w:r>
      <w:r w:rsidR="00632B56" w:rsidRPr="00632B56">
        <w:rPr>
          <w:i/>
        </w:rPr>
        <w:t>mostly disagree</w:t>
      </w:r>
      <w:r w:rsidR="00632B56" w:rsidRPr="00632B56">
        <w:t>), 3 (</w:t>
      </w:r>
      <w:r w:rsidR="00632B56" w:rsidRPr="00632B56">
        <w:rPr>
          <w:i/>
        </w:rPr>
        <w:t>slightly disagree</w:t>
      </w:r>
      <w:r w:rsidR="00632B56" w:rsidRPr="00632B56">
        <w:t>), 4 (</w:t>
      </w:r>
      <w:r w:rsidR="00632B56" w:rsidRPr="00632B56">
        <w:rPr>
          <w:i/>
        </w:rPr>
        <w:t>slightly agree</w:t>
      </w:r>
      <w:r w:rsidR="00632B56" w:rsidRPr="00632B56">
        <w:t>), 5 (</w:t>
      </w:r>
      <w:r w:rsidR="00632B56" w:rsidRPr="00632B56">
        <w:rPr>
          <w:i/>
        </w:rPr>
        <w:t>mostly disagree</w:t>
      </w:r>
      <w:r w:rsidR="00632B56" w:rsidRPr="00632B56">
        <w:t>), and 6 (</w:t>
      </w:r>
      <w:r w:rsidR="00632B56" w:rsidRPr="00632B56">
        <w:rPr>
          <w:i/>
        </w:rPr>
        <w:t>strongly agree</w:t>
      </w:r>
      <w:r w:rsidR="00632B56" w:rsidRPr="00632B56">
        <w:t>).</w:t>
      </w:r>
      <w:r w:rsidR="00632B56">
        <w:t xml:space="preserve"> This forced choice </w:t>
      </w:r>
      <w:r w:rsidR="00632B56">
        <w:lastRenderedPageBreak/>
        <w:t xml:space="preserve">format was designed such that a 4 or higher </w:t>
      </w:r>
      <w:r w:rsidR="00EF689A">
        <w:t xml:space="preserve">indicates </w:t>
      </w:r>
      <w:r w:rsidR="003367D1">
        <w:t>a</w:t>
      </w:r>
      <w:r w:rsidR="00EF689A">
        <w:t xml:space="preserve"> positive rating. </w:t>
      </w:r>
      <w:r w:rsidR="004C6933">
        <w:t>Item</w:t>
      </w:r>
      <w:r w:rsidR="004076BF">
        <w:t>s</w:t>
      </w:r>
      <w:r w:rsidR="004C6933">
        <w:t xml:space="preserve"> assessed features including overall satisfaction </w:t>
      </w:r>
      <w:r w:rsidR="00BB4F55">
        <w:t>(</w:t>
      </w:r>
      <w:r w:rsidR="004C6933">
        <w:t>“Overall, I was satisfied with the quality of the book”</w:t>
      </w:r>
      <w:r w:rsidR="00BB4F55">
        <w:t>),</w:t>
      </w:r>
      <w:r w:rsidR="004C6933">
        <w:t xml:space="preserve"> perceived helpfulness </w:t>
      </w:r>
      <w:r w:rsidR="00BB4F55">
        <w:t>(</w:t>
      </w:r>
      <w:r w:rsidR="004C6933">
        <w:t>“The book was helpful to me”</w:t>
      </w:r>
      <w:r w:rsidR="00BB4F55">
        <w:t>),</w:t>
      </w:r>
      <w:r w:rsidR="004C6933">
        <w:t xml:space="preserve"> ability to understand concepts </w:t>
      </w:r>
      <w:r w:rsidR="00BB4F55">
        <w:t>(</w:t>
      </w:r>
      <w:r w:rsidR="004C6933">
        <w:t>“I was able to understand the concepts presented in the book”</w:t>
      </w:r>
      <w:r w:rsidR="00BB4F55">
        <w:t>),</w:t>
      </w:r>
      <w:r w:rsidR="004C6933">
        <w:t xml:space="preserve"> and perceived fit </w:t>
      </w:r>
      <w:r w:rsidR="00BB4F55">
        <w:t>(</w:t>
      </w:r>
      <w:r w:rsidR="004C6933">
        <w:t>“I felt the book was made for someone like me”</w:t>
      </w:r>
      <w:r w:rsidR="00BB4F55">
        <w:t>).</w:t>
      </w:r>
      <w:r w:rsidR="004C6933">
        <w:t xml:space="preserve"> The primary question for book usage </w:t>
      </w:r>
      <w:r w:rsidR="00BB4F55">
        <w:t>(</w:t>
      </w:r>
      <w:r w:rsidR="004C6933">
        <w:t>“</w:t>
      </w:r>
      <w:r w:rsidR="004C6933" w:rsidRPr="004C6933">
        <w:t>How much of The Diet Trap book did you read? (answer from 0% to 100% - all 7 chapters)</w:t>
      </w:r>
      <w:r w:rsidR="004C6933">
        <w:t>”</w:t>
      </w:r>
      <w:r w:rsidR="00BB4F55">
        <w:t>)</w:t>
      </w:r>
      <w:r w:rsidR="004C6933">
        <w:t xml:space="preserve"> </w:t>
      </w:r>
      <w:r w:rsidR="00BB4F55">
        <w:t xml:space="preserve">provided </w:t>
      </w:r>
      <w:r w:rsidR="004C6933">
        <w:t xml:space="preserve">an open entry response to enter </w:t>
      </w:r>
      <w:r w:rsidR="004076BF">
        <w:t xml:space="preserve">the </w:t>
      </w:r>
      <w:r w:rsidR="004C6933">
        <w:t>percentage of the book read.</w:t>
      </w:r>
    </w:p>
    <w:p w14:paraId="6ECD984D" w14:textId="1BF2C649" w:rsidR="003B57BE" w:rsidRPr="00A829B3" w:rsidRDefault="003B57BE" w:rsidP="00D7264B">
      <w:pPr>
        <w:spacing w:line="480" w:lineRule="auto"/>
        <w:rPr>
          <w:b/>
        </w:rPr>
      </w:pPr>
      <w:r w:rsidRPr="00A829B3">
        <w:rPr>
          <w:b/>
        </w:rPr>
        <w:t xml:space="preserve">Data </w:t>
      </w:r>
      <w:r w:rsidR="00EB3E00">
        <w:rPr>
          <w:b/>
        </w:rPr>
        <w:t>A</w:t>
      </w:r>
      <w:r w:rsidRPr="00A829B3">
        <w:rPr>
          <w:b/>
        </w:rPr>
        <w:t xml:space="preserve">nalysis </w:t>
      </w:r>
    </w:p>
    <w:p w14:paraId="4796F019" w14:textId="6DC39173" w:rsidR="003B57BE" w:rsidRPr="00A829B3" w:rsidRDefault="003B57BE" w:rsidP="003B57BE">
      <w:pPr>
        <w:spacing w:line="480" w:lineRule="auto"/>
      </w:pPr>
      <w:r w:rsidRPr="00A829B3">
        <w:tab/>
        <w:t xml:space="preserve">All dependent variables were inspected for normality, and variables that were not normally distributed </w:t>
      </w:r>
      <w:r w:rsidR="006D74BA">
        <w:t xml:space="preserve">(IPAQ and EDE variables) </w:t>
      </w:r>
      <w:r w:rsidRPr="00A829B3">
        <w:t>were transformed to approximate a normal distribution. Next, conditions were comp</w:t>
      </w:r>
      <w:r w:rsidR="00C80A19">
        <w:t xml:space="preserve">ared on demographic and outcome/process </w:t>
      </w:r>
      <w:r w:rsidRPr="00A829B3">
        <w:t>variables at baseline using one-way analysis of variance (ANOVA) and chi-square tests to identify any failures of randomization.</w:t>
      </w:r>
      <w:r w:rsidR="009506DB">
        <w:t xml:space="preserve"> </w:t>
      </w:r>
      <w:r w:rsidRPr="00A829B3">
        <w:t xml:space="preserve">Program engagement and satisfaction were assessed with descriptive statistics, and </w:t>
      </w:r>
      <w:r w:rsidRPr="00A829B3">
        <w:rPr>
          <w:i/>
        </w:rPr>
        <w:t>t</w:t>
      </w:r>
      <w:r w:rsidRPr="00A829B3">
        <w:t>-tests were used to identify any differences in program engagement and satisfaction between the two GSH conditions.</w:t>
      </w:r>
    </w:p>
    <w:p w14:paraId="1BB074F4" w14:textId="334181FB" w:rsidR="003B57BE" w:rsidRPr="00A829B3" w:rsidRDefault="003B57BE" w:rsidP="003B57BE">
      <w:pPr>
        <w:spacing w:line="480" w:lineRule="auto"/>
      </w:pPr>
      <w:r w:rsidRPr="00A829B3">
        <w:tab/>
        <w:t xml:space="preserve">Analyses of outcomes and processes of change were conducted using mixed model repeated measures (MMRM) analyses. </w:t>
      </w:r>
      <w:bookmarkStart w:id="2" w:name="_Hlk46781416"/>
      <w:r w:rsidRPr="00A829B3">
        <w:t>These analyses account for missingness using restricted information maximum likelihood estimation, which uses all observations present in the data and adjusts for the non-independence of repeated measures.</w:t>
      </w:r>
      <w:r w:rsidR="009506DB">
        <w:t xml:space="preserve"> </w:t>
      </w:r>
      <w:r w:rsidR="00DD323B">
        <w:t xml:space="preserve">Thus, analyses were included with the full intent to treat sample randomized to condition. </w:t>
      </w:r>
      <w:bookmarkEnd w:id="2"/>
      <w:r w:rsidRPr="00A829B3">
        <w:t>Each MMRM model tested within-subject effects (</w:t>
      </w:r>
      <w:r w:rsidR="009506DB">
        <w:t>baseline to posttreatment</w:t>
      </w:r>
      <w:r w:rsidRPr="00A829B3">
        <w:t>), between-subject effects (assigned condition), and the interaction of time and condition. If a significant omnibus interaction of time and condition was found, post-hoc tests were used to determine if there was significant cha</w:t>
      </w:r>
      <w:r w:rsidR="009506DB">
        <w:t xml:space="preserve">nge within any condition </w:t>
      </w:r>
      <w:r w:rsidR="009506DB">
        <w:lastRenderedPageBreak/>
        <w:t xml:space="preserve">and </w:t>
      </w:r>
      <w:r w:rsidRPr="00A829B3">
        <w:t>if the conditions differed at post</w:t>
      </w:r>
      <w:r w:rsidR="00066E4A" w:rsidRPr="00A829B3">
        <w:t>treatment</w:t>
      </w:r>
      <w:r w:rsidRPr="00A829B3">
        <w:t xml:space="preserve">. Cohen’s </w:t>
      </w:r>
      <w:r w:rsidRPr="00A829B3">
        <w:rPr>
          <w:i/>
        </w:rPr>
        <w:t>d</w:t>
      </w:r>
      <w:r w:rsidRPr="00A829B3">
        <w:t xml:space="preserve"> was calculated with </w:t>
      </w:r>
      <w:proofErr w:type="gramStart"/>
      <w:r w:rsidRPr="00A829B3">
        <w:t>these post</w:t>
      </w:r>
      <w:proofErr w:type="gramEnd"/>
      <w:r w:rsidRPr="00A829B3">
        <w:t xml:space="preserve"> hoc analyses in order to characterize the size of any significant between- or within-condition effects.  </w:t>
      </w:r>
    </w:p>
    <w:p w14:paraId="5B836618" w14:textId="77777777" w:rsidR="003B57BE" w:rsidRPr="00A829B3" w:rsidRDefault="003B57BE" w:rsidP="003B57BE">
      <w:pPr>
        <w:spacing w:line="480" w:lineRule="auto"/>
        <w:jc w:val="center"/>
        <w:rPr>
          <w:b/>
        </w:rPr>
      </w:pPr>
      <w:r w:rsidRPr="00A829B3">
        <w:rPr>
          <w:b/>
        </w:rPr>
        <w:t>Results</w:t>
      </w:r>
    </w:p>
    <w:p w14:paraId="5AF07C10" w14:textId="4BAD9272" w:rsidR="003B57BE" w:rsidRPr="00A829B3" w:rsidRDefault="003B57BE" w:rsidP="003B57BE">
      <w:pPr>
        <w:spacing w:line="480" w:lineRule="auto"/>
        <w:rPr>
          <w:b/>
        </w:rPr>
      </w:pPr>
      <w:r w:rsidRPr="00A829B3">
        <w:rPr>
          <w:b/>
        </w:rPr>
        <w:t xml:space="preserve">Preliminary </w:t>
      </w:r>
      <w:r w:rsidR="00EB3E00">
        <w:rPr>
          <w:b/>
        </w:rPr>
        <w:t>A</w:t>
      </w:r>
      <w:r w:rsidRPr="00A829B3">
        <w:rPr>
          <w:b/>
        </w:rPr>
        <w:t>nalyses</w:t>
      </w:r>
    </w:p>
    <w:p w14:paraId="3D902A24" w14:textId="483D411D" w:rsidR="001066F6" w:rsidRPr="00A829B3" w:rsidRDefault="003B57BE" w:rsidP="003B57BE">
      <w:pPr>
        <w:spacing w:line="480" w:lineRule="auto"/>
      </w:pPr>
      <w:r w:rsidRPr="00A829B3">
        <w:tab/>
      </w:r>
      <w:r w:rsidR="001066F6" w:rsidRPr="00A829B3">
        <w:t>Overall</w:t>
      </w:r>
      <w:r w:rsidR="00810CEB">
        <w:t>,</w:t>
      </w:r>
      <w:r w:rsidR="001066F6" w:rsidRPr="00A829B3">
        <w:t xml:space="preserve"> 17 participants were randomly assigned to GSH-P, 20 to GSH-E, and 18 to waitlist. Of the 55 enrolled participants, 36 completed the posttreatment assessment</w:t>
      </w:r>
      <w:r w:rsidR="009F52AF" w:rsidRPr="00A829B3">
        <w:t>, with no difference between conditions on rates of assessment completion</w:t>
      </w:r>
      <w:r w:rsidR="001066F6" w:rsidRPr="00A829B3">
        <w:t xml:space="preserve"> (see Figure 1 for participant flow). </w:t>
      </w:r>
    </w:p>
    <w:p w14:paraId="6549AA3A" w14:textId="382FDE58" w:rsidR="003B57BE" w:rsidRPr="00A829B3" w:rsidRDefault="001066F6" w:rsidP="001066F6">
      <w:pPr>
        <w:spacing w:line="480" w:lineRule="auto"/>
        <w:ind w:firstLine="720"/>
      </w:pPr>
      <w:r w:rsidRPr="00A829B3">
        <w:t xml:space="preserve">The </w:t>
      </w:r>
      <w:r w:rsidR="003B57BE" w:rsidRPr="00A829B3">
        <w:t xml:space="preserve">IPAQ physical activity and EDE </w:t>
      </w:r>
      <w:r w:rsidRPr="00A829B3">
        <w:t>binge eating</w:t>
      </w:r>
      <w:r w:rsidR="003B57BE" w:rsidRPr="00A829B3">
        <w:t xml:space="preserve"> </w:t>
      </w:r>
      <w:r w:rsidRPr="00A829B3">
        <w:t>variables were highly skewed</w:t>
      </w:r>
      <w:r w:rsidR="00810CEB">
        <w:t xml:space="preserve"> and </w:t>
      </w:r>
      <w:r w:rsidRPr="00A829B3">
        <w:t>kurtotic</w:t>
      </w:r>
      <w:r w:rsidR="001670AD">
        <w:t xml:space="preserve"> due to a large portion of participants at baseline reporting 0 binge episodes (45%; </w:t>
      </w:r>
      <w:r w:rsidR="0089564F">
        <w:rPr>
          <w:i/>
        </w:rPr>
        <w:t xml:space="preserve">M </w:t>
      </w:r>
      <w:r w:rsidR="0089564F">
        <w:t xml:space="preserve">= 4.40, </w:t>
      </w:r>
      <w:r w:rsidR="0089564F">
        <w:rPr>
          <w:i/>
        </w:rPr>
        <w:t xml:space="preserve">SD </w:t>
      </w:r>
      <w:r w:rsidR="0089564F">
        <w:t xml:space="preserve">= 7.63, </w:t>
      </w:r>
      <w:r w:rsidR="001670AD">
        <w:t xml:space="preserve">range = </w:t>
      </w:r>
      <w:r w:rsidR="0089564F">
        <w:t>0-35</w:t>
      </w:r>
      <w:r w:rsidR="001670AD">
        <w:t xml:space="preserve">) and low physical activity (47% scoring below 1,000 on the IPAQ; </w:t>
      </w:r>
      <w:r w:rsidR="0089564F">
        <w:rPr>
          <w:i/>
        </w:rPr>
        <w:t xml:space="preserve">M </w:t>
      </w:r>
      <w:r w:rsidR="0089564F">
        <w:t xml:space="preserve">= 2086.67, </w:t>
      </w:r>
      <w:r w:rsidR="0089564F">
        <w:rPr>
          <w:i/>
        </w:rPr>
        <w:t>SD</w:t>
      </w:r>
      <w:r w:rsidR="0089564F">
        <w:t xml:space="preserve"> = 2288.81, </w:t>
      </w:r>
      <w:r w:rsidR="001670AD">
        <w:t xml:space="preserve">range = </w:t>
      </w:r>
      <w:r w:rsidR="0089564F">
        <w:t>0 – 8838.00</w:t>
      </w:r>
      <w:r w:rsidR="001670AD">
        <w:t>)</w:t>
      </w:r>
      <w:r w:rsidRPr="00A829B3">
        <w:t>. These variables approximated a normal distribution with an exponential transformation (EDE) and a square root transformation (IPAQ)</w:t>
      </w:r>
      <w:r w:rsidR="001670AD">
        <w:t>, with skewness and kurtosis values being below 1 with these transformations</w:t>
      </w:r>
      <w:r w:rsidRPr="00A829B3">
        <w:t>. There were n</w:t>
      </w:r>
      <w:r w:rsidR="003B57BE" w:rsidRPr="00A829B3">
        <w:t>o</w:t>
      </w:r>
      <w:r w:rsidRPr="00A829B3">
        <w:t xml:space="preserve"> significant</w:t>
      </w:r>
      <w:r w:rsidR="003B57BE" w:rsidRPr="00A829B3">
        <w:t xml:space="preserve"> baseline difference</w:t>
      </w:r>
      <w:r w:rsidRPr="00A829B3">
        <w:t xml:space="preserve">s between conditions on outcome, process, </w:t>
      </w:r>
      <w:r w:rsidR="003B57BE" w:rsidRPr="00A829B3">
        <w:t>or major demographic variables</w:t>
      </w:r>
      <w:r w:rsidR="005D626D" w:rsidRPr="00A829B3">
        <w:t xml:space="preserve"> (see Tables 1 and 2)</w:t>
      </w:r>
      <w:r w:rsidR="003B57BE" w:rsidRPr="00A829B3">
        <w:t>.</w:t>
      </w:r>
    </w:p>
    <w:p w14:paraId="5614524E" w14:textId="0DEB2519" w:rsidR="003B57BE" w:rsidRPr="00A829B3" w:rsidRDefault="003B57BE" w:rsidP="003B57BE">
      <w:pPr>
        <w:spacing w:line="480" w:lineRule="auto"/>
        <w:rPr>
          <w:b/>
        </w:rPr>
      </w:pPr>
      <w:r w:rsidRPr="00A829B3">
        <w:rPr>
          <w:b/>
        </w:rPr>
        <w:t>Self-</w:t>
      </w:r>
      <w:r w:rsidR="00EB3E00">
        <w:rPr>
          <w:b/>
        </w:rPr>
        <w:t>R</w:t>
      </w:r>
      <w:r w:rsidRPr="00A829B3">
        <w:rPr>
          <w:b/>
        </w:rPr>
        <w:t xml:space="preserve">eported </w:t>
      </w:r>
      <w:r w:rsidR="00EB3E00">
        <w:rPr>
          <w:b/>
        </w:rPr>
        <w:t>E</w:t>
      </w:r>
      <w:r w:rsidRPr="00A829B3">
        <w:rPr>
          <w:b/>
        </w:rPr>
        <w:t xml:space="preserve">ngagement </w:t>
      </w:r>
      <w:proofErr w:type="gramStart"/>
      <w:r w:rsidR="00EB3E00">
        <w:rPr>
          <w:b/>
        </w:rPr>
        <w:t>W</w:t>
      </w:r>
      <w:r w:rsidRPr="00A829B3">
        <w:rPr>
          <w:b/>
        </w:rPr>
        <w:t>ith</w:t>
      </w:r>
      <w:proofErr w:type="gramEnd"/>
      <w:r w:rsidRPr="00A829B3">
        <w:rPr>
          <w:b/>
        </w:rPr>
        <w:t xml:space="preserve"> the </w:t>
      </w:r>
      <w:r w:rsidR="00EB3E00">
        <w:rPr>
          <w:b/>
        </w:rPr>
        <w:t>B</w:t>
      </w:r>
      <w:r w:rsidRPr="00A829B3">
        <w:rPr>
          <w:b/>
        </w:rPr>
        <w:t>ook</w:t>
      </w:r>
    </w:p>
    <w:p w14:paraId="64A64F01" w14:textId="675FCC81" w:rsidR="003B57BE" w:rsidRPr="00A829B3" w:rsidRDefault="003B57BE" w:rsidP="003B57BE">
      <w:pPr>
        <w:spacing w:line="480" w:lineRule="auto"/>
      </w:pPr>
      <w:r w:rsidRPr="00A829B3">
        <w:rPr>
          <w:b/>
        </w:rPr>
        <w:tab/>
      </w:r>
      <w:r w:rsidRPr="00A829B3">
        <w:t xml:space="preserve">Participants </w:t>
      </w:r>
      <w:r w:rsidR="00517C8D" w:rsidRPr="00A829B3">
        <w:t xml:space="preserve">who completed the posttreatment assessment (GSH-P </w:t>
      </w:r>
      <w:r w:rsidR="00517C8D" w:rsidRPr="00A829B3">
        <w:rPr>
          <w:i/>
        </w:rPr>
        <w:t xml:space="preserve">n </w:t>
      </w:r>
      <w:r w:rsidR="00517C8D" w:rsidRPr="00A829B3">
        <w:t xml:space="preserve">= 12; GSH-E </w:t>
      </w:r>
      <w:r w:rsidR="00517C8D" w:rsidRPr="00A829B3">
        <w:rPr>
          <w:i/>
        </w:rPr>
        <w:t xml:space="preserve">n </w:t>
      </w:r>
      <w:r w:rsidR="00517C8D" w:rsidRPr="00A829B3">
        <w:t xml:space="preserve">= 12) </w:t>
      </w:r>
      <w:r w:rsidRPr="00A829B3">
        <w:t xml:space="preserve">reported reading an equally large percentage of the book on average in the </w:t>
      </w:r>
      <w:r w:rsidR="001066F6" w:rsidRPr="00A829B3">
        <w:t>GSH-P</w:t>
      </w:r>
      <w:r w:rsidRPr="00A829B3">
        <w:t xml:space="preserve"> (</w:t>
      </w:r>
      <w:r w:rsidRPr="00A829B3">
        <w:rPr>
          <w:i/>
        </w:rPr>
        <w:t xml:space="preserve">M </w:t>
      </w:r>
      <w:r w:rsidRPr="00A829B3">
        <w:t xml:space="preserve">= 94.09%, </w:t>
      </w:r>
      <w:r w:rsidRPr="00A829B3">
        <w:rPr>
          <w:i/>
        </w:rPr>
        <w:t xml:space="preserve">SD </w:t>
      </w:r>
      <w:r w:rsidRPr="00A829B3">
        <w:t xml:space="preserve">= 14.97) and </w:t>
      </w:r>
      <w:r w:rsidR="001066F6" w:rsidRPr="00A829B3">
        <w:t>GSH-E</w:t>
      </w:r>
      <w:r w:rsidRPr="00A829B3">
        <w:t xml:space="preserve"> conditions (</w:t>
      </w:r>
      <w:r w:rsidRPr="00A829B3">
        <w:rPr>
          <w:i/>
        </w:rPr>
        <w:t xml:space="preserve">M </w:t>
      </w:r>
      <w:r w:rsidRPr="00A829B3">
        <w:t xml:space="preserve">= 81.50%, </w:t>
      </w:r>
      <w:r w:rsidRPr="00A829B3">
        <w:rPr>
          <w:i/>
        </w:rPr>
        <w:t xml:space="preserve">SD </w:t>
      </w:r>
      <w:r w:rsidRPr="00A829B3">
        <w:t xml:space="preserve">= 26.52), </w:t>
      </w:r>
      <w:r w:rsidRPr="00A829B3">
        <w:rPr>
          <w:i/>
        </w:rPr>
        <w:t>t</w:t>
      </w:r>
      <w:r w:rsidRPr="00A829B3">
        <w:t xml:space="preserve">(21) = 1.38, </w:t>
      </w:r>
      <w:r w:rsidRPr="00A829B3">
        <w:rPr>
          <w:i/>
        </w:rPr>
        <w:t xml:space="preserve">p </w:t>
      </w:r>
      <w:r w:rsidRPr="00A829B3">
        <w:t xml:space="preserve">&gt; .10, </w:t>
      </w:r>
      <w:r w:rsidRPr="00A829B3">
        <w:rPr>
          <w:i/>
        </w:rPr>
        <w:t xml:space="preserve">d </w:t>
      </w:r>
      <w:r w:rsidRPr="00A829B3">
        <w:t>= .58</w:t>
      </w:r>
      <w:r w:rsidR="00507962">
        <w:t>)</w:t>
      </w:r>
      <w:r w:rsidRPr="00A829B3">
        <w:t xml:space="preserve">. </w:t>
      </w:r>
      <w:proofErr w:type="gramStart"/>
      <w:r w:rsidR="001066F6" w:rsidRPr="00A829B3">
        <w:t>The majority of</w:t>
      </w:r>
      <w:proofErr w:type="gramEnd"/>
      <w:r w:rsidR="001066F6" w:rsidRPr="00A829B3">
        <w:t xml:space="preserve"> participants read the entire book (GSH-P 73%; GSH-E</w:t>
      </w:r>
      <w:r w:rsidR="00517C8D" w:rsidRPr="00A829B3">
        <w:t xml:space="preserve"> 58%</w:t>
      </w:r>
      <w:r w:rsidR="001066F6" w:rsidRPr="00A829B3">
        <w:t>)</w:t>
      </w:r>
      <w:r w:rsidR="00C05F71">
        <w:t>. Only 17% in the GSH-E read</w:t>
      </w:r>
      <w:r w:rsidR="00434953" w:rsidRPr="00A829B3">
        <w:t xml:space="preserve"> less than half of the book and 0% in GSH-</w:t>
      </w:r>
      <w:r w:rsidR="00C05F71">
        <w:t>P read</w:t>
      </w:r>
      <w:r w:rsidR="00434953" w:rsidRPr="00A829B3">
        <w:t xml:space="preserve"> less than half</w:t>
      </w:r>
      <w:r w:rsidRPr="00A829B3">
        <w:t xml:space="preserve">. There were no statistical differences in </w:t>
      </w:r>
      <w:r w:rsidR="00434953" w:rsidRPr="00A829B3">
        <w:t>reading</w:t>
      </w:r>
      <w:r w:rsidRPr="00A829B3">
        <w:t xml:space="preserve"> </w:t>
      </w:r>
      <w:r w:rsidR="00434953" w:rsidRPr="00A829B3">
        <w:t>engagement</w:t>
      </w:r>
      <w:r w:rsidRPr="00A829B3">
        <w:t xml:space="preserve"> rates between conditions. </w:t>
      </w:r>
    </w:p>
    <w:p w14:paraId="1E2A52C1" w14:textId="1F71A625" w:rsidR="003B57BE" w:rsidRPr="00A829B3" w:rsidRDefault="003B57BE" w:rsidP="003B57BE">
      <w:pPr>
        <w:spacing w:line="480" w:lineRule="auto"/>
      </w:pPr>
      <w:r w:rsidRPr="00A829B3">
        <w:lastRenderedPageBreak/>
        <w:tab/>
        <w:t>Participants reported equal engagement in the book between conditions including percentage of exercises completed in the book (</w:t>
      </w:r>
      <w:r w:rsidR="00434953" w:rsidRPr="00A829B3">
        <w:t>GSH-P</w:t>
      </w:r>
      <w:r w:rsidRPr="00A829B3">
        <w:t xml:space="preserve"> </w:t>
      </w:r>
      <w:r w:rsidRPr="00A829B3">
        <w:rPr>
          <w:i/>
        </w:rPr>
        <w:t xml:space="preserve">M </w:t>
      </w:r>
      <w:r w:rsidRPr="00A829B3">
        <w:t>= 74.09</w:t>
      </w:r>
      <w:r w:rsidR="00C80A19">
        <w:t>%</w:t>
      </w:r>
      <w:r w:rsidRPr="00A829B3">
        <w:t xml:space="preserve">, </w:t>
      </w:r>
      <w:r w:rsidRPr="00A829B3">
        <w:rPr>
          <w:i/>
        </w:rPr>
        <w:t xml:space="preserve">SD </w:t>
      </w:r>
      <w:r w:rsidRPr="00A829B3">
        <w:t xml:space="preserve">= 19.34; </w:t>
      </w:r>
      <w:r w:rsidR="00434953" w:rsidRPr="00A829B3">
        <w:t>GSH-E</w:t>
      </w:r>
      <w:r w:rsidRPr="00A829B3">
        <w:t xml:space="preserve"> </w:t>
      </w:r>
      <w:r w:rsidRPr="00A829B3">
        <w:rPr>
          <w:i/>
        </w:rPr>
        <w:t xml:space="preserve">M </w:t>
      </w:r>
      <w:r w:rsidRPr="00A829B3">
        <w:t>= 77.67</w:t>
      </w:r>
      <w:r w:rsidR="00C80A19">
        <w:t>%</w:t>
      </w:r>
      <w:r w:rsidRPr="00A829B3">
        <w:t xml:space="preserve">, </w:t>
      </w:r>
      <w:r w:rsidRPr="00A829B3">
        <w:rPr>
          <w:i/>
        </w:rPr>
        <w:t xml:space="preserve">SD </w:t>
      </w:r>
      <w:r w:rsidRPr="00A829B3">
        <w:t>= 20.33), how carefully they read the book (</w:t>
      </w:r>
      <w:r w:rsidR="00434953" w:rsidRPr="00A829B3">
        <w:t>GSH-P</w:t>
      </w:r>
      <w:r w:rsidRPr="00A829B3">
        <w:t xml:space="preserve"> </w:t>
      </w:r>
      <w:r w:rsidRPr="00A829B3">
        <w:rPr>
          <w:i/>
        </w:rPr>
        <w:t xml:space="preserve">M </w:t>
      </w:r>
      <w:r w:rsidRPr="00A829B3">
        <w:t xml:space="preserve">= 5.00, </w:t>
      </w:r>
      <w:r w:rsidRPr="00A829B3">
        <w:rPr>
          <w:i/>
        </w:rPr>
        <w:t xml:space="preserve">SD </w:t>
      </w:r>
      <w:r w:rsidRPr="00A829B3">
        <w:t xml:space="preserve">= 1.00; </w:t>
      </w:r>
      <w:r w:rsidR="00434953" w:rsidRPr="00A829B3">
        <w:t>GSH-E</w:t>
      </w:r>
      <w:r w:rsidRPr="00A829B3">
        <w:t xml:space="preserve"> </w:t>
      </w:r>
      <w:r w:rsidRPr="00A829B3">
        <w:rPr>
          <w:i/>
        </w:rPr>
        <w:t xml:space="preserve">M </w:t>
      </w:r>
      <w:r w:rsidRPr="00A829B3">
        <w:t xml:space="preserve">= 5.17, </w:t>
      </w:r>
      <w:r w:rsidRPr="00A829B3">
        <w:rPr>
          <w:i/>
        </w:rPr>
        <w:t xml:space="preserve">SD </w:t>
      </w:r>
      <w:r w:rsidRPr="00A829B3">
        <w:t xml:space="preserve">= .94 on 6-point scale with 5 = “quite a lot” and 6 = “very much”), and number of journaling pages </w:t>
      </w:r>
      <w:r w:rsidR="00F20DE7">
        <w:t>written</w:t>
      </w:r>
      <w:r w:rsidR="00F20DE7" w:rsidRPr="00A829B3">
        <w:t xml:space="preserve"> </w:t>
      </w:r>
      <w:r w:rsidRPr="00A829B3">
        <w:t>(</w:t>
      </w:r>
      <w:r w:rsidR="00434953" w:rsidRPr="00A829B3">
        <w:t>GSH-P</w:t>
      </w:r>
      <w:r w:rsidRPr="00A829B3">
        <w:t xml:space="preserve"> </w:t>
      </w:r>
      <w:r w:rsidRPr="00A829B3">
        <w:rPr>
          <w:i/>
        </w:rPr>
        <w:t xml:space="preserve">M </w:t>
      </w:r>
      <w:r w:rsidRPr="00A829B3">
        <w:t xml:space="preserve">= 14.36, </w:t>
      </w:r>
      <w:r w:rsidRPr="00A829B3">
        <w:rPr>
          <w:i/>
        </w:rPr>
        <w:t xml:space="preserve">SD </w:t>
      </w:r>
      <w:r w:rsidRPr="00A829B3">
        <w:t xml:space="preserve">= 8.13; </w:t>
      </w:r>
      <w:r w:rsidR="00434953" w:rsidRPr="00A829B3">
        <w:t>GSH-E</w:t>
      </w:r>
      <w:r w:rsidRPr="00A829B3">
        <w:t xml:space="preserve"> </w:t>
      </w:r>
      <w:r w:rsidRPr="00A829B3">
        <w:rPr>
          <w:i/>
        </w:rPr>
        <w:t xml:space="preserve">M </w:t>
      </w:r>
      <w:r w:rsidRPr="00A829B3">
        <w:t xml:space="preserve">= 12.42, </w:t>
      </w:r>
      <w:r w:rsidRPr="00A829B3">
        <w:rPr>
          <w:i/>
        </w:rPr>
        <w:t xml:space="preserve">SD </w:t>
      </w:r>
      <w:r w:rsidRPr="00A829B3">
        <w:t>= 12.27). The only</w:t>
      </w:r>
      <w:r w:rsidR="00434953" w:rsidRPr="00A829B3">
        <w:t xml:space="preserve"> engagement</w:t>
      </w:r>
      <w:r w:rsidRPr="00A829B3">
        <w:t xml:space="preserve"> difference between conditions at post</w:t>
      </w:r>
      <w:r w:rsidR="00434953" w:rsidRPr="00A829B3">
        <w:t>treatment</w:t>
      </w:r>
      <w:r w:rsidRPr="00A829B3">
        <w:t xml:space="preserve"> was for the </w:t>
      </w:r>
      <w:r w:rsidR="004F4536">
        <w:t xml:space="preserve">6-point </w:t>
      </w:r>
      <w:r w:rsidR="00434953" w:rsidRPr="00A829B3">
        <w:t xml:space="preserve">self-report </w:t>
      </w:r>
      <w:r w:rsidRPr="00A829B3">
        <w:t xml:space="preserve">item “I intend to use the skills and concepts I learned in the program,” which was </w:t>
      </w:r>
      <w:r w:rsidR="004F4536">
        <w:t>higher for the GSH-P than GSH-E condition</w:t>
      </w:r>
      <w:r w:rsidRPr="00A829B3">
        <w:t xml:space="preserve"> (</w:t>
      </w:r>
      <w:r w:rsidR="004F4536">
        <w:t>GSH-P</w:t>
      </w:r>
      <w:r w:rsidRPr="00A829B3">
        <w:t xml:space="preserve"> </w:t>
      </w:r>
      <w:r w:rsidRPr="00A829B3">
        <w:rPr>
          <w:i/>
        </w:rPr>
        <w:t xml:space="preserve">M </w:t>
      </w:r>
      <w:r w:rsidRPr="00A829B3">
        <w:t xml:space="preserve">= 5.55, </w:t>
      </w:r>
      <w:r w:rsidRPr="00A829B3">
        <w:rPr>
          <w:i/>
        </w:rPr>
        <w:t xml:space="preserve">SD </w:t>
      </w:r>
      <w:r w:rsidRPr="00A829B3">
        <w:t xml:space="preserve">= .69; </w:t>
      </w:r>
      <w:r w:rsidR="004F4536">
        <w:t>GSH-E</w:t>
      </w:r>
      <w:r w:rsidRPr="00A829B3">
        <w:t xml:space="preserve"> </w:t>
      </w:r>
      <w:r w:rsidRPr="00A829B3">
        <w:rPr>
          <w:i/>
        </w:rPr>
        <w:t xml:space="preserve">M </w:t>
      </w:r>
      <w:r w:rsidRPr="00A829B3">
        <w:t xml:space="preserve">= 4.50, </w:t>
      </w:r>
      <w:r w:rsidRPr="00A829B3">
        <w:rPr>
          <w:i/>
        </w:rPr>
        <w:t xml:space="preserve">SD </w:t>
      </w:r>
      <w:r w:rsidRPr="00A829B3">
        <w:t xml:space="preserve">= 1.45; </w:t>
      </w:r>
      <w:r w:rsidRPr="00A829B3">
        <w:rPr>
          <w:i/>
        </w:rPr>
        <w:t>t</w:t>
      </w:r>
      <w:r w:rsidR="00434953" w:rsidRPr="00A829B3">
        <w:t>[21]</w:t>
      </w:r>
      <w:r w:rsidRPr="00A829B3">
        <w:t xml:space="preserve"> = 2.18, </w:t>
      </w:r>
      <w:r w:rsidRPr="00A829B3">
        <w:rPr>
          <w:i/>
        </w:rPr>
        <w:t xml:space="preserve">p </w:t>
      </w:r>
      <w:r w:rsidRPr="00A829B3">
        <w:t xml:space="preserve">&lt; .05, </w:t>
      </w:r>
      <w:r w:rsidRPr="00A829B3">
        <w:rPr>
          <w:i/>
        </w:rPr>
        <w:t xml:space="preserve">d </w:t>
      </w:r>
      <w:r w:rsidRPr="00A829B3">
        <w:t>= .92).</w:t>
      </w:r>
    </w:p>
    <w:p w14:paraId="58B56A7D" w14:textId="2E372095" w:rsidR="003B57BE" w:rsidRPr="00A829B3" w:rsidRDefault="003B57BE" w:rsidP="003B57BE">
      <w:pPr>
        <w:spacing w:line="480" w:lineRule="auto"/>
        <w:rPr>
          <w:b/>
        </w:rPr>
      </w:pPr>
      <w:r w:rsidRPr="00A829B3">
        <w:rPr>
          <w:b/>
        </w:rPr>
        <w:t>Self-</w:t>
      </w:r>
      <w:r w:rsidR="00EB3E00">
        <w:rPr>
          <w:b/>
        </w:rPr>
        <w:t>R</w:t>
      </w:r>
      <w:r w:rsidRPr="00A829B3">
        <w:rPr>
          <w:b/>
        </w:rPr>
        <w:t xml:space="preserve">eported </w:t>
      </w:r>
      <w:r w:rsidR="00EB3E00">
        <w:rPr>
          <w:b/>
        </w:rPr>
        <w:t>S</w:t>
      </w:r>
      <w:r w:rsidRPr="00A829B3">
        <w:rPr>
          <w:b/>
        </w:rPr>
        <w:t xml:space="preserve">atisfaction </w:t>
      </w:r>
      <w:proofErr w:type="gramStart"/>
      <w:r w:rsidR="00EB3E00">
        <w:rPr>
          <w:b/>
        </w:rPr>
        <w:t>W</w:t>
      </w:r>
      <w:r w:rsidRPr="00A829B3">
        <w:rPr>
          <w:b/>
        </w:rPr>
        <w:t>ith</w:t>
      </w:r>
      <w:proofErr w:type="gramEnd"/>
      <w:r w:rsidRPr="00A829B3">
        <w:rPr>
          <w:b/>
        </w:rPr>
        <w:t xml:space="preserve"> the </w:t>
      </w:r>
      <w:r w:rsidR="00EB3E00">
        <w:rPr>
          <w:b/>
        </w:rPr>
        <w:t>B</w:t>
      </w:r>
      <w:r w:rsidRPr="00A829B3">
        <w:rPr>
          <w:b/>
        </w:rPr>
        <w:t>ook</w:t>
      </w:r>
    </w:p>
    <w:p w14:paraId="42C315FA" w14:textId="4F904529" w:rsidR="003B57BE" w:rsidRPr="00A829B3" w:rsidRDefault="003B57BE" w:rsidP="003B57BE">
      <w:pPr>
        <w:spacing w:line="480" w:lineRule="auto"/>
      </w:pPr>
      <w:r w:rsidRPr="00A829B3">
        <w:tab/>
        <w:t xml:space="preserve">Participants reported equally high satisfaction ratings for the program between the </w:t>
      </w:r>
      <w:r w:rsidR="00434953" w:rsidRPr="00A829B3">
        <w:t>GSH-P</w:t>
      </w:r>
      <w:r w:rsidRPr="00A829B3">
        <w:t xml:space="preserve"> and </w:t>
      </w:r>
      <w:r w:rsidR="00434953" w:rsidRPr="00A829B3">
        <w:t>GSH-E</w:t>
      </w:r>
      <w:r w:rsidRPr="00A829B3">
        <w:t xml:space="preserve"> conditions for individual items, which were rated on a 6-point scale</w:t>
      </w:r>
      <w:r w:rsidR="004C6933">
        <w:t xml:space="preserve"> from 1 (</w:t>
      </w:r>
      <w:r w:rsidR="004C6933">
        <w:rPr>
          <w:i/>
          <w:iCs/>
        </w:rPr>
        <w:t>strongly disagree</w:t>
      </w:r>
      <w:r w:rsidR="004C6933">
        <w:t>) to 6 (</w:t>
      </w:r>
      <w:r w:rsidR="004C6933">
        <w:rPr>
          <w:i/>
          <w:iCs/>
        </w:rPr>
        <w:t>strongly agree</w:t>
      </w:r>
      <w:r w:rsidR="004C6933">
        <w:t xml:space="preserve">), </w:t>
      </w:r>
      <w:r w:rsidRPr="00A829B3">
        <w:t>with 4</w:t>
      </w:r>
      <w:r w:rsidR="004C6933">
        <w:t xml:space="preserve"> (</w:t>
      </w:r>
      <w:r w:rsidR="004C6933">
        <w:rPr>
          <w:i/>
          <w:iCs/>
        </w:rPr>
        <w:t>slightly agree</w:t>
      </w:r>
      <w:r w:rsidR="004C6933">
        <w:t>)</w:t>
      </w:r>
      <w:r w:rsidRPr="00A829B3">
        <w:t xml:space="preserve"> or higher indicating </w:t>
      </w:r>
      <w:r w:rsidR="00FB12DF">
        <w:t>agreement/</w:t>
      </w:r>
      <w:r w:rsidRPr="00A829B3">
        <w:t>satisfaction. This included overall satisfaction with the book (</w:t>
      </w:r>
      <w:r w:rsidR="00F75E95" w:rsidRPr="00A829B3">
        <w:t>GSH-P</w:t>
      </w:r>
      <w:r w:rsidRPr="00A829B3">
        <w:t xml:space="preserve"> </w:t>
      </w:r>
      <w:r w:rsidRPr="00A829B3">
        <w:rPr>
          <w:i/>
        </w:rPr>
        <w:t xml:space="preserve">M </w:t>
      </w:r>
      <w:r w:rsidRPr="00A829B3">
        <w:t xml:space="preserve">= 5.45, </w:t>
      </w:r>
      <w:r w:rsidRPr="00A829B3">
        <w:rPr>
          <w:i/>
        </w:rPr>
        <w:t xml:space="preserve">SD </w:t>
      </w:r>
      <w:r w:rsidRPr="00A829B3">
        <w:t xml:space="preserve">= .69; </w:t>
      </w:r>
      <w:r w:rsidR="00F75E95" w:rsidRPr="00A829B3">
        <w:t>GSH-E</w:t>
      </w:r>
      <w:r w:rsidRPr="00A829B3">
        <w:t xml:space="preserve"> </w:t>
      </w:r>
      <w:r w:rsidRPr="00A829B3">
        <w:rPr>
          <w:i/>
        </w:rPr>
        <w:t xml:space="preserve">M </w:t>
      </w:r>
      <w:r w:rsidRPr="00A829B3">
        <w:t xml:space="preserve">= 5.00, </w:t>
      </w:r>
      <w:r w:rsidRPr="00A829B3">
        <w:rPr>
          <w:i/>
        </w:rPr>
        <w:t xml:space="preserve">SD </w:t>
      </w:r>
      <w:r w:rsidRPr="00A829B3">
        <w:t>= 1.41), perceived helpfulness of the book (</w:t>
      </w:r>
      <w:r w:rsidR="00F75E95" w:rsidRPr="00A829B3">
        <w:t>GSH-P</w:t>
      </w:r>
      <w:r w:rsidRPr="00A829B3">
        <w:t xml:space="preserve"> </w:t>
      </w:r>
      <w:r w:rsidRPr="00A829B3">
        <w:rPr>
          <w:i/>
        </w:rPr>
        <w:t xml:space="preserve">M </w:t>
      </w:r>
      <w:r w:rsidRPr="00A829B3">
        <w:t xml:space="preserve">= 5.55, </w:t>
      </w:r>
      <w:r w:rsidRPr="00A829B3">
        <w:rPr>
          <w:i/>
        </w:rPr>
        <w:t xml:space="preserve">SD </w:t>
      </w:r>
      <w:r w:rsidRPr="00A829B3">
        <w:t xml:space="preserve">= .69; </w:t>
      </w:r>
      <w:r w:rsidR="00F75E95" w:rsidRPr="00A829B3">
        <w:t>GSH-E</w:t>
      </w:r>
      <w:r w:rsidRPr="00A829B3">
        <w:t xml:space="preserve"> </w:t>
      </w:r>
      <w:r w:rsidRPr="00A829B3">
        <w:rPr>
          <w:i/>
        </w:rPr>
        <w:t xml:space="preserve">M </w:t>
      </w:r>
      <w:r w:rsidRPr="00A829B3">
        <w:t xml:space="preserve">= 4.92, </w:t>
      </w:r>
      <w:r w:rsidRPr="00A829B3">
        <w:rPr>
          <w:i/>
        </w:rPr>
        <w:t xml:space="preserve">SD </w:t>
      </w:r>
      <w:r w:rsidRPr="00A829B3">
        <w:t>= 1.44), ability to understand concepts in the book (</w:t>
      </w:r>
      <w:r w:rsidR="00F75E95" w:rsidRPr="00A829B3">
        <w:t>GSH-P</w:t>
      </w:r>
      <w:r w:rsidRPr="00A829B3">
        <w:t xml:space="preserve"> </w:t>
      </w:r>
      <w:r w:rsidRPr="00A829B3">
        <w:rPr>
          <w:i/>
        </w:rPr>
        <w:t xml:space="preserve">M </w:t>
      </w:r>
      <w:r w:rsidRPr="00A829B3">
        <w:t xml:space="preserve">= 5.64, </w:t>
      </w:r>
      <w:r w:rsidRPr="00A829B3">
        <w:rPr>
          <w:i/>
        </w:rPr>
        <w:t xml:space="preserve">SD </w:t>
      </w:r>
      <w:r w:rsidRPr="00A829B3">
        <w:t xml:space="preserve">= .51; </w:t>
      </w:r>
      <w:r w:rsidR="00F75E95" w:rsidRPr="00A829B3">
        <w:t>GSH-E</w:t>
      </w:r>
      <w:r w:rsidRPr="00A829B3">
        <w:t xml:space="preserve"> </w:t>
      </w:r>
      <w:r w:rsidRPr="00A829B3">
        <w:rPr>
          <w:i/>
        </w:rPr>
        <w:t xml:space="preserve">M </w:t>
      </w:r>
      <w:r w:rsidRPr="00A829B3">
        <w:t xml:space="preserve">= 5.50, </w:t>
      </w:r>
      <w:r w:rsidRPr="00A829B3">
        <w:rPr>
          <w:i/>
        </w:rPr>
        <w:t xml:space="preserve">SD </w:t>
      </w:r>
      <w:r w:rsidRPr="00A829B3">
        <w:t>= .67), and perceived fit (i.e., th</w:t>
      </w:r>
      <w:r w:rsidR="009A461F">
        <w:t xml:space="preserve">at the book was made for them; </w:t>
      </w:r>
      <w:r w:rsidR="00F75E95" w:rsidRPr="00A829B3">
        <w:t>GSH-P</w:t>
      </w:r>
      <w:r w:rsidRPr="00A829B3">
        <w:t xml:space="preserve"> </w:t>
      </w:r>
      <w:r w:rsidRPr="00A829B3">
        <w:rPr>
          <w:i/>
        </w:rPr>
        <w:t xml:space="preserve">M </w:t>
      </w:r>
      <w:r w:rsidRPr="00A829B3">
        <w:t xml:space="preserve">= 5.36, </w:t>
      </w:r>
      <w:r w:rsidRPr="00A829B3">
        <w:rPr>
          <w:i/>
        </w:rPr>
        <w:t xml:space="preserve">SD </w:t>
      </w:r>
      <w:r w:rsidRPr="00A829B3">
        <w:t xml:space="preserve">= 1.12; </w:t>
      </w:r>
      <w:r w:rsidR="00F75E95" w:rsidRPr="00A829B3">
        <w:t>GSH-E</w:t>
      </w:r>
      <w:r w:rsidRPr="00A829B3">
        <w:t xml:space="preserve"> </w:t>
      </w:r>
      <w:r w:rsidRPr="00A829B3">
        <w:rPr>
          <w:i/>
        </w:rPr>
        <w:t xml:space="preserve">M </w:t>
      </w:r>
      <w:r w:rsidRPr="00A829B3">
        <w:t xml:space="preserve">= 5.00, </w:t>
      </w:r>
      <w:r w:rsidRPr="00A829B3">
        <w:rPr>
          <w:i/>
        </w:rPr>
        <w:t xml:space="preserve">SD </w:t>
      </w:r>
      <w:r w:rsidRPr="00A829B3">
        <w:t xml:space="preserve">= 1.28). </w:t>
      </w:r>
    </w:p>
    <w:p w14:paraId="512EE61F" w14:textId="4557C6B0" w:rsidR="003B57BE" w:rsidRPr="00A829B3" w:rsidRDefault="003B57BE" w:rsidP="003B57BE">
      <w:pPr>
        <w:spacing w:line="480" w:lineRule="auto"/>
        <w:ind w:firstLine="720"/>
      </w:pPr>
      <w:r w:rsidRPr="00A829B3">
        <w:t xml:space="preserve">Participants in the </w:t>
      </w:r>
      <w:r w:rsidR="00F75E95" w:rsidRPr="00A829B3">
        <w:t>GSH-P</w:t>
      </w:r>
      <w:r w:rsidRPr="00A829B3">
        <w:t xml:space="preserve"> condition provided high ratings for overall satisfaction with coaching (</w:t>
      </w:r>
      <w:r w:rsidRPr="00A829B3">
        <w:rPr>
          <w:i/>
        </w:rPr>
        <w:t xml:space="preserve">M = </w:t>
      </w:r>
      <w:r w:rsidRPr="00A829B3">
        <w:t xml:space="preserve">6.00, </w:t>
      </w:r>
      <w:r w:rsidRPr="00A829B3">
        <w:rPr>
          <w:i/>
        </w:rPr>
        <w:t xml:space="preserve">SD </w:t>
      </w:r>
      <w:r w:rsidRPr="00A829B3">
        <w:t>= .00) and helpfulness of coaching (</w:t>
      </w:r>
      <w:r w:rsidRPr="00A829B3">
        <w:rPr>
          <w:i/>
        </w:rPr>
        <w:t xml:space="preserve">M </w:t>
      </w:r>
      <w:r w:rsidRPr="00A829B3">
        <w:t xml:space="preserve">5.90, </w:t>
      </w:r>
      <w:r w:rsidRPr="00A829B3">
        <w:rPr>
          <w:i/>
        </w:rPr>
        <w:t xml:space="preserve">SD </w:t>
      </w:r>
      <w:r w:rsidRPr="00A829B3">
        <w:t>= .32), while disagreeing with the statement that the book would have been just as helpful without any phone coaching (</w:t>
      </w:r>
      <w:r w:rsidRPr="00A829B3">
        <w:rPr>
          <w:i/>
        </w:rPr>
        <w:t xml:space="preserve">M </w:t>
      </w:r>
      <w:r w:rsidRPr="00A829B3">
        <w:t xml:space="preserve">= 2.40, </w:t>
      </w:r>
      <w:r w:rsidRPr="00A829B3">
        <w:rPr>
          <w:i/>
        </w:rPr>
        <w:t xml:space="preserve">SD </w:t>
      </w:r>
      <w:r w:rsidRPr="00A829B3">
        <w:t xml:space="preserve">= .84). Participants in the </w:t>
      </w:r>
      <w:r w:rsidR="00F75E95" w:rsidRPr="00A829B3">
        <w:t>GSH-E</w:t>
      </w:r>
      <w:r w:rsidRPr="00A829B3">
        <w:t xml:space="preserve"> condition similarly provided high rating</w:t>
      </w:r>
      <w:r w:rsidR="009A461F">
        <w:t>s</w:t>
      </w:r>
      <w:r w:rsidRPr="00A829B3">
        <w:t xml:space="preserve"> for email support including overall satisfaction (</w:t>
      </w:r>
      <w:r w:rsidRPr="00A829B3">
        <w:rPr>
          <w:i/>
        </w:rPr>
        <w:t xml:space="preserve">M </w:t>
      </w:r>
      <w:r w:rsidRPr="00A829B3">
        <w:t xml:space="preserve">= 5.17, </w:t>
      </w:r>
      <w:r w:rsidRPr="00A829B3">
        <w:rPr>
          <w:i/>
        </w:rPr>
        <w:t xml:space="preserve">SD </w:t>
      </w:r>
      <w:r w:rsidRPr="00A829B3">
        <w:t>= 1.27) and helpfulness (</w:t>
      </w:r>
      <w:r w:rsidRPr="00A829B3">
        <w:rPr>
          <w:i/>
        </w:rPr>
        <w:t xml:space="preserve">M </w:t>
      </w:r>
      <w:r w:rsidRPr="00A829B3">
        <w:lastRenderedPageBreak/>
        <w:t xml:space="preserve">= 4.17, </w:t>
      </w:r>
      <w:r w:rsidRPr="00A829B3">
        <w:rPr>
          <w:i/>
        </w:rPr>
        <w:t xml:space="preserve">SD </w:t>
      </w:r>
      <w:r w:rsidRPr="00A829B3">
        <w:t xml:space="preserve">= 1.59), although </w:t>
      </w:r>
      <w:r w:rsidR="009A461F">
        <w:t xml:space="preserve">GSH-E </w:t>
      </w:r>
      <w:r w:rsidRPr="00A829B3">
        <w:t>participants slightly agreed that the book would have been just as helpful without email support (</w:t>
      </w:r>
      <w:r w:rsidRPr="00A829B3">
        <w:rPr>
          <w:i/>
        </w:rPr>
        <w:t xml:space="preserve">M </w:t>
      </w:r>
      <w:r w:rsidRPr="00A829B3">
        <w:t xml:space="preserve">= 4.17, </w:t>
      </w:r>
      <w:r w:rsidRPr="00A829B3">
        <w:rPr>
          <w:i/>
        </w:rPr>
        <w:t xml:space="preserve">SD </w:t>
      </w:r>
      <w:r w:rsidRPr="00A829B3">
        <w:t>= 1.27).</w:t>
      </w:r>
    </w:p>
    <w:p w14:paraId="0F3F05FC" w14:textId="4D48D9C2" w:rsidR="003B57BE" w:rsidRPr="00A829B3" w:rsidRDefault="003B57BE" w:rsidP="003B57BE">
      <w:pPr>
        <w:spacing w:line="480" w:lineRule="auto"/>
        <w:rPr>
          <w:b/>
        </w:rPr>
      </w:pPr>
      <w:r w:rsidRPr="00A829B3">
        <w:rPr>
          <w:b/>
        </w:rPr>
        <w:t xml:space="preserve">MMRM </w:t>
      </w:r>
      <w:r w:rsidR="00EB3E00">
        <w:rPr>
          <w:b/>
        </w:rPr>
        <w:t>A</w:t>
      </w:r>
      <w:r w:rsidR="00F75E95" w:rsidRPr="00A829B3">
        <w:rPr>
          <w:b/>
        </w:rPr>
        <w:t xml:space="preserve">nalyses of </w:t>
      </w:r>
      <w:r w:rsidR="00EB3E00">
        <w:rPr>
          <w:b/>
        </w:rPr>
        <w:t>O</w:t>
      </w:r>
      <w:r w:rsidR="00F75E95" w:rsidRPr="00A829B3">
        <w:rPr>
          <w:b/>
        </w:rPr>
        <w:t xml:space="preserve">utcomes and </w:t>
      </w:r>
      <w:r w:rsidR="00EB3E00">
        <w:rPr>
          <w:b/>
        </w:rPr>
        <w:t>P</w:t>
      </w:r>
      <w:r w:rsidR="00F75E95" w:rsidRPr="00A829B3">
        <w:rPr>
          <w:b/>
        </w:rPr>
        <w:t xml:space="preserve">rocesses of </w:t>
      </w:r>
      <w:r w:rsidR="00EB3E00">
        <w:rPr>
          <w:b/>
        </w:rPr>
        <w:t>C</w:t>
      </w:r>
      <w:r w:rsidR="00F75E95" w:rsidRPr="00A829B3">
        <w:rPr>
          <w:b/>
        </w:rPr>
        <w:t>hange</w:t>
      </w:r>
    </w:p>
    <w:p w14:paraId="7FD55C66" w14:textId="06C5BF15" w:rsidR="003B57BE" w:rsidRPr="00A829B3" w:rsidRDefault="003B57BE" w:rsidP="003B57BE">
      <w:pPr>
        <w:spacing w:line="480" w:lineRule="auto"/>
      </w:pPr>
      <w:r w:rsidRPr="00A829B3">
        <w:rPr>
          <w:b/>
        </w:rPr>
        <w:tab/>
      </w:r>
      <w:r w:rsidRPr="00A829B3">
        <w:t>A series of MMRM analyses tested for time by condition effects from baseline to post</w:t>
      </w:r>
      <w:r w:rsidR="00F75E95" w:rsidRPr="00A829B3">
        <w:t>treatment</w:t>
      </w:r>
      <w:r w:rsidRPr="00A829B3">
        <w:t xml:space="preserve"> across th</w:t>
      </w:r>
      <w:r w:rsidR="005D626D" w:rsidRPr="00A829B3">
        <w:t>e three conditions (see Tables 2 and 3</w:t>
      </w:r>
      <w:r w:rsidRPr="00A829B3">
        <w:t xml:space="preserve">). A significant time by condition interaction was found for the primary outcome of weight self-stigma. Post hoc analyses indicated large, significant within condition improvements in the </w:t>
      </w:r>
      <w:r w:rsidR="00F75E95" w:rsidRPr="00A829B3">
        <w:t>GSH-P</w:t>
      </w:r>
      <w:r w:rsidRPr="00A829B3">
        <w:t xml:space="preserve"> and </w:t>
      </w:r>
      <w:r w:rsidR="00F75E95" w:rsidRPr="00A829B3">
        <w:t>GSH-E</w:t>
      </w:r>
      <w:r w:rsidRPr="00A829B3">
        <w:t xml:space="preserve"> condition</w:t>
      </w:r>
      <w:r w:rsidR="00F75E95" w:rsidRPr="00A829B3">
        <w:t>s</w:t>
      </w:r>
      <w:r w:rsidRPr="00A829B3">
        <w:t>, with no significant improvement in the waitlist condition. Significant, large effects were found at post</w:t>
      </w:r>
      <w:r w:rsidR="00F75E95" w:rsidRPr="00A829B3">
        <w:t>treatment</w:t>
      </w:r>
      <w:r w:rsidRPr="00A829B3">
        <w:t xml:space="preserve">, with </w:t>
      </w:r>
      <w:r w:rsidR="006F6EAB">
        <w:t xml:space="preserve">the </w:t>
      </w:r>
      <w:r w:rsidR="00F75E95" w:rsidRPr="00A829B3">
        <w:t>GSH-P</w:t>
      </w:r>
      <w:r w:rsidRPr="00A829B3">
        <w:t xml:space="preserve"> and </w:t>
      </w:r>
      <w:r w:rsidR="00F75E95" w:rsidRPr="00A829B3">
        <w:t>GSH-E</w:t>
      </w:r>
      <w:r w:rsidRPr="00A829B3">
        <w:t xml:space="preserve"> conditions both having lower weight self-stigma than waitlist, with no differences between </w:t>
      </w:r>
      <w:r w:rsidR="006F6EAB">
        <w:t xml:space="preserve">the </w:t>
      </w:r>
      <w:r w:rsidR="00F75E95" w:rsidRPr="00A829B3">
        <w:t>GSH-P</w:t>
      </w:r>
      <w:r w:rsidRPr="00A829B3">
        <w:t xml:space="preserve"> and </w:t>
      </w:r>
      <w:r w:rsidR="00F75E95" w:rsidRPr="00A829B3">
        <w:t>GSH-E</w:t>
      </w:r>
      <w:r w:rsidRPr="00A829B3">
        <w:t xml:space="preserve"> conditions. </w:t>
      </w:r>
    </w:p>
    <w:p w14:paraId="3746BCAD" w14:textId="7ED6BC4B" w:rsidR="003B57BE" w:rsidRPr="00A829B3" w:rsidRDefault="003B57BE" w:rsidP="003B57BE">
      <w:pPr>
        <w:spacing w:line="480" w:lineRule="auto"/>
        <w:ind w:firstLine="720"/>
      </w:pPr>
      <w:r w:rsidRPr="00A829B3">
        <w:t xml:space="preserve">For secondary health behavior outcomes, significant time by condition effects were found for WCSS physical activity and dietary choice. For WCSS dietary choice, only the </w:t>
      </w:r>
      <w:r w:rsidR="00F75E95" w:rsidRPr="00A829B3">
        <w:t>GSH-P</w:t>
      </w:r>
      <w:r w:rsidRPr="00A829B3">
        <w:t xml:space="preserve"> condition improved</w:t>
      </w:r>
      <w:r w:rsidR="00000EBA">
        <w:t xml:space="preserve"> significantly</w:t>
      </w:r>
      <w:r w:rsidRPr="00A829B3">
        <w:t xml:space="preserve"> from </w:t>
      </w:r>
      <w:r w:rsidR="00F75E95" w:rsidRPr="00A829B3">
        <w:t>baseline</w:t>
      </w:r>
      <w:r w:rsidRPr="00A829B3">
        <w:t xml:space="preserve"> to post</w:t>
      </w:r>
      <w:r w:rsidR="00F75E95" w:rsidRPr="00A829B3">
        <w:t>treatment</w:t>
      </w:r>
      <w:r w:rsidRPr="00A829B3">
        <w:t xml:space="preserve"> (</w:t>
      </w:r>
      <w:r w:rsidR="00D70870">
        <w:t xml:space="preserve">i.e., </w:t>
      </w:r>
      <w:r w:rsidRPr="00A829B3">
        <w:t>large effect size), with a significant difference at post</w:t>
      </w:r>
      <w:r w:rsidR="00F75E95" w:rsidRPr="00A829B3">
        <w:t>treatment</w:t>
      </w:r>
      <w:r w:rsidRPr="00A829B3">
        <w:t xml:space="preserve"> only between </w:t>
      </w:r>
      <w:r w:rsidR="00C80A19">
        <w:t xml:space="preserve">the </w:t>
      </w:r>
      <w:r w:rsidR="00F75E95" w:rsidRPr="00A829B3">
        <w:t>GSH-P</w:t>
      </w:r>
      <w:r w:rsidRPr="00A829B3">
        <w:t xml:space="preserve"> and </w:t>
      </w:r>
      <w:r w:rsidR="00F75E95" w:rsidRPr="00A829B3">
        <w:t>GSH-E</w:t>
      </w:r>
      <w:r w:rsidRPr="00A829B3">
        <w:t xml:space="preserve"> conditions (</w:t>
      </w:r>
      <w:r w:rsidR="00D70870">
        <w:t xml:space="preserve">i.e., </w:t>
      </w:r>
      <w:r w:rsidRPr="00A829B3">
        <w:t xml:space="preserve">large effect size favoring </w:t>
      </w:r>
      <w:r w:rsidR="00C80A19">
        <w:t xml:space="preserve">the </w:t>
      </w:r>
      <w:r w:rsidR="00F75E95" w:rsidRPr="00A829B3">
        <w:t>GSH-P</w:t>
      </w:r>
      <w:r w:rsidRPr="00A829B3">
        <w:t xml:space="preserve"> condition). For WCSS physical activity, there was a trending medium effect for activity to improve within the </w:t>
      </w:r>
      <w:r w:rsidR="00F75E95" w:rsidRPr="00A829B3">
        <w:t>GSH-P</w:t>
      </w:r>
      <w:r w:rsidRPr="00A829B3">
        <w:t xml:space="preserve"> condition, and deteriorate in the waitlist condition, with no change in the </w:t>
      </w:r>
      <w:r w:rsidR="00F75E95" w:rsidRPr="00A829B3">
        <w:t>GSH-E</w:t>
      </w:r>
      <w:r w:rsidRPr="00A829B3">
        <w:t xml:space="preserve"> condition. At post, the only trending difference was a medium effect for higher physical activity in the </w:t>
      </w:r>
      <w:r w:rsidR="00F75E95" w:rsidRPr="00A829B3">
        <w:t>GSH-P</w:t>
      </w:r>
      <w:r w:rsidRPr="00A829B3">
        <w:t xml:space="preserve"> versus waitlist condition. </w:t>
      </w:r>
    </w:p>
    <w:p w14:paraId="1BA94A9D" w14:textId="0F027AC4" w:rsidR="003B57BE" w:rsidRPr="00A829B3" w:rsidRDefault="003B57BE" w:rsidP="00F75E95">
      <w:pPr>
        <w:spacing w:line="480" w:lineRule="auto"/>
        <w:ind w:firstLine="720"/>
      </w:pPr>
      <w:r w:rsidRPr="00A829B3">
        <w:t>In addition, two trending time by condition interactions were observed for sec</w:t>
      </w:r>
      <w:r w:rsidR="006F6EAB">
        <w:t xml:space="preserve">ondary health behavior outcomes: </w:t>
      </w:r>
      <w:r w:rsidRPr="00A829B3">
        <w:t xml:space="preserve">WCSS psychological coping and EDE binge eating episode frequency. For EDE binge eating, there were significant within condition improvements in the </w:t>
      </w:r>
      <w:r w:rsidR="00F75E95" w:rsidRPr="00A829B3">
        <w:t>GSH-P</w:t>
      </w:r>
      <w:r w:rsidRPr="00A829B3">
        <w:t xml:space="preserve"> and </w:t>
      </w:r>
      <w:r w:rsidR="00F75E95" w:rsidRPr="00A829B3">
        <w:t>GSH-E</w:t>
      </w:r>
      <w:r w:rsidRPr="00A829B3">
        <w:t xml:space="preserve"> condition</w:t>
      </w:r>
      <w:r w:rsidR="00F75E95" w:rsidRPr="00A829B3">
        <w:t>s</w:t>
      </w:r>
      <w:r w:rsidRPr="00A829B3">
        <w:t xml:space="preserve"> (</w:t>
      </w:r>
      <w:r w:rsidR="00B8523A">
        <w:t xml:space="preserve">i.e., </w:t>
      </w:r>
      <w:r w:rsidRPr="00A829B3">
        <w:t xml:space="preserve">medium effect sizes), but not in the waitlist condition. At </w:t>
      </w:r>
      <w:r w:rsidRPr="00A829B3">
        <w:lastRenderedPageBreak/>
        <w:t>post</w:t>
      </w:r>
      <w:r w:rsidR="00F75E95" w:rsidRPr="00A829B3">
        <w:t>treatment</w:t>
      </w:r>
      <w:r w:rsidRPr="00A829B3">
        <w:t xml:space="preserve">, both the </w:t>
      </w:r>
      <w:r w:rsidR="00F75E95" w:rsidRPr="00A829B3">
        <w:t>GSH-P</w:t>
      </w:r>
      <w:r w:rsidRPr="00A829B3">
        <w:t xml:space="preserve"> and </w:t>
      </w:r>
      <w:r w:rsidR="00F75E95" w:rsidRPr="00A829B3">
        <w:t>GSH-E</w:t>
      </w:r>
      <w:r w:rsidRPr="00A829B3">
        <w:t xml:space="preserve"> conditions were significantly lower on binge eating than waitlist (</w:t>
      </w:r>
      <w:r w:rsidR="00B8523A">
        <w:t xml:space="preserve">i.e., </w:t>
      </w:r>
      <w:r w:rsidRPr="00A829B3">
        <w:t>large effect sizes), with no difference between</w:t>
      </w:r>
      <w:r w:rsidR="006F6EAB">
        <w:t xml:space="preserve"> GSH</w:t>
      </w:r>
      <w:r w:rsidRPr="00A829B3">
        <w:t xml:space="preserve"> conditions. For WCSS psychological coping, both the </w:t>
      </w:r>
      <w:r w:rsidR="00F75E95" w:rsidRPr="00A829B3">
        <w:t>GSH-P</w:t>
      </w:r>
      <w:r w:rsidRPr="00A829B3">
        <w:t xml:space="preserve"> and </w:t>
      </w:r>
      <w:r w:rsidR="00F75E95" w:rsidRPr="00A829B3">
        <w:t>GSH-E</w:t>
      </w:r>
      <w:r w:rsidRPr="00A829B3">
        <w:t xml:space="preserve"> conditions improved on using effective coping strategies for weight management from </w:t>
      </w:r>
      <w:r w:rsidR="00F75E95" w:rsidRPr="00A829B3">
        <w:t>baseline</w:t>
      </w:r>
      <w:r w:rsidRPr="00A829B3">
        <w:t xml:space="preserve"> to post</w:t>
      </w:r>
      <w:r w:rsidR="00F75E95" w:rsidRPr="00A829B3">
        <w:t>treatment</w:t>
      </w:r>
      <w:r w:rsidRPr="00A829B3">
        <w:t xml:space="preserve"> (</w:t>
      </w:r>
      <w:r w:rsidR="00B8523A">
        <w:t xml:space="preserve">i.e., </w:t>
      </w:r>
      <w:r w:rsidRPr="00A829B3">
        <w:t xml:space="preserve">large effect sizes), with no change in the waitlist condition. However, </w:t>
      </w:r>
      <w:r w:rsidR="00F75E95" w:rsidRPr="00A829B3">
        <w:t xml:space="preserve">none of the </w:t>
      </w:r>
      <w:r w:rsidRPr="00A829B3">
        <w:t xml:space="preserve">conditions </w:t>
      </w:r>
      <w:r w:rsidR="00F75E95" w:rsidRPr="00A829B3">
        <w:t>differed</w:t>
      </w:r>
      <w:r w:rsidRPr="00A829B3">
        <w:t xml:space="preserve"> at post</w:t>
      </w:r>
      <w:r w:rsidR="00F75E95" w:rsidRPr="00A829B3">
        <w:t xml:space="preserve">treatment on WCSS psychological coping. There </w:t>
      </w:r>
      <w:proofErr w:type="gramStart"/>
      <w:r w:rsidR="00F75E95" w:rsidRPr="00A829B3">
        <w:t>were</w:t>
      </w:r>
      <w:proofErr w:type="gramEnd"/>
      <w:r w:rsidR="00F75E95" w:rsidRPr="00A829B3">
        <w:t xml:space="preserve"> no significant (or trending) time by condition interactions for four secondary health outcomes: </w:t>
      </w:r>
      <w:r w:rsidRPr="00A829B3">
        <w:t>WCSS self</w:t>
      </w:r>
      <w:r w:rsidR="006F5641">
        <w:t>-</w:t>
      </w:r>
      <w:r w:rsidRPr="00A829B3">
        <w:t>monitoring, DEBQ</w:t>
      </w:r>
      <w:r w:rsidR="00981D7B">
        <w:t>-EE</w:t>
      </w:r>
      <w:r w:rsidRPr="00A829B3">
        <w:t xml:space="preserve"> emotional eating, IPAQ physical activity, and</w:t>
      </w:r>
      <w:r w:rsidR="006F6EAB">
        <w:t xml:space="preserve"> self-reported</w:t>
      </w:r>
      <w:r w:rsidRPr="00A829B3">
        <w:t xml:space="preserve"> BMI. </w:t>
      </w:r>
    </w:p>
    <w:p w14:paraId="48A02DBF" w14:textId="032B06A1" w:rsidR="003B57BE" w:rsidRPr="00A829B3" w:rsidRDefault="003B57BE" w:rsidP="003B57BE">
      <w:pPr>
        <w:spacing w:line="480" w:lineRule="auto"/>
        <w:ind w:firstLine="720"/>
      </w:pPr>
      <w:r w:rsidRPr="00A829B3">
        <w:t xml:space="preserve">With regards to process of change measures, </w:t>
      </w:r>
      <w:r w:rsidR="00507962">
        <w:t>a</w:t>
      </w:r>
      <w:r w:rsidRPr="00A829B3">
        <w:t xml:space="preserve"> significant time by condition interaction was found for AAQW psychological inflexibility with weight-related concerns. Post hoc tests indicated large within</w:t>
      </w:r>
      <w:r w:rsidR="00507962">
        <w:t>-</w:t>
      </w:r>
      <w:r w:rsidRPr="00A829B3">
        <w:t>condition improvements in</w:t>
      </w:r>
      <w:r w:rsidR="006F6EAB">
        <w:t xml:space="preserve"> both</w:t>
      </w:r>
      <w:r w:rsidRPr="00A829B3">
        <w:t xml:space="preserve"> the </w:t>
      </w:r>
      <w:r w:rsidR="00F75E95" w:rsidRPr="00A829B3">
        <w:t>GSH-P</w:t>
      </w:r>
      <w:r w:rsidRPr="00A829B3">
        <w:t xml:space="preserve"> and </w:t>
      </w:r>
      <w:r w:rsidR="00F75E95" w:rsidRPr="00A829B3">
        <w:t>GSH-E</w:t>
      </w:r>
      <w:r w:rsidRPr="00A829B3">
        <w:t xml:space="preserve"> condition</w:t>
      </w:r>
      <w:r w:rsidR="00F75E95" w:rsidRPr="00A829B3">
        <w:t>s</w:t>
      </w:r>
      <w:r w:rsidRPr="00A829B3">
        <w:t>, with no change in the waitlist condition. At post</w:t>
      </w:r>
      <w:r w:rsidR="00F75E95" w:rsidRPr="00A829B3">
        <w:t>treatment</w:t>
      </w:r>
      <w:r w:rsidRPr="00A829B3">
        <w:t xml:space="preserve">, both the </w:t>
      </w:r>
      <w:r w:rsidR="00F75E95" w:rsidRPr="00A829B3">
        <w:t>GSH-P</w:t>
      </w:r>
      <w:r w:rsidRPr="00A829B3">
        <w:t xml:space="preserve"> and </w:t>
      </w:r>
      <w:r w:rsidR="00F75E95" w:rsidRPr="00A829B3">
        <w:t>GSH-E</w:t>
      </w:r>
      <w:r w:rsidRPr="00A829B3">
        <w:t xml:space="preserve"> conditions were significantly lower on the AAQW relative to waitlist, with no difference between </w:t>
      </w:r>
      <w:r w:rsidR="006F6EAB">
        <w:t>GSH</w:t>
      </w:r>
      <w:r w:rsidRPr="00A829B3">
        <w:t xml:space="preserve"> conditions.</w:t>
      </w:r>
      <w:r w:rsidR="00F75E95" w:rsidRPr="00A829B3">
        <w:t xml:space="preserve"> A</w:t>
      </w:r>
      <w:r w:rsidRPr="00A829B3">
        <w:t xml:space="preserve"> time by condition interaction was not found for general psychological inflexibility as measured by the </w:t>
      </w:r>
      <w:proofErr w:type="spellStart"/>
      <w:r w:rsidRPr="00A829B3">
        <w:t>CompACT</w:t>
      </w:r>
      <w:proofErr w:type="spellEnd"/>
      <w:r w:rsidRPr="00A829B3">
        <w:t>.</w:t>
      </w:r>
    </w:p>
    <w:p w14:paraId="4D438094" w14:textId="558DF74A" w:rsidR="00434953" w:rsidRPr="00A829B3" w:rsidRDefault="00434953" w:rsidP="00434953">
      <w:pPr>
        <w:spacing w:line="480" w:lineRule="auto"/>
        <w:jc w:val="center"/>
        <w:rPr>
          <w:b/>
        </w:rPr>
      </w:pPr>
      <w:r w:rsidRPr="00A829B3">
        <w:rPr>
          <w:b/>
        </w:rPr>
        <w:t>Discussion</w:t>
      </w:r>
    </w:p>
    <w:p w14:paraId="502ECCC5" w14:textId="2A068F7B" w:rsidR="003201ED" w:rsidRPr="00A829B3" w:rsidRDefault="003201ED" w:rsidP="003B57BE">
      <w:pPr>
        <w:spacing w:line="480" w:lineRule="auto"/>
      </w:pPr>
      <w:r w:rsidRPr="00A829B3">
        <w:tab/>
        <w:t>This</w:t>
      </w:r>
      <w:r w:rsidR="00B873DF">
        <w:t xml:space="preserve"> pilot</w:t>
      </w:r>
      <w:r w:rsidRPr="00A829B3">
        <w:t xml:space="preserve"> study sought to </w:t>
      </w:r>
      <w:r w:rsidR="00BF1B19" w:rsidRPr="00A829B3">
        <w:t xml:space="preserve">evaluate the feasibility and </w:t>
      </w:r>
      <w:r w:rsidR="00981D7B">
        <w:t>effectiveness</w:t>
      </w:r>
      <w:r w:rsidR="00981D7B" w:rsidRPr="00A829B3">
        <w:t xml:space="preserve"> </w:t>
      </w:r>
      <w:r w:rsidR="00CA28B1">
        <w:t xml:space="preserve">of </w:t>
      </w:r>
      <w:r w:rsidR="00BF1B19" w:rsidRPr="00A829B3">
        <w:t xml:space="preserve">ACT </w:t>
      </w:r>
      <w:r w:rsidR="00CA28B1">
        <w:t xml:space="preserve">guided </w:t>
      </w:r>
      <w:r w:rsidR="00BF1B19" w:rsidRPr="00A829B3">
        <w:t>self-help</w:t>
      </w:r>
      <w:r w:rsidR="00CA28B1">
        <w:t>, with phone coaching</w:t>
      </w:r>
      <w:r w:rsidR="00920EE0">
        <w:t xml:space="preserve"> or email</w:t>
      </w:r>
      <w:r w:rsidR="00981D7B">
        <w:t xml:space="preserve"> prompts</w:t>
      </w:r>
      <w:r w:rsidR="00920EE0">
        <w:t xml:space="preserve"> only</w:t>
      </w:r>
      <w:r w:rsidR="00CA28B1">
        <w:t xml:space="preserve">, </w:t>
      </w:r>
      <w:r w:rsidR="00BF1B19" w:rsidRPr="00A829B3">
        <w:t>for weight self-stigma. Consistent with the previous pilot open trial (</w:t>
      </w:r>
      <w:r w:rsidR="00BF1B19" w:rsidRPr="00A829B3">
        <w:rPr>
          <w:i/>
        </w:rPr>
        <w:t>citation removed for blind review</w:t>
      </w:r>
      <w:r w:rsidR="00BF1B19" w:rsidRPr="00A829B3">
        <w:t xml:space="preserve">), participants reported high engagement </w:t>
      </w:r>
      <w:r w:rsidR="003F4CF4" w:rsidRPr="00A829B3">
        <w:t xml:space="preserve">and satisfaction </w:t>
      </w:r>
      <w:r w:rsidR="00BF1B19" w:rsidRPr="00A829B3">
        <w:t>with the book. Inconsistent with predictions, the addition of phone coaching did not improve engagement or satisfaction ratings with the</w:t>
      </w:r>
      <w:r w:rsidR="00920EE0">
        <w:t xml:space="preserve"> self-help</w:t>
      </w:r>
      <w:r w:rsidR="00BF1B19" w:rsidRPr="00A829B3">
        <w:t xml:space="preserve"> book, relative to less resource-intensive email prompts. Both </w:t>
      </w:r>
      <w:r w:rsidR="00CA28B1">
        <w:t xml:space="preserve">guided </w:t>
      </w:r>
      <w:r w:rsidR="00BF1B19" w:rsidRPr="00A829B3">
        <w:t xml:space="preserve">self-help conditions equally reduced weight self-stigma relative to the waitlist condition, but the phone coaching condition more consistently </w:t>
      </w:r>
      <w:r w:rsidR="00BF1B19" w:rsidRPr="00A829B3">
        <w:lastRenderedPageBreak/>
        <w:t xml:space="preserve">improved eating and physical activity outcomes than the email condition. Some secondary health outcomes did not improve in the ACT </w:t>
      </w:r>
      <w:r w:rsidR="00CA28B1">
        <w:t xml:space="preserve">guided </w:t>
      </w:r>
      <w:r w:rsidR="00BF1B19" w:rsidRPr="00A829B3">
        <w:t xml:space="preserve">self-help conditions relative to waitlist including emotional eating, BMI, and </w:t>
      </w:r>
      <w:r w:rsidR="00C80A19">
        <w:t>a second</w:t>
      </w:r>
      <w:r w:rsidR="00BF1B19" w:rsidRPr="00A829B3">
        <w:t xml:space="preserve"> measure of physical activity. </w:t>
      </w:r>
      <w:r w:rsidR="00D86DC0" w:rsidRPr="00A829B3">
        <w:t xml:space="preserve">Overall, results </w:t>
      </w:r>
      <w:r w:rsidR="009B4636">
        <w:t>provide preliminary evidence for</w:t>
      </w:r>
      <w:r w:rsidR="009B4636" w:rsidRPr="00A829B3">
        <w:t xml:space="preserve"> </w:t>
      </w:r>
      <w:r w:rsidR="00D86DC0" w:rsidRPr="00A829B3">
        <w:t xml:space="preserve">the </w:t>
      </w:r>
      <w:r w:rsidR="009B4636">
        <w:t xml:space="preserve">potential </w:t>
      </w:r>
      <w:r w:rsidR="00981D7B">
        <w:t>effectiveness</w:t>
      </w:r>
      <w:r w:rsidR="00981D7B" w:rsidRPr="00A829B3">
        <w:t xml:space="preserve"> </w:t>
      </w:r>
      <w:r w:rsidR="00D86DC0" w:rsidRPr="00A829B3">
        <w:t xml:space="preserve">of ACT </w:t>
      </w:r>
      <w:r w:rsidR="00CA28B1">
        <w:t xml:space="preserve">guided </w:t>
      </w:r>
      <w:r w:rsidR="00D86DC0" w:rsidRPr="00A829B3">
        <w:t>self-help for reducing weight self-stigma and improving some health outcomes, with mixed findings regarding the added benefit of phone coaching</w:t>
      </w:r>
      <w:r w:rsidR="00CA28B1">
        <w:t xml:space="preserve"> </w:t>
      </w:r>
      <w:r w:rsidR="00981D7B">
        <w:t xml:space="preserve">compared to </w:t>
      </w:r>
      <w:r w:rsidR="00CA28B1">
        <w:t>email</w:t>
      </w:r>
      <w:r w:rsidR="00D86DC0" w:rsidRPr="00A829B3">
        <w:t xml:space="preserve">. </w:t>
      </w:r>
    </w:p>
    <w:p w14:paraId="5299391B" w14:textId="15D9F559" w:rsidR="00D76025" w:rsidRDefault="00BF1B19" w:rsidP="003B57BE">
      <w:pPr>
        <w:spacing w:line="480" w:lineRule="auto"/>
      </w:pPr>
      <w:r w:rsidRPr="00A829B3">
        <w:tab/>
      </w:r>
      <w:r w:rsidR="00A829B3" w:rsidRPr="00A829B3">
        <w:t>This study replicated previous findings that ACT is effective for reducing weight self-stigma (</w:t>
      </w:r>
      <w:r w:rsidR="00A829B3">
        <w:rPr>
          <w:i/>
        </w:rPr>
        <w:t xml:space="preserve">citation </w:t>
      </w:r>
      <w:r w:rsidR="00A829B3" w:rsidRPr="00A829B3">
        <w:rPr>
          <w:i/>
        </w:rPr>
        <w:t>removed</w:t>
      </w:r>
      <w:r w:rsidR="00A829B3">
        <w:t xml:space="preserve">; </w:t>
      </w:r>
      <w:r w:rsidR="00A829B3" w:rsidRPr="00A829B3">
        <w:t xml:space="preserve">Lillis et al., 2009; </w:t>
      </w:r>
      <w:proofErr w:type="spellStart"/>
      <w:r w:rsidR="00A829B3" w:rsidRPr="00A829B3">
        <w:t>Palmeira</w:t>
      </w:r>
      <w:proofErr w:type="spellEnd"/>
      <w:r w:rsidR="00A829B3" w:rsidRPr="00A829B3">
        <w:t xml:space="preserve"> et al., 2017).</w:t>
      </w:r>
      <w:r w:rsidR="00A829B3">
        <w:t xml:space="preserve"> </w:t>
      </w:r>
      <w:bookmarkStart w:id="3" w:name="_Hlk38296997"/>
      <w:r w:rsidR="00E26110">
        <w:t>Weight self-stigma is a prevalent problem (</w:t>
      </w:r>
      <w:proofErr w:type="spellStart"/>
      <w:r w:rsidR="00E26110" w:rsidRPr="00A829B3">
        <w:t>Puhl</w:t>
      </w:r>
      <w:proofErr w:type="spellEnd"/>
      <w:r w:rsidR="00D94DE5">
        <w:t xml:space="preserve"> et al.</w:t>
      </w:r>
      <w:r w:rsidR="00E26110" w:rsidRPr="00A829B3">
        <w:t>, 2018</w:t>
      </w:r>
      <w:r w:rsidR="00E26110">
        <w:t xml:space="preserve">) that </w:t>
      </w:r>
      <w:r w:rsidR="008A6384">
        <w:t>leads</w:t>
      </w:r>
      <w:r w:rsidR="00E26110">
        <w:t xml:space="preserve"> to poor health outcomes, including behaviors that contribute to </w:t>
      </w:r>
      <w:r w:rsidR="006F5641">
        <w:t xml:space="preserve">longstanding </w:t>
      </w:r>
      <w:r w:rsidR="00E26110">
        <w:t>weight</w:t>
      </w:r>
      <w:r w:rsidR="006F5641">
        <w:t xml:space="preserve"> challenges</w:t>
      </w:r>
      <w:r w:rsidR="00E26110">
        <w:t xml:space="preserve"> (</w:t>
      </w:r>
      <w:r w:rsidR="00E26110" w:rsidRPr="00A829B3">
        <w:rPr>
          <w:noProof/>
        </w:rPr>
        <w:t>Pearl &amp; Puhl, 2018</w:t>
      </w:r>
      <w:r w:rsidR="00E26110">
        <w:t xml:space="preserve">). Weight self-stigma also </w:t>
      </w:r>
      <w:r w:rsidR="00D244ED">
        <w:t>impairs behavioral weight loss outcomes</w:t>
      </w:r>
      <w:r w:rsidR="00E26110">
        <w:t xml:space="preserve"> (</w:t>
      </w:r>
      <w:r w:rsidR="005427A1" w:rsidRPr="00A829B3">
        <w:rPr>
          <w:noProof/>
        </w:rPr>
        <w:t>Pearl &amp; Puhl, 2018</w:t>
      </w:r>
      <w:r w:rsidR="00E26110">
        <w:t>)</w:t>
      </w:r>
      <w:r w:rsidR="0024420C">
        <w:t xml:space="preserve">. For example, </w:t>
      </w:r>
      <w:r w:rsidR="00D244ED">
        <w:t xml:space="preserve">individuals higher in weight self-stigma </w:t>
      </w:r>
      <w:r w:rsidR="0024420C">
        <w:t>adhere more poorly</w:t>
      </w:r>
      <w:r w:rsidR="00D244ED">
        <w:t xml:space="preserve"> to prescribed physical activity (</w:t>
      </w:r>
      <w:proofErr w:type="spellStart"/>
      <w:r w:rsidR="00D244ED">
        <w:t>Mensinger</w:t>
      </w:r>
      <w:proofErr w:type="spellEnd"/>
      <w:r w:rsidR="00D244ED">
        <w:t xml:space="preserve"> &amp; Meadows, 2017) and dietary behavior changes (</w:t>
      </w:r>
      <w:proofErr w:type="spellStart"/>
      <w:r w:rsidR="00D244ED">
        <w:t>Mensinger</w:t>
      </w:r>
      <w:proofErr w:type="spellEnd"/>
      <w:r w:rsidR="002527D1">
        <w:t xml:space="preserve"> et al.</w:t>
      </w:r>
      <w:r w:rsidR="00D244ED">
        <w:t xml:space="preserve">, 2016) and </w:t>
      </w:r>
      <w:r w:rsidR="0024420C">
        <w:t>lose</w:t>
      </w:r>
      <w:r w:rsidR="00D244ED">
        <w:t xml:space="preserve"> substantially less weight (</w:t>
      </w:r>
      <w:proofErr w:type="spellStart"/>
      <w:r w:rsidR="00D244ED">
        <w:t>Durso</w:t>
      </w:r>
      <w:proofErr w:type="spellEnd"/>
      <w:r w:rsidR="00D244ED">
        <w:t>, 2013</w:t>
      </w:r>
      <w:r w:rsidR="00920EE0">
        <w:t>; Lillis</w:t>
      </w:r>
      <w:r w:rsidR="00615EA5">
        <w:t xml:space="preserve"> et al.</w:t>
      </w:r>
      <w:r w:rsidR="00920EE0">
        <w:t>, in press</w:t>
      </w:r>
      <w:r w:rsidR="00D244ED">
        <w:t>)</w:t>
      </w:r>
      <w:r w:rsidR="00E26110">
        <w:t>.</w:t>
      </w:r>
      <w:r w:rsidR="003C18FC">
        <w:t xml:space="preserve"> </w:t>
      </w:r>
      <w:bookmarkEnd w:id="3"/>
      <w:r w:rsidR="00920EE0">
        <w:t>C</w:t>
      </w:r>
      <w:r w:rsidR="00C80A19">
        <w:t xml:space="preserve">urrent </w:t>
      </w:r>
      <w:r w:rsidR="003C18FC">
        <w:t>weight management and health promotion programs</w:t>
      </w:r>
      <w:r w:rsidR="00A5277F">
        <w:t xml:space="preserve"> that do not </w:t>
      </w:r>
      <w:r w:rsidR="00C832B2">
        <w:t>address</w:t>
      </w:r>
      <w:r w:rsidR="00A5277F">
        <w:t xml:space="preserve"> stigma</w:t>
      </w:r>
      <w:r w:rsidR="003C18FC">
        <w:t xml:space="preserve"> may not be sufficient for improving the health and well-being of individuals struggling with weight self-stigma. This study provides further support for the</w:t>
      </w:r>
      <w:r w:rsidR="00CA28B1">
        <w:t xml:space="preserve"> potential</w:t>
      </w:r>
      <w:r w:rsidR="003C18FC">
        <w:t xml:space="preserve"> </w:t>
      </w:r>
      <w:r w:rsidR="00981D7B">
        <w:t xml:space="preserve">effectiveness </w:t>
      </w:r>
      <w:r w:rsidR="003C18FC">
        <w:t>of ACT to address this critical problem</w:t>
      </w:r>
      <w:r w:rsidR="00C80A19">
        <w:t xml:space="preserve"> in a highly scalable format</w:t>
      </w:r>
      <w:r w:rsidR="0024420C">
        <w:t xml:space="preserve">.  </w:t>
      </w:r>
    </w:p>
    <w:p w14:paraId="7A53B181" w14:textId="4228DEB0" w:rsidR="001859CB" w:rsidRDefault="000A7E11" w:rsidP="00D76025">
      <w:pPr>
        <w:spacing w:line="480" w:lineRule="auto"/>
        <w:ind w:firstLine="720"/>
      </w:pPr>
      <w:r>
        <w:t xml:space="preserve">This study also </w:t>
      </w:r>
      <w:r w:rsidR="005363CA">
        <w:t xml:space="preserve">partially </w:t>
      </w:r>
      <w:r>
        <w:t xml:space="preserve">replicated previous findings that ACT interventions targeting weight self-stigma can improve </w:t>
      </w:r>
      <w:r w:rsidR="00050613">
        <w:t>physical activity and eating behaviors</w:t>
      </w:r>
      <w:r>
        <w:t xml:space="preserve"> </w:t>
      </w:r>
      <w:r w:rsidRPr="00A829B3">
        <w:t>(</w:t>
      </w:r>
      <w:r>
        <w:rPr>
          <w:i/>
        </w:rPr>
        <w:t xml:space="preserve">citation </w:t>
      </w:r>
      <w:r w:rsidRPr="00A829B3">
        <w:rPr>
          <w:i/>
        </w:rPr>
        <w:t>removed</w:t>
      </w:r>
      <w:r>
        <w:t xml:space="preserve">; </w:t>
      </w:r>
      <w:r w:rsidRPr="00A829B3">
        <w:t xml:space="preserve">Lillis et al., 2009; </w:t>
      </w:r>
      <w:proofErr w:type="spellStart"/>
      <w:r w:rsidRPr="00A829B3">
        <w:t>Palmeira</w:t>
      </w:r>
      <w:proofErr w:type="spellEnd"/>
      <w:r w:rsidRPr="00A829B3">
        <w:t xml:space="preserve"> et al., 2017).</w:t>
      </w:r>
      <w:r>
        <w:t xml:space="preserve"> </w:t>
      </w:r>
      <w:r w:rsidR="001859CB">
        <w:t xml:space="preserve">This is noteworthy in part because, in contrast to typical weight management protocols, these ACT interventions tend to have minimal content focused on increasing physical activity, decreasing maladaptive eating patterns, or other weight-loss related </w:t>
      </w:r>
      <w:r w:rsidR="001859CB">
        <w:lastRenderedPageBreak/>
        <w:t>activities. Rather, the focus is on reducing psychologically inflexible ways of responding to weight self-stigma</w:t>
      </w:r>
      <w:r w:rsidR="00A5277F">
        <w:t>,</w:t>
      </w:r>
      <w:r w:rsidR="001859CB">
        <w:t xml:space="preserve"> such as cognitive fusion (in which stigmatizing thoughts dominate one’s actions and experiences) and experiential avoidance (in which the focus is on avoiding stigmatizing thoughts and feelings, even if it has negative consequences). ACT </w:t>
      </w:r>
      <w:r w:rsidR="001218D7">
        <w:t xml:space="preserve">for weight self-stigma </w:t>
      </w:r>
      <w:r w:rsidR="001859CB">
        <w:t>teaches individuals to respond more flexibly to self-stigmatizing thoughts and feelings, so that these experiences are acknowledged simply for what they are</w:t>
      </w:r>
      <w:r w:rsidR="008A6384">
        <w:t xml:space="preserve"> in a compassionate, accepting way</w:t>
      </w:r>
      <w:r w:rsidR="001859CB">
        <w:t xml:space="preserve">, without having a significant impact on one’s actions. </w:t>
      </w:r>
      <w:r w:rsidR="001218D7">
        <w:t>Concurrently, these ACT protocols aim to increase more adaptive, intrinsically motivating guides for one’s actions linked to personal values, which may include a range of quality of life improving activities</w:t>
      </w:r>
      <w:r w:rsidR="001859CB">
        <w:t xml:space="preserve">. These results </w:t>
      </w:r>
      <w:r w:rsidR="001218D7">
        <w:t>add to a literature suggesting</w:t>
      </w:r>
      <w:r w:rsidR="001859CB">
        <w:t xml:space="preserve"> that reducing weight self-stigma </w:t>
      </w:r>
      <w:r w:rsidR="00C80A19">
        <w:t xml:space="preserve">and psychological inflexibility </w:t>
      </w:r>
      <w:r w:rsidR="001859CB">
        <w:t xml:space="preserve">can lead to improved health </w:t>
      </w:r>
      <w:r w:rsidR="001218D7">
        <w:t>behaviors</w:t>
      </w:r>
      <w:r w:rsidR="001859CB">
        <w:t xml:space="preserve">. </w:t>
      </w:r>
    </w:p>
    <w:p w14:paraId="5B95DEB7" w14:textId="1F4AA819" w:rsidR="00852621" w:rsidRDefault="001218D7" w:rsidP="00852621">
      <w:pPr>
        <w:spacing w:line="480" w:lineRule="auto"/>
        <w:ind w:firstLine="720"/>
      </w:pPr>
      <w:r>
        <w:t xml:space="preserve">That said, the results were more mixed on secondary health outcomes than in previous ACT for weight self-stigma trials </w:t>
      </w:r>
      <w:r w:rsidRPr="00A829B3">
        <w:t>(</w:t>
      </w:r>
      <w:r>
        <w:rPr>
          <w:i/>
        </w:rPr>
        <w:t xml:space="preserve">citation </w:t>
      </w:r>
      <w:r w:rsidRPr="00A829B3">
        <w:rPr>
          <w:i/>
        </w:rPr>
        <w:t>removed</w:t>
      </w:r>
      <w:r>
        <w:t xml:space="preserve">; </w:t>
      </w:r>
      <w:r w:rsidRPr="00A829B3">
        <w:t xml:space="preserve">Lillis et al., 2009; </w:t>
      </w:r>
      <w:proofErr w:type="spellStart"/>
      <w:r w:rsidRPr="00A829B3">
        <w:t>Palmeira</w:t>
      </w:r>
      <w:proofErr w:type="spellEnd"/>
      <w:r w:rsidRPr="00A829B3">
        <w:t xml:space="preserve"> et al., 2017).</w:t>
      </w:r>
      <w:r>
        <w:t xml:space="preserve"> </w:t>
      </w:r>
      <w:r w:rsidR="001859CB" w:rsidRPr="00A829B3">
        <w:t xml:space="preserve"> </w:t>
      </w:r>
      <w:r>
        <w:t>For example, both broad engagement in healthy eating behaviors and binge eating improved, but emotional eating</w:t>
      </w:r>
      <w:r w:rsidR="00A5277F">
        <w:t xml:space="preserve"> did not</w:t>
      </w:r>
      <w:r>
        <w:t>. Similarly, broad engagement in physical activities that support weight maintenance improved, but total physical activity time as measured by the IPAQ did not. BMI also did not improve, although we did not necessarily expect a between</w:t>
      </w:r>
      <w:r w:rsidR="006C6C3A">
        <w:t>-</w:t>
      </w:r>
      <w:r>
        <w:t>group effect on self-reported BMI over the</w:t>
      </w:r>
      <w:r w:rsidR="006C6C3A">
        <w:t xml:space="preserve"> brief</w:t>
      </w:r>
      <w:r w:rsidR="00C80A19">
        <w:t>,</w:t>
      </w:r>
      <w:r>
        <w:t xml:space="preserve"> 8</w:t>
      </w:r>
      <w:r w:rsidR="006C6C3A">
        <w:t>-</w:t>
      </w:r>
      <w:r>
        <w:t>week intervention period. These results may be due in part to measurement challenges</w:t>
      </w:r>
      <w:r w:rsidR="009A4C77">
        <w:t xml:space="preserve"> (i.e., reliance on imprecise self-report measures)</w:t>
      </w:r>
      <w:r>
        <w:t xml:space="preserve"> and limited power to detect effects due to the low sample size. That said, it may also be that ACT </w:t>
      </w:r>
      <w:r w:rsidR="00CA28B1">
        <w:t xml:space="preserve">guided </w:t>
      </w:r>
      <w:r>
        <w:t xml:space="preserve">self-help is less effective than </w:t>
      </w:r>
      <w:r w:rsidR="00C832B2">
        <w:t>therapist-delivered</w:t>
      </w:r>
      <w:r>
        <w:t xml:space="preserve"> ACT for improving health outcomes. </w:t>
      </w:r>
    </w:p>
    <w:p w14:paraId="6F650182" w14:textId="6ABE79D3" w:rsidR="00050613" w:rsidRDefault="001218D7" w:rsidP="00852621">
      <w:pPr>
        <w:spacing w:line="480" w:lineRule="auto"/>
        <w:ind w:firstLine="720"/>
      </w:pPr>
      <w:r>
        <w:t xml:space="preserve">Of note, improvements on secondary health outcomes were primarily found only for the condition that included both </w:t>
      </w:r>
      <w:r>
        <w:rPr>
          <w:i/>
        </w:rPr>
        <w:t xml:space="preserve">The Diet Trap </w:t>
      </w:r>
      <w:r>
        <w:t xml:space="preserve">and phone coaching, with the condition including </w:t>
      </w:r>
      <w:r>
        <w:lastRenderedPageBreak/>
        <w:t xml:space="preserve">only email prompts failing to improve over time on most health behaviors. </w:t>
      </w:r>
      <w:r w:rsidR="00852621">
        <w:t xml:space="preserve">These results suggest that phone coaching may enhance the effectiveness of ACT self-help. </w:t>
      </w:r>
      <w:r w:rsidR="008A6384">
        <w:t>Yet, d</w:t>
      </w:r>
      <w:r w:rsidR="00852621">
        <w:t xml:space="preserve">ifferences were not found for phone coaching versus email prompts for the primary targets of weight self-stigma and psychological inflexibility with weight. This might suggest the self-help book </w:t>
      </w:r>
      <w:r w:rsidR="00CA28B1">
        <w:t xml:space="preserve">with minimal email prompts, or even the book </w:t>
      </w:r>
      <w:r w:rsidR="00852621">
        <w:t>alone</w:t>
      </w:r>
      <w:r w:rsidR="00CA28B1">
        <w:t>,</w:t>
      </w:r>
      <w:r w:rsidR="00852621">
        <w:t xml:space="preserve"> </w:t>
      </w:r>
      <w:r w:rsidR="00CA28B1">
        <w:t xml:space="preserve">could be </w:t>
      </w:r>
      <w:r w:rsidR="00852621">
        <w:t>sufficient for learning key ACT skills that reduce weight self-stigma, but that</w:t>
      </w:r>
      <w:r w:rsidR="00D87513">
        <w:t xml:space="preserve"> adding</w:t>
      </w:r>
      <w:r w:rsidR="00852621">
        <w:t xml:space="preserve"> phone coaching assists with generalizing this to </w:t>
      </w:r>
      <w:r w:rsidR="00A1105F">
        <w:t xml:space="preserve">facets of </w:t>
      </w:r>
      <w:r w:rsidR="00852621">
        <w:t xml:space="preserve">health behavior </w:t>
      </w:r>
      <w:r w:rsidR="00A1105F">
        <w:t>such as dietary choice</w:t>
      </w:r>
      <w:r w:rsidR="00852621">
        <w:t xml:space="preserve">. Consistent with this, participants in the phone coaching condition reported greater intent to use the ACT skills they learned at posttreatment than the email condition, suggesting phone coaching supported ongoing </w:t>
      </w:r>
      <w:r w:rsidR="00AE3020">
        <w:t>use</w:t>
      </w:r>
      <w:r w:rsidR="00852621">
        <w:t xml:space="preserve"> of ACT skills. </w:t>
      </w:r>
    </w:p>
    <w:p w14:paraId="3AEB45D4" w14:textId="4B40FDB4" w:rsidR="00852621" w:rsidRDefault="00852621" w:rsidP="00242505">
      <w:pPr>
        <w:spacing w:line="480" w:lineRule="auto"/>
        <w:ind w:firstLine="720"/>
      </w:pPr>
      <w:r>
        <w:t xml:space="preserve">Surprisingly, phone coaching did not enhance adherence to reading the self-help book relative to </w:t>
      </w:r>
      <w:r w:rsidR="00AE3020">
        <w:t xml:space="preserve">email </w:t>
      </w:r>
      <w:r w:rsidR="00323D06">
        <w:t>prompts alone. The p</w:t>
      </w:r>
      <w:r>
        <w:t>hone coaching</w:t>
      </w:r>
      <w:r w:rsidR="00323D06">
        <w:t xml:space="preserve"> protocol</w:t>
      </w:r>
      <w:r>
        <w:t xml:space="preserve"> was primarily focused on increasing motivation to adhere to the self-help book and problem</w:t>
      </w:r>
      <w:r w:rsidR="00B8523A">
        <w:t>-</w:t>
      </w:r>
      <w:r>
        <w:t>solving barriers to adherence.</w:t>
      </w:r>
      <w:r w:rsidR="005B7CD8">
        <w:t xml:space="preserve"> </w:t>
      </w:r>
      <w:r w:rsidR="00242505">
        <w:t>One recent review found significantly higher completion rates for guided compared to unguided interventions (Baumeister et al., 2014)</w:t>
      </w:r>
      <w:r w:rsidR="00753E97">
        <w:t xml:space="preserve">, although </w:t>
      </w:r>
      <w:r w:rsidR="00EC4412">
        <w:t>another</w:t>
      </w:r>
      <w:r w:rsidR="00753E97">
        <w:t xml:space="preserve"> suggested that the degree of human contact needed for efficacious treatment may vary depending on the treatment target</w:t>
      </w:r>
      <w:r w:rsidR="00EC4412">
        <w:t xml:space="preserve"> (Newman</w:t>
      </w:r>
      <w:r w:rsidR="00A14F2B">
        <w:t xml:space="preserve"> et al.</w:t>
      </w:r>
      <w:r w:rsidR="00EC4412">
        <w:t>, 2011).</w:t>
      </w:r>
      <w:r w:rsidR="00753E97">
        <w:t xml:space="preserve"> </w:t>
      </w:r>
      <w:r w:rsidR="00F32616">
        <w:t xml:space="preserve">Overall, these results suggest that the ACT self-help book with minimal email prompts is sufficient for reducing weight self-stigma and is likely to have adequate adherence, but that it may be worth the additional resource costs and complexities for phone coaching to support generalizing this to health behavior change. </w:t>
      </w:r>
      <w:bookmarkStart w:id="4" w:name="_Hlk46830143"/>
      <w:r w:rsidR="00F32616">
        <w:t>That said, in some contexts where phone coaching is not practical, these results suggest that providing the book with email prompts (that could be automated) may be sufficient for addressing weight self-stigma.</w:t>
      </w:r>
      <w:bookmarkEnd w:id="4"/>
      <w:r w:rsidR="00F32616">
        <w:t xml:space="preserve"> </w:t>
      </w:r>
      <w:bookmarkStart w:id="5" w:name="_Hlk46830095"/>
      <w:r w:rsidR="00F32616">
        <w:t xml:space="preserve">A self-help book alone might also be integrated into an existing behavioral weight loss or health promotion program that does not currently offer ACT, thus ensuring that individuals concurrently receive skills and </w:t>
      </w:r>
      <w:r w:rsidR="00F32616">
        <w:lastRenderedPageBreak/>
        <w:t xml:space="preserve">guidance on how to translate these improvements in weight self-stigma to </w:t>
      </w:r>
      <w:r w:rsidR="00BC00D1">
        <w:t xml:space="preserve">personally-valued </w:t>
      </w:r>
      <w:r w:rsidR="00F32616">
        <w:t xml:space="preserve">behavior change efforts. </w:t>
      </w:r>
      <w:bookmarkEnd w:id="5"/>
    </w:p>
    <w:p w14:paraId="76A0CBF7" w14:textId="4EBBAB28" w:rsidR="00DF055B" w:rsidRDefault="00BF1B19" w:rsidP="003B57BE">
      <w:pPr>
        <w:spacing w:line="480" w:lineRule="auto"/>
      </w:pPr>
      <w:r w:rsidRPr="00A829B3">
        <w:tab/>
      </w:r>
      <w:r w:rsidR="00F32616">
        <w:t xml:space="preserve">This </w:t>
      </w:r>
      <w:r w:rsidR="00E6022D">
        <w:t>is</w:t>
      </w:r>
      <w:r w:rsidR="00F32616">
        <w:t xml:space="preserve"> the first RCT evaluating ACT </w:t>
      </w:r>
      <w:r w:rsidR="00CA28B1">
        <w:t xml:space="preserve">guided </w:t>
      </w:r>
      <w:r w:rsidR="00F32616">
        <w:t>self-help for weight self-stigma</w:t>
      </w:r>
      <w:r w:rsidR="00E6022D">
        <w:t xml:space="preserve"> and </w:t>
      </w:r>
      <w:r w:rsidR="00920EE0">
        <w:t xml:space="preserve">suggests </w:t>
      </w:r>
      <w:r w:rsidR="00E6022D">
        <w:t>that</w:t>
      </w:r>
      <w:r w:rsidR="00DF055B">
        <w:t xml:space="preserve"> </w:t>
      </w:r>
      <w:r w:rsidR="00DF055B">
        <w:rPr>
          <w:i/>
        </w:rPr>
        <w:t xml:space="preserve">The Diet Trap, </w:t>
      </w:r>
      <w:r w:rsidR="00DF055B">
        <w:t xml:space="preserve">a publicly available self-help book, can be used to address weight self-stigma. This is critical in providing a readily available resource that meets the scale of weight self-stigma as a public health concern. Individuals </w:t>
      </w:r>
      <w:r w:rsidR="00BC00D1">
        <w:t xml:space="preserve">and health service entities </w:t>
      </w:r>
      <w:r w:rsidR="00DF055B">
        <w:t xml:space="preserve">can access </w:t>
      </w:r>
      <w:r w:rsidR="00DF055B">
        <w:rPr>
          <w:i/>
        </w:rPr>
        <w:t xml:space="preserve">The Diet Trap </w:t>
      </w:r>
      <w:r w:rsidR="00DF055B">
        <w:t>anywhere and at a low cost, providing a promising alternative for those who do not have ready access to providers trained in ACT for weight self-stigma. Furthermore, the privacy of a self-help format may be desired by some individuals struggling with stigma who otherwise may be unwilling to seek in person services</w:t>
      </w:r>
      <w:r w:rsidR="00E6022D">
        <w:t xml:space="preserve"> (Levin et al., 2018)</w:t>
      </w:r>
      <w:r w:rsidR="00DF055B">
        <w:t xml:space="preserve">. </w:t>
      </w:r>
      <w:bookmarkStart w:id="6" w:name="_Hlk46830192"/>
      <w:r w:rsidR="00DF055B">
        <w:t xml:space="preserve">Finally, </w:t>
      </w:r>
      <w:r w:rsidR="00CA28B1">
        <w:rPr>
          <w:i/>
        </w:rPr>
        <w:t>The Diet Trap</w:t>
      </w:r>
      <w:r w:rsidR="00DF055B">
        <w:t xml:space="preserve"> could be integrated into existing weight management and health promotion programs</w:t>
      </w:r>
      <w:r w:rsidR="00D25AAC">
        <w:t xml:space="preserve"> to help improve the fairly modest effects found for behavioral weight loss (MacLean et al., 2015) and subsequent </w:t>
      </w:r>
      <w:r w:rsidR="007C4447">
        <w:t xml:space="preserve">high rates of </w:t>
      </w:r>
      <w:r w:rsidR="00D25AAC">
        <w:t>weight regain (</w:t>
      </w:r>
      <w:proofErr w:type="spellStart"/>
      <w:r w:rsidR="00D25AAC">
        <w:t>Loveman</w:t>
      </w:r>
      <w:proofErr w:type="spellEnd"/>
      <w:r w:rsidR="00D25AAC">
        <w:t xml:space="preserve"> et al., 2011). </w:t>
      </w:r>
      <w:bookmarkStart w:id="7" w:name="_Hlk46830242"/>
      <w:bookmarkEnd w:id="6"/>
      <w:r w:rsidR="00D25AAC">
        <w:t>Targeting weight self-stigma in existing weight management programs could help address a highly prevalent problem (</w:t>
      </w:r>
      <w:bookmarkStart w:id="8" w:name="_Hlk38296839"/>
      <w:proofErr w:type="spellStart"/>
      <w:r w:rsidR="007D336C">
        <w:t>Puhl</w:t>
      </w:r>
      <w:proofErr w:type="spellEnd"/>
      <w:r w:rsidR="00287929">
        <w:t xml:space="preserve"> et al.</w:t>
      </w:r>
      <w:r w:rsidR="007D336C">
        <w:t>, 2018</w:t>
      </w:r>
      <w:bookmarkEnd w:id="8"/>
      <w:r w:rsidR="00D25AAC">
        <w:t xml:space="preserve">) that has been found to contribute to poorer weight </w:t>
      </w:r>
      <w:r w:rsidR="00287929">
        <w:t>management and treatment outcomes</w:t>
      </w:r>
      <w:r w:rsidR="00D25AAC">
        <w:t xml:space="preserve"> (e.g., </w:t>
      </w:r>
      <w:proofErr w:type="spellStart"/>
      <w:r w:rsidR="00287929" w:rsidRPr="00287929">
        <w:t>Durso</w:t>
      </w:r>
      <w:proofErr w:type="spellEnd"/>
      <w:r w:rsidR="00287929" w:rsidRPr="00287929">
        <w:t xml:space="preserve">, 2013; Lillis et al., in press; </w:t>
      </w:r>
      <w:proofErr w:type="spellStart"/>
      <w:r w:rsidR="00287929" w:rsidRPr="00287929">
        <w:t>Mensinger</w:t>
      </w:r>
      <w:proofErr w:type="spellEnd"/>
      <w:r w:rsidR="00287929" w:rsidRPr="00287929">
        <w:t xml:space="preserve"> et al., 2016; </w:t>
      </w:r>
      <w:proofErr w:type="spellStart"/>
      <w:r w:rsidR="00287929" w:rsidRPr="00287929">
        <w:t>Mensinger</w:t>
      </w:r>
      <w:proofErr w:type="spellEnd"/>
      <w:r w:rsidR="00287929" w:rsidRPr="00287929">
        <w:t xml:space="preserve"> &amp; Meadows, 2017; Pearl &amp; </w:t>
      </w:r>
      <w:proofErr w:type="spellStart"/>
      <w:r w:rsidR="00287929" w:rsidRPr="00287929">
        <w:t>Puhl</w:t>
      </w:r>
      <w:proofErr w:type="spellEnd"/>
      <w:r w:rsidR="00287929" w:rsidRPr="00287929">
        <w:t>, 2018</w:t>
      </w:r>
      <w:r w:rsidR="00D25AAC" w:rsidRPr="00C47743">
        <w:t>).</w:t>
      </w:r>
      <w:r w:rsidR="00D25AAC">
        <w:t xml:space="preserve"> </w:t>
      </w:r>
      <w:bookmarkEnd w:id="7"/>
    </w:p>
    <w:p w14:paraId="04FDDE2D" w14:textId="3AE69684" w:rsidR="008741F8" w:rsidRDefault="00BF1B19" w:rsidP="00462A25">
      <w:pPr>
        <w:spacing w:line="480" w:lineRule="auto"/>
      </w:pPr>
      <w:r w:rsidRPr="00A829B3">
        <w:tab/>
      </w:r>
      <w:r w:rsidR="00E6022D">
        <w:t>I</w:t>
      </w:r>
      <w:r w:rsidR="008741F8">
        <w:t xml:space="preserve">t is worth noting that although ACT </w:t>
      </w:r>
      <w:r w:rsidR="00CA28B1">
        <w:t xml:space="preserve">guided </w:t>
      </w:r>
      <w:r w:rsidR="008741F8">
        <w:t>self-help improved psychological inflexibility with weight-related concerns, it did not improve general psychological inflexibility. This is consistent with previous research indicating that domain-specific measures of psychological inflexibility are often more predictive and sensitive to detecting treatment effects than general measures (Ong</w:t>
      </w:r>
      <w:r w:rsidR="00A14F2B">
        <w:t xml:space="preserve"> et al.</w:t>
      </w:r>
      <w:r w:rsidR="008741F8">
        <w:t xml:space="preserve">, 2019). A recent study found specifically that </w:t>
      </w:r>
      <w:r w:rsidR="007505F9">
        <w:t xml:space="preserve">an ACT weight management intervention had </w:t>
      </w:r>
      <w:r w:rsidR="005834BB">
        <w:t xml:space="preserve">greater </w:t>
      </w:r>
      <w:r w:rsidR="007505F9">
        <w:t xml:space="preserve">effects on weight-related measures of psychological </w:t>
      </w:r>
      <w:r w:rsidR="007505F9">
        <w:lastRenderedPageBreak/>
        <w:t xml:space="preserve">inflexibility than general psychological inflexibility and that only these </w:t>
      </w:r>
      <w:r w:rsidR="005F79F5">
        <w:t>weight-related</w:t>
      </w:r>
      <w:r w:rsidR="007505F9">
        <w:t xml:space="preserve"> measures of inflexibility mediated weight loss outcomes</w:t>
      </w:r>
      <w:r w:rsidR="00986708">
        <w:t xml:space="preserve"> (</w:t>
      </w:r>
      <w:r w:rsidR="00986708" w:rsidRPr="00A829B3">
        <w:t>Schumacher</w:t>
      </w:r>
      <w:r w:rsidR="00986708">
        <w:t xml:space="preserve"> et al.,</w:t>
      </w:r>
      <w:r w:rsidR="00986708" w:rsidRPr="00A829B3">
        <w:t xml:space="preserve"> 2019</w:t>
      </w:r>
      <w:r w:rsidR="00986708">
        <w:t>)</w:t>
      </w:r>
      <w:r w:rsidR="008741F8">
        <w:t xml:space="preserve">. </w:t>
      </w:r>
      <w:r w:rsidR="007505F9">
        <w:t xml:space="preserve">These results </w:t>
      </w:r>
      <w:r w:rsidR="00E6022D">
        <w:t>might</w:t>
      </w:r>
      <w:r w:rsidR="007505F9">
        <w:t xml:space="preserve"> suggest that ACT for weight-related concerns </w:t>
      </w:r>
      <w:r w:rsidR="005F79F5">
        <w:t>teach</w:t>
      </w:r>
      <w:r w:rsidR="007505F9">
        <w:t xml:space="preserve"> more narrow applications of ACT </w:t>
      </w:r>
      <w:r w:rsidR="00BC00D1">
        <w:t xml:space="preserve">processes </w:t>
      </w:r>
      <w:r w:rsidR="007505F9">
        <w:t xml:space="preserve">and that additional interventions may be needed to support generalization to other </w:t>
      </w:r>
      <w:r w:rsidR="00E6022D">
        <w:t xml:space="preserve">areas </w:t>
      </w:r>
      <w:r w:rsidR="007505F9">
        <w:t xml:space="preserve">impacted by psychological inflexibility.  </w:t>
      </w:r>
      <w:r w:rsidR="00050613">
        <w:t xml:space="preserve"> </w:t>
      </w:r>
    </w:p>
    <w:p w14:paraId="5E4491B7" w14:textId="77777777" w:rsidR="00E6022D" w:rsidRDefault="00F32616" w:rsidP="00202D8C">
      <w:pPr>
        <w:spacing w:line="480" w:lineRule="auto"/>
        <w:ind w:firstLine="720"/>
      </w:pPr>
      <w:r>
        <w:t>This study had some notable limitations. The sample size was relatively small and was underpowered to compare effects between two active experimental conditions.</w:t>
      </w:r>
      <w:r w:rsidR="00202D8C">
        <w:t xml:space="preserve"> This was worsened by the </w:t>
      </w:r>
      <w:r w:rsidR="00E6022D">
        <w:t xml:space="preserve">relatively </w:t>
      </w:r>
      <w:r w:rsidR="00202D8C">
        <w:t xml:space="preserve">low response rate of participants for the posttreatment assessment. Limited power </w:t>
      </w:r>
      <w:r>
        <w:t>may have contributed to the mixed effects on secondary health outcomes</w:t>
      </w:r>
      <w:r w:rsidR="005F79F5">
        <w:t xml:space="preserve"> and between the two active conditions</w:t>
      </w:r>
      <w:r>
        <w:t>. A fully powered confirmatory efficacy trial is needed to further determine the effects of ACT self-help on health outcomes</w:t>
      </w:r>
      <w:r w:rsidR="00202D8C">
        <w:t xml:space="preserve"> and to evaluate the added benefit of phone coaching. </w:t>
      </w:r>
    </w:p>
    <w:p w14:paraId="5380F7BF" w14:textId="649C76A9" w:rsidR="00202D8C" w:rsidRDefault="00202D8C" w:rsidP="00202D8C">
      <w:pPr>
        <w:spacing w:line="480" w:lineRule="auto"/>
        <w:ind w:firstLine="720"/>
      </w:pPr>
      <w:r>
        <w:t>The study relied on broad self-report measures of health behaviors and BMI. These variables are likely to be biased in a self-report format and future studies would benefit from using objective (e.g., weight, pedometer) or more precise measures (e.g., food recall).</w:t>
      </w:r>
      <w:r w:rsidR="00F97B3D">
        <w:t xml:space="preserve"> This issue may have been heightened with the use of a single EDE item to assess binge eating.</w:t>
      </w:r>
      <w:r>
        <w:t xml:space="preserve"> Similarly, book adherence was assessed by self-report, which is a natural limitation of studying self-help books relative to online platforms that provide objective tracking of program usage. Finally, </w:t>
      </w:r>
      <w:r w:rsidR="00F97B3D">
        <w:t xml:space="preserve">this study did not include a long-term follow up assessment of at least one-year, which is needed to determine whether effects of the intervention are sustained and if they apply to long-term weight maintenance. </w:t>
      </w:r>
    </w:p>
    <w:p w14:paraId="24E0315E" w14:textId="4B0D7983" w:rsidR="00F6317F" w:rsidRPr="00A829B3" w:rsidRDefault="00F6317F" w:rsidP="00202D8C">
      <w:pPr>
        <w:spacing w:line="480" w:lineRule="auto"/>
        <w:ind w:firstLine="720"/>
      </w:pPr>
      <w:r>
        <w:t xml:space="preserve">This study </w:t>
      </w:r>
      <w:r w:rsidR="00161B00">
        <w:t>did not include a self-help book only condition without any email</w:t>
      </w:r>
      <w:r w:rsidR="003C0929">
        <w:t>s</w:t>
      </w:r>
      <w:r w:rsidR="00161B00">
        <w:t xml:space="preserve"> or online quizzes to promote adherence. Thus, it is not clear the degree to which individuals would adhere </w:t>
      </w:r>
      <w:r w:rsidR="00161B00">
        <w:lastRenderedPageBreak/>
        <w:t xml:space="preserve">to </w:t>
      </w:r>
      <w:r w:rsidR="00161B00">
        <w:rPr>
          <w:i/>
        </w:rPr>
        <w:t>The Diet Trap</w:t>
      </w:r>
      <w:r w:rsidR="00161B00">
        <w:t xml:space="preserve"> or that the book would produce positive effects on weight self-stigma without at least email prompting and online quizzes. </w:t>
      </w:r>
      <w:r w:rsidR="000475C7">
        <w:t>Highlighting this concern, r</w:t>
      </w:r>
      <w:r w:rsidR="00161B00">
        <w:t>esearch suggest</w:t>
      </w:r>
      <w:r w:rsidR="000475C7">
        <w:t>s</w:t>
      </w:r>
      <w:r w:rsidR="00161B00">
        <w:t xml:space="preserve"> that adherence to self-help programs is substantially lower when examined naturalistically, outside the context of research studies with additional features that promote adherence (</w:t>
      </w:r>
      <w:proofErr w:type="spellStart"/>
      <w:r w:rsidR="00161B00" w:rsidRPr="00C47743">
        <w:t>Baumel</w:t>
      </w:r>
      <w:proofErr w:type="spellEnd"/>
      <w:r w:rsidR="00160508">
        <w:t xml:space="preserve"> et al., </w:t>
      </w:r>
      <w:r w:rsidR="00161B00" w:rsidRPr="00C47743">
        <w:t>2019</w:t>
      </w:r>
      <w:r w:rsidR="00161B00">
        <w:t>).</w:t>
      </w:r>
      <w:r w:rsidR="003C0929">
        <w:t xml:space="preserve"> </w:t>
      </w:r>
      <w:r w:rsidR="00161B00">
        <w:t xml:space="preserve">A strength of this study was its focus on a readily available self-help book, but the current results cannot disentangle the effects of researcher contact from that of the book alone, which is a typical way </w:t>
      </w:r>
      <w:r w:rsidR="000475C7">
        <w:t>self-help</w:t>
      </w:r>
      <w:r w:rsidR="00161B00">
        <w:t xml:space="preserve"> </w:t>
      </w:r>
      <w:r w:rsidR="000475C7">
        <w:t>is</w:t>
      </w:r>
      <w:r w:rsidR="00161B00">
        <w:t xml:space="preserve"> used.</w:t>
      </w:r>
      <w:r w:rsidR="003C0929">
        <w:t xml:space="preserve"> This raises a broader issue in that the study did not include an active control condition. Thus, these pilot results should be interpreted with caution as </w:t>
      </w:r>
      <w:proofErr w:type="gramStart"/>
      <w:r w:rsidR="003C0929">
        <w:t>a number of</w:t>
      </w:r>
      <w:proofErr w:type="gramEnd"/>
      <w:r w:rsidR="003C0929">
        <w:t xml:space="preserve"> other uncontrolled variables may account for the effects of the guided self-help intervention relative to no intervention (e.g., demand characteristics, placebo).</w:t>
      </w:r>
      <w:r w:rsidR="00161B00">
        <w:t xml:space="preserve">  </w:t>
      </w:r>
    </w:p>
    <w:p w14:paraId="4D7ABD0A" w14:textId="33FF7044" w:rsidR="00462A25" w:rsidRPr="00A829B3" w:rsidRDefault="00BF1B19" w:rsidP="00E6022D">
      <w:pPr>
        <w:spacing w:line="480" w:lineRule="auto"/>
      </w:pPr>
      <w:r w:rsidRPr="00A829B3">
        <w:tab/>
      </w:r>
      <w:r w:rsidR="00E93074">
        <w:t xml:space="preserve">This </w:t>
      </w:r>
      <w:r w:rsidR="00920EE0">
        <w:t xml:space="preserve">pilot </w:t>
      </w:r>
      <w:r w:rsidR="00E93074">
        <w:t>study adds to a growing literature indicating ACT is an evidence-based intervention for weight self-stigma.</w:t>
      </w:r>
      <w:r w:rsidR="00F32616">
        <w:t xml:space="preserve"> The primary added findings from this study were that ACT </w:t>
      </w:r>
      <w:r w:rsidR="003C0929">
        <w:t xml:space="preserve">may be </w:t>
      </w:r>
      <w:r w:rsidR="00E93074">
        <w:t>effective when</w:t>
      </w:r>
      <w:r w:rsidR="00F32616">
        <w:t xml:space="preserve"> delivered in a</w:t>
      </w:r>
      <w:r w:rsidR="00CA28B1">
        <w:t xml:space="preserve"> guided</w:t>
      </w:r>
      <w:r w:rsidR="00F32616">
        <w:t xml:space="preserve"> self-help format</w:t>
      </w:r>
      <w:r w:rsidR="00E93074">
        <w:t xml:space="preserve"> for weight self-stigma</w:t>
      </w:r>
      <w:r w:rsidR="00F32616">
        <w:t xml:space="preserve"> and that phone coaching </w:t>
      </w:r>
      <w:r w:rsidR="003C0929">
        <w:t xml:space="preserve">could </w:t>
      </w:r>
      <w:r w:rsidR="00F32616">
        <w:t>have some modest incremental benefits</w:t>
      </w:r>
      <w:r w:rsidR="00E93074">
        <w:t>, particularly on health behavior change</w:t>
      </w:r>
      <w:r w:rsidR="00F32616">
        <w:t>.</w:t>
      </w:r>
      <w:r w:rsidR="00E93074">
        <w:t xml:space="preserve"> Weight self-stigma is a critical target for ongoing treatment development research, particularly in scalable formats that can meet the scope of this public health challenge. </w:t>
      </w:r>
    </w:p>
    <w:p w14:paraId="03442192" w14:textId="2F3E3A9E" w:rsidR="00E948B7" w:rsidRDefault="00E948B7" w:rsidP="001D0A94">
      <w:pPr>
        <w:spacing w:line="480" w:lineRule="auto"/>
        <w:rPr>
          <w:b/>
        </w:rPr>
      </w:pPr>
      <w:r>
        <w:rPr>
          <w:b/>
        </w:rPr>
        <w:br w:type="page"/>
      </w:r>
    </w:p>
    <w:p w14:paraId="717F176A" w14:textId="3954BF85" w:rsidR="00462A25" w:rsidRPr="00A829B3" w:rsidRDefault="00462A25" w:rsidP="00891052">
      <w:pPr>
        <w:spacing w:line="480" w:lineRule="auto"/>
        <w:contextualSpacing/>
        <w:jc w:val="center"/>
        <w:rPr>
          <w:b/>
        </w:rPr>
      </w:pPr>
      <w:r w:rsidRPr="00A829B3">
        <w:rPr>
          <w:b/>
        </w:rPr>
        <w:lastRenderedPageBreak/>
        <w:t>References</w:t>
      </w:r>
    </w:p>
    <w:p w14:paraId="13DC7689" w14:textId="737D0405" w:rsidR="00252F34" w:rsidRDefault="00252F34" w:rsidP="00252F34">
      <w:pPr>
        <w:spacing w:line="480" w:lineRule="auto"/>
        <w:ind w:left="720" w:hanging="720"/>
        <w:contextualSpacing/>
      </w:pPr>
      <w:r>
        <w:t xml:space="preserve">Andersson, G., Lundström, P., &amp; </w:t>
      </w:r>
      <w:proofErr w:type="spellStart"/>
      <w:r>
        <w:t>Ström</w:t>
      </w:r>
      <w:proofErr w:type="spellEnd"/>
      <w:r>
        <w:t xml:space="preserve">, L. (2003). Internet-based treatment of headache: Does telephone contact add anything? </w:t>
      </w:r>
      <w:r>
        <w:rPr>
          <w:i/>
          <w:iCs/>
        </w:rPr>
        <w:t>Headache</w:t>
      </w:r>
      <w:r>
        <w:t xml:space="preserve">, </w:t>
      </w:r>
      <w:r>
        <w:rPr>
          <w:i/>
          <w:iCs/>
        </w:rPr>
        <w:t>43</w:t>
      </w:r>
      <w:r w:rsidR="001E6B08">
        <w:t>(4)</w:t>
      </w:r>
      <w:r>
        <w:t>, 353–361.</w:t>
      </w:r>
    </w:p>
    <w:p w14:paraId="012FAB5D" w14:textId="582AB341" w:rsidR="003511C3" w:rsidRPr="00A829B3" w:rsidRDefault="00EE47A8" w:rsidP="00D41A75">
      <w:pPr>
        <w:spacing w:line="480" w:lineRule="auto"/>
        <w:ind w:left="720" w:hanging="720"/>
        <w:contextualSpacing/>
      </w:pPr>
      <w:r w:rsidRPr="00A829B3">
        <w:t>Association for Contextual Behavioral Science (20</w:t>
      </w:r>
      <w:r w:rsidR="00521D84">
        <w:t>20</w:t>
      </w:r>
      <w:r w:rsidRPr="00A829B3">
        <w:t xml:space="preserve">). </w:t>
      </w:r>
      <w:r w:rsidRPr="00A829B3">
        <w:rPr>
          <w:i/>
          <w:iCs/>
        </w:rPr>
        <w:t>ACT randomized controlled trials since 1986</w:t>
      </w:r>
      <w:r w:rsidRPr="00A829B3">
        <w:t>. Retrieved from </w:t>
      </w:r>
      <w:hyperlink r:id="rId8" w:tgtFrame="_blank" w:history="1">
        <w:r w:rsidRPr="00A829B3">
          <w:rPr>
            <w:color w:val="0000FF"/>
            <w:u w:val="single"/>
          </w:rPr>
          <w:t>https://contextualscience.org/ACT_Randomized_Controlled_Trials</w:t>
        </w:r>
      </w:hyperlink>
    </w:p>
    <w:p w14:paraId="2FB41DC8" w14:textId="788FFCD3" w:rsidR="00161B00" w:rsidRDefault="003511C3" w:rsidP="00161B00">
      <w:pPr>
        <w:spacing w:line="480" w:lineRule="auto"/>
        <w:ind w:left="720" w:hanging="720"/>
        <w:contextualSpacing/>
      </w:pPr>
      <w:r w:rsidRPr="00D63A19">
        <w:t xml:space="preserve">Baumeister, H., </w:t>
      </w:r>
      <w:proofErr w:type="spellStart"/>
      <w:r w:rsidRPr="00D63A19">
        <w:t>Reichler</w:t>
      </w:r>
      <w:proofErr w:type="spellEnd"/>
      <w:r w:rsidRPr="00D63A19">
        <w:t xml:space="preserve">, L., </w:t>
      </w:r>
      <w:proofErr w:type="spellStart"/>
      <w:r w:rsidRPr="00D63A19">
        <w:t>Munzinger</w:t>
      </w:r>
      <w:proofErr w:type="spellEnd"/>
      <w:r w:rsidRPr="00D63A19">
        <w:t xml:space="preserve">, M., &amp; Lin, J. (2014). The impact of guidance on Internet-based mental health interventions - A systematic review. </w:t>
      </w:r>
      <w:r w:rsidRPr="00D63A19">
        <w:rPr>
          <w:i/>
          <w:iCs/>
        </w:rPr>
        <w:t>Internet Interventions</w:t>
      </w:r>
      <w:r w:rsidRPr="00D63A19">
        <w:t xml:space="preserve">, </w:t>
      </w:r>
      <w:r w:rsidRPr="00D63A19">
        <w:rPr>
          <w:i/>
          <w:iCs/>
        </w:rPr>
        <w:t>1</w:t>
      </w:r>
      <w:r w:rsidR="001E6B08">
        <w:t>(4)</w:t>
      </w:r>
      <w:r w:rsidRPr="00D63A19">
        <w:t xml:space="preserve">, 205–215. </w:t>
      </w:r>
    </w:p>
    <w:p w14:paraId="27226020" w14:textId="1BCDD085" w:rsidR="00161B00" w:rsidRDefault="00161B00" w:rsidP="000475C7">
      <w:pPr>
        <w:spacing w:line="480" w:lineRule="auto"/>
        <w:ind w:left="720" w:hanging="720"/>
        <w:contextualSpacing/>
      </w:pPr>
      <w:proofErr w:type="spellStart"/>
      <w:r w:rsidRPr="007762AD">
        <w:t>Baumel</w:t>
      </w:r>
      <w:proofErr w:type="spellEnd"/>
      <w:r w:rsidRPr="007762AD">
        <w:t xml:space="preserve">, A., Edan, S. &amp; Kane, J.M. (2019). Is there a trial bias impacting user engagement with unguided e-mental health interventions? A systematic comparison of published reports and real-world usage of the same programs. </w:t>
      </w:r>
      <w:r w:rsidRPr="007762AD">
        <w:rPr>
          <w:i/>
        </w:rPr>
        <w:t>Translational Behavioral Medicine, 9</w:t>
      </w:r>
      <w:r w:rsidR="00E56099">
        <w:rPr>
          <w:iCs/>
        </w:rPr>
        <w:t>(6)</w:t>
      </w:r>
      <w:r w:rsidRPr="007762AD">
        <w:t>, 1020-1033.</w:t>
      </w:r>
    </w:p>
    <w:p w14:paraId="35684961" w14:textId="07048AFE" w:rsidR="00252F34" w:rsidRDefault="00252F34" w:rsidP="00252F34">
      <w:pPr>
        <w:spacing w:line="480" w:lineRule="auto"/>
        <w:ind w:left="720" w:hanging="720"/>
        <w:contextualSpacing/>
      </w:pPr>
      <w:r>
        <w:t xml:space="preserve">Berger, T., Caspar, F., Richardson, R., </w:t>
      </w:r>
      <w:proofErr w:type="spellStart"/>
      <w:r>
        <w:t>Kneubühler</w:t>
      </w:r>
      <w:proofErr w:type="spellEnd"/>
      <w:r>
        <w:t xml:space="preserve">, B., Sutter, D., &amp; Andersson, G. (2011). Internet-based treatment of social phobia: A randomized controlled trial comparing unguided with two types of guided self-help. </w:t>
      </w:r>
      <w:proofErr w:type="spellStart"/>
      <w:r>
        <w:rPr>
          <w:i/>
          <w:iCs/>
        </w:rPr>
        <w:t>Behaviour</w:t>
      </w:r>
      <w:proofErr w:type="spellEnd"/>
      <w:r>
        <w:rPr>
          <w:i/>
          <w:iCs/>
        </w:rPr>
        <w:t xml:space="preserve"> Research and Therapy</w:t>
      </w:r>
      <w:r>
        <w:t xml:space="preserve">, </w:t>
      </w:r>
      <w:r>
        <w:rPr>
          <w:i/>
          <w:iCs/>
        </w:rPr>
        <w:t>49</w:t>
      </w:r>
      <w:r w:rsidR="00E56099">
        <w:t>(3)</w:t>
      </w:r>
      <w:r>
        <w:t xml:space="preserve">, 158–169. </w:t>
      </w:r>
    </w:p>
    <w:p w14:paraId="3A50F2EE" w14:textId="3CAA83EA" w:rsidR="009865DF" w:rsidRDefault="009865DF" w:rsidP="00E948B7">
      <w:pPr>
        <w:spacing w:line="480" w:lineRule="auto"/>
        <w:ind w:left="720" w:hanging="720"/>
        <w:contextualSpacing/>
      </w:pPr>
      <w:r>
        <w:t xml:space="preserve">Craig, C. L., Marshall, A. L., </w:t>
      </w:r>
      <w:proofErr w:type="spellStart"/>
      <w:r>
        <w:t>Sjöström</w:t>
      </w:r>
      <w:proofErr w:type="spellEnd"/>
      <w:r>
        <w:t xml:space="preserve">, M., Bauman, A. E., Booth, M. L., Ainsworth, B. E., … </w:t>
      </w:r>
      <w:proofErr w:type="spellStart"/>
      <w:r>
        <w:t>Oja</w:t>
      </w:r>
      <w:proofErr w:type="spellEnd"/>
      <w:r>
        <w:t xml:space="preserve">, P. (2003). International Physical Activity Questionnaire: 12-country reliability and validity. </w:t>
      </w:r>
      <w:r>
        <w:rPr>
          <w:i/>
          <w:iCs/>
        </w:rPr>
        <w:t>Medicine and Science in Sports and Exercise</w:t>
      </w:r>
      <w:r>
        <w:t xml:space="preserve">, </w:t>
      </w:r>
      <w:r>
        <w:rPr>
          <w:i/>
          <w:iCs/>
        </w:rPr>
        <w:t>35</w:t>
      </w:r>
      <w:r w:rsidR="003E71D9">
        <w:t>(8)</w:t>
      </w:r>
      <w:r>
        <w:t xml:space="preserve">, 1381–1395. </w:t>
      </w:r>
      <w:hyperlink r:id="rId9" w:history="1">
        <w:r w:rsidR="00D31837" w:rsidRPr="00966280">
          <w:rPr>
            <w:rStyle w:val="Hyperlink"/>
          </w:rPr>
          <w:t>https://doi.org/10.1249/01.MSS.0000078923.96621.1D</w:t>
        </w:r>
      </w:hyperlink>
    </w:p>
    <w:p w14:paraId="3B0D7035" w14:textId="3E15F523" w:rsidR="00D31837" w:rsidRPr="00C832B2" w:rsidRDefault="00D31837" w:rsidP="00D7264B">
      <w:pPr>
        <w:pStyle w:val="EndNoteBibliography"/>
        <w:spacing w:line="480" w:lineRule="auto"/>
        <w:ind w:left="720" w:hanging="720"/>
        <w:rPr>
          <w:rFonts w:ascii="Times New Roman" w:hAnsi="Times New Roman" w:cs="Times New Roman"/>
          <w:sz w:val="24"/>
          <w:szCs w:val="24"/>
        </w:rPr>
      </w:pPr>
      <w:r w:rsidRPr="00C832B2">
        <w:rPr>
          <w:rFonts w:ascii="Times New Roman" w:hAnsi="Times New Roman" w:cs="Times New Roman"/>
          <w:color w:val="000000"/>
          <w:sz w:val="24"/>
          <w:szCs w:val="24"/>
        </w:rPr>
        <w:t xml:space="preserve">Duffecy, J., Kinsinger, S., Ludman, E., &amp; Mohr, D.C. (2011). </w:t>
      </w:r>
      <w:r w:rsidRPr="00C832B2">
        <w:rPr>
          <w:rFonts w:ascii="Times New Roman" w:hAnsi="Times New Roman" w:cs="Times New Roman"/>
          <w:i/>
          <w:color w:val="000000"/>
          <w:sz w:val="24"/>
          <w:szCs w:val="24"/>
        </w:rPr>
        <w:t>Telephone coaching to support adherence to internet interventions (TeleCoach): Coach Manual.</w:t>
      </w:r>
    </w:p>
    <w:p w14:paraId="66575423" w14:textId="01D8CD9E" w:rsidR="00D244ED" w:rsidRPr="00D244ED" w:rsidRDefault="00D244ED" w:rsidP="00891052">
      <w:pPr>
        <w:pStyle w:val="EndNoteBibliography"/>
        <w:spacing w:after="0" w:line="480" w:lineRule="auto"/>
        <w:ind w:left="720" w:hanging="720"/>
        <w:contextualSpacing/>
        <w:rPr>
          <w:rFonts w:ascii="Times New Roman" w:eastAsia="Times New Roman" w:hAnsi="Times New Roman" w:cs="Times New Roman"/>
          <w:sz w:val="24"/>
          <w:szCs w:val="24"/>
        </w:rPr>
      </w:pPr>
      <w:bookmarkStart w:id="9" w:name="_Hlk38297267"/>
      <w:r w:rsidRPr="00D244ED">
        <w:rPr>
          <w:rFonts w:ascii="Times New Roman" w:hAnsi="Times New Roman" w:cs="Times New Roman"/>
          <w:sz w:val="24"/>
          <w:szCs w:val="24"/>
        </w:rPr>
        <w:lastRenderedPageBreak/>
        <w:t xml:space="preserve">Durso, L.E. (2013). The relationship of internalized weight bias to weight change in treatment-seeking overweight adults. </w:t>
      </w:r>
      <w:r w:rsidRPr="00D244ED">
        <w:rPr>
          <w:rFonts w:ascii="Times New Roman" w:hAnsi="Times New Roman" w:cs="Times New Roman"/>
          <w:i/>
          <w:sz w:val="24"/>
          <w:szCs w:val="24"/>
        </w:rPr>
        <w:t>Dissertation Abstracts International: Section B: The Sciences and Engineering, 73</w:t>
      </w:r>
      <w:r w:rsidRPr="00D244ED">
        <w:rPr>
          <w:rFonts w:ascii="Times New Roman" w:hAnsi="Times New Roman" w:cs="Times New Roman"/>
          <w:sz w:val="24"/>
          <w:szCs w:val="24"/>
        </w:rPr>
        <w:t>(7-B)(E).</w:t>
      </w:r>
    </w:p>
    <w:bookmarkEnd w:id="9"/>
    <w:p w14:paraId="20A0DE22" w14:textId="76A3D0C3" w:rsidR="00A27A4F" w:rsidRDefault="00ED6F8E" w:rsidP="00A27A4F">
      <w:pPr>
        <w:pStyle w:val="EndNoteBibliography"/>
        <w:spacing w:after="0" w:line="480" w:lineRule="auto"/>
        <w:ind w:left="720" w:hanging="720"/>
        <w:contextualSpacing/>
        <w:rPr>
          <w:rFonts w:ascii="Times New Roman" w:eastAsia="Times New Roman" w:hAnsi="Times New Roman" w:cs="Times New Roman"/>
          <w:sz w:val="24"/>
          <w:szCs w:val="24"/>
        </w:rPr>
      </w:pPr>
      <w:r w:rsidRPr="00A829B3">
        <w:rPr>
          <w:rFonts w:ascii="Times New Roman" w:eastAsia="Times New Roman" w:hAnsi="Times New Roman" w:cs="Times New Roman"/>
          <w:sz w:val="24"/>
          <w:szCs w:val="24"/>
        </w:rPr>
        <w:t>Durso</w:t>
      </w:r>
      <w:r w:rsidR="00891052" w:rsidRPr="00A829B3">
        <w:rPr>
          <w:rFonts w:ascii="Times New Roman" w:eastAsia="Times New Roman" w:hAnsi="Times New Roman" w:cs="Times New Roman"/>
          <w:sz w:val="24"/>
          <w:szCs w:val="24"/>
        </w:rPr>
        <w:t>,</w:t>
      </w:r>
      <w:r w:rsidRPr="00A829B3">
        <w:rPr>
          <w:rFonts w:ascii="Times New Roman" w:eastAsia="Times New Roman" w:hAnsi="Times New Roman" w:cs="Times New Roman"/>
          <w:sz w:val="24"/>
          <w:szCs w:val="24"/>
        </w:rPr>
        <w:t xml:space="preserve"> L</w:t>
      </w:r>
      <w:r w:rsidR="00891052" w:rsidRPr="00A829B3">
        <w:rPr>
          <w:rFonts w:ascii="Times New Roman" w:eastAsia="Times New Roman" w:hAnsi="Times New Roman" w:cs="Times New Roman"/>
          <w:sz w:val="24"/>
          <w:szCs w:val="24"/>
        </w:rPr>
        <w:t>.</w:t>
      </w:r>
      <w:r w:rsidRPr="00A829B3">
        <w:rPr>
          <w:rFonts w:ascii="Times New Roman" w:eastAsia="Times New Roman" w:hAnsi="Times New Roman" w:cs="Times New Roman"/>
          <w:sz w:val="24"/>
          <w:szCs w:val="24"/>
        </w:rPr>
        <w:t>E</w:t>
      </w:r>
      <w:r w:rsidR="00891052" w:rsidRPr="00A829B3">
        <w:rPr>
          <w:rFonts w:ascii="Times New Roman" w:eastAsia="Times New Roman" w:hAnsi="Times New Roman" w:cs="Times New Roman"/>
          <w:sz w:val="24"/>
          <w:szCs w:val="24"/>
        </w:rPr>
        <w:t>.</w:t>
      </w:r>
      <w:r w:rsidRPr="00A829B3">
        <w:rPr>
          <w:rFonts w:ascii="Times New Roman" w:eastAsia="Times New Roman" w:hAnsi="Times New Roman" w:cs="Times New Roman"/>
          <w:sz w:val="24"/>
          <w:szCs w:val="24"/>
        </w:rPr>
        <w:t>, Latner</w:t>
      </w:r>
      <w:r w:rsidR="00891052" w:rsidRPr="00A829B3">
        <w:rPr>
          <w:rFonts w:ascii="Times New Roman" w:eastAsia="Times New Roman" w:hAnsi="Times New Roman" w:cs="Times New Roman"/>
          <w:sz w:val="24"/>
          <w:szCs w:val="24"/>
        </w:rPr>
        <w:t>,</w:t>
      </w:r>
      <w:r w:rsidRPr="00A829B3">
        <w:rPr>
          <w:rFonts w:ascii="Times New Roman" w:eastAsia="Times New Roman" w:hAnsi="Times New Roman" w:cs="Times New Roman"/>
          <w:sz w:val="24"/>
          <w:szCs w:val="24"/>
        </w:rPr>
        <w:t xml:space="preserve"> J</w:t>
      </w:r>
      <w:r w:rsidR="00891052" w:rsidRPr="00A829B3">
        <w:rPr>
          <w:rFonts w:ascii="Times New Roman" w:eastAsia="Times New Roman" w:hAnsi="Times New Roman" w:cs="Times New Roman"/>
          <w:sz w:val="24"/>
          <w:szCs w:val="24"/>
        </w:rPr>
        <w:t>.</w:t>
      </w:r>
      <w:r w:rsidRPr="00A829B3">
        <w:rPr>
          <w:rFonts w:ascii="Times New Roman" w:eastAsia="Times New Roman" w:hAnsi="Times New Roman" w:cs="Times New Roman"/>
          <w:sz w:val="24"/>
          <w:szCs w:val="24"/>
        </w:rPr>
        <w:t>D</w:t>
      </w:r>
      <w:r w:rsidR="00891052" w:rsidRPr="00A829B3">
        <w:rPr>
          <w:rFonts w:ascii="Times New Roman" w:eastAsia="Times New Roman" w:hAnsi="Times New Roman" w:cs="Times New Roman"/>
          <w:sz w:val="24"/>
          <w:szCs w:val="24"/>
        </w:rPr>
        <w:t>. &amp;</w:t>
      </w:r>
      <w:r w:rsidRPr="00A829B3">
        <w:rPr>
          <w:rFonts w:ascii="Times New Roman" w:eastAsia="Times New Roman" w:hAnsi="Times New Roman" w:cs="Times New Roman"/>
          <w:sz w:val="24"/>
          <w:szCs w:val="24"/>
        </w:rPr>
        <w:t xml:space="preserve"> Hayashi</w:t>
      </w:r>
      <w:r w:rsidR="00891052" w:rsidRPr="00A829B3">
        <w:rPr>
          <w:rFonts w:ascii="Times New Roman" w:eastAsia="Times New Roman" w:hAnsi="Times New Roman" w:cs="Times New Roman"/>
          <w:sz w:val="24"/>
          <w:szCs w:val="24"/>
        </w:rPr>
        <w:t>,</w:t>
      </w:r>
      <w:r w:rsidRPr="00A829B3">
        <w:rPr>
          <w:rFonts w:ascii="Times New Roman" w:eastAsia="Times New Roman" w:hAnsi="Times New Roman" w:cs="Times New Roman"/>
          <w:sz w:val="24"/>
          <w:szCs w:val="24"/>
        </w:rPr>
        <w:t xml:space="preserve"> K. </w:t>
      </w:r>
      <w:r w:rsidR="00891052" w:rsidRPr="00A829B3">
        <w:rPr>
          <w:rFonts w:ascii="Times New Roman" w:eastAsia="Times New Roman" w:hAnsi="Times New Roman" w:cs="Times New Roman"/>
          <w:sz w:val="24"/>
          <w:szCs w:val="24"/>
        </w:rPr>
        <w:t xml:space="preserve">(2012). </w:t>
      </w:r>
      <w:r w:rsidRPr="00A829B3">
        <w:rPr>
          <w:rFonts w:ascii="Times New Roman" w:eastAsia="Times New Roman" w:hAnsi="Times New Roman" w:cs="Times New Roman"/>
          <w:sz w:val="24"/>
          <w:szCs w:val="24"/>
        </w:rPr>
        <w:t xml:space="preserve">Perceived discrimination is associated with binge eating in a community sample of non-overweight, overweight, and obese adults. </w:t>
      </w:r>
      <w:r w:rsidRPr="00A829B3">
        <w:rPr>
          <w:rFonts w:ascii="Times New Roman" w:eastAsia="Times New Roman" w:hAnsi="Times New Roman" w:cs="Times New Roman"/>
          <w:i/>
          <w:sz w:val="24"/>
          <w:szCs w:val="24"/>
        </w:rPr>
        <w:t>Obesity Facts</w:t>
      </w:r>
      <w:r w:rsidR="00891052" w:rsidRPr="00A829B3">
        <w:rPr>
          <w:rFonts w:ascii="Times New Roman" w:eastAsia="Times New Roman" w:hAnsi="Times New Roman" w:cs="Times New Roman"/>
          <w:i/>
          <w:sz w:val="24"/>
          <w:szCs w:val="24"/>
        </w:rPr>
        <w:t xml:space="preserve">, </w:t>
      </w:r>
      <w:r w:rsidRPr="00A829B3">
        <w:rPr>
          <w:rFonts w:ascii="Times New Roman" w:eastAsia="Times New Roman" w:hAnsi="Times New Roman" w:cs="Times New Roman"/>
          <w:i/>
          <w:sz w:val="24"/>
          <w:szCs w:val="24"/>
        </w:rPr>
        <w:t>5</w:t>
      </w:r>
      <w:r w:rsidR="004E1272">
        <w:rPr>
          <w:rFonts w:ascii="Times New Roman" w:eastAsia="Times New Roman" w:hAnsi="Times New Roman" w:cs="Times New Roman"/>
          <w:iCs/>
          <w:sz w:val="24"/>
          <w:szCs w:val="24"/>
        </w:rPr>
        <w:t>(6)</w:t>
      </w:r>
      <w:r w:rsidR="00891052" w:rsidRPr="00A829B3">
        <w:rPr>
          <w:rFonts w:ascii="Times New Roman" w:eastAsia="Times New Roman" w:hAnsi="Times New Roman" w:cs="Times New Roman"/>
          <w:sz w:val="24"/>
          <w:szCs w:val="24"/>
        </w:rPr>
        <w:t xml:space="preserve">, </w:t>
      </w:r>
      <w:r w:rsidRPr="00A829B3">
        <w:rPr>
          <w:rFonts w:ascii="Times New Roman" w:eastAsia="Times New Roman" w:hAnsi="Times New Roman" w:cs="Times New Roman"/>
          <w:sz w:val="24"/>
          <w:szCs w:val="24"/>
        </w:rPr>
        <w:t>869-880.</w:t>
      </w:r>
    </w:p>
    <w:p w14:paraId="6DB7F55D" w14:textId="50426F49" w:rsidR="00A27A4F" w:rsidRPr="00D41A75" w:rsidRDefault="00A27A4F" w:rsidP="00891052">
      <w:pPr>
        <w:pStyle w:val="EndNoteBibliography"/>
        <w:spacing w:after="0" w:line="480" w:lineRule="auto"/>
        <w:ind w:left="720" w:hanging="720"/>
        <w:contextualSpacing/>
        <w:rPr>
          <w:rFonts w:ascii="Times New Roman" w:eastAsia="Times New Roman" w:hAnsi="Times New Roman" w:cs="Times New Roman"/>
          <w:sz w:val="24"/>
          <w:szCs w:val="24"/>
        </w:rPr>
      </w:pPr>
      <w:r w:rsidRPr="00E948B7">
        <w:rPr>
          <w:rFonts w:ascii="Times New Roman" w:hAnsi="Times New Roman" w:cs="Times New Roman"/>
          <w:sz w:val="24"/>
          <w:szCs w:val="24"/>
        </w:rPr>
        <w:t xml:space="preserve">Fledderus, M., Bohlmeijer, E. T., Pieterse, M. E., &amp; Schreurs, K. M. (2012). Acceptance and commitment therapy as guided self-help for psychological distress and positive mental health: A randomized controlled trial. </w:t>
      </w:r>
      <w:r w:rsidRPr="00E948B7">
        <w:rPr>
          <w:rFonts w:ascii="Times New Roman" w:hAnsi="Times New Roman" w:cs="Times New Roman"/>
          <w:i/>
          <w:iCs/>
          <w:sz w:val="24"/>
          <w:szCs w:val="24"/>
        </w:rPr>
        <w:t>Psychological Medicine</w:t>
      </w:r>
      <w:r w:rsidRPr="00E948B7">
        <w:rPr>
          <w:rFonts w:ascii="Times New Roman" w:hAnsi="Times New Roman" w:cs="Times New Roman"/>
          <w:sz w:val="24"/>
          <w:szCs w:val="24"/>
        </w:rPr>
        <w:t xml:space="preserve">, </w:t>
      </w:r>
      <w:r w:rsidRPr="00E948B7">
        <w:rPr>
          <w:rFonts w:ascii="Times New Roman" w:hAnsi="Times New Roman" w:cs="Times New Roman"/>
          <w:i/>
          <w:iCs/>
          <w:sz w:val="24"/>
          <w:szCs w:val="24"/>
        </w:rPr>
        <w:t>42</w:t>
      </w:r>
      <w:r w:rsidR="00DE2561">
        <w:rPr>
          <w:rFonts w:ascii="Times New Roman" w:hAnsi="Times New Roman" w:cs="Times New Roman"/>
          <w:sz w:val="24"/>
          <w:szCs w:val="24"/>
        </w:rPr>
        <w:t>(3)</w:t>
      </w:r>
      <w:r w:rsidRPr="00E948B7">
        <w:rPr>
          <w:rFonts w:ascii="Times New Roman" w:hAnsi="Times New Roman" w:cs="Times New Roman"/>
          <w:sz w:val="24"/>
          <w:szCs w:val="24"/>
        </w:rPr>
        <w:t xml:space="preserve">, 485–495. </w:t>
      </w:r>
    </w:p>
    <w:p w14:paraId="6A63B67C" w14:textId="3FD319C3" w:rsidR="00586FB5" w:rsidRPr="00A829B3" w:rsidRDefault="00586FB5" w:rsidP="00891052">
      <w:pPr>
        <w:pStyle w:val="EndNoteBibliography"/>
        <w:spacing w:after="0" w:line="480" w:lineRule="auto"/>
        <w:ind w:left="720" w:hanging="720"/>
        <w:contextualSpacing/>
        <w:rPr>
          <w:rFonts w:ascii="Times New Roman" w:eastAsia="Times New Roman" w:hAnsi="Times New Roman" w:cs="Times New Roman"/>
          <w:sz w:val="24"/>
          <w:szCs w:val="24"/>
        </w:rPr>
      </w:pPr>
      <w:r w:rsidRPr="00A829B3">
        <w:rPr>
          <w:rFonts w:ascii="Times New Roman" w:eastAsia="Times New Roman" w:hAnsi="Times New Roman" w:cs="Times New Roman"/>
          <w:sz w:val="24"/>
          <w:szCs w:val="24"/>
        </w:rPr>
        <w:t xml:space="preserve">Forman, E.M., Butryn, M.L., Manasse, S.M. &amp; Bradley, L.E. (2015). Acceptance-based behavioral treatment for weight control: a review and future directions. </w:t>
      </w:r>
      <w:r w:rsidRPr="00A829B3">
        <w:rPr>
          <w:rFonts w:ascii="Times New Roman" w:eastAsia="Times New Roman" w:hAnsi="Times New Roman" w:cs="Times New Roman"/>
          <w:i/>
          <w:sz w:val="24"/>
          <w:szCs w:val="24"/>
        </w:rPr>
        <w:t>Current Opinion in Psychology, 2</w:t>
      </w:r>
      <w:r w:rsidRPr="00A829B3">
        <w:rPr>
          <w:rFonts w:ascii="Times New Roman" w:eastAsia="Times New Roman" w:hAnsi="Times New Roman" w:cs="Times New Roman"/>
          <w:sz w:val="24"/>
          <w:szCs w:val="24"/>
        </w:rPr>
        <w:t>, 87-90</w:t>
      </w:r>
    </w:p>
    <w:p w14:paraId="6AA8F91C" w14:textId="5599512B" w:rsidR="00A576DD" w:rsidRPr="00A829B3" w:rsidRDefault="00A576DD" w:rsidP="00A576DD">
      <w:pPr>
        <w:tabs>
          <w:tab w:val="left" w:pos="720"/>
        </w:tabs>
        <w:spacing w:line="480" w:lineRule="auto"/>
        <w:ind w:left="720" w:hanging="720"/>
        <w:contextualSpacing/>
        <w:rPr>
          <w:iCs/>
        </w:rPr>
      </w:pPr>
      <w:r w:rsidRPr="00A829B3">
        <w:t xml:space="preserve">Francis, A.W., Dawson, D.L. &amp; </w:t>
      </w:r>
      <w:proofErr w:type="spellStart"/>
      <w:r w:rsidRPr="00A829B3">
        <w:t>Golijani</w:t>
      </w:r>
      <w:proofErr w:type="spellEnd"/>
      <w:r w:rsidRPr="00A829B3">
        <w:t>-Moghaddam, N. (2016). The development and validation of the comprehensive assessment of acceptance and commitment therapy processes (</w:t>
      </w:r>
      <w:proofErr w:type="spellStart"/>
      <w:r w:rsidRPr="00A829B3">
        <w:t>CompACT</w:t>
      </w:r>
      <w:proofErr w:type="spellEnd"/>
      <w:r w:rsidRPr="00A829B3">
        <w:t xml:space="preserve">). </w:t>
      </w:r>
      <w:r w:rsidRPr="00A829B3">
        <w:rPr>
          <w:i/>
        </w:rPr>
        <w:t>Journal of Contextual Behavioral Science, 5</w:t>
      </w:r>
      <w:r w:rsidR="00DE2561">
        <w:rPr>
          <w:iCs/>
        </w:rPr>
        <w:t>(3)</w:t>
      </w:r>
      <w:r w:rsidRPr="00A829B3">
        <w:t>, 134-145</w:t>
      </w:r>
      <w:r w:rsidRPr="00A829B3">
        <w:rPr>
          <w:i/>
        </w:rPr>
        <w:t>.</w:t>
      </w:r>
    </w:p>
    <w:p w14:paraId="6C3FD552" w14:textId="7A2FF829" w:rsidR="00D63A19" w:rsidRDefault="000F1C7D" w:rsidP="00D63A19">
      <w:pPr>
        <w:spacing w:line="480" w:lineRule="auto"/>
        <w:ind w:left="720" w:hanging="720"/>
      </w:pPr>
      <w:r w:rsidRPr="00A829B3">
        <w:t xml:space="preserve">Hayes, S. C., </w:t>
      </w:r>
      <w:proofErr w:type="spellStart"/>
      <w:r w:rsidRPr="00A829B3">
        <w:t>Strosahl</w:t>
      </w:r>
      <w:proofErr w:type="spellEnd"/>
      <w:r w:rsidRPr="00A829B3">
        <w:t>, K. D., &amp; Wilson, K. G. (201</w:t>
      </w:r>
      <w:r w:rsidR="00521D84">
        <w:t>2</w:t>
      </w:r>
      <w:r w:rsidRPr="00A829B3">
        <w:t xml:space="preserve">). </w:t>
      </w:r>
      <w:r w:rsidRPr="00A829B3">
        <w:rPr>
          <w:i/>
          <w:iCs/>
        </w:rPr>
        <w:t xml:space="preserve">Acceptance and Commitment Therapy: The process and practice of mindful change. </w:t>
      </w:r>
      <w:r w:rsidRPr="00A829B3">
        <w:t>New York: The Guilford Press.</w:t>
      </w:r>
    </w:p>
    <w:p w14:paraId="63B20FFE" w14:textId="1B9F1F94" w:rsidR="00242505" w:rsidRDefault="00D63A19" w:rsidP="00242505">
      <w:pPr>
        <w:spacing w:line="480" w:lineRule="auto"/>
        <w:ind w:left="720" w:hanging="720"/>
        <w:rPr>
          <w:color w:val="222222"/>
          <w:shd w:val="clear" w:color="auto" w:fill="FFFFFF"/>
        </w:rPr>
      </w:pPr>
      <w:proofErr w:type="spellStart"/>
      <w:r w:rsidRPr="00E948B7">
        <w:rPr>
          <w:color w:val="222222"/>
          <w:shd w:val="clear" w:color="auto" w:fill="FFFFFF"/>
        </w:rPr>
        <w:t>Kalarchian</w:t>
      </w:r>
      <w:proofErr w:type="spellEnd"/>
      <w:r w:rsidRPr="00E948B7">
        <w:rPr>
          <w:color w:val="222222"/>
          <w:shd w:val="clear" w:color="auto" w:fill="FFFFFF"/>
        </w:rPr>
        <w:t>, M. A., Wilson, G. T., Brolin, R. E., &amp; Bradley, L. (2000). Assessment of eating disorders in bariatric surgery candidates: Self</w:t>
      </w:r>
      <w:r w:rsidR="00370557">
        <w:rPr>
          <w:color w:val="222222"/>
          <w:shd w:val="clear" w:color="auto" w:fill="FFFFFF"/>
        </w:rPr>
        <w:t>-</w:t>
      </w:r>
      <w:r w:rsidRPr="00E948B7">
        <w:rPr>
          <w:color w:val="222222"/>
          <w:shd w:val="clear" w:color="auto" w:fill="FFFFFF"/>
        </w:rPr>
        <w:t>report questionnaire versus interview. </w:t>
      </w:r>
      <w:r w:rsidRPr="00E948B7">
        <w:rPr>
          <w:i/>
          <w:iCs/>
          <w:color w:val="222222"/>
          <w:shd w:val="clear" w:color="auto" w:fill="FFFFFF"/>
        </w:rPr>
        <w:t>International Journal of Eating Disorders</w:t>
      </w:r>
      <w:r w:rsidRPr="00E948B7">
        <w:rPr>
          <w:color w:val="222222"/>
          <w:shd w:val="clear" w:color="auto" w:fill="FFFFFF"/>
        </w:rPr>
        <w:t>, </w:t>
      </w:r>
      <w:r w:rsidRPr="00E948B7">
        <w:rPr>
          <w:i/>
          <w:iCs/>
          <w:color w:val="222222"/>
          <w:shd w:val="clear" w:color="auto" w:fill="FFFFFF"/>
        </w:rPr>
        <w:t>28</w:t>
      </w:r>
      <w:r w:rsidR="00DE2561">
        <w:rPr>
          <w:color w:val="222222"/>
          <w:shd w:val="clear" w:color="auto" w:fill="FFFFFF"/>
        </w:rPr>
        <w:t>(4)</w:t>
      </w:r>
      <w:r w:rsidRPr="00E948B7">
        <w:rPr>
          <w:color w:val="222222"/>
          <w:shd w:val="clear" w:color="auto" w:fill="FFFFFF"/>
        </w:rPr>
        <w:t>, 465-469.</w:t>
      </w:r>
    </w:p>
    <w:p w14:paraId="181DB0E1" w14:textId="41165014" w:rsidR="0066664F" w:rsidRPr="00A829B3" w:rsidRDefault="0066664F" w:rsidP="009B1CBD">
      <w:pPr>
        <w:spacing w:line="480" w:lineRule="auto"/>
        <w:ind w:left="720" w:hanging="720"/>
      </w:pPr>
      <w:r w:rsidRPr="00A829B3">
        <w:t xml:space="preserve">Levin, M.E., Krafft, J. &amp; Levin, C. (2018). Does self-help increase rates of help seeking for student mental health problems by minimizing stigma as a barrier? </w:t>
      </w:r>
      <w:r w:rsidRPr="00A829B3">
        <w:rPr>
          <w:i/>
        </w:rPr>
        <w:t>Journal of American College Health, 66</w:t>
      </w:r>
      <w:r w:rsidR="00C32039">
        <w:rPr>
          <w:iCs/>
        </w:rPr>
        <w:t>(4)</w:t>
      </w:r>
      <w:r w:rsidRPr="00A829B3">
        <w:rPr>
          <w:i/>
        </w:rPr>
        <w:t xml:space="preserve">, </w:t>
      </w:r>
      <w:r w:rsidRPr="00A829B3">
        <w:t>302-309</w:t>
      </w:r>
      <w:r w:rsidRPr="00A829B3">
        <w:rPr>
          <w:i/>
        </w:rPr>
        <w:t>.</w:t>
      </w:r>
    </w:p>
    <w:p w14:paraId="3B644F93" w14:textId="77777777" w:rsidR="009B1CBD" w:rsidRPr="00A829B3" w:rsidRDefault="009B1CBD" w:rsidP="009B1CBD">
      <w:pPr>
        <w:spacing w:line="480" w:lineRule="auto"/>
        <w:ind w:left="720" w:hanging="720"/>
        <w:rPr>
          <w:i/>
        </w:rPr>
      </w:pPr>
      <w:r w:rsidRPr="00A829B3">
        <w:rPr>
          <w:color w:val="131413"/>
        </w:rPr>
        <w:lastRenderedPageBreak/>
        <w:t xml:space="preserve">Lillis, J., Dahl, J., &amp; </w:t>
      </w:r>
      <w:proofErr w:type="spellStart"/>
      <w:r w:rsidRPr="00A829B3">
        <w:rPr>
          <w:color w:val="131413"/>
        </w:rPr>
        <w:t>Weineland</w:t>
      </w:r>
      <w:proofErr w:type="spellEnd"/>
      <w:r w:rsidRPr="00A829B3">
        <w:rPr>
          <w:color w:val="131413"/>
        </w:rPr>
        <w:t xml:space="preserve">, S. (2014). </w:t>
      </w:r>
      <w:r w:rsidRPr="00A829B3">
        <w:rPr>
          <w:i/>
          <w:color w:val="131413"/>
        </w:rPr>
        <w:t>The diet trap: Feed your psychological needs and end the weight loss struggle using acceptance and commitment therapy</w:t>
      </w:r>
      <w:r w:rsidRPr="00A829B3">
        <w:rPr>
          <w:color w:val="131413"/>
        </w:rPr>
        <w:t>. Oakland: New Harbinger Publications.</w:t>
      </w:r>
    </w:p>
    <w:p w14:paraId="124D8290" w14:textId="26491EBB" w:rsidR="009B1CBD" w:rsidRPr="00BE26C8" w:rsidRDefault="009B1CBD" w:rsidP="009B1CBD">
      <w:pPr>
        <w:spacing w:line="480" w:lineRule="auto"/>
        <w:ind w:left="720" w:hanging="720"/>
        <w:rPr>
          <w:i/>
        </w:rPr>
      </w:pPr>
      <w:r w:rsidRPr="00A829B3">
        <w:rPr>
          <w:color w:val="131413"/>
        </w:rPr>
        <w:t>Lillis J. &amp; Hayes S.C. (2008). Measuring avoidance and inflexibility i</w:t>
      </w:r>
      <w:r w:rsidRPr="00BE26C8">
        <w:rPr>
          <w:color w:val="131413"/>
        </w:rPr>
        <w:t xml:space="preserve">n weight-related problems. </w:t>
      </w:r>
      <w:r w:rsidRPr="00BE26C8">
        <w:rPr>
          <w:i/>
          <w:color w:val="131413"/>
        </w:rPr>
        <w:t>International Journal of Behavioral Consultation and Training, 4</w:t>
      </w:r>
      <w:r w:rsidR="00063254">
        <w:rPr>
          <w:iCs/>
          <w:color w:val="131413"/>
        </w:rPr>
        <w:t>(1)</w:t>
      </w:r>
      <w:r w:rsidRPr="00BE26C8">
        <w:rPr>
          <w:color w:val="131413"/>
        </w:rPr>
        <w:t>, 30</w:t>
      </w:r>
      <w:r w:rsidRPr="00BE26C8">
        <w:rPr>
          <w:rFonts w:eastAsia="AdvTT3713a231+20"/>
          <w:color w:val="131413"/>
        </w:rPr>
        <w:t>–</w:t>
      </w:r>
      <w:r w:rsidRPr="00BE26C8">
        <w:rPr>
          <w:color w:val="131413"/>
        </w:rPr>
        <w:t>40.</w:t>
      </w:r>
    </w:p>
    <w:p w14:paraId="70C4725D" w14:textId="55B57E90" w:rsidR="009B1CBD" w:rsidRPr="00BE26C8" w:rsidRDefault="009B1CBD" w:rsidP="009B1CBD">
      <w:pPr>
        <w:spacing w:line="480" w:lineRule="auto"/>
        <w:ind w:left="720" w:hanging="720"/>
      </w:pPr>
      <w:r w:rsidRPr="00BE26C8">
        <w:t xml:space="preserve">Lillis, J., Hayes, S. C., Bunting, K., &amp; Masuda, A. (2009). Teaching acceptance and mindfulness to improve the lives of the obese: A preliminary test of a theoretical model. </w:t>
      </w:r>
      <w:r w:rsidRPr="00BE26C8">
        <w:rPr>
          <w:i/>
        </w:rPr>
        <w:t>Annals of Behavioral Medicine, 37</w:t>
      </w:r>
      <w:r w:rsidR="00063254">
        <w:rPr>
          <w:iCs/>
        </w:rPr>
        <w:t>(1)</w:t>
      </w:r>
      <w:r w:rsidRPr="00BE26C8">
        <w:t xml:space="preserve">, 58-69. </w:t>
      </w:r>
    </w:p>
    <w:p w14:paraId="74334A7E" w14:textId="0AE3CC60" w:rsidR="00586FB5" w:rsidRPr="00BE26C8" w:rsidRDefault="00586FB5" w:rsidP="009B1CBD">
      <w:pPr>
        <w:spacing w:line="480" w:lineRule="auto"/>
        <w:ind w:left="720" w:hanging="720"/>
      </w:pPr>
      <w:r w:rsidRPr="00BE26C8">
        <w:t xml:space="preserve">Lillis, J. &amp; Kendra, D.E. (2014). Acceptance and commitment therapy for weight control: Model, </w:t>
      </w:r>
      <w:proofErr w:type="gramStart"/>
      <w:r w:rsidRPr="00BE26C8">
        <w:t>evidence</w:t>
      </w:r>
      <w:proofErr w:type="gramEnd"/>
      <w:r w:rsidRPr="00BE26C8">
        <w:t xml:space="preserve"> and future directions. </w:t>
      </w:r>
      <w:r w:rsidRPr="00BE26C8">
        <w:rPr>
          <w:i/>
        </w:rPr>
        <w:t>Journal of Contextual Behavioral Science, 3</w:t>
      </w:r>
      <w:r w:rsidR="00063254">
        <w:rPr>
          <w:iCs/>
        </w:rPr>
        <w:t>(1)</w:t>
      </w:r>
      <w:r w:rsidRPr="00BE26C8">
        <w:t>, 1-7.</w:t>
      </w:r>
    </w:p>
    <w:p w14:paraId="4DB854A2" w14:textId="0D087961" w:rsidR="00287929" w:rsidRDefault="009B1CBD" w:rsidP="00287929">
      <w:pPr>
        <w:spacing w:line="480" w:lineRule="auto"/>
        <w:ind w:left="720" w:hanging="720"/>
        <w:rPr>
          <w:noProof/>
        </w:rPr>
      </w:pPr>
      <w:r w:rsidRPr="00BE26C8">
        <w:rPr>
          <w:noProof/>
        </w:rPr>
        <w:t xml:space="preserve">Lillis, J., Luoma, J., Levin, M., &amp; Hayes, S. C. (2010). Measuring weight self stigma: The Weight Stigma Questionnaire. </w:t>
      </w:r>
      <w:r w:rsidRPr="00BE26C8">
        <w:rPr>
          <w:i/>
          <w:noProof/>
        </w:rPr>
        <w:t>Obesity, 18</w:t>
      </w:r>
      <w:r w:rsidR="00DB7652">
        <w:rPr>
          <w:iCs/>
          <w:noProof/>
        </w:rPr>
        <w:t>(5)</w:t>
      </w:r>
      <w:r w:rsidRPr="00BE26C8">
        <w:rPr>
          <w:noProof/>
        </w:rPr>
        <w:t>, 971-976.</w:t>
      </w:r>
    </w:p>
    <w:p w14:paraId="6D4C3513" w14:textId="428B37A6" w:rsidR="00287929" w:rsidRDefault="00287929" w:rsidP="00287929">
      <w:pPr>
        <w:spacing w:line="480" w:lineRule="auto"/>
        <w:ind w:left="720" w:hanging="720"/>
      </w:pPr>
      <w:r w:rsidRPr="00C47743">
        <w:t>Lillis, J., Thomas, J.G., Levin, M.E. &amp; Wing, R.R. (</w:t>
      </w:r>
      <w:r w:rsidR="00E828E2">
        <w:t>2020</w:t>
      </w:r>
      <w:r w:rsidRPr="00C47743">
        <w:t xml:space="preserve">). Self-stigma and weight loss: The impact of fear of being stigmatized. </w:t>
      </w:r>
      <w:r w:rsidRPr="00C47743">
        <w:rPr>
          <w:i/>
        </w:rPr>
        <w:t>Journal of Health Psychology</w:t>
      </w:r>
      <w:r w:rsidR="009D2F5E" w:rsidRPr="00C832B2">
        <w:t xml:space="preserve">, </w:t>
      </w:r>
      <w:r w:rsidR="009D2F5E">
        <w:rPr>
          <w:i/>
        </w:rPr>
        <w:t>25</w:t>
      </w:r>
      <w:r w:rsidR="009D2F5E">
        <w:t>(7), 922-930</w:t>
      </w:r>
      <w:r w:rsidRPr="00C47743">
        <w:t>.</w:t>
      </w:r>
    </w:p>
    <w:p w14:paraId="332C42CE" w14:textId="71E2AEB2" w:rsidR="00287929" w:rsidRDefault="00287929" w:rsidP="00287929">
      <w:pPr>
        <w:spacing w:line="480" w:lineRule="auto"/>
        <w:ind w:left="720" w:hanging="720"/>
        <w:rPr>
          <w:noProof/>
        </w:rPr>
      </w:pPr>
      <w:r w:rsidRPr="00C47743">
        <w:rPr>
          <w:noProof/>
        </w:rPr>
        <w:t xml:space="preserve">Loveman, E., Frampton, G. K., Shepherd, J., Picot, J., Cooper, K., Bryant, J., . . . Clegg, A. (2011). The clinical effectiveness and cost-effectiveness of long-term weight management schemes for adults: </w:t>
      </w:r>
      <w:r w:rsidR="003A7EBC">
        <w:rPr>
          <w:noProof/>
        </w:rPr>
        <w:t>A</w:t>
      </w:r>
      <w:r w:rsidRPr="00C47743">
        <w:rPr>
          <w:noProof/>
        </w:rPr>
        <w:t xml:space="preserve"> systematic review. </w:t>
      </w:r>
      <w:r w:rsidRPr="00C47743">
        <w:rPr>
          <w:i/>
          <w:noProof/>
        </w:rPr>
        <w:t>Health Technology Assessment, 15</w:t>
      </w:r>
      <w:r w:rsidR="009D2F5E" w:rsidRPr="00C832B2">
        <w:rPr>
          <w:noProof/>
        </w:rPr>
        <w:t>, 1-182</w:t>
      </w:r>
      <w:r w:rsidRPr="009D2F5E">
        <w:rPr>
          <w:noProof/>
        </w:rPr>
        <w:t>.</w:t>
      </w:r>
    </w:p>
    <w:p w14:paraId="2E4D7A6E" w14:textId="19F20F5C" w:rsidR="00287929" w:rsidRDefault="00287929" w:rsidP="000475C7">
      <w:pPr>
        <w:spacing w:line="480" w:lineRule="auto"/>
        <w:ind w:left="720" w:hanging="720"/>
        <w:rPr>
          <w:noProof/>
        </w:rPr>
      </w:pPr>
      <w:r w:rsidRPr="00C47743">
        <w:rPr>
          <w:noProof/>
        </w:rPr>
        <w:t xml:space="preserve">MacLean, P. S., Wing, R. R., Davidson, T., Epstein, L., Goodpaster, B., Hall, K. D., . . . Ryan, D. (2015). NIH Working Group </w:t>
      </w:r>
      <w:r w:rsidR="00EC2FBB">
        <w:rPr>
          <w:noProof/>
        </w:rPr>
        <w:t>R</w:t>
      </w:r>
      <w:r w:rsidRPr="00C47743">
        <w:rPr>
          <w:noProof/>
        </w:rPr>
        <w:t xml:space="preserve">eport: Innovative </w:t>
      </w:r>
      <w:r w:rsidR="003A7EBC">
        <w:rPr>
          <w:noProof/>
        </w:rPr>
        <w:t>r</w:t>
      </w:r>
      <w:r w:rsidRPr="00C47743">
        <w:rPr>
          <w:noProof/>
        </w:rPr>
        <w:t xml:space="preserve">esearch to </w:t>
      </w:r>
      <w:r w:rsidR="003A7EBC">
        <w:rPr>
          <w:noProof/>
        </w:rPr>
        <w:t>i</w:t>
      </w:r>
      <w:r w:rsidRPr="00C47743">
        <w:rPr>
          <w:noProof/>
        </w:rPr>
        <w:t xml:space="preserve">mprove </w:t>
      </w:r>
      <w:r w:rsidR="003A7EBC">
        <w:rPr>
          <w:noProof/>
        </w:rPr>
        <w:t>m</w:t>
      </w:r>
      <w:r w:rsidRPr="00C47743">
        <w:rPr>
          <w:noProof/>
        </w:rPr>
        <w:t xml:space="preserve">aintenance of </w:t>
      </w:r>
      <w:r w:rsidR="003A7EBC">
        <w:rPr>
          <w:noProof/>
        </w:rPr>
        <w:t>w</w:t>
      </w:r>
      <w:r w:rsidRPr="00C47743">
        <w:rPr>
          <w:noProof/>
        </w:rPr>
        <w:t xml:space="preserve">eight </w:t>
      </w:r>
      <w:r w:rsidR="003A7EBC">
        <w:rPr>
          <w:noProof/>
        </w:rPr>
        <w:t>l</w:t>
      </w:r>
      <w:r w:rsidRPr="00C47743">
        <w:rPr>
          <w:noProof/>
        </w:rPr>
        <w:t xml:space="preserve">oss. </w:t>
      </w:r>
      <w:r w:rsidRPr="00C47743">
        <w:rPr>
          <w:i/>
          <w:noProof/>
        </w:rPr>
        <w:t xml:space="preserve">Obesity, </w:t>
      </w:r>
      <w:r w:rsidRPr="00C832B2">
        <w:rPr>
          <w:iCs/>
          <w:noProof/>
        </w:rPr>
        <w:t>23</w:t>
      </w:r>
      <w:r w:rsidR="003A7EBC">
        <w:rPr>
          <w:iCs/>
          <w:noProof/>
        </w:rPr>
        <w:t>(</w:t>
      </w:r>
      <w:r w:rsidR="003A7EBC" w:rsidRPr="003A7EBC">
        <w:rPr>
          <w:iCs/>
          <w:noProof/>
        </w:rPr>
        <w:t>1</w:t>
      </w:r>
      <w:r w:rsidR="003A7EBC">
        <w:rPr>
          <w:iCs/>
          <w:noProof/>
        </w:rPr>
        <w:t>)</w:t>
      </w:r>
      <w:r w:rsidRPr="00C47743">
        <w:rPr>
          <w:noProof/>
        </w:rPr>
        <w:t>, 7-15.</w:t>
      </w:r>
    </w:p>
    <w:p w14:paraId="0325E7B1" w14:textId="6EDA32A8" w:rsidR="00D244ED" w:rsidRPr="00D244ED" w:rsidRDefault="00D244ED" w:rsidP="00D244ED">
      <w:pPr>
        <w:spacing w:line="480" w:lineRule="auto"/>
        <w:ind w:left="720" w:hanging="720"/>
        <w:rPr>
          <w:noProof/>
        </w:rPr>
      </w:pPr>
      <w:bookmarkStart w:id="10" w:name="_Hlk38297295"/>
      <w:proofErr w:type="spellStart"/>
      <w:r w:rsidRPr="00D244ED">
        <w:lastRenderedPageBreak/>
        <w:t>Mensinger</w:t>
      </w:r>
      <w:proofErr w:type="spellEnd"/>
      <w:r>
        <w:t>,</w:t>
      </w:r>
      <w:r w:rsidRPr="00D244ED">
        <w:t xml:space="preserve"> J</w:t>
      </w:r>
      <w:r>
        <w:t>.</w:t>
      </w:r>
      <w:r w:rsidRPr="00D244ED">
        <w:t>L</w:t>
      </w:r>
      <w:r>
        <w:t>.</w:t>
      </w:r>
      <w:r w:rsidRPr="00D244ED">
        <w:t xml:space="preserve">, </w:t>
      </w:r>
      <w:proofErr w:type="spellStart"/>
      <w:r w:rsidRPr="00D244ED">
        <w:t>Calogero</w:t>
      </w:r>
      <w:proofErr w:type="spellEnd"/>
      <w:r>
        <w:t>,</w:t>
      </w:r>
      <w:r w:rsidRPr="00D244ED">
        <w:t xml:space="preserve"> R</w:t>
      </w:r>
      <w:r>
        <w:t>.</w:t>
      </w:r>
      <w:r w:rsidRPr="00D244ED">
        <w:t>M</w:t>
      </w:r>
      <w:r>
        <w:t>. &amp;</w:t>
      </w:r>
      <w:r w:rsidRPr="00D244ED">
        <w:t xml:space="preserve"> </w:t>
      </w:r>
      <w:proofErr w:type="spellStart"/>
      <w:r w:rsidRPr="00D244ED">
        <w:t>Tylka</w:t>
      </w:r>
      <w:proofErr w:type="spellEnd"/>
      <w:r>
        <w:t>,</w:t>
      </w:r>
      <w:r w:rsidRPr="00D244ED">
        <w:t xml:space="preserve"> T</w:t>
      </w:r>
      <w:r>
        <w:t>.</w:t>
      </w:r>
      <w:r w:rsidRPr="00D244ED">
        <w:t>L.</w:t>
      </w:r>
      <w:r>
        <w:t xml:space="preserve"> (2016).</w:t>
      </w:r>
      <w:r w:rsidRPr="00D244ED">
        <w:t xml:space="preserve"> Internalized weight stigma moderates eating behavior outcomes in women with high BMI participating in a healthy living program. </w:t>
      </w:r>
      <w:r w:rsidRPr="00D244ED">
        <w:rPr>
          <w:i/>
        </w:rPr>
        <w:t>Appetite</w:t>
      </w:r>
      <w:r w:rsidR="0024420C">
        <w:t>,</w:t>
      </w:r>
      <w:r w:rsidRPr="00D244ED">
        <w:t xml:space="preserve"> </w:t>
      </w:r>
      <w:r w:rsidRPr="00D244ED">
        <w:rPr>
          <w:i/>
        </w:rPr>
        <w:t>102</w:t>
      </w:r>
      <w:r>
        <w:t xml:space="preserve">, </w:t>
      </w:r>
      <w:r w:rsidRPr="00D244ED">
        <w:t>32–43.</w:t>
      </w:r>
    </w:p>
    <w:p w14:paraId="2CFD0E9A" w14:textId="55A31611" w:rsidR="00D244ED" w:rsidRPr="00D244ED" w:rsidRDefault="00D244ED" w:rsidP="00D244ED">
      <w:pPr>
        <w:spacing w:line="480" w:lineRule="auto"/>
        <w:ind w:left="720" w:hanging="720"/>
        <w:rPr>
          <w:noProof/>
        </w:rPr>
      </w:pPr>
      <w:proofErr w:type="spellStart"/>
      <w:r w:rsidRPr="00D244ED">
        <w:t>Mensinger</w:t>
      </w:r>
      <w:proofErr w:type="spellEnd"/>
      <w:r>
        <w:t>,</w:t>
      </w:r>
      <w:r w:rsidRPr="00D244ED">
        <w:t xml:space="preserve"> J</w:t>
      </w:r>
      <w:r>
        <w:t>.</w:t>
      </w:r>
      <w:r w:rsidRPr="00D244ED">
        <w:t>L</w:t>
      </w:r>
      <w:r>
        <w:t xml:space="preserve">. &amp; </w:t>
      </w:r>
      <w:r w:rsidRPr="00D244ED">
        <w:t>Meadows</w:t>
      </w:r>
      <w:r>
        <w:t>,</w:t>
      </w:r>
      <w:r w:rsidRPr="00D244ED">
        <w:t xml:space="preserve"> A.</w:t>
      </w:r>
      <w:r>
        <w:t xml:space="preserve"> (2017).</w:t>
      </w:r>
      <w:r w:rsidRPr="00D244ED">
        <w:t xml:space="preserve"> Internalized weight stigma mediates and moderates physical activity outcomes during a healthy liv</w:t>
      </w:r>
      <w:r>
        <w:t>ing program for women w</w:t>
      </w:r>
      <w:r w:rsidRPr="00D244ED">
        <w:t>i</w:t>
      </w:r>
      <w:r>
        <w:t>t</w:t>
      </w:r>
      <w:r w:rsidRPr="00D244ED">
        <w:t xml:space="preserve">h high body mass index. </w:t>
      </w:r>
      <w:r w:rsidRPr="00D244ED">
        <w:rPr>
          <w:i/>
        </w:rPr>
        <w:t>Psychology of Sport and Exercise, 30</w:t>
      </w:r>
      <w:r w:rsidRPr="00D244ED">
        <w:t>, 64-72</w:t>
      </w:r>
      <w:r>
        <w:t>.</w:t>
      </w:r>
    </w:p>
    <w:bookmarkEnd w:id="10"/>
    <w:p w14:paraId="0F3A979F" w14:textId="1A8846E9" w:rsidR="009B1CBD" w:rsidRPr="00BE26C8" w:rsidRDefault="009B1CBD" w:rsidP="009B1CBD">
      <w:pPr>
        <w:spacing w:line="480" w:lineRule="auto"/>
        <w:ind w:left="720" w:hanging="720"/>
      </w:pPr>
      <w:r w:rsidRPr="00BE26C8">
        <w:t xml:space="preserve">Mohr, D.C., </w:t>
      </w:r>
      <w:proofErr w:type="spellStart"/>
      <w:r w:rsidRPr="00BE26C8">
        <w:t>Cuijpers</w:t>
      </w:r>
      <w:proofErr w:type="spellEnd"/>
      <w:r w:rsidRPr="00BE26C8">
        <w:t xml:space="preserve">, P., &amp; Lehman, K. (2011). Supportive accountability: A model for providing support to enhance adherence to eHealth interventions. </w:t>
      </w:r>
      <w:r w:rsidRPr="00BE26C8">
        <w:rPr>
          <w:i/>
          <w:iCs/>
        </w:rPr>
        <w:t>Journal of Medical Internet Research, 13</w:t>
      </w:r>
      <w:r w:rsidR="00EC2FBB">
        <w:t>(1)</w:t>
      </w:r>
      <w:r w:rsidRPr="00BE26C8">
        <w:rPr>
          <w:i/>
          <w:iCs/>
        </w:rPr>
        <w:t xml:space="preserve">, </w:t>
      </w:r>
      <w:r w:rsidRPr="00BE26C8">
        <w:t>e30.</w:t>
      </w:r>
    </w:p>
    <w:p w14:paraId="042A3B19" w14:textId="77777777" w:rsidR="008741F8" w:rsidRDefault="00891052" w:rsidP="008741F8">
      <w:pPr>
        <w:tabs>
          <w:tab w:val="left" w:pos="720"/>
        </w:tabs>
        <w:spacing w:line="480" w:lineRule="auto"/>
        <w:ind w:left="720" w:hanging="720"/>
        <w:contextualSpacing/>
      </w:pPr>
      <w:r w:rsidRPr="00BE26C8">
        <w:t xml:space="preserve">O'Brien, K.S., </w:t>
      </w:r>
      <w:proofErr w:type="spellStart"/>
      <w:r w:rsidRPr="00BE26C8">
        <w:t>Latner</w:t>
      </w:r>
      <w:proofErr w:type="spellEnd"/>
      <w:r w:rsidRPr="00BE26C8">
        <w:t xml:space="preserve">, J.D., </w:t>
      </w:r>
      <w:proofErr w:type="spellStart"/>
      <w:r w:rsidRPr="00BE26C8">
        <w:t>Puhl</w:t>
      </w:r>
      <w:proofErr w:type="spellEnd"/>
      <w:r w:rsidRPr="00BE26C8">
        <w:t xml:space="preserve">, R.M., </w:t>
      </w:r>
      <w:proofErr w:type="spellStart"/>
      <w:r w:rsidRPr="00BE26C8">
        <w:t>Vartanian</w:t>
      </w:r>
      <w:proofErr w:type="spellEnd"/>
      <w:r w:rsidRPr="00BE26C8">
        <w:t xml:space="preserve">, L.R., Giles, C., </w:t>
      </w:r>
      <w:proofErr w:type="spellStart"/>
      <w:r w:rsidRPr="00BE26C8">
        <w:t>Griva</w:t>
      </w:r>
      <w:proofErr w:type="spellEnd"/>
      <w:r w:rsidRPr="00BE26C8">
        <w:t xml:space="preserve">, K. &amp; Carter, A. (2016). The relationship between weight stigma and eating behavior is explained by weight bias internalization and psychological distress. </w:t>
      </w:r>
      <w:r w:rsidRPr="00BE26C8">
        <w:rPr>
          <w:i/>
        </w:rPr>
        <w:t>Appetite, 102</w:t>
      </w:r>
      <w:r w:rsidRPr="00BE26C8">
        <w:t>, 70-76.</w:t>
      </w:r>
    </w:p>
    <w:p w14:paraId="272A7F04" w14:textId="40F14D2B" w:rsidR="008741F8" w:rsidRPr="00BE26C8" w:rsidRDefault="008741F8" w:rsidP="008741F8">
      <w:pPr>
        <w:tabs>
          <w:tab w:val="left" w:pos="720"/>
        </w:tabs>
        <w:spacing w:line="480" w:lineRule="auto"/>
        <w:ind w:left="720" w:hanging="720"/>
        <w:contextualSpacing/>
      </w:pPr>
      <w:r>
        <w:t>Ong, C.W., Lee, E.B.</w:t>
      </w:r>
      <w:r w:rsidRPr="008741F8">
        <w:t xml:space="preserve">, Levin, M.E. &amp; Twohig, M.P. (2019). A review of AAQ variants and other context-specific measures of psychological flexibility. </w:t>
      </w:r>
      <w:r w:rsidRPr="008741F8">
        <w:rPr>
          <w:i/>
        </w:rPr>
        <w:t xml:space="preserve">Journal of Contextual Behavioral Science, 12, </w:t>
      </w:r>
      <w:r w:rsidRPr="008741F8">
        <w:t>329-346</w:t>
      </w:r>
      <w:r w:rsidRPr="008741F8">
        <w:rPr>
          <w:i/>
        </w:rPr>
        <w:t>.</w:t>
      </w:r>
    </w:p>
    <w:p w14:paraId="5B32FF7B" w14:textId="1DEB34CD" w:rsidR="00966355" w:rsidRPr="00BE26C8" w:rsidRDefault="00966355" w:rsidP="00891052">
      <w:pPr>
        <w:tabs>
          <w:tab w:val="left" w:pos="720"/>
        </w:tabs>
        <w:spacing w:line="480" w:lineRule="auto"/>
        <w:ind w:left="720" w:hanging="720"/>
        <w:contextualSpacing/>
      </w:pPr>
      <w:proofErr w:type="spellStart"/>
      <w:r w:rsidRPr="00BE26C8">
        <w:t>Palmeira</w:t>
      </w:r>
      <w:proofErr w:type="spellEnd"/>
      <w:r w:rsidRPr="00BE26C8">
        <w:t xml:space="preserve">, L., Pinto-Gouveia, J. &amp; Cunha, M. (2017). Exploring the efficacy of an acceptance, mindfulness &amp; compassionate-based group intervention for women struggling with their weight (Kg-Free): A randomized controlled trial. </w:t>
      </w:r>
      <w:r w:rsidRPr="00BE26C8">
        <w:rPr>
          <w:i/>
        </w:rPr>
        <w:t>Appetite, 112</w:t>
      </w:r>
      <w:r w:rsidRPr="00BE26C8">
        <w:t>, 107-116.</w:t>
      </w:r>
    </w:p>
    <w:p w14:paraId="2D6370B2" w14:textId="296244B1" w:rsidR="00462A25" w:rsidRPr="00BE26C8" w:rsidRDefault="00462A25" w:rsidP="009B1CBD">
      <w:pPr>
        <w:spacing w:line="480" w:lineRule="auto"/>
        <w:ind w:left="720" w:hanging="720"/>
      </w:pPr>
      <w:bookmarkStart w:id="11" w:name="_Hlk38297345"/>
      <w:r w:rsidRPr="00BE26C8">
        <w:t xml:space="preserve">Pearl, R. L., &amp; </w:t>
      </w:r>
      <w:proofErr w:type="spellStart"/>
      <w:r w:rsidRPr="00BE26C8">
        <w:t>Puhl</w:t>
      </w:r>
      <w:proofErr w:type="spellEnd"/>
      <w:r w:rsidRPr="00BE26C8">
        <w:t xml:space="preserve">, R. M. (2018). Weight bias internalization and health: </w:t>
      </w:r>
      <w:r w:rsidR="008F3531">
        <w:t>A</w:t>
      </w:r>
      <w:r w:rsidRPr="00BE26C8">
        <w:t xml:space="preserve"> systemati</w:t>
      </w:r>
      <w:r w:rsidR="00891052" w:rsidRPr="00BE26C8">
        <w:t xml:space="preserve">c review. </w:t>
      </w:r>
      <w:r w:rsidR="00891052" w:rsidRPr="00BE26C8">
        <w:rPr>
          <w:i/>
        </w:rPr>
        <w:t xml:space="preserve">Obesity </w:t>
      </w:r>
      <w:r w:rsidR="008F3531">
        <w:rPr>
          <w:i/>
        </w:rPr>
        <w:t>R</w:t>
      </w:r>
      <w:r w:rsidR="00891052" w:rsidRPr="00BE26C8">
        <w:rPr>
          <w:i/>
        </w:rPr>
        <w:t>eviews, 19</w:t>
      </w:r>
      <w:r w:rsidR="008F3531">
        <w:rPr>
          <w:iCs/>
        </w:rPr>
        <w:t>(8)</w:t>
      </w:r>
      <w:r w:rsidRPr="00BE26C8">
        <w:t>, 1141-1163.</w:t>
      </w:r>
    </w:p>
    <w:bookmarkEnd w:id="11"/>
    <w:p w14:paraId="0C3B99A7" w14:textId="7D28CBF6" w:rsidR="00ED6F8E" w:rsidRPr="00BE26C8" w:rsidRDefault="00ED6F8E" w:rsidP="009B1CBD">
      <w:pPr>
        <w:spacing w:line="480" w:lineRule="auto"/>
        <w:ind w:left="720" w:hanging="720"/>
      </w:pPr>
      <w:proofErr w:type="spellStart"/>
      <w:r w:rsidRPr="00BE26C8">
        <w:t>Puhl</w:t>
      </w:r>
      <w:proofErr w:type="spellEnd"/>
      <w:r w:rsidRPr="00BE26C8">
        <w:t xml:space="preserve">, R.M. &amp; Heuer, C.A. (2010). Obesity stigma: Important considerations for public health. </w:t>
      </w:r>
      <w:r w:rsidRPr="00BE26C8">
        <w:rPr>
          <w:i/>
          <w:iCs/>
        </w:rPr>
        <w:t>American Journal of Public Health</w:t>
      </w:r>
      <w:r w:rsidRPr="00BE26C8">
        <w:t xml:space="preserve">, </w:t>
      </w:r>
      <w:r w:rsidRPr="00BE26C8">
        <w:rPr>
          <w:i/>
        </w:rPr>
        <w:t>100</w:t>
      </w:r>
      <w:r w:rsidR="008F3531">
        <w:rPr>
          <w:iCs/>
        </w:rPr>
        <w:t>(6)</w:t>
      </w:r>
      <w:r w:rsidRPr="00BE26C8">
        <w:t>, 1019-1028.</w:t>
      </w:r>
    </w:p>
    <w:p w14:paraId="645C1089" w14:textId="5C16E681" w:rsidR="00ED6F8E" w:rsidRPr="00BE26C8" w:rsidRDefault="00A74A33" w:rsidP="00ED6F8E">
      <w:pPr>
        <w:spacing w:line="480" w:lineRule="auto"/>
        <w:ind w:left="720" w:hanging="720"/>
      </w:pPr>
      <w:bookmarkStart w:id="12" w:name="_Hlk38297332"/>
      <w:proofErr w:type="spellStart"/>
      <w:r w:rsidRPr="00BE26C8">
        <w:lastRenderedPageBreak/>
        <w:t>Puhl</w:t>
      </w:r>
      <w:proofErr w:type="spellEnd"/>
      <w:r w:rsidRPr="00BE26C8">
        <w:t xml:space="preserve">, R.M., Himmelstein, M.S. &amp; Quinn, D.M. (2018). Internalizing weight stigma: Prevalence and sociodemographic considerations in US adults. </w:t>
      </w:r>
      <w:r w:rsidRPr="00BE26C8">
        <w:rPr>
          <w:i/>
        </w:rPr>
        <w:t>Obesity</w:t>
      </w:r>
      <w:r w:rsidRPr="00BE26C8">
        <w:t xml:space="preserve">, </w:t>
      </w:r>
      <w:r w:rsidRPr="00BE26C8">
        <w:rPr>
          <w:i/>
        </w:rPr>
        <w:t>26</w:t>
      </w:r>
      <w:r w:rsidRPr="00BE26C8">
        <w:t>, 167-175.</w:t>
      </w:r>
    </w:p>
    <w:bookmarkEnd w:id="12"/>
    <w:p w14:paraId="52EFD447" w14:textId="2B7585E8" w:rsidR="00D63A19" w:rsidRDefault="009B1CBD" w:rsidP="00D63A19">
      <w:pPr>
        <w:spacing w:line="480" w:lineRule="auto"/>
        <w:ind w:left="720" w:hanging="720"/>
      </w:pPr>
      <w:r w:rsidRPr="00BE26C8">
        <w:t xml:space="preserve">Pinto, A.M., Fava, J.L., Raynor, H.A., LaRose, J.G., &amp; Wing, R.R. (2013). Development and validation of the weight control strategies scale. </w:t>
      </w:r>
      <w:r w:rsidRPr="00BE26C8">
        <w:rPr>
          <w:i/>
        </w:rPr>
        <w:t>Obesity, 2</w:t>
      </w:r>
      <w:r w:rsidR="00143C40">
        <w:rPr>
          <w:i/>
        </w:rPr>
        <w:t>6</w:t>
      </w:r>
      <w:r w:rsidR="00143C40">
        <w:rPr>
          <w:iCs/>
        </w:rPr>
        <w:t>(1)</w:t>
      </w:r>
      <w:r w:rsidRPr="00BE26C8">
        <w:rPr>
          <w:i/>
        </w:rPr>
        <w:t xml:space="preserve">, </w:t>
      </w:r>
      <w:r w:rsidRPr="00BE26C8">
        <w:t>2429-2436.</w:t>
      </w:r>
    </w:p>
    <w:p w14:paraId="6D633D05" w14:textId="442C2117" w:rsidR="009865DF" w:rsidRDefault="00D63A19" w:rsidP="009865DF">
      <w:pPr>
        <w:spacing w:line="480" w:lineRule="auto"/>
        <w:ind w:left="720" w:hanging="720"/>
        <w:rPr>
          <w:color w:val="222222"/>
          <w:shd w:val="clear" w:color="auto" w:fill="FFFFFF"/>
        </w:rPr>
      </w:pPr>
      <w:proofErr w:type="spellStart"/>
      <w:r w:rsidRPr="00E948B7">
        <w:rPr>
          <w:color w:val="222222"/>
          <w:shd w:val="clear" w:color="auto" w:fill="FFFFFF"/>
        </w:rPr>
        <w:t>Reas</w:t>
      </w:r>
      <w:proofErr w:type="spellEnd"/>
      <w:r w:rsidRPr="00E948B7">
        <w:rPr>
          <w:color w:val="222222"/>
          <w:shd w:val="clear" w:color="auto" w:fill="FFFFFF"/>
        </w:rPr>
        <w:t xml:space="preserve">, D. L., </w:t>
      </w:r>
      <w:proofErr w:type="spellStart"/>
      <w:r w:rsidRPr="00E948B7">
        <w:rPr>
          <w:color w:val="222222"/>
          <w:shd w:val="clear" w:color="auto" w:fill="FFFFFF"/>
        </w:rPr>
        <w:t>Grilo</w:t>
      </w:r>
      <w:proofErr w:type="spellEnd"/>
      <w:r w:rsidRPr="00E948B7">
        <w:rPr>
          <w:color w:val="222222"/>
          <w:shd w:val="clear" w:color="auto" w:fill="FFFFFF"/>
        </w:rPr>
        <w:t xml:space="preserve">, C. M., &amp; </w:t>
      </w:r>
      <w:proofErr w:type="spellStart"/>
      <w:r w:rsidRPr="00E948B7">
        <w:rPr>
          <w:color w:val="222222"/>
          <w:shd w:val="clear" w:color="auto" w:fill="FFFFFF"/>
        </w:rPr>
        <w:t>Masheb</w:t>
      </w:r>
      <w:proofErr w:type="spellEnd"/>
      <w:r w:rsidRPr="00E948B7">
        <w:rPr>
          <w:color w:val="222222"/>
          <w:shd w:val="clear" w:color="auto" w:fill="FFFFFF"/>
        </w:rPr>
        <w:t>, R. M. (2006). Reliability of the Eating Disorder Examination-Questionnaire in patients with binge eating disorder. </w:t>
      </w:r>
      <w:proofErr w:type="spellStart"/>
      <w:r w:rsidRPr="00E948B7">
        <w:rPr>
          <w:i/>
          <w:iCs/>
          <w:color w:val="222222"/>
          <w:shd w:val="clear" w:color="auto" w:fill="FFFFFF"/>
        </w:rPr>
        <w:t>Behaviour</w:t>
      </w:r>
      <w:proofErr w:type="spellEnd"/>
      <w:r w:rsidRPr="00E948B7">
        <w:rPr>
          <w:i/>
          <w:iCs/>
          <w:color w:val="222222"/>
          <w:shd w:val="clear" w:color="auto" w:fill="FFFFFF"/>
        </w:rPr>
        <w:t xml:space="preserve"> Research and Therapy</w:t>
      </w:r>
      <w:r w:rsidRPr="00E948B7">
        <w:rPr>
          <w:color w:val="222222"/>
          <w:shd w:val="clear" w:color="auto" w:fill="FFFFFF"/>
        </w:rPr>
        <w:t>, </w:t>
      </w:r>
      <w:r w:rsidRPr="00E948B7">
        <w:rPr>
          <w:i/>
          <w:iCs/>
          <w:color w:val="222222"/>
          <w:shd w:val="clear" w:color="auto" w:fill="FFFFFF"/>
        </w:rPr>
        <w:t>44</w:t>
      </w:r>
      <w:r w:rsidR="00B8445A">
        <w:rPr>
          <w:color w:val="222222"/>
          <w:shd w:val="clear" w:color="auto" w:fill="FFFFFF"/>
        </w:rPr>
        <w:t>(1)</w:t>
      </w:r>
      <w:r w:rsidRPr="00E948B7">
        <w:rPr>
          <w:color w:val="222222"/>
          <w:shd w:val="clear" w:color="auto" w:fill="FFFFFF"/>
        </w:rPr>
        <w:t>, 43-51.</w:t>
      </w:r>
    </w:p>
    <w:p w14:paraId="50F2155B" w14:textId="569EF1D1" w:rsidR="009865DF" w:rsidRPr="00E948B7" w:rsidRDefault="009865DF" w:rsidP="009B1CBD">
      <w:pPr>
        <w:spacing w:line="480" w:lineRule="auto"/>
        <w:ind w:left="720" w:hanging="720"/>
        <w:rPr>
          <w:color w:val="222222"/>
          <w:shd w:val="clear" w:color="auto" w:fill="FFFFFF"/>
        </w:rPr>
      </w:pPr>
      <w:proofErr w:type="spellStart"/>
      <w:r>
        <w:t>Sallis</w:t>
      </w:r>
      <w:proofErr w:type="spellEnd"/>
      <w:r>
        <w:t xml:space="preserve">, J. F., &amp; </w:t>
      </w:r>
      <w:proofErr w:type="spellStart"/>
      <w:r>
        <w:t>Saelens</w:t>
      </w:r>
      <w:proofErr w:type="spellEnd"/>
      <w:r>
        <w:t xml:space="preserve">, B. E. (2000). Assessment of physical activity by self-report: Status, limitations, and future directions. </w:t>
      </w:r>
      <w:r>
        <w:rPr>
          <w:i/>
          <w:iCs/>
        </w:rPr>
        <w:t>Research Quarterly for Exercise and Sport</w:t>
      </w:r>
      <w:r>
        <w:t xml:space="preserve">, </w:t>
      </w:r>
      <w:r>
        <w:rPr>
          <w:i/>
          <w:iCs/>
        </w:rPr>
        <w:t>71</w:t>
      </w:r>
      <w:r w:rsidR="00B8445A">
        <w:t>(2)</w:t>
      </w:r>
      <w:r>
        <w:t>, 1</w:t>
      </w:r>
      <w:r w:rsidR="009D2F5E">
        <w:t>-</w:t>
      </w:r>
      <w:r>
        <w:t>14. https://doi.org/10.1080/02701367.2000.11082780</w:t>
      </w:r>
    </w:p>
    <w:p w14:paraId="3F180CD7" w14:textId="18B15DFD" w:rsidR="00D478D5" w:rsidRPr="00BE26C8" w:rsidRDefault="00D478D5" w:rsidP="009B1CBD">
      <w:pPr>
        <w:spacing w:line="480" w:lineRule="auto"/>
        <w:ind w:left="720" w:hanging="720"/>
      </w:pPr>
      <w:r w:rsidRPr="00BE26C8">
        <w:t xml:space="preserve">Schumacher, L.M., Godfrey, K.M., Forman, E.M. &amp; </w:t>
      </w:r>
      <w:proofErr w:type="spellStart"/>
      <w:r w:rsidRPr="00BE26C8">
        <w:t>Butryn</w:t>
      </w:r>
      <w:proofErr w:type="spellEnd"/>
      <w:r w:rsidRPr="00BE26C8">
        <w:t xml:space="preserve">, M.L. (2019). Change in domain-specific but not general psychological flexibility relates to greater weight loss in acceptance-based behavioral treatment for obesity. </w:t>
      </w:r>
      <w:r w:rsidRPr="007505F9">
        <w:rPr>
          <w:i/>
        </w:rPr>
        <w:t>Journal of Contextual Behavioral Science, 12</w:t>
      </w:r>
      <w:r w:rsidRPr="00BE26C8">
        <w:t>, 59-65.</w:t>
      </w:r>
    </w:p>
    <w:p w14:paraId="241BB87B" w14:textId="71F6190F" w:rsidR="0041340C" w:rsidRPr="00BE26C8" w:rsidRDefault="0041340C" w:rsidP="009B1CBD">
      <w:pPr>
        <w:spacing w:line="480" w:lineRule="auto"/>
        <w:ind w:left="720" w:hanging="720"/>
      </w:pPr>
      <w:r w:rsidRPr="00BE26C8">
        <w:t>Tomiyama</w:t>
      </w:r>
      <w:r w:rsidR="00891052" w:rsidRPr="00BE26C8">
        <w:t>,</w:t>
      </w:r>
      <w:r w:rsidRPr="00BE26C8">
        <w:t xml:space="preserve"> A</w:t>
      </w:r>
      <w:r w:rsidR="00891052" w:rsidRPr="00BE26C8">
        <w:t>.</w:t>
      </w:r>
      <w:r w:rsidRPr="00BE26C8">
        <w:t>J.</w:t>
      </w:r>
      <w:r w:rsidR="00891052" w:rsidRPr="00BE26C8">
        <w:t xml:space="preserve"> (2014).</w:t>
      </w:r>
      <w:r w:rsidRPr="00BE26C8">
        <w:t xml:space="preserve"> Weight stigma is stressful. A review of evidence for the Cyclic Obesity/Weight-Based Stigma model. </w:t>
      </w:r>
      <w:r w:rsidRPr="00BE26C8">
        <w:rPr>
          <w:i/>
        </w:rPr>
        <w:t>Appetite</w:t>
      </w:r>
      <w:r w:rsidR="00891052" w:rsidRPr="00BE26C8">
        <w:t xml:space="preserve">, </w:t>
      </w:r>
      <w:r w:rsidRPr="00BE26C8">
        <w:rPr>
          <w:i/>
        </w:rPr>
        <w:t>82</w:t>
      </w:r>
      <w:r w:rsidR="00891052" w:rsidRPr="00BE26C8">
        <w:t xml:space="preserve">, </w:t>
      </w:r>
      <w:r w:rsidRPr="00BE26C8">
        <w:t>8-15.</w:t>
      </w:r>
    </w:p>
    <w:p w14:paraId="0783C159" w14:textId="1449494B" w:rsidR="00462A25" w:rsidRPr="00BE26C8" w:rsidRDefault="009B1CBD" w:rsidP="009B1CBD">
      <w:pPr>
        <w:spacing w:line="480" w:lineRule="auto"/>
        <w:ind w:left="720" w:hanging="720"/>
      </w:pPr>
      <w:r w:rsidRPr="00BE26C8">
        <w:t xml:space="preserve">Van </w:t>
      </w:r>
      <w:proofErr w:type="spellStart"/>
      <w:r w:rsidRPr="00BE26C8">
        <w:t>Strien</w:t>
      </w:r>
      <w:proofErr w:type="spellEnd"/>
      <w:r w:rsidRPr="00BE26C8">
        <w:t xml:space="preserve">, T., </w:t>
      </w:r>
      <w:proofErr w:type="spellStart"/>
      <w:r w:rsidRPr="00BE26C8">
        <w:t>Fritjers</w:t>
      </w:r>
      <w:proofErr w:type="spellEnd"/>
      <w:r w:rsidRPr="00BE26C8">
        <w:t xml:space="preserve">, J.E.R., </w:t>
      </w:r>
      <w:proofErr w:type="spellStart"/>
      <w:r w:rsidRPr="00BE26C8">
        <w:t>Bergers</w:t>
      </w:r>
      <w:proofErr w:type="spellEnd"/>
      <w:r w:rsidRPr="00BE26C8">
        <w:t xml:space="preserve">, G.P.A., &amp; </w:t>
      </w:r>
      <w:proofErr w:type="spellStart"/>
      <w:r w:rsidRPr="00BE26C8">
        <w:t>Defares</w:t>
      </w:r>
      <w:proofErr w:type="spellEnd"/>
      <w:r w:rsidRPr="00BE26C8">
        <w:t xml:space="preserve">, P.B. (1986). The </w:t>
      </w:r>
      <w:r w:rsidR="00B8445A">
        <w:t>D</w:t>
      </w:r>
      <w:r w:rsidRPr="00BE26C8">
        <w:t xml:space="preserve">utch </w:t>
      </w:r>
      <w:r w:rsidR="00B8445A">
        <w:t>E</w:t>
      </w:r>
      <w:r w:rsidRPr="00BE26C8">
        <w:t xml:space="preserve">ating </w:t>
      </w:r>
      <w:r w:rsidR="00B8445A">
        <w:t>B</w:t>
      </w:r>
      <w:r w:rsidRPr="00BE26C8">
        <w:t xml:space="preserve">ehavior </w:t>
      </w:r>
      <w:r w:rsidR="00B8445A">
        <w:t>Q</w:t>
      </w:r>
      <w:r w:rsidRPr="00BE26C8">
        <w:t xml:space="preserve">uestionnaire (DEBQ) for assessment of restrained, emotional, and external eating behavior. </w:t>
      </w:r>
      <w:r w:rsidRPr="00BE26C8">
        <w:rPr>
          <w:i/>
        </w:rPr>
        <w:t>International Journal of Eating Disorders, 5</w:t>
      </w:r>
      <w:r w:rsidR="00B8445A">
        <w:rPr>
          <w:iCs/>
        </w:rPr>
        <w:t>(2)</w:t>
      </w:r>
      <w:r w:rsidRPr="00BE26C8">
        <w:t>, 295-315.</w:t>
      </w:r>
    </w:p>
    <w:p w14:paraId="52232C24" w14:textId="77777777" w:rsidR="00462A25" w:rsidRDefault="00462A25" w:rsidP="00462A25">
      <w:r>
        <w:br w:type="page"/>
      </w:r>
    </w:p>
    <w:p w14:paraId="5EBC368B" w14:textId="77777777" w:rsidR="00162E29" w:rsidRPr="00C832B2" w:rsidRDefault="00BA3FB6" w:rsidP="00C832B2">
      <w:pPr>
        <w:rPr>
          <w:b/>
          <w:bCs/>
        </w:rPr>
      </w:pPr>
      <w:r w:rsidRPr="00C832B2">
        <w:rPr>
          <w:b/>
          <w:bCs/>
        </w:rPr>
        <w:lastRenderedPageBreak/>
        <w:t>Table 1</w:t>
      </w:r>
    </w:p>
    <w:p w14:paraId="280E8A1D" w14:textId="77777777" w:rsidR="00ED6A9C" w:rsidRDefault="00ED6A9C" w:rsidP="00486CE7">
      <w:pPr>
        <w:rPr>
          <w:i/>
          <w:iCs/>
        </w:rPr>
      </w:pPr>
    </w:p>
    <w:p w14:paraId="22E89AB6" w14:textId="1578AD2F" w:rsidR="00BA3FB6" w:rsidRDefault="00BA3FB6" w:rsidP="00486CE7">
      <w:pPr>
        <w:rPr>
          <w:i/>
          <w:iCs/>
        </w:rPr>
      </w:pPr>
      <w:r w:rsidRPr="00C832B2">
        <w:rPr>
          <w:i/>
          <w:iCs/>
        </w:rPr>
        <w:t xml:space="preserve">Participant </w:t>
      </w:r>
      <w:r w:rsidR="00162E29">
        <w:rPr>
          <w:i/>
          <w:iCs/>
        </w:rPr>
        <w:t>D</w:t>
      </w:r>
      <w:r w:rsidRPr="00C832B2">
        <w:rPr>
          <w:i/>
          <w:iCs/>
        </w:rPr>
        <w:t xml:space="preserve">emographics by </w:t>
      </w:r>
      <w:r w:rsidR="00162E29">
        <w:rPr>
          <w:i/>
          <w:iCs/>
        </w:rPr>
        <w:t>C</w:t>
      </w:r>
      <w:r w:rsidRPr="00C832B2">
        <w:rPr>
          <w:i/>
          <w:iCs/>
        </w:rPr>
        <w:t>ondition</w:t>
      </w:r>
    </w:p>
    <w:p w14:paraId="0D21CEB4" w14:textId="77777777" w:rsidR="00ED6A9C" w:rsidRPr="00C832B2" w:rsidRDefault="00ED6A9C" w:rsidP="00C832B2">
      <w:pPr>
        <w:rPr>
          <w:i/>
          <w:iCs/>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90"/>
        <w:gridCol w:w="1890"/>
        <w:gridCol w:w="1890"/>
      </w:tblGrid>
      <w:tr w:rsidR="00813C08" w14:paraId="7B3A09B0" w14:textId="77777777" w:rsidTr="00C832B2">
        <w:tc>
          <w:tcPr>
            <w:tcW w:w="3780" w:type="dxa"/>
            <w:tcBorders>
              <w:top w:val="single" w:sz="4" w:space="0" w:color="auto"/>
              <w:bottom w:val="single" w:sz="4" w:space="0" w:color="auto"/>
            </w:tcBorders>
          </w:tcPr>
          <w:p w14:paraId="3FCE9C78" w14:textId="77777777" w:rsidR="00813C08" w:rsidRPr="00AF2A94" w:rsidRDefault="00813C08" w:rsidP="00AF2A94">
            <w:pPr>
              <w:contextualSpacing/>
              <w:rPr>
                <w:sz w:val="22"/>
                <w:szCs w:val="22"/>
              </w:rPr>
            </w:pPr>
            <w:r w:rsidRPr="00AF2A94">
              <w:rPr>
                <w:sz w:val="22"/>
                <w:szCs w:val="22"/>
              </w:rPr>
              <w:t>Measure</w:t>
            </w:r>
          </w:p>
        </w:tc>
        <w:tc>
          <w:tcPr>
            <w:tcW w:w="1890" w:type="dxa"/>
            <w:tcBorders>
              <w:top w:val="single" w:sz="4" w:space="0" w:color="auto"/>
              <w:bottom w:val="single" w:sz="4" w:space="0" w:color="auto"/>
            </w:tcBorders>
          </w:tcPr>
          <w:p w14:paraId="74558C25" w14:textId="7996EA2C" w:rsidR="00813C08" w:rsidRPr="00C44EE7" w:rsidRDefault="00C44EE7" w:rsidP="00C832B2">
            <w:pPr>
              <w:contextualSpacing/>
              <w:jc w:val="center"/>
              <w:rPr>
                <w:sz w:val="22"/>
                <w:szCs w:val="22"/>
              </w:rPr>
            </w:pPr>
            <w:r w:rsidRPr="00C44EE7">
              <w:rPr>
                <w:sz w:val="22"/>
                <w:szCs w:val="22"/>
              </w:rPr>
              <w:t>GSH-P</w:t>
            </w:r>
            <w:r w:rsidRPr="00C44EE7">
              <w:rPr>
                <w:i/>
                <w:sz w:val="22"/>
                <w:szCs w:val="22"/>
              </w:rPr>
              <w:t xml:space="preserve"> M </w:t>
            </w:r>
            <w:r w:rsidRPr="00C44EE7">
              <w:rPr>
                <w:sz w:val="22"/>
                <w:szCs w:val="22"/>
              </w:rPr>
              <w:t>(</w:t>
            </w:r>
            <w:r w:rsidRPr="00C44EE7">
              <w:rPr>
                <w:i/>
                <w:sz w:val="22"/>
                <w:szCs w:val="22"/>
              </w:rPr>
              <w:t>SD</w:t>
            </w:r>
            <w:r w:rsidRPr="00C44EE7">
              <w:rPr>
                <w:sz w:val="22"/>
                <w:szCs w:val="22"/>
              </w:rPr>
              <w:t>)/%</w:t>
            </w:r>
          </w:p>
        </w:tc>
        <w:tc>
          <w:tcPr>
            <w:tcW w:w="1890" w:type="dxa"/>
            <w:tcBorders>
              <w:top w:val="single" w:sz="4" w:space="0" w:color="auto"/>
              <w:bottom w:val="single" w:sz="4" w:space="0" w:color="auto"/>
            </w:tcBorders>
          </w:tcPr>
          <w:p w14:paraId="23AC4678" w14:textId="482E89C9" w:rsidR="00813C08" w:rsidRPr="00C44EE7" w:rsidRDefault="00C44EE7" w:rsidP="00C832B2">
            <w:pPr>
              <w:contextualSpacing/>
              <w:jc w:val="center"/>
              <w:rPr>
                <w:sz w:val="22"/>
                <w:szCs w:val="22"/>
              </w:rPr>
            </w:pPr>
            <w:r w:rsidRPr="00C44EE7">
              <w:rPr>
                <w:sz w:val="22"/>
                <w:szCs w:val="22"/>
              </w:rPr>
              <w:t>GSH-E</w:t>
            </w:r>
            <w:r w:rsidRPr="00C44EE7">
              <w:rPr>
                <w:i/>
                <w:sz w:val="22"/>
                <w:szCs w:val="22"/>
              </w:rPr>
              <w:t xml:space="preserve"> </w:t>
            </w:r>
            <w:r w:rsidR="00813C08" w:rsidRPr="00C44EE7">
              <w:rPr>
                <w:i/>
                <w:sz w:val="22"/>
                <w:szCs w:val="22"/>
              </w:rPr>
              <w:t xml:space="preserve">M </w:t>
            </w:r>
            <w:r w:rsidR="00813C08" w:rsidRPr="00C44EE7">
              <w:rPr>
                <w:sz w:val="22"/>
                <w:szCs w:val="22"/>
              </w:rPr>
              <w:t>(</w:t>
            </w:r>
            <w:r w:rsidR="00813C08" w:rsidRPr="00C44EE7">
              <w:rPr>
                <w:i/>
                <w:sz w:val="22"/>
                <w:szCs w:val="22"/>
              </w:rPr>
              <w:t>SD</w:t>
            </w:r>
            <w:r w:rsidR="00813C08" w:rsidRPr="00C44EE7">
              <w:rPr>
                <w:sz w:val="22"/>
                <w:szCs w:val="22"/>
              </w:rPr>
              <w:t>)/%</w:t>
            </w:r>
          </w:p>
        </w:tc>
        <w:tc>
          <w:tcPr>
            <w:tcW w:w="1890" w:type="dxa"/>
            <w:tcBorders>
              <w:top w:val="single" w:sz="4" w:space="0" w:color="auto"/>
              <w:bottom w:val="single" w:sz="4" w:space="0" w:color="auto"/>
            </w:tcBorders>
          </w:tcPr>
          <w:p w14:paraId="70B55AF9" w14:textId="6C4741BF" w:rsidR="00813C08" w:rsidRPr="00AF2A94" w:rsidRDefault="00C44EE7" w:rsidP="004C5EE8">
            <w:pPr>
              <w:contextualSpacing/>
              <w:jc w:val="center"/>
              <w:rPr>
                <w:sz w:val="22"/>
                <w:szCs w:val="22"/>
              </w:rPr>
            </w:pPr>
            <w:r>
              <w:rPr>
                <w:sz w:val="22"/>
                <w:szCs w:val="22"/>
              </w:rPr>
              <w:t xml:space="preserve">Waitlist </w:t>
            </w:r>
            <w:r w:rsidR="00813C08" w:rsidRPr="00AF2A94">
              <w:rPr>
                <w:i/>
                <w:sz w:val="22"/>
                <w:szCs w:val="22"/>
              </w:rPr>
              <w:t xml:space="preserve">M </w:t>
            </w:r>
            <w:r w:rsidR="00813C08" w:rsidRPr="00AF2A94">
              <w:rPr>
                <w:sz w:val="22"/>
                <w:szCs w:val="22"/>
              </w:rPr>
              <w:t>(</w:t>
            </w:r>
            <w:r w:rsidR="00813C08" w:rsidRPr="00AF2A94">
              <w:rPr>
                <w:i/>
                <w:sz w:val="22"/>
                <w:szCs w:val="22"/>
              </w:rPr>
              <w:t>SD</w:t>
            </w:r>
            <w:r w:rsidR="00813C08" w:rsidRPr="00AF2A94">
              <w:rPr>
                <w:sz w:val="22"/>
                <w:szCs w:val="22"/>
              </w:rPr>
              <w:t>)/%</w:t>
            </w:r>
          </w:p>
        </w:tc>
      </w:tr>
      <w:tr w:rsidR="00813C08" w14:paraId="37054CEC" w14:textId="77777777" w:rsidTr="00D7264B">
        <w:tc>
          <w:tcPr>
            <w:tcW w:w="3780" w:type="dxa"/>
            <w:tcBorders>
              <w:top w:val="single" w:sz="4" w:space="0" w:color="auto"/>
            </w:tcBorders>
          </w:tcPr>
          <w:p w14:paraId="7C92A73C" w14:textId="1EACED47" w:rsidR="00813C08" w:rsidRPr="00AF2A94" w:rsidRDefault="00813C08" w:rsidP="00AF2A94">
            <w:pPr>
              <w:contextualSpacing/>
              <w:rPr>
                <w:sz w:val="22"/>
                <w:szCs w:val="22"/>
              </w:rPr>
            </w:pPr>
            <w:r w:rsidRPr="00AF2A94">
              <w:rPr>
                <w:sz w:val="22"/>
                <w:szCs w:val="22"/>
              </w:rPr>
              <w:t>Age</w:t>
            </w:r>
          </w:p>
          <w:p w14:paraId="2126A435" w14:textId="77777777" w:rsidR="00813C08" w:rsidRPr="00AF2A94" w:rsidRDefault="00813C08" w:rsidP="00AF2A94">
            <w:pPr>
              <w:contextualSpacing/>
              <w:rPr>
                <w:sz w:val="22"/>
                <w:szCs w:val="22"/>
              </w:rPr>
            </w:pPr>
          </w:p>
        </w:tc>
        <w:tc>
          <w:tcPr>
            <w:tcW w:w="1890" w:type="dxa"/>
            <w:tcBorders>
              <w:top w:val="single" w:sz="4" w:space="0" w:color="auto"/>
            </w:tcBorders>
          </w:tcPr>
          <w:p w14:paraId="6D5CA4BD" w14:textId="3560EAB8" w:rsidR="00813C08" w:rsidRPr="00AF2A94" w:rsidRDefault="00DD5127" w:rsidP="00C832B2">
            <w:pPr>
              <w:contextualSpacing/>
              <w:jc w:val="center"/>
              <w:rPr>
                <w:sz w:val="22"/>
                <w:szCs w:val="22"/>
              </w:rPr>
            </w:pPr>
            <w:r w:rsidRPr="00AF2A94">
              <w:rPr>
                <w:sz w:val="22"/>
                <w:szCs w:val="22"/>
              </w:rPr>
              <w:t>37.44 (12.52)</w:t>
            </w:r>
          </w:p>
        </w:tc>
        <w:tc>
          <w:tcPr>
            <w:tcW w:w="1890" w:type="dxa"/>
            <w:tcBorders>
              <w:top w:val="single" w:sz="4" w:space="0" w:color="auto"/>
            </w:tcBorders>
          </w:tcPr>
          <w:p w14:paraId="10662C29" w14:textId="0C7D2D06" w:rsidR="00813C08" w:rsidRPr="00AF2A94" w:rsidRDefault="00DD5127" w:rsidP="00C832B2">
            <w:pPr>
              <w:contextualSpacing/>
              <w:jc w:val="center"/>
              <w:rPr>
                <w:sz w:val="22"/>
                <w:szCs w:val="22"/>
              </w:rPr>
            </w:pPr>
            <w:r w:rsidRPr="00AF2A94">
              <w:rPr>
                <w:sz w:val="22"/>
                <w:szCs w:val="22"/>
              </w:rPr>
              <w:t>35.85 (20)</w:t>
            </w:r>
          </w:p>
        </w:tc>
        <w:tc>
          <w:tcPr>
            <w:tcW w:w="1890" w:type="dxa"/>
            <w:tcBorders>
              <w:top w:val="single" w:sz="4" w:space="0" w:color="auto"/>
            </w:tcBorders>
          </w:tcPr>
          <w:p w14:paraId="5203E813" w14:textId="7A979D76" w:rsidR="00813C08" w:rsidRPr="00AF2A94" w:rsidRDefault="00DD5127" w:rsidP="00C832B2">
            <w:pPr>
              <w:contextualSpacing/>
              <w:jc w:val="center"/>
              <w:rPr>
                <w:sz w:val="22"/>
                <w:szCs w:val="22"/>
              </w:rPr>
            </w:pPr>
            <w:r w:rsidRPr="00AF2A94">
              <w:rPr>
                <w:sz w:val="22"/>
                <w:szCs w:val="22"/>
              </w:rPr>
              <w:t>42.83 (11.55)</w:t>
            </w:r>
          </w:p>
        </w:tc>
      </w:tr>
      <w:tr w:rsidR="00813C08" w14:paraId="44C5A53E" w14:textId="77777777" w:rsidTr="00D7264B">
        <w:tc>
          <w:tcPr>
            <w:tcW w:w="3780" w:type="dxa"/>
          </w:tcPr>
          <w:p w14:paraId="72917188" w14:textId="06960B15" w:rsidR="00813C08" w:rsidRPr="00AF2A94" w:rsidRDefault="00813C08" w:rsidP="00AF2A94">
            <w:pPr>
              <w:contextualSpacing/>
              <w:rPr>
                <w:sz w:val="22"/>
                <w:szCs w:val="22"/>
              </w:rPr>
            </w:pPr>
            <w:r w:rsidRPr="00AF2A94">
              <w:rPr>
                <w:sz w:val="22"/>
                <w:szCs w:val="22"/>
              </w:rPr>
              <w:t>Gender</w:t>
            </w:r>
          </w:p>
          <w:p w14:paraId="4533CA2B" w14:textId="649E704A" w:rsidR="000653CC" w:rsidRPr="00AF2A94" w:rsidRDefault="000653CC" w:rsidP="00D7264B">
            <w:pPr>
              <w:contextualSpacing/>
              <w:rPr>
                <w:i/>
                <w:iCs/>
                <w:sz w:val="22"/>
                <w:szCs w:val="22"/>
              </w:rPr>
            </w:pPr>
            <w:r w:rsidRPr="00AF2A94">
              <w:rPr>
                <w:i/>
                <w:iCs/>
                <w:sz w:val="22"/>
                <w:szCs w:val="22"/>
              </w:rPr>
              <w:t>Female</w:t>
            </w:r>
          </w:p>
          <w:p w14:paraId="2D46C1FE" w14:textId="77DC8B8E" w:rsidR="000653CC" w:rsidRPr="00AF2A94" w:rsidRDefault="000653CC" w:rsidP="00D7264B">
            <w:pPr>
              <w:contextualSpacing/>
              <w:rPr>
                <w:i/>
                <w:iCs/>
                <w:sz w:val="22"/>
                <w:szCs w:val="22"/>
              </w:rPr>
            </w:pPr>
            <w:r w:rsidRPr="00AF2A94">
              <w:rPr>
                <w:i/>
                <w:iCs/>
                <w:sz w:val="22"/>
                <w:szCs w:val="22"/>
              </w:rPr>
              <w:t>Male</w:t>
            </w:r>
          </w:p>
          <w:p w14:paraId="50BD5B0D" w14:textId="77777777" w:rsidR="00813C08" w:rsidRPr="00AF2A94" w:rsidRDefault="00813C08" w:rsidP="00AF2A94">
            <w:pPr>
              <w:contextualSpacing/>
              <w:rPr>
                <w:sz w:val="22"/>
                <w:szCs w:val="22"/>
              </w:rPr>
            </w:pPr>
          </w:p>
        </w:tc>
        <w:tc>
          <w:tcPr>
            <w:tcW w:w="1890" w:type="dxa"/>
          </w:tcPr>
          <w:p w14:paraId="07845EE2" w14:textId="77777777" w:rsidR="00813C08" w:rsidRPr="00AF2A94" w:rsidRDefault="00813C08" w:rsidP="00C832B2">
            <w:pPr>
              <w:contextualSpacing/>
              <w:jc w:val="center"/>
              <w:rPr>
                <w:sz w:val="22"/>
                <w:szCs w:val="22"/>
              </w:rPr>
            </w:pPr>
          </w:p>
          <w:p w14:paraId="0853B0CF" w14:textId="77777777" w:rsidR="000653CC" w:rsidRPr="00AF2A94" w:rsidRDefault="000653CC" w:rsidP="00C832B2">
            <w:pPr>
              <w:contextualSpacing/>
              <w:jc w:val="center"/>
              <w:rPr>
                <w:sz w:val="22"/>
                <w:szCs w:val="22"/>
              </w:rPr>
            </w:pPr>
            <w:r w:rsidRPr="00AF2A94">
              <w:rPr>
                <w:sz w:val="22"/>
                <w:szCs w:val="22"/>
              </w:rPr>
              <w:t>82.4%</w:t>
            </w:r>
          </w:p>
          <w:p w14:paraId="629D5381" w14:textId="2F07CB63" w:rsidR="000653CC" w:rsidRPr="00AF2A94" w:rsidRDefault="000653CC" w:rsidP="00C832B2">
            <w:pPr>
              <w:contextualSpacing/>
              <w:jc w:val="center"/>
              <w:rPr>
                <w:sz w:val="22"/>
                <w:szCs w:val="22"/>
              </w:rPr>
            </w:pPr>
            <w:r w:rsidRPr="00AF2A94">
              <w:rPr>
                <w:sz w:val="22"/>
                <w:szCs w:val="22"/>
              </w:rPr>
              <w:t>17.6%</w:t>
            </w:r>
          </w:p>
        </w:tc>
        <w:tc>
          <w:tcPr>
            <w:tcW w:w="1890" w:type="dxa"/>
          </w:tcPr>
          <w:p w14:paraId="2FBF2E36" w14:textId="77777777" w:rsidR="00813C08" w:rsidRPr="00AF2A94" w:rsidRDefault="00813C08" w:rsidP="00C832B2">
            <w:pPr>
              <w:contextualSpacing/>
              <w:jc w:val="center"/>
              <w:rPr>
                <w:sz w:val="22"/>
                <w:szCs w:val="22"/>
              </w:rPr>
            </w:pPr>
          </w:p>
          <w:p w14:paraId="2D26C141" w14:textId="65267BEF" w:rsidR="000653CC" w:rsidRPr="00AF2A94" w:rsidRDefault="00DD0E30" w:rsidP="00C832B2">
            <w:pPr>
              <w:contextualSpacing/>
              <w:jc w:val="center"/>
              <w:rPr>
                <w:sz w:val="22"/>
                <w:szCs w:val="22"/>
              </w:rPr>
            </w:pPr>
            <w:r w:rsidRPr="00AF2A94">
              <w:rPr>
                <w:sz w:val="22"/>
                <w:szCs w:val="22"/>
              </w:rPr>
              <w:t>75.0%</w:t>
            </w:r>
          </w:p>
          <w:p w14:paraId="27A04A5D" w14:textId="7A0437F9" w:rsidR="00DD0E30" w:rsidRPr="00AF2A94" w:rsidRDefault="00DD0E30" w:rsidP="00C832B2">
            <w:pPr>
              <w:contextualSpacing/>
              <w:jc w:val="center"/>
              <w:rPr>
                <w:sz w:val="22"/>
                <w:szCs w:val="22"/>
              </w:rPr>
            </w:pPr>
            <w:r w:rsidRPr="00AF2A94">
              <w:rPr>
                <w:sz w:val="22"/>
                <w:szCs w:val="22"/>
              </w:rPr>
              <w:t>25.0%</w:t>
            </w:r>
          </w:p>
        </w:tc>
        <w:tc>
          <w:tcPr>
            <w:tcW w:w="1890" w:type="dxa"/>
          </w:tcPr>
          <w:p w14:paraId="31725EA6" w14:textId="77777777" w:rsidR="00813C08" w:rsidRPr="00AF2A94" w:rsidRDefault="00813C08" w:rsidP="00C832B2">
            <w:pPr>
              <w:contextualSpacing/>
              <w:jc w:val="center"/>
              <w:rPr>
                <w:sz w:val="22"/>
                <w:szCs w:val="22"/>
              </w:rPr>
            </w:pPr>
          </w:p>
          <w:p w14:paraId="3088A409" w14:textId="77777777" w:rsidR="00373A40" w:rsidRPr="00AF2A94" w:rsidRDefault="00373A40" w:rsidP="00C832B2">
            <w:pPr>
              <w:contextualSpacing/>
              <w:jc w:val="center"/>
              <w:rPr>
                <w:sz w:val="22"/>
                <w:szCs w:val="22"/>
              </w:rPr>
            </w:pPr>
            <w:r w:rsidRPr="00AF2A94">
              <w:rPr>
                <w:sz w:val="22"/>
                <w:szCs w:val="22"/>
              </w:rPr>
              <w:t>88.9%</w:t>
            </w:r>
          </w:p>
          <w:p w14:paraId="2C892097" w14:textId="06D5619F" w:rsidR="00373A40" w:rsidRPr="00AF2A94" w:rsidRDefault="00373A40" w:rsidP="00C832B2">
            <w:pPr>
              <w:contextualSpacing/>
              <w:jc w:val="center"/>
              <w:rPr>
                <w:sz w:val="22"/>
                <w:szCs w:val="22"/>
              </w:rPr>
            </w:pPr>
            <w:r w:rsidRPr="00AF2A94">
              <w:rPr>
                <w:sz w:val="22"/>
                <w:szCs w:val="22"/>
              </w:rPr>
              <w:t>11.1%</w:t>
            </w:r>
          </w:p>
        </w:tc>
      </w:tr>
      <w:tr w:rsidR="00813C08" w14:paraId="299A2702" w14:textId="77777777" w:rsidTr="00D7264B">
        <w:tc>
          <w:tcPr>
            <w:tcW w:w="3780" w:type="dxa"/>
          </w:tcPr>
          <w:p w14:paraId="4049A4C9" w14:textId="14629A1C" w:rsidR="00813C08" w:rsidRPr="00AF2A94" w:rsidRDefault="00813C08" w:rsidP="00AF2A94">
            <w:pPr>
              <w:contextualSpacing/>
              <w:rPr>
                <w:sz w:val="22"/>
                <w:szCs w:val="22"/>
              </w:rPr>
            </w:pPr>
            <w:r w:rsidRPr="00AF2A94">
              <w:rPr>
                <w:sz w:val="22"/>
                <w:szCs w:val="22"/>
              </w:rPr>
              <w:t>Race</w:t>
            </w:r>
          </w:p>
          <w:p w14:paraId="25BEE31D" w14:textId="6196581E" w:rsidR="000653CC" w:rsidRPr="00AF2A94" w:rsidRDefault="00DD0E30" w:rsidP="00D7264B">
            <w:pPr>
              <w:contextualSpacing/>
              <w:rPr>
                <w:i/>
                <w:iCs/>
                <w:sz w:val="22"/>
                <w:szCs w:val="22"/>
              </w:rPr>
            </w:pPr>
            <w:r w:rsidRPr="00AF2A94">
              <w:rPr>
                <w:i/>
                <w:iCs/>
                <w:sz w:val="22"/>
                <w:szCs w:val="22"/>
              </w:rPr>
              <w:t>White</w:t>
            </w:r>
          </w:p>
          <w:p w14:paraId="5FBF68F0" w14:textId="556522E5" w:rsidR="00DD0E30" w:rsidRPr="00AF2A94" w:rsidRDefault="00DD0E30" w:rsidP="00D7264B">
            <w:pPr>
              <w:contextualSpacing/>
              <w:rPr>
                <w:i/>
                <w:iCs/>
                <w:sz w:val="22"/>
                <w:szCs w:val="22"/>
              </w:rPr>
            </w:pPr>
            <w:r w:rsidRPr="00AF2A94">
              <w:rPr>
                <w:i/>
                <w:iCs/>
                <w:sz w:val="22"/>
                <w:szCs w:val="22"/>
              </w:rPr>
              <w:t>Black</w:t>
            </w:r>
          </w:p>
          <w:p w14:paraId="23F88BED" w14:textId="245108CE" w:rsidR="00DD0E30" w:rsidRPr="00AF2A94" w:rsidRDefault="00DD0E30" w:rsidP="00D7264B">
            <w:pPr>
              <w:contextualSpacing/>
              <w:rPr>
                <w:i/>
                <w:iCs/>
                <w:sz w:val="22"/>
                <w:szCs w:val="22"/>
              </w:rPr>
            </w:pPr>
            <w:r w:rsidRPr="00AF2A94">
              <w:rPr>
                <w:i/>
                <w:iCs/>
                <w:sz w:val="22"/>
                <w:szCs w:val="22"/>
              </w:rPr>
              <w:t>Other</w:t>
            </w:r>
          </w:p>
          <w:p w14:paraId="644389DC" w14:textId="77777777" w:rsidR="00813C08" w:rsidRPr="00AF2A94" w:rsidRDefault="00813C08" w:rsidP="00AF2A94">
            <w:pPr>
              <w:contextualSpacing/>
              <w:rPr>
                <w:sz w:val="22"/>
                <w:szCs w:val="22"/>
              </w:rPr>
            </w:pPr>
          </w:p>
        </w:tc>
        <w:tc>
          <w:tcPr>
            <w:tcW w:w="1890" w:type="dxa"/>
          </w:tcPr>
          <w:p w14:paraId="53B0789F" w14:textId="77777777" w:rsidR="00813C08" w:rsidRPr="00AF2A94" w:rsidRDefault="00813C08" w:rsidP="00C832B2">
            <w:pPr>
              <w:contextualSpacing/>
              <w:jc w:val="center"/>
              <w:rPr>
                <w:sz w:val="22"/>
                <w:szCs w:val="22"/>
              </w:rPr>
            </w:pPr>
          </w:p>
          <w:p w14:paraId="16D34E13" w14:textId="77777777" w:rsidR="000653CC" w:rsidRPr="00AF2A94" w:rsidRDefault="000653CC" w:rsidP="00C832B2">
            <w:pPr>
              <w:contextualSpacing/>
              <w:jc w:val="center"/>
              <w:rPr>
                <w:sz w:val="22"/>
                <w:szCs w:val="22"/>
              </w:rPr>
            </w:pPr>
            <w:r w:rsidRPr="00AF2A94">
              <w:rPr>
                <w:sz w:val="22"/>
                <w:szCs w:val="22"/>
              </w:rPr>
              <w:t>100%</w:t>
            </w:r>
          </w:p>
          <w:p w14:paraId="4402B3FD" w14:textId="77777777" w:rsidR="00DD0E30" w:rsidRPr="00AF2A94" w:rsidRDefault="00DD0E30" w:rsidP="00C832B2">
            <w:pPr>
              <w:contextualSpacing/>
              <w:jc w:val="center"/>
              <w:rPr>
                <w:sz w:val="22"/>
                <w:szCs w:val="22"/>
              </w:rPr>
            </w:pPr>
            <w:r w:rsidRPr="00AF2A94">
              <w:rPr>
                <w:sz w:val="22"/>
                <w:szCs w:val="22"/>
              </w:rPr>
              <w:t>0%</w:t>
            </w:r>
          </w:p>
          <w:p w14:paraId="76F253C9" w14:textId="75C98551" w:rsidR="00DD0E30" w:rsidRPr="00AF2A94" w:rsidRDefault="00DD0E30" w:rsidP="00C832B2">
            <w:pPr>
              <w:contextualSpacing/>
              <w:jc w:val="center"/>
              <w:rPr>
                <w:sz w:val="22"/>
                <w:szCs w:val="22"/>
              </w:rPr>
            </w:pPr>
            <w:r w:rsidRPr="00AF2A94">
              <w:rPr>
                <w:sz w:val="22"/>
                <w:szCs w:val="22"/>
              </w:rPr>
              <w:t>0%</w:t>
            </w:r>
          </w:p>
        </w:tc>
        <w:tc>
          <w:tcPr>
            <w:tcW w:w="1890" w:type="dxa"/>
          </w:tcPr>
          <w:p w14:paraId="310C0F25" w14:textId="77777777" w:rsidR="00813C08" w:rsidRPr="00AF2A94" w:rsidRDefault="00813C08" w:rsidP="00C832B2">
            <w:pPr>
              <w:contextualSpacing/>
              <w:jc w:val="center"/>
              <w:rPr>
                <w:sz w:val="22"/>
                <w:szCs w:val="22"/>
              </w:rPr>
            </w:pPr>
          </w:p>
          <w:p w14:paraId="7D6DC2C5" w14:textId="68CB2C08" w:rsidR="00DD0E30" w:rsidRPr="00AF2A94" w:rsidRDefault="00DD0E30" w:rsidP="00C832B2">
            <w:pPr>
              <w:contextualSpacing/>
              <w:jc w:val="center"/>
              <w:rPr>
                <w:sz w:val="22"/>
                <w:szCs w:val="22"/>
              </w:rPr>
            </w:pPr>
            <w:r w:rsidRPr="00AF2A94">
              <w:rPr>
                <w:sz w:val="22"/>
                <w:szCs w:val="22"/>
              </w:rPr>
              <w:t>90.0%</w:t>
            </w:r>
          </w:p>
          <w:p w14:paraId="2B255EC6" w14:textId="77777777" w:rsidR="00DD0E30" w:rsidRPr="00AF2A94" w:rsidRDefault="00DD0E30" w:rsidP="00C832B2">
            <w:pPr>
              <w:contextualSpacing/>
              <w:jc w:val="center"/>
              <w:rPr>
                <w:sz w:val="22"/>
                <w:szCs w:val="22"/>
              </w:rPr>
            </w:pPr>
            <w:r w:rsidRPr="00AF2A94">
              <w:rPr>
                <w:sz w:val="22"/>
                <w:szCs w:val="22"/>
              </w:rPr>
              <w:t>5.0%</w:t>
            </w:r>
          </w:p>
          <w:p w14:paraId="5979A073" w14:textId="343BC19A" w:rsidR="00DD0E30" w:rsidRPr="00AF2A94" w:rsidRDefault="00DD0E30" w:rsidP="00C832B2">
            <w:pPr>
              <w:contextualSpacing/>
              <w:jc w:val="center"/>
              <w:rPr>
                <w:sz w:val="22"/>
                <w:szCs w:val="22"/>
              </w:rPr>
            </w:pPr>
            <w:r w:rsidRPr="00AF2A94">
              <w:rPr>
                <w:sz w:val="22"/>
                <w:szCs w:val="22"/>
              </w:rPr>
              <w:t>5.0%</w:t>
            </w:r>
          </w:p>
        </w:tc>
        <w:tc>
          <w:tcPr>
            <w:tcW w:w="1890" w:type="dxa"/>
          </w:tcPr>
          <w:p w14:paraId="26FE7BAE" w14:textId="77777777" w:rsidR="00813C08" w:rsidRPr="00AF2A94" w:rsidRDefault="00813C08" w:rsidP="00C832B2">
            <w:pPr>
              <w:contextualSpacing/>
              <w:jc w:val="center"/>
              <w:rPr>
                <w:sz w:val="22"/>
                <w:szCs w:val="22"/>
              </w:rPr>
            </w:pPr>
          </w:p>
          <w:p w14:paraId="51949665" w14:textId="77777777" w:rsidR="00373A40" w:rsidRPr="00AF2A94" w:rsidRDefault="00373A40" w:rsidP="00C832B2">
            <w:pPr>
              <w:contextualSpacing/>
              <w:jc w:val="center"/>
              <w:rPr>
                <w:sz w:val="22"/>
                <w:szCs w:val="22"/>
              </w:rPr>
            </w:pPr>
            <w:r w:rsidRPr="00AF2A94">
              <w:rPr>
                <w:sz w:val="22"/>
                <w:szCs w:val="22"/>
              </w:rPr>
              <w:t>94.4%</w:t>
            </w:r>
          </w:p>
          <w:p w14:paraId="4062E235" w14:textId="77777777" w:rsidR="00373A40" w:rsidRPr="00AF2A94" w:rsidRDefault="00373A40" w:rsidP="00C832B2">
            <w:pPr>
              <w:contextualSpacing/>
              <w:jc w:val="center"/>
              <w:rPr>
                <w:sz w:val="22"/>
                <w:szCs w:val="22"/>
              </w:rPr>
            </w:pPr>
            <w:r w:rsidRPr="00AF2A94">
              <w:rPr>
                <w:sz w:val="22"/>
                <w:szCs w:val="22"/>
              </w:rPr>
              <w:t>0.0%</w:t>
            </w:r>
          </w:p>
          <w:p w14:paraId="3C47E8A6" w14:textId="33EC9C00" w:rsidR="00373A40" w:rsidRPr="00AF2A94" w:rsidRDefault="00373A40" w:rsidP="00C832B2">
            <w:pPr>
              <w:contextualSpacing/>
              <w:jc w:val="center"/>
              <w:rPr>
                <w:sz w:val="22"/>
                <w:szCs w:val="22"/>
              </w:rPr>
            </w:pPr>
            <w:r w:rsidRPr="00AF2A94">
              <w:rPr>
                <w:sz w:val="22"/>
                <w:szCs w:val="22"/>
              </w:rPr>
              <w:t>5.6%</w:t>
            </w:r>
          </w:p>
        </w:tc>
      </w:tr>
      <w:tr w:rsidR="00813C08" w14:paraId="61C915BA" w14:textId="77777777" w:rsidTr="00D7264B">
        <w:tc>
          <w:tcPr>
            <w:tcW w:w="3780" w:type="dxa"/>
          </w:tcPr>
          <w:p w14:paraId="6FB80F04" w14:textId="5D76BA15" w:rsidR="00813C08" w:rsidRPr="00AF2A94" w:rsidRDefault="00813C08" w:rsidP="00AF2A94">
            <w:pPr>
              <w:contextualSpacing/>
              <w:rPr>
                <w:sz w:val="22"/>
                <w:szCs w:val="22"/>
              </w:rPr>
            </w:pPr>
            <w:r w:rsidRPr="00AF2A94">
              <w:rPr>
                <w:sz w:val="22"/>
                <w:szCs w:val="22"/>
              </w:rPr>
              <w:t>Ethnicity</w:t>
            </w:r>
          </w:p>
          <w:p w14:paraId="2ECD991D" w14:textId="72B6EB65" w:rsidR="000653CC" w:rsidRPr="00AF2A94" w:rsidRDefault="000653CC" w:rsidP="00D7264B">
            <w:pPr>
              <w:contextualSpacing/>
              <w:rPr>
                <w:i/>
                <w:iCs/>
                <w:sz w:val="22"/>
                <w:szCs w:val="22"/>
              </w:rPr>
            </w:pPr>
            <w:r w:rsidRPr="00AF2A94">
              <w:rPr>
                <w:i/>
                <w:iCs/>
                <w:sz w:val="22"/>
                <w:szCs w:val="22"/>
              </w:rPr>
              <w:t>Hispanic/Latin</w:t>
            </w:r>
            <w:r w:rsidR="00A5435B">
              <w:rPr>
                <w:i/>
                <w:iCs/>
                <w:sz w:val="22"/>
                <w:szCs w:val="22"/>
              </w:rPr>
              <w:t>o</w:t>
            </w:r>
          </w:p>
          <w:p w14:paraId="5AC5294E" w14:textId="6E718557" w:rsidR="000653CC" w:rsidRPr="00AF2A94" w:rsidRDefault="000653CC" w:rsidP="00D7264B">
            <w:pPr>
              <w:contextualSpacing/>
              <w:rPr>
                <w:i/>
                <w:iCs/>
                <w:sz w:val="22"/>
                <w:szCs w:val="22"/>
              </w:rPr>
            </w:pPr>
            <w:r w:rsidRPr="00AF2A94">
              <w:rPr>
                <w:i/>
                <w:iCs/>
                <w:sz w:val="22"/>
                <w:szCs w:val="22"/>
              </w:rPr>
              <w:t>Non-Hispanic/Latin</w:t>
            </w:r>
            <w:r w:rsidR="00A5435B">
              <w:rPr>
                <w:i/>
                <w:iCs/>
                <w:sz w:val="22"/>
                <w:szCs w:val="22"/>
              </w:rPr>
              <w:t>o</w:t>
            </w:r>
          </w:p>
          <w:p w14:paraId="0324FC1A" w14:textId="77777777" w:rsidR="00813C08" w:rsidRPr="00AF2A94" w:rsidRDefault="00813C08" w:rsidP="00AF2A94">
            <w:pPr>
              <w:contextualSpacing/>
              <w:rPr>
                <w:sz w:val="22"/>
                <w:szCs w:val="22"/>
              </w:rPr>
            </w:pPr>
          </w:p>
        </w:tc>
        <w:tc>
          <w:tcPr>
            <w:tcW w:w="1890" w:type="dxa"/>
          </w:tcPr>
          <w:p w14:paraId="0F6DB5F4" w14:textId="77777777" w:rsidR="00813C08" w:rsidRPr="00AF2A94" w:rsidRDefault="00813C08" w:rsidP="00C832B2">
            <w:pPr>
              <w:contextualSpacing/>
              <w:jc w:val="center"/>
              <w:rPr>
                <w:sz w:val="22"/>
                <w:szCs w:val="22"/>
              </w:rPr>
            </w:pPr>
          </w:p>
          <w:p w14:paraId="6F44B89E" w14:textId="77777777" w:rsidR="000653CC" w:rsidRPr="00AF2A94" w:rsidRDefault="000653CC" w:rsidP="00C832B2">
            <w:pPr>
              <w:contextualSpacing/>
              <w:jc w:val="center"/>
              <w:rPr>
                <w:sz w:val="22"/>
                <w:szCs w:val="22"/>
              </w:rPr>
            </w:pPr>
            <w:r w:rsidRPr="00AF2A94">
              <w:rPr>
                <w:sz w:val="22"/>
                <w:szCs w:val="22"/>
              </w:rPr>
              <w:t>11.8%</w:t>
            </w:r>
          </w:p>
          <w:p w14:paraId="3CE8176F" w14:textId="2ABC49A9" w:rsidR="000653CC" w:rsidRPr="00AF2A94" w:rsidRDefault="000653CC" w:rsidP="00C832B2">
            <w:pPr>
              <w:contextualSpacing/>
              <w:jc w:val="center"/>
              <w:rPr>
                <w:sz w:val="22"/>
                <w:szCs w:val="22"/>
              </w:rPr>
            </w:pPr>
            <w:r w:rsidRPr="00AF2A94">
              <w:rPr>
                <w:sz w:val="22"/>
                <w:szCs w:val="22"/>
              </w:rPr>
              <w:t>88.2%</w:t>
            </w:r>
          </w:p>
        </w:tc>
        <w:tc>
          <w:tcPr>
            <w:tcW w:w="1890" w:type="dxa"/>
          </w:tcPr>
          <w:p w14:paraId="5376827B" w14:textId="77777777" w:rsidR="00813C08" w:rsidRPr="00AF2A94" w:rsidRDefault="00813C08" w:rsidP="00C832B2">
            <w:pPr>
              <w:contextualSpacing/>
              <w:jc w:val="center"/>
              <w:rPr>
                <w:sz w:val="22"/>
                <w:szCs w:val="22"/>
              </w:rPr>
            </w:pPr>
          </w:p>
          <w:p w14:paraId="2CD4845A" w14:textId="77777777" w:rsidR="00DD0E30" w:rsidRPr="00AF2A94" w:rsidRDefault="00DD0E30" w:rsidP="00C832B2">
            <w:pPr>
              <w:contextualSpacing/>
              <w:jc w:val="center"/>
              <w:rPr>
                <w:sz w:val="22"/>
                <w:szCs w:val="22"/>
              </w:rPr>
            </w:pPr>
            <w:r w:rsidRPr="00AF2A94">
              <w:rPr>
                <w:sz w:val="22"/>
                <w:szCs w:val="22"/>
              </w:rPr>
              <w:t>5.0%</w:t>
            </w:r>
          </w:p>
          <w:p w14:paraId="13DC6803" w14:textId="021CF84B" w:rsidR="00DD0E30" w:rsidRPr="00AF2A94" w:rsidRDefault="00DD0E30" w:rsidP="00C832B2">
            <w:pPr>
              <w:contextualSpacing/>
              <w:jc w:val="center"/>
              <w:rPr>
                <w:sz w:val="22"/>
                <w:szCs w:val="22"/>
              </w:rPr>
            </w:pPr>
            <w:r w:rsidRPr="00AF2A94">
              <w:rPr>
                <w:sz w:val="22"/>
                <w:szCs w:val="22"/>
              </w:rPr>
              <w:t>95.0%</w:t>
            </w:r>
          </w:p>
        </w:tc>
        <w:tc>
          <w:tcPr>
            <w:tcW w:w="1890" w:type="dxa"/>
          </w:tcPr>
          <w:p w14:paraId="01EA7CD0" w14:textId="77777777" w:rsidR="00813C08" w:rsidRPr="00AF2A94" w:rsidRDefault="00813C08" w:rsidP="00C832B2">
            <w:pPr>
              <w:contextualSpacing/>
              <w:jc w:val="center"/>
              <w:rPr>
                <w:sz w:val="22"/>
                <w:szCs w:val="22"/>
              </w:rPr>
            </w:pPr>
          </w:p>
          <w:p w14:paraId="40AA642E" w14:textId="77777777" w:rsidR="00373A40" w:rsidRPr="00AF2A94" w:rsidRDefault="00373A40" w:rsidP="00C832B2">
            <w:pPr>
              <w:contextualSpacing/>
              <w:jc w:val="center"/>
              <w:rPr>
                <w:sz w:val="22"/>
                <w:szCs w:val="22"/>
              </w:rPr>
            </w:pPr>
            <w:r w:rsidRPr="00AF2A94">
              <w:rPr>
                <w:sz w:val="22"/>
                <w:szCs w:val="22"/>
              </w:rPr>
              <w:t>11.1%</w:t>
            </w:r>
          </w:p>
          <w:p w14:paraId="63658DC5" w14:textId="51CF65EE" w:rsidR="00373A40" w:rsidRPr="00AF2A94" w:rsidRDefault="00373A40" w:rsidP="00C832B2">
            <w:pPr>
              <w:contextualSpacing/>
              <w:jc w:val="center"/>
              <w:rPr>
                <w:sz w:val="22"/>
                <w:szCs w:val="22"/>
              </w:rPr>
            </w:pPr>
            <w:r w:rsidRPr="00AF2A94">
              <w:rPr>
                <w:sz w:val="22"/>
                <w:szCs w:val="22"/>
              </w:rPr>
              <w:t>88.9%</w:t>
            </w:r>
          </w:p>
        </w:tc>
      </w:tr>
      <w:tr w:rsidR="00333DE1" w14:paraId="4BA6F06B" w14:textId="77777777" w:rsidTr="00D7264B">
        <w:tc>
          <w:tcPr>
            <w:tcW w:w="3780" w:type="dxa"/>
          </w:tcPr>
          <w:p w14:paraId="6830C992" w14:textId="77777777" w:rsidR="00333DE1" w:rsidRDefault="00333DE1" w:rsidP="00AF2A94">
            <w:pPr>
              <w:contextualSpacing/>
              <w:rPr>
                <w:sz w:val="22"/>
                <w:szCs w:val="22"/>
              </w:rPr>
            </w:pPr>
            <w:r>
              <w:rPr>
                <w:sz w:val="22"/>
                <w:szCs w:val="22"/>
              </w:rPr>
              <w:t>BMI</w:t>
            </w:r>
          </w:p>
          <w:p w14:paraId="41ACC86A" w14:textId="70AE4242" w:rsidR="00333DE1" w:rsidRPr="00AF2A94" w:rsidRDefault="00333DE1" w:rsidP="00AF2A94">
            <w:pPr>
              <w:contextualSpacing/>
              <w:rPr>
                <w:sz w:val="22"/>
                <w:szCs w:val="22"/>
              </w:rPr>
            </w:pPr>
          </w:p>
        </w:tc>
        <w:tc>
          <w:tcPr>
            <w:tcW w:w="1890" w:type="dxa"/>
          </w:tcPr>
          <w:p w14:paraId="1C91610D" w14:textId="6C3AABDC" w:rsidR="00333DE1" w:rsidRPr="00AF2A94" w:rsidRDefault="00047A0C" w:rsidP="00C832B2">
            <w:pPr>
              <w:contextualSpacing/>
              <w:jc w:val="center"/>
              <w:rPr>
                <w:sz w:val="22"/>
                <w:szCs w:val="22"/>
              </w:rPr>
            </w:pPr>
            <w:r>
              <w:rPr>
                <w:sz w:val="22"/>
                <w:szCs w:val="22"/>
              </w:rPr>
              <w:t>36.68 (6.77)</w:t>
            </w:r>
          </w:p>
        </w:tc>
        <w:tc>
          <w:tcPr>
            <w:tcW w:w="1890" w:type="dxa"/>
          </w:tcPr>
          <w:p w14:paraId="104501B3" w14:textId="2CE03FA1" w:rsidR="00333DE1" w:rsidRPr="00AF2A94" w:rsidRDefault="00047A0C" w:rsidP="00C832B2">
            <w:pPr>
              <w:contextualSpacing/>
              <w:jc w:val="center"/>
              <w:rPr>
                <w:sz w:val="22"/>
                <w:szCs w:val="22"/>
              </w:rPr>
            </w:pPr>
            <w:r>
              <w:rPr>
                <w:sz w:val="22"/>
                <w:szCs w:val="22"/>
              </w:rPr>
              <w:t>36.62 (6.72)</w:t>
            </w:r>
          </w:p>
        </w:tc>
        <w:tc>
          <w:tcPr>
            <w:tcW w:w="1890" w:type="dxa"/>
          </w:tcPr>
          <w:p w14:paraId="425ED890" w14:textId="453842CB" w:rsidR="00333DE1" w:rsidRPr="00AF2A94" w:rsidRDefault="00047A0C" w:rsidP="00C832B2">
            <w:pPr>
              <w:contextualSpacing/>
              <w:jc w:val="center"/>
              <w:rPr>
                <w:sz w:val="22"/>
                <w:szCs w:val="22"/>
              </w:rPr>
            </w:pPr>
            <w:r>
              <w:rPr>
                <w:sz w:val="22"/>
                <w:szCs w:val="22"/>
              </w:rPr>
              <w:t>37.76 (6.33)</w:t>
            </w:r>
          </w:p>
        </w:tc>
      </w:tr>
      <w:tr w:rsidR="00047A0C" w14:paraId="04AF7F7D" w14:textId="77777777" w:rsidTr="00D7264B">
        <w:tc>
          <w:tcPr>
            <w:tcW w:w="3780" w:type="dxa"/>
          </w:tcPr>
          <w:p w14:paraId="44F30F34" w14:textId="77777777" w:rsidR="00047A0C" w:rsidRDefault="00047A0C" w:rsidP="00AF2A94">
            <w:pPr>
              <w:contextualSpacing/>
              <w:rPr>
                <w:sz w:val="22"/>
                <w:szCs w:val="22"/>
              </w:rPr>
            </w:pPr>
            <w:r>
              <w:rPr>
                <w:sz w:val="22"/>
                <w:szCs w:val="22"/>
              </w:rPr>
              <w:t>Married</w:t>
            </w:r>
          </w:p>
          <w:p w14:paraId="64B7FD86" w14:textId="33364B49" w:rsidR="00047A0C" w:rsidRDefault="00047A0C" w:rsidP="00AF2A94">
            <w:pPr>
              <w:contextualSpacing/>
              <w:rPr>
                <w:sz w:val="22"/>
                <w:szCs w:val="22"/>
              </w:rPr>
            </w:pPr>
          </w:p>
        </w:tc>
        <w:tc>
          <w:tcPr>
            <w:tcW w:w="1890" w:type="dxa"/>
          </w:tcPr>
          <w:p w14:paraId="0185E755" w14:textId="452A13D1" w:rsidR="00047A0C" w:rsidRDefault="00047A0C" w:rsidP="00C832B2">
            <w:pPr>
              <w:contextualSpacing/>
              <w:jc w:val="center"/>
              <w:rPr>
                <w:sz w:val="22"/>
                <w:szCs w:val="22"/>
              </w:rPr>
            </w:pPr>
            <w:r>
              <w:rPr>
                <w:sz w:val="22"/>
                <w:szCs w:val="22"/>
              </w:rPr>
              <w:t>53%</w:t>
            </w:r>
          </w:p>
        </w:tc>
        <w:tc>
          <w:tcPr>
            <w:tcW w:w="1890" w:type="dxa"/>
          </w:tcPr>
          <w:p w14:paraId="09085FB4" w14:textId="57D4F411" w:rsidR="00047A0C" w:rsidRDefault="00047A0C" w:rsidP="00C832B2">
            <w:pPr>
              <w:contextualSpacing/>
              <w:jc w:val="center"/>
              <w:rPr>
                <w:sz w:val="22"/>
                <w:szCs w:val="22"/>
              </w:rPr>
            </w:pPr>
            <w:r>
              <w:rPr>
                <w:sz w:val="22"/>
                <w:szCs w:val="22"/>
              </w:rPr>
              <w:t>60%</w:t>
            </w:r>
          </w:p>
        </w:tc>
        <w:tc>
          <w:tcPr>
            <w:tcW w:w="1890" w:type="dxa"/>
          </w:tcPr>
          <w:p w14:paraId="214C3C3C" w14:textId="7931FE74" w:rsidR="00047A0C" w:rsidRDefault="00047A0C" w:rsidP="00C832B2">
            <w:pPr>
              <w:contextualSpacing/>
              <w:jc w:val="center"/>
              <w:rPr>
                <w:sz w:val="22"/>
                <w:szCs w:val="22"/>
              </w:rPr>
            </w:pPr>
            <w:r>
              <w:rPr>
                <w:sz w:val="22"/>
                <w:szCs w:val="22"/>
              </w:rPr>
              <w:t>67%</w:t>
            </w:r>
          </w:p>
        </w:tc>
      </w:tr>
      <w:tr w:rsidR="00047A0C" w14:paraId="3348E6F1" w14:textId="77777777" w:rsidTr="00D7264B">
        <w:tc>
          <w:tcPr>
            <w:tcW w:w="3780" w:type="dxa"/>
          </w:tcPr>
          <w:p w14:paraId="2385C069" w14:textId="77777777" w:rsidR="00047A0C" w:rsidRDefault="00047A0C" w:rsidP="00AF2A94">
            <w:pPr>
              <w:contextualSpacing/>
              <w:rPr>
                <w:sz w:val="22"/>
                <w:szCs w:val="22"/>
              </w:rPr>
            </w:pPr>
            <w:r>
              <w:rPr>
                <w:sz w:val="22"/>
                <w:szCs w:val="22"/>
              </w:rPr>
              <w:t>Employed</w:t>
            </w:r>
          </w:p>
          <w:p w14:paraId="036DD309" w14:textId="1757EF58" w:rsidR="00047A0C" w:rsidRDefault="00047A0C" w:rsidP="00AF2A94">
            <w:pPr>
              <w:contextualSpacing/>
              <w:rPr>
                <w:sz w:val="22"/>
                <w:szCs w:val="22"/>
              </w:rPr>
            </w:pPr>
          </w:p>
        </w:tc>
        <w:tc>
          <w:tcPr>
            <w:tcW w:w="1890" w:type="dxa"/>
          </w:tcPr>
          <w:p w14:paraId="2745B3F9" w14:textId="2FAEA45F" w:rsidR="00047A0C" w:rsidRDefault="00047A0C" w:rsidP="00C832B2">
            <w:pPr>
              <w:contextualSpacing/>
              <w:jc w:val="center"/>
              <w:rPr>
                <w:sz w:val="22"/>
                <w:szCs w:val="22"/>
              </w:rPr>
            </w:pPr>
            <w:r>
              <w:rPr>
                <w:sz w:val="22"/>
                <w:szCs w:val="22"/>
              </w:rPr>
              <w:t>65%</w:t>
            </w:r>
          </w:p>
        </w:tc>
        <w:tc>
          <w:tcPr>
            <w:tcW w:w="1890" w:type="dxa"/>
          </w:tcPr>
          <w:p w14:paraId="381617AC" w14:textId="29755EF5" w:rsidR="00047A0C" w:rsidRDefault="00047A0C" w:rsidP="00C832B2">
            <w:pPr>
              <w:contextualSpacing/>
              <w:jc w:val="center"/>
              <w:rPr>
                <w:sz w:val="22"/>
                <w:szCs w:val="22"/>
              </w:rPr>
            </w:pPr>
            <w:r>
              <w:rPr>
                <w:sz w:val="22"/>
                <w:szCs w:val="22"/>
              </w:rPr>
              <w:t>75%</w:t>
            </w:r>
          </w:p>
        </w:tc>
        <w:tc>
          <w:tcPr>
            <w:tcW w:w="1890" w:type="dxa"/>
          </w:tcPr>
          <w:p w14:paraId="4296EE83" w14:textId="29FA2DFC" w:rsidR="00047A0C" w:rsidRDefault="00047A0C" w:rsidP="00C832B2">
            <w:pPr>
              <w:contextualSpacing/>
              <w:jc w:val="center"/>
              <w:rPr>
                <w:sz w:val="22"/>
                <w:szCs w:val="22"/>
              </w:rPr>
            </w:pPr>
            <w:r>
              <w:rPr>
                <w:sz w:val="22"/>
                <w:szCs w:val="22"/>
              </w:rPr>
              <w:t>66.7%</w:t>
            </w:r>
          </w:p>
        </w:tc>
      </w:tr>
      <w:tr w:rsidR="00813C08" w14:paraId="781D45D9" w14:textId="77777777" w:rsidTr="00D7264B">
        <w:tc>
          <w:tcPr>
            <w:tcW w:w="3780" w:type="dxa"/>
          </w:tcPr>
          <w:p w14:paraId="6E5DD62C" w14:textId="7E4503F4" w:rsidR="00813C08" w:rsidRPr="00AF2A94" w:rsidRDefault="00813C08" w:rsidP="00AF2A94">
            <w:pPr>
              <w:contextualSpacing/>
              <w:rPr>
                <w:sz w:val="22"/>
                <w:szCs w:val="22"/>
              </w:rPr>
            </w:pPr>
            <w:r w:rsidRPr="00AF2A94">
              <w:rPr>
                <w:sz w:val="22"/>
                <w:szCs w:val="22"/>
              </w:rPr>
              <w:t>Income</w:t>
            </w:r>
          </w:p>
          <w:p w14:paraId="38B5A67F" w14:textId="18E6F421" w:rsidR="000653CC" w:rsidRPr="00AF2A94" w:rsidRDefault="000653CC" w:rsidP="00AF2A94">
            <w:pPr>
              <w:contextualSpacing/>
              <w:rPr>
                <w:i/>
                <w:iCs/>
                <w:sz w:val="22"/>
                <w:szCs w:val="22"/>
              </w:rPr>
            </w:pPr>
            <w:r w:rsidRPr="00AF2A94">
              <w:rPr>
                <w:i/>
                <w:iCs/>
                <w:sz w:val="22"/>
                <w:szCs w:val="22"/>
              </w:rPr>
              <w:t>Less than $20,000</w:t>
            </w:r>
          </w:p>
          <w:p w14:paraId="6F304E42" w14:textId="3A17833B" w:rsidR="000653CC" w:rsidRPr="00AF2A94" w:rsidRDefault="000653CC" w:rsidP="00AF2A94">
            <w:pPr>
              <w:contextualSpacing/>
              <w:rPr>
                <w:i/>
                <w:iCs/>
                <w:sz w:val="22"/>
                <w:szCs w:val="22"/>
              </w:rPr>
            </w:pPr>
            <w:r w:rsidRPr="00AF2A94">
              <w:rPr>
                <w:i/>
                <w:iCs/>
                <w:sz w:val="22"/>
                <w:szCs w:val="22"/>
              </w:rPr>
              <w:t>$20,000-39,999</w:t>
            </w:r>
          </w:p>
          <w:p w14:paraId="331253BD" w14:textId="2EA0CDC0" w:rsidR="000653CC" w:rsidRPr="00AF2A94" w:rsidRDefault="000653CC" w:rsidP="00AF2A94">
            <w:pPr>
              <w:contextualSpacing/>
              <w:rPr>
                <w:i/>
                <w:iCs/>
                <w:sz w:val="22"/>
                <w:szCs w:val="22"/>
              </w:rPr>
            </w:pPr>
            <w:r w:rsidRPr="00AF2A94">
              <w:rPr>
                <w:i/>
                <w:iCs/>
                <w:sz w:val="22"/>
                <w:szCs w:val="22"/>
              </w:rPr>
              <w:t>$40,000-59,999</w:t>
            </w:r>
          </w:p>
          <w:p w14:paraId="6A02081A" w14:textId="720021AE" w:rsidR="000653CC" w:rsidRPr="00AF2A94" w:rsidRDefault="000653CC" w:rsidP="00AF2A94">
            <w:pPr>
              <w:contextualSpacing/>
              <w:rPr>
                <w:i/>
                <w:iCs/>
                <w:sz w:val="22"/>
                <w:szCs w:val="22"/>
              </w:rPr>
            </w:pPr>
            <w:r w:rsidRPr="00AF2A94">
              <w:rPr>
                <w:i/>
                <w:iCs/>
                <w:sz w:val="22"/>
                <w:szCs w:val="22"/>
              </w:rPr>
              <w:t>$60,000-79,999</w:t>
            </w:r>
          </w:p>
          <w:p w14:paraId="0A190567" w14:textId="2FC66641" w:rsidR="000653CC" w:rsidRPr="00AF2A94" w:rsidRDefault="000653CC" w:rsidP="00AF2A94">
            <w:pPr>
              <w:contextualSpacing/>
              <w:rPr>
                <w:i/>
                <w:iCs/>
                <w:sz w:val="22"/>
                <w:szCs w:val="22"/>
              </w:rPr>
            </w:pPr>
            <w:r w:rsidRPr="00AF2A94">
              <w:rPr>
                <w:i/>
                <w:iCs/>
                <w:sz w:val="22"/>
                <w:szCs w:val="22"/>
              </w:rPr>
              <w:t>$80,000-99,999</w:t>
            </w:r>
          </w:p>
          <w:p w14:paraId="694DA7D9" w14:textId="63E05547" w:rsidR="000653CC" w:rsidRPr="00AF2A94" w:rsidRDefault="000653CC" w:rsidP="00AF2A94">
            <w:pPr>
              <w:contextualSpacing/>
              <w:rPr>
                <w:i/>
                <w:iCs/>
                <w:sz w:val="22"/>
                <w:szCs w:val="22"/>
              </w:rPr>
            </w:pPr>
            <w:r w:rsidRPr="00AF2A94">
              <w:rPr>
                <w:i/>
                <w:iCs/>
                <w:sz w:val="22"/>
                <w:szCs w:val="22"/>
              </w:rPr>
              <w:t>$100,000 or more</w:t>
            </w:r>
          </w:p>
          <w:p w14:paraId="20EE3F1C" w14:textId="052D911B" w:rsidR="00813C08" w:rsidRPr="00047A0C" w:rsidRDefault="00EE2DB0" w:rsidP="00AF2A94">
            <w:pPr>
              <w:contextualSpacing/>
              <w:rPr>
                <w:i/>
                <w:iCs/>
                <w:sz w:val="22"/>
                <w:szCs w:val="22"/>
              </w:rPr>
            </w:pPr>
            <w:r w:rsidRPr="00AF2A94">
              <w:rPr>
                <w:i/>
                <w:iCs/>
                <w:sz w:val="22"/>
                <w:szCs w:val="22"/>
              </w:rPr>
              <w:t>Not sure</w:t>
            </w:r>
          </w:p>
        </w:tc>
        <w:tc>
          <w:tcPr>
            <w:tcW w:w="1890" w:type="dxa"/>
          </w:tcPr>
          <w:p w14:paraId="01FB019E" w14:textId="77777777" w:rsidR="00813C08" w:rsidRPr="00AF2A94" w:rsidRDefault="00813C08" w:rsidP="00C832B2">
            <w:pPr>
              <w:contextualSpacing/>
              <w:jc w:val="center"/>
              <w:rPr>
                <w:sz w:val="22"/>
                <w:szCs w:val="22"/>
              </w:rPr>
            </w:pPr>
          </w:p>
          <w:p w14:paraId="58FA5D2B" w14:textId="77777777" w:rsidR="00AC24C4" w:rsidRPr="00AF2A94" w:rsidRDefault="00AC24C4" w:rsidP="00C832B2">
            <w:pPr>
              <w:contextualSpacing/>
              <w:jc w:val="center"/>
              <w:rPr>
                <w:sz w:val="22"/>
                <w:szCs w:val="22"/>
              </w:rPr>
            </w:pPr>
            <w:r w:rsidRPr="00AF2A94">
              <w:rPr>
                <w:sz w:val="22"/>
                <w:szCs w:val="22"/>
              </w:rPr>
              <w:t>23.5%</w:t>
            </w:r>
          </w:p>
          <w:p w14:paraId="765EBA75" w14:textId="77777777" w:rsidR="00AC24C4" w:rsidRPr="00AF2A94" w:rsidRDefault="00AC24C4" w:rsidP="00C832B2">
            <w:pPr>
              <w:contextualSpacing/>
              <w:jc w:val="center"/>
              <w:rPr>
                <w:sz w:val="22"/>
                <w:szCs w:val="22"/>
              </w:rPr>
            </w:pPr>
            <w:r w:rsidRPr="00AF2A94">
              <w:rPr>
                <w:sz w:val="22"/>
                <w:szCs w:val="22"/>
              </w:rPr>
              <w:t>11.8%</w:t>
            </w:r>
          </w:p>
          <w:p w14:paraId="3899C1B2" w14:textId="77777777" w:rsidR="00AC24C4" w:rsidRPr="00AF2A94" w:rsidRDefault="00AC24C4" w:rsidP="00C832B2">
            <w:pPr>
              <w:contextualSpacing/>
              <w:jc w:val="center"/>
              <w:rPr>
                <w:sz w:val="22"/>
                <w:szCs w:val="22"/>
              </w:rPr>
            </w:pPr>
            <w:r w:rsidRPr="00AF2A94">
              <w:rPr>
                <w:sz w:val="22"/>
                <w:szCs w:val="22"/>
              </w:rPr>
              <w:t>11.8%</w:t>
            </w:r>
          </w:p>
          <w:p w14:paraId="29E44017" w14:textId="77777777" w:rsidR="00AC24C4" w:rsidRPr="00AF2A94" w:rsidRDefault="00AC24C4" w:rsidP="00C832B2">
            <w:pPr>
              <w:contextualSpacing/>
              <w:jc w:val="center"/>
              <w:rPr>
                <w:sz w:val="22"/>
                <w:szCs w:val="22"/>
              </w:rPr>
            </w:pPr>
            <w:r w:rsidRPr="00AF2A94">
              <w:rPr>
                <w:sz w:val="22"/>
                <w:szCs w:val="22"/>
              </w:rPr>
              <w:t>17.6%</w:t>
            </w:r>
          </w:p>
          <w:p w14:paraId="6F7BC8E9" w14:textId="77777777" w:rsidR="00AC24C4" w:rsidRPr="00AF2A94" w:rsidRDefault="00AC24C4" w:rsidP="00C832B2">
            <w:pPr>
              <w:contextualSpacing/>
              <w:jc w:val="center"/>
              <w:rPr>
                <w:sz w:val="22"/>
                <w:szCs w:val="22"/>
              </w:rPr>
            </w:pPr>
            <w:r w:rsidRPr="00AF2A94">
              <w:rPr>
                <w:sz w:val="22"/>
                <w:szCs w:val="22"/>
              </w:rPr>
              <w:t>17.6%</w:t>
            </w:r>
          </w:p>
          <w:p w14:paraId="4D3CCCF1" w14:textId="77777777" w:rsidR="00AC24C4" w:rsidRPr="00AF2A94" w:rsidRDefault="00AC24C4" w:rsidP="00C832B2">
            <w:pPr>
              <w:contextualSpacing/>
              <w:jc w:val="center"/>
              <w:rPr>
                <w:sz w:val="22"/>
                <w:szCs w:val="22"/>
              </w:rPr>
            </w:pPr>
            <w:r w:rsidRPr="00AF2A94">
              <w:rPr>
                <w:sz w:val="22"/>
                <w:szCs w:val="22"/>
              </w:rPr>
              <w:t>11.8%</w:t>
            </w:r>
          </w:p>
          <w:p w14:paraId="6EF7E904" w14:textId="50200E57" w:rsidR="00AC24C4" w:rsidRPr="00AF2A94" w:rsidRDefault="00AC24C4" w:rsidP="00C832B2">
            <w:pPr>
              <w:contextualSpacing/>
              <w:jc w:val="center"/>
              <w:rPr>
                <w:sz w:val="22"/>
                <w:szCs w:val="22"/>
              </w:rPr>
            </w:pPr>
            <w:r w:rsidRPr="00AF2A94">
              <w:rPr>
                <w:sz w:val="22"/>
                <w:szCs w:val="22"/>
              </w:rPr>
              <w:t>5.9%</w:t>
            </w:r>
          </w:p>
        </w:tc>
        <w:tc>
          <w:tcPr>
            <w:tcW w:w="1890" w:type="dxa"/>
          </w:tcPr>
          <w:p w14:paraId="688078B6" w14:textId="77777777" w:rsidR="00813C08" w:rsidRPr="00AF2A94" w:rsidRDefault="00813C08" w:rsidP="00C832B2">
            <w:pPr>
              <w:contextualSpacing/>
              <w:jc w:val="center"/>
              <w:rPr>
                <w:sz w:val="22"/>
                <w:szCs w:val="22"/>
              </w:rPr>
            </w:pPr>
          </w:p>
          <w:p w14:paraId="5FF3087C" w14:textId="77777777" w:rsidR="00DD0E30" w:rsidRPr="00AF2A94" w:rsidRDefault="00DD0E30" w:rsidP="00C832B2">
            <w:pPr>
              <w:contextualSpacing/>
              <w:jc w:val="center"/>
              <w:rPr>
                <w:sz w:val="22"/>
                <w:szCs w:val="22"/>
              </w:rPr>
            </w:pPr>
            <w:r w:rsidRPr="00AF2A94">
              <w:rPr>
                <w:sz w:val="22"/>
                <w:szCs w:val="22"/>
              </w:rPr>
              <w:t>30.0%</w:t>
            </w:r>
          </w:p>
          <w:p w14:paraId="4506943B" w14:textId="77777777" w:rsidR="00DD0E30" w:rsidRPr="00AF2A94" w:rsidRDefault="00DD0E30" w:rsidP="00C832B2">
            <w:pPr>
              <w:contextualSpacing/>
              <w:jc w:val="center"/>
              <w:rPr>
                <w:sz w:val="22"/>
                <w:szCs w:val="22"/>
              </w:rPr>
            </w:pPr>
            <w:r w:rsidRPr="00AF2A94">
              <w:rPr>
                <w:sz w:val="22"/>
                <w:szCs w:val="22"/>
              </w:rPr>
              <w:t>25.0%</w:t>
            </w:r>
          </w:p>
          <w:p w14:paraId="7571B4A3" w14:textId="77777777" w:rsidR="00DD0E30" w:rsidRPr="00AF2A94" w:rsidRDefault="00DD0E30" w:rsidP="00C832B2">
            <w:pPr>
              <w:contextualSpacing/>
              <w:jc w:val="center"/>
              <w:rPr>
                <w:sz w:val="22"/>
                <w:szCs w:val="22"/>
              </w:rPr>
            </w:pPr>
            <w:r w:rsidRPr="00AF2A94">
              <w:rPr>
                <w:sz w:val="22"/>
                <w:szCs w:val="22"/>
              </w:rPr>
              <w:t>10.0%</w:t>
            </w:r>
          </w:p>
          <w:p w14:paraId="06FA45BE" w14:textId="77777777" w:rsidR="00DD0E30" w:rsidRPr="00AF2A94" w:rsidRDefault="00DD0E30" w:rsidP="00C832B2">
            <w:pPr>
              <w:contextualSpacing/>
              <w:jc w:val="center"/>
              <w:rPr>
                <w:sz w:val="22"/>
                <w:szCs w:val="22"/>
              </w:rPr>
            </w:pPr>
            <w:r w:rsidRPr="00AF2A94">
              <w:rPr>
                <w:sz w:val="22"/>
                <w:szCs w:val="22"/>
              </w:rPr>
              <w:t>10.0%</w:t>
            </w:r>
          </w:p>
          <w:p w14:paraId="53FC6FDB" w14:textId="77777777" w:rsidR="00DD0E30" w:rsidRPr="00AF2A94" w:rsidRDefault="00DD0E30" w:rsidP="00C832B2">
            <w:pPr>
              <w:contextualSpacing/>
              <w:jc w:val="center"/>
              <w:rPr>
                <w:sz w:val="22"/>
                <w:szCs w:val="22"/>
              </w:rPr>
            </w:pPr>
            <w:r w:rsidRPr="00AF2A94">
              <w:rPr>
                <w:sz w:val="22"/>
                <w:szCs w:val="22"/>
              </w:rPr>
              <w:t>5.0%</w:t>
            </w:r>
          </w:p>
          <w:p w14:paraId="7DBE00AB" w14:textId="77777777" w:rsidR="00DD0E30" w:rsidRPr="00AF2A94" w:rsidRDefault="00DD0E30" w:rsidP="00C832B2">
            <w:pPr>
              <w:contextualSpacing/>
              <w:jc w:val="center"/>
              <w:rPr>
                <w:sz w:val="22"/>
                <w:szCs w:val="22"/>
              </w:rPr>
            </w:pPr>
            <w:r w:rsidRPr="00AF2A94">
              <w:rPr>
                <w:sz w:val="22"/>
                <w:szCs w:val="22"/>
              </w:rPr>
              <w:t>10.0%</w:t>
            </w:r>
          </w:p>
          <w:p w14:paraId="6E305620" w14:textId="5DD93823" w:rsidR="00DD0E30" w:rsidRPr="00AF2A94" w:rsidRDefault="00DD0E30" w:rsidP="00C832B2">
            <w:pPr>
              <w:contextualSpacing/>
              <w:jc w:val="center"/>
              <w:rPr>
                <w:sz w:val="22"/>
                <w:szCs w:val="22"/>
              </w:rPr>
            </w:pPr>
            <w:r w:rsidRPr="00AF2A94">
              <w:rPr>
                <w:sz w:val="22"/>
                <w:szCs w:val="22"/>
              </w:rPr>
              <w:t>10.0%</w:t>
            </w:r>
          </w:p>
        </w:tc>
        <w:tc>
          <w:tcPr>
            <w:tcW w:w="1890" w:type="dxa"/>
          </w:tcPr>
          <w:p w14:paraId="2F0BDA43" w14:textId="77777777" w:rsidR="00813C08" w:rsidRPr="00AF2A94" w:rsidRDefault="00813C08" w:rsidP="00C832B2">
            <w:pPr>
              <w:contextualSpacing/>
              <w:jc w:val="center"/>
              <w:rPr>
                <w:sz w:val="22"/>
                <w:szCs w:val="22"/>
              </w:rPr>
            </w:pPr>
          </w:p>
          <w:p w14:paraId="7A4ACFC6" w14:textId="77777777" w:rsidR="00373A40" w:rsidRPr="00AF2A94" w:rsidRDefault="00373A40" w:rsidP="00C832B2">
            <w:pPr>
              <w:contextualSpacing/>
              <w:jc w:val="center"/>
              <w:rPr>
                <w:sz w:val="22"/>
                <w:szCs w:val="22"/>
              </w:rPr>
            </w:pPr>
            <w:r w:rsidRPr="00AF2A94">
              <w:rPr>
                <w:sz w:val="22"/>
                <w:szCs w:val="22"/>
              </w:rPr>
              <w:t>16.7%</w:t>
            </w:r>
          </w:p>
          <w:p w14:paraId="7243B88E" w14:textId="77777777" w:rsidR="00373A40" w:rsidRPr="00AF2A94" w:rsidRDefault="00373A40" w:rsidP="00C832B2">
            <w:pPr>
              <w:contextualSpacing/>
              <w:jc w:val="center"/>
              <w:rPr>
                <w:sz w:val="22"/>
                <w:szCs w:val="22"/>
              </w:rPr>
            </w:pPr>
            <w:r w:rsidRPr="00AF2A94">
              <w:rPr>
                <w:sz w:val="22"/>
                <w:szCs w:val="22"/>
              </w:rPr>
              <w:t>11.1%</w:t>
            </w:r>
          </w:p>
          <w:p w14:paraId="4F43FCBE" w14:textId="77777777" w:rsidR="00373A40" w:rsidRPr="00AF2A94" w:rsidRDefault="00373A40" w:rsidP="00C832B2">
            <w:pPr>
              <w:contextualSpacing/>
              <w:jc w:val="center"/>
              <w:rPr>
                <w:sz w:val="22"/>
                <w:szCs w:val="22"/>
              </w:rPr>
            </w:pPr>
            <w:r w:rsidRPr="00AF2A94">
              <w:rPr>
                <w:sz w:val="22"/>
                <w:szCs w:val="22"/>
              </w:rPr>
              <w:t>16.7%</w:t>
            </w:r>
          </w:p>
          <w:p w14:paraId="79219014" w14:textId="77777777" w:rsidR="00373A40" w:rsidRPr="00AF2A94" w:rsidRDefault="00373A40" w:rsidP="00C832B2">
            <w:pPr>
              <w:contextualSpacing/>
              <w:jc w:val="center"/>
              <w:rPr>
                <w:sz w:val="22"/>
                <w:szCs w:val="22"/>
              </w:rPr>
            </w:pPr>
            <w:r w:rsidRPr="00AF2A94">
              <w:rPr>
                <w:sz w:val="22"/>
                <w:szCs w:val="22"/>
              </w:rPr>
              <w:t>38.9%</w:t>
            </w:r>
          </w:p>
          <w:p w14:paraId="7028F654" w14:textId="77777777" w:rsidR="00373A40" w:rsidRPr="00AF2A94" w:rsidRDefault="00373A40" w:rsidP="00C832B2">
            <w:pPr>
              <w:contextualSpacing/>
              <w:jc w:val="center"/>
              <w:rPr>
                <w:sz w:val="22"/>
                <w:szCs w:val="22"/>
              </w:rPr>
            </w:pPr>
            <w:r w:rsidRPr="00AF2A94">
              <w:rPr>
                <w:sz w:val="22"/>
                <w:szCs w:val="22"/>
              </w:rPr>
              <w:t>5.6%</w:t>
            </w:r>
          </w:p>
          <w:p w14:paraId="05DDE6CB" w14:textId="77777777" w:rsidR="00373A40" w:rsidRPr="00AF2A94" w:rsidRDefault="00373A40" w:rsidP="00C832B2">
            <w:pPr>
              <w:contextualSpacing/>
              <w:jc w:val="center"/>
              <w:rPr>
                <w:sz w:val="22"/>
                <w:szCs w:val="22"/>
              </w:rPr>
            </w:pPr>
            <w:r w:rsidRPr="00AF2A94">
              <w:rPr>
                <w:sz w:val="22"/>
                <w:szCs w:val="22"/>
              </w:rPr>
              <w:t>11.1%</w:t>
            </w:r>
          </w:p>
          <w:p w14:paraId="6E122B8E" w14:textId="1F17BACE" w:rsidR="00373A40" w:rsidRPr="00AF2A94" w:rsidRDefault="00373A40" w:rsidP="00C832B2">
            <w:pPr>
              <w:contextualSpacing/>
              <w:jc w:val="center"/>
              <w:rPr>
                <w:sz w:val="22"/>
                <w:szCs w:val="22"/>
              </w:rPr>
            </w:pPr>
            <w:r w:rsidRPr="00AF2A94">
              <w:rPr>
                <w:sz w:val="22"/>
                <w:szCs w:val="22"/>
              </w:rPr>
              <w:t>0.0%</w:t>
            </w:r>
          </w:p>
        </w:tc>
      </w:tr>
      <w:tr w:rsidR="001D1B17" w14:paraId="7E7A2679" w14:textId="77777777" w:rsidTr="00D7264B">
        <w:tc>
          <w:tcPr>
            <w:tcW w:w="3780" w:type="dxa"/>
          </w:tcPr>
          <w:p w14:paraId="5B99BA59" w14:textId="77777777" w:rsidR="001D1B17" w:rsidRPr="00AF2A94" w:rsidRDefault="001D1B17" w:rsidP="00AF2A94">
            <w:pPr>
              <w:contextualSpacing/>
              <w:rPr>
                <w:sz w:val="22"/>
                <w:szCs w:val="22"/>
              </w:rPr>
            </w:pPr>
          </w:p>
        </w:tc>
        <w:tc>
          <w:tcPr>
            <w:tcW w:w="1890" w:type="dxa"/>
          </w:tcPr>
          <w:p w14:paraId="338EC817" w14:textId="5320D4EE" w:rsidR="001D1B17" w:rsidRPr="00AF2A94" w:rsidRDefault="001D1B17" w:rsidP="00C832B2">
            <w:pPr>
              <w:contextualSpacing/>
              <w:jc w:val="center"/>
              <w:rPr>
                <w:sz w:val="22"/>
                <w:szCs w:val="22"/>
              </w:rPr>
            </w:pPr>
          </w:p>
        </w:tc>
        <w:tc>
          <w:tcPr>
            <w:tcW w:w="1890" w:type="dxa"/>
          </w:tcPr>
          <w:p w14:paraId="079EF971" w14:textId="77777777" w:rsidR="001D1B17" w:rsidRPr="00AF2A94" w:rsidRDefault="001D1B17" w:rsidP="00C832B2">
            <w:pPr>
              <w:contextualSpacing/>
              <w:jc w:val="center"/>
              <w:rPr>
                <w:sz w:val="22"/>
                <w:szCs w:val="22"/>
              </w:rPr>
            </w:pPr>
          </w:p>
        </w:tc>
        <w:tc>
          <w:tcPr>
            <w:tcW w:w="1890" w:type="dxa"/>
          </w:tcPr>
          <w:p w14:paraId="78D42AC8" w14:textId="77777777" w:rsidR="001D1B17" w:rsidRPr="00AF2A94" w:rsidRDefault="001D1B17" w:rsidP="00C832B2">
            <w:pPr>
              <w:contextualSpacing/>
              <w:jc w:val="center"/>
              <w:rPr>
                <w:sz w:val="22"/>
                <w:szCs w:val="22"/>
              </w:rPr>
            </w:pPr>
          </w:p>
        </w:tc>
      </w:tr>
      <w:tr w:rsidR="001D1B17" w14:paraId="4AFD7CBB" w14:textId="77777777" w:rsidTr="00D7264B">
        <w:tc>
          <w:tcPr>
            <w:tcW w:w="3780" w:type="dxa"/>
            <w:tcBorders>
              <w:bottom w:val="single" w:sz="4" w:space="0" w:color="auto"/>
            </w:tcBorders>
          </w:tcPr>
          <w:p w14:paraId="05C3A5FD" w14:textId="1783BBE0" w:rsidR="001D1B17" w:rsidRDefault="001D1B17" w:rsidP="00AF2A94">
            <w:pPr>
              <w:contextualSpacing/>
              <w:rPr>
                <w:sz w:val="22"/>
                <w:szCs w:val="22"/>
              </w:rPr>
            </w:pPr>
            <w:r>
              <w:rPr>
                <w:sz w:val="22"/>
                <w:szCs w:val="22"/>
              </w:rPr>
              <w:t xml:space="preserve">Past weight loss </w:t>
            </w:r>
            <w:r w:rsidR="00D7264B">
              <w:rPr>
                <w:sz w:val="22"/>
                <w:szCs w:val="22"/>
              </w:rPr>
              <w:t>methods</w:t>
            </w:r>
          </w:p>
          <w:p w14:paraId="2968F814" w14:textId="5B3C7AE8" w:rsidR="001D1B17" w:rsidRPr="00D7264B" w:rsidRDefault="001D1B17" w:rsidP="001D1B17">
            <w:pPr>
              <w:contextualSpacing/>
              <w:rPr>
                <w:i/>
                <w:iCs/>
                <w:sz w:val="22"/>
                <w:szCs w:val="22"/>
              </w:rPr>
            </w:pPr>
            <w:r w:rsidRPr="00D7264B">
              <w:rPr>
                <w:i/>
                <w:iCs/>
                <w:sz w:val="22"/>
                <w:szCs w:val="22"/>
              </w:rPr>
              <w:t xml:space="preserve">Commercial </w:t>
            </w:r>
            <w:r>
              <w:rPr>
                <w:i/>
                <w:iCs/>
                <w:sz w:val="22"/>
                <w:szCs w:val="22"/>
              </w:rPr>
              <w:t>weight program</w:t>
            </w:r>
          </w:p>
          <w:p w14:paraId="3B01DED3" w14:textId="50792B68" w:rsidR="001D1B17" w:rsidRPr="00D7264B" w:rsidRDefault="001D1B17" w:rsidP="001D1B17">
            <w:pPr>
              <w:contextualSpacing/>
              <w:rPr>
                <w:i/>
                <w:iCs/>
                <w:sz w:val="22"/>
                <w:szCs w:val="22"/>
              </w:rPr>
            </w:pPr>
            <w:r w:rsidRPr="00D7264B">
              <w:rPr>
                <w:i/>
                <w:iCs/>
                <w:sz w:val="22"/>
                <w:szCs w:val="22"/>
              </w:rPr>
              <w:t>Physician</w:t>
            </w:r>
          </w:p>
          <w:p w14:paraId="51CE0A09" w14:textId="1DD34A7F" w:rsidR="001D1B17" w:rsidRPr="00D7264B" w:rsidRDefault="001D1B17" w:rsidP="001D1B17">
            <w:pPr>
              <w:contextualSpacing/>
              <w:rPr>
                <w:i/>
                <w:iCs/>
                <w:sz w:val="22"/>
                <w:szCs w:val="22"/>
              </w:rPr>
            </w:pPr>
            <w:r w:rsidRPr="00D7264B">
              <w:rPr>
                <w:i/>
                <w:iCs/>
                <w:sz w:val="22"/>
                <w:szCs w:val="22"/>
              </w:rPr>
              <w:t xml:space="preserve">Registered dietician </w:t>
            </w:r>
          </w:p>
          <w:p w14:paraId="6863DCC0" w14:textId="47C687DE" w:rsidR="001D1B17" w:rsidRPr="00D7264B" w:rsidRDefault="001D1B17" w:rsidP="001D1B17">
            <w:pPr>
              <w:contextualSpacing/>
              <w:rPr>
                <w:i/>
                <w:iCs/>
                <w:sz w:val="22"/>
                <w:szCs w:val="22"/>
              </w:rPr>
            </w:pPr>
            <w:r w:rsidRPr="00D7264B">
              <w:rPr>
                <w:i/>
                <w:iCs/>
                <w:sz w:val="22"/>
                <w:szCs w:val="22"/>
              </w:rPr>
              <w:t xml:space="preserve">Psychologist or counselor </w:t>
            </w:r>
          </w:p>
          <w:p w14:paraId="5A1897A7" w14:textId="48B39A59" w:rsidR="001D1B17" w:rsidRPr="00D7264B" w:rsidRDefault="001D1B17" w:rsidP="001D1B17">
            <w:pPr>
              <w:contextualSpacing/>
              <w:rPr>
                <w:i/>
                <w:iCs/>
                <w:sz w:val="22"/>
                <w:szCs w:val="22"/>
              </w:rPr>
            </w:pPr>
            <w:r w:rsidRPr="00D7264B">
              <w:rPr>
                <w:i/>
                <w:iCs/>
                <w:sz w:val="22"/>
                <w:szCs w:val="22"/>
              </w:rPr>
              <w:t xml:space="preserve">Personal exercise trainer </w:t>
            </w:r>
          </w:p>
          <w:p w14:paraId="7C7EBCB4" w14:textId="1DBBFB70" w:rsidR="001D1B17" w:rsidRPr="00D7264B" w:rsidRDefault="001D1B17" w:rsidP="001D1B17">
            <w:pPr>
              <w:contextualSpacing/>
              <w:rPr>
                <w:i/>
                <w:iCs/>
                <w:sz w:val="22"/>
                <w:szCs w:val="22"/>
              </w:rPr>
            </w:pPr>
            <w:r w:rsidRPr="00D7264B">
              <w:rPr>
                <w:i/>
                <w:iCs/>
                <w:sz w:val="22"/>
                <w:szCs w:val="22"/>
              </w:rPr>
              <w:t>Exercise classes</w:t>
            </w:r>
          </w:p>
          <w:p w14:paraId="251A39D5" w14:textId="373EE05F" w:rsidR="001D1B17" w:rsidRPr="00D7264B" w:rsidRDefault="001D1B17" w:rsidP="001D1B17">
            <w:pPr>
              <w:contextualSpacing/>
              <w:rPr>
                <w:i/>
                <w:iCs/>
                <w:sz w:val="22"/>
                <w:szCs w:val="22"/>
              </w:rPr>
            </w:pPr>
            <w:r w:rsidRPr="00D7264B">
              <w:rPr>
                <w:i/>
                <w:iCs/>
                <w:sz w:val="22"/>
                <w:szCs w:val="22"/>
              </w:rPr>
              <w:t>Prescription/over-the-counter diet pills</w:t>
            </w:r>
          </w:p>
          <w:p w14:paraId="7A295E57" w14:textId="662DD76C" w:rsidR="001D1B17" w:rsidRPr="00D7264B" w:rsidRDefault="001D1B17" w:rsidP="001D1B17">
            <w:pPr>
              <w:contextualSpacing/>
              <w:rPr>
                <w:i/>
                <w:iCs/>
                <w:sz w:val="22"/>
                <w:szCs w:val="22"/>
              </w:rPr>
            </w:pPr>
            <w:r w:rsidRPr="00D7264B">
              <w:rPr>
                <w:i/>
                <w:iCs/>
                <w:sz w:val="22"/>
                <w:szCs w:val="22"/>
              </w:rPr>
              <w:t xml:space="preserve">Self-guided diet program </w:t>
            </w:r>
          </w:p>
          <w:p w14:paraId="5C62C241" w14:textId="5153F227" w:rsidR="001D1B17" w:rsidRPr="00AF2A94" w:rsidRDefault="001D1B17" w:rsidP="001D1B17">
            <w:pPr>
              <w:contextualSpacing/>
              <w:rPr>
                <w:sz w:val="22"/>
                <w:szCs w:val="22"/>
              </w:rPr>
            </w:pPr>
            <w:r w:rsidRPr="00D7264B">
              <w:rPr>
                <w:i/>
                <w:iCs/>
                <w:sz w:val="22"/>
                <w:szCs w:val="22"/>
              </w:rPr>
              <w:t xml:space="preserve">Self-help group </w:t>
            </w:r>
          </w:p>
        </w:tc>
        <w:tc>
          <w:tcPr>
            <w:tcW w:w="1890" w:type="dxa"/>
            <w:tcBorders>
              <w:bottom w:val="single" w:sz="4" w:space="0" w:color="auto"/>
            </w:tcBorders>
          </w:tcPr>
          <w:p w14:paraId="4498945F" w14:textId="77777777" w:rsidR="001D1B17" w:rsidRDefault="001D1B17" w:rsidP="00C832B2">
            <w:pPr>
              <w:contextualSpacing/>
              <w:jc w:val="center"/>
              <w:rPr>
                <w:sz w:val="22"/>
                <w:szCs w:val="22"/>
              </w:rPr>
            </w:pPr>
          </w:p>
          <w:p w14:paraId="5ED4FF1A" w14:textId="77777777" w:rsidR="001D1B17" w:rsidRDefault="001D1B17" w:rsidP="00C832B2">
            <w:pPr>
              <w:contextualSpacing/>
              <w:jc w:val="center"/>
              <w:rPr>
                <w:sz w:val="22"/>
                <w:szCs w:val="22"/>
              </w:rPr>
            </w:pPr>
            <w:r>
              <w:rPr>
                <w:sz w:val="22"/>
                <w:szCs w:val="22"/>
              </w:rPr>
              <w:t>64.7%</w:t>
            </w:r>
          </w:p>
          <w:p w14:paraId="796793FC" w14:textId="77777777" w:rsidR="001D1B17" w:rsidRDefault="001D1B17" w:rsidP="00C832B2">
            <w:pPr>
              <w:contextualSpacing/>
              <w:jc w:val="center"/>
              <w:rPr>
                <w:sz w:val="22"/>
                <w:szCs w:val="22"/>
              </w:rPr>
            </w:pPr>
            <w:r>
              <w:rPr>
                <w:sz w:val="22"/>
                <w:szCs w:val="22"/>
              </w:rPr>
              <w:t>29.4%</w:t>
            </w:r>
          </w:p>
          <w:p w14:paraId="4B27F3DE" w14:textId="77777777" w:rsidR="001D1B17" w:rsidRDefault="001D1B17" w:rsidP="00C832B2">
            <w:pPr>
              <w:contextualSpacing/>
              <w:jc w:val="center"/>
              <w:rPr>
                <w:sz w:val="22"/>
                <w:szCs w:val="22"/>
              </w:rPr>
            </w:pPr>
            <w:r>
              <w:rPr>
                <w:sz w:val="22"/>
                <w:szCs w:val="22"/>
              </w:rPr>
              <w:t>11.8%</w:t>
            </w:r>
          </w:p>
          <w:p w14:paraId="76A64BAF" w14:textId="77777777" w:rsidR="001D1B17" w:rsidRDefault="001D1B17" w:rsidP="00C832B2">
            <w:pPr>
              <w:contextualSpacing/>
              <w:jc w:val="center"/>
              <w:rPr>
                <w:sz w:val="22"/>
                <w:szCs w:val="22"/>
              </w:rPr>
            </w:pPr>
            <w:r>
              <w:rPr>
                <w:sz w:val="22"/>
                <w:szCs w:val="22"/>
              </w:rPr>
              <w:t>0%</w:t>
            </w:r>
          </w:p>
          <w:p w14:paraId="6CB16988" w14:textId="77777777" w:rsidR="001D1B17" w:rsidRDefault="001D1B17" w:rsidP="00C832B2">
            <w:pPr>
              <w:contextualSpacing/>
              <w:jc w:val="center"/>
              <w:rPr>
                <w:sz w:val="22"/>
                <w:szCs w:val="22"/>
              </w:rPr>
            </w:pPr>
            <w:r>
              <w:rPr>
                <w:sz w:val="22"/>
                <w:szCs w:val="22"/>
              </w:rPr>
              <w:t>11.8%</w:t>
            </w:r>
          </w:p>
          <w:p w14:paraId="3E9BF373" w14:textId="77777777" w:rsidR="001D1B17" w:rsidRDefault="001D1B17" w:rsidP="00C832B2">
            <w:pPr>
              <w:contextualSpacing/>
              <w:jc w:val="center"/>
              <w:rPr>
                <w:sz w:val="22"/>
                <w:szCs w:val="22"/>
              </w:rPr>
            </w:pPr>
            <w:r>
              <w:rPr>
                <w:sz w:val="22"/>
                <w:szCs w:val="22"/>
              </w:rPr>
              <w:t>64.7%</w:t>
            </w:r>
          </w:p>
          <w:p w14:paraId="307CE224" w14:textId="77777777" w:rsidR="001D1B17" w:rsidRDefault="001D1B17" w:rsidP="00C832B2">
            <w:pPr>
              <w:contextualSpacing/>
              <w:jc w:val="center"/>
              <w:rPr>
                <w:sz w:val="22"/>
                <w:szCs w:val="22"/>
              </w:rPr>
            </w:pPr>
            <w:r>
              <w:rPr>
                <w:sz w:val="22"/>
                <w:szCs w:val="22"/>
              </w:rPr>
              <w:t>41.2%</w:t>
            </w:r>
          </w:p>
          <w:p w14:paraId="50A66323" w14:textId="77777777" w:rsidR="001D1B17" w:rsidRDefault="001D1B17" w:rsidP="00C832B2">
            <w:pPr>
              <w:contextualSpacing/>
              <w:jc w:val="center"/>
              <w:rPr>
                <w:sz w:val="22"/>
                <w:szCs w:val="22"/>
              </w:rPr>
            </w:pPr>
            <w:r>
              <w:rPr>
                <w:sz w:val="22"/>
                <w:szCs w:val="22"/>
              </w:rPr>
              <w:t>64.7%</w:t>
            </w:r>
          </w:p>
          <w:p w14:paraId="53C30F21" w14:textId="6FDCFFD3" w:rsidR="001D1B17" w:rsidRPr="00AF2A94" w:rsidRDefault="001D1B17" w:rsidP="00C832B2">
            <w:pPr>
              <w:contextualSpacing/>
              <w:jc w:val="center"/>
              <w:rPr>
                <w:sz w:val="22"/>
                <w:szCs w:val="22"/>
              </w:rPr>
            </w:pPr>
            <w:r>
              <w:rPr>
                <w:sz w:val="22"/>
                <w:szCs w:val="22"/>
              </w:rPr>
              <w:t>5.9%</w:t>
            </w:r>
          </w:p>
        </w:tc>
        <w:tc>
          <w:tcPr>
            <w:tcW w:w="1890" w:type="dxa"/>
            <w:tcBorders>
              <w:bottom w:val="single" w:sz="4" w:space="0" w:color="auto"/>
            </w:tcBorders>
          </w:tcPr>
          <w:p w14:paraId="71D7BA88" w14:textId="77777777" w:rsidR="001D1B17" w:rsidRDefault="001D1B17" w:rsidP="00C832B2">
            <w:pPr>
              <w:contextualSpacing/>
              <w:jc w:val="center"/>
              <w:rPr>
                <w:sz w:val="22"/>
                <w:szCs w:val="22"/>
              </w:rPr>
            </w:pPr>
          </w:p>
          <w:p w14:paraId="4D773D6F" w14:textId="77777777" w:rsidR="001D1B17" w:rsidRDefault="001D1B17" w:rsidP="00C832B2">
            <w:pPr>
              <w:contextualSpacing/>
              <w:jc w:val="center"/>
              <w:rPr>
                <w:sz w:val="22"/>
                <w:szCs w:val="22"/>
              </w:rPr>
            </w:pPr>
            <w:r>
              <w:rPr>
                <w:sz w:val="22"/>
                <w:szCs w:val="22"/>
              </w:rPr>
              <w:t>40.0%</w:t>
            </w:r>
          </w:p>
          <w:p w14:paraId="56372649" w14:textId="77777777" w:rsidR="001D1B17" w:rsidRDefault="001D1B17" w:rsidP="00C832B2">
            <w:pPr>
              <w:contextualSpacing/>
              <w:jc w:val="center"/>
              <w:rPr>
                <w:sz w:val="22"/>
                <w:szCs w:val="22"/>
              </w:rPr>
            </w:pPr>
            <w:r>
              <w:rPr>
                <w:sz w:val="22"/>
                <w:szCs w:val="22"/>
              </w:rPr>
              <w:t>45.0%</w:t>
            </w:r>
          </w:p>
          <w:p w14:paraId="73BA2257" w14:textId="4DAD2911" w:rsidR="001D1B17" w:rsidRDefault="001D1B17" w:rsidP="00C832B2">
            <w:pPr>
              <w:contextualSpacing/>
              <w:jc w:val="center"/>
              <w:rPr>
                <w:sz w:val="22"/>
                <w:szCs w:val="22"/>
              </w:rPr>
            </w:pPr>
            <w:r>
              <w:rPr>
                <w:sz w:val="22"/>
                <w:szCs w:val="22"/>
              </w:rPr>
              <w:t>25.0%</w:t>
            </w:r>
          </w:p>
          <w:p w14:paraId="15DEDAFA" w14:textId="77777777" w:rsidR="001D1B17" w:rsidRDefault="001D1B17" w:rsidP="00C832B2">
            <w:pPr>
              <w:contextualSpacing/>
              <w:jc w:val="center"/>
              <w:rPr>
                <w:sz w:val="22"/>
                <w:szCs w:val="22"/>
              </w:rPr>
            </w:pPr>
            <w:r>
              <w:rPr>
                <w:sz w:val="22"/>
                <w:szCs w:val="22"/>
              </w:rPr>
              <w:t>15.0%</w:t>
            </w:r>
          </w:p>
          <w:p w14:paraId="6EEACF88" w14:textId="77777777" w:rsidR="001D1B17" w:rsidRDefault="001D1B17" w:rsidP="00C832B2">
            <w:pPr>
              <w:contextualSpacing/>
              <w:jc w:val="center"/>
              <w:rPr>
                <w:sz w:val="22"/>
                <w:szCs w:val="22"/>
              </w:rPr>
            </w:pPr>
            <w:r>
              <w:rPr>
                <w:sz w:val="22"/>
                <w:szCs w:val="22"/>
              </w:rPr>
              <w:t>35.0%</w:t>
            </w:r>
          </w:p>
          <w:p w14:paraId="17FAA7EE" w14:textId="77777777" w:rsidR="001D1B17" w:rsidRDefault="001D1B17" w:rsidP="00C832B2">
            <w:pPr>
              <w:contextualSpacing/>
              <w:jc w:val="center"/>
              <w:rPr>
                <w:sz w:val="22"/>
                <w:szCs w:val="22"/>
              </w:rPr>
            </w:pPr>
            <w:r>
              <w:rPr>
                <w:sz w:val="22"/>
                <w:szCs w:val="22"/>
              </w:rPr>
              <w:t>70.0%</w:t>
            </w:r>
          </w:p>
          <w:p w14:paraId="0319E3F5" w14:textId="77777777" w:rsidR="001D1B17" w:rsidRDefault="001D1B17" w:rsidP="00C832B2">
            <w:pPr>
              <w:contextualSpacing/>
              <w:jc w:val="center"/>
              <w:rPr>
                <w:sz w:val="22"/>
                <w:szCs w:val="22"/>
              </w:rPr>
            </w:pPr>
            <w:r>
              <w:rPr>
                <w:sz w:val="22"/>
                <w:szCs w:val="22"/>
              </w:rPr>
              <w:t>35.0%</w:t>
            </w:r>
          </w:p>
          <w:p w14:paraId="53097512" w14:textId="77777777" w:rsidR="001D1B17" w:rsidRDefault="001D1B17" w:rsidP="00C832B2">
            <w:pPr>
              <w:contextualSpacing/>
              <w:jc w:val="center"/>
              <w:rPr>
                <w:sz w:val="22"/>
                <w:szCs w:val="22"/>
              </w:rPr>
            </w:pPr>
            <w:r>
              <w:rPr>
                <w:sz w:val="22"/>
                <w:szCs w:val="22"/>
              </w:rPr>
              <w:t>45.0%</w:t>
            </w:r>
          </w:p>
          <w:p w14:paraId="7D2844D1" w14:textId="1F2D6A86" w:rsidR="001D1B17" w:rsidRPr="00AF2A94" w:rsidRDefault="001D1B17" w:rsidP="00C832B2">
            <w:pPr>
              <w:contextualSpacing/>
              <w:jc w:val="center"/>
              <w:rPr>
                <w:sz w:val="22"/>
                <w:szCs w:val="22"/>
              </w:rPr>
            </w:pPr>
            <w:r>
              <w:rPr>
                <w:sz w:val="22"/>
                <w:szCs w:val="22"/>
              </w:rPr>
              <w:t>10.0%</w:t>
            </w:r>
          </w:p>
        </w:tc>
        <w:tc>
          <w:tcPr>
            <w:tcW w:w="1890" w:type="dxa"/>
            <w:tcBorders>
              <w:bottom w:val="single" w:sz="4" w:space="0" w:color="auto"/>
            </w:tcBorders>
          </w:tcPr>
          <w:p w14:paraId="30BB1F80" w14:textId="77777777" w:rsidR="001D1B17" w:rsidRDefault="001D1B17" w:rsidP="00C832B2">
            <w:pPr>
              <w:contextualSpacing/>
              <w:jc w:val="center"/>
              <w:rPr>
                <w:sz w:val="22"/>
                <w:szCs w:val="22"/>
              </w:rPr>
            </w:pPr>
          </w:p>
          <w:p w14:paraId="0E0D9BF0" w14:textId="77777777" w:rsidR="001D1B17" w:rsidRDefault="001D1B17" w:rsidP="00C832B2">
            <w:pPr>
              <w:contextualSpacing/>
              <w:jc w:val="center"/>
              <w:rPr>
                <w:sz w:val="22"/>
                <w:szCs w:val="22"/>
              </w:rPr>
            </w:pPr>
            <w:r>
              <w:rPr>
                <w:sz w:val="22"/>
                <w:szCs w:val="22"/>
              </w:rPr>
              <w:t>66.7%</w:t>
            </w:r>
          </w:p>
          <w:p w14:paraId="18C35C92" w14:textId="77777777" w:rsidR="001D1B17" w:rsidRDefault="001D1B17" w:rsidP="00C832B2">
            <w:pPr>
              <w:contextualSpacing/>
              <w:jc w:val="center"/>
              <w:rPr>
                <w:sz w:val="22"/>
                <w:szCs w:val="22"/>
              </w:rPr>
            </w:pPr>
            <w:r>
              <w:rPr>
                <w:sz w:val="22"/>
                <w:szCs w:val="22"/>
              </w:rPr>
              <w:t>44.4%</w:t>
            </w:r>
          </w:p>
          <w:p w14:paraId="2293BAAE" w14:textId="77777777" w:rsidR="001D1B17" w:rsidRDefault="001D1B17" w:rsidP="00C832B2">
            <w:pPr>
              <w:contextualSpacing/>
              <w:jc w:val="center"/>
              <w:rPr>
                <w:sz w:val="22"/>
                <w:szCs w:val="22"/>
              </w:rPr>
            </w:pPr>
            <w:r>
              <w:rPr>
                <w:sz w:val="22"/>
                <w:szCs w:val="22"/>
              </w:rPr>
              <w:t>33.3%</w:t>
            </w:r>
          </w:p>
          <w:p w14:paraId="5C22393D" w14:textId="77777777" w:rsidR="001D1B17" w:rsidRDefault="001D1B17" w:rsidP="00C832B2">
            <w:pPr>
              <w:contextualSpacing/>
              <w:jc w:val="center"/>
              <w:rPr>
                <w:sz w:val="22"/>
                <w:szCs w:val="22"/>
              </w:rPr>
            </w:pPr>
            <w:r>
              <w:rPr>
                <w:sz w:val="22"/>
                <w:szCs w:val="22"/>
              </w:rPr>
              <w:t>5.6%</w:t>
            </w:r>
          </w:p>
          <w:p w14:paraId="1146E547" w14:textId="77777777" w:rsidR="001D1B17" w:rsidRDefault="001D1B17" w:rsidP="00C832B2">
            <w:pPr>
              <w:contextualSpacing/>
              <w:jc w:val="center"/>
              <w:rPr>
                <w:sz w:val="22"/>
                <w:szCs w:val="22"/>
              </w:rPr>
            </w:pPr>
            <w:r>
              <w:rPr>
                <w:sz w:val="22"/>
                <w:szCs w:val="22"/>
              </w:rPr>
              <w:t>22.2%</w:t>
            </w:r>
          </w:p>
          <w:p w14:paraId="2229CEC3" w14:textId="77777777" w:rsidR="001D1B17" w:rsidRDefault="001D1B17" w:rsidP="00C832B2">
            <w:pPr>
              <w:contextualSpacing/>
              <w:jc w:val="center"/>
              <w:rPr>
                <w:sz w:val="22"/>
                <w:szCs w:val="22"/>
              </w:rPr>
            </w:pPr>
            <w:r>
              <w:rPr>
                <w:sz w:val="22"/>
                <w:szCs w:val="22"/>
              </w:rPr>
              <w:t>66.7%</w:t>
            </w:r>
          </w:p>
          <w:p w14:paraId="6C601BFF" w14:textId="77777777" w:rsidR="001D1B17" w:rsidRDefault="001D1B17" w:rsidP="00C832B2">
            <w:pPr>
              <w:contextualSpacing/>
              <w:jc w:val="center"/>
              <w:rPr>
                <w:sz w:val="22"/>
                <w:szCs w:val="22"/>
              </w:rPr>
            </w:pPr>
            <w:r>
              <w:rPr>
                <w:sz w:val="22"/>
                <w:szCs w:val="22"/>
              </w:rPr>
              <w:t>44.4%</w:t>
            </w:r>
          </w:p>
          <w:p w14:paraId="6C9E264D" w14:textId="77777777" w:rsidR="001D1B17" w:rsidRDefault="001D1B17" w:rsidP="00C832B2">
            <w:pPr>
              <w:contextualSpacing/>
              <w:jc w:val="center"/>
              <w:rPr>
                <w:sz w:val="22"/>
                <w:szCs w:val="22"/>
              </w:rPr>
            </w:pPr>
            <w:r>
              <w:rPr>
                <w:sz w:val="22"/>
                <w:szCs w:val="22"/>
              </w:rPr>
              <w:t>66.7%</w:t>
            </w:r>
          </w:p>
          <w:p w14:paraId="0CE51258" w14:textId="22A024A4" w:rsidR="001D1B17" w:rsidRPr="00AF2A94" w:rsidRDefault="001D1B17" w:rsidP="00C832B2">
            <w:pPr>
              <w:contextualSpacing/>
              <w:jc w:val="center"/>
              <w:rPr>
                <w:sz w:val="22"/>
                <w:szCs w:val="22"/>
              </w:rPr>
            </w:pPr>
            <w:r>
              <w:rPr>
                <w:sz w:val="22"/>
                <w:szCs w:val="22"/>
              </w:rPr>
              <w:t>16.7%</w:t>
            </w:r>
          </w:p>
        </w:tc>
      </w:tr>
    </w:tbl>
    <w:p w14:paraId="0505C515" w14:textId="54CE58A7" w:rsidR="00BA3FB6" w:rsidRDefault="00206B65" w:rsidP="00C832B2">
      <w:pPr>
        <w:spacing w:after="160" w:line="480" w:lineRule="auto"/>
      </w:pPr>
      <w:r w:rsidRPr="00C832B2">
        <w:rPr>
          <w:i/>
          <w:iCs/>
          <w:sz w:val="20"/>
          <w:szCs w:val="20"/>
        </w:rPr>
        <w:t>Note</w:t>
      </w:r>
      <w:r w:rsidR="00ED6A9C" w:rsidRPr="00C832B2">
        <w:rPr>
          <w:i/>
          <w:iCs/>
          <w:sz w:val="20"/>
          <w:szCs w:val="20"/>
        </w:rPr>
        <w:t>.</w:t>
      </w:r>
      <w:r>
        <w:rPr>
          <w:sz w:val="20"/>
          <w:szCs w:val="20"/>
        </w:rPr>
        <w:t xml:space="preserve"> GSH-P = guided ACT self-help with phone coaching, GSH-E = guided ACT self-help with email prompts, BMI = </w:t>
      </w:r>
      <w:r w:rsidR="008424EF">
        <w:rPr>
          <w:sz w:val="20"/>
          <w:szCs w:val="20"/>
        </w:rPr>
        <w:t>B</w:t>
      </w:r>
      <w:r>
        <w:rPr>
          <w:sz w:val="20"/>
          <w:szCs w:val="20"/>
        </w:rPr>
        <w:t xml:space="preserve">ody </w:t>
      </w:r>
      <w:r w:rsidR="008424EF">
        <w:rPr>
          <w:sz w:val="20"/>
          <w:szCs w:val="20"/>
        </w:rPr>
        <w:t>M</w:t>
      </w:r>
      <w:r>
        <w:rPr>
          <w:sz w:val="20"/>
          <w:szCs w:val="20"/>
        </w:rPr>
        <w:t xml:space="preserve">ass </w:t>
      </w:r>
      <w:r w:rsidR="008424EF">
        <w:rPr>
          <w:sz w:val="20"/>
          <w:szCs w:val="20"/>
        </w:rPr>
        <w:t>I</w:t>
      </w:r>
      <w:r>
        <w:rPr>
          <w:sz w:val="20"/>
          <w:szCs w:val="20"/>
        </w:rPr>
        <w:t>ndex.</w:t>
      </w:r>
      <w:r w:rsidR="00BA3FB6">
        <w:br w:type="page"/>
      </w:r>
    </w:p>
    <w:p w14:paraId="3A053836" w14:textId="0EED296A" w:rsidR="00162E29" w:rsidRDefault="00462A25" w:rsidP="00462A25">
      <w:pPr>
        <w:contextualSpacing/>
        <w:rPr>
          <w:b/>
          <w:bCs/>
        </w:rPr>
      </w:pPr>
      <w:r w:rsidRPr="00C832B2">
        <w:rPr>
          <w:b/>
          <w:bCs/>
        </w:rPr>
        <w:lastRenderedPageBreak/>
        <w:t>Table 2</w:t>
      </w:r>
    </w:p>
    <w:p w14:paraId="3B5A87CC" w14:textId="77777777" w:rsidR="0075458E" w:rsidRPr="00C832B2" w:rsidRDefault="0075458E" w:rsidP="00462A25">
      <w:pPr>
        <w:contextualSpacing/>
        <w:rPr>
          <w:b/>
          <w:bCs/>
        </w:rPr>
      </w:pPr>
    </w:p>
    <w:p w14:paraId="2A614988" w14:textId="511428EC" w:rsidR="00462A25" w:rsidRPr="00C832B2" w:rsidRDefault="00926FF8" w:rsidP="00462A25">
      <w:pPr>
        <w:contextualSpacing/>
        <w:rPr>
          <w:i/>
          <w:iCs/>
        </w:rPr>
      </w:pPr>
      <w:r w:rsidRPr="00C832B2">
        <w:rPr>
          <w:i/>
          <w:iCs/>
        </w:rPr>
        <w:t xml:space="preserve">Estimated </w:t>
      </w:r>
      <w:r w:rsidR="00162E29" w:rsidRPr="00C832B2">
        <w:rPr>
          <w:i/>
          <w:iCs/>
        </w:rPr>
        <w:t>M</w:t>
      </w:r>
      <w:r w:rsidRPr="00C832B2">
        <w:rPr>
          <w:i/>
          <w:iCs/>
        </w:rPr>
        <w:t xml:space="preserve">arginal </w:t>
      </w:r>
      <w:r w:rsidR="00162E29" w:rsidRPr="00C832B2">
        <w:rPr>
          <w:i/>
          <w:iCs/>
        </w:rPr>
        <w:t>M</w:t>
      </w:r>
      <w:r w:rsidRPr="00C832B2">
        <w:rPr>
          <w:i/>
          <w:iCs/>
        </w:rPr>
        <w:t xml:space="preserve">eans from MMRM </w:t>
      </w:r>
      <w:r w:rsidR="00162E29" w:rsidRPr="00C832B2">
        <w:rPr>
          <w:i/>
          <w:iCs/>
        </w:rPr>
        <w:t>A</w:t>
      </w:r>
      <w:r w:rsidRPr="00C832B2">
        <w:rPr>
          <w:i/>
          <w:iCs/>
        </w:rPr>
        <w:t xml:space="preserve">nalyses </w:t>
      </w:r>
      <w:r w:rsidR="00462A25" w:rsidRPr="00C832B2">
        <w:rPr>
          <w:i/>
          <w:iCs/>
        </w:rPr>
        <w:t xml:space="preserve">for </w:t>
      </w:r>
      <w:r w:rsidR="00162E29" w:rsidRPr="00C832B2">
        <w:rPr>
          <w:i/>
          <w:iCs/>
        </w:rPr>
        <w:t>O</w:t>
      </w:r>
      <w:r w:rsidR="00462A25" w:rsidRPr="00C832B2">
        <w:rPr>
          <w:i/>
          <w:iCs/>
        </w:rPr>
        <w:t xml:space="preserve">utcome and </w:t>
      </w:r>
      <w:r w:rsidR="00162E29" w:rsidRPr="00C832B2">
        <w:rPr>
          <w:i/>
          <w:iCs/>
        </w:rPr>
        <w:t>P</w:t>
      </w:r>
      <w:r w:rsidR="00462A25" w:rsidRPr="00C832B2">
        <w:rPr>
          <w:i/>
          <w:iCs/>
        </w:rPr>
        <w:t xml:space="preserve">rocess </w:t>
      </w:r>
      <w:r w:rsidR="00162E29" w:rsidRPr="00C832B2">
        <w:rPr>
          <w:i/>
          <w:iCs/>
        </w:rPr>
        <w:t>M</w:t>
      </w:r>
      <w:r w:rsidR="00462A25" w:rsidRPr="00C832B2">
        <w:rPr>
          <w:i/>
          <w:iCs/>
        </w:rPr>
        <w:t>easures</w:t>
      </w:r>
    </w:p>
    <w:p w14:paraId="714EA1D2" w14:textId="77777777" w:rsidR="00462A25" w:rsidRDefault="00462A25" w:rsidP="00462A25">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6"/>
        <w:gridCol w:w="1079"/>
        <w:gridCol w:w="1080"/>
        <w:gridCol w:w="1080"/>
        <w:gridCol w:w="1080"/>
        <w:gridCol w:w="1080"/>
        <w:gridCol w:w="1085"/>
      </w:tblGrid>
      <w:tr w:rsidR="00462A25" w14:paraId="5E5C8134" w14:textId="77777777" w:rsidTr="00C832B2">
        <w:tc>
          <w:tcPr>
            <w:tcW w:w="2696" w:type="dxa"/>
            <w:tcBorders>
              <w:top w:val="single" w:sz="4" w:space="0" w:color="auto"/>
            </w:tcBorders>
          </w:tcPr>
          <w:p w14:paraId="70A2F710" w14:textId="77777777" w:rsidR="00462A25" w:rsidRPr="00AF2A94" w:rsidRDefault="00462A25" w:rsidP="00A72B96">
            <w:pPr>
              <w:contextualSpacing/>
              <w:rPr>
                <w:sz w:val="22"/>
                <w:szCs w:val="22"/>
              </w:rPr>
            </w:pPr>
          </w:p>
        </w:tc>
        <w:tc>
          <w:tcPr>
            <w:tcW w:w="2159" w:type="dxa"/>
            <w:gridSpan w:val="2"/>
            <w:tcBorders>
              <w:top w:val="single" w:sz="4" w:space="0" w:color="auto"/>
              <w:bottom w:val="single" w:sz="4" w:space="0" w:color="auto"/>
            </w:tcBorders>
          </w:tcPr>
          <w:p w14:paraId="36ED11BB" w14:textId="28469477" w:rsidR="00462A25" w:rsidRPr="00EB72FA" w:rsidRDefault="00462A25" w:rsidP="00A72B96">
            <w:pPr>
              <w:contextualSpacing/>
              <w:jc w:val="center"/>
              <w:rPr>
                <w:sz w:val="22"/>
                <w:szCs w:val="22"/>
              </w:rPr>
            </w:pPr>
            <w:r w:rsidRPr="00EB72FA">
              <w:rPr>
                <w:sz w:val="22"/>
                <w:szCs w:val="22"/>
              </w:rPr>
              <w:t>__</w:t>
            </w:r>
            <w:r w:rsidR="00B32A79" w:rsidRPr="00C832B2">
              <w:rPr>
                <w:sz w:val="22"/>
                <w:szCs w:val="22"/>
              </w:rPr>
              <w:t>GSH-P</w:t>
            </w:r>
            <w:r w:rsidRPr="00EB72FA">
              <w:rPr>
                <w:sz w:val="22"/>
                <w:szCs w:val="22"/>
              </w:rPr>
              <w:t xml:space="preserve">__      </w:t>
            </w:r>
          </w:p>
        </w:tc>
        <w:tc>
          <w:tcPr>
            <w:tcW w:w="2160" w:type="dxa"/>
            <w:gridSpan w:val="2"/>
            <w:tcBorders>
              <w:top w:val="single" w:sz="4" w:space="0" w:color="auto"/>
              <w:bottom w:val="single" w:sz="4" w:space="0" w:color="auto"/>
            </w:tcBorders>
          </w:tcPr>
          <w:p w14:paraId="3FCE0295" w14:textId="36BA6C1A" w:rsidR="00462A25" w:rsidRPr="00EB72FA" w:rsidRDefault="00462A25" w:rsidP="00A72B96">
            <w:pPr>
              <w:contextualSpacing/>
              <w:jc w:val="center"/>
              <w:rPr>
                <w:sz w:val="22"/>
                <w:szCs w:val="22"/>
              </w:rPr>
            </w:pPr>
            <w:r w:rsidRPr="00EB72FA">
              <w:rPr>
                <w:sz w:val="22"/>
                <w:szCs w:val="22"/>
              </w:rPr>
              <w:t>__</w:t>
            </w:r>
            <w:r w:rsidR="00B32A79" w:rsidRPr="00C832B2">
              <w:rPr>
                <w:sz w:val="22"/>
                <w:szCs w:val="22"/>
              </w:rPr>
              <w:t>GSH-E</w:t>
            </w:r>
            <w:r w:rsidRPr="00EB72FA">
              <w:rPr>
                <w:sz w:val="22"/>
                <w:szCs w:val="22"/>
              </w:rPr>
              <w:t>__</w:t>
            </w:r>
          </w:p>
        </w:tc>
        <w:tc>
          <w:tcPr>
            <w:tcW w:w="2165" w:type="dxa"/>
            <w:gridSpan w:val="2"/>
            <w:tcBorders>
              <w:top w:val="single" w:sz="4" w:space="0" w:color="auto"/>
              <w:bottom w:val="single" w:sz="4" w:space="0" w:color="auto"/>
            </w:tcBorders>
          </w:tcPr>
          <w:p w14:paraId="5D45EB30" w14:textId="77777777" w:rsidR="00462A25" w:rsidRPr="00EB72FA" w:rsidRDefault="00462A25" w:rsidP="00A72B96">
            <w:pPr>
              <w:contextualSpacing/>
              <w:jc w:val="center"/>
              <w:rPr>
                <w:sz w:val="22"/>
                <w:szCs w:val="22"/>
              </w:rPr>
            </w:pPr>
            <w:r w:rsidRPr="00EB72FA">
              <w:rPr>
                <w:sz w:val="22"/>
                <w:szCs w:val="22"/>
              </w:rPr>
              <w:t>__</w:t>
            </w:r>
            <w:r w:rsidRPr="00C832B2">
              <w:rPr>
                <w:sz w:val="22"/>
                <w:szCs w:val="22"/>
              </w:rPr>
              <w:t>Waitlist</w:t>
            </w:r>
            <w:r w:rsidRPr="00EB72FA">
              <w:rPr>
                <w:sz w:val="22"/>
                <w:szCs w:val="22"/>
              </w:rPr>
              <w:t>__</w:t>
            </w:r>
          </w:p>
        </w:tc>
      </w:tr>
      <w:tr w:rsidR="00462A25" w14:paraId="6A8F3136" w14:textId="77777777" w:rsidTr="00C832B2">
        <w:tc>
          <w:tcPr>
            <w:tcW w:w="2696" w:type="dxa"/>
            <w:tcBorders>
              <w:bottom w:val="single" w:sz="4" w:space="0" w:color="auto"/>
            </w:tcBorders>
          </w:tcPr>
          <w:p w14:paraId="1DD58FE5" w14:textId="77777777" w:rsidR="00462A25" w:rsidRPr="00AF2A94" w:rsidRDefault="00462A25" w:rsidP="00A72B96">
            <w:pPr>
              <w:contextualSpacing/>
              <w:rPr>
                <w:sz w:val="22"/>
                <w:szCs w:val="22"/>
              </w:rPr>
            </w:pPr>
            <w:r w:rsidRPr="00AF2A94">
              <w:rPr>
                <w:sz w:val="22"/>
                <w:szCs w:val="22"/>
              </w:rPr>
              <w:t>Measure</w:t>
            </w:r>
          </w:p>
        </w:tc>
        <w:tc>
          <w:tcPr>
            <w:tcW w:w="1079" w:type="dxa"/>
            <w:tcBorders>
              <w:top w:val="single" w:sz="4" w:space="0" w:color="auto"/>
              <w:bottom w:val="single" w:sz="4" w:space="0" w:color="auto"/>
            </w:tcBorders>
          </w:tcPr>
          <w:p w14:paraId="24FDFC2A" w14:textId="77777777" w:rsidR="00462A25" w:rsidRPr="00AF2A94" w:rsidRDefault="00462A25" w:rsidP="00C832B2">
            <w:pPr>
              <w:contextualSpacing/>
              <w:jc w:val="center"/>
              <w:rPr>
                <w:sz w:val="22"/>
                <w:szCs w:val="22"/>
              </w:rPr>
            </w:pPr>
            <w:proofErr w:type="gramStart"/>
            <w:r w:rsidRPr="00AF2A94">
              <w:rPr>
                <w:sz w:val="22"/>
                <w:szCs w:val="22"/>
              </w:rPr>
              <w:t xml:space="preserve">Pre </w:t>
            </w:r>
            <w:r w:rsidRPr="00AF2A94">
              <w:rPr>
                <w:i/>
                <w:sz w:val="22"/>
                <w:szCs w:val="22"/>
              </w:rPr>
              <w:t>M</w:t>
            </w:r>
            <w:proofErr w:type="gramEnd"/>
            <w:r w:rsidRPr="00AF2A94">
              <w:rPr>
                <w:i/>
                <w:sz w:val="22"/>
                <w:szCs w:val="22"/>
              </w:rPr>
              <w:t xml:space="preserve"> </w:t>
            </w:r>
            <w:r w:rsidRPr="00AF2A94">
              <w:rPr>
                <w:sz w:val="22"/>
                <w:szCs w:val="22"/>
              </w:rPr>
              <w:t>(</w:t>
            </w:r>
            <w:r w:rsidRPr="00AF2A94">
              <w:rPr>
                <w:i/>
                <w:sz w:val="22"/>
                <w:szCs w:val="22"/>
              </w:rPr>
              <w:t>SD</w:t>
            </w:r>
            <w:r w:rsidRPr="00AF2A94">
              <w:rPr>
                <w:sz w:val="22"/>
                <w:szCs w:val="22"/>
              </w:rPr>
              <w:t>)</w:t>
            </w:r>
          </w:p>
        </w:tc>
        <w:tc>
          <w:tcPr>
            <w:tcW w:w="1080" w:type="dxa"/>
            <w:tcBorders>
              <w:top w:val="single" w:sz="4" w:space="0" w:color="auto"/>
              <w:bottom w:val="single" w:sz="4" w:space="0" w:color="auto"/>
            </w:tcBorders>
          </w:tcPr>
          <w:p w14:paraId="3EBFA509" w14:textId="77777777" w:rsidR="00462A25" w:rsidRPr="00AF2A94" w:rsidRDefault="00462A25" w:rsidP="00C832B2">
            <w:pPr>
              <w:contextualSpacing/>
              <w:jc w:val="center"/>
              <w:rPr>
                <w:sz w:val="22"/>
                <w:szCs w:val="22"/>
              </w:rPr>
            </w:pPr>
            <w:r w:rsidRPr="00AF2A94">
              <w:rPr>
                <w:sz w:val="22"/>
                <w:szCs w:val="22"/>
              </w:rPr>
              <w:t xml:space="preserve">Post </w:t>
            </w:r>
            <w:r w:rsidRPr="00AF2A94">
              <w:rPr>
                <w:i/>
                <w:sz w:val="22"/>
                <w:szCs w:val="22"/>
              </w:rPr>
              <w:t xml:space="preserve">M </w:t>
            </w:r>
            <w:r w:rsidRPr="00AF2A94">
              <w:rPr>
                <w:sz w:val="22"/>
                <w:szCs w:val="22"/>
              </w:rPr>
              <w:t>(</w:t>
            </w:r>
            <w:r w:rsidRPr="00AF2A94">
              <w:rPr>
                <w:i/>
                <w:sz w:val="22"/>
                <w:szCs w:val="22"/>
              </w:rPr>
              <w:t>SD</w:t>
            </w:r>
            <w:r w:rsidRPr="00AF2A94">
              <w:rPr>
                <w:sz w:val="22"/>
                <w:szCs w:val="22"/>
              </w:rPr>
              <w:t>)</w:t>
            </w:r>
          </w:p>
        </w:tc>
        <w:tc>
          <w:tcPr>
            <w:tcW w:w="1080" w:type="dxa"/>
            <w:tcBorders>
              <w:top w:val="single" w:sz="4" w:space="0" w:color="auto"/>
              <w:bottom w:val="single" w:sz="4" w:space="0" w:color="auto"/>
            </w:tcBorders>
          </w:tcPr>
          <w:p w14:paraId="592B1293" w14:textId="77777777" w:rsidR="00462A25" w:rsidRPr="00AF2A94" w:rsidRDefault="00462A25" w:rsidP="00C832B2">
            <w:pPr>
              <w:contextualSpacing/>
              <w:jc w:val="center"/>
              <w:rPr>
                <w:sz w:val="22"/>
                <w:szCs w:val="22"/>
              </w:rPr>
            </w:pPr>
            <w:proofErr w:type="gramStart"/>
            <w:r w:rsidRPr="00AF2A94">
              <w:rPr>
                <w:sz w:val="22"/>
                <w:szCs w:val="22"/>
              </w:rPr>
              <w:t xml:space="preserve">Pre </w:t>
            </w:r>
            <w:r w:rsidRPr="00AF2A94">
              <w:rPr>
                <w:i/>
                <w:sz w:val="22"/>
                <w:szCs w:val="22"/>
              </w:rPr>
              <w:t>M</w:t>
            </w:r>
            <w:proofErr w:type="gramEnd"/>
            <w:r w:rsidRPr="00AF2A94">
              <w:rPr>
                <w:i/>
                <w:sz w:val="22"/>
                <w:szCs w:val="22"/>
              </w:rPr>
              <w:t xml:space="preserve"> </w:t>
            </w:r>
            <w:r w:rsidRPr="00AF2A94">
              <w:rPr>
                <w:sz w:val="22"/>
                <w:szCs w:val="22"/>
              </w:rPr>
              <w:t>(</w:t>
            </w:r>
            <w:r w:rsidRPr="00AF2A94">
              <w:rPr>
                <w:i/>
                <w:sz w:val="22"/>
                <w:szCs w:val="22"/>
              </w:rPr>
              <w:t>SD</w:t>
            </w:r>
            <w:r w:rsidRPr="00AF2A94">
              <w:rPr>
                <w:sz w:val="22"/>
                <w:szCs w:val="22"/>
              </w:rPr>
              <w:t>)</w:t>
            </w:r>
          </w:p>
        </w:tc>
        <w:tc>
          <w:tcPr>
            <w:tcW w:w="1080" w:type="dxa"/>
            <w:tcBorders>
              <w:top w:val="single" w:sz="4" w:space="0" w:color="auto"/>
              <w:bottom w:val="single" w:sz="4" w:space="0" w:color="auto"/>
            </w:tcBorders>
          </w:tcPr>
          <w:p w14:paraId="6474761B" w14:textId="77777777" w:rsidR="00462A25" w:rsidRPr="00AF2A94" w:rsidRDefault="00462A25" w:rsidP="00C832B2">
            <w:pPr>
              <w:contextualSpacing/>
              <w:jc w:val="center"/>
              <w:rPr>
                <w:sz w:val="22"/>
                <w:szCs w:val="22"/>
              </w:rPr>
            </w:pPr>
            <w:r w:rsidRPr="00AF2A94">
              <w:rPr>
                <w:sz w:val="22"/>
                <w:szCs w:val="22"/>
              </w:rPr>
              <w:t xml:space="preserve">Post </w:t>
            </w:r>
            <w:r w:rsidRPr="00AF2A94">
              <w:rPr>
                <w:i/>
                <w:sz w:val="22"/>
                <w:szCs w:val="22"/>
              </w:rPr>
              <w:t xml:space="preserve">M </w:t>
            </w:r>
            <w:r w:rsidRPr="00AF2A94">
              <w:rPr>
                <w:sz w:val="22"/>
                <w:szCs w:val="22"/>
              </w:rPr>
              <w:t>(</w:t>
            </w:r>
            <w:r w:rsidRPr="00AF2A94">
              <w:rPr>
                <w:i/>
                <w:sz w:val="22"/>
                <w:szCs w:val="22"/>
              </w:rPr>
              <w:t>SD</w:t>
            </w:r>
            <w:r w:rsidRPr="00AF2A94">
              <w:rPr>
                <w:sz w:val="22"/>
                <w:szCs w:val="22"/>
              </w:rPr>
              <w:t>)</w:t>
            </w:r>
          </w:p>
        </w:tc>
        <w:tc>
          <w:tcPr>
            <w:tcW w:w="1080" w:type="dxa"/>
            <w:tcBorders>
              <w:top w:val="single" w:sz="4" w:space="0" w:color="auto"/>
              <w:bottom w:val="single" w:sz="4" w:space="0" w:color="auto"/>
            </w:tcBorders>
          </w:tcPr>
          <w:p w14:paraId="62E3C871" w14:textId="77777777" w:rsidR="00462A25" w:rsidRPr="00AF2A94" w:rsidRDefault="00462A25" w:rsidP="00C832B2">
            <w:pPr>
              <w:contextualSpacing/>
              <w:jc w:val="center"/>
              <w:rPr>
                <w:sz w:val="22"/>
                <w:szCs w:val="22"/>
              </w:rPr>
            </w:pPr>
            <w:proofErr w:type="gramStart"/>
            <w:r w:rsidRPr="00AF2A94">
              <w:rPr>
                <w:sz w:val="22"/>
                <w:szCs w:val="22"/>
              </w:rPr>
              <w:t xml:space="preserve">Pre </w:t>
            </w:r>
            <w:r w:rsidRPr="00AF2A94">
              <w:rPr>
                <w:i/>
                <w:sz w:val="22"/>
                <w:szCs w:val="22"/>
              </w:rPr>
              <w:t>M</w:t>
            </w:r>
            <w:proofErr w:type="gramEnd"/>
            <w:r w:rsidRPr="00AF2A94">
              <w:rPr>
                <w:i/>
                <w:sz w:val="22"/>
                <w:szCs w:val="22"/>
              </w:rPr>
              <w:t xml:space="preserve"> </w:t>
            </w:r>
            <w:r w:rsidRPr="00AF2A94">
              <w:rPr>
                <w:sz w:val="22"/>
                <w:szCs w:val="22"/>
              </w:rPr>
              <w:t>(</w:t>
            </w:r>
            <w:r w:rsidRPr="00AF2A94">
              <w:rPr>
                <w:i/>
                <w:sz w:val="22"/>
                <w:szCs w:val="22"/>
              </w:rPr>
              <w:t>SD</w:t>
            </w:r>
            <w:r w:rsidRPr="00AF2A94">
              <w:rPr>
                <w:sz w:val="22"/>
                <w:szCs w:val="22"/>
              </w:rPr>
              <w:t>)</w:t>
            </w:r>
          </w:p>
        </w:tc>
        <w:tc>
          <w:tcPr>
            <w:tcW w:w="1085" w:type="dxa"/>
            <w:tcBorders>
              <w:top w:val="single" w:sz="4" w:space="0" w:color="auto"/>
              <w:bottom w:val="single" w:sz="4" w:space="0" w:color="auto"/>
            </w:tcBorders>
          </w:tcPr>
          <w:p w14:paraId="578D80B3" w14:textId="77777777" w:rsidR="00462A25" w:rsidRPr="00AF2A94" w:rsidRDefault="00462A25" w:rsidP="00C832B2">
            <w:pPr>
              <w:contextualSpacing/>
              <w:jc w:val="center"/>
              <w:rPr>
                <w:sz w:val="22"/>
                <w:szCs w:val="22"/>
              </w:rPr>
            </w:pPr>
            <w:r w:rsidRPr="00AF2A94">
              <w:rPr>
                <w:sz w:val="22"/>
                <w:szCs w:val="22"/>
              </w:rPr>
              <w:t xml:space="preserve">Post </w:t>
            </w:r>
            <w:r w:rsidRPr="00AF2A94">
              <w:rPr>
                <w:i/>
                <w:sz w:val="22"/>
                <w:szCs w:val="22"/>
              </w:rPr>
              <w:t xml:space="preserve">M </w:t>
            </w:r>
            <w:r w:rsidRPr="00AF2A94">
              <w:rPr>
                <w:sz w:val="22"/>
                <w:szCs w:val="22"/>
              </w:rPr>
              <w:t>(</w:t>
            </w:r>
            <w:r w:rsidRPr="00AF2A94">
              <w:rPr>
                <w:i/>
                <w:sz w:val="22"/>
                <w:szCs w:val="22"/>
              </w:rPr>
              <w:t>SD</w:t>
            </w:r>
            <w:r w:rsidRPr="00AF2A94">
              <w:rPr>
                <w:sz w:val="22"/>
                <w:szCs w:val="22"/>
              </w:rPr>
              <w:t>)</w:t>
            </w:r>
          </w:p>
        </w:tc>
      </w:tr>
      <w:tr w:rsidR="00462A25" w14:paraId="1017468F" w14:textId="77777777" w:rsidTr="00A72B96">
        <w:tc>
          <w:tcPr>
            <w:tcW w:w="2696" w:type="dxa"/>
            <w:tcBorders>
              <w:top w:val="single" w:sz="4" w:space="0" w:color="auto"/>
            </w:tcBorders>
          </w:tcPr>
          <w:p w14:paraId="125FCAD3" w14:textId="77777777" w:rsidR="00462A25" w:rsidRPr="00AF2A94" w:rsidRDefault="00462A25" w:rsidP="00A72B96">
            <w:pPr>
              <w:contextualSpacing/>
              <w:rPr>
                <w:sz w:val="22"/>
                <w:szCs w:val="22"/>
              </w:rPr>
            </w:pPr>
            <w:r w:rsidRPr="00AF2A94">
              <w:rPr>
                <w:sz w:val="22"/>
                <w:szCs w:val="22"/>
              </w:rPr>
              <w:t>Weight Self-Stigma (WSSQ)</w:t>
            </w:r>
          </w:p>
          <w:p w14:paraId="7FF4AAD5" w14:textId="77777777" w:rsidR="00462A25" w:rsidRPr="00AF2A94" w:rsidRDefault="00462A25" w:rsidP="00A72B96">
            <w:pPr>
              <w:contextualSpacing/>
              <w:rPr>
                <w:sz w:val="22"/>
                <w:szCs w:val="22"/>
              </w:rPr>
            </w:pPr>
          </w:p>
        </w:tc>
        <w:tc>
          <w:tcPr>
            <w:tcW w:w="1079" w:type="dxa"/>
            <w:tcBorders>
              <w:top w:val="single" w:sz="4" w:space="0" w:color="auto"/>
            </w:tcBorders>
          </w:tcPr>
          <w:p w14:paraId="684AB7B2" w14:textId="77777777" w:rsidR="00462A25" w:rsidRPr="00AF2A94" w:rsidRDefault="00462A25" w:rsidP="00C832B2">
            <w:pPr>
              <w:contextualSpacing/>
              <w:jc w:val="center"/>
              <w:rPr>
                <w:sz w:val="22"/>
                <w:szCs w:val="22"/>
              </w:rPr>
            </w:pPr>
            <w:r w:rsidRPr="00AF2A94">
              <w:rPr>
                <w:sz w:val="22"/>
                <w:szCs w:val="22"/>
              </w:rPr>
              <w:t>43.94</w:t>
            </w:r>
          </w:p>
          <w:p w14:paraId="15760D7F" w14:textId="77777777" w:rsidR="00462A25" w:rsidRPr="00AF2A94" w:rsidRDefault="00462A25" w:rsidP="00C832B2">
            <w:pPr>
              <w:contextualSpacing/>
              <w:jc w:val="center"/>
              <w:rPr>
                <w:sz w:val="22"/>
                <w:szCs w:val="22"/>
              </w:rPr>
            </w:pPr>
            <w:r w:rsidRPr="00AF2A94">
              <w:rPr>
                <w:sz w:val="22"/>
                <w:szCs w:val="22"/>
              </w:rPr>
              <w:t>(6.36)</w:t>
            </w:r>
          </w:p>
        </w:tc>
        <w:tc>
          <w:tcPr>
            <w:tcW w:w="1080" w:type="dxa"/>
            <w:tcBorders>
              <w:top w:val="single" w:sz="4" w:space="0" w:color="auto"/>
            </w:tcBorders>
          </w:tcPr>
          <w:p w14:paraId="6CF06ED7" w14:textId="77777777" w:rsidR="00462A25" w:rsidRPr="00AF2A94" w:rsidRDefault="00462A25" w:rsidP="00C832B2">
            <w:pPr>
              <w:contextualSpacing/>
              <w:jc w:val="center"/>
              <w:rPr>
                <w:sz w:val="22"/>
                <w:szCs w:val="22"/>
              </w:rPr>
            </w:pPr>
            <w:r w:rsidRPr="00AF2A94">
              <w:rPr>
                <w:sz w:val="22"/>
                <w:szCs w:val="22"/>
              </w:rPr>
              <w:t>32.42</w:t>
            </w:r>
          </w:p>
          <w:p w14:paraId="5ED926AA" w14:textId="77777777" w:rsidR="00462A25" w:rsidRPr="00AF2A94" w:rsidRDefault="00462A25" w:rsidP="00C832B2">
            <w:pPr>
              <w:contextualSpacing/>
              <w:jc w:val="center"/>
              <w:rPr>
                <w:sz w:val="22"/>
                <w:szCs w:val="22"/>
              </w:rPr>
            </w:pPr>
            <w:r w:rsidRPr="00AF2A94">
              <w:rPr>
                <w:sz w:val="22"/>
                <w:szCs w:val="22"/>
              </w:rPr>
              <w:t>(9.72)</w:t>
            </w:r>
          </w:p>
        </w:tc>
        <w:tc>
          <w:tcPr>
            <w:tcW w:w="1080" w:type="dxa"/>
            <w:tcBorders>
              <w:top w:val="single" w:sz="4" w:space="0" w:color="auto"/>
            </w:tcBorders>
          </w:tcPr>
          <w:p w14:paraId="4BAD2BA3" w14:textId="77777777" w:rsidR="00462A25" w:rsidRPr="00AF2A94" w:rsidRDefault="00462A25" w:rsidP="00C832B2">
            <w:pPr>
              <w:contextualSpacing/>
              <w:jc w:val="center"/>
              <w:rPr>
                <w:sz w:val="22"/>
                <w:szCs w:val="22"/>
              </w:rPr>
            </w:pPr>
            <w:r w:rsidRPr="00AF2A94">
              <w:rPr>
                <w:sz w:val="22"/>
                <w:szCs w:val="22"/>
              </w:rPr>
              <w:t>44.90</w:t>
            </w:r>
          </w:p>
          <w:p w14:paraId="4D6FEAEC" w14:textId="77777777" w:rsidR="00462A25" w:rsidRPr="00AF2A94" w:rsidRDefault="00462A25" w:rsidP="00C832B2">
            <w:pPr>
              <w:contextualSpacing/>
              <w:jc w:val="center"/>
              <w:rPr>
                <w:sz w:val="22"/>
                <w:szCs w:val="22"/>
              </w:rPr>
            </w:pPr>
            <w:r w:rsidRPr="00AF2A94">
              <w:rPr>
                <w:sz w:val="22"/>
                <w:szCs w:val="22"/>
              </w:rPr>
              <w:t>(5.87)</w:t>
            </w:r>
          </w:p>
        </w:tc>
        <w:tc>
          <w:tcPr>
            <w:tcW w:w="1080" w:type="dxa"/>
            <w:tcBorders>
              <w:top w:val="single" w:sz="4" w:space="0" w:color="auto"/>
            </w:tcBorders>
          </w:tcPr>
          <w:p w14:paraId="5994505A" w14:textId="77777777" w:rsidR="00462A25" w:rsidRPr="00AF2A94" w:rsidRDefault="00462A25" w:rsidP="00C832B2">
            <w:pPr>
              <w:contextualSpacing/>
              <w:jc w:val="center"/>
              <w:rPr>
                <w:sz w:val="22"/>
                <w:szCs w:val="22"/>
              </w:rPr>
            </w:pPr>
            <w:r w:rsidRPr="00AF2A94">
              <w:rPr>
                <w:sz w:val="22"/>
                <w:szCs w:val="22"/>
              </w:rPr>
              <w:t>36.25</w:t>
            </w:r>
          </w:p>
          <w:p w14:paraId="29DB66C3" w14:textId="77777777" w:rsidR="00462A25" w:rsidRPr="00AF2A94" w:rsidRDefault="00462A25" w:rsidP="00C832B2">
            <w:pPr>
              <w:contextualSpacing/>
              <w:jc w:val="center"/>
              <w:rPr>
                <w:sz w:val="22"/>
                <w:szCs w:val="22"/>
              </w:rPr>
            </w:pPr>
            <w:r w:rsidRPr="00AF2A94">
              <w:rPr>
                <w:sz w:val="22"/>
                <w:szCs w:val="22"/>
              </w:rPr>
              <w:t>(10.03)</w:t>
            </w:r>
          </w:p>
        </w:tc>
        <w:tc>
          <w:tcPr>
            <w:tcW w:w="1080" w:type="dxa"/>
            <w:tcBorders>
              <w:top w:val="single" w:sz="4" w:space="0" w:color="auto"/>
            </w:tcBorders>
          </w:tcPr>
          <w:p w14:paraId="6102070D" w14:textId="77777777" w:rsidR="00462A25" w:rsidRPr="00AF2A94" w:rsidRDefault="00462A25" w:rsidP="00C832B2">
            <w:pPr>
              <w:contextualSpacing/>
              <w:jc w:val="center"/>
              <w:rPr>
                <w:sz w:val="22"/>
                <w:szCs w:val="22"/>
              </w:rPr>
            </w:pPr>
            <w:r w:rsidRPr="00AF2A94">
              <w:rPr>
                <w:sz w:val="22"/>
                <w:szCs w:val="22"/>
              </w:rPr>
              <w:t>45.44</w:t>
            </w:r>
          </w:p>
          <w:p w14:paraId="25D5711D" w14:textId="77777777" w:rsidR="00462A25" w:rsidRPr="00AF2A94" w:rsidRDefault="00462A25" w:rsidP="00C832B2">
            <w:pPr>
              <w:contextualSpacing/>
              <w:jc w:val="center"/>
              <w:rPr>
                <w:sz w:val="22"/>
                <w:szCs w:val="22"/>
              </w:rPr>
            </w:pPr>
            <w:r w:rsidRPr="00AF2A94">
              <w:rPr>
                <w:sz w:val="22"/>
                <w:szCs w:val="22"/>
              </w:rPr>
              <w:t>(9.59)</w:t>
            </w:r>
          </w:p>
        </w:tc>
        <w:tc>
          <w:tcPr>
            <w:tcW w:w="1085" w:type="dxa"/>
            <w:tcBorders>
              <w:top w:val="single" w:sz="4" w:space="0" w:color="auto"/>
            </w:tcBorders>
          </w:tcPr>
          <w:p w14:paraId="086134E3" w14:textId="77777777" w:rsidR="00462A25" w:rsidRPr="00AF2A94" w:rsidRDefault="00462A25" w:rsidP="00C832B2">
            <w:pPr>
              <w:contextualSpacing/>
              <w:jc w:val="center"/>
              <w:rPr>
                <w:sz w:val="22"/>
                <w:szCs w:val="22"/>
              </w:rPr>
            </w:pPr>
            <w:r w:rsidRPr="00AF2A94">
              <w:rPr>
                <w:sz w:val="22"/>
                <w:szCs w:val="22"/>
              </w:rPr>
              <w:t>43.75</w:t>
            </w:r>
          </w:p>
          <w:p w14:paraId="1436A9A8" w14:textId="77777777" w:rsidR="00462A25" w:rsidRPr="00AF2A94" w:rsidRDefault="00462A25" w:rsidP="00C832B2">
            <w:pPr>
              <w:contextualSpacing/>
              <w:jc w:val="center"/>
              <w:rPr>
                <w:sz w:val="22"/>
                <w:szCs w:val="22"/>
              </w:rPr>
            </w:pPr>
            <w:r w:rsidRPr="00AF2A94">
              <w:rPr>
                <w:sz w:val="22"/>
                <w:szCs w:val="22"/>
              </w:rPr>
              <w:t>(10.56)</w:t>
            </w:r>
          </w:p>
        </w:tc>
      </w:tr>
      <w:tr w:rsidR="00462A25" w14:paraId="292C8CA6" w14:textId="77777777" w:rsidTr="00A72B96">
        <w:tc>
          <w:tcPr>
            <w:tcW w:w="2696" w:type="dxa"/>
          </w:tcPr>
          <w:p w14:paraId="67FA9C16" w14:textId="77777777" w:rsidR="00462A25" w:rsidRPr="00AF2A94" w:rsidRDefault="00462A25" w:rsidP="00A72B96">
            <w:pPr>
              <w:contextualSpacing/>
              <w:rPr>
                <w:sz w:val="22"/>
                <w:szCs w:val="22"/>
              </w:rPr>
            </w:pPr>
            <w:r w:rsidRPr="00AF2A94">
              <w:rPr>
                <w:sz w:val="22"/>
                <w:szCs w:val="22"/>
              </w:rPr>
              <w:t xml:space="preserve">Physical Activity </w:t>
            </w:r>
          </w:p>
          <w:p w14:paraId="1442E46B" w14:textId="77777777" w:rsidR="00462A25" w:rsidRPr="00AF2A94" w:rsidRDefault="00462A25" w:rsidP="00A72B96">
            <w:pPr>
              <w:contextualSpacing/>
              <w:rPr>
                <w:sz w:val="22"/>
                <w:szCs w:val="22"/>
              </w:rPr>
            </w:pPr>
            <w:r w:rsidRPr="00AF2A94">
              <w:rPr>
                <w:sz w:val="22"/>
                <w:szCs w:val="22"/>
              </w:rPr>
              <w:t>(WCSS-PA)</w:t>
            </w:r>
          </w:p>
          <w:p w14:paraId="654189FA" w14:textId="77777777" w:rsidR="00462A25" w:rsidRPr="00AF2A94" w:rsidRDefault="00462A25" w:rsidP="00A72B96">
            <w:pPr>
              <w:contextualSpacing/>
              <w:rPr>
                <w:sz w:val="22"/>
                <w:szCs w:val="22"/>
              </w:rPr>
            </w:pPr>
          </w:p>
        </w:tc>
        <w:tc>
          <w:tcPr>
            <w:tcW w:w="1079" w:type="dxa"/>
          </w:tcPr>
          <w:p w14:paraId="1E572300" w14:textId="77777777" w:rsidR="00462A25" w:rsidRPr="00AF2A94" w:rsidRDefault="00462A25" w:rsidP="00C832B2">
            <w:pPr>
              <w:contextualSpacing/>
              <w:jc w:val="center"/>
              <w:rPr>
                <w:sz w:val="22"/>
                <w:szCs w:val="22"/>
              </w:rPr>
            </w:pPr>
            <w:r w:rsidRPr="00AF2A94">
              <w:rPr>
                <w:sz w:val="22"/>
                <w:szCs w:val="22"/>
              </w:rPr>
              <w:t>14.00</w:t>
            </w:r>
          </w:p>
          <w:p w14:paraId="0FE66F0D" w14:textId="77777777" w:rsidR="00462A25" w:rsidRPr="00AF2A94" w:rsidRDefault="00462A25" w:rsidP="00C832B2">
            <w:pPr>
              <w:contextualSpacing/>
              <w:jc w:val="center"/>
              <w:rPr>
                <w:sz w:val="22"/>
                <w:szCs w:val="22"/>
              </w:rPr>
            </w:pPr>
            <w:r w:rsidRPr="00AF2A94">
              <w:rPr>
                <w:sz w:val="22"/>
                <w:szCs w:val="22"/>
              </w:rPr>
              <w:t>(4.96)</w:t>
            </w:r>
          </w:p>
          <w:p w14:paraId="163EF41B" w14:textId="77777777" w:rsidR="00462A25" w:rsidRPr="00AF2A94" w:rsidRDefault="00462A25" w:rsidP="00C832B2">
            <w:pPr>
              <w:contextualSpacing/>
              <w:jc w:val="center"/>
              <w:rPr>
                <w:sz w:val="22"/>
                <w:szCs w:val="22"/>
              </w:rPr>
            </w:pPr>
          </w:p>
        </w:tc>
        <w:tc>
          <w:tcPr>
            <w:tcW w:w="1080" w:type="dxa"/>
          </w:tcPr>
          <w:p w14:paraId="082773FF" w14:textId="77777777" w:rsidR="00462A25" w:rsidRPr="00AF2A94" w:rsidRDefault="00462A25" w:rsidP="00C832B2">
            <w:pPr>
              <w:contextualSpacing/>
              <w:jc w:val="center"/>
              <w:rPr>
                <w:sz w:val="22"/>
                <w:szCs w:val="22"/>
              </w:rPr>
            </w:pPr>
            <w:r w:rsidRPr="00AF2A94">
              <w:rPr>
                <w:sz w:val="22"/>
                <w:szCs w:val="22"/>
              </w:rPr>
              <w:t>16.67</w:t>
            </w:r>
          </w:p>
          <w:p w14:paraId="6C99BC59" w14:textId="77777777" w:rsidR="00462A25" w:rsidRPr="00AF2A94" w:rsidRDefault="00462A25" w:rsidP="00C832B2">
            <w:pPr>
              <w:contextualSpacing/>
              <w:jc w:val="center"/>
              <w:rPr>
                <w:sz w:val="22"/>
                <w:szCs w:val="22"/>
              </w:rPr>
            </w:pPr>
            <w:r w:rsidRPr="00AF2A94">
              <w:rPr>
                <w:sz w:val="22"/>
                <w:szCs w:val="22"/>
              </w:rPr>
              <w:t>(5.47)</w:t>
            </w:r>
          </w:p>
          <w:p w14:paraId="60DBA3CE" w14:textId="77777777" w:rsidR="00462A25" w:rsidRPr="00AF2A94" w:rsidRDefault="00462A25" w:rsidP="00C832B2">
            <w:pPr>
              <w:contextualSpacing/>
              <w:jc w:val="center"/>
              <w:rPr>
                <w:sz w:val="22"/>
                <w:szCs w:val="22"/>
              </w:rPr>
            </w:pPr>
          </w:p>
        </w:tc>
        <w:tc>
          <w:tcPr>
            <w:tcW w:w="1080" w:type="dxa"/>
          </w:tcPr>
          <w:p w14:paraId="6528113E" w14:textId="77777777" w:rsidR="00462A25" w:rsidRPr="00AF2A94" w:rsidRDefault="00462A25" w:rsidP="00C832B2">
            <w:pPr>
              <w:contextualSpacing/>
              <w:jc w:val="center"/>
              <w:rPr>
                <w:sz w:val="22"/>
                <w:szCs w:val="22"/>
              </w:rPr>
            </w:pPr>
            <w:r w:rsidRPr="00AF2A94">
              <w:rPr>
                <w:sz w:val="22"/>
                <w:szCs w:val="22"/>
              </w:rPr>
              <w:t>12.60</w:t>
            </w:r>
          </w:p>
          <w:p w14:paraId="4D2A5795" w14:textId="77777777" w:rsidR="00462A25" w:rsidRPr="00AF2A94" w:rsidRDefault="00462A25" w:rsidP="00C832B2">
            <w:pPr>
              <w:contextualSpacing/>
              <w:jc w:val="center"/>
              <w:rPr>
                <w:sz w:val="22"/>
                <w:szCs w:val="22"/>
              </w:rPr>
            </w:pPr>
            <w:r w:rsidRPr="00AF2A94">
              <w:rPr>
                <w:sz w:val="22"/>
                <w:szCs w:val="22"/>
              </w:rPr>
              <w:t>(5.46)</w:t>
            </w:r>
          </w:p>
          <w:p w14:paraId="6C6EC3B8" w14:textId="77777777" w:rsidR="00462A25" w:rsidRPr="00AF2A94" w:rsidRDefault="00462A25" w:rsidP="00C832B2">
            <w:pPr>
              <w:contextualSpacing/>
              <w:jc w:val="center"/>
              <w:rPr>
                <w:sz w:val="22"/>
                <w:szCs w:val="22"/>
              </w:rPr>
            </w:pPr>
          </w:p>
        </w:tc>
        <w:tc>
          <w:tcPr>
            <w:tcW w:w="1080" w:type="dxa"/>
          </w:tcPr>
          <w:p w14:paraId="70576CD1" w14:textId="77777777" w:rsidR="00462A25" w:rsidRPr="00AF2A94" w:rsidRDefault="00462A25" w:rsidP="00C832B2">
            <w:pPr>
              <w:contextualSpacing/>
              <w:jc w:val="center"/>
              <w:rPr>
                <w:sz w:val="22"/>
                <w:szCs w:val="22"/>
              </w:rPr>
            </w:pPr>
            <w:r w:rsidRPr="00AF2A94">
              <w:rPr>
                <w:sz w:val="22"/>
                <w:szCs w:val="22"/>
              </w:rPr>
              <w:t>13.75</w:t>
            </w:r>
          </w:p>
          <w:p w14:paraId="64F67B3F" w14:textId="77777777" w:rsidR="00462A25" w:rsidRPr="00AF2A94" w:rsidRDefault="00462A25" w:rsidP="00C832B2">
            <w:pPr>
              <w:contextualSpacing/>
              <w:jc w:val="center"/>
              <w:rPr>
                <w:sz w:val="22"/>
                <w:szCs w:val="22"/>
              </w:rPr>
            </w:pPr>
            <w:r w:rsidRPr="00AF2A94">
              <w:rPr>
                <w:sz w:val="22"/>
                <w:szCs w:val="22"/>
              </w:rPr>
              <w:t>(5.22)</w:t>
            </w:r>
          </w:p>
          <w:p w14:paraId="5EE2FA53" w14:textId="77777777" w:rsidR="00462A25" w:rsidRPr="00AF2A94" w:rsidRDefault="00462A25" w:rsidP="00C832B2">
            <w:pPr>
              <w:contextualSpacing/>
              <w:jc w:val="center"/>
              <w:rPr>
                <w:sz w:val="22"/>
                <w:szCs w:val="22"/>
              </w:rPr>
            </w:pPr>
          </w:p>
        </w:tc>
        <w:tc>
          <w:tcPr>
            <w:tcW w:w="1080" w:type="dxa"/>
          </w:tcPr>
          <w:p w14:paraId="44AA2535" w14:textId="77777777" w:rsidR="00462A25" w:rsidRPr="00AF2A94" w:rsidRDefault="00462A25" w:rsidP="00C832B2">
            <w:pPr>
              <w:contextualSpacing/>
              <w:jc w:val="center"/>
              <w:rPr>
                <w:sz w:val="22"/>
                <w:szCs w:val="22"/>
              </w:rPr>
            </w:pPr>
            <w:r w:rsidRPr="00AF2A94">
              <w:rPr>
                <w:sz w:val="22"/>
                <w:szCs w:val="22"/>
              </w:rPr>
              <w:t>14.89 (4.64)</w:t>
            </w:r>
          </w:p>
          <w:p w14:paraId="4E62410A" w14:textId="77777777" w:rsidR="00462A25" w:rsidRPr="00AF2A94" w:rsidRDefault="00462A25" w:rsidP="00C832B2">
            <w:pPr>
              <w:contextualSpacing/>
              <w:jc w:val="center"/>
              <w:rPr>
                <w:sz w:val="22"/>
                <w:szCs w:val="22"/>
              </w:rPr>
            </w:pPr>
          </w:p>
        </w:tc>
        <w:tc>
          <w:tcPr>
            <w:tcW w:w="1085" w:type="dxa"/>
          </w:tcPr>
          <w:p w14:paraId="2A65EDDB" w14:textId="77777777" w:rsidR="00462A25" w:rsidRPr="00AF2A94" w:rsidRDefault="00462A25" w:rsidP="00C832B2">
            <w:pPr>
              <w:contextualSpacing/>
              <w:jc w:val="center"/>
              <w:rPr>
                <w:sz w:val="22"/>
                <w:szCs w:val="22"/>
              </w:rPr>
            </w:pPr>
            <w:r w:rsidRPr="00AF2A94">
              <w:rPr>
                <w:sz w:val="22"/>
                <w:szCs w:val="22"/>
              </w:rPr>
              <w:t>11.75</w:t>
            </w:r>
          </w:p>
          <w:p w14:paraId="2362C081" w14:textId="77777777" w:rsidR="00462A25" w:rsidRPr="00AF2A94" w:rsidRDefault="00462A25" w:rsidP="00C832B2">
            <w:pPr>
              <w:contextualSpacing/>
              <w:jc w:val="center"/>
              <w:rPr>
                <w:sz w:val="22"/>
                <w:szCs w:val="22"/>
              </w:rPr>
            </w:pPr>
            <w:r w:rsidRPr="00AF2A94">
              <w:rPr>
                <w:sz w:val="22"/>
                <w:szCs w:val="22"/>
              </w:rPr>
              <w:t>(3.33)</w:t>
            </w:r>
          </w:p>
          <w:p w14:paraId="1E7FD574" w14:textId="77777777" w:rsidR="00462A25" w:rsidRPr="00AF2A94" w:rsidRDefault="00462A25" w:rsidP="00C832B2">
            <w:pPr>
              <w:contextualSpacing/>
              <w:jc w:val="center"/>
              <w:rPr>
                <w:sz w:val="22"/>
                <w:szCs w:val="22"/>
              </w:rPr>
            </w:pPr>
          </w:p>
        </w:tc>
      </w:tr>
      <w:tr w:rsidR="00462A25" w14:paraId="4E42295A" w14:textId="77777777" w:rsidTr="00A72B96">
        <w:tc>
          <w:tcPr>
            <w:tcW w:w="2696" w:type="dxa"/>
          </w:tcPr>
          <w:p w14:paraId="2D1C770D" w14:textId="77777777" w:rsidR="00462A25" w:rsidRPr="00AF2A94" w:rsidRDefault="00462A25" w:rsidP="00A72B96">
            <w:pPr>
              <w:contextualSpacing/>
              <w:rPr>
                <w:sz w:val="22"/>
                <w:szCs w:val="22"/>
              </w:rPr>
            </w:pPr>
            <w:r w:rsidRPr="00AF2A94">
              <w:rPr>
                <w:sz w:val="22"/>
                <w:szCs w:val="22"/>
              </w:rPr>
              <w:t xml:space="preserve">Dietary Choice </w:t>
            </w:r>
          </w:p>
          <w:p w14:paraId="380FF0C9" w14:textId="77777777" w:rsidR="00462A25" w:rsidRPr="00AF2A94" w:rsidRDefault="00462A25" w:rsidP="00A72B96">
            <w:pPr>
              <w:contextualSpacing/>
              <w:rPr>
                <w:sz w:val="22"/>
                <w:szCs w:val="22"/>
              </w:rPr>
            </w:pPr>
            <w:r w:rsidRPr="00AF2A94">
              <w:rPr>
                <w:sz w:val="22"/>
                <w:szCs w:val="22"/>
              </w:rPr>
              <w:t>(WCSS-DC)</w:t>
            </w:r>
          </w:p>
          <w:p w14:paraId="5695184C" w14:textId="77777777" w:rsidR="00462A25" w:rsidRPr="00AF2A94" w:rsidRDefault="00462A25" w:rsidP="00A72B96">
            <w:pPr>
              <w:contextualSpacing/>
              <w:rPr>
                <w:sz w:val="22"/>
                <w:szCs w:val="22"/>
              </w:rPr>
            </w:pPr>
          </w:p>
        </w:tc>
        <w:tc>
          <w:tcPr>
            <w:tcW w:w="1079" w:type="dxa"/>
          </w:tcPr>
          <w:p w14:paraId="30D20E2D" w14:textId="77777777" w:rsidR="00462A25" w:rsidRPr="00AF2A94" w:rsidRDefault="00462A25" w:rsidP="00C832B2">
            <w:pPr>
              <w:contextualSpacing/>
              <w:jc w:val="center"/>
              <w:rPr>
                <w:sz w:val="22"/>
                <w:szCs w:val="22"/>
              </w:rPr>
            </w:pPr>
            <w:r w:rsidRPr="00AF2A94">
              <w:rPr>
                <w:sz w:val="22"/>
                <w:szCs w:val="22"/>
              </w:rPr>
              <w:t>30.35</w:t>
            </w:r>
          </w:p>
          <w:p w14:paraId="0576A3C7" w14:textId="77777777" w:rsidR="00462A25" w:rsidRPr="00AF2A94" w:rsidRDefault="00462A25" w:rsidP="00C832B2">
            <w:pPr>
              <w:contextualSpacing/>
              <w:jc w:val="center"/>
              <w:rPr>
                <w:sz w:val="22"/>
                <w:szCs w:val="22"/>
              </w:rPr>
            </w:pPr>
            <w:r w:rsidRPr="00AF2A94">
              <w:rPr>
                <w:sz w:val="22"/>
                <w:szCs w:val="22"/>
              </w:rPr>
              <w:t>(5.48)</w:t>
            </w:r>
          </w:p>
          <w:p w14:paraId="3375AB16" w14:textId="77777777" w:rsidR="00462A25" w:rsidRPr="00AF2A94" w:rsidRDefault="00462A25" w:rsidP="00C832B2">
            <w:pPr>
              <w:contextualSpacing/>
              <w:jc w:val="center"/>
              <w:rPr>
                <w:sz w:val="22"/>
                <w:szCs w:val="22"/>
              </w:rPr>
            </w:pPr>
          </w:p>
        </w:tc>
        <w:tc>
          <w:tcPr>
            <w:tcW w:w="1080" w:type="dxa"/>
          </w:tcPr>
          <w:p w14:paraId="443141C2" w14:textId="77777777" w:rsidR="00462A25" w:rsidRPr="00AF2A94" w:rsidRDefault="00462A25" w:rsidP="00C832B2">
            <w:pPr>
              <w:contextualSpacing/>
              <w:jc w:val="center"/>
              <w:rPr>
                <w:sz w:val="22"/>
                <w:szCs w:val="22"/>
              </w:rPr>
            </w:pPr>
            <w:r w:rsidRPr="00AF2A94">
              <w:rPr>
                <w:sz w:val="22"/>
                <w:szCs w:val="22"/>
              </w:rPr>
              <w:t>36.42</w:t>
            </w:r>
          </w:p>
          <w:p w14:paraId="30B4965B" w14:textId="77777777" w:rsidR="00462A25" w:rsidRPr="00AF2A94" w:rsidRDefault="00462A25" w:rsidP="00C832B2">
            <w:pPr>
              <w:contextualSpacing/>
              <w:jc w:val="center"/>
              <w:rPr>
                <w:sz w:val="22"/>
                <w:szCs w:val="22"/>
              </w:rPr>
            </w:pPr>
            <w:r w:rsidRPr="00AF2A94">
              <w:rPr>
                <w:sz w:val="22"/>
                <w:szCs w:val="22"/>
              </w:rPr>
              <w:t>(5.21)</w:t>
            </w:r>
          </w:p>
          <w:p w14:paraId="1AF8E399" w14:textId="77777777" w:rsidR="00462A25" w:rsidRPr="00AF2A94" w:rsidRDefault="00462A25" w:rsidP="00C832B2">
            <w:pPr>
              <w:contextualSpacing/>
              <w:jc w:val="center"/>
              <w:rPr>
                <w:sz w:val="22"/>
                <w:szCs w:val="22"/>
              </w:rPr>
            </w:pPr>
          </w:p>
        </w:tc>
        <w:tc>
          <w:tcPr>
            <w:tcW w:w="1080" w:type="dxa"/>
          </w:tcPr>
          <w:p w14:paraId="59402372" w14:textId="77777777" w:rsidR="00462A25" w:rsidRPr="00AF2A94" w:rsidRDefault="00462A25" w:rsidP="00C832B2">
            <w:pPr>
              <w:contextualSpacing/>
              <w:jc w:val="center"/>
              <w:rPr>
                <w:sz w:val="22"/>
                <w:szCs w:val="22"/>
              </w:rPr>
            </w:pPr>
            <w:r w:rsidRPr="00AF2A94">
              <w:rPr>
                <w:sz w:val="22"/>
                <w:szCs w:val="22"/>
              </w:rPr>
              <w:t>29.75</w:t>
            </w:r>
          </w:p>
          <w:p w14:paraId="0C9CB578" w14:textId="77777777" w:rsidR="00462A25" w:rsidRPr="00AF2A94" w:rsidRDefault="00462A25" w:rsidP="00C832B2">
            <w:pPr>
              <w:contextualSpacing/>
              <w:jc w:val="center"/>
              <w:rPr>
                <w:sz w:val="22"/>
                <w:szCs w:val="22"/>
              </w:rPr>
            </w:pPr>
            <w:r w:rsidRPr="00AF2A94">
              <w:rPr>
                <w:sz w:val="22"/>
                <w:szCs w:val="22"/>
              </w:rPr>
              <w:t>(6.67)</w:t>
            </w:r>
          </w:p>
          <w:p w14:paraId="72EA6307" w14:textId="77777777" w:rsidR="00462A25" w:rsidRPr="00AF2A94" w:rsidRDefault="00462A25" w:rsidP="00C832B2">
            <w:pPr>
              <w:contextualSpacing/>
              <w:jc w:val="center"/>
              <w:rPr>
                <w:sz w:val="22"/>
                <w:szCs w:val="22"/>
              </w:rPr>
            </w:pPr>
          </w:p>
        </w:tc>
        <w:tc>
          <w:tcPr>
            <w:tcW w:w="1080" w:type="dxa"/>
          </w:tcPr>
          <w:p w14:paraId="24E60AB7" w14:textId="77777777" w:rsidR="00462A25" w:rsidRPr="00AF2A94" w:rsidRDefault="00462A25" w:rsidP="00C832B2">
            <w:pPr>
              <w:contextualSpacing/>
              <w:jc w:val="center"/>
              <w:rPr>
                <w:sz w:val="22"/>
                <w:szCs w:val="22"/>
              </w:rPr>
            </w:pPr>
            <w:r w:rsidRPr="00AF2A94">
              <w:rPr>
                <w:sz w:val="22"/>
                <w:szCs w:val="22"/>
              </w:rPr>
              <w:t>31.42</w:t>
            </w:r>
          </w:p>
          <w:p w14:paraId="2835DC08" w14:textId="77777777" w:rsidR="00462A25" w:rsidRPr="00AF2A94" w:rsidRDefault="00462A25" w:rsidP="00C832B2">
            <w:pPr>
              <w:contextualSpacing/>
              <w:jc w:val="center"/>
              <w:rPr>
                <w:sz w:val="22"/>
                <w:szCs w:val="22"/>
              </w:rPr>
            </w:pPr>
            <w:r w:rsidRPr="00AF2A94">
              <w:rPr>
                <w:sz w:val="22"/>
                <w:szCs w:val="22"/>
              </w:rPr>
              <w:t>(9.44)</w:t>
            </w:r>
          </w:p>
          <w:p w14:paraId="3546F8AC" w14:textId="77777777" w:rsidR="00462A25" w:rsidRPr="00AF2A94" w:rsidRDefault="00462A25" w:rsidP="00C832B2">
            <w:pPr>
              <w:contextualSpacing/>
              <w:jc w:val="center"/>
              <w:rPr>
                <w:sz w:val="22"/>
                <w:szCs w:val="22"/>
              </w:rPr>
            </w:pPr>
          </w:p>
        </w:tc>
        <w:tc>
          <w:tcPr>
            <w:tcW w:w="1080" w:type="dxa"/>
          </w:tcPr>
          <w:p w14:paraId="7EBEA92F" w14:textId="77777777" w:rsidR="00462A25" w:rsidRPr="00AF2A94" w:rsidRDefault="00462A25" w:rsidP="00C832B2">
            <w:pPr>
              <w:contextualSpacing/>
              <w:jc w:val="center"/>
              <w:rPr>
                <w:sz w:val="22"/>
                <w:szCs w:val="22"/>
              </w:rPr>
            </w:pPr>
            <w:r w:rsidRPr="00AF2A94">
              <w:rPr>
                <w:sz w:val="22"/>
                <w:szCs w:val="22"/>
              </w:rPr>
              <w:t>31.89</w:t>
            </w:r>
          </w:p>
          <w:p w14:paraId="736D73F2" w14:textId="77777777" w:rsidR="00462A25" w:rsidRPr="00AF2A94" w:rsidRDefault="00462A25" w:rsidP="00C832B2">
            <w:pPr>
              <w:contextualSpacing/>
              <w:jc w:val="center"/>
              <w:rPr>
                <w:sz w:val="22"/>
                <w:szCs w:val="22"/>
              </w:rPr>
            </w:pPr>
            <w:r w:rsidRPr="00AF2A94">
              <w:rPr>
                <w:sz w:val="22"/>
                <w:szCs w:val="22"/>
              </w:rPr>
              <w:t>(6.61)</w:t>
            </w:r>
          </w:p>
          <w:p w14:paraId="4905FF21" w14:textId="77777777" w:rsidR="00462A25" w:rsidRPr="00AF2A94" w:rsidRDefault="00462A25" w:rsidP="00C832B2">
            <w:pPr>
              <w:contextualSpacing/>
              <w:jc w:val="center"/>
              <w:rPr>
                <w:sz w:val="22"/>
                <w:szCs w:val="22"/>
              </w:rPr>
            </w:pPr>
          </w:p>
        </w:tc>
        <w:tc>
          <w:tcPr>
            <w:tcW w:w="1085" w:type="dxa"/>
          </w:tcPr>
          <w:p w14:paraId="06196457" w14:textId="77777777" w:rsidR="00462A25" w:rsidRPr="00AF2A94" w:rsidRDefault="00462A25" w:rsidP="00C832B2">
            <w:pPr>
              <w:contextualSpacing/>
              <w:jc w:val="center"/>
              <w:rPr>
                <w:sz w:val="22"/>
                <w:szCs w:val="22"/>
              </w:rPr>
            </w:pPr>
            <w:r w:rsidRPr="00AF2A94">
              <w:rPr>
                <w:sz w:val="22"/>
                <w:szCs w:val="22"/>
              </w:rPr>
              <w:t>33.17</w:t>
            </w:r>
          </w:p>
          <w:p w14:paraId="172B1ECC" w14:textId="77777777" w:rsidR="00462A25" w:rsidRPr="00AF2A94" w:rsidRDefault="00462A25" w:rsidP="00C832B2">
            <w:pPr>
              <w:contextualSpacing/>
              <w:jc w:val="center"/>
              <w:rPr>
                <w:sz w:val="22"/>
                <w:szCs w:val="22"/>
              </w:rPr>
            </w:pPr>
            <w:r w:rsidRPr="00AF2A94">
              <w:rPr>
                <w:sz w:val="22"/>
                <w:szCs w:val="22"/>
              </w:rPr>
              <w:t>(6.99)</w:t>
            </w:r>
          </w:p>
          <w:p w14:paraId="6C492CA2" w14:textId="77777777" w:rsidR="00462A25" w:rsidRPr="00AF2A94" w:rsidRDefault="00462A25" w:rsidP="00C832B2">
            <w:pPr>
              <w:contextualSpacing/>
              <w:jc w:val="center"/>
              <w:rPr>
                <w:sz w:val="22"/>
                <w:szCs w:val="22"/>
              </w:rPr>
            </w:pPr>
          </w:p>
        </w:tc>
      </w:tr>
      <w:tr w:rsidR="00462A25" w14:paraId="1E19C5CC" w14:textId="77777777" w:rsidTr="00A72B96">
        <w:tc>
          <w:tcPr>
            <w:tcW w:w="2696" w:type="dxa"/>
          </w:tcPr>
          <w:p w14:paraId="5B394E1D" w14:textId="77777777" w:rsidR="00462A25" w:rsidRPr="00AF2A94" w:rsidRDefault="00462A25" w:rsidP="00A72B96">
            <w:pPr>
              <w:contextualSpacing/>
              <w:rPr>
                <w:sz w:val="22"/>
                <w:szCs w:val="22"/>
              </w:rPr>
            </w:pPr>
            <w:r w:rsidRPr="00AF2A94">
              <w:rPr>
                <w:sz w:val="22"/>
                <w:szCs w:val="22"/>
              </w:rPr>
              <w:t>Psychological Coping</w:t>
            </w:r>
          </w:p>
          <w:p w14:paraId="4076A85E" w14:textId="77777777" w:rsidR="00462A25" w:rsidRPr="00AF2A94" w:rsidRDefault="00462A25" w:rsidP="00A72B96">
            <w:pPr>
              <w:contextualSpacing/>
              <w:rPr>
                <w:sz w:val="22"/>
                <w:szCs w:val="22"/>
              </w:rPr>
            </w:pPr>
            <w:r w:rsidRPr="00AF2A94">
              <w:rPr>
                <w:sz w:val="22"/>
                <w:szCs w:val="22"/>
              </w:rPr>
              <w:t>(WCSS-PC)</w:t>
            </w:r>
          </w:p>
          <w:p w14:paraId="23260554" w14:textId="77777777" w:rsidR="00462A25" w:rsidRPr="00AF2A94" w:rsidRDefault="00462A25" w:rsidP="00A72B96">
            <w:pPr>
              <w:contextualSpacing/>
              <w:rPr>
                <w:sz w:val="22"/>
                <w:szCs w:val="22"/>
              </w:rPr>
            </w:pPr>
          </w:p>
        </w:tc>
        <w:tc>
          <w:tcPr>
            <w:tcW w:w="1079" w:type="dxa"/>
          </w:tcPr>
          <w:p w14:paraId="04A71F91" w14:textId="77777777" w:rsidR="00462A25" w:rsidRPr="00AF2A94" w:rsidRDefault="00462A25" w:rsidP="00C832B2">
            <w:pPr>
              <w:contextualSpacing/>
              <w:jc w:val="center"/>
              <w:rPr>
                <w:sz w:val="22"/>
                <w:szCs w:val="22"/>
              </w:rPr>
            </w:pPr>
            <w:r w:rsidRPr="00AF2A94">
              <w:rPr>
                <w:sz w:val="22"/>
                <w:szCs w:val="22"/>
              </w:rPr>
              <w:t>14.41 (3.92)</w:t>
            </w:r>
          </w:p>
        </w:tc>
        <w:tc>
          <w:tcPr>
            <w:tcW w:w="1080" w:type="dxa"/>
          </w:tcPr>
          <w:p w14:paraId="1A72AC0F" w14:textId="77777777" w:rsidR="00462A25" w:rsidRPr="00AF2A94" w:rsidRDefault="00462A25" w:rsidP="00C832B2">
            <w:pPr>
              <w:contextualSpacing/>
              <w:jc w:val="center"/>
              <w:rPr>
                <w:sz w:val="22"/>
                <w:szCs w:val="22"/>
              </w:rPr>
            </w:pPr>
            <w:r w:rsidRPr="00AF2A94">
              <w:rPr>
                <w:sz w:val="22"/>
                <w:szCs w:val="22"/>
              </w:rPr>
              <w:t>20.42 (4.76)</w:t>
            </w:r>
          </w:p>
        </w:tc>
        <w:tc>
          <w:tcPr>
            <w:tcW w:w="1080" w:type="dxa"/>
          </w:tcPr>
          <w:p w14:paraId="3C3F7FA2" w14:textId="77777777" w:rsidR="00462A25" w:rsidRPr="00AF2A94" w:rsidRDefault="00462A25" w:rsidP="00C832B2">
            <w:pPr>
              <w:contextualSpacing/>
              <w:jc w:val="center"/>
              <w:rPr>
                <w:sz w:val="22"/>
                <w:szCs w:val="22"/>
              </w:rPr>
            </w:pPr>
            <w:r w:rsidRPr="00AF2A94">
              <w:rPr>
                <w:sz w:val="22"/>
                <w:szCs w:val="22"/>
              </w:rPr>
              <w:t>14.45</w:t>
            </w:r>
          </w:p>
          <w:p w14:paraId="6B104EED" w14:textId="77777777" w:rsidR="00462A25" w:rsidRPr="00AF2A94" w:rsidRDefault="00462A25" w:rsidP="00C832B2">
            <w:pPr>
              <w:contextualSpacing/>
              <w:jc w:val="center"/>
              <w:rPr>
                <w:sz w:val="22"/>
                <w:szCs w:val="22"/>
              </w:rPr>
            </w:pPr>
            <w:r w:rsidRPr="00AF2A94">
              <w:rPr>
                <w:sz w:val="22"/>
                <w:szCs w:val="22"/>
              </w:rPr>
              <w:t>(5.37)</w:t>
            </w:r>
          </w:p>
        </w:tc>
        <w:tc>
          <w:tcPr>
            <w:tcW w:w="1080" w:type="dxa"/>
          </w:tcPr>
          <w:p w14:paraId="6BB0DB92" w14:textId="77777777" w:rsidR="00462A25" w:rsidRPr="00AF2A94" w:rsidRDefault="00462A25" w:rsidP="00C832B2">
            <w:pPr>
              <w:contextualSpacing/>
              <w:jc w:val="center"/>
              <w:rPr>
                <w:sz w:val="22"/>
                <w:szCs w:val="22"/>
              </w:rPr>
            </w:pPr>
            <w:r w:rsidRPr="00AF2A94">
              <w:rPr>
                <w:sz w:val="22"/>
                <w:szCs w:val="22"/>
              </w:rPr>
              <w:t>18.92 (5.09)</w:t>
            </w:r>
          </w:p>
        </w:tc>
        <w:tc>
          <w:tcPr>
            <w:tcW w:w="1080" w:type="dxa"/>
          </w:tcPr>
          <w:p w14:paraId="7AE46B71" w14:textId="77777777" w:rsidR="00462A25" w:rsidRPr="00AF2A94" w:rsidRDefault="00462A25" w:rsidP="00C832B2">
            <w:pPr>
              <w:contextualSpacing/>
              <w:jc w:val="center"/>
              <w:rPr>
                <w:sz w:val="22"/>
                <w:szCs w:val="22"/>
              </w:rPr>
            </w:pPr>
            <w:r w:rsidRPr="00AF2A94">
              <w:rPr>
                <w:sz w:val="22"/>
                <w:szCs w:val="22"/>
              </w:rPr>
              <w:t>16.94</w:t>
            </w:r>
          </w:p>
          <w:p w14:paraId="27FAD48D" w14:textId="77777777" w:rsidR="00462A25" w:rsidRPr="00AF2A94" w:rsidRDefault="00462A25" w:rsidP="00C832B2">
            <w:pPr>
              <w:contextualSpacing/>
              <w:jc w:val="center"/>
              <w:rPr>
                <w:sz w:val="22"/>
                <w:szCs w:val="22"/>
              </w:rPr>
            </w:pPr>
            <w:r w:rsidRPr="00AF2A94">
              <w:rPr>
                <w:sz w:val="22"/>
                <w:szCs w:val="22"/>
              </w:rPr>
              <w:t>(4.94)</w:t>
            </w:r>
          </w:p>
        </w:tc>
        <w:tc>
          <w:tcPr>
            <w:tcW w:w="1085" w:type="dxa"/>
          </w:tcPr>
          <w:p w14:paraId="5CB8DA7F" w14:textId="77777777" w:rsidR="00462A25" w:rsidRPr="00AF2A94" w:rsidRDefault="00462A25" w:rsidP="00C832B2">
            <w:pPr>
              <w:contextualSpacing/>
              <w:jc w:val="center"/>
              <w:rPr>
                <w:sz w:val="22"/>
                <w:szCs w:val="22"/>
              </w:rPr>
            </w:pPr>
            <w:r w:rsidRPr="00AF2A94">
              <w:rPr>
                <w:sz w:val="22"/>
                <w:szCs w:val="22"/>
              </w:rPr>
              <w:t>17.50</w:t>
            </w:r>
          </w:p>
          <w:p w14:paraId="3AA31999" w14:textId="77777777" w:rsidR="00462A25" w:rsidRPr="00AF2A94" w:rsidRDefault="00462A25" w:rsidP="00C832B2">
            <w:pPr>
              <w:contextualSpacing/>
              <w:jc w:val="center"/>
              <w:rPr>
                <w:sz w:val="22"/>
                <w:szCs w:val="22"/>
              </w:rPr>
            </w:pPr>
            <w:r w:rsidRPr="00AF2A94">
              <w:rPr>
                <w:sz w:val="22"/>
                <w:szCs w:val="22"/>
              </w:rPr>
              <w:t>(5.18)</w:t>
            </w:r>
          </w:p>
        </w:tc>
      </w:tr>
      <w:tr w:rsidR="00462A25" w14:paraId="6125B655" w14:textId="77777777" w:rsidTr="00A72B96">
        <w:tc>
          <w:tcPr>
            <w:tcW w:w="2696" w:type="dxa"/>
          </w:tcPr>
          <w:p w14:paraId="5DC5D3F6" w14:textId="77777777" w:rsidR="00462A25" w:rsidRPr="00AF2A94" w:rsidRDefault="00462A25" w:rsidP="00A72B96">
            <w:pPr>
              <w:contextualSpacing/>
              <w:rPr>
                <w:sz w:val="22"/>
                <w:szCs w:val="22"/>
              </w:rPr>
            </w:pPr>
            <w:r w:rsidRPr="00AF2A94">
              <w:rPr>
                <w:sz w:val="22"/>
                <w:szCs w:val="22"/>
              </w:rPr>
              <w:t>Self-Monitoring</w:t>
            </w:r>
          </w:p>
          <w:p w14:paraId="09616EB2" w14:textId="77777777" w:rsidR="00462A25" w:rsidRPr="00AF2A94" w:rsidRDefault="00462A25" w:rsidP="00A72B96">
            <w:pPr>
              <w:contextualSpacing/>
              <w:rPr>
                <w:sz w:val="22"/>
                <w:szCs w:val="22"/>
              </w:rPr>
            </w:pPr>
            <w:r w:rsidRPr="00AF2A94">
              <w:rPr>
                <w:sz w:val="22"/>
                <w:szCs w:val="22"/>
              </w:rPr>
              <w:t>(WCSS-SM)</w:t>
            </w:r>
          </w:p>
          <w:p w14:paraId="79E04C79" w14:textId="77777777" w:rsidR="00462A25" w:rsidRPr="00AF2A94" w:rsidRDefault="00462A25" w:rsidP="00A72B96">
            <w:pPr>
              <w:contextualSpacing/>
              <w:rPr>
                <w:sz w:val="22"/>
                <w:szCs w:val="22"/>
              </w:rPr>
            </w:pPr>
          </w:p>
        </w:tc>
        <w:tc>
          <w:tcPr>
            <w:tcW w:w="1079" w:type="dxa"/>
          </w:tcPr>
          <w:p w14:paraId="2CE2A56F" w14:textId="77777777" w:rsidR="00462A25" w:rsidRPr="00AF2A94" w:rsidRDefault="00462A25" w:rsidP="00C832B2">
            <w:pPr>
              <w:contextualSpacing/>
              <w:jc w:val="center"/>
              <w:rPr>
                <w:sz w:val="22"/>
                <w:szCs w:val="22"/>
              </w:rPr>
            </w:pPr>
            <w:r w:rsidRPr="00AF2A94">
              <w:rPr>
                <w:sz w:val="22"/>
                <w:szCs w:val="22"/>
              </w:rPr>
              <w:t>11.24 (4.58)</w:t>
            </w:r>
          </w:p>
        </w:tc>
        <w:tc>
          <w:tcPr>
            <w:tcW w:w="1080" w:type="dxa"/>
          </w:tcPr>
          <w:p w14:paraId="0DF16752" w14:textId="77777777" w:rsidR="00462A25" w:rsidRPr="00AF2A94" w:rsidRDefault="00462A25" w:rsidP="00C832B2">
            <w:pPr>
              <w:contextualSpacing/>
              <w:jc w:val="center"/>
              <w:rPr>
                <w:sz w:val="22"/>
                <w:szCs w:val="22"/>
              </w:rPr>
            </w:pPr>
            <w:r w:rsidRPr="00AF2A94">
              <w:rPr>
                <w:sz w:val="22"/>
                <w:szCs w:val="22"/>
              </w:rPr>
              <w:t>13.92 (6.14)</w:t>
            </w:r>
          </w:p>
        </w:tc>
        <w:tc>
          <w:tcPr>
            <w:tcW w:w="1080" w:type="dxa"/>
          </w:tcPr>
          <w:p w14:paraId="01158005" w14:textId="77777777" w:rsidR="00462A25" w:rsidRPr="00AF2A94" w:rsidRDefault="00462A25" w:rsidP="00C832B2">
            <w:pPr>
              <w:contextualSpacing/>
              <w:jc w:val="center"/>
              <w:rPr>
                <w:sz w:val="22"/>
                <w:szCs w:val="22"/>
              </w:rPr>
            </w:pPr>
            <w:r w:rsidRPr="00AF2A94">
              <w:rPr>
                <w:sz w:val="22"/>
                <w:szCs w:val="22"/>
              </w:rPr>
              <w:t>12.00 (6.77)</w:t>
            </w:r>
          </w:p>
        </w:tc>
        <w:tc>
          <w:tcPr>
            <w:tcW w:w="1080" w:type="dxa"/>
          </w:tcPr>
          <w:p w14:paraId="30DD0161" w14:textId="77777777" w:rsidR="00462A25" w:rsidRPr="00AF2A94" w:rsidRDefault="00462A25" w:rsidP="00C832B2">
            <w:pPr>
              <w:contextualSpacing/>
              <w:jc w:val="center"/>
              <w:rPr>
                <w:sz w:val="22"/>
                <w:szCs w:val="22"/>
              </w:rPr>
            </w:pPr>
            <w:r w:rsidRPr="00AF2A94">
              <w:rPr>
                <w:sz w:val="22"/>
                <w:szCs w:val="22"/>
              </w:rPr>
              <w:t>14.50 (5.95)</w:t>
            </w:r>
          </w:p>
        </w:tc>
        <w:tc>
          <w:tcPr>
            <w:tcW w:w="1080" w:type="dxa"/>
          </w:tcPr>
          <w:p w14:paraId="298ABD9C" w14:textId="77777777" w:rsidR="00462A25" w:rsidRPr="00AF2A94" w:rsidRDefault="00462A25" w:rsidP="00C832B2">
            <w:pPr>
              <w:contextualSpacing/>
              <w:jc w:val="center"/>
              <w:rPr>
                <w:sz w:val="22"/>
                <w:szCs w:val="22"/>
              </w:rPr>
            </w:pPr>
            <w:r w:rsidRPr="00AF2A94">
              <w:rPr>
                <w:sz w:val="22"/>
                <w:szCs w:val="22"/>
              </w:rPr>
              <w:t>12.83 (5.95)</w:t>
            </w:r>
          </w:p>
        </w:tc>
        <w:tc>
          <w:tcPr>
            <w:tcW w:w="1085" w:type="dxa"/>
          </w:tcPr>
          <w:p w14:paraId="4A98C0B5" w14:textId="77777777" w:rsidR="00462A25" w:rsidRPr="00AF2A94" w:rsidRDefault="00462A25" w:rsidP="00C832B2">
            <w:pPr>
              <w:contextualSpacing/>
              <w:jc w:val="center"/>
              <w:rPr>
                <w:sz w:val="22"/>
                <w:szCs w:val="22"/>
              </w:rPr>
            </w:pPr>
            <w:r w:rsidRPr="00AF2A94">
              <w:rPr>
                <w:sz w:val="22"/>
                <w:szCs w:val="22"/>
              </w:rPr>
              <w:t>15.58 (6.27)</w:t>
            </w:r>
          </w:p>
        </w:tc>
      </w:tr>
      <w:tr w:rsidR="00462A25" w14:paraId="4004B841" w14:textId="77777777" w:rsidTr="00A72B96">
        <w:tc>
          <w:tcPr>
            <w:tcW w:w="2696" w:type="dxa"/>
          </w:tcPr>
          <w:p w14:paraId="7ED0C37A" w14:textId="77777777" w:rsidR="00462A25" w:rsidRPr="00AF2A94" w:rsidRDefault="00462A25" w:rsidP="00A72B96">
            <w:pPr>
              <w:contextualSpacing/>
              <w:rPr>
                <w:sz w:val="22"/>
                <w:szCs w:val="22"/>
              </w:rPr>
            </w:pPr>
            <w:r w:rsidRPr="00AF2A94">
              <w:rPr>
                <w:sz w:val="22"/>
                <w:szCs w:val="22"/>
              </w:rPr>
              <w:t>Binge Eating</w:t>
            </w:r>
          </w:p>
          <w:p w14:paraId="29E80F0A" w14:textId="77777777" w:rsidR="00462A25" w:rsidRPr="00AF2A94" w:rsidRDefault="00462A25" w:rsidP="00A72B96">
            <w:pPr>
              <w:contextualSpacing/>
              <w:rPr>
                <w:sz w:val="22"/>
                <w:szCs w:val="22"/>
              </w:rPr>
            </w:pPr>
            <w:r w:rsidRPr="00AF2A94">
              <w:rPr>
                <w:sz w:val="22"/>
                <w:szCs w:val="22"/>
              </w:rPr>
              <w:t>(EDE)</w:t>
            </w:r>
          </w:p>
          <w:p w14:paraId="4695C5E1" w14:textId="77777777" w:rsidR="00462A25" w:rsidRPr="00AF2A94" w:rsidRDefault="00462A25" w:rsidP="00A72B96">
            <w:pPr>
              <w:contextualSpacing/>
              <w:rPr>
                <w:sz w:val="22"/>
                <w:szCs w:val="22"/>
              </w:rPr>
            </w:pPr>
          </w:p>
        </w:tc>
        <w:tc>
          <w:tcPr>
            <w:tcW w:w="1079" w:type="dxa"/>
          </w:tcPr>
          <w:p w14:paraId="7AD51B02" w14:textId="77777777" w:rsidR="00462A25" w:rsidRPr="00AF2A94" w:rsidRDefault="00462A25" w:rsidP="00C832B2">
            <w:pPr>
              <w:contextualSpacing/>
              <w:jc w:val="center"/>
              <w:rPr>
                <w:sz w:val="22"/>
                <w:szCs w:val="22"/>
              </w:rPr>
            </w:pPr>
            <w:r w:rsidRPr="00AF2A94">
              <w:rPr>
                <w:sz w:val="22"/>
                <w:szCs w:val="22"/>
              </w:rPr>
              <w:t>4.12 (8.63)</w:t>
            </w:r>
          </w:p>
        </w:tc>
        <w:tc>
          <w:tcPr>
            <w:tcW w:w="1080" w:type="dxa"/>
          </w:tcPr>
          <w:p w14:paraId="5C7A067F" w14:textId="3D9C3550" w:rsidR="00462A25" w:rsidRPr="00AF2A94" w:rsidRDefault="00462A25" w:rsidP="00C832B2">
            <w:pPr>
              <w:contextualSpacing/>
              <w:jc w:val="center"/>
              <w:rPr>
                <w:sz w:val="22"/>
                <w:szCs w:val="22"/>
              </w:rPr>
            </w:pPr>
            <w:r w:rsidRPr="00AF2A94">
              <w:rPr>
                <w:sz w:val="22"/>
                <w:szCs w:val="22"/>
              </w:rPr>
              <w:t>.25</w:t>
            </w:r>
          </w:p>
          <w:p w14:paraId="50583032" w14:textId="77777777" w:rsidR="00462A25" w:rsidRPr="00AF2A94" w:rsidRDefault="00462A25" w:rsidP="00C832B2">
            <w:pPr>
              <w:contextualSpacing/>
              <w:jc w:val="center"/>
              <w:rPr>
                <w:sz w:val="22"/>
                <w:szCs w:val="22"/>
              </w:rPr>
            </w:pPr>
            <w:r w:rsidRPr="00AF2A94">
              <w:rPr>
                <w:sz w:val="22"/>
                <w:szCs w:val="22"/>
              </w:rPr>
              <w:t>(.45)</w:t>
            </w:r>
          </w:p>
        </w:tc>
        <w:tc>
          <w:tcPr>
            <w:tcW w:w="1080" w:type="dxa"/>
          </w:tcPr>
          <w:p w14:paraId="623DC3E1" w14:textId="77777777" w:rsidR="00462A25" w:rsidRPr="00AF2A94" w:rsidRDefault="00462A25" w:rsidP="00C832B2">
            <w:pPr>
              <w:contextualSpacing/>
              <w:jc w:val="center"/>
              <w:rPr>
                <w:sz w:val="22"/>
                <w:szCs w:val="22"/>
              </w:rPr>
            </w:pPr>
            <w:r w:rsidRPr="00AF2A94">
              <w:rPr>
                <w:sz w:val="22"/>
                <w:szCs w:val="22"/>
              </w:rPr>
              <w:t>2.85 (3.82)</w:t>
            </w:r>
          </w:p>
        </w:tc>
        <w:tc>
          <w:tcPr>
            <w:tcW w:w="1080" w:type="dxa"/>
          </w:tcPr>
          <w:p w14:paraId="76908725" w14:textId="2CB616C7" w:rsidR="00462A25" w:rsidRPr="00AF2A94" w:rsidRDefault="00462A25" w:rsidP="00C832B2">
            <w:pPr>
              <w:contextualSpacing/>
              <w:jc w:val="center"/>
              <w:rPr>
                <w:sz w:val="22"/>
                <w:szCs w:val="22"/>
              </w:rPr>
            </w:pPr>
            <w:r w:rsidRPr="00AF2A94">
              <w:rPr>
                <w:sz w:val="22"/>
                <w:szCs w:val="22"/>
              </w:rPr>
              <w:t>.92</w:t>
            </w:r>
          </w:p>
          <w:p w14:paraId="219D92AD" w14:textId="77777777" w:rsidR="00462A25" w:rsidRPr="00AF2A94" w:rsidRDefault="00462A25" w:rsidP="00C832B2">
            <w:pPr>
              <w:contextualSpacing/>
              <w:jc w:val="center"/>
              <w:rPr>
                <w:sz w:val="22"/>
                <w:szCs w:val="22"/>
              </w:rPr>
            </w:pPr>
            <w:r w:rsidRPr="00AF2A94">
              <w:rPr>
                <w:sz w:val="22"/>
                <w:szCs w:val="22"/>
              </w:rPr>
              <w:t>(1.93)</w:t>
            </w:r>
          </w:p>
        </w:tc>
        <w:tc>
          <w:tcPr>
            <w:tcW w:w="1080" w:type="dxa"/>
          </w:tcPr>
          <w:p w14:paraId="3510B09E" w14:textId="77777777" w:rsidR="00462A25" w:rsidRPr="00AF2A94" w:rsidRDefault="00462A25" w:rsidP="00C832B2">
            <w:pPr>
              <w:contextualSpacing/>
              <w:jc w:val="center"/>
              <w:rPr>
                <w:sz w:val="22"/>
                <w:szCs w:val="22"/>
              </w:rPr>
            </w:pPr>
            <w:r w:rsidRPr="00AF2A94">
              <w:rPr>
                <w:sz w:val="22"/>
                <w:szCs w:val="22"/>
              </w:rPr>
              <w:t>6.39 (9.57)</w:t>
            </w:r>
          </w:p>
        </w:tc>
        <w:tc>
          <w:tcPr>
            <w:tcW w:w="1085" w:type="dxa"/>
          </w:tcPr>
          <w:p w14:paraId="5C5478F6" w14:textId="6094AC87" w:rsidR="00462A25" w:rsidRPr="00AF2A94" w:rsidRDefault="00462A25" w:rsidP="00C832B2">
            <w:pPr>
              <w:contextualSpacing/>
              <w:jc w:val="center"/>
              <w:rPr>
                <w:sz w:val="22"/>
                <w:szCs w:val="22"/>
              </w:rPr>
            </w:pPr>
            <w:r w:rsidRPr="00AF2A94">
              <w:rPr>
                <w:sz w:val="22"/>
                <w:szCs w:val="22"/>
              </w:rPr>
              <w:t>6.83</w:t>
            </w:r>
          </w:p>
          <w:p w14:paraId="2FB14DDC" w14:textId="77777777" w:rsidR="00462A25" w:rsidRPr="00AF2A94" w:rsidRDefault="00462A25" w:rsidP="00C832B2">
            <w:pPr>
              <w:contextualSpacing/>
              <w:jc w:val="center"/>
              <w:rPr>
                <w:sz w:val="22"/>
                <w:szCs w:val="22"/>
              </w:rPr>
            </w:pPr>
            <w:r w:rsidRPr="00AF2A94">
              <w:rPr>
                <w:sz w:val="22"/>
                <w:szCs w:val="22"/>
              </w:rPr>
              <w:t>(9.02)</w:t>
            </w:r>
          </w:p>
        </w:tc>
      </w:tr>
      <w:tr w:rsidR="00462A25" w14:paraId="30DCDCC8" w14:textId="77777777" w:rsidTr="00A72B96">
        <w:tc>
          <w:tcPr>
            <w:tcW w:w="2696" w:type="dxa"/>
          </w:tcPr>
          <w:p w14:paraId="101D6C75" w14:textId="77777777" w:rsidR="00462A25" w:rsidRPr="00AF2A94" w:rsidRDefault="00462A25" w:rsidP="00A72B96">
            <w:pPr>
              <w:contextualSpacing/>
              <w:rPr>
                <w:sz w:val="22"/>
                <w:szCs w:val="22"/>
              </w:rPr>
            </w:pPr>
            <w:r w:rsidRPr="00AF2A94">
              <w:rPr>
                <w:sz w:val="22"/>
                <w:szCs w:val="22"/>
              </w:rPr>
              <w:t xml:space="preserve">Emotional Eating </w:t>
            </w:r>
          </w:p>
          <w:p w14:paraId="53D68BFC" w14:textId="41EE7F49" w:rsidR="00462A25" w:rsidRPr="00AF2A94" w:rsidRDefault="00462A25" w:rsidP="00A72B96">
            <w:pPr>
              <w:contextualSpacing/>
              <w:rPr>
                <w:sz w:val="22"/>
                <w:szCs w:val="22"/>
              </w:rPr>
            </w:pPr>
            <w:r w:rsidRPr="00AF2A94">
              <w:rPr>
                <w:sz w:val="22"/>
                <w:szCs w:val="22"/>
              </w:rPr>
              <w:t>(DEBQ</w:t>
            </w:r>
            <w:r w:rsidR="00981D7B">
              <w:rPr>
                <w:sz w:val="22"/>
                <w:szCs w:val="22"/>
              </w:rPr>
              <w:t>-EE</w:t>
            </w:r>
            <w:r w:rsidRPr="00AF2A94">
              <w:rPr>
                <w:sz w:val="22"/>
                <w:szCs w:val="22"/>
              </w:rPr>
              <w:t>)</w:t>
            </w:r>
          </w:p>
        </w:tc>
        <w:tc>
          <w:tcPr>
            <w:tcW w:w="1079" w:type="dxa"/>
          </w:tcPr>
          <w:p w14:paraId="68C52753" w14:textId="77777777" w:rsidR="00462A25" w:rsidRPr="00AF2A94" w:rsidRDefault="00462A25" w:rsidP="00C832B2">
            <w:pPr>
              <w:contextualSpacing/>
              <w:jc w:val="center"/>
              <w:rPr>
                <w:sz w:val="22"/>
                <w:szCs w:val="22"/>
              </w:rPr>
            </w:pPr>
            <w:r w:rsidRPr="00AF2A94">
              <w:rPr>
                <w:sz w:val="22"/>
                <w:szCs w:val="22"/>
              </w:rPr>
              <w:t>47.47</w:t>
            </w:r>
            <w:r w:rsidRPr="00AF2A94">
              <w:rPr>
                <w:sz w:val="22"/>
                <w:szCs w:val="22"/>
              </w:rPr>
              <w:br/>
              <w:t>(10.54)</w:t>
            </w:r>
          </w:p>
        </w:tc>
        <w:tc>
          <w:tcPr>
            <w:tcW w:w="1080" w:type="dxa"/>
          </w:tcPr>
          <w:p w14:paraId="6E8280C1" w14:textId="77777777" w:rsidR="00462A25" w:rsidRPr="00AF2A94" w:rsidRDefault="00462A25" w:rsidP="00C832B2">
            <w:pPr>
              <w:contextualSpacing/>
              <w:jc w:val="center"/>
              <w:rPr>
                <w:sz w:val="22"/>
                <w:szCs w:val="22"/>
              </w:rPr>
            </w:pPr>
            <w:r w:rsidRPr="00AF2A94">
              <w:rPr>
                <w:sz w:val="22"/>
                <w:szCs w:val="22"/>
              </w:rPr>
              <w:t>42.58</w:t>
            </w:r>
          </w:p>
          <w:p w14:paraId="1F9251A5" w14:textId="77777777" w:rsidR="00462A25" w:rsidRPr="00AF2A94" w:rsidRDefault="00462A25" w:rsidP="00C832B2">
            <w:pPr>
              <w:contextualSpacing/>
              <w:jc w:val="center"/>
              <w:rPr>
                <w:sz w:val="22"/>
                <w:szCs w:val="22"/>
              </w:rPr>
            </w:pPr>
            <w:r w:rsidRPr="00AF2A94">
              <w:rPr>
                <w:sz w:val="22"/>
                <w:szCs w:val="22"/>
              </w:rPr>
              <w:t>(11.65)</w:t>
            </w:r>
          </w:p>
        </w:tc>
        <w:tc>
          <w:tcPr>
            <w:tcW w:w="1080" w:type="dxa"/>
          </w:tcPr>
          <w:p w14:paraId="4B52DF36" w14:textId="77777777" w:rsidR="00462A25" w:rsidRPr="00AF2A94" w:rsidRDefault="00462A25" w:rsidP="00C832B2">
            <w:pPr>
              <w:contextualSpacing/>
              <w:jc w:val="center"/>
              <w:rPr>
                <w:sz w:val="22"/>
                <w:szCs w:val="22"/>
              </w:rPr>
            </w:pPr>
            <w:r w:rsidRPr="00AF2A94">
              <w:rPr>
                <w:sz w:val="22"/>
                <w:szCs w:val="22"/>
              </w:rPr>
              <w:t>43.98</w:t>
            </w:r>
          </w:p>
          <w:p w14:paraId="454A0444" w14:textId="77777777" w:rsidR="00462A25" w:rsidRPr="00AF2A94" w:rsidRDefault="00462A25" w:rsidP="00C832B2">
            <w:pPr>
              <w:contextualSpacing/>
              <w:jc w:val="center"/>
              <w:rPr>
                <w:sz w:val="22"/>
                <w:szCs w:val="22"/>
              </w:rPr>
            </w:pPr>
            <w:r w:rsidRPr="00AF2A94">
              <w:rPr>
                <w:sz w:val="22"/>
                <w:szCs w:val="22"/>
              </w:rPr>
              <w:t>(10.93)</w:t>
            </w:r>
          </w:p>
        </w:tc>
        <w:tc>
          <w:tcPr>
            <w:tcW w:w="1080" w:type="dxa"/>
          </w:tcPr>
          <w:p w14:paraId="439282E3" w14:textId="77777777" w:rsidR="00462A25" w:rsidRPr="00AF2A94" w:rsidRDefault="00462A25" w:rsidP="00C832B2">
            <w:pPr>
              <w:contextualSpacing/>
              <w:jc w:val="center"/>
              <w:rPr>
                <w:sz w:val="22"/>
                <w:szCs w:val="22"/>
              </w:rPr>
            </w:pPr>
            <w:r w:rsidRPr="00AF2A94">
              <w:rPr>
                <w:sz w:val="22"/>
                <w:szCs w:val="22"/>
              </w:rPr>
              <w:t>41.42</w:t>
            </w:r>
          </w:p>
          <w:p w14:paraId="66B424AA" w14:textId="77777777" w:rsidR="00462A25" w:rsidRPr="00AF2A94" w:rsidRDefault="00462A25" w:rsidP="00C832B2">
            <w:pPr>
              <w:contextualSpacing/>
              <w:jc w:val="center"/>
              <w:rPr>
                <w:sz w:val="22"/>
                <w:szCs w:val="22"/>
              </w:rPr>
            </w:pPr>
            <w:r w:rsidRPr="00AF2A94">
              <w:rPr>
                <w:sz w:val="22"/>
                <w:szCs w:val="22"/>
              </w:rPr>
              <w:t>(15.26)</w:t>
            </w:r>
          </w:p>
        </w:tc>
        <w:tc>
          <w:tcPr>
            <w:tcW w:w="1080" w:type="dxa"/>
          </w:tcPr>
          <w:p w14:paraId="27EF84AC" w14:textId="77777777" w:rsidR="00462A25" w:rsidRPr="00AF2A94" w:rsidRDefault="00462A25" w:rsidP="00C832B2">
            <w:pPr>
              <w:contextualSpacing/>
              <w:jc w:val="center"/>
              <w:rPr>
                <w:sz w:val="22"/>
                <w:szCs w:val="22"/>
              </w:rPr>
            </w:pPr>
            <w:r w:rsidRPr="00AF2A94">
              <w:rPr>
                <w:sz w:val="22"/>
                <w:szCs w:val="22"/>
              </w:rPr>
              <w:t>44.61</w:t>
            </w:r>
          </w:p>
          <w:p w14:paraId="2AC17814" w14:textId="77777777" w:rsidR="00462A25" w:rsidRPr="00AF2A94" w:rsidRDefault="00462A25" w:rsidP="00C832B2">
            <w:pPr>
              <w:contextualSpacing/>
              <w:jc w:val="center"/>
              <w:rPr>
                <w:sz w:val="22"/>
                <w:szCs w:val="22"/>
              </w:rPr>
            </w:pPr>
            <w:r w:rsidRPr="00AF2A94">
              <w:rPr>
                <w:sz w:val="22"/>
                <w:szCs w:val="22"/>
              </w:rPr>
              <w:t>(9.42)</w:t>
            </w:r>
          </w:p>
        </w:tc>
        <w:tc>
          <w:tcPr>
            <w:tcW w:w="1085" w:type="dxa"/>
          </w:tcPr>
          <w:p w14:paraId="5B285694" w14:textId="77777777" w:rsidR="00462A25" w:rsidRPr="00AF2A94" w:rsidRDefault="00462A25" w:rsidP="00C832B2">
            <w:pPr>
              <w:contextualSpacing/>
              <w:jc w:val="center"/>
              <w:rPr>
                <w:sz w:val="22"/>
                <w:szCs w:val="22"/>
              </w:rPr>
            </w:pPr>
            <w:r w:rsidRPr="00AF2A94">
              <w:rPr>
                <w:sz w:val="22"/>
                <w:szCs w:val="22"/>
              </w:rPr>
              <w:t>48.17</w:t>
            </w:r>
          </w:p>
          <w:p w14:paraId="358E5843" w14:textId="77777777" w:rsidR="00462A25" w:rsidRPr="00AF2A94" w:rsidRDefault="00462A25" w:rsidP="00C832B2">
            <w:pPr>
              <w:contextualSpacing/>
              <w:jc w:val="center"/>
              <w:rPr>
                <w:sz w:val="22"/>
                <w:szCs w:val="22"/>
              </w:rPr>
            </w:pPr>
            <w:r w:rsidRPr="00AF2A94">
              <w:rPr>
                <w:sz w:val="22"/>
                <w:szCs w:val="22"/>
              </w:rPr>
              <w:t>(8.57)</w:t>
            </w:r>
          </w:p>
        </w:tc>
      </w:tr>
      <w:tr w:rsidR="00462A25" w14:paraId="670FB408" w14:textId="77777777" w:rsidTr="00A72B96">
        <w:tc>
          <w:tcPr>
            <w:tcW w:w="2696" w:type="dxa"/>
          </w:tcPr>
          <w:p w14:paraId="240EA15A" w14:textId="77777777" w:rsidR="00462A25" w:rsidRPr="00AF2A94" w:rsidRDefault="00462A25" w:rsidP="00A72B96">
            <w:pPr>
              <w:contextualSpacing/>
              <w:rPr>
                <w:sz w:val="22"/>
                <w:szCs w:val="22"/>
              </w:rPr>
            </w:pPr>
          </w:p>
        </w:tc>
        <w:tc>
          <w:tcPr>
            <w:tcW w:w="1079" w:type="dxa"/>
          </w:tcPr>
          <w:p w14:paraId="6050B21D" w14:textId="77777777" w:rsidR="00462A25" w:rsidRPr="00AF2A94" w:rsidRDefault="00462A25" w:rsidP="00C832B2">
            <w:pPr>
              <w:contextualSpacing/>
              <w:jc w:val="center"/>
              <w:rPr>
                <w:sz w:val="22"/>
                <w:szCs w:val="22"/>
              </w:rPr>
            </w:pPr>
          </w:p>
        </w:tc>
        <w:tc>
          <w:tcPr>
            <w:tcW w:w="1080" w:type="dxa"/>
          </w:tcPr>
          <w:p w14:paraId="12CDFA20" w14:textId="77777777" w:rsidR="00462A25" w:rsidRPr="00AF2A94" w:rsidRDefault="00462A25" w:rsidP="00C832B2">
            <w:pPr>
              <w:contextualSpacing/>
              <w:jc w:val="center"/>
              <w:rPr>
                <w:sz w:val="22"/>
                <w:szCs w:val="22"/>
              </w:rPr>
            </w:pPr>
          </w:p>
        </w:tc>
        <w:tc>
          <w:tcPr>
            <w:tcW w:w="1080" w:type="dxa"/>
          </w:tcPr>
          <w:p w14:paraId="03014D35" w14:textId="77777777" w:rsidR="00462A25" w:rsidRPr="00AF2A94" w:rsidRDefault="00462A25" w:rsidP="00C832B2">
            <w:pPr>
              <w:contextualSpacing/>
              <w:jc w:val="center"/>
              <w:rPr>
                <w:sz w:val="22"/>
                <w:szCs w:val="22"/>
              </w:rPr>
            </w:pPr>
          </w:p>
        </w:tc>
        <w:tc>
          <w:tcPr>
            <w:tcW w:w="1080" w:type="dxa"/>
          </w:tcPr>
          <w:p w14:paraId="63FBAAD7" w14:textId="77777777" w:rsidR="00462A25" w:rsidRPr="00AF2A94" w:rsidRDefault="00462A25" w:rsidP="00C832B2">
            <w:pPr>
              <w:contextualSpacing/>
              <w:jc w:val="center"/>
              <w:rPr>
                <w:sz w:val="22"/>
                <w:szCs w:val="22"/>
              </w:rPr>
            </w:pPr>
          </w:p>
        </w:tc>
        <w:tc>
          <w:tcPr>
            <w:tcW w:w="1080" w:type="dxa"/>
          </w:tcPr>
          <w:p w14:paraId="48D5E9FA" w14:textId="77777777" w:rsidR="00462A25" w:rsidRPr="00AF2A94" w:rsidRDefault="00462A25" w:rsidP="00C832B2">
            <w:pPr>
              <w:contextualSpacing/>
              <w:jc w:val="center"/>
              <w:rPr>
                <w:sz w:val="22"/>
                <w:szCs w:val="22"/>
              </w:rPr>
            </w:pPr>
          </w:p>
        </w:tc>
        <w:tc>
          <w:tcPr>
            <w:tcW w:w="1085" w:type="dxa"/>
          </w:tcPr>
          <w:p w14:paraId="517DED91" w14:textId="77777777" w:rsidR="00462A25" w:rsidRPr="00AF2A94" w:rsidRDefault="00462A25" w:rsidP="00C832B2">
            <w:pPr>
              <w:contextualSpacing/>
              <w:jc w:val="center"/>
              <w:rPr>
                <w:sz w:val="22"/>
                <w:szCs w:val="22"/>
              </w:rPr>
            </w:pPr>
          </w:p>
        </w:tc>
      </w:tr>
      <w:tr w:rsidR="00462A25" w14:paraId="6465F836" w14:textId="77777777" w:rsidTr="00A72B96">
        <w:tc>
          <w:tcPr>
            <w:tcW w:w="2696" w:type="dxa"/>
          </w:tcPr>
          <w:p w14:paraId="607A875F" w14:textId="77777777" w:rsidR="00462A25" w:rsidRPr="00AF2A94" w:rsidRDefault="00462A25" w:rsidP="00A72B96">
            <w:pPr>
              <w:contextualSpacing/>
              <w:rPr>
                <w:sz w:val="22"/>
                <w:szCs w:val="22"/>
              </w:rPr>
            </w:pPr>
            <w:r w:rsidRPr="00AF2A94">
              <w:rPr>
                <w:sz w:val="22"/>
                <w:szCs w:val="22"/>
              </w:rPr>
              <w:t xml:space="preserve">Physical Activity </w:t>
            </w:r>
          </w:p>
          <w:p w14:paraId="57A83A00" w14:textId="77777777" w:rsidR="00462A25" w:rsidRPr="00AF2A94" w:rsidRDefault="00462A25" w:rsidP="00A72B96">
            <w:pPr>
              <w:contextualSpacing/>
              <w:rPr>
                <w:sz w:val="22"/>
                <w:szCs w:val="22"/>
              </w:rPr>
            </w:pPr>
            <w:r w:rsidRPr="00AF2A94">
              <w:rPr>
                <w:sz w:val="22"/>
                <w:szCs w:val="22"/>
              </w:rPr>
              <w:t>(IPAQ)</w:t>
            </w:r>
          </w:p>
          <w:p w14:paraId="6BC600D1" w14:textId="77777777" w:rsidR="00462A25" w:rsidRPr="00AF2A94" w:rsidRDefault="00462A25" w:rsidP="00A72B96">
            <w:pPr>
              <w:contextualSpacing/>
              <w:rPr>
                <w:sz w:val="22"/>
                <w:szCs w:val="22"/>
              </w:rPr>
            </w:pPr>
          </w:p>
        </w:tc>
        <w:tc>
          <w:tcPr>
            <w:tcW w:w="1079" w:type="dxa"/>
          </w:tcPr>
          <w:p w14:paraId="261A4491" w14:textId="77777777" w:rsidR="00462A25" w:rsidRPr="00AF2A94" w:rsidRDefault="00462A25" w:rsidP="00C832B2">
            <w:pPr>
              <w:contextualSpacing/>
              <w:jc w:val="center"/>
              <w:rPr>
                <w:sz w:val="22"/>
                <w:szCs w:val="22"/>
              </w:rPr>
            </w:pPr>
            <w:r w:rsidRPr="00AF2A94">
              <w:rPr>
                <w:sz w:val="22"/>
                <w:szCs w:val="22"/>
              </w:rPr>
              <w:t>2308.12</w:t>
            </w:r>
          </w:p>
          <w:p w14:paraId="58C54537" w14:textId="77777777" w:rsidR="00462A25" w:rsidRPr="00AF2A94" w:rsidRDefault="00462A25" w:rsidP="00C832B2">
            <w:pPr>
              <w:contextualSpacing/>
              <w:jc w:val="center"/>
              <w:rPr>
                <w:sz w:val="22"/>
                <w:szCs w:val="22"/>
              </w:rPr>
            </w:pPr>
            <w:r w:rsidRPr="00AF2A94">
              <w:rPr>
                <w:sz w:val="22"/>
                <w:szCs w:val="22"/>
              </w:rPr>
              <w:t>(2943.93)</w:t>
            </w:r>
          </w:p>
        </w:tc>
        <w:tc>
          <w:tcPr>
            <w:tcW w:w="1080" w:type="dxa"/>
          </w:tcPr>
          <w:p w14:paraId="22FD4751" w14:textId="77777777" w:rsidR="00462A25" w:rsidRPr="00AF2A94" w:rsidRDefault="00462A25" w:rsidP="00C832B2">
            <w:pPr>
              <w:contextualSpacing/>
              <w:jc w:val="center"/>
              <w:rPr>
                <w:sz w:val="22"/>
                <w:szCs w:val="22"/>
              </w:rPr>
            </w:pPr>
            <w:r w:rsidRPr="00AF2A94">
              <w:rPr>
                <w:sz w:val="22"/>
                <w:szCs w:val="22"/>
              </w:rPr>
              <w:t>2537.79</w:t>
            </w:r>
          </w:p>
          <w:p w14:paraId="69A5BD53" w14:textId="77777777" w:rsidR="00462A25" w:rsidRPr="00AF2A94" w:rsidRDefault="00462A25" w:rsidP="00C832B2">
            <w:pPr>
              <w:contextualSpacing/>
              <w:jc w:val="center"/>
              <w:rPr>
                <w:sz w:val="22"/>
                <w:szCs w:val="22"/>
              </w:rPr>
            </w:pPr>
            <w:r w:rsidRPr="00AF2A94">
              <w:rPr>
                <w:sz w:val="22"/>
                <w:szCs w:val="22"/>
              </w:rPr>
              <w:t>(2690.05)</w:t>
            </w:r>
          </w:p>
        </w:tc>
        <w:tc>
          <w:tcPr>
            <w:tcW w:w="1080" w:type="dxa"/>
          </w:tcPr>
          <w:p w14:paraId="165CFD42" w14:textId="77777777" w:rsidR="00462A25" w:rsidRPr="00AF2A94" w:rsidRDefault="00462A25" w:rsidP="00C832B2">
            <w:pPr>
              <w:contextualSpacing/>
              <w:jc w:val="center"/>
              <w:rPr>
                <w:sz w:val="22"/>
                <w:szCs w:val="22"/>
              </w:rPr>
            </w:pPr>
            <w:r w:rsidRPr="00AF2A94">
              <w:rPr>
                <w:sz w:val="22"/>
                <w:szCs w:val="22"/>
              </w:rPr>
              <w:t>1174.73</w:t>
            </w:r>
          </w:p>
          <w:p w14:paraId="086C9A3B" w14:textId="77777777" w:rsidR="00462A25" w:rsidRPr="00AF2A94" w:rsidRDefault="00462A25" w:rsidP="00C832B2">
            <w:pPr>
              <w:contextualSpacing/>
              <w:jc w:val="center"/>
              <w:rPr>
                <w:sz w:val="22"/>
                <w:szCs w:val="22"/>
              </w:rPr>
            </w:pPr>
            <w:r w:rsidRPr="00AF2A94">
              <w:rPr>
                <w:sz w:val="22"/>
                <w:szCs w:val="22"/>
              </w:rPr>
              <w:t>(1167.32)</w:t>
            </w:r>
          </w:p>
        </w:tc>
        <w:tc>
          <w:tcPr>
            <w:tcW w:w="1080" w:type="dxa"/>
          </w:tcPr>
          <w:p w14:paraId="49658753" w14:textId="77777777" w:rsidR="00462A25" w:rsidRPr="00AF2A94" w:rsidRDefault="00462A25" w:rsidP="00C832B2">
            <w:pPr>
              <w:contextualSpacing/>
              <w:jc w:val="center"/>
              <w:rPr>
                <w:sz w:val="22"/>
                <w:szCs w:val="22"/>
              </w:rPr>
            </w:pPr>
            <w:r w:rsidRPr="00AF2A94">
              <w:rPr>
                <w:sz w:val="22"/>
                <w:szCs w:val="22"/>
              </w:rPr>
              <w:t>1948.00</w:t>
            </w:r>
          </w:p>
          <w:p w14:paraId="57055657" w14:textId="77777777" w:rsidR="00462A25" w:rsidRPr="00AF2A94" w:rsidRDefault="00462A25" w:rsidP="00C832B2">
            <w:pPr>
              <w:contextualSpacing/>
              <w:jc w:val="center"/>
              <w:rPr>
                <w:sz w:val="22"/>
                <w:szCs w:val="22"/>
              </w:rPr>
            </w:pPr>
            <w:r w:rsidRPr="00AF2A94">
              <w:rPr>
                <w:sz w:val="22"/>
                <w:szCs w:val="22"/>
              </w:rPr>
              <w:t>(1412.69)</w:t>
            </w:r>
          </w:p>
        </w:tc>
        <w:tc>
          <w:tcPr>
            <w:tcW w:w="1080" w:type="dxa"/>
          </w:tcPr>
          <w:p w14:paraId="02CE239F" w14:textId="77777777" w:rsidR="00462A25" w:rsidRPr="00AF2A94" w:rsidRDefault="00462A25" w:rsidP="00C832B2">
            <w:pPr>
              <w:contextualSpacing/>
              <w:jc w:val="center"/>
              <w:rPr>
                <w:sz w:val="22"/>
                <w:szCs w:val="22"/>
              </w:rPr>
            </w:pPr>
            <w:r w:rsidRPr="00AF2A94">
              <w:rPr>
                <w:sz w:val="22"/>
                <w:szCs w:val="22"/>
              </w:rPr>
              <w:t>2890.81 (2290.96)</w:t>
            </w:r>
          </w:p>
        </w:tc>
        <w:tc>
          <w:tcPr>
            <w:tcW w:w="1085" w:type="dxa"/>
          </w:tcPr>
          <w:p w14:paraId="39394056" w14:textId="77777777" w:rsidR="00462A25" w:rsidRPr="00AF2A94" w:rsidRDefault="00462A25" w:rsidP="00C832B2">
            <w:pPr>
              <w:contextualSpacing/>
              <w:jc w:val="center"/>
              <w:rPr>
                <w:sz w:val="22"/>
                <w:szCs w:val="22"/>
              </w:rPr>
            </w:pPr>
            <w:r w:rsidRPr="00AF2A94">
              <w:rPr>
                <w:sz w:val="22"/>
                <w:szCs w:val="22"/>
              </w:rPr>
              <w:t>2911.00 (4125.87)</w:t>
            </w:r>
          </w:p>
        </w:tc>
      </w:tr>
      <w:tr w:rsidR="00462A25" w14:paraId="5FD87117" w14:textId="77777777" w:rsidTr="00A72B96">
        <w:tc>
          <w:tcPr>
            <w:tcW w:w="2696" w:type="dxa"/>
          </w:tcPr>
          <w:p w14:paraId="36F01FB6" w14:textId="77777777" w:rsidR="00462A25" w:rsidRPr="00AF2A94" w:rsidRDefault="00462A25" w:rsidP="00A72B96">
            <w:pPr>
              <w:contextualSpacing/>
              <w:rPr>
                <w:sz w:val="22"/>
                <w:szCs w:val="22"/>
              </w:rPr>
            </w:pPr>
            <w:r w:rsidRPr="00AF2A94">
              <w:rPr>
                <w:sz w:val="22"/>
                <w:szCs w:val="22"/>
              </w:rPr>
              <w:t>BMI</w:t>
            </w:r>
          </w:p>
          <w:p w14:paraId="34FD58C4" w14:textId="77777777" w:rsidR="00462A25" w:rsidRPr="00AF2A94" w:rsidRDefault="00462A25" w:rsidP="00A72B96">
            <w:pPr>
              <w:contextualSpacing/>
              <w:rPr>
                <w:sz w:val="22"/>
                <w:szCs w:val="22"/>
              </w:rPr>
            </w:pPr>
          </w:p>
          <w:p w14:paraId="76433443" w14:textId="77777777" w:rsidR="00462A25" w:rsidRPr="00AF2A94" w:rsidRDefault="00462A25" w:rsidP="00A72B96">
            <w:pPr>
              <w:contextualSpacing/>
              <w:rPr>
                <w:sz w:val="22"/>
                <w:szCs w:val="22"/>
              </w:rPr>
            </w:pPr>
          </w:p>
        </w:tc>
        <w:tc>
          <w:tcPr>
            <w:tcW w:w="1079" w:type="dxa"/>
          </w:tcPr>
          <w:p w14:paraId="0B38DF1C" w14:textId="77777777" w:rsidR="00462A25" w:rsidRPr="00AF2A94" w:rsidRDefault="00462A25" w:rsidP="00C832B2">
            <w:pPr>
              <w:contextualSpacing/>
              <w:jc w:val="center"/>
              <w:rPr>
                <w:sz w:val="22"/>
                <w:szCs w:val="22"/>
              </w:rPr>
            </w:pPr>
            <w:r w:rsidRPr="00AF2A94">
              <w:rPr>
                <w:sz w:val="22"/>
                <w:szCs w:val="22"/>
              </w:rPr>
              <w:t>36.68</w:t>
            </w:r>
          </w:p>
          <w:p w14:paraId="1FD3F6E3" w14:textId="77777777" w:rsidR="00462A25" w:rsidRPr="00AF2A94" w:rsidRDefault="00462A25" w:rsidP="00C832B2">
            <w:pPr>
              <w:contextualSpacing/>
              <w:jc w:val="center"/>
              <w:rPr>
                <w:sz w:val="22"/>
                <w:szCs w:val="22"/>
              </w:rPr>
            </w:pPr>
            <w:r w:rsidRPr="00AF2A94">
              <w:rPr>
                <w:sz w:val="22"/>
                <w:szCs w:val="22"/>
              </w:rPr>
              <w:t>(6.77)</w:t>
            </w:r>
          </w:p>
        </w:tc>
        <w:tc>
          <w:tcPr>
            <w:tcW w:w="1080" w:type="dxa"/>
          </w:tcPr>
          <w:p w14:paraId="21B32168" w14:textId="77777777" w:rsidR="00462A25" w:rsidRPr="00AF2A94" w:rsidRDefault="00462A25" w:rsidP="00C832B2">
            <w:pPr>
              <w:contextualSpacing/>
              <w:jc w:val="center"/>
              <w:rPr>
                <w:sz w:val="22"/>
                <w:szCs w:val="22"/>
              </w:rPr>
            </w:pPr>
            <w:r w:rsidRPr="00AF2A94">
              <w:rPr>
                <w:sz w:val="22"/>
                <w:szCs w:val="22"/>
              </w:rPr>
              <w:t>34.07 (6.30)</w:t>
            </w:r>
          </w:p>
        </w:tc>
        <w:tc>
          <w:tcPr>
            <w:tcW w:w="1080" w:type="dxa"/>
          </w:tcPr>
          <w:p w14:paraId="70155C6F" w14:textId="77777777" w:rsidR="00462A25" w:rsidRPr="00AF2A94" w:rsidRDefault="00462A25" w:rsidP="00C832B2">
            <w:pPr>
              <w:contextualSpacing/>
              <w:jc w:val="center"/>
              <w:rPr>
                <w:sz w:val="22"/>
                <w:szCs w:val="22"/>
              </w:rPr>
            </w:pPr>
            <w:r w:rsidRPr="00AF2A94">
              <w:rPr>
                <w:sz w:val="22"/>
                <w:szCs w:val="22"/>
              </w:rPr>
              <w:t>36.62 (6.72)</w:t>
            </w:r>
          </w:p>
        </w:tc>
        <w:tc>
          <w:tcPr>
            <w:tcW w:w="1080" w:type="dxa"/>
          </w:tcPr>
          <w:p w14:paraId="7E87FD5D" w14:textId="77777777" w:rsidR="00462A25" w:rsidRPr="00AF2A94" w:rsidRDefault="00462A25" w:rsidP="00C832B2">
            <w:pPr>
              <w:contextualSpacing/>
              <w:jc w:val="center"/>
              <w:rPr>
                <w:sz w:val="22"/>
                <w:szCs w:val="22"/>
              </w:rPr>
            </w:pPr>
            <w:r w:rsidRPr="00AF2A94">
              <w:rPr>
                <w:sz w:val="22"/>
                <w:szCs w:val="22"/>
              </w:rPr>
              <w:t>34.49</w:t>
            </w:r>
          </w:p>
          <w:p w14:paraId="420FE07B" w14:textId="77777777" w:rsidR="00462A25" w:rsidRPr="00AF2A94" w:rsidRDefault="00462A25" w:rsidP="00C832B2">
            <w:pPr>
              <w:contextualSpacing/>
              <w:jc w:val="center"/>
              <w:rPr>
                <w:sz w:val="22"/>
                <w:szCs w:val="22"/>
              </w:rPr>
            </w:pPr>
            <w:r w:rsidRPr="00AF2A94">
              <w:rPr>
                <w:sz w:val="22"/>
                <w:szCs w:val="22"/>
              </w:rPr>
              <w:t>(6.81)</w:t>
            </w:r>
          </w:p>
        </w:tc>
        <w:tc>
          <w:tcPr>
            <w:tcW w:w="1080" w:type="dxa"/>
          </w:tcPr>
          <w:p w14:paraId="7623A6B9" w14:textId="77777777" w:rsidR="00462A25" w:rsidRPr="00AF2A94" w:rsidRDefault="00462A25" w:rsidP="00C832B2">
            <w:pPr>
              <w:contextualSpacing/>
              <w:jc w:val="center"/>
              <w:rPr>
                <w:sz w:val="22"/>
                <w:szCs w:val="22"/>
              </w:rPr>
            </w:pPr>
            <w:r w:rsidRPr="00AF2A94">
              <w:rPr>
                <w:sz w:val="22"/>
                <w:szCs w:val="22"/>
              </w:rPr>
              <w:t>37.76 (6.33)</w:t>
            </w:r>
          </w:p>
        </w:tc>
        <w:tc>
          <w:tcPr>
            <w:tcW w:w="1085" w:type="dxa"/>
          </w:tcPr>
          <w:p w14:paraId="50BFF174" w14:textId="77777777" w:rsidR="00462A25" w:rsidRPr="00AF2A94" w:rsidRDefault="00462A25" w:rsidP="00C832B2">
            <w:pPr>
              <w:contextualSpacing/>
              <w:jc w:val="center"/>
              <w:rPr>
                <w:sz w:val="22"/>
                <w:szCs w:val="22"/>
              </w:rPr>
            </w:pPr>
            <w:r w:rsidRPr="00AF2A94">
              <w:rPr>
                <w:sz w:val="22"/>
                <w:szCs w:val="22"/>
              </w:rPr>
              <w:t>37.93</w:t>
            </w:r>
          </w:p>
          <w:p w14:paraId="6E9EDEDB" w14:textId="77777777" w:rsidR="00462A25" w:rsidRPr="00AF2A94" w:rsidRDefault="00462A25" w:rsidP="00C832B2">
            <w:pPr>
              <w:contextualSpacing/>
              <w:jc w:val="center"/>
              <w:rPr>
                <w:sz w:val="22"/>
                <w:szCs w:val="22"/>
              </w:rPr>
            </w:pPr>
            <w:r w:rsidRPr="00AF2A94">
              <w:rPr>
                <w:sz w:val="22"/>
                <w:szCs w:val="22"/>
              </w:rPr>
              <w:t>(6.08)</w:t>
            </w:r>
          </w:p>
        </w:tc>
      </w:tr>
      <w:tr w:rsidR="00462A25" w14:paraId="4DC02A38" w14:textId="77777777" w:rsidTr="00A72B96">
        <w:tc>
          <w:tcPr>
            <w:tcW w:w="2696" w:type="dxa"/>
          </w:tcPr>
          <w:p w14:paraId="0D77712D" w14:textId="77777777" w:rsidR="00462A25" w:rsidRPr="00AF2A94" w:rsidRDefault="00462A25" w:rsidP="00A72B96">
            <w:pPr>
              <w:contextualSpacing/>
              <w:rPr>
                <w:sz w:val="22"/>
                <w:szCs w:val="22"/>
              </w:rPr>
            </w:pPr>
            <w:r w:rsidRPr="00AF2A94">
              <w:rPr>
                <w:sz w:val="22"/>
                <w:szCs w:val="22"/>
              </w:rPr>
              <w:t>Psychological Inflexibility with Weight (AAQ-W)</w:t>
            </w:r>
          </w:p>
          <w:p w14:paraId="3A3D7B74" w14:textId="77777777" w:rsidR="00462A25" w:rsidRPr="00AF2A94" w:rsidRDefault="00462A25" w:rsidP="00A72B96">
            <w:pPr>
              <w:contextualSpacing/>
              <w:rPr>
                <w:sz w:val="22"/>
                <w:szCs w:val="22"/>
              </w:rPr>
            </w:pPr>
          </w:p>
        </w:tc>
        <w:tc>
          <w:tcPr>
            <w:tcW w:w="1079" w:type="dxa"/>
          </w:tcPr>
          <w:p w14:paraId="63B5DC24" w14:textId="77777777" w:rsidR="00462A25" w:rsidRPr="00AF2A94" w:rsidRDefault="00462A25" w:rsidP="00C832B2">
            <w:pPr>
              <w:contextualSpacing/>
              <w:jc w:val="center"/>
              <w:rPr>
                <w:sz w:val="22"/>
                <w:szCs w:val="22"/>
              </w:rPr>
            </w:pPr>
            <w:r w:rsidRPr="00AF2A94">
              <w:rPr>
                <w:sz w:val="22"/>
                <w:szCs w:val="22"/>
              </w:rPr>
              <w:t>95.88 (14.68)</w:t>
            </w:r>
          </w:p>
        </w:tc>
        <w:tc>
          <w:tcPr>
            <w:tcW w:w="1080" w:type="dxa"/>
          </w:tcPr>
          <w:p w14:paraId="52CB4A76" w14:textId="77777777" w:rsidR="00462A25" w:rsidRPr="00AF2A94" w:rsidRDefault="00462A25" w:rsidP="00C832B2">
            <w:pPr>
              <w:contextualSpacing/>
              <w:jc w:val="center"/>
              <w:rPr>
                <w:sz w:val="22"/>
                <w:szCs w:val="22"/>
              </w:rPr>
            </w:pPr>
            <w:r w:rsidRPr="00AF2A94">
              <w:rPr>
                <w:sz w:val="22"/>
                <w:szCs w:val="22"/>
              </w:rPr>
              <w:t>61.42 (16.22)</w:t>
            </w:r>
          </w:p>
        </w:tc>
        <w:tc>
          <w:tcPr>
            <w:tcW w:w="1080" w:type="dxa"/>
          </w:tcPr>
          <w:p w14:paraId="5BF47498" w14:textId="77777777" w:rsidR="00462A25" w:rsidRPr="00AF2A94" w:rsidRDefault="00462A25" w:rsidP="00C832B2">
            <w:pPr>
              <w:contextualSpacing/>
              <w:jc w:val="center"/>
              <w:rPr>
                <w:sz w:val="22"/>
                <w:szCs w:val="22"/>
              </w:rPr>
            </w:pPr>
            <w:r w:rsidRPr="00AF2A94">
              <w:rPr>
                <w:sz w:val="22"/>
                <w:szCs w:val="22"/>
              </w:rPr>
              <w:t>94.45 (17.78)</w:t>
            </w:r>
          </w:p>
        </w:tc>
        <w:tc>
          <w:tcPr>
            <w:tcW w:w="1080" w:type="dxa"/>
          </w:tcPr>
          <w:p w14:paraId="4C29E25B" w14:textId="77777777" w:rsidR="00462A25" w:rsidRPr="00AF2A94" w:rsidRDefault="00462A25" w:rsidP="00C832B2">
            <w:pPr>
              <w:contextualSpacing/>
              <w:jc w:val="center"/>
              <w:rPr>
                <w:sz w:val="22"/>
                <w:szCs w:val="22"/>
              </w:rPr>
            </w:pPr>
            <w:r w:rsidRPr="00AF2A94">
              <w:rPr>
                <w:sz w:val="22"/>
                <w:szCs w:val="22"/>
              </w:rPr>
              <w:t>67.92 (22.32)</w:t>
            </w:r>
          </w:p>
        </w:tc>
        <w:tc>
          <w:tcPr>
            <w:tcW w:w="1080" w:type="dxa"/>
          </w:tcPr>
          <w:p w14:paraId="7DDD8F8D" w14:textId="77777777" w:rsidR="00462A25" w:rsidRPr="00AF2A94" w:rsidRDefault="00462A25" w:rsidP="00C832B2">
            <w:pPr>
              <w:contextualSpacing/>
              <w:jc w:val="center"/>
              <w:rPr>
                <w:sz w:val="22"/>
                <w:szCs w:val="22"/>
              </w:rPr>
            </w:pPr>
            <w:r w:rsidRPr="00AF2A94">
              <w:rPr>
                <w:sz w:val="22"/>
                <w:szCs w:val="22"/>
              </w:rPr>
              <w:t>95.06</w:t>
            </w:r>
          </w:p>
          <w:p w14:paraId="37D913E7" w14:textId="77777777" w:rsidR="00462A25" w:rsidRPr="00AF2A94" w:rsidRDefault="00462A25" w:rsidP="00C832B2">
            <w:pPr>
              <w:contextualSpacing/>
              <w:jc w:val="center"/>
              <w:rPr>
                <w:sz w:val="22"/>
                <w:szCs w:val="22"/>
              </w:rPr>
            </w:pPr>
            <w:r w:rsidRPr="00AF2A94">
              <w:rPr>
                <w:sz w:val="22"/>
                <w:szCs w:val="22"/>
              </w:rPr>
              <w:t>(21.06)</w:t>
            </w:r>
          </w:p>
        </w:tc>
        <w:tc>
          <w:tcPr>
            <w:tcW w:w="1085" w:type="dxa"/>
          </w:tcPr>
          <w:p w14:paraId="1DDD4C2D" w14:textId="77777777" w:rsidR="00462A25" w:rsidRPr="00AF2A94" w:rsidRDefault="00462A25" w:rsidP="00C832B2">
            <w:pPr>
              <w:contextualSpacing/>
              <w:jc w:val="center"/>
              <w:rPr>
                <w:sz w:val="22"/>
                <w:szCs w:val="22"/>
              </w:rPr>
            </w:pPr>
            <w:r w:rsidRPr="00AF2A94">
              <w:rPr>
                <w:sz w:val="22"/>
                <w:szCs w:val="22"/>
              </w:rPr>
              <w:t>91.00 (20.55)</w:t>
            </w:r>
          </w:p>
        </w:tc>
      </w:tr>
      <w:tr w:rsidR="00462A25" w14:paraId="4C60B380" w14:textId="77777777" w:rsidTr="00A72B96">
        <w:tc>
          <w:tcPr>
            <w:tcW w:w="2696" w:type="dxa"/>
            <w:tcBorders>
              <w:bottom w:val="single" w:sz="4" w:space="0" w:color="auto"/>
            </w:tcBorders>
          </w:tcPr>
          <w:p w14:paraId="6020984F" w14:textId="77777777" w:rsidR="00462A25" w:rsidRPr="00AF2A94" w:rsidRDefault="00462A25" w:rsidP="00A72B96">
            <w:pPr>
              <w:contextualSpacing/>
              <w:rPr>
                <w:sz w:val="22"/>
                <w:szCs w:val="22"/>
              </w:rPr>
            </w:pPr>
            <w:r w:rsidRPr="00AF2A94">
              <w:rPr>
                <w:sz w:val="22"/>
                <w:szCs w:val="22"/>
              </w:rPr>
              <w:t>General Psychological Inflexibility (</w:t>
            </w:r>
            <w:proofErr w:type="spellStart"/>
            <w:r w:rsidRPr="00AF2A94">
              <w:rPr>
                <w:sz w:val="22"/>
                <w:szCs w:val="22"/>
              </w:rPr>
              <w:t>CompACT</w:t>
            </w:r>
            <w:proofErr w:type="spellEnd"/>
            <w:r w:rsidRPr="00AF2A94">
              <w:rPr>
                <w:sz w:val="22"/>
                <w:szCs w:val="22"/>
              </w:rPr>
              <w:t xml:space="preserve">) </w:t>
            </w:r>
          </w:p>
        </w:tc>
        <w:tc>
          <w:tcPr>
            <w:tcW w:w="1079" w:type="dxa"/>
            <w:tcBorders>
              <w:bottom w:val="single" w:sz="4" w:space="0" w:color="auto"/>
            </w:tcBorders>
          </w:tcPr>
          <w:p w14:paraId="5D7FF31A" w14:textId="77777777" w:rsidR="00462A25" w:rsidRPr="00AF2A94" w:rsidRDefault="00462A25" w:rsidP="00C832B2">
            <w:pPr>
              <w:contextualSpacing/>
              <w:jc w:val="center"/>
              <w:rPr>
                <w:sz w:val="22"/>
                <w:szCs w:val="22"/>
              </w:rPr>
            </w:pPr>
            <w:r w:rsidRPr="00AF2A94">
              <w:rPr>
                <w:sz w:val="22"/>
                <w:szCs w:val="22"/>
              </w:rPr>
              <w:t>91.12 (18.23)</w:t>
            </w:r>
          </w:p>
        </w:tc>
        <w:tc>
          <w:tcPr>
            <w:tcW w:w="1080" w:type="dxa"/>
            <w:tcBorders>
              <w:bottom w:val="single" w:sz="4" w:space="0" w:color="auto"/>
            </w:tcBorders>
          </w:tcPr>
          <w:p w14:paraId="109E1593" w14:textId="77777777" w:rsidR="00462A25" w:rsidRPr="00AF2A94" w:rsidRDefault="00462A25" w:rsidP="00C832B2">
            <w:pPr>
              <w:contextualSpacing/>
              <w:jc w:val="center"/>
              <w:rPr>
                <w:sz w:val="22"/>
                <w:szCs w:val="22"/>
              </w:rPr>
            </w:pPr>
            <w:r w:rsidRPr="00AF2A94">
              <w:rPr>
                <w:sz w:val="22"/>
                <w:szCs w:val="22"/>
              </w:rPr>
              <w:t>107.67 (19.67)</w:t>
            </w:r>
          </w:p>
        </w:tc>
        <w:tc>
          <w:tcPr>
            <w:tcW w:w="1080" w:type="dxa"/>
            <w:tcBorders>
              <w:bottom w:val="single" w:sz="4" w:space="0" w:color="auto"/>
            </w:tcBorders>
          </w:tcPr>
          <w:p w14:paraId="1BAE55D0" w14:textId="77777777" w:rsidR="00462A25" w:rsidRPr="00AF2A94" w:rsidRDefault="00462A25" w:rsidP="00C832B2">
            <w:pPr>
              <w:contextualSpacing/>
              <w:jc w:val="center"/>
              <w:rPr>
                <w:sz w:val="22"/>
                <w:szCs w:val="22"/>
              </w:rPr>
            </w:pPr>
            <w:r w:rsidRPr="00AF2A94">
              <w:rPr>
                <w:sz w:val="22"/>
                <w:szCs w:val="22"/>
              </w:rPr>
              <w:t>93.99 (17.33)</w:t>
            </w:r>
          </w:p>
        </w:tc>
        <w:tc>
          <w:tcPr>
            <w:tcW w:w="1080" w:type="dxa"/>
            <w:tcBorders>
              <w:bottom w:val="single" w:sz="4" w:space="0" w:color="auto"/>
            </w:tcBorders>
          </w:tcPr>
          <w:p w14:paraId="0A1EC2E4" w14:textId="77777777" w:rsidR="00462A25" w:rsidRPr="00AF2A94" w:rsidRDefault="00462A25" w:rsidP="00C832B2">
            <w:pPr>
              <w:contextualSpacing/>
              <w:jc w:val="center"/>
              <w:rPr>
                <w:sz w:val="22"/>
                <w:szCs w:val="22"/>
              </w:rPr>
            </w:pPr>
            <w:r w:rsidRPr="00AF2A94">
              <w:rPr>
                <w:sz w:val="22"/>
                <w:szCs w:val="22"/>
              </w:rPr>
              <w:t>108.25 (20.93)</w:t>
            </w:r>
          </w:p>
        </w:tc>
        <w:tc>
          <w:tcPr>
            <w:tcW w:w="1080" w:type="dxa"/>
            <w:tcBorders>
              <w:bottom w:val="single" w:sz="4" w:space="0" w:color="auto"/>
            </w:tcBorders>
          </w:tcPr>
          <w:p w14:paraId="59274C64" w14:textId="77777777" w:rsidR="00462A25" w:rsidRPr="00AF2A94" w:rsidRDefault="00462A25" w:rsidP="00C832B2">
            <w:pPr>
              <w:contextualSpacing/>
              <w:jc w:val="center"/>
              <w:rPr>
                <w:sz w:val="22"/>
                <w:szCs w:val="22"/>
              </w:rPr>
            </w:pPr>
            <w:r w:rsidRPr="00AF2A94">
              <w:rPr>
                <w:sz w:val="22"/>
                <w:szCs w:val="22"/>
              </w:rPr>
              <w:t>100.67 (25.39)</w:t>
            </w:r>
          </w:p>
        </w:tc>
        <w:tc>
          <w:tcPr>
            <w:tcW w:w="1085" w:type="dxa"/>
            <w:tcBorders>
              <w:bottom w:val="single" w:sz="4" w:space="0" w:color="auto"/>
            </w:tcBorders>
          </w:tcPr>
          <w:p w14:paraId="53AA6E92" w14:textId="77777777" w:rsidR="00462A25" w:rsidRPr="00AF2A94" w:rsidRDefault="00462A25" w:rsidP="00C832B2">
            <w:pPr>
              <w:contextualSpacing/>
              <w:jc w:val="center"/>
              <w:rPr>
                <w:sz w:val="22"/>
                <w:szCs w:val="22"/>
              </w:rPr>
            </w:pPr>
            <w:r w:rsidRPr="00AF2A94">
              <w:rPr>
                <w:sz w:val="22"/>
                <w:szCs w:val="22"/>
              </w:rPr>
              <w:t>108.50 (21.28)</w:t>
            </w:r>
          </w:p>
        </w:tc>
      </w:tr>
    </w:tbl>
    <w:p w14:paraId="34D314E2" w14:textId="0D72CDE3" w:rsidR="00462A25" w:rsidRDefault="00462A25" w:rsidP="00C832B2">
      <w:pPr>
        <w:spacing w:line="480" w:lineRule="auto"/>
      </w:pPr>
      <w:r w:rsidRPr="00C832B2">
        <w:rPr>
          <w:i/>
          <w:iCs/>
          <w:sz w:val="20"/>
          <w:szCs w:val="20"/>
        </w:rPr>
        <w:t>Note</w:t>
      </w:r>
      <w:r w:rsidR="00ED6A9C">
        <w:rPr>
          <w:sz w:val="20"/>
          <w:szCs w:val="20"/>
        </w:rPr>
        <w:t>.</w:t>
      </w:r>
      <w:r>
        <w:rPr>
          <w:sz w:val="20"/>
          <w:szCs w:val="20"/>
        </w:rPr>
        <w:t xml:space="preserve"> IPAQ and EDE </w:t>
      </w:r>
      <w:r w:rsidR="00C4369C">
        <w:rPr>
          <w:sz w:val="20"/>
          <w:szCs w:val="20"/>
        </w:rPr>
        <w:t>descriptive statistics</w:t>
      </w:r>
      <w:r>
        <w:rPr>
          <w:sz w:val="20"/>
          <w:szCs w:val="20"/>
        </w:rPr>
        <w:t xml:space="preserve"> are provided with non-transformed scoring. </w:t>
      </w:r>
      <w:r w:rsidR="00C42314" w:rsidRPr="00C42314">
        <w:rPr>
          <w:sz w:val="20"/>
          <w:szCs w:val="20"/>
        </w:rPr>
        <w:t xml:space="preserve">WSSQ = Weight Self-Stigma Questionnaire (range = </w:t>
      </w:r>
      <w:r w:rsidR="00C42314">
        <w:rPr>
          <w:sz w:val="20"/>
          <w:szCs w:val="20"/>
        </w:rPr>
        <w:t>14 - 46</w:t>
      </w:r>
      <w:r w:rsidR="00C42314" w:rsidRPr="00C42314">
        <w:rPr>
          <w:sz w:val="20"/>
          <w:szCs w:val="20"/>
        </w:rPr>
        <w:t xml:space="preserve">), WCSS-PA = Weight Control Strategies Scale - Physical Activity (range = </w:t>
      </w:r>
      <w:r w:rsidR="00C42314">
        <w:rPr>
          <w:sz w:val="20"/>
          <w:szCs w:val="20"/>
        </w:rPr>
        <w:t>6 - 20</w:t>
      </w:r>
      <w:r w:rsidR="00C42314" w:rsidRPr="00C42314">
        <w:rPr>
          <w:sz w:val="20"/>
          <w:szCs w:val="20"/>
        </w:rPr>
        <w:t xml:space="preserve">), WCSS-DC = Weight Control Strategies Scale - Dietary Choice (range = </w:t>
      </w:r>
      <w:r w:rsidR="00C42314">
        <w:rPr>
          <w:sz w:val="20"/>
          <w:szCs w:val="20"/>
        </w:rPr>
        <w:t>7 - 31</w:t>
      </w:r>
      <w:r w:rsidR="00C42314" w:rsidRPr="00C42314">
        <w:rPr>
          <w:sz w:val="20"/>
          <w:szCs w:val="20"/>
        </w:rPr>
        <w:t xml:space="preserve">), WCSS-PC = Weight Control Strategies Scale - Psychological Coping (range = </w:t>
      </w:r>
      <w:r w:rsidR="00C42314">
        <w:rPr>
          <w:sz w:val="20"/>
          <w:szCs w:val="20"/>
        </w:rPr>
        <w:t>7 - 22</w:t>
      </w:r>
      <w:r w:rsidR="00C42314" w:rsidRPr="00C42314">
        <w:rPr>
          <w:sz w:val="20"/>
          <w:szCs w:val="20"/>
        </w:rPr>
        <w:t xml:space="preserve">), WCSS-SM Weight Control Strategies Scale - Self Monitoring (range = </w:t>
      </w:r>
      <w:r w:rsidR="00C42314">
        <w:rPr>
          <w:sz w:val="20"/>
          <w:szCs w:val="20"/>
        </w:rPr>
        <w:t>7 - 27</w:t>
      </w:r>
      <w:r w:rsidR="00C42314" w:rsidRPr="00C42314">
        <w:rPr>
          <w:sz w:val="20"/>
          <w:szCs w:val="20"/>
        </w:rPr>
        <w:t xml:space="preserve">), EDE = Eating Disorder Examination Questionnaire-Binge Eating Episode (range = </w:t>
      </w:r>
      <w:r w:rsidR="005D6F9C">
        <w:rPr>
          <w:sz w:val="20"/>
          <w:szCs w:val="20"/>
        </w:rPr>
        <w:t>0 - 35</w:t>
      </w:r>
      <w:r w:rsidR="00C42314" w:rsidRPr="00C42314">
        <w:rPr>
          <w:sz w:val="20"/>
          <w:szCs w:val="20"/>
        </w:rPr>
        <w:t xml:space="preserve">), DEBQ-EE = Dutch Eating Behavior Questionnaire-Emotional Eating (range = </w:t>
      </w:r>
      <w:r w:rsidR="00C42314">
        <w:rPr>
          <w:sz w:val="20"/>
          <w:szCs w:val="20"/>
        </w:rPr>
        <w:t>17 - 48</w:t>
      </w:r>
      <w:r w:rsidR="00C42314" w:rsidRPr="00C42314">
        <w:rPr>
          <w:sz w:val="20"/>
          <w:szCs w:val="20"/>
        </w:rPr>
        <w:t xml:space="preserve">), IPAQ = International </w:t>
      </w:r>
      <w:r w:rsidR="00C42314" w:rsidRPr="00C42314">
        <w:rPr>
          <w:sz w:val="20"/>
          <w:szCs w:val="20"/>
        </w:rPr>
        <w:lastRenderedPageBreak/>
        <w:t xml:space="preserve">Physical Activity Questionnaire-Short Form (range = </w:t>
      </w:r>
      <w:r w:rsidR="005D6F9C">
        <w:rPr>
          <w:sz w:val="20"/>
          <w:szCs w:val="20"/>
        </w:rPr>
        <w:t>0 - 12852</w:t>
      </w:r>
      <w:r w:rsidR="00C42314" w:rsidRPr="00C42314">
        <w:rPr>
          <w:sz w:val="20"/>
          <w:szCs w:val="20"/>
        </w:rPr>
        <w:t xml:space="preserve">), BMI = Body Mass Index (range = </w:t>
      </w:r>
      <w:r w:rsidR="00C42314">
        <w:rPr>
          <w:sz w:val="20"/>
          <w:szCs w:val="20"/>
        </w:rPr>
        <w:t>24.67 – 26.57</w:t>
      </w:r>
      <w:r w:rsidR="00C42314" w:rsidRPr="00C42314">
        <w:rPr>
          <w:sz w:val="20"/>
          <w:szCs w:val="20"/>
        </w:rPr>
        <w:t xml:space="preserve">), AAQ-W = Acceptance and Action Questionnaire for Weight-Related Difficulties (range = </w:t>
      </w:r>
      <w:r w:rsidR="00C42314">
        <w:rPr>
          <w:sz w:val="20"/>
          <w:szCs w:val="20"/>
        </w:rPr>
        <w:t>28 - 106</w:t>
      </w:r>
      <w:r w:rsidR="00C42314" w:rsidRPr="00C42314">
        <w:rPr>
          <w:sz w:val="20"/>
          <w:szCs w:val="20"/>
        </w:rPr>
        <w:t xml:space="preserve">), </w:t>
      </w:r>
      <w:proofErr w:type="spellStart"/>
      <w:r w:rsidR="00C42314" w:rsidRPr="00C42314">
        <w:rPr>
          <w:sz w:val="20"/>
          <w:szCs w:val="20"/>
        </w:rPr>
        <w:t>CompACT</w:t>
      </w:r>
      <w:proofErr w:type="spellEnd"/>
      <w:r w:rsidR="00C42314" w:rsidRPr="00C42314">
        <w:rPr>
          <w:sz w:val="20"/>
          <w:szCs w:val="20"/>
        </w:rPr>
        <w:t xml:space="preserve"> = Comprehensive Assessment of Acceptance and Commitment Therapy Processes (range = </w:t>
      </w:r>
      <w:r w:rsidR="00C42314">
        <w:rPr>
          <w:sz w:val="20"/>
          <w:szCs w:val="20"/>
        </w:rPr>
        <w:t>53- 90</w:t>
      </w:r>
      <w:r w:rsidR="00C42314" w:rsidRPr="00C42314">
        <w:rPr>
          <w:sz w:val="20"/>
          <w:szCs w:val="20"/>
        </w:rPr>
        <w:t>).</w:t>
      </w:r>
      <w:r>
        <w:br w:type="page"/>
      </w:r>
    </w:p>
    <w:p w14:paraId="20D504B6" w14:textId="77777777" w:rsidR="00462A25" w:rsidRDefault="00462A25" w:rsidP="00462A25">
      <w:pPr>
        <w:sectPr w:rsidR="00462A25">
          <w:headerReference w:type="default" r:id="rId10"/>
          <w:pgSz w:w="12240" w:h="15840"/>
          <w:pgMar w:top="1440" w:right="1440" w:bottom="1440" w:left="1440" w:header="720" w:footer="720" w:gutter="0"/>
          <w:cols w:space="720"/>
          <w:docGrid w:linePitch="360"/>
        </w:sectPr>
      </w:pPr>
    </w:p>
    <w:p w14:paraId="439A6EF2" w14:textId="1B18711B" w:rsidR="00162E29" w:rsidRDefault="005D626D" w:rsidP="00462A25">
      <w:pPr>
        <w:contextualSpacing/>
        <w:rPr>
          <w:b/>
          <w:bCs/>
        </w:rPr>
      </w:pPr>
      <w:r w:rsidRPr="00C832B2">
        <w:rPr>
          <w:b/>
          <w:bCs/>
        </w:rPr>
        <w:lastRenderedPageBreak/>
        <w:t>Table 3</w:t>
      </w:r>
    </w:p>
    <w:p w14:paraId="13B7E40A" w14:textId="77777777" w:rsidR="0075458E" w:rsidRPr="00C832B2" w:rsidRDefault="0075458E" w:rsidP="00462A25">
      <w:pPr>
        <w:contextualSpacing/>
        <w:rPr>
          <w:b/>
          <w:bCs/>
        </w:rPr>
      </w:pPr>
    </w:p>
    <w:p w14:paraId="27226F18" w14:textId="378F4AD8" w:rsidR="00462A25" w:rsidRDefault="00462A25" w:rsidP="00462A25">
      <w:pPr>
        <w:contextualSpacing/>
        <w:rPr>
          <w:i/>
          <w:iCs/>
        </w:rPr>
      </w:pPr>
      <w:r w:rsidRPr="00C832B2">
        <w:rPr>
          <w:i/>
          <w:iCs/>
        </w:rPr>
        <w:t xml:space="preserve">MMRM </w:t>
      </w:r>
      <w:r w:rsidR="00162E29" w:rsidRPr="00C832B2">
        <w:rPr>
          <w:i/>
          <w:iCs/>
        </w:rPr>
        <w:t>R</w:t>
      </w:r>
      <w:r w:rsidRPr="00C832B2">
        <w:rPr>
          <w:i/>
          <w:iCs/>
        </w:rPr>
        <w:t xml:space="preserve">esults with the </w:t>
      </w:r>
      <w:r w:rsidR="00162E29" w:rsidRPr="00C832B2">
        <w:rPr>
          <w:i/>
          <w:iCs/>
        </w:rPr>
        <w:t>F</w:t>
      </w:r>
      <w:r w:rsidRPr="00C832B2">
        <w:rPr>
          <w:i/>
          <w:iCs/>
        </w:rPr>
        <w:t xml:space="preserve">ull ITT </w:t>
      </w:r>
      <w:r w:rsidR="00162E29" w:rsidRPr="00C832B2">
        <w:rPr>
          <w:i/>
          <w:iCs/>
        </w:rPr>
        <w:t>S</w:t>
      </w:r>
      <w:r w:rsidRPr="00C832B2">
        <w:rPr>
          <w:i/>
          <w:iCs/>
        </w:rPr>
        <w:t>ample</w:t>
      </w:r>
    </w:p>
    <w:p w14:paraId="679DF687" w14:textId="77777777" w:rsidR="0075458E" w:rsidRPr="00C832B2" w:rsidRDefault="0075458E" w:rsidP="00462A25">
      <w:pPr>
        <w:contextualSpacing/>
        <w:rPr>
          <w:i/>
          <w:iCs/>
          <w:sz w:val="20"/>
          <w:szCs w:val="20"/>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080"/>
        <w:gridCol w:w="720"/>
        <w:gridCol w:w="1260"/>
        <w:gridCol w:w="1170"/>
        <w:gridCol w:w="1350"/>
        <w:gridCol w:w="1350"/>
        <w:gridCol w:w="1345"/>
        <w:gridCol w:w="1350"/>
      </w:tblGrid>
      <w:tr w:rsidR="00462A25" w14:paraId="0C4AAEBF" w14:textId="77777777" w:rsidTr="00C832B2">
        <w:tc>
          <w:tcPr>
            <w:tcW w:w="3330" w:type="dxa"/>
            <w:tcBorders>
              <w:top w:val="single" w:sz="4" w:space="0" w:color="auto"/>
            </w:tcBorders>
          </w:tcPr>
          <w:p w14:paraId="6F0CAF4D" w14:textId="77777777" w:rsidR="00462A25" w:rsidRPr="00AF2A94" w:rsidRDefault="00462A25" w:rsidP="00A72B96">
            <w:pPr>
              <w:contextualSpacing/>
              <w:rPr>
                <w:sz w:val="22"/>
                <w:szCs w:val="22"/>
              </w:rPr>
            </w:pPr>
          </w:p>
        </w:tc>
        <w:tc>
          <w:tcPr>
            <w:tcW w:w="1800" w:type="dxa"/>
            <w:gridSpan w:val="2"/>
            <w:tcBorders>
              <w:top w:val="single" w:sz="4" w:space="0" w:color="auto"/>
              <w:bottom w:val="single" w:sz="4" w:space="0" w:color="auto"/>
            </w:tcBorders>
          </w:tcPr>
          <w:p w14:paraId="54AE1708" w14:textId="77777777" w:rsidR="00462A25" w:rsidRPr="00C832B2" w:rsidRDefault="00462A25" w:rsidP="00A72B96">
            <w:pPr>
              <w:contextualSpacing/>
              <w:jc w:val="center"/>
              <w:rPr>
                <w:sz w:val="22"/>
                <w:szCs w:val="22"/>
              </w:rPr>
            </w:pPr>
            <w:r w:rsidRPr="00C832B2">
              <w:rPr>
                <w:sz w:val="22"/>
                <w:szCs w:val="22"/>
              </w:rPr>
              <w:t>Time x Condition</w:t>
            </w:r>
          </w:p>
        </w:tc>
        <w:tc>
          <w:tcPr>
            <w:tcW w:w="3780" w:type="dxa"/>
            <w:gridSpan w:val="3"/>
            <w:tcBorders>
              <w:top w:val="single" w:sz="4" w:space="0" w:color="auto"/>
              <w:bottom w:val="single" w:sz="4" w:space="0" w:color="auto"/>
            </w:tcBorders>
          </w:tcPr>
          <w:p w14:paraId="35B663B3" w14:textId="77777777" w:rsidR="00462A25" w:rsidRPr="00C832B2" w:rsidRDefault="00462A25" w:rsidP="00A72B96">
            <w:pPr>
              <w:contextualSpacing/>
              <w:jc w:val="center"/>
              <w:rPr>
                <w:sz w:val="22"/>
                <w:szCs w:val="22"/>
              </w:rPr>
            </w:pPr>
            <w:r w:rsidRPr="00C832B2">
              <w:rPr>
                <w:sz w:val="22"/>
                <w:szCs w:val="22"/>
              </w:rPr>
              <w:t xml:space="preserve">Pre-Post Within Condition </w:t>
            </w:r>
            <w:r w:rsidRPr="00C832B2">
              <w:rPr>
                <w:i/>
                <w:sz w:val="22"/>
                <w:szCs w:val="22"/>
              </w:rPr>
              <w:t>d</w:t>
            </w:r>
            <w:r w:rsidRPr="00C832B2">
              <w:rPr>
                <w:sz w:val="22"/>
                <w:szCs w:val="22"/>
              </w:rPr>
              <w:t xml:space="preserve"> [95% CI]</w:t>
            </w:r>
          </w:p>
        </w:tc>
        <w:tc>
          <w:tcPr>
            <w:tcW w:w="4045" w:type="dxa"/>
            <w:gridSpan w:val="3"/>
            <w:tcBorders>
              <w:top w:val="single" w:sz="4" w:space="0" w:color="auto"/>
              <w:bottom w:val="single" w:sz="4" w:space="0" w:color="auto"/>
            </w:tcBorders>
          </w:tcPr>
          <w:p w14:paraId="311BA30B" w14:textId="77777777" w:rsidR="00462A25" w:rsidRPr="00C832B2" w:rsidRDefault="00462A25" w:rsidP="00A72B96">
            <w:pPr>
              <w:contextualSpacing/>
              <w:jc w:val="center"/>
              <w:rPr>
                <w:sz w:val="22"/>
                <w:szCs w:val="22"/>
              </w:rPr>
            </w:pPr>
            <w:r w:rsidRPr="00C832B2">
              <w:rPr>
                <w:sz w:val="22"/>
                <w:szCs w:val="22"/>
              </w:rPr>
              <w:t xml:space="preserve">Between Condition Post </w:t>
            </w:r>
            <w:r w:rsidRPr="00C832B2">
              <w:rPr>
                <w:i/>
                <w:sz w:val="22"/>
                <w:szCs w:val="22"/>
              </w:rPr>
              <w:t>d</w:t>
            </w:r>
            <w:r w:rsidRPr="00C832B2">
              <w:rPr>
                <w:sz w:val="22"/>
                <w:szCs w:val="22"/>
              </w:rPr>
              <w:t xml:space="preserve"> [95% CI]</w:t>
            </w:r>
          </w:p>
        </w:tc>
      </w:tr>
      <w:tr w:rsidR="00462A25" w14:paraId="523EBDD1" w14:textId="77777777" w:rsidTr="00C832B2">
        <w:tc>
          <w:tcPr>
            <w:tcW w:w="3330" w:type="dxa"/>
            <w:tcBorders>
              <w:bottom w:val="single" w:sz="4" w:space="0" w:color="auto"/>
            </w:tcBorders>
          </w:tcPr>
          <w:p w14:paraId="281E8F62" w14:textId="77777777" w:rsidR="00462A25" w:rsidRPr="00AF2A94" w:rsidRDefault="00462A25" w:rsidP="00A72B96">
            <w:pPr>
              <w:contextualSpacing/>
              <w:rPr>
                <w:sz w:val="22"/>
                <w:szCs w:val="22"/>
              </w:rPr>
            </w:pPr>
            <w:r w:rsidRPr="00AF2A94">
              <w:rPr>
                <w:sz w:val="22"/>
                <w:szCs w:val="22"/>
              </w:rPr>
              <w:t>Measure</w:t>
            </w:r>
          </w:p>
        </w:tc>
        <w:tc>
          <w:tcPr>
            <w:tcW w:w="1080" w:type="dxa"/>
            <w:tcBorders>
              <w:top w:val="single" w:sz="4" w:space="0" w:color="auto"/>
              <w:bottom w:val="single" w:sz="4" w:space="0" w:color="auto"/>
            </w:tcBorders>
          </w:tcPr>
          <w:p w14:paraId="376F6CB5" w14:textId="77777777" w:rsidR="00462A25" w:rsidRPr="00AF2A94" w:rsidRDefault="00462A25" w:rsidP="00C832B2">
            <w:pPr>
              <w:contextualSpacing/>
              <w:jc w:val="center"/>
              <w:rPr>
                <w:i/>
                <w:sz w:val="22"/>
                <w:szCs w:val="22"/>
              </w:rPr>
            </w:pPr>
            <w:r w:rsidRPr="00AF2A94">
              <w:rPr>
                <w:i/>
                <w:sz w:val="22"/>
                <w:szCs w:val="22"/>
              </w:rPr>
              <w:t>F</w:t>
            </w:r>
          </w:p>
        </w:tc>
        <w:tc>
          <w:tcPr>
            <w:tcW w:w="720" w:type="dxa"/>
            <w:tcBorders>
              <w:top w:val="single" w:sz="4" w:space="0" w:color="auto"/>
              <w:bottom w:val="single" w:sz="4" w:space="0" w:color="auto"/>
            </w:tcBorders>
          </w:tcPr>
          <w:p w14:paraId="48AA27E1" w14:textId="77777777" w:rsidR="00462A25" w:rsidRPr="00AF2A94" w:rsidRDefault="00462A25" w:rsidP="00C832B2">
            <w:pPr>
              <w:contextualSpacing/>
              <w:jc w:val="center"/>
              <w:rPr>
                <w:i/>
                <w:sz w:val="22"/>
                <w:szCs w:val="22"/>
              </w:rPr>
            </w:pPr>
            <w:r w:rsidRPr="00AF2A94">
              <w:rPr>
                <w:i/>
                <w:sz w:val="22"/>
                <w:szCs w:val="22"/>
              </w:rPr>
              <w:t>d</w:t>
            </w:r>
          </w:p>
        </w:tc>
        <w:tc>
          <w:tcPr>
            <w:tcW w:w="1260" w:type="dxa"/>
            <w:tcBorders>
              <w:top w:val="single" w:sz="4" w:space="0" w:color="auto"/>
              <w:bottom w:val="single" w:sz="4" w:space="0" w:color="auto"/>
            </w:tcBorders>
          </w:tcPr>
          <w:p w14:paraId="42C8D18F" w14:textId="77777777" w:rsidR="00462A25" w:rsidRPr="00AF2A94" w:rsidRDefault="00462A25" w:rsidP="00C832B2">
            <w:pPr>
              <w:contextualSpacing/>
              <w:jc w:val="center"/>
              <w:rPr>
                <w:sz w:val="22"/>
                <w:szCs w:val="22"/>
              </w:rPr>
            </w:pPr>
            <w:r w:rsidRPr="00AF2A94">
              <w:rPr>
                <w:sz w:val="22"/>
                <w:szCs w:val="22"/>
              </w:rPr>
              <w:t>Phone</w:t>
            </w:r>
          </w:p>
        </w:tc>
        <w:tc>
          <w:tcPr>
            <w:tcW w:w="1170" w:type="dxa"/>
            <w:tcBorders>
              <w:top w:val="single" w:sz="4" w:space="0" w:color="auto"/>
              <w:bottom w:val="single" w:sz="4" w:space="0" w:color="auto"/>
            </w:tcBorders>
          </w:tcPr>
          <w:p w14:paraId="2D1C273A" w14:textId="77777777" w:rsidR="00462A25" w:rsidRPr="00AF2A94" w:rsidRDefault="00462A25" w:rsidP="00C832B2">
            <w:pPr>
              <w:contextualSpacing/>
              <w:jc w:val="center"/>
              <w:rPr>
                <w:sz w:val="22"/>
                <w:szCs w:val="22"/>
              </w:rPr>
            </w:pPr>
            <w:r w:rsidRPr="00AF2A94">
              <w:rPr>
                <w:sz w:val="22"/>
                <w:szCs w:val="22"/>
              </w:rPr>
              <w:t>Email</w:t>
            </w:r>
          </w:p>
        </w:tc>
        <w:tc>
          <w:tcPr>
            <w:tcW w:w="1350" w:type="dxa"/>
            <w:tcBorders>
              <w:top w:val="single" w:sz="4" w:space="0" w:color="auto"/>
              <w:bottom w:val="single" w:sz="4" w:space="0" w:color="auto"/>
            </w:tcBorders>
          </w:tcPr>
          <w:p w14:paraId="2C19B277" w14:textId="77777777" w:rsidR="00462A25" w:rsidRPr="00AF2A94" w:rsidRDefault="00462A25" w:rsidP="00C832B2">
            <w:pPr>
              <w:contextualSpacing/>
              <w:jc w:val="center"/>
              <w:rPr>
                <w:sz w:val="22"/>
                <w:szCs w:val="22"/>
              </w:rPr>
            </w:pPr>
            <w:r w:rsidRPr="00AF2A94">
              <w:rPr>
                <w:sz w:val="22"/>
                <w:szCs w:val="22"/>
              </w:rPr>
              <w:t>Waitlist</w:t>
            </w:r>
          </w:p>
        </w:tc>
        <w:tc>
          <w:tcPr>
            <w:tcW w:w="1350" w:type="dxa"/>
            <w:tcBorders>
              <w:top w:val="single" w:sz="4" w:space="0" w:color="auto"/>
              <w:bottom w:val="single" w:sz="4" w:space="0" w:color="auto"/>
            </w:tcBorders>
          </w:tcPr>
          <w:p w14:paraId="70E04343" w14:textId="77777777" w:rsidR="00462A25" w:rsidRPr="00AF2A94" w:rsidRDefault="00462A25" w:rsidP="00C832B2">
            <w:pPr>
              <w:contextualSpacing/>
              <w:jc w:val="center"/>
              <w:rPr>
                <w:sz w:val="22"/>
                <w:szCs w:val="22"/>
              </w:rPr>
            </w:pPr>
            <w:r w:rsidRPr="00AF2A94">
              <w:rPr>
                <w:sz w:val="22"/>
                <w:szCs w:val="22"/>
              </w:rPr>
              <w:t>Phone vs. Waitlist</w:t>
            </w:r>
          </w:p>
        </w:tc>
        <w:tc>
          <w:tcPr>
            <w:tcW w:w="1345" w:type="dxa"/>
            <w:tcBorders>
              <w:top w:val="single" w:sz="4" w:space="0" w:color="auto"/>
              <w:bottom w:val="single" w:sz="4" w:space="0" w:color="auto"/>
            </w:tcBorders>
          </w:tcPr>
          <w:p w14:paraId="66815ED8" w14:textId="77777777" w:rsidR="00462A25" w:rsidRPr="00AF2A94" w:rsidRDefault="00462A25" w:rsidP="00C832B2">
            <w:pPr>
              <w:contextualSpacing/>
              <w:jc w:val="center"/>
              <w:rPr>
                <w:sz w:val="22"/>
                <w:szCs w:val="22"/>
              </w:rPr>
            </w:pPr>
            <w:r w:rsidRPr="00AF2A94">
              <w:rPr>
                <w:sz w:val="22"/>
                <w:szCs w:val="22"/>
              </w:rPr>
              <w:t>Email vs. Waitlist</w:t>
            </w:r>
          </w:p>
        </w:tc>
        <w:tc>
          <w:tcPr>
            <w:tcW w:w="1350" w:type="dxa"/>
            <w:tcBorders>
              <w:top w:val="single" w:sz="4" w:space="0" w:color="auto"/>
              <w:bottom w:val="single" w:sz="4" w:space="0" w:color="auto"/>
            </w:tcBorders>
          </w:tcPr>
          <w:p w14:paraId="0C2067E7" w14:textId="77777777" w:rsidR="00462A25" w:rsidRPr="00AF2A94" w:rsidRDefault="00462A25" w:rsidP="00C832B2">
            <w:pPr>
              <w:contextualSpacing/>
              <w:jc w:val="center"/>
              <w:rPr>
                <w:sz w:val="22"/>
                <w:szCs w:val="22"/>
              </w:rPr>
            </w:pPr>
            <w:r w:rsidRPr="00AF2A94">
              <w:rPr>
                <w:sz w:val="22"/>
                <w:szCs w:val="22"/>
              </w:rPr>
              <w:t>Phone vs. Email</w:t>
            </w:r>
          </w:p>
        </w:tc>
      </w:tr>
      <w:tr w:rsidR="00462A25" w14:paraId="50822084" w14:textId="77777777" w:rsidTr="005D626D">
        <w:tc>
          <w:tcPr>
            <w:tcW w:w="3330" w:type="dxa"/>
            <w:tcBorders>
              <w:top w:val="single" w:sz="4" w:space="0" w:color="auto"/>
            </w:tcBorders>
          </w:tcPr>
          <w:p w14:paraId="4C04DDE8" w14:textId="77777777" w:rsidR="00462A25" w:rsidRPr="00AF2A94" w:rsidRDefault="00462A25" w:rsidP="00A72B96">
            <w:pPr>
              <w:contextualSpacing/>
              <w:rPr>
                <w:sz w:val="22"/>
                <w:szCs w:val="22"/>
              </w:rPr>
            </w:pPr>
            <w:r w:rsidRPr="00AF2A94">
              <w:rPr>
                <w:sz w:val="22"/>
                <w:szCs w:val="22"/>
              </w:rPr>
              <w:t>Weight Self-Stigma (WSSQ)</w:t>
            </w:r>
          </w:p>
          <w:p w14:paraId="71C1E518" w14:textId="77777777" w:rsidR="00462A25" w:rsidRPr="00AF2A94" w:rsidRDefault="00462A25" w:rsidP="00A72B96">
            <w:pPr>
              <w:contextualSpacing/>
              <w:rPr>
                <w:sz w:val="22"/>
                <w:szCs w:val="22"/>
              </w:rPr>
            </w:pPr>
          </w:p>
        </w:tc>
        <w:tc>
          <w:tcPr>
            <w:tcW w:w="1080" w:type="dxa"/>
            <w:tcBorders>
              <w:top w:val="single" w:sz="4" w:space="0" w:color="auto"/>
            </w:tcBorders>
          </w:tcPr>
          <w:p w14:paraId="367EC56D" w14:textId="77777777" w:rsidR="00462A25" w:rsidRPr="00AF2A94" w:rsidRDefault="00462A25" w:rsidP="00C832B2">
            <w:pPr>
              <w:contextualSpacing/>
              <w:jc w:val="center"/>
              <w:rPr>
                <w:sz w:val="22"/>
                <w:szCs w:val="22"/>
              </w:rPr>
            </w:pPr>
            <w:r w:rsidRPr="00AF2A94">
              <w:rPr>
                <w:sz w:val="22"/>
                <w:szCs w:val="22"/>
              </w:rPr>
              <w:t>5.90**</w:t>
            </w:r>
          </w:p>
        </w:tc>
        <w:tc>
          <w:tcPr>
            <w:tcW w:w="720" w:type="dxa"/>
            <w:tcBorders>
              <w:top w:val="single" w:sz="4" w:space="0" w:color="auto"/>
            </w:tcBorders>
          </w:tcPr>
          <w:p w14:paraId="3868BC3E" w14:textId="77777777" w:rsidR="00462A25" w:rsidRPr="00AF2A94" w:rsidRDefault="00462A25" w:rsidP="00C832B2">
            <w:pPr>
              <w:contextualSpacing/>
              <w:jc w:val="center"/>
              <w:rPr>
                <w:sz w:val="22"/>
                <w:szCs w:val="22"/>
              </w:rPr>
            </w:pPr>
            <w:r w:rsidRPr="00AF2A94">
              <w:rPr>
                <w:sz w:val="22"/>
                <w:szCs w:val="22"/>
              </w:rPr>
              <w:t>.84</w:t>
            </w:r>
          </w:p>
        </w:tc>
        <w:tc>
          <w:tcPr>
            <w:tcW w:w="1260" w:type="dxa"/>
            <w:tcBorders>
              <w:top w:val="single" w:sz="4" w:space="0" w:color="auto"/>
            </w:tcBorders>
          </w:tcPr>
          <w:p w14:paraId="250A619B" w14:textId="77777777" w:rsidR="00462A25" w:rsidRPr="00AF2A94" w:rsidRDefault="00462A25" w:rsidP="00C832B2">
            <w:pPr>
              <w:contextualSpacing/>
              <w:jc w:val="center"/>
              <w:rPr>
                <w:sz w:val="22"/>
                <w:szCs w:val="22"/>
              </w:rPr>
            </w:pPr>
            <w:r w:rsidRPr="00AF2A94">
              <w:rPr>
                <w:sz w:val="22"/>
                <w:szCs w:val="22"/>
              </w:rPr>
              <w:t>1.59***</w:t>
            </w:r>
          </w:p>
          <w:p w14:paraId="1A4F2AF0" w14:textId="77777777" w:rsidR="00462A25" w:rsidRPr="00AF2A94" w:rsidRDefault="00462A25" w:rsidP="00C832B2">
            <w:pPr>
              <w:contextualSpacing/>
              <w:jc w:val="center"/>
              <w:rPr>
                <w:sz w:val="22"/>
                <w:szCs w:val="22"/>
              </w:rPr>
            </w:pPr>
            <w:r w:rsidRPr="00AF2A94">
              <w:rPr>
                <w:sz w:val="22"/>
                <w:szCs w:val="22"/>
              </w:rPr>
              <w:t>[1.01, 2.18]</w:t>
            </w:r>
          </w:p>
        </w:tc>
        <w:tc>
          <w:tcPr>
            <w:tcW w:w="1170" w:type="dxa"/>
            <w:tcBorders>
              <w:top w:val="single" w:sz="4" w:space="0" w:color="auto"/>
            </w:tcBorders>
          </w:tcPr>
          <w:p w14:paraId="6A2EF26E" w14:textId="77777777" w:rsidR="00462A25" w:rsidRPr="00AF2A94" w:rsidRDefault="00462A25" w:rsidP="00C832B2">
            <w:pPr>
              <w:contextualSpacing/>
              <w:jc w:val="center"/>
              <w:rPr>
                <w:sz w:val="22"/>
                <w:szCs w:val="22"/>
              </w:rPr>
            </w:pPr>
            <w:r w:rsidRPr="00AF2A94">
              <w:rPr>
                <w:sz w:val="22"/>
                <w:szCs w:val="22"/>
              </w:rPr>
              <w:t>1.30***</w:t>
            </w:r>
          </w:p>
          <w:p w14:paraId="26175D79" w14:textId="77777777" w:rsidR="00462A25" w:rsidRPr="00AF2A94" w:rsidRDefault="00462A25" w:rsidP="00C832B2">
            <w:pPr>
              <w:contextualSpacing/>
              <w:jc w:val="center"/>
              <w:rPr>
                <w:sz w:val="22"/>
                <w:szCs w:val="22"/>
              </w:rPr>
            </w:pPr>
            <w:r w:rsidRPr="00AF2A94">
              <w:rPr>
                <w:sz w:val="22"/>
                <w:szCs w:val="22"/>
              </w:rPr>
              <w:t>[.71, 1.88]</w:t>
            </w:r>
          </w:p>
        </w:tc>
        <w:tc>
          <w:tcPr>
            <w:tcW w:w="1350" w:type="dxa"/>
            <w:tcBorders>
              <w:top w:val="single" w:sz="4" w:space="0" w:color="auto"/>
            </w:tcBorders>
          </w:tcPr>
          <w:p w14:paraId="6969B9EE" w14:textId="77777777" w:rsidR="00462A25" w:rsidRPr="00AF2A94" w:rsidRDefault="00462A25" w:rsidP="00C832B2">
            <w:pPr>
              <w:contextualSpacing/>
              <w:jc w:val="center"/>
              <w:rPr>
                <w:sz w:val="22"/>
                <w:szCs w:val="22"/>
              </w:rPr>
            </w:pPr>
            <w:r w:rsidRPr="00AF2A94">
              <w:rPr>
                <w:sz w:val="22"/>
                <w:szCs w:val="22"/>
              </w:rPr>
              <w:t>.26</w:t>
            </w:r>
          </w:p>
          <w:p w14:paraId="180ECA89" w14:textId="77777777" w:rsidR="00462A25" w:rsidRPr="00AF2A94" w:rsidRDefault="00462A25" w:rsidP="00C832B2">
            <w:pPr>
              <w:contextualSpacing/>
              <w:jc w:val="center"/>
              <w:rPr>
                <w:sz w:val="22"/>
                <w:szCs w:val="22"/>
              </w:rPr>
            </w:pPr>
            <w:r w:rsidRPr="00AF2A94">
              <w:rPr>
                <w:sz w:val="22"/>
                <w:szCs w:val="22"/>
              </w:rPr>
              <w:t>[-.32, .85]</w:t>
            </w:r>
          </w:p>
        </w:tc>
        <w:tc>
          <w:tcPr>
            <w:tcW w:w="1350" w:type="dxa"/>
            <w:tcBorders>
              <w:top w:val="single" w:sz="4" w:space="0" w:color="auto"/>
            </w:tcBorders>
          </w:tcPr>
          <w:p w14:paraId="0A7CB2E7" w14:textId="77777777" w:rsidR="00462A25" w:rsidRPr="00AF2A94" w:rsidRDefault="00462A25" w:rsidP="00C832B2">
            <w:pPr>
              <w:contextualSpacing/>
              <w:jc w:val="center"/>
              <w:rPr>
                <w:sz w:val="22"/>
                <w:szCs w:val="22"/>
              </w:rPr>
            </w:pPr>
            <w:r w:rsidRPr="00AF2A94">
              <w:rPr>
                <w:sz w:val="22"/>
                <w:szCs w:val="22"/>
              </w:rPr>
              <w:t>1.13**</w:t>
            </w:r>
          </w:p>
          <w:p w14:paraId="6CE8062E" w14:textId="77777777" w:rsidR="00462A25" w:rsidRPr="00AF2A94" w:rsidRDefault="00462A25" w:rsidP="00C832B2">
            <w:pPr>
              <w:contextualSpacing/>
              <w:jc w:val="center"/>
              <w:rPr>
                <w:sz w:val="22"/>
                <w:szCs w:val="22"/>
              </w:rPr>
            </w:pPr>
            <w:r w:rsidRPr="00AF2A94">
              <w:rPr>
                <w:sz w:val="22"/>
                <w:szCs w:val="22"/>
              </w:rPr>
              <w:t>[.38, 1.89]</w:t>
            </w:r>
          </w:p>
        </w:tc>
        <w:tc>
          <w:tcPr>
            <w:tcW w:w="1345" w:type="dxa"/>
            <w:tcBorders>
              <w:top w:val="single" w:sz="4" w:space="0" w:color="auto"/>
            </w:tcBorders>
          </w:tcPr>
          <w:p w14:paraId="1C4210BE" w14:textId="77777777" w:rsidR="00462A25" w:rsidRPr="00AF2A94" w:rsidRDefault="00462A25" w:rsidP="00C832B2">
            <w:pPr>
              <w:contextualSpacing/>
              <w:jc w:val="center"/>
              <w:rPr>
                <w:sz w:val="22"/>
                <w:szCs w:val="22"/>
              </w:rPr>
            </w:pPr>
            <w:r w:rsidRPr="00AF2A94">
              <w:rPr>
                <w:sz w:val="22"/>
                <w:szCs w:val="22"/>
              </w:rPr>
              <w:t>.82*</w:t>
            </w:r>
          </w:p>
          <w:p w14:paraId="2D891095" w14:textId="77777777" w:rsidR="00462A25" w:rsidRPr="00AF2A94" w:rsidRDefault="00462A25" w:rsidP="00C832B2">
            <w:pPr>
              <w:contextualSpacing/>
              <w:jc w:val="center"/>
              <w:rPr>
                <w:sz w:val="22"/>
                <w:szCs w:val="22"/>
              </w:rPr>
            </w:pPr>
            <w:r w:rsidRPr="00AF2A94">
              <w:rPr>
                <w:sz w:val="22"/>
                <w:szCs w:val="22"/>
              </w:rPr>
              <w:t>[.07, 1.56]</w:t>
            </w:r>
          </w:p>
        </w:tc>
        <w:tc>
          <w:tcPr>
            <w:tcW w:w="1350" w:type="dxa"/>
            <w:tcBorders>
              <w:top w:val="single" w:sz="4" w:space="0" w:color="auto"/>
            </w:tcBorders>
          </w:tcPr>
          <w:p w14:paraId="7E4DE982" w14:textId="77777777" w:rsidR="00462A25" w:rsidRPr="00AF2A94" w:rsidRDefault="00462A25" w:rsidP="00C832B2">
            <w:pPr>
              <w:contextualSpacing/>
              <w:jc w:val="center"/>
              <w:rPr>
                <w:sz w:val="22"/>
                <w:szCs w:val="22"/>
              </w:rPr>
            </w:pPr>
            <w:r w:rsidRPr="00AF2A94">
              <w:rPr>
                <w:sz w:val="22"/>
                <w:szCs w:val="22"/>
              </w:rPr>
              <w:t>.32</w:t>
            </w:r>
          </w:p>
          <w:p w14:paraId="0E042813" w14:textId="77777777" w:rsidR="00462A25" w:rsidRPr="00AF2A94" w:rsidRDefault="00462A25" w:rsidP="00C832B2">
            <w:pPr>
              <w:contextualSpacing/>
              <w:jc w:val="center"/>
              <w:rPr>
                <w:sz w:val="22"/>
                <w:szCs w:val="22"/>
              </w:rPr>
            </w:pPr>
            <w:r w:rsidRPr="00AF2A94">
              <w:rPr>
                <w:sz w:val="22"/>
                <w:szCs w:val="22"/>
              </w:rPr>
              <w:t>[-.43, 1.07]</w:t>
            </w:r>
          </w:p>
        </w:tc>
      </w:tr>
      <w:tr w:rsidR="00462A25" w14:paraId="21B864DE" w14:textId="77777777" w:rsidTr="005D626D">
        <w:tc>
          <w:tcPr>
            <w:tcW w:w="3330" w:type="dxa"/>
          </w:tcPr>
          <w:p w14:paraId="76E12A57" w14:textId="04988A83" w:rsidR="00462A25" w:rsidRPr="00AF2A94" w:rsidRDefault="00462A25" w:rsidP="005D626D">
            <w:pPr>
              <w:contextualSpacing/>
              <w:rPr>
                <w:sz w:val="22"/>
                <w:szCs w:val="22"/>
              </w:rPr>
            </w:pPr>
            <w:r w:rsidRPr="00AF2A94">
              <w:rPr>
                <w:sz w:val="22"/>
                <w:szCs w:val="22"/>
              </w:rPr>
              <w:t xml:space="preserve">Physical Activity </w:t>
            </w:r>
            <w:r w:rsidR="005D626D" w:rsidRPr="00AF2A94">
              <w:rPr>
                <w:sz w:val="22"/>
                <w:szCs w:val="22"/>
              </w:rPr>
              <w:t>(WCSS-PA)</w:t>
            </w:r>
          </w:p>
        </w:tc>
        <w:tc>
          <w:tcPr>
            <w:tcW w:w="1080" w:type="dxa"/>
          </w:tcPr>
          <w:p w14:paraId="372242D1" w14:textId="77777777" w:rsidR="00462A25" w:rsidRPr="00AF2A94" w:rsidRDefault="00462A25" w:rsidP="00C832B2">
            <w:pPr>
              <w:contextualSpacing/>
              <w:jc w:val="center"/>
              <w:rPr>
                <w:sz w:val="22"/>
                <w:szCs w:val="22"/>
              </w:rPr>
            </w:pPr>
            <w:r w:rsidRPr="00AF2A94">
              <w:rPr>
                <w:sz w:val="22"/>
                <w:szCs w:val="22"/>
              </w:rPr>
              <w:t>3.60*</w:t>
            </w:r>
          </w:p>
        </w:tc>
        <w:tc>
          <w:tcPr>
            <w:tcW w:w="720" w:type="dxa"/>
          </w:tcPr>
          <w:p w14:paraId="386A2577" w14:textId="77777777" w:rsidR="00462A25" w:rsidRPr="00AF2A94" w:rsidRDefault="00462A25" w:rsidP="00C832B2">
            <w:pPr>
              <w:contextualSpacing/>
              <w:jc w:val="center"/>
              <w:rPr>
                <w:sz w:val="22"/>
                <w:szCs w:val="22"/>
              </w:rPr>
            </w:pPr>
            <w:r w:rsidRPr="00AF2A94">
              <w:rPr>
                <w:sz w:val="22"/>
                <w:szCs w:val="22"/>
              </w:rPr>
              <w:t>.62</w:t>
            </w:r>
          </w:p>
        </w:tc>
        <w:tc>
          <w:tcPr>
            <w:tcW w:w="1260" w:type="dxa"/>
          </w:tcPr>
          <w:p w14:paraId="5B2C2264" w14:textId="77777777" w:rsidR="00462A25" w:rsidRPr="00AF2A94" w:rsidRDefault="00462A25" w:rsidP="00C832B2">
            <w:pPr>
              <w:contextualSpacing/>
              <w:jc w:val="center"/>
              <w:rPr>
                <w:sz w:val="22"/>
                <w:szCs w:val="22"/>
              </w:rPr>
            </w:pPr>
            <w:r w:rsidRPr="00AF2A94">
              <w:rPr>
                <w:sz w:val="22"/>
                <w:szCs w:val="22"/>
              </w:rPr>
              <w:t>.51†</w:t>
            </w:r>
          </w:p>
          <w:p w14:paraId="47304034" w14:textId="77777777" w:rsidR="00462A25" w:rsidRPr="00AF2A94" w:rsidRDefault="00462A25" w:rsidP="00C832B2">
            <w:pPr>
              <w:contextualSpacing/>
              <w:jc w:val="center"/>
              <w:rPr>
                <w:sz w:val="22"/>
                <w:szCs w:val="22"/>
              </w:rPr>
            </w:pPr>
            <w:r w:rsidRPr="00AF2A94">
              <w:rPr>
                <w:sz w:val="22"/>
                <w:szCs w:val="22"/>
              </w:rPr>
              <w:t>[-.05, 1.07]</w:t>
            </w:r>
          </w:p>
        </w:tc>
        <w:tc>
          <w:tcPr>
            <w:tcW w:w="1170" w:type="dxa"/>
          </w:tcPr>
          <w:p w14:paraId="211BD79F" w14:textId="77777777" w:rsidR="00462A25" w:rsidRPr="00AF2A94" w:rsidRDefault="00462A25" w:rsidP="00C832B2">
            <w:pPr>
              <w:contextualSpacing/>
              <w:jc w:val="center"/>
              <w:rPr>
                <w:sz w:val="22"/>
                <w:szCs w:val="22"/>
              </w:rPr>
            </w:pPr>
            <w:r w:rsidRPr="00AF2A94">
              <w:rPr>
                <w:sz w:val="22"/>
                <w:szCs w:val="22"/>
              </w:rPr>
              <w:t>.20</w:t>
            </w:r>
          </w:p>
          <w:p w14:paraId="442BA23D" w14:textId="77777777" w:rsidR="00462A25" w:rsidRPr="00AF2A94" w:rsidRDefault="00462A25" w:rsidP="00C832B2">
            <w:pPr>
              <w:contextualSpacing/>
              <w:jc w:val="center"/>
              <w:rPr>
                <w:sz w:val="22"/>
                <w:szCs w:val="22"/>
              </w:rPr>
            </w:pPr>
            <w:r w:rsidRPr="00AF2A94">
              <w:rPr>
                <w:sz w:val="22"/>
                <w:szCs w:val="22"/>
              </w:rPr>
              <w:t>[-.35, .75]</w:t>
            </w:r>
          </w:p>
        </w:tc>
        <w:tc>
          <w:tcPr>
            <w:tcW w:w="1350" w:type="dxa"/>
          </w:tcPr>
          <w:p w14:paraId="58FBCFD5" w14:textId="77777777" w:rsidR="00462A25" w:rsidRPr="00AF2A94" w:rsidRDefault="00462A25" w:rsidP="00C832B2">
            <w:pPr>
              <w:contextualSpacing/>
              <w:jc w:val="center"/>
              <w:rPr>
                <w:sz w:val="22"/>
                <w:szCs w:val="22"/>
              </w:rPr>
            </w:pPr>
            <w:r w:rsidRPr="00AF2A94">
              <w:rPr>
                <w:sz w:val="22"/>
                <w:szCs w:val="22"/>
              </w:rPr>
              <w:t>-.51†</w:t>
            </w:r>
          </w:p>
          <w:p w14:paraId="4F60F7C5" w14:textId="77777777" w:rsidR="00462A25" w:rsidRPr="00AF2A94" w:rsidRDefault="00462A25" w:rsidP="00C832B2">
            <w:pPr>
              <w:contextualSpacing/>
              <w:jc w:val="center"/>
              <w:rPr>
                <w:sz w:val="22"/>
                <w:szCs w:val="22"/>
              </w:rPr>
            </w:pPr>
            <w:r w:rsidRPr="00AF2A94">
              <w:rPr>
                <w:sz w:val="22"/>
                <w:szCs w:val="22"/>
              </w:rPr>
              <w:t>[-1.07, .04]</w:t>
            </w:r>
          </w:p>
        </w:tc>
        <w:tc>
          <w:tcPr>
            <w:tcW w:w="1350" w:type="dxa"/>
          </w:tcPr>
          <w:p w14:paraId="560E0ECA" w14:textId="77777777" w:rsidR="00462A25" w:rsidRPr="00AF2A94" w:rsidRDefault="00462A25" w:rsidP="00C832B2">
            <w:pPr>
              <w:contextualSpacing/>
              <w:jc w:val="center"/>
              <w:rPr>
                <w:sz w:val="22"/>
                <w:szCs w:val="22"/>
              </w:rPr>
            </w:pPr>
            <w:r w:rsidRPr="00AF2A94">
              <w:rPr>
                <w:sz w:val="22"/>
                <w:szCs w:val="22"/>
              </w:rPr>
              <w:t>.70†</w:t>
            </w:r>
          </w:p>
          <w:p w14:paraId="745A4D7F" w14:textId="77777777" w:rsidR="00462A25" w:rsidRPr="00AF2A94" w:rsidRDefault="00462A25" w:rsidP="00C832B2">
            <w:pPr>
              <w:contextualSpacing/>
              <w:jc w:val="center"/>
              <w:rPr>
                <w:sz w:val="22"/>
                <w:szCs w:val="22"/>
              </w:rPr>
            </w:pPr>
            <w:r w:rsidRPr="00AF2A94">
              <w:rPr>
                <w:sz w:val="22"/>
                <w:szCs w:val="22"/>
              </w:rPr>
              <w:t>[-.07, 1.46]</w:t>
            </w:r>
          </w:p>
        </w:tc>
        <w:tc>
          <w:tcPr>
            <w:tcW w:w="1345" w:type="dxa"/>
          </w:tcPr>
          <w:p w14:paraId="475BF37A" w14:textId="77777777" w:rsidR="00462A25" w:rsidRPr="00AF2A94" w:rsidRDefault="00462A25" w:rsidP="00C832B2">
            <w:pPr>
              <w:contextualSpacing/>
              <w:jc w:val="center"/>
              <w:rPr>
                <w:sz w:val="22"/>
                <w:szCs w:val="22"/>
              </w:rPr>
            </w:pPr>
            <w:r w:rsidRPr="00AF2A94">
              <w:rPr>
                <w:sz w:val="22"/>
                <w:szCs w:val="22"/>
              </w:rPr>
              <w:t>.13</w:t>
            </w:r>
          </w:p>
          <w:p w14:paraId="2D98705B" w14:textId="77777777" w:rsidR="00462A25" w:rsidRPr="00AF2A94" w:rsidRDefault="00462A25" w:rsidP="00C832B2">
            <w:pPr>
              <w:contextualSpacing/>
              <w:jc w:val="center"/>
              <w:rPr>
                <w:sz w:val="22"/>
                <w:szCs w:val="22"/>
              </w:rPr>
            </w:pPr>
            <w:r w:rsidRPr="00AF2A94">
              <w:rPr>
                <w:sz w:val="22"/>
                <w:szCs w:val="22"/>
              </w:rPr>
              <w:t>[-.63, .88]</w:t>
            </w:r>
          </w:p>
        </w:tc>
        <w:tc>
          <w:tcPr>
            <w:tcW w:w="1350" w:type="dxa"/>
          </w:tcPr>
          <w:p w14:paraId="4C1B0F27" w14:textId="77777777" w:rsidR="00462A25" w:rsidRPr="00AF2A94" w:rsidRDefault="00462A25" w:rsidP="00C832B2">
            <w:pPr>
              <w:contextualSpacing/>
              <w:jc w:val="center"/>
              <w:rPr>
                <w:sz w:val="22"/>
                <w:szCs w:val="22"/>
              </w:rPr>
            </w:pPr>
            <w:r w:rsidRPr="00AF2A94">
              <w:rPr>
                <w:sz w:val="22"/>
                <w:szCs w:val="22"/>
              </w:rPr>
              <w:t>.57</w:t>
            </w:r>
          </w:p>
          <w:p w14:paraId="45211892" w14:textId="77777777" w:rsidR="00462A25" w:rsidRPr="00AF2A94" w:rsidRDefault="00462A25" w:rsidP="00C832B2">
            <w:pPr>
              <w:contextualSpacing/>
              <w:jc w:val="center"/>
              <w:rPr>
                <w:sz w:val="22"/>
                <w:szCs w:val="22"/>
              </w:rPr>
            </w:pPr>
            <w:r w:rsidRPr="00AF2A94">
              <w:rPr>
                <w:sz w:val="22"/>
                <w:szCs w:val="22"/>
              </w:rPr>
              <w:t>[-.19, 1.33]</w:t>
            </w:r>
          </w:p>
        </w:tc>
      </w:tr>
      <w:tr w:rsidR="00462A25" w14:paraId="7084211F" w14:textId="77777777" w:rsidTr="005D626D">
        <w:tc>
          <w:tcPr>
            <w:tcW w:w="3330" w:type="dxa"/>
          </w:tcPr>
          <w:p w14:paraId="09E682FC" w14:textId="1DDDD670" w:rsidR="00462A25" w:rsidRPr="00AF2A94" w:rsidRDefault="00462A25" w:rsidP="00A72B96">
            <w:pPr>
              <w:contextualSpacing/>
              <w:rPr>
                <w:sz w:val="22"/>
                <w:szCs w:val="22"/>
              </w:rPr>
            </w:pPr>
            <w:r w:rsidRPr="00AF2A94">
              <w:rPr>
                <w:sz w:val="22"/>
                <w:szCs w:val="22"/>
              </w:rPr>
              <w:t>Dietary Choice (WCSS-DC)</w:t>
            </w:r>
          </w:p>
          <w:p w14:paraId="6B3BAC13" w14:textId="77777777" w:rsidR="00462A25" w:rsidRPr="00AF2A94" w:rsidRDefault="00462A25" w:rsidP="00A72B96">
            <w:pPr>
              <w:contextualSpacing/>
              <w:rPr>
                <w:sz w:val="22"/>
                <w:szCs w:val="22"/>
              </w:rPr>
            </w:pPr>
          </w:p>
        </w:tc>
        <w:tc>
          <w:tcPr>
            <w:tcW w:w="1080" w:type="dxa"/>
          </w:tcPr>
          <w:p w14:paraId="6B454D62" w14:textId="77777777" w:rsidR="00462A25" w:rsidRPr="00AF2A94" w:rsidRDefault="00462A25" w:rsidP="00C832B2">
            <w:pPr>
              <w:contextualSpacing/>
              <w:jc w:val="center"/>
              <w:rPr>
                <w:sz w:val="22"/>
                <w:szCs w:val="22"/>
              </w:rPr>
            </w:pPr>
            <w:r w:rsidRPr="00AF2A94">
              <w:rPr>
                <w:sz w:val="22"/>
                <w:szCs w:val="22"/>
              </w:rPr>
              <w:t>4.40*</w:t>
            </w:r>
          </w:p>
        </w:tc>
        <w:tc>
          <w:tcPr>
            <w:tcW w:w="720" w:type="dxa"/>
          </w:tcPr>
          <w:p w14:paraId="5CB6ABCD" w14:textId="77777777" w:rsidR="00462A25" w:rsidRPr="00AF2A94" w:rsidRDefault="00462A25" w:rsidP="00C832B2">
            <w:pPr>
              <w:contextualSpacing/>
              <w:jc w:val="center"/>
              <w:rPr>
                <w:sz w:val="22"/>
                <w:szCs w:val="22"/>
              </w:rPr>
            </w:pPr>
            <w:r w:rsidRPr="00AF2A94">
              <w:rPr>
                <w:sz w:val="22"/>
                <w:szCs w:val="22"/>
              </w:rPr>
              <w:t>.72</w:t>
            </w:r>
          </w:p>
        </w:tc>
        <w:tc>
          <w:tcPr>
            <w:tcW w:w="1260" w:type="dxa"/>
          </w:tcPr>
          <w:p w14:paraId="66E9B368" w14:textId="77777777" w:rsidR="00462A25" w:rsidRPr="00AF2A94" w:rsidRDefault="00462A25" w:rsidP="00C832B2">
            <w:pPr>
              <w:contextualSpacing/>
              <w:jc w:val="center"/>
              <w:rPr>
                <w:sz w:val="22"/>
                <w:szCs w:val="22"/>
              </w:rPr>
            </w:pPr>
            <w:r w:rsidRPr="00AF2A94">
              <w:rPr>
                <w:sz w:val="22"/>
                <w:szCs w:val="22"/>
              </w:rPr>
              <w:t>1.18***</w:t>
            </w:r>
          </w:p>
          <w:p w14:paraId="2E94981D" w14:textId="77777777" w:rsidR="00462A25" w:rsidRPr="00AF2A94" w:rsidRDefault="00462A25" w:rsidP="00C832B2">
            <w:pPr>
              <w:contextualSpacing/>
              <w:jc w:val="center"/>
              <w:rPr>
                <w:sz w:val="22"/>
                <w:szCs w:val="22"/>
              </w:rPr>
            </w:pPr>
            <w:r w:rsidRPr="00AF2A94">
              <w:rPr>
                <w:sz w:val="22"/>
                <w:szCs w:val="22"/>
              </w:rPr>
              <w:t>[.60, 1.76]</w:t>
            </w:r>
          </w:p>
        </w:tc>
        <w:tc>
          <w:tcPr>
            <w:tcW w:w="1170" w:type="dxa"/>
          </w:tcPr>
          <w:p w14:paraId="159C69A1" w14:textId="77777777" w:rsidR="00462A25" w:rsidRPr="00AF2A94" w:rsidRDefault="00462A25" w:rsidP="00C832B2">
            <w:pPr>
              <w:contextualSpacing/>
              <w:jc w:val="center"/>
              <w:rPr>
                <w:sz w:val="22"/>
                <w:szCs w:val="22"/>
              </w:rPr>
            </w:pPr>
            <w:r w:rsidRPr="00AF2A94">
              <w:rPr>
                <w:sz w:val="22"/>
                <w:szCs w:val="22"/>
              </w:rPr>
              <w:t>.14</w:t>
            </w:r>
          </w:p>
          <w:p w14:paraId="2C8CF7D7" w14:textId="77777777" w:rsidR="00462A25" w:rsidRPr="00AF2A94" w:rsidRDefault="00462A25" w:rsidP="00C832B2">
            <w:pPr>
              <w:contextualSpacing/>
              <w:jc w:val="center"/>
              <w:rPr>
                <w:sz w:val="22"/>
                <w:szCs w:val="22"/>
              </w:rPr>
            </w:pPr>
            <w:r w:rsidRPr="00AF2A94">
              <w:rPr>
                <w:sz w:val="22"/>
                <w:szCs w:val="22"/>
              </w:rPr>
              <w:t>[-.44, .72]</w:t>
            </w:r>
          </w:p>
        </w:tc>
        <w:tc>
          <w:tcPr>
            <w:tcW w:w="1350" w:type="dxa"/>
          </w:tcPr>
          <w:p w14:paraId="370CCF58" w14:textId="77777777" w:rsidR="00462A25" w:rsidRPr="00AF2A94" w:rsidRDefault="00462A25" w:rsidP="00C832B2">
            <w:pPr>
              <w:contextualSpacing/>
              <w:jc w:val="center"/>
              <w:rPr>
                <w:sz w:val="22"/>
                <w:szCs w:val="22"/>
              </w:rPr>
            </w:pPr>
            <w:r w:rsidRPr="00AF2A94">
              <w:rPr>
                <w:sz w:val="22"/>
                <w:szCs w:val="22"/>
              </w:rPr>
              <w:t>.14</w:t>
            </w:r>
          </w:p>
          <w:p w14:paraId="017B2D74" w14:textId="77777777" w:rsidR="00462A25" w:rsidRPr="00AF2A94" w:rsidRDefault="00462A25" w:rsidP="00C832B2">
            <w:pPr>
              <w:contextualSpacing/>
              <w:jc w:val="center"/>
              <w:rPr>
                <w:sz w:val="22"/>
                <w:szCs w:val="22"/>
              </w:rPr>
            </w:pPr>
            <w:r w:rsidRPr="00AF2A94">
              <w:rPr>
                <w:sz w:val="22"/>
                <w:szCs w:val="22"/>
              </w:rPr>
              <w:t>[-.44, .72]</w:t>
            </w:r>
          </w:p>
        </w:tc>
        <w:tc>
          <w:tcPr>
            <w:tcW w:w="1350" w:type="dxa"/>
          </w:tcPr>
          <w:p w14:paraId="6D8B5D61" w14:textId="77777777" w:rsidR="00462A25" w:rsidRPr="00AF2A94" w:rsidRDefault="00462A25" w:rsidP="00C832B2">
            <w:pPr>
              <w:contextualSpacing/>
              <w:jc w:val="center"/>
              <w:rPr>
                <w:sz w:val="22"/>
                <w:szCs w:val="22"/>
              </w:rPr>
            </w:pPr>
            <w:r w:rsidRPr="00AF2A94">
              <w:rPr>
                <w:sz w:val="22"/>
                <w:szCs w:val="22"/>
              </w:rPr>
              <w:t>.54</w:t>
            </w:r>
          </w:p>
          <w:p w14:paraId="168A52D2" w14:textId="77777777" w:rsidR="00462A25" w:rsidRPr="00AF2A94" w:rsidRDefault="00462A25" w:rsidP="00C832B2">
            <w:pPr>
              <w:contextualSpacing/>
              <w:jc w:val="center"/>
              <w:rPr>
                <w:sz w:val="22"/>
                <w:szCs w:val="22"/>
              </w:rPr>
            </w:pPr>
            <w:r w:rsidRPr="00AF2A94">
              <w:rPr>
                <w:sz w:val="22"/>
                <w:szCs w:val="22"/>
              </w:rPr>
              <w:t>[-.21, 1.30]</w:t>
            </w:r>
          </w:p>
        </w:tc>
        <w:tc>
          <w:tcPr>
            <w:tcW w:w="1345" w:type="dxa"/>
          </w:tcPr>
          <w:p w14:paraId="5397F59D" w14:textId="42ABA7E3" w:rsidR="00462A25" w:rsidRPr="00AF2A94" w:rsidRDefault="00462A25" w:rsidP="00C832B2">
            <w:pPr>
              <w:contextualSpacing/>
              <w:jc w:val="center"/>
              <w:rPr>
                <w:sz w:val="22"/>
                <w:szCs w:val="22"/>
              </w:rPr>
            </w:pPr>
            <w:r w:rsidRPr="00AF2A94">
              <w:rPr>
                <w:sz w:val="22"/>
                <w:szCs w:val="22"/>
              </w:rPr>
              <w:t>-.30</w:t>
            </w:r>
          </w:p>
          <w:p w14:paraId="07B67223" w14:textId="77777777" w:rsidR="00462A25" w:rsidRPr="00AF2A94" w:rsidRDefault="00462A25" w:rsidP="00C832B2">
            <w:pPr>
              <w:contextualSpacing/>
              <w:jc w:val="center"/>
              <w:rPr>
                <w:sz w:val="22"/>
                <w:szCs w:val="22"/>
              </w:rPr>
            </w:pPr>
            <w:r w:rsidRPr="00AF2A94">
              <w:rPr>
                <w:sz w:val="22"/>
                <w:szCs w:val="22"/>
              </w:rPr>
              <w:t>[-1.04, .45]</w:t>
            </w:r>
          </w:p>
        </w:tc>
        <w:tc>
          <w:tcPr>
            <w:tcW w:w="1350" w:type="dxa"/>
          </w:tcPr>
          <w:p w14:paraId="7D4563FB" w14:textId="77777777" w:rsidR="00462A25" w:rsidRPr="00AF2A94" w:rsidRDefault="00462A25" w:rsidP="00C832B2">
            <w:pPr>
              <w:contextualSpacing/>
              <w:jc w:val="center"/>
              <w:rPr>
                <w:sz w:val="22"/>
                <w:szCs w:val="22"/>
              </w:rPr>
            </w:pPr>
            <w:r w:rsidRPr="00AF2A94">
              <w:rPr>
                <w:sz w:val="22"/>
                <w:szCs w:val="22"/>
              </w:rPr>
              <w:t>.84*</w:t>
            </w:r>
          </w:p>
          <w:p w14:paraId="6A198805" w14:textId="77777777" w:rsidR="00462A25" w:rsidRPr="00AF2A94" w:rsidRDefault="00462A25" w:rsidP="00C832B2">
            <w:pPr>
              <w:contextualSpacing/>
              <w:jc w:val="center"/>
              <w:rPr>
                <w:sz w:val="22"/>
                <w:szCs w:val="22"/>
              </w:rPr>
            </w:pPr>
            <w:r w:rsidRPr="00AF2A94">
              <w:rPr>
                <w:sz w:val="22"/>
                <w:szCs w:val="22"/>
              </w:rPr>
              <w:t>[.09, 1.59]</w:t>
            </w:r>
          </w:p>
        </w:tc>
      </w:tr>
      <w:tr w:rsidR="00462A25" w14:paraId="60043FBF" w14:textId="77777777" w:rsidTr="005D626D">
        <w:tc>
          <w:tcPr>
            <w:tcW w:w="3330" w:type="dxa"/>
          </w:tcPr>
          <w:p w14:paraId="12909C03" w14:textId="74B61A74" w:rsidR="00462A25" w:rsidRPr="00AF2A94" w:rsidRDefault="00462A25" w:rsidP="005D626D">
            <w:pPr>
              <w:contextualSpacing/>
              <w:rPr>
                <w:sz w:val="22"/>
                <w:szCs w:val="22"/>
              </w:rPr>
            </w:pPr>
            <w:r w:rsidRPr="00AF2A94">
              <w:rPr>
                <w:sz w:val="22"/>
                <w:szCs w:val="22"/>
              </w:rPr>
              <w:t>Psychological Coping</w:t>
            </w:r>
            <w:r w:rsidR="005D626D" w:rsidRPr="00AF2A94">
              <w:rPr>
                <w:sz w:val="22"/>
                <w:szCs w:val="22"/>
              </w:rPr>
              <w:t xml:space="preserve"> </w:t>
            </w:r>
            <w:r w:rsidRPr="00AF2A94">
              <w:rPr>
                <w:sz w:val="22"/>
                <w:szCs w:val="22"/>
              </w:rPr>
              <w:t>(WCSS-PC)</w:t>
            </w:r>
          </w:p>
        </w:tc>
        <w:tc>
          <w:tcPr>
            <w:tcW w:w="1080" w:type="dxa"/>
          </w:tcPr>
          <w:p w14:paraId="50BDD8C9" w14:textId="77777777" w:rsidR="00462A25" w:rsidRPr="00AF2A94" w:rsidRDefault="00462A25" w:rsidP="00C832B2">
            <w:pPr>
              <w:contextualSpacing/>
              <w:jc w:val="center"/>
              <w:rPr>
                <w:sz w:val="22"/>
                <w:szCs w:val="22"/>
              </w:rPr>
            </w:pPr>
            <w:r w:rsidRPr="00AF2A94">
              <w:rPr>
                <w:sz w:val="22"/>
                <w:szCs w:val="22"/>
              </w:rPr>
              <w:t>2.82†</w:t>
            </w:r>
          </w:p>
        </w:tc>
        <w:tc>
          <w:tcPr>
            <w:tcW w:w="720" w:type="dxa"/>
          </w:tcPr>
          <w:p w14:paraId="1E326B9E" w14:textId="77777777" w:rsidR="00462A25" w:rsidRPr="00AF2A94" w:rsidRDefault="00462A25" w:rsidP="00C832B2">
            <w:pPr>
              <w:contextualSpacing/>
              <w:jc w:val="center"/>
              <w:rPr>
                <w:sz w:val="22"/>
                <w:szCs w:val="22"/>
              </w:rPr>
            </w:pPr>
            <w:r w:rsidRPr="00AF2A94">
              <w:rPr>
                <w:sz w:val="22"/>
                <w:szCs w:val="22"/>
              </w:rPr>
              <w:t>.56</w:t>
            </w:r>
          </w:p>
        </w:tc>
        <w:tc>
          <w:tcPr>
            <w:tcW w:w="1260" w:type="dxa"/>
          </w:tcPr>
          <w:p w14:paraId="0F5742A6" w14:textId="77777777" w:rsidR="00462A25" w:rsidRPr="00AF2A94" w:rsidRDefault="00462A25" w:rsidP="00C832B2">
            <w:pPr>
              <w:contextualSpacing/>
              <w:jc w:val="center"/>
              <w:rPr>
                <w:sz w:val="22"/>
                <w:szCs w:val="22"/>
              </w:rPr>
            </w:pPr>
            <w:r w:rsidRPr="00AF2A94">
              <w:rPr>
                <w:sz w:val="22"/>
                <w:szCs w:val="22"/>
              </w:rPr>
              <w:t>1.04**</w:t>
            </w:r>
          </w:p>
          <w:p w14:paraId="21A4A144" w14:textId="77777777" w:rsidR="00462A25" w:rsidRPr="00AF2A94" w:rsidRDefault="00462A25" w:rsidP="00C832B2">
            <w:pPr>
              <w:contextualSpacing/>
              <w:jc w:val="center"/>
              <w:rPr>
                <w:sz w:val="22"/>
                <w:szCs w:val="22"/>
              </w:rPr>
            </w:pPr>
            <w:r w:rsidRPr="00AF2A94">
              <w:rPr>
                <w:sz w:val="22"/>
                <w:szCs w:val="22"/>
              </w:rPr>
              <w:t>[.48, 1.61]</w:t>
            </w:r>
          </w:p>
        </w:tc>
        <w:tc>
          <w:tcPr>
            <w:tcW w:w="1170" w:type="dxa"/>
          </w:tcPr>
          <w:p w14:paraId="43CB61B4" w14:textId="77777777" w:rsidR="00462A25" w:rsidRPr="00AF2A94" w:rsidRDefault="00462A25" w:rsidP="00C832B2">
            <w:pPr>
              <w:contextualSpacing/>
              <w:jc w:val="center"/>
              <w:rPr>
                <w:sz w:val="22"/>
                <w:szCs w:val="22"/>
              </w:rPr>
            </w:pPr>
            <w:r w:rsidRPr="00AF2A94">
              <w:rPr>
                <w:sz w:val="22"/>
                <w:szCs w:val="22"/>
              </w:rPr>
              <w:t>.91**</w:t>
            </w:r>
          </w:p>
          <w:p w14:paraId="6C70127A" w14:textId="77777777" w:rsidR="00462A25" w:rsidRPr="00AF2A94" w:rsidRDefault="00462A25" w:rsidP="00C832B2">
            <w:pPr>
              <w:contextualSpacing/>
              <w:jc w:val="center"/>
              <w:rPr>
                <w:sz w:val="22"/>
                <w:szCs w:val="22"/>
              </w:rPr>
            </w:pPr>
            <w:r w:rsidRPr="00AF2A94">
              <w:rPr>
                <w:sz w:val="22"/>
                <w:szCs w:val="22"/>
              </w:rPr>
              <w:t>[.36, 1.47]</w:t>
            </w:r>
          </w:p>
        </w:tc>
        <w:tc>
          <w:tcPr>
            <w:tcW w:w="1350" w:type="dxa"/>
          </w:tcPr>
          <w:p w14:paraId="2281B53A" w14:textId="77777777" w:rsidR="00462A25" w:rsidRPr="00AF2A94" w:rsidRDefault="00462A25" w:rsidP="00C832B2">
            <w:pPr>
              <w:contextualSpacing/>
              <w:jc w:val="center"/>
              <w:rPr>
                <w:sz w:val="22"/>
                <w:szCs w:val="22"/>
              </w:rPr>
            </w:pPr>
            <w:r w:rsidRPr="00AF2A94">
              <w:rPr>
                <w:sz w:val="22"/>
                <w:szCs w:val="22"/>
              </w:rPr>
              <w:t>.18</w:t>
            </w:r>
          </w:p>
          <w:p w14:paraId="651242EA" w14:textId="77777777" w:rsidR="00462A25" w:rsidRPr="00AF2A94" w:rsidRDefault="00462A25" w:rsidP="00C832B2">
            <w:pPr>
              <w:contextualSpacing/>
              <w:jc w:val="center"/>
              <w:rPr>
                <w:sz w:val="22"/>
                <w:szCs w:val="22"/>
              </w:rPr>
            </w:pPr>
            <w:r w:rsidRPr="00AF2A94">
              <w:rPr>
                <w:sz w:val="22"/>
                <w:szCs w:val="22"/>
              </w:rPr>
              <w:t>[-.38, .74]</w:t>
            </w:r>
          </w:p>
        </w:tc>
        <w:tc>
          <w:tcPr>
            <w:tcW w:w="1350" w:type="dxa"/>
          </w:tcPr>
          <w:p w14:paraId="089E0AD7" w14:textId="77777777" w:rsidR="00462A25" w:rsidRPr="00AF2A94" w:rsidRDefault="00462A25" w:rsidP="00C832B2">
            <w:pPr>
              <w:contextualSpacing/>
              <w:jc w:val="center"/>
              <w:rPr>
                <w:sz w:val="22"/>
                <w:szCs w:val="22"/>
              </w:rPr>
            </w:pPr>
            <w:r w:rsidRPr="00AF2A94">
              <w:rPr>
                <w:sz w:val="22"/>
                <w:szCs w:val="22"/>
              </w:rPr>
              <w:t>.39</w:t>
            </w:r>
          </w:p>
          <w:p w14:paraId="321288F0" w14:textId="77777777" w:rsidR="00462A25" w:rsidRPr="00AF2A94" w:rsidRDefault="00462A25" w:rsidP="00C832B2">
            <w:pPr>
              <w:contextualSpacing/>
              <w:jc w:val="center"/>
              <w:rPr>
                <w:sz w:val="22"/>
                <w:szCs w:val="22"/>
              </w:rPr>
            </w:pPr>
            <w:r w:rsidRPr="00AF2A94">
              <w:rPr>
                <w:sz w:val="22"/>
                <w:szCs w:val="22"/>
              </w:rPr>
              <w:t>[-.41, 1.20]</w:t>
            </w:r>
          </w:p>
        </w:tc>
        <w:tc>
          <w:tcPr>
            <w:tcW w:w="1345" w:type="dxa"/>
          </w:tcPr>
          <w:p w14:paraId="0C1C26D3" w14:textId="77777777" w:rsidR="00462A25" w:rsidRPr="00AF2A94" w:rsidRDefault="00462A25" w:rsidP="00C832B2">
            <w:pPr>
              <w:contextualSpacing/>
              <w:jc w:val="center"/>
              <w:rPr>
                <w:sz w:val="22"/>
                <w:szCs w:val="22"/>
              </w:rPr>
            </w:pPr>
            <w:r w:rsidRPr="00AF2A94">
              <w:rPr>
                <w:sz w:val="22"/>
                <w:szCs w:val="22"/>
              </w:rPr>
              <w:t>.27</w:t>
            </w:r>
          </w:p>
          <w:p w14:paraId="2F0A12A4" w14:textId="77777777" w:rsidR="00462A25" w:rsidRPr="00AF2A94" w:rsidRDefault="00462A25" w:rsidP="00C832B2">
            <w:pPr>
              <w:contextualSpacing/>
              <w:jc w:val="center"/>
              <w:rPr>
                <w:sz w:val="22"/>
                <w:szCs w:val="22"/>
              </w:rPr>
            </w:pPr>
            <w:r w:rsidRPr="00AF2A94">
              <w:rPr>
                <w:sz w:val="22"/>
                <w:szCs w:val="22"/>
              </w:rPr>
              <w:t>[-.53, 1.06]</w:t>
            </w:r>
          </w:p>
        </w:tc>
        <w:tc>
          <w:tcPr>
            <w:tcW w:w="1350" w:type="dxa"/>
          </w:tcPr>
          <w:p w14:paraId="3079FAF1" w14:textId="77777777" w:rsidR="00462A25" w:rsidRPr="00AF2A94" w:rsidRDefault="00462A25" w:rsidP="00C832B2">
            <w:pPr>
              <w:contextualSpacing/>
              <w:jc w:val="center"/>
              <w:rPr>
                <w:sz w:val="22"/>
                <w:szCs w:val="22"/>
              </w:rPr>
            </w:pPr>
            <w:r w:rsidRPr="00AF2A94">
              <w:rPr>
                <w:sz w:val="22"/>
                <w:szCs w:val="22"/>
              </w:rPr>
              <w:t>.13</w:t>
            </w:r>
          </w:p>
          <w:p w14:paraId="529CAF77" w14:textId="77777777" w:rsidR="00462A25" w:rsidRPr="00AF2A94" w:rsidRDefault="00462A25" w:rsidP="00C832B2">
            <w:pPr>
              <w:contextualSpacing/>
              <w:jc w:val="center"/>
              <w:rPr>
                <w:sz w:val="22"/>
                <w:szCs w:val="22"/>
              </w:rPr>
            </w:pPr>
            <w:r w:rsidRPr="00AF2A94">
              <w:rPr>
                <w:sz w:val="22"/>
                <w:szCs w:val="22"/>
              </w:rPr>
              <w:t>[-.67, .93]</w:t>
            </w:r>
          </w:p>
        </w:tc>
      </w:tr>
      <w:tr w:rsidR="00462A25" w14:paraId="37AB7D24" w14:textId="77777777" w:rsidTr="005D626D">
        <w:tc>
          <w:tcPr>
            <w:tcW w:w="3330" w:type="dxa"/>
          </w:tcPr>
          <w:p w14:paraId="44343F1D" w14:textId="70665686" w:rsidR="00462A25" w:rsidRPr="00AF2A94" w:rsidRDefault="00462A25" w:rsidP="00A72B96">
            <w:pPr>
              <w:contextualSpacing/>
              <w:rPr>
                <w:sz w:val="22"/>
                <w:szCs w:val="22"/>
              </w:rPr>
            </w:pPr>
            <w:r w:rsidRPr="00AF2A94">
              <w:rPr>
                <w:sz w:val="22"/>
                <w:szCs w:val="22"/>
              </w:rPr>
              <w:t>Self-Monitoring</w:t>
            </w:r>
            <w:r w:rsidR="005D626D" w:rsidRPr="00AF2A94">
              <w:rPr>
                <w:sz w:val="22"/>
                <w:szCs w:val="22"/>
              </w:rPr>
              <w:t xml:space="preserve"> </w:t>
            </w:r>
            <w:r w:rsidRPr="00AF2A94">
              <w:rPr>
                <w:sz w:val="22"/>
                <w:szCs w:val="22"/>
              </w:rPr>
              <w:t>(WCSS-SM)</w:t>
            </w:r>
          </w:p>
          <w:p w14:paraId="236625DC" w14:textId="77777777" w:rsidR="00462A25" w:rsidRPr="00AF2A94" w:rsidRDefault="00462A25" w:rsidP="00A72B96">
            <w:pPr>
              <w:contextualSpacing/>
              <w:rPr>
                <w:sz w:val="22"/>
                <w:szCs w:val="22"/>
              </w:rPr>
            </w:pPr>
          </w:p>
        </w:tc>
        <w:tc>
          <w:tcPr>
            <w:tcW w:w="1080" w:type="dxa"/>
          </w:tcPr>
          <w:p w14:paraId="20C73919" w14:textId="77777777" w:rsidR="00462A25" w:rsidRPr="00AF2A94" w:rsidRDefault="00462A25" w:rsidP="00C832B2">
            <w:pPr>
              <w:contextualSpacing/>
              <w:jc w:val="center"/>
              <w:rPr>
                <w:sz w:val="22"/>
                <w:szCs w:val="22"/>
              </w:rPr>
            </w:pPr>
            <w:r w:rsidRPr="00AF2A94">
              <w:rPr>
                <w:sz w:val="22"/>
                <w:szCs w:val="22"/>
              </w:rPr>
              <w:t>.01</w:t>
            </w:r>
          </w:p>
        </w:tc>
        <w:tc>
          <w:tcPr>
            <w:tcW w:w="720" w:type="dxa"/>
          </w:tcPr>
          <w:p w14:paraId="15E63533" w14:textId="77777777" w:rsidR="00462A25" w:rsidRPr="00AF2A94" w:rsidRDefault="00462A25" w:rsidP="00C832B2">
            <w:pPr>
              <w:contextualSpacing/>
              <w:jc w:val="center"/>
              <w:rPr>
                <w:sz w:val="22"/>
                <w:szCs w:val="22"/>
              </w:rPr>
            </w:pPr>
            <w:r w:rsidRPr="00AF2A94">
              <w:rPr>
                <w:sz w:val="22"/>
                <w:szCs w:val="22"/>
              </w:rPr>
              <w:t>.03</w:t>
            </w:r>
          </w:p>
        </w:tc>
        <w:tc>
          <w:tcPr>
            <w:tcW w:w="1260" w:type="dxa"/>
          </w:tcPr>
          <w:p w14:paraId="3B939316" w14:textId="77777777" w:rsidR="00462A25" w:rsidRPr="00AF2A94" w:rsidRDefault="00462A25" w:rsidP="00C832B2">
            <w:pPr>
              <w:contextualSpacing/>
              <w:jc w:val="center"/>
              <w:rPr>
                <w:sz w:val="22"/>
                <w:szCs w:val="22"/>
              </w:rPr>
            </w:pPr>
          </w:p>
        </w:tc>
        <w:tc>
          <w:tcPr>
            <w:tcW w:w="1170" w:type="dxa"/>
          </w:tcPr>
          <w:p w14:paraId="277E7741" w14:textId="77777777" w:rsidR="00462A25" w:rsidRPr="00AF2A94" w:rsidRDefault="00462A25" w:rsidP="00C832B2">
            <w:pPr>
              <w:contextualSpacing/>
              <w:jc w:val="center"/>
              <w:rPr>
                <w:sz w:val="22"/>
                <w:szCs w:val="22"/>
              </w:rPr>
            </w:pPr>
          </w:p>
        </w:tc>
        <w:tc>
          <w:tcPr>
            <w:tcW w:w="1350" w:type="dxa"/>
          </w:tcPr>
          <w:p w14:paraId="39B1BE4C" w14:textId="77777777" w:rsidR="00462A25" w:rsidRPr="00AF2A94" w:rsidRDefault="00462A25" w:rsidP="00C832B2">
            <w:pPr>
              <w:contextualSpacing/>
              <w:jc w:val="center"/>
              <w:rPr>
                <w:sz w:val="22"/>
                <w:szCs w:val="22"/>
              </w:rPr>
            </w:pPr>
          </w:p>
        </w:tc>
        <w:tc>
          <w:tcPr>
            <w:tcW w:w="1350" w:type="dxa"/>
          </w:tcPr>
          <w:p w14:paraId="72DE4099" w14:textId="77777777" w:rsidR="00462A25" w:rsidRPr="00AF2A94" w:rsidRDefault="00462A25" w:rsidP="00C832B2">
            <w:pPr>
              <w:contextualSpacing/>
              <w:jc w:val="center"/>
              <w:rPr>
                <w:sz w:val="22"/>
                <w:szCs w:val="22"/>
              </w:rPr>
            </w:pPr>
          </w:p>
        </w:tc>
        <w:tc>
          <w:tcPr>
            <w:tcW w:w="1345" w:type="dxa"/>
          </w:tcPr>
          <w:p w14:paraId="5361295D" w14:textId="77777777" w:rsidR="00462A25" w:rsidRPr="00AF2A94" w:rsidRDefault="00462A25" w:rsidP="00C832B2">
            <w:pPr>
              <w:contextualSpacing/>
              <w:jc w:val="center"/>
              <w:rPr>
                <w:sz w:val="22"/>
                <w:szCs w:val="22"/>
              </w:rPr>
            </w:pPr>
          </w:p>
        </w:tc>
        <w:tc>
          <w:tcPr>
            <w:tcW w:w="1350" w:type="dxa"/>
          </w:tcPr>
          <w:p w14:paraId="517CB152" w14:textId="77777777" w:rsidR="00462A25" w:rsidRPr="00AF2A94" w:rsidRDefault="00462A25" w:rsidP="00C832B2">
            <w:pPr>
              <w:contextualSpacing/>
              <w:jc w:val="center"/>
              <w:rPr>
                <w:sz w:val="22"/>
                <w:szCs w:val="22"/>
              </w:rPr>
            </w:pPr>
          </w:p>
        </w:tc>
      </w:tr>
      <w:tr w:rsidR="00462A25" w14:paraId="43753B59" w14:textId="77777777" w:rsidTr="005D626D">
        <w:tc>
          <w:tcPr>
            <w:tcW w:w="3330" w:type="dxa"/>
          </w:tcPr>
          <w:p w14:paraId="3AA4EC06" w14:textId="33915E12" w:rsidR="00462A25" w:rsidRPr="00AF2A94" w:rsidRDefault="00462A25" w:rsidP="00A72B96">
            <w:pPr>
              <w:contextualSpacing/>
              <w:rPr>
                <w:sz w:val="22"/>
                <w:szCs w:val="22"/>
              </w:rPr>
            </w:pPr>
            <w:r w:rsidRPr="00AF2A94">
              <w:rPr>
                <w:sz w:val="22"/>
                <w:szCs w:val="22"/>
              </w:rPr>
              <w:t>Binge Eating</w:t>
            </w:r>
            <w:r w:rsidR="005D626D" w:rsidRPr="00AF2A94">
              <w:rPr>
                <w:sz w:val="22"/>
                <w:szCs w:val="22"/>
              </w:rPr>
              <w:t xml:space="preserve"> </w:t>
            </w:r>
            <w:r w:rsidR="000B5053" w:rsidRPr="00AF2A94">
              <w:rPr>
                <w:sz w:val="22"/>
                <w:szCs w:val="22"/>
              </w:rPr>
              <w:t>(EDE</w:t>
            </w:r>
            <w:r w:rsidRPr="00AF2A94">
              <w:rPr>
                <w:sz w:val="22"/>
                <w:szCs w:val="22"/>
              </w:rPr>
              <w:t>)</w:t>
            </w:r>
          </w:p>
          <w:p w14:paraId="63FF889B" w14:textId="77777777" w:rsidR="00462A25" w:rsidRPr="00AF2A94" w:rsidRDefault="00462A25" w:rsidP="00A72B96">
            <w:pPr>
              <w:contextualSpacing/>
              <w:rPr>
                <w:sz w:val="22"/>
                <w:szCs w:val="22"/>
              </w:rPr>
            </w:pPr>
          </w:p>
        </w:tc>
        <w:tc>
          <w:tcPr>
            <w:tcW w:w="1080" w:type="dxa"/>
          </w:tcPr>
          <w:p w14:paraId="5D2887C3" w14:textId="77777777" w:rsidR="00462A25" w:rsidRPr="00AF2A94" w:rsidRDefault="00462A25" w:rsidP="00C832B2">
            <w:pPr>
              <w:contextualSpacing/>
              <w:jc w:val="center"/>
              <w:rPr>
                <w:sz w:val="22"/>
                <w:szCs w:val="22"/>
              </w:rPr>
            </w:pPr>
            <w:r w:rsidRPr="00AF2A94">
              <w:rPr>
                <w:sz w:val="22"/>
                <w:szCs w:val="22"/>
              </w:rPr>
              <w:t>2.64†</w:t>
            </w:r>
          </w:p>
        </w:tc>
        <w:tc>
          <w:tcPr>
            <w:tcW w:w="720" w:type="dxa"/>
          </w:tcPr>
          <w:p w14:paraId="76ED1B6E" w14:textId="77777777" w:rsidR="00462A25" w:rsidRPr="00AF2A94" w:rsidRDefault="00462A25" w:rsidP="00C832B2">
            <w:pPr>
              <w:contextualSpacing/>
              <w:jc w:val="center"/>
              <w:rPr>
                <w:sz w:val="22"/>
                <w:szCs w:val="22"/>
              </w:rPr>
            </w:pPr>
            <w:r w:rsidRPr="00AF2A94">
              <w:rPr>
                <w:sz w:val="22"/>
                <w:szCs w:val="22"/>
              </w:rPr>
              <w:t>.50</w:t>
            </w:r>
          </w:p>
        </w:tc>
        <w:tc>
          <w:tcPr>
            <w:tcW w:w="1260" w:type="dxa"/>
          </w:tcPr>
          <w:p w14:paraId="014231C4" w14:textId="77777777" w:rsidR="00462A25" w:rsidRPr="00AF2A94" w:rsidRDefault="00462A25" w:rsidP="00C832B2">
            <w:pPr>
              <w:contextualSpacing/>
              <w:jc w:val="center"/>
              <w:rPr>
                <w:sz w:val="22"/>
                <w:szCs w:val="22"/>
              </w:rPr>
            </w:pPr>
            <w:r w:rsidRPr="00AF2A94">
              <w:rPr>
                <w:sz w:val="22"/>
                <w:szCs w:val="22"/>
              </w:rPr>
              <w:t>.59*</w:t>
            </w:r>
          </w:p>
          <w:p w14:paraId="637BE7C5" w14:textId="77777777" w:rsidR="00462A25" w:rsidRPr="00AF2A94" w:rsidRDefault="00462A25" w:rsidP="00C832B2">
            <w:pPr>
              <w:contextualSpacing/>
              <w:jc w:val="center"/>
              <w:rPr>
                <w:sz w:val="22"/>
                <w:szCs w:val="22"/>
              </w:rPr>
            </w:pPr>
            <w:r w:rsidRPr="00AF2A94">
              <w:rPr>
                <w:sz w:val="22"/>
                <w:szCs w:val="22"/>
              </w:rPr>
              <w:t>[.05, 1.13]</w:t>
            </w:r>
          </w:p>
        </w:tc>
        <w:tc>
          <w:tcPr>
            <w:tcW w:w="1170" w:type="dxa"/>
          </w:tcPr>
          <w:p w14:paraId="237759EB" w14:textId="77777777" w:rsidR="00462A25" w:rsidRPr="00AF2A94" w:rsidRDefault="00462A25" w:rsidP="00C832B2">
            <w:pPr>
              <w:contextualSpacing/>
              <w:jc w:val="center"/>
              <w:rPr>
                <w:sz w:val="22"/>
                <w:szCs w:val="22"/>
              </w:rPr>
            </w:pPr>
            <w:r w:rsidRPr="00AF2A94">
              <w:rPr>
                <w:sz w:val="22"/>
                <w:szCs w:val="22"/>
              </w:rPr>
              <w:t>.56*</w:t>
            </w:r>
          </w:p>
          <w:p w14:paraId="34C15A26" w14:textId="77777777" w:rsidR="00462A25" w:rsidRPr="00AF2A94" w:rsidRDefault="00462A25" w:rsidP="00C832B2">
            <w:pPr>
              <w:contextualSpacing/>
              <w:jc w:val="center"/>
              <w:rPr>
                <w:sz w:val="22"/>
                <w:szCs w:val="22"/>
              </w:rPr>
            </w:pPr>
            <w:r w:rsidRPr="00AF2A94">
              <w:rPr>
                <w:sz w:val="22"/>
                <w:szCs w:val="22"/>
              </w:rPr>
              <w:t>[.04, 1.09]</w:t>
            </w:r>
          </w:p>
        </w:tc>
        <w:tc>
          <w:tcPr>
            <w:tcW w:w="1350" w:type="dxa"/>
          </w:tcPr>
          <w:p w14:paraId="78AC2C1B" w14:textId="77777777" w:rsidR="00462A25" w:rsidRPr="00AF2A94" w:rsidRDefault="00462A25" w:rsidP="00C832B2">
            <w:pPr>
              <w:contextualSpacing/>
              <w:jc w:val="center"/>
              <w:rPr>
                <w:sz w:val="22"/>
                <w:szCs w:val="22"/>
              </w:rPr>
            </w:pPr>
            <w:r w:rsidRPr="00AF2A94">
              <w:rPr>
                <w:sz w:val="22"/>
                <w:szCs w:val="22"/>
              </w:rPr>
              <w:t>-.17</w:t>
            </w:r>
          </w:p>
          <w:p w14:paraId="002512E1" w14:textId="77777777" w:rsidR="00462A25" w:rsidRPr="00AF2A94" w:rsidRDefault="00462A25" w:rsidP="00C832B2">
            <w:pPr>
              <w:contextualSpacing/>
              <w:jc w:val="center"/>
              <w:rPr>
                <w:sz w:val="22"/>
                <w:szCs w:val="22"/>
              </w:rPr>
            </w:pPr>
            <w:r w:rsidRPr="00AF2A94">
              <w:rPr>
                <w:sz w:val="22"/>
                <w:szCs w:val="22"/>
              </w:rPr>
              <w:t>[-.71, .37]</w:t>
            </w:r>
          </w:p>
        </w:tc>
        <w:tc>
          <w:tcPr>
            <w:tcW w:w="1350" w:type="dxa"/>
          </w:tcPr>
          <w:p w14:paraId="2951FA03" w14:textId="77777777" w:rsidR="00462A25" w:rsidRPr="00AF2A94" w:rsidRDefault="00462A25" w:rsidP="00C832B2">
            <w:pPr>
              <w:contextualSpacing/>
              <w:jc w:val="center"/>
              <w:rPr>
                <w:sz w:val="22"/>
                <w:szCs w:val="22"/>
              </w:rPr>
            </w:pPr>
            <w:r w:rsidRPr="00AF2A94">
              <w:rPr>
                <w:sz w:val="22"/>
                <w:szCs w:val="22"/>
              </w:rPr>
              <w:t>1.06*</w:t>
            </w:r>
          </w:p>
          <w:p w14:paraId="48F10860" w14:textId="77777777" w:rsidR="00462A25" w:rsidRPr="00AF2A94" w:rsidRDefault="00462A25" w:rsidP="00C832B2">
            <w:pPr>
              <w:contextualSpacing/>
              <w:jc w:val="center"/>
              <w:rPr>
                <w:sz w:val="22"/>
                <w:szCs w:val="22"/>
              </w:rPr>
            </w:pPr>
            <w:r w:rsidRPr="00AF2A94">
              <w:rPr>
                <w:sz w:val="22"/>
                <w:szCs w:val="22"/>
              </w:rPr>
              <w:t>[.26, 1.87]</w:t>
            </w:r>
          </w:p>
        </w:tc>
        <w:tc>
          <w:tcPr>
            <w:tcW w:w="1345" w:type="dxa"/>
          </w:tcPr>
          <w:p w14:paraId="61DB3772" w14:textId="77777777" w:rsidR="00462A25" w:rsidRPr="00AF2A94" w:rsidRDefault="00462A25" w:rsidP="00C832B2">
            <w:pPr>
              <w:contextualSpacing/>
              <w:jc w:val="center"/>
              <w:rPr>
                <w:sz w:val="22"/>
                <w:szCs w:val="22"/>
              </w:rPr>
            </w:pPr>
            <w:r w:rsidRPr="00AF2A94">
              <w:rPr>
                <w:sz w:val="22"/>
                <w:szCs w:val="22"/>
              </w:rPr>
              <w:t>.94*</w:t>
            </w:r>
          </w:p>
          <w:p w14:paraId="31EAF1D2" w14:textId="77777777" w:rsidR="00462A25" w:rsidRPr="00AF2A94" w:rsidRDefault="00462A25" w:rsidP="00C832B2">
            <w:pPr>
              <w:contextualSpacing/>
              <w:jc w:val="center"/>
              <w:rPr>
                <w:sz w:val="22"/>
                <w:szCs w:val="22"/>
              </w:rPr>
            </w:pPr>
            <w:r w:rsidRPr="00AF2A94">
              <w:rPr>
                <w:sz w:val="22"/>
                <w:szCs w:val="22"/>
              </w:rPr>
              <w:t>[.14, 1.75]</w:t>
            </w:r>
          </w:p>
        </w:tc>
        <w:tc>
          <w:tcPr>
            <w:tcW w:w="1350" w:type="dxa"/>
          </w:tcPr>
          <w:p w14:paraId="1D4BE43A" w14:textId="77777777" w:rsidR="00462A25" w:rsidRPr="00AF2A94" w:rsidRDefault="00462A25" w:rsidP="00C832B2">
            <w:pPr>
              <w:contextualSpacing/>
              <w:jc w:val="center"/>
              <w:rPr>
                <w:sz w:val="22"/>
                <w:szCs w:val="22"/>
              </w:rPr>
            </w:pPr>
            <w:r w:rsidRPr="00AF2A94">
              <w:rPr>
                <w:sz w:val="22"/>
                <w:szCs w:val="22"/>
              </w:rPr>
              <w:t>.12</w:t>
            </w:r>
          </w:p>
          <w:p w14:paraId="037F3DDF" w14:textId="77777777" w:rsidR="00462A25" w:rsidRPr="00AF2A94" w:rsidRDefault="00462A25" w:rsidP="00C832B2">
            <w:pPr>
              <w:contextualSpacing/>
              <w:jc w:val="center"/>
              <w:rPr>
                <w:sz w:val="22"/>
                <w:szCs w:val="22"/>
              </w:rPr>
            </w:pPr>
            <w:r w:rsidRPr="00AF2A94">
              <w:rPr>
                <w:sz w:val="22"/>
                <w:szCs w:val="22"/>
              </w:rPr>
              <w:t>[-.68, .92]</w:t>
            </w:r>
          </w:p>
        </w:tc>
      </w:tr>
      <w:tr w:rsidR="00462A25" w14:paraId="590D6A2C" w14:textId="77777777" w:rsidTr="005D626D">
        <w:tc>
          <w:tcPr>
            <w:tcW w:w="3330" w:type="dxa"/>
          </w:tcPr>
          <w:p w14:paraId="6164F4BB" w14:textId="0F58188B" w:rsidR="00462A25" w:rsidRPr="00AF2A94" w:rsidRDefault="00462A25" w:rsidP="005D626D">
            <w:pPr>
              <w:contextualSpacing/>
              <w:rPr>
                <w:sz w:val="22"/>
                <w:szCs w:val="22"/>
              </w:rPr>
            </w:pPr>
            <w:r w:rsidRPr="00AF2A94">
              <w:rPr>
                <w:sz w:val="22"/>
                <w:szCs w:val="22"/>
              </w:rPr>
              <w:t>Emotional Eating (DEBQ</w:t>
            </w:r>
            <w:r w:rsidR="00981D7B">
              <w:rPr>
                <w:sz w:val="22"/>
                <w:szCs w:val="22"/>
              </w:rPr>
              <w:t>-EE</w:t>
            </w:r>
            <w:r w:rsidRPr="00AF2A94">
              <w:rPr>
                <w:sz w:val="22"/>
                <w:szCs w:val="22"/>
              </w:rPr>
              <w:t>)</w:t>
            </w:r>
          </w:p>
        </w:tc>
        <w:tc>
          <w:tcPr>
            <w:tcW w:w="1080" w:type="dxa"/>
          </w:tcPr>
          <w:p w14:paraId="790D8831" w14:textId="77777777" w:rsidR="00462A25" w:rsidRPr="00AF2A94" w:rsidRDefault="00462A25" w:rsidP="00C832B2">
            <w:pPr>
              <w:contextualSpacing/>
              <w:jc w:val="center"/>
              <w:rPr>
                <w:sz w:val="22"/>
                <w:szCs w:val="22"/>
              </w:rPr>
            </w:pPr>
            <w:r w:rsidRPr="00AF2A94">
              <w:rPr>
                <w:sz w:val="22"/>
                <w:szCs w:val="22"/>
              </w:rPr>
              <w:t>1.65</w:t>
            </w:r>
          </w:p>
        </w:tc>
        <w:tc>
          <w:tcPr>
            <w:tcW w:w="720" w:type="dxa"/>
          </w:tcPr>
          <w:p w14:paraId="172EACF9" w14:textId="77777777" w:rsidR="00462A25" w:rsidRPr="00AF2A94" w:rsidRDefault="00462A25" w:rsidP="00C832B2">
            <w:pPr>
              <w:contextualSpacing/>
              <w:jc w:val="center"/>
              <w:rPr>
                <w:sz w:val="22"/>
                <w:szCs w:val="22"/>
              </w:rPr>
            </w:pPr>
            <w:r w:rsidRPr="00AF2A94">
              <w:rPr>
                <w:sz w:val="22"/>
                <w:szCs w:val="22"/>
              </w:rPr>
              <w:t>.43</w:t>
            </w:r>
          </w:p>
        </w:tc>
        <w:tc>
          <w:tcPr>
            <w:tcW w:w="1260" w:type="dxa"/>
          </w:tcPr>
          <w:p w14:paraId="74AE98F5" w14:textId="77777777" w:rsidR="00462A25" w:rsidRPr="00AF2A94" w:rsidRDefault="00462A25" w:rsidP="00C832B2">
            <w:pPr>
              <w:contextualSpacing/>
              <w:jc w:val="center"/>
              <w:rPr>
                <w:sz w:val="22"/>
                <w:szCs w:val="22"/>
              </w:rPr>
            </w:pPr>
          </w:p>
        </w:tc>
        <w:tc>
          <w:tcPr>
            <w:tcW w:w="1170" w:type="dxa"/>
          </w:tcPr>
          <w:p w14:paraId="692EDA4D" w14:textId="77777777" w:rsidR="00462A25" w:rsidRPr="00AF2A94" w:rsidRDefault="00462A25" w:rsidP="00C832B2">
            <w:pPr>
              <w:contextualSpacing/>
              <w:jc w:val="center"/>
              <w:rPr>
                <w:sz w:val="22"/>
                <w:szCs w:val="22"/>
              </w:rPr>
            </w:pPr>
          </w:p>
        </w:tc>
        <w:tc>
          <w:tcPr>
            <w:tcW w:w="1350" w:type="dxa"/>
          </w:tcPr>
          <w:p w14:paraId="45799A02" w14:textId="77777777" w:rsidR="00462A25" w:rsidRPr="00AF2A94" w:rsidRDefault="00462A25" w:rsidP="00C832B2">
            <w:pPr>
              <w:contextualSpacing/>
              <w:jc w:val="center"/>
              <w:rPr>
                <w:sz w:val="22"/>
                <w:szCs w:val="22"/>
              </w:rPr>
            </w:pPr>
          </w:p>
        </w:tc>
        <w:tc>
          <w:tcPr>
            <w:tcW w:w="1350" w:type="dxa"/>
          </w:tcPr>
          <w:p w14:paraId="651616FD" w14:textId="77777777" w:rsidR="00462A25" w:rsidRPr="00AF2A94" w:rsidRDefault="00462A25" w:rsidP="00C832B2">
            <w:pPr>
              <w:contextualSpacing/>
              <w:jc w:val="center"/>
              <w:rPr>
                <w:sz w:val="22"/>
                <w:szCs w:val="22"/>
              </w:rPr>
            </w:pPr>
          </w:p>
        </w:tc>
        <w:tc>
          <w:tcPr>
            <w:tcW w:w="1345" w:type="dxa"/>
          </w:tcPr>
          <w:p w14:paraId="1B7CE711" w14:textId="77777777" w:rsidR="00462A25" w:rsidRPr="00AF2A94" w:rsidRDefault="00462A25" w:rsidP="00C832B2">
            <w:pPr>
              <w:contextualSpacing/>
              <w:jc w:val="center"/>
              <w:rPr>
                <w:sz w:val="22"/>
                <w:szCs w:val="22"/>
              </w:rPr>
            </w:pPr>
          </w:p>
        </w:tc>
        <w:tc>
          <w:tcPr>
            <w:tcW w:w="1350" w:type="dxa"/>
          </w:tcPr>
          <w:p w14:paraId="21B93405" w14:textId="77777777" w:rsidR="00462A25" w:rsidRPr="00AF2A94" w:rsidRDefault="00462A25" w:rsidP="00C832B2">
            <w:pPr>
              <w:contextualSpacing/>
              <w:jc w:val="center"/>
              <w:rPr>
                <w:sz w:val="22"/>
                <w:szCs w:val="22"/>
              </w:rPr>
            </w:pPr>
          </w:p>
        </w:tc>
      </w:tr>
      <w:tr w:rsidR="00462A25" w14:paraId="4E61FDF6" w14:textId="77777777" w:rsidTr="005D626D">
        <w:tc>
          <w:tcPr>
            <w:tcW w:w="3330" w:type="dxa"/>
          </w:tcPr>
          <w:p w14:paraId="72AF0953" w14:textId="77777777" w:rsidR="00462A25" w:rsidRPr="00AF2A94" w:rsidRDefault="00462A25" w:rsidP="00A72B96">
            <w:pPr>
              <w:contextualSpacing/>
              <w:rPr>
                <w:sz w:val="22"/>
                <w:szCs w:val="22"/>
              </w:rPr>
            </w:pPr>
          </w:p>
        </w:tc>
        <w:tc>
          <w:tcPr>
            <w:tcW w:w="1080" w:type="dxa"/>
          </w:tcPr>
          <w:p w14:paraId="4005B235" w14:textId="77777777" w:rsidR="00462A25" w:rsidRPr="00AF2A94" w:rsidRDefault="00462A25" w:rsidP="00C832B2">
            <w:pPr>
              <w:contextualSpacing/>
              <w:jc w:val="center"/>
              <w:rPr>
                <w:sz w:val="22"/>
                <w:szCs w:val="22"/>
              </w:rPr>
            </w:pPr>
          </w:p>
        </w:tc>
        <w:tc>
          <w:tcPr>
            <w:tcW w:w="720" w:type="dxa"/>
          </w:tcPr>
          <w:p w14:paraId="35927B3D" w14:textId="77777777" w:rsidR="00462A25" w:rsidRPr="00AF2A94" w:rsidRDefault="00462A25" w:rsidP="00C832B2">
            <w:pPr>
              <w:contextualSpacing/>
              <w:jc w:val="center"/>
              <w:rPr>
                <w:sz w:val="22"/>
                <w:szCs w:val="22"/>
              </w:rPr>
            </w:pPr>
          </w:p>
        </w:tc>
        <w:tc>
          <w:tcPr>
            <w:tcW w:w="1260" w:type="dxa"/>
          </w:tcPr>
          <w:p w14:paraId="4F8EA0C9" w14:textId="77777777" w:rsidR="00462A25" w:rsidRPr="00AF2A94" w:rsidRDefault="00462A25" w:rsidP="00C832B2">
            <w:pPr>
              <w:contextualSpacing/>
              <w:jc w:val="center"/>
              <w:rPr>
                <w:sz w:val="22"/>
                <w:szCs w:val="22"/>
              </w:rPr>
            </w:pPr>
          </w:p>
        </w:tc>
        <w:tc>
          <w:tcPr>
            <w:tcW w:w="1170" w:type="dxa"/>
          </w:tcPr>
          <w:p w14:paraId="2DBB1FC1" w14:textId="77777777" w:rsidR="00462A25" w:rsidRPr="00AF2A94" w:rsidRDefault="00462A25" w:rsidP="00C832B2">
            <w:pPr>
              <w:contextualSpacing/>
              <w:jc w:val="center"/>
              <w:rPr>
                <w:sz w:val="22"/>
                <w:szCs w:val="22"/>
              </w:rPr>
            </w:pPr>
          </w:p>
        </w:tc>
        <w:tc>
          <w:tcPr>
            <w:tcW w:w="1350" w:type="dxa"/>
          </w:tcPr>
          <w:p w14:paraId="7EBDF5B1" w14:textId="77777777" w:rsidR="00462A25" w:rsidRPr="00AF2A94" w:rsidRDefault="00462A25" w:rsidP="00C832B2">
            <w:pPr>
              <w:contextualSpacing/>
              <w:jc w:val="center"/>
              <w:rPr>
                <w:sz w:val="22"/>
                <w:szCs w:val="22"/>
              </w:rPr>
            </w:pPr>
          </w:p>
        </w:tc>
        <w:tc>
          <w:tcPr>
            <w:tcW w:w="1350" w:type="dxa"/>
          </w:tcPr>
          <w:p w14:paraId="58878B8C" w14:textId="77777777" w:rsidR="00462A25" w:rsidRPr="00AF2A94" w:rsidRDefault="00462A25" w:rsidP="00C832B2">
            <w:pPr>
              <w:contextualSpacing/>
              <w:jc w:val="center"/>
              <w:rPr>
                <w:sz w:val="22"/>
                <w:szCs w:val="22"/>
              </w:rPr>
            </w:pPr>
          </w:p>
        </w:tc>
        <w:tc>
          <w:tcPr>
            <w:tcW w:w="1345" w:type="dxa"/>
          </w:tcPr>
          <w:p w14:paraId="63016AA0" w14:textId="77777777" w:rsidR="00462A25" w:rsidRPr="00AF2A94" w:rsidRDefault="00462A25" w:rsidP="00C832B2">
            <w:pPr>
              <w:contextualSpacing/>
              <w:jc w:val="center"/>
              <w:rPr>
                <w:sz w:val="22"/>
                <w:szCs w:val="22"/>
              </w:rPr>
            </w:pPr>
          </w:p>
        </w:tc>
        <w:tc>
          <w:tcPr>
            <w:tcW w:w="1350" w:type="dxa"/>
          </w:tcPr>
          <w:p w14:paraId="48646420" w14:textId="77777777" w:rsidR="00462A25" w:rsidRPr="00AF2A94" w:rsidRDefault="00462A25" w:rsidP="00C832B2">
            <w:pPr>
              <w:contextualSpacing/>
              <w:jc w:val="center"/>
              <w:rPr>
                <w:sz w:val="22"/>
                <w:szCs w:val="22"/>
              </w:rPr>
            </w:pPr>
          </w:p>
        </w:tc>
      </w:tr>
      <w:tr w:rsidR="00462A25" w14:paraId="2E0A8F2B" w14:textId="77777777" w:rsidTr="005D626D">
        <w:tc>
          <w:tcPr>
            <w:tcW w:w="3330" w:type="dxa"/>
          </w:tcPr>
          <w:p w14:paraId="013817C0" w14:textId="2C40B0E2" w:rsidR="00462A25" w:rsidRPr="00AF2A94" w:rsidRDefault="00462A25" w:rsidP="00A72B96">
            <w:pPr>
              <w:contextualSpacing/>
              <w:rPr>
                <w:sz w:val="22"/>
                <w:szCs w:val="22"/>
              </w:rPr>
            </w:pPr>
            <w:r w:rsidRPr="00AF2A94">
              <w:rPr>
                <w:sz w:val="22"/>
                <w:szCs w:val="22"/>
              </w:rPr>
              <w:t>Physical Activity (IPAQ)</w:t>
            </w:r>
          </w:p>
          <w:p w14:paraId="5FF3DF17" w14:textId="77777777" w:rsidR="00462A25" w:rsidRPr="00AF2A94" w:rsidRDefault="00462A25" w:rsidP="00A72B96">
            <w:pPr>
              <w:contextualSpacing/>
              <w:rPr>
                <w:sz w:val="22"/>
                <w:szCs w:val="22"/>
              </w:rPr>
            </w:pPr>
          </w:p>
        </w:tc>
        <w:tc>
          <w:tcPr>
            <w:tcW w:w="1080" w:type="dxa"/>
          </w:tcPr>
          <w:p w14:paraId="29C253FE" w14:textId="77777777" w:rsidR="00462A25" w:rsidRPr="00AF2A94" w:rsidRDefault="00462A25" w:rsidP="00C832B2">
            <w:pPr>
              <w:contextualSpacing/>
              <w:jc w:val="center"/>
              <w:rPr>
                <w:sz w:val="22"/>
                <w:szCs w:val="22"/>
              </w:rPr>
            </w:pPr>
            <w:r w:rsidRPr="00AF2A94">
              <w:rPr>
                <w:sz w:val="22"/>
                <w:szCs w:val="22"/>
              </w:rPr>
              <w:t>.89</w:t>
            </w:r>
          </w:p>
        </w:tc>
        <w:tc>
          <w:tcPr>
            <w:tcW w:w="720" w:type="dxa"/>
          </w:tcPr>
          <w:p w14:paraId="1F1D0607" w14:textId="77777777" w:rsidR="00462A25" w:rsidRPr="00AF2A94" w:rsidRDefault="00462A25" w:rsidP="00C832B2">
            <w:pPr>
              <w:contextualSpacing/>
              <w:jc w:val="center"/>
              <w:rPr>
                <w:sz w:val="22"/>
                <w:szCs w:val="22"/>
              </w:rPr>
            </w:pPr>
            <w:r w:rsidRPr="00AF2A94">
              <w:rPr>
                <w:sz w:val="22"/>
                <w:szCs w:val="22"/>
              </w:rPr>
              <w:t>.31</w:t>
            </w:r>
          </w:p>
        </w:tc>
        <w:tc>
          <w:tcPr>
            <w:tcW w:w="1260" w:type="dxa"/>
          </w:tcPr>
          <w:p w14:paraId="377CEA59" w14:textId="77777777" w:rsidR="00462A25" w:rsidRPr="00AF2A94" w:rsidRDefault="00462A25" w:rsidP="00C832B2">
            <w:pPr>
              <w:contextualSpacing/>
              <w:jc w:val="center"/>
              <w:rPr>
                <w:sz w:val="22"/>
                <w:szCs w:val="22"/>
              </w:rPr>
            </w:pPr>
          </w:p>
        </w:tc>
        <w:tc>
          <w:tcPr>
            <w:tcW w:w="1170" w:type="dxa"/>
          </w:tcPr>
          <w:p w14:paraId="4E372DD3" w14:textId="77777777" w:rsidR="00462A25" w:rsidRPr="00AF2A94" w:rsidRDefault="00462A25" w:rsidP="00C832B2">
            <w:pPr>
              <w:contextualSpacing/>
              <w:jc w:val="center"/>
              <w:rPr>
                <w:sz w:val="22"/>
                <w:szCs w:val="22"/>
              </w:rPr>
            </w:pPr>
          </w:p>
        </w:tc>
        <w:tc>
          <w:tcPr>
            <w:tcW w:w="1350" w:type="dxa"/>
          </w:tcPr>
          <w:p w14:paraId="35E5DB28" w14:textId="77777777" w:rsidR="00462A25" w:rsidRPr="00AF2A94" w:rsidRDefault="00462A25" w:rsidP="00C832B2">
            <w:pPr>
              <w:contextualSpacing/>
              <w:jc w:val="center"/>
              <w:rPr>
                <w:sz w:val="22"/>
                <w:szCs w:val="22"/>
              </w:rPr>
            </w:pPr>
          </w:p>
        </w:tc>
        <w:tc>
          <w:tcPr>
            <w:tcW w:w="1350" w:type="dxa"/>
          </w:tcPr>
          <w:p w14:paraId="4E156FC3" w14:textId="77777777" w:rsidR="00462A25" w:rsidRPr="00AF2A94" w:rsidRDefault="00462A25" w:rsidP="00C832B2">
            <w:pPr>
              <w:contextualSpacing/>
              <w:jc w:val="center"/>
              <w:rPr>
                <w:sz w:val="22"/>
                <w:szCs w:val="22"/>
              </w:rPr>
            </w:pPr>
          </w:p>
        </w:tc>
        <w:tc>
          <w:tcPr>
            <w:tcW w:w="1345" w:type="dxa"/>
          </w:tcPr>
          <w:p w14:paraId="276D6AB3" w14:textId="77777777" w:rsidR="00462A25" w:rsidRPr="00AF2A94" w:rsidRDefault="00462A25" w:rsidP="00C832B2">
            <w:pPr>
              <w:contextualSpacing/>
              <w:jc w:val="center"/>
              <w:rPr>
                <w:sz w:val="22"/>
                <w:szCs w:val="22"/>
              </w:rPr>
            </w:pPr>
          </w:p>
        </w:tc>
        <w:tc>
          <w:tcPr>
            <w:tcW w:w="1350" w:type="dxa"/>
          </w:tcPr>
          <w:p w14:paraId="2BA32D38" w14:textId="77777777" w:rsidR="00462A25" w:rsidRPr="00AF2A94" w:rsidRDefault="00462A25" w:rsidP="00C832B2">
            <w:pPr>
              <w:contextualSpacing/>
              <w:jc w:val="center"/>
              <w:rPr>
                <w:sz w:val="22"/>
                <w:szCs w:val="22"/>
              </w:rPr>
            </w:pPr>
          </w:p>
        </w:tc>
      </w:tr>
      <w:tr w:rsidR="00462A25" w14:paraId="1501CA26" w14:textId="77777777" w:rsidTr="005D626D">
        <w:tc>
          <w:tcPr>
            <w:tcW w:w="3330" w:type="dxa"/>
          </w:tcPr>
          <w:p w14:paraId="66232595" w14:textId="77777777" w:rsidR="00462A25" w:rsidRPr="00AF2A94" w:rsidRDefault="00462A25" w:rsidP="00A72B96">
            <w:pPr>
              <w:contextualSpacing/>
              <w:rPr>
                <w:sz w:val="22"/>
                <w:szCs w:val="22"/>
              </w:rPr>
            </w:pPr>
            <w:r w:rsidRPr="00AF2A94">
              <w:rPr>
                <w:sz w:val="22"/>
                <w:szCs w:val="22"/>
              </w:rPr>
              <w:t>BMI</w:t>
            </w:r>
          </w:p>
          <w:p w14:paraId="6D65B179" w14:textId="77777777" w:rsidR="00462A25" w:rsidRPr="00AF2A94" w:rsidRDefault="00462A25" w:rsidP="00A72B96">
            <w:pPr>
              <w:contextualSpacing/>
              <w:rPr>
                <w:sz w:val="22"/>
                <w:szCs w:val="22"/>
              </w:rPr>
            </w:pPr>
          </w:p>
        </w:tc>
        <w:tc>
          <w:tcPr>
            <w:tcW w:w="1080" w:type="dxa"/>
          </w:tcPr>
          <w:p w14:paraId="715661D2" w14:textId="77777777" w:rsidR="00462A25" w:rsidRPr="00AF2A94" w:rsidRDefault="00462A25" w:rsidP="00C832B2">
            <w:pPr>
              <w:contextualSpacing/>
              <w:jc w:val="center"/>
              <w:rPr>
                <w:sz w:val="22"/>
                <w:szCs w:val="22"/>
              </w:rPr>
            </w:pPr>
            <w:r w:rsidRPr="00AF2A94">
              <w:rPr>
                <w:sz w:val="22"/>
                <w:szCs w:val="22"/>
              </w:rPr>
              <w:t>.40</w:t>
            </w:r>
          </w:p>
        </w:tc>
        <w:tc>
          <w:tcPr>
            <w:tcW w:w="720" w:type="dxa"/>
          </w:tcPr>
          <w:p w14:paraId="19F3A0AA" w14:textId="77777777" w:rsidR="00462A25" w:rsidRPr="00AF2A94" w:rsidRDefault="00462A25" w:rsidP="00C832B2">
            <w:pPr>
              <w:contextualSpacing/>
              <w:jc w:val="center"/>
              <w:rPr>
                <w:sz w:val="22"/>
                <w:szCs w:val="22"/>
              </w:rPr>
            </w:pPr>
            <w:r w:rsidRPr="00AF2A94">
              <w:rPr>
                <w:sz w:val="22"/>
                <w:szCs w:val="22"/>
              </w:rPr>
              <w:t>.22</w:t>
            </w:r>
          </w:p>
        </w:tc>
        <w:tc>
          <w:tcPr>
            <w:tcW w:w="1260" w:type="dxa"/>
          </w:tcPr>
          <w:p w14:paraId="32675879" w14:textId="77777777" w:rsidR="00462A25" w:rsidRPr="00AF2A94" w:rsidRDefault="00462A25" w:rsidP="00C832B2">
            <w:pPr>
              <w:contextualSpacing/>
              <w:jc w:val="center"/>
              <w:rPr>
                <w:sz w:val="22"/>
                <w:szCs w:val="22"/>
              </w:rPr>
            </w:pPr>
          </w:p>
        </w:tc>
        <w:tc>
          <w:tcPr>
            <w:tcW w:w="1170" w:type="dxa"/>
          </w:tcPr>
          <w:p w14:paraId="41B9F512" w14:textId="77777777" w:rsidR="00462A25" w:rsidRPr="00AF2A94" w:rsidRDefault="00462A25" w:rsidP="00C832B2">
            <w:pPr>
              <w:contextualSpacing/>
              <w:jc w:val="center"/>
              <w:rPr>
                <w:sz w:val="22"/>
                <w:szCs w:val="22"/>
              </w:rPr>
            </w:pPr>
          </w:p>
        </w:tc>
        <w:tc>
          <w:tcPr>
            <w:tcW w:w="1350" w:type="dxa"/>
          </w:tcPr>
          <w:p w14:paraId="15FB8896" w14:textId="77777777" w:rsidR="00462A25" w:rsidRPr="00AF2A94" w:rsidRDefault="00462A25" w:rsidP="00C832B2">
            <w:pPr>
              <w:contextualSpacing/>
              <w:jc w:val="center"/>
              <w:rPr>
                <w:sz w:val="22"/>
                <w:szCs w:val="22"/>
              </w:rPr>
            </w:pPr>
          </w:p>
        </w:tc>
        <w:tc>
          <w:tcPr>
            <w:tcW w:w="1350" w:type="dxa"/>
          </w:tcPr>
          <w:p w14:paraId="6DB39C2F" w14:textId="77777777" w:rsidR="00462A25" w:rsidRPr="00AF2A94" w:rsidRDefault="00462A25" w:rsidP="00C832B2">
            <w:pPr>
              <w:contextualSpacing/>
              <w:jc w:val="center"/>
              <w:rPr>
                <w:sz w:val="22"/>
                <w:szCs w:val="22"/>
              </w:rPr>
            </w:pPr>
          </w:p>
        </w:tc>
        <w:tc>
          <w:tcPr>
            <w:tcW w:w="1345" w:type="dxa"/>
          </w:tcPr>
          <w:p w14:paraId="1E7BB209" w14:textId="77777777" w:rsidR="00462A25" w:rsidRPr="00AF2A94" w:rsidRDefault="00462A25" w:rsidP="00C832B2">
            <w:pPr>
              <w:contextualSpacing/>
              <w:jc w:val="center"/>
              <w:rPr>
                <w:sz w:val="22"/>
                <w:szCs w:val="22"/>
              </w:rPr>
            </w:pPr>
          </w:p>
        </w:tc>
        <w:tc>
          <w:tcPr>
            <w:tcW w:w="1350" w:type="dxa"/>
          </w:tcPr>
          <w:p w14:paraId="0A69B999" w14:textId="77777777" w:rsidR="00462A25" w:rsidRPr="00AF2A94" w:rsidRDefault="00462A25" w:rsidP="00C832B2">
            <w:pPr>
              <w:contextualSpacing/>
              <w:jc w:val="center"/>
              <w:rPr>
                <w:sz w:val="22"/>
                <w:szCs w:val="22"/>
              </w:rPr>
            </w:pPr>
          </w:p>
        </w:tc>
      </w:tr>
      <w:tr w:rsidR="00462A25" w14:paraId="1D48DDAB" w14:textId="77777777" w:rsidTr="005D626D">
        <w:trPr>
          <w:trHeight w:val="378"/>
        </w:trPr>
        <w:tc>
          <w:tcPr>
            <w:tcW w:w="3330" w:type="dxa"/>
          </w:tcPr>
          <w:p w14:paraId="00B4C3B0" w14:textId="77777777" w:rsidR="00462A25" w:rsidRPr="00AF2A94" w:rsidRDefault="00462A25" w:rsidP="00A72B96">
            <w:pPr>
              <w:contextualSpacing/>
              <w:rPr>
                <w:sz w:val="22"/>
                <w:szCs w:val="22"/>
              </w:rPr>
            </w:pPr>
            <w:r w:rsidRPr="00AF2A94">
              <w:rPr>
                <w:sz w:val="22"/>
                <w:szCs w:val="22"/>
              </w:rPr>
              <w:t>Psychological Inflexibility with Weight (AAQ-W)</w:t>
            </w:r>
          </w:p>
        </w:tc>
        <w:tc>
          <w:tcPr>
            <w:tcW w:w="1080" w:type="dxa"/>
          </w:tcPr>
          <w:p w14:paraId="31C3ED09" w14:textId="77777777" w:rsidR="00462A25" w:rsidRPr="00AF2A94" w:rsidRDefault="00462A25" w:rsidP="00C832B2">
            <w:pPr>
              <w:contextualSpacing/>
              <w:jc w:val="center"/>
              <w:rPr>
                <w:sz w:val="22"/>
                <w:szCs w:val="22"/>
              </w:rPr>
            </w:pPr>
            <w:r w:rsidRPr="00AF2A94">
              <w:rPr>
                <w:sz w:val="22"/>
                <w:szCs w:val="22"/>
              </w:rPr>
              <w:t>10.42***</w:t>
            </w:r>
          </w:p>
        </w:tc>
        <w:tc>
          <w:tcPr>
            <w:tcW w:w="720" w:type="dxa"/>
          </w:tcPr>
          <w:p w14:paraId="446951A8" w14:textId="77777777" w:rsidR="00462A25" w:rsidRPr="00AF2A94" w:rsidRDefault="00462A25" w:rsidP="00C832B2">
            <w:pPr>
              <w:contextualSpacing/>
              <w:jc w:val="center"/>
              <w:rPr>
                <w:sz w:val="22"/>
                <w:szCs w:val="22"/>
              </w:rPr>
            </w:pPr>
            <w:r w:rsidRPr="00AF2A94">
              <w:rPr>
                <w:sz w:val="22"/>
                <w:szCs w:val="22"/>
              </w:rPr>
              <w:t>1.07</w:t>
            </w:r>
          </w:p>
        </w:tc>
        <w:tc>
          <w:tcPr>
            <w:tcW w:w="1260" w:type="dxa"/>
          </w:tcPr>
          <w:p w14:paraId="176E61C7" w14:textId="77777777" w:rsidR="00462A25" w:rsidRPr="00AF2A94" w:rsidRDefault="00462A25" w:rsidP="00C832B2">
            <w:pPr>
              <w:contextualSpacing/>
              <w:jc w:val="center"/>
              <w:rPr>
                <w:sz w:val="22"/>
                <w:szCs w:val="22"/>
              </w:rPr>
            </w:pPr>
            <w:r w:rsidRPr="00AF2A94">
              <w:rPr>
                <w:sz w:val="22"/>
                <w:szCs w:val="22"/>
              </w:rPr>
              <w:t>2.06***</w:t>
            </w:r>
          </w:p>
          <w:p w14:paraId="00A9D2E2" w14:textId="77777777" w:rsidR="00462A25" w:rsidRPr="00AF2A94" w:rsidRDefault="00462A25" w:rsidP="00C832B2">
            <w:pPr>
              <w:contextualSpacing/>
              <w:jc w:val="center"/>
              <w:rPr>
                <w:sz w:val="22"/>
                <w:szCs w:val="22"/>
              </w:rPr>
            </w:pPr>
            <w:r w:rsidRPr="00AF2A94">
              <w:rPr>
                <w:sz w:val="22"/>
                <w:szCs w:val="22"/>
              </w:rPr>
              <w:t>[1.48, 2.63]</w:t>
            </w:r>
          </w:p>
        </w:tc>
        <w:tc>
          <w:tcPr>
            <w:tcW w:w="1170" w:type="dxa"/>
          </w:tcPr>
          <w:p w14:paraId="0E0BD570" w14:textId="77777777" w:rsidR="00462A25" w:rsidRPr="00AF2A94" w:rsidRDefault="00462A25" w:rsidP="00C832B2">
            <w:pPr>
              <w:contextualSpacing/>
              <w:jc w:val="center"/>
              <w:rPr>
                <w:sz w:val="22"/>
                <w:szCs w:val="22"/>
              </w:rPr>
            </w:pPr>
            <w:r w:rsidRPr="00AF2A94">
              <w:rPr>
                <w:sz w:val="22"/>
                <w:szCs w:val="22"/>
              </w:rPr>
              <w:t>1.55***</w:t>
            </w:r>
          </w:p>
          <w:p w14:paraId="7707D90A" w14:textId="77777777" w:rsidR="00462A25" w:rsidRPr="00AF2A94" w:rsidRDefault="00462A25" w:rsidP="00C832B2">
            <w:pPr>
              <w:contextualSpacing/>
              <w:jc w:val="center"/>
              <w:rPr>
                <w:sz w:val="22"/>
                <w:szCs w:val="22"/>
              </w:rPr>
            </w:pPr>
            <w:r w:rsidRPr="00AF2A94">
              <w:rPr>
                <w:sz w:val="22"/>
                <w:szCs w:val="22"/>
              </w:rPr>
              <w:t>[.98, 2.11]</w:t>
            </w:r>
          </w:p>
        </w:tc>
        <w:tc>
          <w:tcPr>
            <w:tcW w:w="1350" w:type="dxa"/>
          </w:tcPr>
          <w:p w14:paraId="031E588C" w14:textId="77777777" w:rsidR="00462A25" w:rsidRPr="00AF2A94" w:rsidRDefault="00462A25" w:rsidP="00C832B2">
            <w:pPr>
              <w:contextualSpacing/>
              <w:jc w:val="center"/>
              <w:rPr>
                <w:sz w:val="22"/>
                <w:szCs w:val="22"/>
              </w:rPr>
            </w:pPr>
            <w:r w:rsidRPr="00AF2A94">
              <w:rPr>
                <w:sz w:val="22"/>
                <w:szCs w:val="22"/>
              </w:rPr>
              <w:t>.29</w:t>
            </w:r>
          </w:p>
          <w:p w14:paraId="3E37B120" w14:textId="77777777" w:rsidR="00462A25" w:rsidRPr="00AF2A94" w:rsidRDefault="00462A25" w:rsidP="00C832B2">
            <w:pPr>
              <w:contextualSpacing/>
              <w:jc w:val="center"/>
              <w:rPr>
                <w:sz w:val="22"/>
                <w:szCs w:val="22"/>
              </w:rPr>
            </w:pPr>
            <w:r w:rsidRPr="00AF2A94">
              <w:rPr>
                <w:sz w:val="22"/>
                <w:szCs w:val="22"/>
              </w:rPr>
              <w:t>[-.28, .86]</w:t>
            </w:r>
          </w:p>
        </w:tc>
        <w:tc>
          <w:tcPr>
            <w:tcW w:w="1350" w:type="dxa"/>
          </w:tcPr>
          <w:p w14:paraId="7992F04A" w14:textId="77777777" w:rsidR="00462A25" w:rsidRPr="00AF2A94" w:rsidRDefault="00462A25" w:rsidP="00C832B2">
            <w:pPr>
              <w:contextualSpacing/>
              <w:jc w:val="center"/>
              <w:rPr>
                <w:sz w:val="22"/>
                <w:szCs w:val="22"/>
              </w:rPr>
            </w:pPr>
            <w:r w:rsidRPr="00AF2A94">
              <w:rPr>
                <w:sz w:val="22"/>
                <w:szCs w:val="22"/>
              </w:rPr>
              <w:t>1.50***</w:t>
            </w:r>
          </w:p>
          <w:p w14:paraId="15194BA9" w14:textId="77777777" w:rsidR="00462A25" w:rsidRPr="00AF2A94" w:rsidRDefault="00462A25" w:rsidP="00C832B2">
            <w:pPr>
              <w:contextualSpacing/>
              <w:jc w:val="center"/>
              <w:rPr>
                <w:sz w:val="22"/>
                <w:szCs w:val="22"/>
              </w:rPr>
            </w:pPr>
            <w:r w:rsidRPr="00AF2A94">
              <w:rPr>
                <w:sz w:val="22"/>
                <w:szCs w:val="22"/>
              </w:rPr>
              <w:t>[.72, 2.27]</w:t>
            </w:r>
          </w:p>
        </w:tc>
        <w:tc>
          <w:tcPr>
            <w:tcW w:w="1345" w:type="dxa"/>
          </w:tcPr>
          <w:p w14:paraId="067840C7" w14:textId="77777777" w:rsidR="00462A25" w:rsidRPr="00AF2A94" w:rsidRDefault="00462A25" w:rsidP="00C832B2">
            <w:pPr>
              <w:contextualSpacing/>
              <w:jc w:val="center"/>
              <w:rPr>
                <w:sz w:val="22"/>
                <w:szCs w:val="22"/>
              </w:rPr>
            </w:pPr>
            <w:r w:rsidRPr="00AF2A94">
              <w:rPr>
                <w:sz w:val="22"/>
                <w:szCs w:val="22"/>
              </w:rPr>
              <w:t>1.12**</w:t>
            </w:r>
          </w:p>
          <w:p w14:paraId="4E59D67A" w14:textId="77777777" w:rsidR="00462A25" w:rsidRPr="00AF2A94" w:rsidRDefault="00462A25" w:rsidP="00C832B2">
            <w:pPr>
              <w:contextualSpacing/>
              <w:jc w:val="center"/>
              <w:rPr>
                <w:sz w:val="22"/>
                <w:szCs w:val="22"/>
              </w:rPr>
            </w:pPr>
            <w:r w:rsidRPr="00AF2A94">
              <w:rPr>
                <w:sz w:val="22"/>
                <w:szCs w:val="22"/>
              </w:rPr>
              <w:t>[.36, 1.89]</w:t>
            </w:r>
          </w:p>
        </w:tc>
        <w:tc>
          <w:tcPr>
            <w:tcW w:w="1350" w:type="dxa"/>
          </w:tcPr>
          <w:p w14:paraId="6785EB66" w14:textId="77777777" w:rsidR="00462A25" w:rsidRPr="00AF2A94" w:rsidRDefault="00462A25" w:rsidP="00C832B2">
            <w:pPr>
              <w:contextualSpacing/>
              <w:jc w:val="center"/>
              <w:rPr>
                <w:sz w:val="22"/>
                <w:szCs w:val="22"/>
              </w:rPr>
            </w:pPr>
            <w:r w:rsidRPr="00AF2A94">
              <w:rPr>
                <w:sz w:val="22"/>
                <w:szCs w:val="22"/>
              </w:rPr>
              <w:t>.37</w:t>
            </w:r>
          </w:p>
          <w:p w14:paraId="17A4832C" w14:textId="77777777" w:rsidR="00462A25" w:rsidRPr="00AF2A94" w:rsidRDefault="00462A25" w:rsidP="00C832B2">
            <w:pPr>
              <w:contextualSpacing/>
              <w:jc w:val="center"/>
              <w:rPr>
                <w:sz w:val="22"/>
                <w:szCs w:val="22"/>
              </w:rPr>
            </w:pPr>
            <w:r w:rsidRPr="00AF2A94">
              <w:rPr>
                <w:sz w:val="22"/>
                <w:szCs w:val="22"/>
              </w:rPr>
              <w:t>[-.40, 1.14]</w:t>
            </w:r>
          </w:p>
        </w:tc>
      </w:tr>
      <w:tr w:rsidR="00462A25" w14:paraId="2227C209" w14:textId="77777777" w:rsidTr="005D626D">
        <w:tc>
          <w:tcPr>
            <w:tcW w:w="3330" w:type="dxa"/>
            <w:tcBorders>
              <w:bottom w:val="single" w:sz="4" w:space="0" w:color="auto"/>
            </w:tcBorders>
          </w:tcPr>
          <w:p w14:paraId="58529C19" w14:textId="77777777" w:rsidR="00462A25" w:rsidRPr="00AF2A94" w:rsidRDefault="00462A25" w:rsidP="00A72B96">
            <w:pPr>
              <w:contextualSpacing/>
              <w:rPr>
                <w:sz w:val="22"/>
                <w:szCs w:val="22"/>
              </w:rPr>
            </w:pPr>
            <w:r w:rsidRPr="00AF2A94">
              <w:rPr>
                <w:sz w:val="22"/>
                <w:szCs w:val="22"/>
              </w:rPr>
              <w:t>General Psychological Inflexibility (</w:t>
            </w:r>
            <w:proofErr w:type="spellStart"/>
            <w:r w:rsidRPr="00AF2A94">
              <w:rPr>
                <w:sz w:val="22"/>
                <w:szCs w:val="22"/>
              </w:rPr>
              <w:t>CompACT</w:t>
            </w:r>
            <w:proofErr w:type="spellEnd"/>
            <w:r w:rsidRPr="00AF2A94">
              <w:rPr>
                <w:sz w:val="22"/>
                <w:szCs w:val="22"/>
              </w:rPr>
              <w:t>)</w:t>
            </w:r>
          </w:p>
        </w:tc>
        <w:tc>
          <w:tcPr>
            <w:tcW w:w="1080" w:type="dxa"/>
            <w:tcBorders>
              <w:bottom w:val="single" w:sz="4" w:space="0" w:color="auto"/>
            </w:tcBorders>
          </w:tcPr>
          <w:p w14:paraId="743B5DCB" w14:textId="77777777" w:rsidR="00462A25" w:rsidRPr="00AF2A94" w:rsidRDefault="00462A25" w:rsidP="00C832B2">
            <w:pPr>
              <w:contextualSpacing/>
              <w:jc w:val="center"/>
              <w:rPr>
                <w:sz w:val="22"/>
                <w:szCs w:val="22"/>
              </w:rPr>
            </w:pPr>
            <w:r w:rsidRPr="00AF2A94">
              <w:rPr>
                <w:sz w:val="22"/>
                <w:szCs w:val="22"/>
              </w:rPr>
              <w:t>.87</w:t>
            </w:r>
          </w:p>
        </w:tc>
        <w:tc>
          <w:tcPr>
            <w:tcW w:w="720" w:type="dxa"/>
            <w:tcBorders>
              <w:bottom w:val="single" w:sz="4" w:space="0" w:color="auto"/>
            </w:tcBorders>
          </w:tcPr>
          <w:p w14:paraId="248A3879" w14:textId="77777777" w:rsidR="00462A25" w:rsidRPr="00AF2A94" w:rsidRDefault="00462A25" w:rsidP="00C832B2">
            <w:pPr>
              <w:contextualSpacing/>
              <w:jc w:val="center"/>
              <w:rPr>
                <w:sz w:val="22"/>
                <w:szCs w:val="22"/>
              </w:rPr>
            </w:pPr>
            <w:r w:rsidRPr="00AF2A94">
              <w:rPr>
                <w:sz w:val="22"/>
                <w:szCs w:val="22"/>
              </w:rPr>
              <w:t>.30</w:t>
            </w:r>
          </w:p>
        </w:tc>
        <w:tc>
          <w:tcPr>
            <w:tcW w:w="1260" w:type="dxa"/>
            <w:tcBorders>
              <w:bottom w:val="single" w:sz="4" w:space="0" w:color="auto"/>
            </w:tcBorders>
          </w:tcPr>
          <w:p w14:paraId="65A53A05" w14:textId="77777777" w:rsidR="00462A25" w:rsidRPr="00AF2A94" w:rsidRDefault="00462A25" w:rsidP="00C832B2">
            <w:pPr>
              <w:contextualSpacing/>
              <w:jc w:val="center"/>
              <w:rPr>
                <w:sz w:val="22"/>
                <w:szCs w:val="22"/>
              </w:rPr>
            </w:pPr>
          </w:p>
        </w:tc>
        <w:tc>
          <w:tcPr>
            <w:tcW w:w="1170" w:type="dxa"/>
            <w:tcBorders>
              <w:bottom w:val="single" w:sz="4" w:space="0" w:color="auto"/>
            </w:tcBorders>
          </w:tcPr>
          <w:p w14:paraId="0EAFB746" w14:textId="77777777" w:rsidR="00462A25" w:rsidRPr="00AF2A94" w:rsidRDefault="00462A25" w:rsidP="00C832B2">
            <w:pPr>
              <w:contextualSpacing/>
              <w:jc w:val="center"/>
              <w:rPr>
                <w:sz w:val="22"/>
                <w:szCs w:val="22"/>
              </w:rPr>
            </w:pPr>
          </w:p>
        </w:tc>
        <w:tc>
          <w:tcPr>
            <w:tcW w:w="1350" w:type="dxa"/>
            <w:tcBorders>
              <w:bottom w:val="single" w:sz="4" w:space="0" w:color="auto"/>
            </w:tcBorders>
          </w:tcPr>
          <w:p w14:paraId="0616A9A9" w14:textId="77777777" w:rsidR="00462A25" w:rsidRPr="00AF2A94" w:rsidRDefault="00462A25" w:rsidP="00C832B2">
            <w:pPr>
              <w:contextualSpacing/>
              <w:jc w:val="center"/>
              <w:rPr>
                <w:sz w:val="22"/>
                <w:szCs w:val="22"/>
              </w:rPr>
            </w:pPr>
          </w:p>
        </w:tc>
        <w:tc>
          <w:tcPr>
            <w:tcW w:w="1350" w:type="dxa"/>
            <w:tcBorders>
              <w:bottom w:val="single" w:sz="4" w:space="0" w:color="auto"/>
            </w:tcBorders>
          </w:tcPr>
          <w:p w14:paraId="2E7778D6" w14:textId="77777777" w:rsidR="00462A25" w:rsidRPr="00AF2A94" w:rsidRDefault="00462A25" w:rsidP="00C832B2">
            <w:pPr>
              <w:contextualSpacing/>
              <w:jc w:val="center"/>
              <w:rPr>
                <w:sz w:val="22"/>
                <w:szCs w:val="22"/>
              </w:rPr>
            </w:pPr>
          </w:p>
        </w:tc>
        <w:tc>
          <w:tcPr>
            <w:tcW w:w="1345" w:type="dxa"/>
            <w:tcBorders>
              <w:bottom w:val="single" w:sz="4" w:space="0" w:color="auto"/>
            </w:tcBorders>
          </w:tcPr>
          <w:p w14:paraId="38636550" w14:textId="77777777" w:rsidR="00462A25" w:rsidRPr="00AF2A94" w:rsidRDefault="00462A25" w:rsidP="00C832B2">
            <w:pPr>
              <w:contextualSpacing/>
              <w:jc w:val="center"/>
              <w:rPr>
                <w:sz w:val="22"/>
                <w:szCs w:val="22"/>
              </w:rPr>
            </w:pPr>
          </w:p>
        </w:tc>
        <w:tc>
          <w:tcPr>
            <w:tcW w:w="1350" w:type="dxa"/>
            <w:tcBorders>
              <w:bottom w:val="single" w:sz="4" w:space="0" w:color="auto"/>
            </w:tcBorders>
          </w:tcPr>
          <w:p w14:paraId="5832710C" w14:textId="77777777" w:rsidR="00462A25" w:rsidRPr="00AF2A94" w:rsidRDefault="00462A25" w:rsidP="00C832B2">
            <w:pPr>
              <w:contextualSpacing/>
              <w:jc w:val="center"/>
              <w:rPr>
                <w:sz w:val="22"/>
                <w:szCs w:val="22"/>
              </w:rPr>
            </w:pPr>
          </w:p>
        </w:tc>
      </w:tr>
    </w:tbl>
    <w:p w14:paraId="370A88B9" w14:textId="53B564FE" w:rsidR="00CF6A74" w:rsidRDefault="00ED6A9C" w:rsidP="00C832B2">
      <w:pPr>
        <w:spacing w:line="480" w:lineRule="auto"/>
        <w:rPr>
          <w:sz w:val="20"/>
          <w:szCs w:val="20"/>
        </w:rPr>
      </w:pPr>
      <w:r>
        <w:rPr>
          <w:i/>
          <w:iCs/>
          <w:sz w:val="20"/>
          <w:szCs w:val="20"/>
        </w:rPr>
        <w:t>Note</w:t>
      </w:r>
      <w:r w:rsidR="00F26102">
        <w:rPr>
          <w:i/>
          <w:iCs/>
          <w:sz w:val="20"/>
          <w:szCs w:val="20"/>
        </w:rPr>
        <w:t>.</w:t>
      </w:r>
      <w:r w:rsidR="00462A25" w:rsidRPr="002F468D">
        <w:rPr>
          <w:sz w:val="20"/>
          <w:szCs w:val="20"/>
        </w:rPr>
        <w:t xml:space="preserve"> </w:t>
      </w:r>
      <w:r w:rsidR="00462A25">
        <w:rPr>
          <w:sz w:val="20"/>
          <w:szCs w:val="20"/>
        </w:rPr>
        <w:t>Positive effect size scores indicate effects consistent with predictions (i.e., improvement within conditions, Phone post scores &gt; Email post scores &gt; Waitlist post scores).</w:t>
      </w:r>
      <w:r w:rsidR="004E5513">
        <w:rPr>
          <w:sz w:val="20"/>
          <w:szCs w:val="20"/>
        </w:rPr>
        <w:t xml:space="preserve"> </w:t>
      </w:r>
      <w:r w:rsidR="004E5513" w:rsidRPr="00C42314">
        <w:rPr>
          <w:sz w:val="20"/>
          <w:szCs w:val="20"/>
        </w:rPr>
        <w:t>WSSQ = Weight Self-Stigma Questionnaire, WCSS-PA = Weight Control Strategies Scale - Physical Activity</w:t>
      </w:r>
      <w:r w:rsidR="004E5513">
        <w:rPr>
          <w:sz w:val="20"/>
          <w:szCs w:val="20"/>
        </w:rPr>
        <w:t xml:space="preserve">, </w:t>
      </w:r>
      <w:r w:rsidR="004E5513" w:rsidRPr="00C42314">
        <w:rPr>
          <w:sz w:val="20"/>
          <w:szCs w:val="20"/>
        </w:rPr>
        <w:t>WCSS-DC = Weight Control Strategies Scale - Dietary Choice</w:t>
      </w:r>
      <w:r w:rsidR="004E5513">
        <w:rPr>
          <w:sz w:val="20"/>
          <w:szCs w:val="20"/>
        </w:rPr>
        <w:t xml:space="preserve">, </w:t>
      </w:r>
      <w:r w:rsidR="004E5513" w:rsidRPr="00C42314">
        <w:rPr>
          <w:sz w:val="20"/>
          <w:szCs w:val="20"/>
        </w:rPr>
        <w:t xml:space="preserve">WCSS-PC = Weight Control Strategies Scale - Psychological Coping, WCSS-SM Weight Control Strategies Scale - Self Monitoring (range = </w:t>
      </w:r>
      <w:r w:rsidR="004E5513">
        <w:rPr>
          <w:sz w:val="20"/>
          <w:szCs w:val="20"/>
        </w:rPr>
        <w:t>7 - 27</w:t>
      </w:r>
      <w:r w:rsidR="004E5513" w:rsidRPr="00C42314">
        <w:rPr>
          <w:sz w:val="20"/>
          <w:szCs w:val="20"/>
        </w:rPr>
        <w:t>), EDE = Eating Disorder Examination Questionnaire-Binge Eating Episode, DEBQ-EE = Dutch Eating Behavior Questionnaire-</w:t>
      </w:r>
      <w:r w:rsidR="004E5513" w:rsidRPr="00C42314">
        <w:rPr>
          <w:sz w:val="20"/>
          <w:szCs w:val="20"/>
        </w:rPr>
        <w:lastRenderedPageBreak/>
        <w:t>Emotional Eating</w:t>
      </w:r>
      <w:r w:rsidR="004E5513">
        <w:rPr>
          <w:sz w:val="20"/>
          <w:szCs w:val="20"/>
        </w:rPr>
        <w:t xml:space="preserve">, </w:t>
      </w:r>
      <w:r w:rsidR="004E5513" w:rsidRPr="00C42314">
        <w:rPr>
          <w:sz w:val="20"/>
          <w:szCs w:val="20"/>
        </w:rPr>
        <w:t>IPAQ = International Physical Activity Questionnaire-Short Form</w:t>
      </w:r>
      <w:r w:rsidR="004E5513">
        <w:rPr>
          <w:sz w:val="20"/>
          <w:szCs w:val="20"/>
        </w:rPr>
        <w:t xml:space="preserve">, </w:t>
      </w:r>
      <w:r w:rsidR="004E5513" w:rsidRPr="00C42314">
        <w:rPr>
          <w:sz w:val="20"/>
          <w:szCs w:val="20"/>
        </w:rPr>
        <w:t xml:space="preserve">BMI = Body Mass Index, AAQ-W = Acceptance and Action Questionnaire for Weight-Related Difficulties, </w:t>
      </w:r>
      <w:proofErr w:type="spellStart"/>
      <w:r w:rsidR="004E5513" w:rsidRPr="00C42314">
        <w:rPr>
          <w:sz w:val="20"/>
          <w:szCs w:val="20"/>
        </w:rPr>
        <w:t>CompACT</w:t>
      </w:r>
      <w:proofErr w:type="spellEnd"/>
      <w:r w:rsidR="004E5513" w:rsidRPr="00C42314">
        <w:rPr>
          <w:sz w:val="20"/>
          <w:szCs w:val="20"/>
        </w:rPr>
        <w:t xml:space="preserve"> = Comprehensive Assessment of Acceptance and Commitment Therapy Processes</w:t>
      </w:r>
      <w:r w:rsidR="004E5513">
        <w:rPr>
          <w:sz w:val="20"/>
          <w:szCs w:val="20"/>
        </w:rPr>
        <w:t>.</w:t>
      </w:r>
      <w:r w:rsidR="00F26102">
        <w:rPr>
          <w:sz w:val="20"/>
          <w:szCs w:val="20"/>
        </w:rPr>
        <w:t xml:space="preserve"> </w:t>
      </w:r>
      <w:r w:rsidR="00F26102" w:rsidRPr="002F468D">
        <w:rPr>
          <w:sz w:val="20"/>
          <w:szCs w:val="20"/>
        </w:rPr>
        <w:t>†</w:t>
      </w:r>
      <w:r w:rsidR="00F26102" w:rsidRPr="002F468D">
        <w:rPr>
          <w:i/>
          <w:sz w:val="20"/>
          <w:szCs w:val="20"/>
        </w:rPr>
        <w:t xml:space="preserve">p &lt; </w:t>
      </w:r>
      <w:r w:rsidR="00F26102" w:rsidRPr="002F468D">
        <w:rPr>
          <w:sz w:val="20"/>
          <w:szCs w:val="20"/>
        </w:rPr>
        <w:t>.10; *</w:t>
      </w:r>
      <w:r w:rsidR="00F26102" w:rsidRPr="002F468D">
        <w:rPr>
          <w:i/>
          <w:iCs/>
          <w:sz w:val="20"/>
          <w:szCs w:val="20"/>
        </w:rPr>
        <w:t xml:space="preserve">p </w:t>
      </w:r>
      <w:r w:rsidR="00F26102" w:rsidRPr="002F468D">
        <w:rPr>
          <w:sz w:val="20"/>
          <w:szCs w:val="20"/>
        </w:rPr>
        <w:t>&lt; .05; **</w:t>
      </w:r>
      <w:r w:rsidR="00F26102" w:rsidRPr="002F468D">
        <w:rPr>
          <w:i/>
          <w:iCs/>
          <w:sz w:val="20"/>
          <w:szCs w:val="20"/>
        </w:rPr>
        <w:t xml:space="preserve">p </w:t>
      </w:r>
      <w:r w:rsidR="00F26102" w:rsidRPr="002F468D">
        <w:rPr>
          <w:sz w:val="20"/>
          <w:szCs w:val="20"/>
        </w:rPr>
        <w:t>&lt; .01; ***</w:t>
      </w:r>
      <w:r w:rsidR="00F26102" w:rsidRPr="002F468D">
        <w:rPr>
          <w:i/>
          <w:iCs/>
          <w:sz w:val="20"/>
          <w:szCs w:val="20"/>
        </w:rPr>
        <w:t xml:space="preserve">p </w:t>
      </w:r>
      <w:r w:rsidR="00F26102" w:rsidRPr="002F468D">
        <w:rPr>
          <w:sz w:val="20"/>
          <w:szCs w:val="20"/>
        </w:rPr>
        <w:t>&lt; .001.</w:t>
      </w:r>
      <w:r w:rsidR="00EB3E00">
        <w:rPr>
          <w:sz w:val="20"/>
          <w:szCs w:val="20"/>
        </w:rPr>
        <w:tab/>
      </w:r>
    </w:p>
    <w:p w14:paraId="420A8CE4" w14:textId="77777777" w:rsidR="00105820" w:rsidRDefault="00105820">
      <w:pPr>
        <w:spacing w:after="160" w:line="259" w:lineRule="auto"/>
        <w:rPr>
          <w:sz w:val="20"/>
          <w:szCs w:val="20"/>
        </w:rPr>
        <w:sectPr w:rsidR="00105820" w:rsidSect="00462A25">
          <w:pgSz w:w="15840" w:h="12240" w:orient="landscape"/>
          <w:pgMar w:top="1440" w:right="1440" w:bottom="1440" w:left="1440" w:header="720" w:footer="720" w:gutter="0"/>
          <w:cols w:space="720"/>
          <w:docGrid w:linePitch="360"/>
        </w:sectPr>
      </w:pPr>
      <w:r>
        <w:rPr>
          <w:sz w:val="20"/>
          <w:szCs w:val="20"/>
        </w:rPr>
        <w:br w:type="page"/>
      </w:r>
    </w:p>
    <w:p w14:paraId="0D38EDC8" w14:textId="77777777" w:rsidR="000B028F" w:rsidRPr="00C832B2" w:rsidRDefault="00105820" w:rsidP="00C832B2">
      <w:pPr>
        <w:spacing w:line="480" w:lineRule="auto"/>
        <w:rPr>
          <w:b/>
          <w:bCs/>
        </w:rPr>
      </w:pPr>
      <w:r w:rsidRPr="00C832B2">
        <w:rPr>
          <w:b/>
          <w:bCs/>
        </w:rPr>
        <w:lastRenderedPageBreak/>
        <w:t xml:space="preserve">Figure </w:t>
      </w:r>
      <w:r w:rsidR="000B028F" w:rsidRPr="00C832B2">
        <w:rPr>
          <w:b/>
          <w:bCs/>
        </w:rPr>
        <w:t>1</w:t>
      </w:r>
    </w:p>
    <w:p w14:paraId="3C8CF6EF" w14:textId="0764B728" w:rsidR="00105820" w:rsidRPr="00C832B2" w:rsidRDefault="00105820" w:rsidP="00C832B2">
      <w:pPr>
        <w:spacing w:line="480" w:lineRule="auto"/>
        <w:rPr>
          <w:i/>
          <w:iCs/>
        </w:rPr>
      </w:pPr>
      <w:r w:rsidRPr="00C832B2">
        <w:rPr>
          <w:i/>
          <w:iCs/>
        </w:rPr>
        <w:t xml:space="preserve">Participant </w:t>
      </w:r>
      <w:r w:rsidR="001850C4">
        <w:rPr>
          <w:i/>
          <w:iCs/>
        </w:rPr>
        <w:t>F</w:t>
      </w:r>
      <w:r w:rsidRPr="00C832B2">
        <w:rPr>
          <w:i/>
          <w:iCs/>
        </w:rPr>
        <w:t xml:space="preserve">low </w:t>
      </w:r>
      <w:r w:rsidR="001850C4">
        <w:rPr>
          <w:i/>
          <w:iCs/>
        </w:rPr>
        <w:t>D</w:t>
      </w:r>
      <w:r w:rsidRPr="00C832B2">
        <w:rPr>
          <w:i/>
          <w:iCs/>
        </w:rPr>
        <w:t>iagram</w:t>
      </w:r>
    </w:p>
    <w:p w14:paraId="5889BF5A" w14:textId="3DD32849" w:rsidR="00105820" w:rsidRPr="00462A25" w:rsidRDefault="00446F6B" w:rsidP="00462A25">
      <w:r>
        <w:rPr>
          <w:noProof/>
          <w:lang w:eastAsia="en-US"/>
        </w:rPr>
        <w:drawing>
          <wp:inline distT="0" distB="0" distL="0" distR="0" wp14:anchorId="1C51AA7E" wp14:editId="02E8FBA4">
            <wp:extent cx="5824330" cy="7187928"/>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10.19.20.pdf"/>
                    <pic:cNvPicPr/>
                  </pic:nvPicPr>
                  <pic:blipFill rotWithShape="1">
                    <a:blip r:embed="rId11">
                      <a:extLst>
                        <a:ext uri="{28A0092B-C50C-407E-A947-70E740481C1C}">
                          <a14:useLocalDpi xmlns:a14="http://schemas.microsoft.com/office/drawing/2010/main" val="0"/>
                        </a:ext>
                      </a:extLst>
                    </a:blip>
                    <a:srcRect l="10703" b="14843"/>
                    <a:stretch/>
                  </pic:blipFill>
                  <pic:spPr bwMode="auto">
                    <a:xfrm>
                      <a:off x="0" y="0"/>
                      <a:ext cx="5830529" cy="7195578"/>
                    </a:xfrm>
                    <a:prstGeom prst="rect">
                      <a:avLst/>
                    </a:prstGeom>
                    <a:ln>
                      <a:noFill/>
                    </a:ln>
                    <a:extLst>
                      <a:ext uri="{53640926-AAD7-44D8-BBD7-CCE9431645EC}">
                        <a14:shadowObscured xmlns:a14="http://schemas.microsoft.com/office/drawing/2010/main"/>
                      </a:ext>
                    </a:extLst>
                  </pic:spPr>
                </pic:pic>
              </a:graphicData>
            </a:graphic>
          </wp:inline>
        </w:drawing>
      </w:r>
    </w:p>
    <w:sectPr w:rsidR="00105820" w:rsidRPr="00462A25" w:rsidSect="00AF2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6288" w14:textId="77777777" w:rsidR="003621B8" w:rsidRDefault="003621B8" w:rsidP="00C57E76">
      <w:r>
        <w:separator/>
      </w:r>
    </w:p>
  </w:endnote>
  <w:endnote w:type="continuationSeparator" w:id="0">
    <w:p w14:paraId="0F3A2941" w14:textId="77777777" w:rsidR="003621B8" w:rsidRDefault="003621B8" w:rsidP="00C5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3713a231+20">
    <w:altName w:val="MS Mincho"/>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9AA1" w14:textId="77777777" w:rsidR="003621B8" w:rsidRDefault="003621B8" w:rsidP="00C57E76">
      <w:r>
        <w:separator/>
      </w:r>
    </w:p>
  </w:footnote>
  <w:footnote w:type="continuationSeparator" w:id="0">
    <w:p w14:paraId="186032AD" w14:textId="77777777" w:rsidR="003621B8" w:rsidRDefault="003621B8" w:rsidP="00C5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D494" w14:textId="771BA0BF" w:rsidR="00FA5B13" w:rsidRPr="00C832B2" w:rsidRDefault="00FA5B13" w:rsidP="00C57E76">
    <w:pPr>
      <w:pStyle w:val="Header"/>
      <w:rPr>
        <w:rFonts w:ascii="Times New Roman" w:hAnsi="Times New Roman" w:cs="Times New Roman"/>
        <w:sz w:val="24"/>
        <w:szCs w:val="24"/>
      </w:rPr>
    </w:pPr>
    <w:r w:rsidRPr="00C832B2">
      <w:rPr>
        <w:rFonts w:ascii="Times New Roman" w:hAnsi="Times New Roman" w:cs="Times New Roman"/>
        <w:sz w:val="24"/>
        <w:szCs w:val="24"/>
      </w:rPr>
      <w:t xml:space="preserve">ACT </w:t>
    </w:r>
    <w:r>
      <w:rPr>
        <w:rFonts w:ascii="Times New Roman" w:hAnsi="Times New Roman" w:cs="Times New Roman"/>
        <w:sz w:val="24"/>
        <w:szCs w:val="24"/>
      </w:rPr>
      <w:t>SELF-HELP FOR WEIGHT SELF-STIGMA</w:t>
    </w:r>
    <w:r w:rsidRPr="00C832B2">
      <w:rPr>
        <w:rFonts w:ascii="Times New Roman" w:hAnsi="Times New Roman" w:cs="Times New Roman"/>
        <w:sz w:val="24"/>
        <w:szCs w:val="24"/>
      </w:rPr>
      <w:tab/>
    </w:r>
    <w:sdt>
      <w:sdtPr>
        <w:rPr>
          <w:rFonts w:ascii="Times New Roman" w:hAnsi="Times New Roman" w:cs="Times New Roman"/>
          <w:sz w:val="24"/>
          <w:szCs w:val="24"/>
        </w:rPr>
        <w:id w:val="1113478020"/>
        <w:docPartObj>
          <w:docPartGallery w:val="Page Numbers (Top of Page)"/>
          <w:docPartUnique/>
        </w:docPartObj>
      </w:sdtPr>
      <w:sdtEndPr>
        <w:rPr>
          <w:noProof/>
        </w:rPr>
      </w:sdtEndPr>
      <w:sdtContent>
        <w:r w:rsidRPr="00C832B2">
          <w:rPr>
            <w:rFonts w:ascii="Times New Roman" w:hAnsi="Times New Roman" w:cs="Times New Roman"/>
            <w:sz w:val="24"/>
            <w:szCs w:val="24"/>
          </w:rPr>
          <w:fldChar w:fldCharType="begin"/>
        </w:r>
        <w:r w:rsidRPr="00C832B2">
          <w:rPr>
            <w:rFonts w:ascii="Times New Roman" w:hAnsi="Times New Roman" w:cs="Times New Roman"/>
            <w:sz w:val="24"/>
            <w:szCs w:val="24"/>
          </w:rPr>
          <w:instrText xml:space="preserve"> PAGE   \* MERGEFORMAT </w:instrText>
        </w:r>
        <w:r w:rsidRPr="00C832B2">
          <w:rPr>
            <w:rFonts w:ascii="Times New Roman" w:hAnsi="Times New Roman" w:cs="Times New Roman"/>
            <w:sz w:val="24"/>
            <w:szCs w:val="24"/>
          </w:rPr>
          <w:fldChar w:fldCharType="separate"/>
        </w:r>
        <w:r>
          <w:rPr>
            <w:rFonts w:ascii="Times New Roman" w:hAnsi="Times New Roman" w:cs="Times New Roman"/>
            <w:noProof/>
            <w:sz w:val="24"/>
            <w:szCs w:val="24"/>
          </w:rPr>
          <w:t>38</w:t>
        </w:r>
        <w:r w:rsidRPr="00C832B2">
          <w:rPr>
            <w:rFonts w:ascii="Times New Roman" w:hAnsi="Times New Roman" w:cs="Times New Roman"/>
            <w:noProof/>
            <w:sz w:val="24"/>
            <w:szCs w:val="24"/>
          </w:rPr>
          <w:fldChar w:fldCharType="end"/>
        </w:r>
      </w:sdtContent>
    </w:sdt>
  </w:p>
  <w:p w14:paraId="7ED1644F" w14:textId="33CA56EF" w:rsidR="00FA5B13" w:rsidRDefault="00FA5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B78C5"/>
    <w:multiLevelType w:val="hybridMultilevel"/>
    <w:tmpl w:val="DCBC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A"/>
    <w:rsid w:val="000001A5"/>
    <w:rsid w:val="00000EBA"/>
    <w:rsid w:val="00006A67"/>
    <w:rsid w:val="00007028"/>
    <w:rsid w:val="00014C45"/>
    <w:rsid w:val="000173C0"/>
    <w:rsid w:val="00026D2A"/>
    <w:rsid w:val="000303A2"/>
    <w:rsid w:val="00030B34"/>
    <w:rsid w:val="00032DBA"/>
    <w:rsid w:val="000475C7"/>
    <w:rsid w:val="00047A0C"/>
    <w:rsid w:val="00050613"/>
    <w:rsid w:val="00053AEB"/>
    <w:rsid w:val="00061F1C"/>
    <w:rsid w:val="00063254"/>
    <w:rsid w:val="000653CC"/>
    <w:rsid w:val="00066E4A"/>
    <w:rsid w:val="00072968"/>
    <w:rsid w:val="00074F29"/>
    <w:rsid w:val="000810D8"/>
    <w:rsid w:val="00082DF2"/>
    <w:rsid w:val="00083728"/>
    <w:rsid w:val="00083B6D"/>
    <w:rsid w:val="00086EB2"/>
    <w:rsid w:val="000A4416"/>
    <w:rsid w:val="000A7E11"/>
    <w:rsid w:val="000B028F"/>
    <w:rsid w:val="000B5053"/>
    <w:rsid w:val="000D4E05"/>
    <w:rsid w:val="000E22EF"/>
    <w:rsid w:val="000E7B44"/>
    <w:rsid w:val="000F02BE"/>
    <w:rsid w:val="000F0E61"/>
    <w:rsid w:val="000F1C7D"/>
    <w:rsid w:val="000F7A70"/>
    <w:rsid w:val="00100ADE"/>
    <w:rsid w:val="00105820"/>
    <w:rsid w:val="001066F6"/>
    <w:rsid w:val="001218D7"/>
    <w:rsid w:val="00125E01"/>
    <w:rsid w:val="00131C46"/>
    <w:rsid w:val="001415C9"/>
    <w:rsid w:val="001426B0"/>
    <w:rsid w:val="00143C40"/>
    <w:rsid w:val="00160508"/>
    <w:rsid w:val="00161B00"/>
    <w:rsid w:val="00162E29"/>
    <w:rsid w:val="00163847"/>
    <w:rsid w:val="001670AD"/>
    <w:rsid w:val="00173221"/>
    <w:rsid w:val="00180929"/>
    <w:rsid w:val="00180C08"/>
    <w:rsid w:val="001850C4"/>
    <w:rsid w:val="001859CB"/>
    <w:rsid w:val="001A4AB4"/>
    <w:rsid w:val="001B313F"/>
    <w:rsid w:val="001B3817"/>
    <w:rsid w:val="001D0A94"/>
    <w:rsid w:val="001D1B17"/>
    <w:rsid w:val="001D5437"/>
    <w:rsid w:val="001D61A4"/>
    <w:rsid w:val="001E6B08"/>
    <w:rsid w:val="001F0645"/>
    <w:rsid w:val="001F7755"/>
    <w:rsid w:val="00202D8C"/>
    <w:rsid w:val="00205F0C"/>
    <w:rsid w:val="00206B65"/>
    <w:rsid w:val="00223E6E"/>
    <w:rsid w:val="00227EC2"/>
    <w:rsid w:val="00242505"/>
    <w:rsid w:val="0024420C"/>
    <w:rsid w:val="0024447A"/>
    <w:rsid w:val="002527D1"/>
    <w:rsid w:val="00252F34"/>
    <w:rsid w:val="002753A5"/>
    <w:rsid w:val="002767FA"/>
    <w:rsid w:val="00287929"/>
    <w:rsid w:val="002A3D64"/>
    <w:rsid w:val="002C3A73"/>
    <w:rsid w:val="002D0DC8"/>
    <w:rsid w:val="002F20C0"/>
    <w:rsid w:val="002F61F6"/>
    <w:rsid w:val="002F6633"/>
    <w:rsid w:val="002F67C2"/>
    <w:rsid w:val="00300001"/>
    <w:rsid w:val="0030294B"/>
    <w:rsid w:val="003201ED"/>
    <w:rsid w:val="00323D06"/>
    <w:rsid w:val="00330FFD"/>
    <w:rsid w:val="00333DE1"/>
    <w:rsid w:val="003367D1"/>
    <w:rsid w:val="00343727"/>
    <w:rsid w:val="00345A33"/>
    <w:rsid w:val="0034751F"/>
    <w:rsid w:val="003511C3"/>
    <w:rsid w:val="003512E5"/>
    <w:rsid w:val="0035458D"/>
    <w:rsid w:val="003556A7"/>
    <w:rsid w:val="003621B8"/>
    <w:rsid w:val="0036397D"/>
    <w:rsid w:val="00364BFE"/>
    <w:rsid w:val="00370557"/>
    <w:rsid w:val="00373A40"/>
    <w:rsid w:val="00383A05"/>
    <w:rsid w:val="00384253"/>
    <w:rsid w:val="00392266"/>
    <w:rsid w:val="00393545"/>
    <w:rsid w:val="003A067B"/>
    <w:rsid w:val="003A7EBC"/>
    <w:rsid w:val="003B5265"/>
    <w:rsid w:val="003B57BE"/>
    <w:rsid w:val="003C0929"/>
    <w:rsid w:val="003C18FC"/>
    <w:rsid w:val="003C7182"/>
    <w:rsid w:val="003D062C"/>
    <w:rsid w:val="003E71D9"/>
    <w:rsid w:val="003F4CF4"/>
    <w:rsid w:val="003F5E96"/>
    <w:rsid w:val="00402E6D"/>
    <w:rsid w:val="00404469"/>
    <w:rsid w:val="004069E3"/>
    <w:rsid w:val="004076BF"/>
    <w:rsid w:val="00412AB5"/>
    <w:rsid w:val="0041340C"/>
    <w:rsid w:val="00417B9D"/>
    <w:rsid w:val="00433D14"/>
    <w:rsid w:val="00434953"/>
    <w:rsid w:val="004355FB"/>
    <w:rsid w:val="00443DF3"/>
    <w:rsid w:val="00446F6B"/>
    <w:rsid w:val="004556A5"/>
    <w:rsid w:val="00456C39"/>
    <w:rsid w:val="00462A25"/>
    <w:rsid w:val="004668EB"/>
    <w:rsid w:val="0048197C"/>
    <w:rsid w:val="00486CE7"/>
    <w:rsid w:val="00487837"/>
    <w:rsid w:val="004A2101"/>
    <w:rsid w:val="004B0F4B"/>
    <w:rsid w:val="004C453E"/>
    <w:rsid w:val="004C47CD"/>
    <w:rsid w:val="004C52AF"/>
    <w:rsid w:val="004C5EE8"/>
    <w:rsid w:val="004C6933"/>
    <w:rsid w:val="004D7846"/>
    <w:rsid w:val="004E1272"/>
    <w:rsid w:val="004E5513"/>
    <w:rsid w:val="004E72F9"/>
    <w:rsid w:val="004F2016"/>
    <w:rsid w:val="004F4324"/>
    <w:rsid w:val="004F4536"/>
    <w:rsid w:val="00500D47"/>
    <w:rsid w:val="0050118F"/>
    <w:rsid w:val="00502D72"/>
    <w:rsid w:val="0050711B"/>
    <w:rsid w:val="00507962"/>
    <w:rsid w:val="0051017B"/>
    <w:rsid w:val="00511F38"/>
    <w:rsid w:val="005120BC"/>
    <w:rsid w:val="00512314"/>
    <w:rsid w:val="0051274C"/>
    <w:rsid w:val="005127F4"/>
    <w:rsid w:val="00517C8D"/>
    <w:rsid w:val="00521D84"/>
    <w:rsid w:val="00531917"/>
    <w:rsid w:val="0053504F"/>
    <w:rsid w:val="005363CA"/>
    <w:rsid w:val="005427A1"/>
    <w:rsid w:val="00545014"/>
    <w:rsid w:val="00545C11"/>
    <w:rsid w:val="00553475"/>
    <w:rsid w:val="00564A80"/>
    <w:rsid w:val="005834BB"/>
    <w:rsid w:val="00586FB5"/>
    <w:rsid w:val="005B7CD8"/>
    <w:rsid w:val="005D0762"/>
    <w:rsid w:val="005D2D65"/>
    <w:rsid w:val="005D626D"/>
    <w:rsid w:val="005D6F9C"/>
    <w:rsid w:val="005E69A8"/>
    <w:rsid w:val="005F1439"/>
    <w:rsid w:val="005F79F5"/>
    <w:rsid w:val="0061356E"/>
    <w:rsid w:val="00615EA5"/>
    <w:rsid w:val="00617E9D"/>
    <w:rsid w:val="0062391C"/>
    <w:rsid w:val="00625C70"/>
    <w:rsid w:val="00632B56"/>
    <w:rsid w:val="006473C9"/>
    <w:rsid w:val="00650A9A"/>
    <w:rsid w:val="00652C9E"/>
    <w:rsid w:val="00654282"/>
    <w:rsid w:val="006569A2"/>
    <w:rsid w:val="006634E5"/>
    <w:rsid w:val="0066664F"/>
    <w:rsid w:val="00672287"/>
    <w:rsid w:val="00680A2D"/>
    <w:rsid w:val="006818A9"/>
    <w:rsid w:val="00683E8D"/>
    <w:rsid w:val="00685305"/>
    <w:rsid w:val="00691F34"/>
    <w:rsid w:val="006940E0"/>
    <w:rsid w:val="006A3AD8"/>
    <w:rsid w:val="006A5EA2"/>
    <w:rsid w:val="006B2B48"/>
    <w:rsid w:val="006C06DB"/>
    <w:rsid w:val="006C397E"/>
    <w:rsid w:val="006C3F3B"/>
    <w:rsid w:val="006C4418"/>
    <w:rsid w:val="006C6C3A"/>
    <w:rsid w:val="006D2B06"/>
    <w:rsid w:val="006D3873"/>
    <w:rsid w:val="006D74BA"/>
    <w:rsid w:val="006E2577"/>
    <w:rsid w:val="006F0D18"/>
    <w:rsid w:val="006F5641"/>
    <w:rsid w:val="006F6EAB"/>
    <w:rsid w:val="007134AC"/>
    <w:rsid w:val="00714802"/>
    <w:rsid w:val="007505F9"/>
    <w:rsid w:val="00753E97"/>
    <w:rsid w:val="0075458E"/>
    <w:rsid w:val="00765264"/>
    <w:rsid w:val="00766FCA"/>
    <w:rsid w:val="00781342"/>
    <w:rsid w:val="007906DC"/>
    <w:rsid w:val="007A74C3"/>
    <w:rsid w:val="007A75CB"/>
    <w:rsid w:val="007C3882"/>
    <w:rsid w:val="007C4447"/>
    <w:rsid w:val="007C7352"/>
    <w:rsid w:val="007D1F26"/>
    <w:rsid w:val="007D336C"/>
    <w:rsid w:val="007D36D2"/>
    <w:rsid w:val="007D3EF0"/>
    <w:rsid w:val="007D7FA1"/>
    <w:rsid w:val="007F083D"/>
    <w:rsid w:val="00810CEB"/>
    <w:rsid w:val="00811D41"/>
    <w:rsid w:val="00813C08"/>
    <w:rsid w:val="00833589"/>
    <w:rsid w:val="008424EF"/>
    <w:rsid w:val="00846003"/>
    <w:rsid w:val="00846714"/>
    <w:rsid w:val="00852621"/>
    <w:rsid w:val="00853701"/>
    <w:rsid w:val="00866385"/>
    <w:rsid w:val="008668D1"/>
    <w:rsid w:val="00873D42"/>
    <w:rsid w:val="008741F8"/>
    <w:rsid w:val="0087440A"/>
    <w:rsid w:val="0088767D"/>
    <w:rsid w:val="00891052"/>
    <w:rsid w:val="00892BF7"/>
    <w:rsid w:val="008943F7"/>
    <w:rsid w:val="0089564F"/>
    <w:rsid w:val="008974E3"/>
    <w:rsid w:val="008A2869"/>
    <w:rsid w:val="008A2D4C"/>
    <w:rsid w:val="008A6384"/>
    <w:rsid w:val="008C076D"/>
    <w:rsid w:val="008C1659"/>
    <w:rsid w:val="008C2EB9"/>
    <w:rsid w:val="008F0292"/>
    <w:rsid w:val="008F2E7F"/>
    <w:rsid w:val="008F3531"/>
    <w:rsid w:val="009157F8"/>
    <w:rsid w:val="00920EE0"/>
    <w:rsid w:val="00921CDE"/>
    <w:rsid w:val="00926FF8"/>
    <w:rsid w:val="00944111"/>
    <w:rsid w:val="009506DB"/>
    <w:rsid w:val="00956C47"/>
    <w:rsid w:val="00961B04"/>
    <w:rsid w:val="00966355"/>
    <w:rsid w:val="00966B44"/>
    <w:rsid w:val="00981D7B"/>
    <w:rsid w:val="009865DF"/>
    <w:rsid w:val="00986708"/>
    <w:rsid w:val="00990289"/>
    <w:rsid w:val="00991075"/>
    <w:rsid w:val="00996C26"/>
    <w:rsid w:val="009A461F"/>
    <w:rsid w:val="009A4C77"/>
    <w:rsid w:val="009B1CBD"/>
    <w:rsid w:val="009B31A0"/>
    <w:rsid w:val="009B4636"/>
    <w:rsid w:val="009B5682"/>
    <w:rsid w:val="009C1589"/>
    <w:rsid w:val="009D2F5E"/>
    <w:rsid w:val="009D3006"/>
    <w:rsid w:val="009D45F3"/>
    <w:rsid w:val="009E4730"/>
    <w:rsid w:val="009E7856"/>
    <w:rsid w:val="009F52AF"/>
    <w:rsid w:val="00A07810"/>
    <w:rsid w:val="00A07FE7"/>
    <w:rsid w:val="00A1105F"/>
    <w:rsid w:val="00A146C5"/>
    <w:rsid w:val="00A14F2B"/>
    <w:rsid w:val="00A20B5E"/>
    <w:rsid w:val="00A239EA"/>
    <w:rsid w:val="00A24253"/>
    <w:rsid w:val="00A25E84"/>
    <w:rsid w:val="00A27A4F"/>
    <w:rsid w:val="00A45EF4"/>
    <w:rsid w:val="00A5277F"/>
    <w:rsid w:val="00A5435B"/>
    <w:rsid w:val="00A5631F"/>
    <w:rsid w:val="00A576DD"/>
    <w:rsid w:val="00A72B96"/>
    <w:rsid w:val="00A74A33"/>
    <w:rsid w:val="00A829B3"/>
    <w:rsid w:val="00A84747"/>
    <w:rsid w:val="00AA7B3C"/>
    <w:rsid w:val="00AC0AA0"/>
    <w:rsid w:val="00AC24C4"/>
    <w:rsid w:val="00AC676B"/>
    <w:rsid w:val="00AD17C6"/>
    <w:rsid w:val="00AD195D"/>
    <w:rsid w:val="00AD6C49"/>
    <w:rsid w:val="00AE3020"/>
    <w:rsid w:val="00AF2A94"/>
    <w:rsid w:val="00B128FF"/>
    <w:rsid w:val="00B1672B"/>
    <w:rsid w:val="00B17665"/>
    <w:rsid w:val="00B2308F"/>
    <w:rsid w:val="00B32A79"/>
    <w:rsid w:val="00B4640A"/>
    <w:rsid w:val="00B8445A"/>
    <w:rsid w:val="00B8523A"/>
    <w:rsid w:val="00B873DF"/>
    <w:rsid w:val="00B94C16"/>
    <w:rsid w:val="00BA3FB6"/>
    <w:rsid w:val="00BB4F55"/>
    <w:rsid w:val="00BC00D1"/>
    <w:rsid w:val="00BD4473"/>
    <w:rsid w:val="00BD48E1"/>
    <w:rsid w:val="00BD4BC4"/>
    <w:rsid w:val="00BD4FEB"/>
    <w:rsid w:val="00BE26C8"/>
    <w:rsid w:val="00BE43D9"/>
    <w:rsid w:val="00BF1B19"/>
    <w:rsid w:val="00BF520E"/>
    <w:rsid w:val="00C05009"/>
    <w:rsid w:val="00C05E76"/>
    <w:rsid w:val="00C05F71"/>
    <w:rsid w:val="00C07C20"/>
    <w:rsid w:val="00C21FB9"/>
    <w:rsid w:val="00C22347"/>
    <w:rsid w:val="00C22642"/>
    <w:rsid w:val="00C23DDB"/>
    <w:rsid w:val="00C248A2"/>
    <w:rsid w:val="00C301F4"/>
    <w:rsid w:val="00C32039"/>
    <w:rsid w:val="00C42314"/>
    <w:rsid w:val="00C4369C"/>
    <w:rsid w:val="00C44EE7"/>
    <w:rsid w:val="00C45CCC"/>
    <w:rsid w:val="00C53AF4"/>
    <w:rsid w:val="00C54AA6"/>
    <w:rsid w:val="00C57E76"/>
    <w:rsid w:val="00C60BCB"/>
    <w:rsid w:val="00C640F3"/>
    <w:rsid w:val="00C64464"/>
    <w:rsid w:val="00C76B55"/>
    <w:rsid w:val="00C7799D"/>
    <w:rsid w:val="00C80A19"/>
    <w:rsid w:val="00C8107B"/>
    <w:rsid w:val="00C832B2"/>
    <w:rsid w:val="00C846F7"/>
    <w:rsid w:val="00C910D6"/>
    <w:rsid w:val="00C92574"/>
    <w:rsid w:val="00C92D7F"/>
    <w:rsid w:val="00C94BC5"/>
    <w:rsid w:val="00CA28B1"/>
    <w:rsid w:val="00CB4782"/>
    <w:rsid w:val="00CB4C4B"/>
    <w:rsid w:val="00CB6E36"/>
    <w:rsid w:val="00CC2980"/>
    <w:rsid w:val="00CC537A"/>
    <w:rsid w:val="00CD65B2"/>
    <w:rsid w:val="00CF2BD4"/>
    <w:rsid w:val="00CF3AA3"/>
    <w:rsid w:val="00CF4BF5"/>
    <w:rsid w:val="00CF6A74"/>
    <w:rsid w:val="00D079B8"/>
    <w:rsid w:val="00D107A7"/>
    <w:rsid w:val="00D1638C"/>
    <w:rsid w:val="00D244ED"/>
    <w:rsid w:val="00D25AAC"/>
    <w:rsid w:val="00D27D0D"/>
    <w:rsid w:val="00D31837"/>
    <w:rsid w:val="00D41A75"/>
    <w:rsid w:val="00D44BE7"/>
    <w:rsid w:val="00D45751"/>
    <w:rsid w:val="00D46105"/>
    <w:rsid w:val="00D478D5"/>
    <w:rsid w:val="00D5324F"/>
    <w:rsid w:val="00D5388A"/>
    <w:rsid w:val="00D63A19"/>
    <w:rsid w:val="00D668AF"/>
    <w:rsid w:val="00D70870"/>
    <w:rsid w:val="00D7264B"/>
    <w:rsid w:val="00D76025"/>
    <w:rsid w:val="00D85F34"/>
    <w:rsid w:val="00D86DC0"/>
    <w:rsid w:val="00D87513"/>
    <w:rsid w:val="00D93E5A"/>
    <w:rsid w:val="00D94DE5"/>
    <w:rsid w:val="00D9680C"/>
    <w:rsid w:val="00DA5A62"/>
    <w:rsid w:val="00DB180A"/>
    <w:rsid w:val="00DB33C1"/>
    <w:rsid w:val="00DB471F"/>
    <w:rsid w:val="00DB7652"/>
    <w:rsid w:val="00DB7AE2"/>
    <w:rsid w:val="00DD0E30"/>
    <w:rsid w:val="00DD323B"/>
    <w:rsid w:val="00DD49D1"/>
    <w:rsid w:val="00DD5127"/>
    <w:rsid w:val="00DE0F48"/>
    <w:rsid w:val="00DE2561"/>
    <w:rsid w:val="00DE2C2A"/>
    <w:rsid w:val="00DE3C6B"/>
    <w:rsid w:val="00DF055B"/>
    <w:rsid w:val="00DF7E2B"/>
    <w:rsid w:val="00E10EF1"/>
    <w:rsid w:val="00E139FE"/>
    <w:rsid w:val="00E15287"/>
    <w:rsid w:val="00E152DD"/>
    <w:rsid w:val="00E20498"/>
    <w:rsid w:val="00E26110"/>
    <w:rsid w:val="00E46796"/>
    <w:rsid w:val="00E54DF0"/>
    <w:rsid w:val="00E56099"/>
    <w:rsid w:val="00E56A5D"/>
    <w:rsid w:val="00E6022D"/>
    <w:rsid w:val="00E6634D"/>
    <w:rsid w:val="00E72FCB"/>
    <w:rsid w:val="00E828E2"/>
    <w:rsid w:val="00E93074"/>
    <w:rsid w:val="00E93BB3"/>
    <w:rsid w:val="00E948B7"/>
    <w:rsid w:val="00EB3E00"/>
    <w:rsid w:val="00EB3E8E"/>
    <w:rsid w:val="00EB54D9"/>
    <w:rsid w:val="00EB72FA"/>
    <w:rsid w:val="00EC2FBB"/>
    <w:rsid w:val="00EC4412"/>
    <w:rsid w:val="00EC50B5"/>
    <w:rsid w:val="00ED6279"/>
    <w:rsid w:val="00ED6A9C"/>
    <w:rsid w:val="00ED6F8E"/>
    <w:rsid w:val="00EE2DB0"/>
    <w:rsid w:val="00EE47A8"/>
    <w:rsid w:val="00EF60BE"/>
    <w:rsid w:val="00EF689A"/>
    <w:rsid w:val="00EF6AD9"/>
    <w:rsid w:val="00F06651"/>
    <w:rsid w:val="00F07BDF"/>
    <w:rsid w:val="00F20DE7"/>
    <w:rsid w:val="00F21F0B"/>
    <w:rsid w:val="00F221BA"/>
    <w:rsid w:val="00F24396"/>
    <w:rsid w:val="00F26102"/>
    <w:rsid w:val="00F32616"/>
    <w:rsid w:val="00F474AB"/>
    <w:rsid w:val="00F54586"/>
    <w:rsid w:val="00F54C6A"/>
    <w:rsid w:val="00F6317F"/>
    <w:rsid w:val="00F75080"/>
    <w:rsid w:val="00F75CAC"/>
    <w:rsid w:val="00F75E95"/>
    <w:rsid w:val="00F8020E"/>
    <w:rsid w:val="00F824D0"/>
    <w:rsid w:val="00F86249"/>
    <w:rsid w:val="00F95606"/>
    <w:rsid w:val="00F961C6"/>
    <w:rsid w:val="00F97B3D"/>
    <w:rsid w:val="00FA5B13"/>
    <w:rsid w:val="00FA7587"/>
    <w:rsid w:val="00FB12DF"/>
    <w:rsid w:val="00FB7478"/>
    <w:rsid w:val="00FC3CE0"/>
    <w:rsid w:val="00FD21C3"/>
    <w:rsid w:val="00FD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3F83"/>
  <w15:docId w15:val="{6BCA8E1A-CB8C-49B6-B8CE-50FAA60D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19"/>
    <w:pPr>
      <w:spacing w:after="0" w:line="240" w:lineRule="auto"/>
    </w:pPr>
    <w:rPr>
      <w:rFonts w:ascii="Times New Roman" w:eastAsia="Times New Roman" w:hAnsi="Times New Roman" w:cs="Times New Roman"/>
      <w:sz w:val="24"/>
      <w:szCs w:val="24"/>
      <w:lang w:eastAsia="ja-JP"/>
    </w:rPr>
  </w:style>
  <w:style w:type="paragraph" w:styleId="Heading3">
    <w:name w:val="heading 3"/>
    <w:basedOn w:val="Normal"/>
    <w:link w:val="Heading3Char"/>
    <w:uiPriority w:val="9"/>
    <w:qFormat/>
    <w:rsid w:val="00487837"/>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EF0"/>
    <w:rPr>
      <w:sz w:val="16"/>
      <w:szCs w:val="16"/>
    </w:rPr>
  </w:style>
  <w:style w:type="paragraph" w:styleId="CommentText">
    <w:name w:val="annotation text"/>
    <w:basedOn w:val="Normal"/>
    <w:link w:val="CommentTextChar"/>
    <w:uiPriority w:val="99"/>
    <w:unhideWhenUsed/>
    <w:rsid w:val="007D3EF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3EF0"/>
    <w:rPr>
      <w:sz w:val="20"/>
      <w:szCs w:val="20"/>
    </w:rPr>
  </w:style>
  <w:style w:type="paragraph" w:styleId="CommentSubject">
    <w:name w:val="annotation subject"/>
    <w:basedOn w:val="CommentText"/>
    <w:next w:val="CommentText"/>
    <w:link w:val="CommentSubjectChar"/>
    <w:uiPriority w:val="99"/>
    <w:semiHidden/>
    <w:unhideWhenUsed/>
    <w:rsid w:val="007D3EF0"/>
    <w:rPr>
      <w:b/>
      <w:bCs/>
    </w:rPr>
  </w:style>
  <w:style w:type="character" w:customStyle="1" w:styleId="CommentSubjectChar">
    <w:name w:val="Comment Subject Char"/>
    <w:basedOn w:val="CommentTextChar"/>
    <w:link w:val="CommentSubject"/>
    <w:uiPriority w:val="99"/>
    <w:semiHidden/>
    <w:rsid w:val="007D3EF0"/>
    <w:rPr>
      <w:b/>
      <w:bCs/>
      <w:sz w:val="20"/>
      <w:szCs w:val="20"/>
    </w:rPr>
  </w:style>
  <w:style w:type="paragraph" w:styleId="BalloonText">
    <w:name w:val="Balloon Text"/>
    <w:basedOn w:val="Normal"/>
    <w:link w:val="BalloonTextChar"/>
    <w:uiPriority w:val="99"/>
    <w:semiHidden/>
    <w:unhideWhenUsed/>
    <w:rsid w:val="007D3EF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D3EF0"/>
    <w:rPr>
      <w:rFonts w:ascii="Segoe UI" w:hAnsi="Segoe UI" w:cs="Segoe UI"/>
      <w:sz w:val="18"/>
      <w:szCs w:val="18"/>
    </w:rPr>
  </w:style>
  <w:style w:type="paragraph" w:customStyle="1" w:styleId="EndNoteBibliography">
    <w:name w:val="EndNote Bibliography"/>
    <w:basedOn w:val="Normal"/>
    <w:link w:val="EndNoteBibliographyChar"/>
    <w:rsid w:val="00ED6F8E"/>
    <w:pPr>
      <w:spacing w:after="160"/>
    </w:pPr>
    <w:rPr>
      <w:rFonts w:ascii="Calibri" w:eastAsiaTheme="minorHAnsi" w:hAnsi="Calibri" w:cs="Calibri"/>
      <w:noProof/>
      <w:sz w:val="22"/>
      <w:szCs w:val="22"/>
      <w:lang w:eastAsia="en-US"/>
    </w:rPr>
  </w:style>
  <w:style w:type="character" w:customStyle="1" w:styleId="EndNoteBibliographyChar">
    <w:name w:val="EndNote Bibliography Char"/>
    <w:basedOn w:val="DefaultParagraphFont"/>
    <w:link w:val="EndNoteBibliography"/>
    <w:rsid w:val="00ED6F8E"/>
    <w:rPr>
      <w:rFonts w:ascii="Calibri" w:hAnsi="Calibri" w:cs="Calibri"/>
      <w:noProof/>
    </w:rPr>
  </w:style>
  <w:style w:type="paragraph" w:styleId="Header">
    <w:name w:val="header"/>
    <w:basedOn w:val="Normal"/>
    <w:link w:val="HeaderChar"/>
    <w:uiPriority w:val="99"/>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7E76"/>
  </w:style>
  <w:style w:type="paragraph" w:styleId="Footer">
    <w:name w:val="footer"/>
    <w:basedOn w:val="Normal"/>
    <w:link w:val="FooterChar"/>
    <w:uiPriority w:val="99"/>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7E76"/>
  </w:style>
  <w:style w:type="paragraph" w:styleId="NormalWeb">
    <w:name w:val="Normal (Web)"/>
    <w:basedOn w:val="Normal"/>
    <w:uiPriority w:val="99"/>
    <w:unhideWhenUsed/>
    <w:rsid w:val="003511C3"/>
    <w:pPr>
      <w:spacing w:before="100" w:beforeAutospacing="1" w:after="100" w:afterAutospacing="1"/>
    </w:pPr>
  </w:style>
  <w:style w:type="paragraph" w:styleId="Revision">
    <w:name w:val="Revision"/>
    <w:hidden/>
    <w:uiPriority w:val="99"/>
    <w:semiHidden/>
    <w:rsid w:val="00654282"/>
    <w:pPr>
      <w:spacing w:after="0" w:line="240" w:lineRule="auto"/>
    </w:pPr>
  </w:style>
  <w:style w:type="character" w:styleId="Hyperlink">
    <w:name w:val="Hyperlink"/>
    <w:basedOn w:val="DefaultParagraphFont"/>
    <w:uiPriority w:val="99"/>
    <w:unhideWhenUsed/>
    <w:rsid w:val="00EF689A"/>
    <w:rPr>
      <w:color w:val="0563C1" w:themeColor="hyperlink"/>
      <w:u w:val="single"/>
    </w:rPr>
  </w:style>
  <w:style w:type="character" w:customStyle="1" w:styleId="Heading3Char">
    <w:name w:val="Heading 3 Char"/>
    <w:basedOn w:val="DefaultParagraphFont"/>
    <w:link w:val="Heading3"/>
    <w:uiPriority w:val="9"/>
    <w:rsid w:val="00487837"/>
    <w:rPr>
      <w:rFonts w:ascii="Times New Roman" w:eastAsia="Times New Roman" w:hAnsi="Times New Roman" w:cs="Times New Roman"/>
      <w:b/>
      <w:bCs/>
      <w:sz w:val="27"/>
      <w:szCs w:val="27"/>
    </w:rPr>
  </w:style>
  <w:style w:type="paragraph" w:styleId="ListParagraph">
    <w:name w:val="List Paragraph"/>
    <w:basedOn w:val="Normal"/>
    <w:uiPriority w:val="34"/>
    <w:qFormat/>
    <w:rsid w:val="008C1659"/>
    <w:pPr>
      <w:ind w:left="720"/>
      <w:contextualSpacing/>
    </w:pPr>
  </w:style>
  <w:style w:type="character" w:styleId="Strong">
    <w:name w:val="Strong"/>
    <w:basedOn w:val="DefaultParagraphFont"/>
    <w:uiPriority w:val="22"/>
    <w:qFormat/>
    <w:rsid w:val="007D36D2"/>
    <w:rPr>
      <w:b/>
      <w:bCs/>
    </w:rPr>
  </w:style>
  <w:style w:type="paragraph" w:styleId="PlainText">
    <w:name w:val="Plain Text"/>
    <w:basedOn w:val="Normal"/>
    <w:link w:val="PlainTextChar"/>
    <w:uiPriority w:val="99"/>
    <w:unhideWhenUsed/>
    <w:rsid w:val="00C23DD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23DDB"/>
    <w:rPr>
      <w:rFonts w:ascii="Calibri" w:hAnsi="Calibri"/>
      <w:szCs w:val="21"/>
    </w:rPr>
  </w:style>
  <w:style w:type="character" w:customStyle="1" w:styleId="UnresolvedMention1">
    <w:name w:val="Unresolved Mention1"/>
    <w:basedOn w:val="DefaultParagraphFont"/>
    <w:uiPriority w:val="99"/>
    <w:semiHidden/>
    <w:unhideWhenUsed/>
    <w:rsid w:val="00D31837"/>
    <w:rPr>
      <w:color w:val="605E5C"/>
      <w:shd w:val="clear" w:color="auto" w:fill="E1DFDD"/>
    </w:rPr>
  </w:style>
  <w:style w:type="character" w:styleId="LineNumber">
    <w:name w:val="line number"/>
    <w:basedOn w:val="DefaultParagraphFont"/>
    <w:uiPriority w:val="99"/>
    <w:semiHidden/>
    <w:unhideWhenUsed/>
    <w:rsid w:val="00D93E5A"/>
  </w:style>
  <w:style w:type="character" w:customStyle="1" w:styleId="ref-vol">
    <w:name w:val="ref-vol"/>
    <w:basedOn w:val="DefaultParagraphFont"/>
    <w:rsid w:val="009D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603">
      <w:bodyDiv w:val="1"/>
      <w:marLeft w:val="0"/>
      <w:marRight w:val="0"/>
      <w:marTop w:val="0"/>
      <w:marBottom w:val="0"/>
      <w:divBdr>
        <w:top w:val="none" w:sz="0" w:space="0" w:color="auto"/>
        <w:left w:val="none" w:sz="0" w:space="0" w:color="auto"/>
        <w:bottom w:val="none" w:sz="0" w:space="0" w:color="auto"/>
        <w:right w:val="none" w:sz="0" w:space="0" w:color="auto"/>
      </w:divBdr>
    </w:div>
    <w:div w:id="183903412">
      <w:bodyDiv w:val="1"/>
      <w:marLeft w:val="0"/>
      <w:marRight w:val="0"/>
      <w:marTop w:val="0"/>
      <w:marBottom w:val="0"/>
      <w:divBdr>
        <w:top w:val="none" w:sz="0" w:space="0" w:color="auto"/>
        <w:left w:val="none" w:sz="0" w:space="0" w:color="auto"/>
        <w:bottom w:val="none" w:sz="0" w:space="0" w:color="auto"/>
        <w:right w:val="none" w:sz="0" w:space="0" w:color="auto"/>
      </w:divBdr>
    </w:div>
    <w:div w:id="235435300">
      <w:bodyDiv w:val="1"/>
      <w:marLeft w:val="0"/>
      <w:marRight w:val="0"/>
      <w:marTop w:val="0"/>
      <w:marBottom w:val="0"/>
      <w:divBdr>
        <w:top w:val="none" w:sz="0" w:space="0" w:color="auto"/>
        <w:left w:val="none" w:sz="0" w:space="0" w:color="auto"/>
        <w:bottom w:val="none" w:sz="0" w:space="0" w:color="auto"/>
        <w:right w:val="none" w:sz="0" w:space="0" w:color="auto"/>
      </w:divBdr>
    </w:div>
    <w:div w:id="284120917">
      <w:bodyDiv w:val="1"/>
      <w:marLeft w:val="0"/>
      <w:marRight w:val="0"/>
      <w:marTop w:val="0"/>
      <w:marBottom w:val="0"/>
      <w:divBdr>
        <w:top w:val="none" w:sz="0" w:space="0" w:color="auto"/>
        <w:left w:val="none" w:sz="0" w:space="0" w:color="auto"/>
        <w:bottom w:val="none" w:sz="0" w:space="0" w:color="auto"/>
        <w:right w:val="none" w:sz="0" w:space="0" w:color="auto"/>
      </w:divBdr>
    </w:div>
    <w:div w:id="449129332">
      <w:bodyDiv w:val="1"/>
      <w:marLeft w:val="0"/>
      <w:marRight w:val="0"/>
      <w:marTop w:val="0"/>
      <w:marBottom w:val="0"/>
      <w:divBdr>
        <w:top w:val="none" w:sz="0" w:space="0" w:color="auto"/>
        <w:left w:val="none" w:sz="0" w:space="0" w:color="auto"/>
        <w:bottom w:val="none" w:sz="0" w:space="0" w:color="auto"/>
        <w:right w:val="none" w:sz="0" w:space="0" w:color="auto"/>
      </w:divBdr>
    </w:div>
    <w:div w:id="748817316">
      <w:bodyDiv w:val="1"/>
      <w:marLeft w:val="0"/>
      <w:marRight w:val="0"/>
      <w:marTop w:val="0"/>
      <w:marBottom w:val="0"/>
      <w:divBdr>
        <w:top w:val="none" w:sz="0" w:space="0" w:color="auto"/>
        <w:left w:val="none" w:sz="0" w:space="0" w:color="auto"/>
        <w:bottom w:val="none" w:sz="0" w:space="0" w:color="auto"/>
        <w:right w:val="none" w:sz="0" w:space="0" w:color="auto"/>
      </w:divBdr>
    </w:div>
    <w:div w:id="771322880">
      <w:bodyDiv w:val="1"/>
      <w:marLeft w:val="0"/>
      <w:marRight w:val="0"/>
      <w:marTop w:val="0"/>
      <w:marBottom w:val="0"/>
      <w:divBdr>
        <w:top w:val="none" w:sz="0" w:space="0" w:color="auto"/>
        <w:left w:val="none" w:sz="0" w:space="0" w:color="auto"/>
        <w:bottom w:val="none" w:sz="0" w:space="0" w:color="auto"/>
        <w:right w:val="none" w:sz="0" w:space="0" w:color="auto"/>
      </w:divBdr>
    </w:div>
    <w:div w:id="958217108">
      <w:bodyDiv w:val="1"/>
      <w:marLeft w:val="0"/>
      <w:marRight w:val="0"/>
      <w:marTop w:val="0"/>
      <w:marBottom w:val="0"/>
      <w:divBdr>
        <w:top w:val="none" w:sz="0" w:space="0" w:color="auto"/>
        <w:left w:val="none" w:sz="0" w:space="0" w:color="auto"/>
        <w:bottom w:val="none" w:sz="0" w:space="0" w:color="auto"/>
        <w:right w:val="none" w:sz="0" w:space="0" w:color="auto"/>
      </w:divBdr>
    </w:div>
    <w:div w:id="991254128">
      <w:bodyDiv w:val="1"/>
      <w:marLeft w:val="0"/>
      <w:marRight w:val="0"/>
      <w:marTop w:val="0"/>
      <w:marBottom w:val="0"/>
      <w:divBdr>
        <w:top w:val="none" w:sz="0" w:space="0" w:color="auto"/>
        <w:left w:val="none" w:sz="0" w:space="0" w:color="auto"/>
        <w:bottom w:val="none" w:sz="0" w:space="0" w:color="auto"/>
        <w:right w:val="none" w:sz="0" w:space="0" w:color="auto"/>
      </w:divBdr>
    </w:div>
    <w:div w:id="1025593891">
      <w:bodyDiv w:val="1"/>
      <w:marLeft w:val="0"/>
      <w:marRight w:val="0"/>
      <w:marTop w:val="0"/>
      <w:marBottom w:val="0"/>
      <w:divBdr>
        <w:top w:val="none" w:sz="0" w:space="0" w:color="auto"/>
        <w:left w:val="none" w:sz="0" w:space="0" w:color="auto"/>
        <w:bottom w:val="none" w:sz="0" w:space="0" w:color="auto"/>
        <w:right w:val="none" w:sz="0" w:space="0" w:color="auto"/>
      </w:divBdr>
    </w:div>
    <w:div w:id="1100830165">
      <w:bodyDiv w:val="1"/>
      <w:marLeft w:val="0"/>
      <w:marRight w:val="0"/>
      <w:marTop w:val="0"/>
      <w:marBottom w:val="0"/>
      <w:divBdr>
        <w:top w:val="none" w:sz="0" w:space="0" w:color="auto"/>
        <w:left w:val="none" w:sz="0" w:space="0" w:color="auto"/>
        <w:bottom w:val="none" w:sz="0" w:space="0" w:color="auto"/>
        <w:right w:val="none" w:sz="0" w:space="0" w:color="auto"/>
      </w:divBdr>
    </w:div>
    <w:div w:id="1165434932">
      <w:bodyDiv w:val="1"/>
      <w:marLeft w:val="0"/>
      <w:marRight w:val="0"/>
      <w:marTop w:val="0"/>
      <w:marBottom w:val="0"/>
      <w:divBdr>
        <w:top w:val="none" w:sz="0" w:space="0" w:color="auto"/>
        <w:left w:val="none" w:sz="0" w:space="0" w:color="auto"/>
        <w:bottom w:val="none" w:sz="0" w:space="0" w:color="auto"/>
        <w:right w:val="none" w:sz="0" w:space="0" w:color="auto"/>
      </w:divBdr>
    </w:div>
    <w:div w:id="1260988052">
      <w:bodyDiv w:val="1"/>
      <w:marLeft w:val="0"/>
      <w:marRight w:val="0"/>
      <w:marTop w:val="0"/>
      <w:marBottom w:val="0"/>
      <w:divBdr>
        <w:top w:val="none" w:sz="0" w:space="0" w:color="auto"/>
        <w:left w:val="none" w:sz="0" w:space="0" w:color="auto"/>
        <w:bottom w:val="none" w:sz="0" w:space="0" w:color="auto"/>
        <w:right w:val="none" w:sz="0" w:space="0" w:color="auto"/>
      </w:divBdr>
    </w:div>
    <w:div w:id="1334449829">
      <w:bodyDiv w:val="1"/>
      <w:marLeft w:val="0"/>
      <w:marRight w:val="0"/>
      <w:marTop w:val="0"/>
      <w:marBottom w:val="0"/>
      <w:divBdr>
        <w:top w:val="none" w:sz="0" w:space="0" w:color="auto"/>
        <w:left w:val="none" w:sz="0" w:space="0" w:color="auto"/>
        <w:bottom w:val="none" w:sz="0" w:space="0" w:color="auto"/>
        <w:right w:val="none" w:sz="0" w:space="0" w:color="auto"/>
      </w:divBdr>
    </w:div>
    <w:div w:id="1445072854">
      <w:bodyDiv w:val="1"/>
      <w:marLeft w:val="0"/>
      <w:marRight w:val="0"/>
      <w:marTop w:val="0"/>
      <w:marBottom w:val="0"/>
      <w:divBdr>
        <w:top w:val="none" w:sz="0" w:space="0" w:color="auto"/>
        <w:left w:val="none" w:sz="0" w:space="0" w:color="auto"/>
        <w:bottom w:val="none" w:sz="0" w:space="0" w:color="auto"/>
        <w:right w:val="none" w:sz="0" w:space="0" w:color="auto"/>
      </w:divBdr>
    </w:div>
    <w:div w:id="1695499514">
      <w:bodyDiv w:val="1"/>
      <w:marLeft w:val="0"/>
      <w:marRight w:val="0"/>
      <w:marTop w:val="0"/>
      <w:marBottom w:val="0"/>
      <w:divBdr>
        <w:top w:val="none" w:sz="0" w:space="0" w:color="auto"/>
        <w:left w:val="none" w:sz="0" w:space="0" w:color="auto"/>
        <w:bottom w:val="none" w:sz="0" w:space="0" w:color="auto"/>
        <w:right w:val="none" w:sz="0" w:space="0" w:color="auto"/>
      </w:divBdr>
    </w:div>
    <w:div w:id="1735011459">
      <w:bodyDiv w:val="1"/>
      <w:marLeft w:val="0"/>
      <w:marRight w:val="0"/>
      <w:marTop w:val="0"/>
      <w:marBottom w:val="0"/>
      <w:divBdr>
        <w:top w:val="none" w:sz="0" w:space="0" w:color="auto"/>
        <w:left w:val="none" w:sz="0" w:space="0" w:color="auto"/>
        <w:bottom w:val="none" w:sz="0" w:space="0" w:color="auto"/>
        <w:right w:val="none" w:sz="0" w:space="0" w:color="auto"/>
      </w:divBdr>
    </w:div>
    <w:div w:id="1740517876">
      <w:bodyDiv w:val="1"/>
      <w:marLeft w:val="0"/>
      <w:marRight w:val="0"/>
      <w:marTop w:val="0"/>
      <w:marBottom w:val="0"/>
      <w:divBdr>
        <w:top w:val="none" w:sz="0" w:space="0" w:color="auto"/>
        <w:left w:val="none" w:sz="0" w:space="0" w:color="auto"/>
        <w:bottom w:val="none" w:sz="0" w:space="0" w:color="auto"/>
        <w:right w:val="none" w:sz="0" w:space="0" w:color="auto"/>
      </w:divBdr>
    </w:div>
    <w:div w:id="1816533473">
      <w:bodyDiv w:val="1"/>
      <w:marLeft w:val="0"/>
      <w:marRight w:val="0"/>
      <w:marTop w:val="0"/>
      <w:marBottom w:val="0"/>
      <w:divBdr>
        <w:top w:val="none" w:sz="0" w:space="0" w:color="auto"/>
        <w:left w:val="none" w:sz="0" w:space="0" w:color="auto"/>
        <w:bottom w:val="none" w:sz="0" w:space="0" w:color="auto"/>
        <w:right w:val="none" w:sz="0" w:space="0" w:color="auto"/>
      </w:divBdr>
    </w:div>
    <w:div w:id="19315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ACT_Randomized_Controlled_Tr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249/01.MSS.0000078923.96621.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DF3A-EC60-4745-A747-248A592F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14341</Words>
  <Characters>81745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Partnership Health Center</Company>
  <LinksUpToDate>false</LinksUpToDate>
  <CharactersWithSpaces>95895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Levin</dc:creator>
  <cp:lastModifiedBy>Michael Levin</cp:lastModifiedBy>
  <cp:revision>2</cp:revision>
  <dcterms:created xsi:type="dcterms:W3CDTF">2020-10-29T15:00:00Z</dcterms:created>
  <dcterms:modified xsi:type="dcterms:W3CDTF">2020-10-29T15:00:00Z</dcterms:modified>
</cp:coreProperties>
</file>