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567F9" w14:textId="2F02A209" w:rsidR="00EB3E00" w:rsidRDefault="00EB3E00" w:rsidP="0087440A">
      <w:pPr>
        <w:spacing w:line="480" w:lineRule="auto"/>
        <w:rPr>
          <w:b/>
          <w:bCs/>
        </w:rPr>
      </w:pPr>
    </w:p>
    <w:p w14:paraId="130F0060" w14:textId="418E12D4" w:rsidR="00EB3E00" w:rsidRDefault="00EB3E00" w:rsidP="0087440A">
      <w:pPr>
        <w:spacing w:line="480" w:lineRule="auto"/>
        <w:rPr>
          <w:b/>
          <w:bCs/>
        </w:rPr>
      </w:pPr>
    </w:p>
    <w:p w14:paraId="02753273" w14:textId="7A20B283" w:rsidR="00EB3E00" w:rsidRDefault="00EB3E00" w:rsidP="0087440A">
      <w:pPr>
        <w:spacing w:line="480" w:lineRule="auto"/>
      </w:pPr>
    </w:p>
    <w:p w14:paraId="499B9173" w14:textId="77777777" w:rsidR="007B2132" w:rsidRPr="004A375A" w:rsidRDefault="007B2132" w:rsidP="007B2132">
      <w:pPr>
        <w:spacing w:line="480" w:lineRule="auto"/>
        <w:jc w:val="center"/>
        <w:rPr>
          <w:b/>
          <w:bCs/>
        </w:rPr>
      </w:pPr>
      <w:r>
        <w:rPr>
          <w:b/>
          <w:bCs/>
        </w:rPr>
        <w:t>Processes of Change in Online Acceptance and Commitment Therapy for Hoarding</w:t>
      </w:r>
    </w:p>
    <w:p w14:paraId="167390AC" w14:textId="77777777" w:rsidR="0053504F" w:rsidRDefault="0053504F" w:rsidP="007F083D">
      <w:pPr>
        <w:spacing w:line="480" w:lineRule="auto"/>
      </w:pPr>
    </w:p>
    <w:p w14:paraId="34687156" w14:textId="77777777" w:rsidR="00AC0E66" w:rsidRPr="009A65E6" w:rsidRDefault="00AC0E66" w:rsidP="00AC0E66">
      <w:pPr>
        <w:spacing w:line="480" w:lineRule="auto"/>
        <w:jc w:val="center"/>
      </w:pPr>
      <w:r>
        <w:t>Jennifer Krafft</w:t>
      </w:r>
      <w:r>
        <w:rPr>
          <w:vertAlign w:val="superscript"/>
        </w:rPr>
        <w:t>1,2</w:t>
      </w:r>
      <w:r>
        <w:t>*, Julie M. Petersen</w:t>
      </w:r>
      <w:r>
        <w:rPr>
          <w:vertAlign w:val="superscript"/>
        </w:rPr>
        <w:t>1</w:t>
      </w:r>
      <w:r>
        <w:t>, Clarissa W. Ong</w:t>
      </w:r>
      <w:r>
        <w:rPr>
          <w:vertAlign w:val="superscript"/>
        </w:rPr>
        <w:t>1,3</w:t>
      </w:r>
      <w:r>
        <w:t>, Michael P. Twohig</w:t>
      </w:r>
      <w:r>
        <w:rPr>
          <w:vertAlign w:val="superscript"/>
        </w:rPr>
        <w:t>1</w:t>
      </w:r>
      <w:r>
        <w:t xml:space="preserve"> and Michael E. Levin</w:t>
      </w:r>
      <w:r>
        <w:rPr>
          <w:vertAlign w:val="superscript"/>
        </w:rPr>
        <w:t>1</w:t>
      </w:r>
    </w:p>
    <w:p w14:paraId="25D0C91C" w14:textId="77777777" w:rsidR="00AC0E66" w:rsidRDefault="00AC0E66" w:rsidP="00AC0E66">
      <w:pPr>
        <w:spacing w:line="480" w:lineRule="auto"/>
        <w:jc w:val="center"/>
      </w:pPr>
      <w:r w:rsidRPr="002D6691">
        <w:rPr>
          <w:vertAlign w:val="superscript"/>
        </w:rPr>
        <w:t>1</w:t>
      </w:r>
      <w:r>
        <w:t>Department of Psychology, Utah State University, Logan, UT, United States of America</w:t>
      </w:r>
    </w:p>
    <w:p w14:paraId="55BFFAFB" w14:textId="77777777" w:rsidR="00AC0E66" w:rsidRDefault="00AC0E66" w:rsidP="00AC0E66">
      <w:pPr>
        <w:spacing w:line="480" w:lineRule="auto"/>
        <w:jc w:val="center"/>
      </w:pPr>
      <w:r>
        <w:rPr>
          <w:vertAlign w:val="superscript"/>
        </w:rPr>
        <w:t>2</w:t>
      </w:r>
      <w:r>
        <w:t>Department of Psychology, Mississippi State University, Starkville, MS, United States of America</w:t>
      </w:r>
    </w:p>
    <w:p w14:paraId="410C57C9" w14:textId="77777777" w:rsidR="00AC0E66" w:rsidRPr="00CB53F5" w:rsidRDefault="00AC0E66" w:rsidP="00AC0E66">
      <w:pPr>
        <w:spacing w:line="480" w:lineRule="auto"/>
        <w:jc w:val="center"/>
      </w:pPr>
      <w:r>
        <w:rPr>
          <w:vertAlign w:val="superscript"/>
        </w:rPr>
        <w:t>3</w:t>
      </w:r>
      <w:r>
        <w:t>Department of Psychology, University of Toledo, Toledo, OH, United States of America</w:t>
      </w:r>
    </w:p>
    <w:p w14:paraId="11908361" w14:textId="77777777" w:rsidR="00AC0E66" w:rsidRDefault="00AC0E66" w:rsidP="00AC0E66">
      <w:pPr>
        <w:spacing w:line="480" w:lineRule="auto"/>
        <w:jc w:val="center"/>
      </w:pPr>
      <w:r>
        <w:t>*Corresponding author</w:t>
      </w:r>
    </w:p>
    <w:p w14:paraId="700CCD0B" w14:textId="77777777" w:rsidR="00AC0E66" w:rsidRDefault="00AC0E66" w:rsidP="00AC0E66">
      <w:pPr>
        <w:spacing w:line="480" w:lineRule="auto"/>
      </w:pPr>
    </w:p>
    <w:p w14:paraId="362310AA" w14:textId="77777777" w:rsidR="00AC0E66" w:rsidRDefault="00AC0E66" w:rsidP="00AC0E66">
      <w:pPr>
        <w:spacing w:line="480" w:lineRule="auto"/>
      </w:pPr>
    </w:p>
    <w:p w14:paraId="7A43125C" w14:textId="77777777" w:rsidR="00AC0E66" w:rsidRPr="008F70F3" w:rsidRDefault="00AC0E66" w:rsidP="00AC0E66">
      <w:pPr>
        <w:jc w:val="center"/>
        <w:rPr>
          <w:b/>
          <w:bCs/>
        </w:rPr>
      </w:pPr>
      <w:r>
        <w:rPr>
          <w:b/>
          <w:bCs/>
        </w:rPr>
        <w:t>Author Note</w:t>
      </w:r>
    </w:p>
    <w:p w14:paraId="7A2453FF" w14:textId="77777777" w:rsidR="00AC0E66" w:rsidRDefault="00AC0E66" w:rsidP="00AC0E66">
      <w:pPr>
        <w:rPr>
          <w:color w:val="000000" w:themeColor="text1"/>
        </w:rPr>
      </w:pPr>
      <w:r w:rsidRPr="00FD6A4F">
        <w:rPr>
          <w:color w:val="000000" w:themeColor="text1"/>
        </w:rPr>
        <w:tab/>
        <w:t>This study received funding from the Utah State University Graduate Research and Creative Opportunities Grant, the Utah State University Emma Eccles Jones College of Education and Human Services, and the Utah State University Department of Psychology.</w:t>
      </w:r>
      <w:r>
        <w:rPr>
          <w:color w:val="000000" w:themeColor="text1"/>
        </w:rPr>
        <w:t xml:space="preserve"> </w:t>
      </w:r>
      <w:r w:rsidRPr="000166AF">
        <w:rPr>
          <w:color w:val="000000" w:themeColor="text1"/>
        </w:rPr>
        <w:t>Sponsors had no role in study design, data collection or analysis, or manuscript preparation.</w:t>
      </w:r>
      <w:r>
        <w:rPr>
          <w:color w:val="000000" w:themeColor="text1"/>
        </w:rPr>
        <w:t xml:space="preserve"> </w:t>
      </w:r>
    </w:p>
    <w:p w14:paraId="5EB75226" w14:textId="77777777" w:rsidR="00AC0E66" w:rsidRPr="00761454" w:rsidRDefault="00AC0E66" w:rsidP="00AC0E66">
      <w:r>
        <w:tab/>
      </w:r>
      <w:r w:rsidRPr="00FD6A4F">
        <w:rPr>
          <w:color w:val="000000" w:themeColor="text1"/>
        </w:rPr>
        <w:t xml:space="preserve">Correspondence concerning this article should be addressed to Jennifer Krafft, Department of Psychology, </w:t>
      </w:r>
      <w:r>
        <w:t>110 Magruder Hall, 255 Lee Blvd, Mississippi State, MS 39762</w:t>
      </w:r>
      <w:r w:rsidRPr="00FD6A4F">
        <w:rPr>
          <w:color w:val="000000" w:themeColor="text1"/>
        </w:rPr>
        <w:t xml:space="preserve">. Email: </w:t>
      </w:r>
      <w:hyperlink r:id="rId8" w:history="1">
        <w:r w:rsidRPr="00686C4C">
          <w:rPr>
            <w:rStyle w:val="Hyperlink"/>
          </w:rPr>
          <w:t>jek299@msstate.edu</w:t>
        </w:r>
      </w:hyperlink>
      <w:r>
        <w:rPr>
          <w:color w:val="000000" w:themeColor="text1"/>
        </w:rPr>
        <w:t>. Data is available upon reasonable request.</w:t>
      </w:r>
    </w:p>
    <w:p w14:paraId="27C92072" w14:textId="77777777" w:rsidR="002D6691" w:rsidRDefault="002D6691" w:rsidP="002D6691">
      <w:pPr>
        <w:spacing w:line="480" w:lineRule="auto"/>
      </w:pPr>
    </w:p>
    <w:p w14:paraId="72FEB16F" w14:textId="4087A873" w:rsidR="0087440A" w:rsidRDefault="0087440A" w:rsidP="007F083D">
      <w:pPr>
        <w:pStyle w:val="ListParagraph"/>
        <w:autoSpaceDE w:val="0"/>
        <w:autoSpaceDN w:val="0"/>
        <w:adjustRightInd w:val="0"/>
        <w:spacing w:line="480" w:lineRule="auto"/>
      </w:pPr>
    </w:p>
    <w:p w14:paraId="77D2A6CA" w14:textId="77777777" w:rsidR="006077EE" w:rsidRDefault="006077EE">
      <w:pPr>
        <w:spacing w:after="160" w:line="259" w:lineRule="auto"/>
        <w:rPr>
          <w:b/>
        </w:rPr>
      </w:pPr>
      <w:r>
        <w:rPr>
          <w:b/>
        </w:rPr>
        <w:br w:type="page"/>
      </w:r>
    </w:p>
    <w:p w14:paraId="186D5757" w14:textId="21027F19" w:rsidR="00C910D6" w:rsidRPr="00C57E76" w:rsidRDefault="00C910D6" w:rsidP="00C57E76">
      <w:pPr>
        <w:widowControl w:val="0"/>
        <w:spacing w:line="480" w:lineRule="auto"/>
        <w:jc w:val="center"/>
        <w:rPr>
          <w:b/>
        </w:rPr>
      </w:pPr>
      <w:r w:rsidRPr="00C57E76">
        <w:rPr>
          <w:b/>
        </w:rPr>
        <w:lastRenderedPageBreak/>
        <w:t>Abstract</w:t>
      </w:r>
    </w:p>
    <w:p w14:paraId="5EFE2BE2" w14:textId="321BB622" w:rsidR="007B2132" w:rsidRDefault="007B2132" w:rsidP="007B2132">
      <w:pPr>
        <w:widowControl w:val="0"/>
        <w:spacing w:line="480" w:lineRule="auto"/>
      </w:pPr>
      <w:r>
        <w:t xml:space="preserve">Initial research suggests that acceptance and commitment therapy (ACT) is efficacious in treating hoarding problems, but processes of change in ACT for hoarding are unclear. Thus, we investigated potential mediators and moderators in a randomized waitlist-controlled trial (n = 73) of web-based ACT for U.S. adults with clinically significant hoarding problems. Hoarding severity was significantly correlated with hoarding-related psychological inflexibility </w:t>
      </w:r>
      <w:r>
        <w:rPr>
          <w:bCs/>
        </w:rPr>
        <w:t>(</w:t>
      </w:r>
      <w:r>
        <w:rPr>
          <w:bCs/>
          <w:i/>
          <w:iCs/>
        </w:rPr>
        <w:t>r</w:t>
      </w:r>
      <w:r>
        <w:rPr>
          <w:bCs/>
        </w:rPr>
        <w:t xml:space="preserve"> = .52, </w:t>
      </w:r>
      <w:r>
        <w:rPr>
          <w:bCs/>
          <w:i/>
          <w:iCs/>
        </w:rPr>
        <w:t>p</w:t>
      </w:r>
      <w:r>
        <w:rPr>
          <w:bCs/>
        </w:rPr>
        <w:t xml:space="preserve"> &lt; .01)</w:t>
      </w:r>
      <w:r>
        <w:t xml:space="preserve">, mindful awareness </w:t>
      </w:r>
      <w:r>
        <w:rPr>
          <w:bCs/>
        </w:rPr>
        <w:t>(</w:t>
      </w:r>
      <w:r>
        <w:rPr>
          <w:bCs/>
          <w:i/>
          <w:iCs/>
        </w:rPr>
        <w:t>r</w:t>
      </w:r>
      <w:r>
        <w:rPr>
          <w:bCs/>
        </w:rPr>
        <w:t xml:space="preserve"> = -0.40, </w:t>
      </w:r>
      <w:r>
        <w:rPr>
          <w:bCs/>
          <w:i/>
          <w:iCs/>
        </w:rPr>
        <w:t>p</w:t>
      </w:r>
      <w:r>
        <w:rPr>
          <w:bCs/>
        </w:rPr>
        <w:t xml:space="preserve"> &lt; .01)</w:t>
      </w:r>
      <w:r>
        <w:t xml:space="preserve">, and beliefs that people with hoarding disorder are different from others </w:t>
      </w:r>
      <w:r>
        <w:rPr>
          <w:bCs/>
        </w:rPr>
        <w:t>(</w:t>
      </w:r>
      <w:r>
        <w:rPr>
          <w:bCs/>
          <w:i/>
          <w:iCs/>
        </w:rPr>
        <w:t>r</w:t>
      </w:r>
      <w:r>
        <w:rPr>
          <w:bCs/>
        </w:rPr>
        <w:t xml:space="preserve"> = .31, </w:t>
      </w:r>
      <w:r>
        <w:rPr>
          <w:bCs/>
          <w:i/>
          <w:iCs/>
        </w:rPr>
        <w:t>p</w:t>
      </w:r>
      <w:r>
        <w:rPr>
          <w:bCs/>
        </w:rPr>
        <w:t xml:space="preserve"> &lt; .01)</w:t>
      </w:r>
      <w:r>
        <w:t>. Effects of ACT were not significantly moderated by age, gender, or baseline hoarding-related psychological inflexibility. Longitudinal mediation analyses did not support mediation by hypothesized processes. However, the effect of condition on hoarding severity at follow-up was significantly mediated by hoarding-related psychological inflexibility at follow-up (</w:t>
      </w:r>
      <w:r>
        <w:rPr>
          <w:i/>
          <w:iCs/>
        </w:rPr>
        <w:t>ab</w:t>
      </w:r>
      <w:r>
        <w:t xml:space="preserve"> = -0.41 [95% CI: -0.85, -0.01]), and change in hoarding-related psychological inflexibility </w:t>
      </w:r>
      <w:r>
        <w:rPr>
          <w:bCs/>
        </w:rPr>
        <w:t>(</w:t>
      </w:r>
      <w:r>
        <w:rPr>
          <w:bCs/>
          <w:i/>
          <w:iCs/>
        </w:rPr>
        <w:t>r</w:t>
      </w:r>
      <w:r>
        <w:rPr>
          <w:bCs/>
        </w:rPr>
        <w:t xml:space="preserve"> = .73, </w:t>
      </w:r>
      <w:r>
        <w:rPr>
          <w:bCs/>
          <w:i/>
          <w:iCs/>
        </w:rPr>
        <w:t>p</w:t>
      </w:r>
      <w:r>
        <w:rPr>
          <w:bCs/>
        </w:rPr>
        <w:t xml:space="preserve"> &lt; .01) </w:t>
      </w:r>
      <w:r>
        <w:t xml:space="preserve">and mindful awareness </w:t>
      </w:r>
      <w:r>
        <w:rPr>
          <w:bCs/>
        </w:rPr>
        <w:t>(</w:t>
      </w:r>
      <w:r>
        <w:rPr>
          <w:bCs/>
          <w:i/>
          <w:iCs/>
        </w:rPr>
        <w:t>r</w:t>
      </w:r>
      <w:r>
        <w:rPr>
          <w:bCs/>
        </w:rPr>
        <w:t xml:space="preserve"> = -.69, </w:t>
      </w:r>
      <w:r>
        <w:rPr>
          <w:bCs/>
          <w:i/>
          <w:iCs/>
        </w:rPr>
        <w:t>p</w:t>
      </w:r>
      <w:r>
        <w:rPr>
          <w:bCs/>
        </w:rPr>
        <w:t xml:space="preserve"> &lt; .01)</w:t>
      </w:r>
      <w:r>
        <w:t xml:space="preserve"> was correlated with change in hoarding symptoms over time. Overall, our results suggest that psychological </w:t>
      </w:r>
      <w:r w:rsidR="001B06D7">
        <w:t>in</w:t>
      </w:r>
      <w:r>
        <w:t>flexibility</w:t>
      </w:r>
      <w:r w:rsidR="00A642DC">
        <w:t xml:space="preserve">, </w:t>
      </w:r>
      <w:r>
        <w:t>self-stigma</w:t>
      </w:r>
      <w:r w:rsidR="00A642DC">
        <w:t>, and mindful awareness</w:t>
      </w:r>
      <w:r>
        <w:t xml:space="preserve"> are indeed related to hoarding symptoms, but we cannot conclude that they underly the effects of ACT for hoarding. Limitations include a predominantly White and female sample.</w:t>
      </w:r>
    </w:p>
    <w:p w14:paraId="53CB3FA4" w14:textId="5063F7F8" w:rsidR="00C910D6" w:rsidRPr="0087440A" w:rsidRDefault="00C57E76" w:rsidP="00C57E76">
      <w:pPr>
        <w:widowControl w:val="0"/>
        <w:spacing w:line="480" w:lineRule="auto"/>
        <w:ind w:firstLine="720"/>
      </w:pPr>
      <w:r>
        <w:rPr>
          <w:i/>
        </w:rPr>
        <w:t xml:space="preserve">Keywords: </w:t>
      </w:r>
      <w:r w:rsidR="00583C12">
        <w:rPr>
          <w:i/>
        </w:rPr>
        <w:t>mediation; moderation</w:t>
      </w:r>
      <w:r w:rsidR="001419BF">
        <w:rPr>
          <w:i/>
        </w:rPr>
        <w:t>; hoarding disorder; mHealth; psychological flexibility; mindfulness</w:t>
      </w:r>
    </w:p>
    <w:p w14:paraId="5E295381" w14:textId="77777777" w:rsidR="006077EE" w:rsidRDefault="006077EE">
      <w:pPr>
        <w:spacing w:after="160" w:line="259" w:lineRule="auto"/>
        <w:rPr>
          <w:b/>
          <w:bCs/>
        </w:rPr>
      </w:pPr>
      <w:r>
        <w:rPr>
          <w:b/>
          <w:bCs/>
        </w:rPr>
        <w:br w:type="page"/>
      </w:r>
    </w:p>
    <w:p w14:paraId="370EFB3F" w14:textId="62A7E5D7" w:rsidR="001419BF" w:rsidRDefault="00CB53F5" w:rsidP="001419BF">
      <w:pPr>
        <w:spacing w:line="480" w:lineRule="auto"/>
        <w:jc w:val="center"/>
        <w:rPr>
          <w:b/>
          <w:bCs/>
        </w:rPr>
      </w:pPr>
      <w:r>
        <w:rPr>
          <w:b/>
          <w:bCs/>
        </w:rPr>
        <w:lastRenderedPageBreak/>
        <w:t>A Process Investigation of an Acceptance and Commitment Therapy Self-Help Website for Hoarding</w:t>
      </w:r>
    </w:p>
    <w:p w14:paraId="143180C4" w14:textId="1196200A" w:rsidR="009F7E63" w:rsidRPr="005765BE" w:rsidRDefault="009F7E63" w:rsidP="009F7E63">
      <w:pPr>
        <w:spacing w:line="480" w:lineRule="auto"/>
        <w:ind w:firstLine="720"/>
      </w:pPr>
      <w:r w:rsidRPr="005765BE">
        <w:t>Hoarding disorder (HD) is an obsessive</w:t>
      </w:r>
      <w:r>
        <w:t>-</w:t>
      </w:r>
      <w:r w:rsidRPr="005765BE">
        <w:t>compulsive and related disorder involving persistent saving of items, ultimately resulting in excessively cluttered living areas</w:t>
      </w:r>
      <w:r w:rsidR="004771B6">
        <w:t xml:space="preserve"> that cause clinically significant functional impairment and/or distress</w:t>
      </w:r>
      <w:r w:rsidR="00AE666E">
        <w:t xml:space="preserve"> </w:t>
      </w:r>
      <w:r w:rsidR="00AE666E">
        <w:fldChar w:fldCharType="begin" w:fldLock="1"/>
      </w:r>
      <w:r w:rsidR="00AE666E">
        <w:instrText>ADDIN CSL_CITATION {"citationItems":[{"id":"ITEM-1","itemData":{"author":[{"dropping-particle":"","family":"American Psychiatric Association","given":"","non-dropping-particle":"","parse-names":false,"suffix":""}],"edition":"5th","id":"ITEM-1","issued":{"date-parts":[["2013"]]},"publisher":"American Psychiatric Publishing","publisher-place":"Washington, DC","title":"Diagnostic and statistical manual of mental disorders","type":"book"},"uris":["http://www.mendeley.com/documents/?uuid=f8e5c5af-ea35-430f-8139-4a4a77128f37"]}],"mendeley":{"formattedCitation":"(American Psychiatric Association, 2013)","plainTextFormattedCitation":"(American Psychiatric Association, 2013)","previouslyFormattedCitation":"(American Psychiatric Association, 2013)"},"properties":{"noteIndex":0},"schema":"https://github.com/citation-style-language/schema/raw/master/csl-citation.json"}</w:instrText>
      </w:r>
      <w:r w:rsidR="00AE666E">
        <w:fldChar w:fldCharType="separate"/>
      </w:r>
      <w:r w:rsidR="00AE666E" w:rsidRPr="00AE666E">
        <w:rPr>
          <w:noProof/>
        </w:rPr>
        <w:t>(American Psychiatric Association, 2013)</w:t>
      </w:r>
      <w:r w:rsidR="00AE666E">
        <w:fldChar w:fldCharType="end"/>
      </w:r>
      <w:r w:rsidRPr="005765BE">
        <w:t>. A recent meta-analysis of 11 studies (N</w:t>
      </w:r>
      <w:r>
        <w:t xml:space="preserve"> </w:t>
      </w:r>
      <w:r w:rsidRPr="005765BE">
        <w:t xml:space="preserve">= 53,578) found that </w:t>
      </w:r>
      <w:r w:rsidR="009E668B">
        <w:t>two</w:t>
      </w:r>
      <w:r w:rsidRPr="005765BE">
        <w:t xml:space="preserve"> of every 100 people meet criteria for HD</w:t>
      </w:r>
      <w:r w:rsidR="00AE666E">
        <w:t xml:space="preserve"> </w:t>
      </w:r>
      <w:r w:rsidR="00AE666E">
        <w:fldChar w:fldCharType="begin" w:fldLock="1"/>
      </w:r>
      <w:r w:rsidR="00AE666E">
        <w:instrText>ADDIN CSL_CITATION {"citationItems":[{"id":"ITEM-1","itemData":{"DOI":"10.1016/j.jad.2019.06.004","ISSN":"15732517","PMID":"31200169","abstract":"Currently there is uncertainty concerning the prevalence of Hoarding Disorder (HD) due to methodological issues in the evidence base. Estimates have widely ranged from between 1.5% and 6% of the general population. This systematic review and meta-analysis therefore aimed to summarise and reliably estimate the prevalence of HD by employing strict inclusion criteria and using studies with sufficiently large samples. A systematic literature search was conducted to identify all relevant prevalence studies. Inclusion criteria were studies that reported working age adult HD prevalence rates and had sample sizes of at least 1009 participants. Eleven studies met criteria (n = 53,378), had low risk of bias and were originally based in developed countries. A random effects meta-analysis was then conducted, with subgroup moderator analysis and meta-regression. The pooled estimated prevalence for HD was 2.5% (CI 1.7–3.6%) and subgroup analyses revealed that prevalence rates were similar for both males and females. Guidance on the manner in which HD is assessed in future prevalence studies is provided and the clinical implications of the results discussed.","author":[{"dropping-particle":"","family":"Postlethwaite","given":"Adam","non-dropping-particle":"","parse-names":false,"suffix":""},{"dropping-particle":"","family":"Kellett","given":"Stephen","non-dropping-particle":"","parse-names":false,"suffix":""},{"dropping-particle":"","family":"Mataix-Cols","given":"David","non-dropping-particle":"","parse-names":false,"suffix":""}],"container-title":"Journal of Affective Disorders","id":"ITEM-1","issue":"2019","issued":{"date-parts":[["2019"]]},"page":"309-316","publisher":"Elsevier B.V.","title":"Prevalence of hoarding disorder: A systematic review and meta-analysis","type":"article-journal","volume":"256"},"uris":["http://www.mendeley.com/documents/?uuid=79d9d965-271b-46a3-b462-31f40b524cf7"]}],"mendeley":{"formattedCitation":"(Postlethwaite et al., 2019)","plainTextFormattedCitation":"(Postlethwaite et al., 2019)","previouslyFormattedCitation":"(Postlethwaite et al., 2019)"},"properties":{"noteIndex":0},"schema":"https://github.com/citation-style-language/schema/raw/master/csl-citation.json"}</w:instrText>
      </w:r>
      <w:r w:rsidR="00AE666E">
        <w:fldChar w:fldCharType="separate"/>
      </w:r>
      <w:r w:rsidR="00AE666E" w:rsidRPr="00AE666E">
        <w:rPr>
          <w:noProof/>
        </w:rPr>
        <w:t>(Postlethwaite et al., 2019)</w:t>
      </w:r>
      <w:r w:rsidR="00AE666E">
        <w:fldChar w:fldCharType="end"/>
      </w:r>
      <w:r w:rsidR="00AE666E">
        <w:t>.</w:t>
      </w:r>
      <w:r w:rsidRPr="005765BE">
        <w:t xml:space="preserve"> It is well-established that individuals with symptoms of HD report significant disruptions in quality of life</w:t>
      </w:r>
      <w:r w:rsidR="00AE666E">
        <w:t xml:space="preserve"> </w:t>
      </w:r>
      <w:r w:rsidR="00AE666E">
        <w:fldChar w:fldCharType="begin" w:fldLock="1"/>
      </w:r>
      <w:r w:rsidR="00AE666E">
        <w:instrText>ADDIN CSL_CITATION {"citationItems":[{"id":"ITEM-1","itemData":{"DOI":"10.1016/j.janxdis.2014.12.003","ISSN":"08876185","PMID":"25847547","abstract":"a b s t r a c t Hoarding, the acquisition and inability to let go of a large number of possessions, has been found to be associated with high levels of impairment that can compromise functioning and quality of life (QoL). Yet few studies have specifically investigated the relationship between hoarding and functioning/QoL. The present review aimed to summarize the current status of research on functioning and QoL in hoarding as well as identify knowledge gaps in the extant literature. We conducted systematic searches in ProQuest, PsycINFO, PubMed and ScienceDirect, and identified 37 relevant articles for inclusion. There was much evidence to indicate that hoarding has a significant impact on various aspects of functioning and that functioning can improve with treatment, though findings on the relationship between hoarding and QoL were more tenuous. The limitations of previous studies and implications of our findings are discussed.","author":[{"dropping-particle":"","family":"Ong","given":"C. W.","non-dropping-particle":"","parse-names":false,"suffix":""},{"dropping-particle":"","family":"Pang","given":"Shirlene","non-dropping-particle":"","parse-names":false,"suffix":""},{"dropping-particle":"","family":"Sagayadevan","given":"Vathsala","non-dropping-particle":"","parse-names":false,"suffix":""},{"dropping-particle":"","family":"Chong","given":"Siow Ann","non-dropping-particle":"","parse-names":false,"suffix":""},{"dropping-particle":"","family":"Subramaniam","given":"Mythily","non-dropping-particle":"","parse-names":false,"suffix":""}],"container-title":"Journal of Anxiety Disorders","id":"ITEM-1","issued":{"date-parts":[["2015"]]},"page":"17-30","publisher":"Elsevier Ltd","title":"Functioning and quality of life in hoarding: A systematic review","type":"article-journal","volume":"32"},"uris":["http://www.mendeley.com/documents/?uuid=064bead5-7791-46fb-a438-82dec75c13ca"]}],"mendeley":{"formattedCitation":"(Ong et al., 2015)","plainTextFormattedCitation":"(Ong et al., 2015)","previouslyFormattedCitation":"(Ong et al., 2015)"},"properties":{"noteIndex":0},"schema":"https://github.com/citation-style-language/schema/raw/master/csl-citation.json"}</w:instrText>
      </w:r>
      <w:r w:rsidR="00AE666E">
        <w:fldChar w:fldCharType="separate"/>
      </w:r>
      <w:r w:rsidR="00AE666E" w:rsidRPr="00AE666E">
        <w:rPr>
          <w:noProof/>
        </w:rPr>
        <w:t>(Ong et al., 2015)</w:t>
      </w:r>
      <w:r w:rsidR="00AE666E">
        <w:fldChar w:fldCharType="end"/>
      </w:r>
      <w:r w:rsidRPr="005765BE">
        <w:t xml:space="preserve"> and everyday functioning</w:t>
      </w:r>
      <w:r w:rsidR="00AE666E">
        <w:t xml:space="preserve"> </w:t>
      </w:r>
      <w:r w:rsidR="00AE666E">
        <w:fldChar w:fldCharType="begin" w:fldLock="1"/>
      </w:r>
      <w:r w:rsidR="00AE666E">
        <w:instrText>ADDIN CSL_CITATION {"citationItems":[{"id":"ITEM-1","itemData":{"DOI":"10.1186/s12888-022-04287-2","ISBN":"1288802204287","ISSN":"1471244X","abstract":"Background: Hoarding symptoms are associated with functional impairment, though investigation of disability among individuals with hoarding disorder has largely focused on clutter-related impairment to home management activities and difficulties using space because of clutter. This analysis assesses disability among individuals with hoarding symptoms in multiple domains of everyday functioning, including cognition, mobility, self-care, interpersonal and community-level interactions, and home management. The magnitude of the association between hoarding and disability was compared to that of medical and psychiatric disorders with documented high disability burden, including major depressive disorder (MDD), diabetes, and chronic pain. Methods: Data were cross-sectionally collected from 16,312 adult participants enrolled in an internet-based research registry, the Brain Health Registry. Pearson’s chi-square tests and multivariable logistic regression models were used to quantify the relationship between hoarding and functional ability relative to MDD, diabetes, and chronic pain. Results: More than one in ten participants endorsed clinical (5.7%) or subclinical (5.7%) hoarding symptoms (CHS and SCHS, respectively). After adjusting for participant demographic characteristics and psychiatric and medical comorbidity, CHS and SCHS were associated with increased odds of impairment in all domains of functioning. Moderate to extreme impairment was endorsed more frequently by those with CHS or SCHS compared to those with self-reported MDD, diabetes, and/or chronic pain in nearly all domains (e.g., difficulty with day-to-day work or school: CHS: 18.7% vs. MDD: 11.8%, p &lt; 0.0001) except mobility and self-care. While those with current depressive symptoms endorsed higher rates of impairment than those with hoarding symptoms, disability was most prevalent among those endorsing both hoarding and comorbid depressive symptoms. Conclusions: Hoarding symptoms are associated with profound disability in all domains of functioning. The burden of hoarding is comparable to that of other medical and psychiatric illnesses with known high rates of functional impairment. Future studies should examine the directionality and underlying causality of the observed associations, and possibly identify target interventions to minimize impairment associated with hoarding symptomatology.","author":[{"dropping-particle":"","family":"Nutley","given":"Sara K.","non-dropping-particle":"","parse-names":false,"suffix":""},{"dropping-particle":"","family":"Read","given":"Michael","non-dropping-particle":"","parse-names":false,"suffix":""},{"dropping-particle":"","family":"Martinez","given":"Stephanie","non-dropping-particle":"","parse-names":false,"suffix":""},{"dropping-particle":"","family":"Eichenbaum","given":"Joseph","non-dropping-particle":"","parse-names":false,"suffix":""},{"dropping-particle":"","family":"Nosheny","given":"Rachel L.","non-dropping-particle":"","parse-names":false,"suffix":""},{"dropping-particle":"","family":"Weiner","given":"Michael","non-dropping-particle":"","parse-names":false,"suffix":""},{"dropping-particle":"","family":"Mackin","given":"R. Scott","non-dropping-particle":"","parse-names":false,"suffix":""},{"dropping-particle":"","family":"Mathews","given":"Carol A.","non-dropping-particle":"","parse-names":false,"suffix":""}],"container-title":"BMC Psychiatry","id":"ITEM-1","issue":"1","issued":{"date-parts":[["2022"]]},"page":"1-13","publisher":"BioMed Central","title":"Hoarding symptoms are associated with higher rates of disability than other medical and psychiatric disorders across multiple domains of functioning","type":"article-journal","volume":"22"},"uris":["http://www.mendeley.com/documents/?uuid=da12fcb5-601b-43d9-b691-7e4fc53aec9c"]}],"mendeley":{"formattedCitation":"(Nutley et al., 2022)","plainTextFormattedCitation":"(Nutley et al., 2022)","previouslyFormattedCitation":"(Nutley et al., 2022)"},"properties":{"noteIndex":0},"schema":"https://github.com/citation-style-language/schema/raw/master/csl-citation.json"}</w:instrText>
      </w:r>
      <w:r w:rsidR="00AE666E">
        <w:fldChar w:fldCharType="separate"/>
      </w:r>
      <w:r w:rsidR="00AE666E" w:rsidRPr="00AE666E">
        <w:rPr>
          <w:noProof/>
        </w:rPr>
        <w:t>(Nutley et al., 2022)</w:t>
      </w:r>
      <w:r w:rsidR="00AE666E">
        <w:fldChar w:fldCharType="end"/>
      </w:r>
      <w:r w:rsidR="00AE666E">
        <w:t xml:space="preserve">. </w:t>
      </w:r>
      <w:r>
        <w:t>Individuals</w:t>
      </w:r>
      <w:r w:rsidRPr="005765BE">
        <w:t xml:space="preserve"> with HD </w:t>
      </w:r>
      <w:r>
        <w:t xml:space="preserve">also </w:t>
      </w:r>
      <w:r w:rsidRPr="005765BE">
        <w:t xml:space="preserve">tend to </w:t>
      </w:r>
      <w:r w:rsidR="000B213C">
        <w:t>meet</w:t>
      </w:r>
      <w:r w:rsidRPr="005765BE">
        <w:t xml:space="preserve"> criteria for several comorbid psychological conditions</w:t>
      </w:r>
      <w:r w:rsidR="00AE666E">
        <w:t xml:space="preserve"> </w:t>
      </w:r>
      <w:r w:rsidR="00AE666E">
        <w:fldChar w:fldCharType="begin" w:fldLock="1"/>
      </w:r>
      <w:r w:rsidR="00AE666E">
        <w:instrText>ADDIN CSL_CITATION {"citationItems":[{"id":"ITEM-1","itemData":{"DOI":"10.1176/appi.focus.130218","ISSN":"1541-4094","abstract":"Background: Hoarding Disorder (HD) is currently under consideration for inclusion as a distinct disorder in DSM-5 (1). Few studies have examined comorbidity patterns in people who hoard, and the ones that have suffer from serious methodological shortcomings including drawing from populations already diagnosed with obsessive compulsive disorder (OCD), using outdated definitions of hoarding, and relying on inadequate assessments of hoarding. The present study is the first large-scale study of comorbidity in a sample of people meeting recently proposed criteria for hoarding disorder (1) and relying on validated assessment procedures.","author":[{"dropping-particle":"","family":"Frost","given":"Randy O.","non-dropping-particle":"","parse-names":false,"suffix":""},{"dropping-particle":"","family":"Steketee","given":"Gail","non-dropping-particle":"","parse-names":false,"suffix":""},{"dropping-particle":"","family":"Tolin","given":"David F.","non-dropping-particle":"","parse-names":false,"suffix":""}],"container-title":"Focus","id":"ITEM-1","issue":"2","issued":{"date-parts":[["2015"]]},"page":"244-251","title":"Comorbidity in hoarding disorder","type":"article-journal","volume":"13"},"uris":["http://www.mendeley.com/documents/?uuid=7bb70688-d9da-4f43-8d5c-5bcc07dc4aec"]}],"mendeley":{"formattedCitation":"(Frost et al., 2015)","plainTextFormattedCitation":"(Frost et al., 2015)","previouslyFormattedCitation":"(Frost et al., 2015)"},"properties":{"noteIndex":0},"schema":"https://github.com/citation-style-language/schema/raw/master/csl-citation.json"}</w:instrText>
      </w:r>
      <w:r w:rsidR="00AE666E">
        <w:fldChar w:fldCharType="separate"/>
      </w:r>
      <w:r w:rsidR="00AE666E" w:rsidRPr="00AE666E">
        <w:rPr>
          <w:noProof/>
        </w:rPr>
        <w:t>(Frost et al., 2015)</w:t>
      </w:r>
      <w:r w:rsidR="00AE666E">
        <w:fldChar w:fldCharType="end"/>
      </w:r>
      <w:r w:rsidRPr="005765BE">
        <w:t xml:space="preserve"> and other health problems</w:t>
      </w:r>
      <w:r w:rsidR="00AE666E">
        <w:t xml:space="preserve"> </w:t>
      </w:r>
      <w:r w:rsidR="00AE666E">
        <w:fldChar w:fldCharType="begin" w:fldLock="1"/>
      </w:r>
      <w:r w:rsidR="002A386A">
        <w:instrText>ADDIN CSL_CITATION {"citationItems":[{"id":"ITEM-1","itemData":{"DOI":"10.1016/j.jocrd.2021.100661","ISSN":"22113657","abstract":"Hoarding disorder (HD) is relatively common within the community but remains notoriously difficult to treat, a phenomenon that could be related, at least in part, to the number of medical diagnoses typically co-occurring with the condition. In an effort to examine the potential link between treatment ambivalence in hoarding and certain co-occurring medical diagnoses, what follows is a comprehensive review of the empirical literature addressing HD, physical health, and medical conditions. A systematic search of scholarly databases (i.e., PubMed, PsycInfo, Google Scholar) identified nine relevant articles for review. Broadly, the research suggests that individuals with hoarding behaviors suffer from poorer health than those without hoarding tendencies, although clinically significant hoarding and levels of physical health were defined differently across studies. The review also identifies clinical correlates that could account for the link between HD and co-occurring medical conditions, such as obesity, impulsivity, executive dysfunction, and emotion regulation. Preliminary bidirectional hypotheses of HD and co-occurring medical conditions are presented in an effort to guide future research and theory-building in this area. Finally, limitations, directions for future research, and clinical implications are also discussed.","author":[{"dropping-particle":"","family":"Bates","given":"Sage","non-dropping-particle":"","parse-names":false,"suffix":""},{"dropping-particle":"","family":"Chang","given":"Weilynn C.","non-dropping-particle":"","parse-names":false,"suffix":""},{"dropping-particle":"","family":"Hamilton","given":"C. Elizabeth","non-dropping-particle":"","parse-names":false,"suffix":""},{"dropping-particle":"","family":"Chasson","given":"Gregory S.","non-dropping-particle":"","parse-names":false,"suffix":""}],"container-title":"Journal of Obsessive-Compulsive and Related Disorders","id":"ITEM-1","issued":{"date-parts":[["2021"]]},"page":"100661","publisher":"Elsevier Inc.","title":"Hoarding disorder and co-occurring medical conditions: A systematic review","type":"article-journal","volume":"30"},"uris":["http://www.mendeley.com/documents/?uuid=f6c63eac-a64d-479f-ab76-77cd1792583e"]}],"mendeley":{"formattedCitation":"(Bates et al., 2021)","plainTextFormattedCitation":"(Bates et al., 2021)","previouslyFormattedCitation":"(Bates et al., 2021)"},"properties":{"noteIndex":0},"schema":"https://github.com/citation-style-language/schema/raw/master/csl-citation.json"}</w:instrText>
      </w:r>
      <w:r w:rsidR="00AE666E">
        <w:fldChar w:fldCharType="separate"/>
      </w:r>
      <w:r w:rsidR="00AE666E" w:rsidRPr="00AE666E">
        <w:rPr>
          <w:noProof/>
        </w:rPr>
        <w:t>(Bates et al., 2021)</w:t>
      </w:r>
      <w:r w:rsidR="00AE666E">
        <w:fldChar w:fldCharType="end"/>
      </w:r>
      <w:r w:rsidR="000B213C">
        <w:t xml:space="preserve">, which may complicate </w:t>
      </w:r>
      <w:r w:rsidR="00794407">
        <w:t>delivery of effective treatment</w:t>
      </w:r>
      <w:r w:rsidR="00AE666E">
        <w:t>.</w:t>
      </w:r>
    </w:p>
    <w:p w14:paraId="4A25A1F7" w14:textId="770CFB3A" w:rsidR="009F7E63" w:rsidRPr="005765BE" w:rsidRDefault="009F7E63" w:rsidP="009F7E63">
      <w:pPr>
        <w:spacing w:line="480" w:lineRule="auto"/>
        <w:ind w:firstLine="720"/>
      </w:pPr>
      <w:r w:rsidRPr="005765BE">
        <w:t>Cognitive behavioral therapy (CBT) is the best-established treatment</w:t>
      </w:r>
      <w:r>
        <w:t xml:space="preserve"> for HD</w:t>
      </w:r>
      <w:r w:rsidRPr="005765BE">
        <w:t xml:space="preserve">, with several trials supporting large symptom reductions and medium improvements in impairment </w:t>
      </w:r>
      <w:r w:rsidR="002A386A">
        <w:fldChar w:fldCharType="begin" w:fldLock="1"/>
      </w:r>
      <w:r w:rsidR="002A386A">
        <w:instrText>ADDIN CSL_CITATION {"citationItems":[{"id":"ITEM-1","itemData":{"DOI":"10.1002/da.22327","ISSN":"10914269","author":[{"dropping-particle":"","family":"Tolin","given":"David F.","non-dropping-particle":"","parse-names":false,"suffix":""},{"dropping-particle":"","family":"Frost","given":"Randy O.","non-dropping-particle":"","parse-names":false,"suffix":""},{"dropping-particle":"","family":"Steketee","given":"Gail","non-dropping-particle":"","parse-names":false,"suffix":""},{"dropping-particle":"","family":"Muroff","given":"Jordana","non-dropping-particle":"","parse-names":false,"suffix":""}],"container-title":"Depression and Anxiety","id":"ITEM-1","issued":{"date-parts":[["2015"]]},"page":"158-166","title":"Cognitive behavioral therapy for hoarding disorder: A meta-analysis","type":"article-journal","volume":"32"},"uris":["http://www.mendeley.com/documents/?uuid=d6a717d0-bb9d-4ecf-ad4b-e4699b30f7a5"]}],"mendeley":{"formattedCitation":"(Tolin et al., 2015)","plainTextFormattedCitation":"(Tolin et al., 2015)","previouslyFormattedCitation":"(Tolin et al., 2015)"},"properties":{"noteIndex":0},"schema":"https://github.com/citation-style-language/schema/raw/master/csl-citation.json"}</w:instrText>
      </w:r>
      <w:r w:rsidR="002A386A">
        <w:fldChar w:fldCharType="separate"/>
      </w:r>
      <w:r w:rsidR="002A386A" w:rsidRPr="002A386A">
        <w:rPr>
          <w:noProof/>
        </w:rPr>
        <w:t>(Tolin et al., 2015)</w:t>
      </w:r>
      <w:r w:rsidR="002A386A">
        <w:fldChar w:fldCharType="end"/>
      </w:r>
      <w:r w:rsidR="002A386A">
        <w:t>.</w:t>
      </w:r>
      <w:r w:rsidRPr="005765BE">
        <w:t xml:space="preserve"> However, </w:t>
      </w:r>
      <w:r>
        <w:t xml:space="preserve">only 25-43% of </w:t>
      </w:r>
      <w:r w:rsidR="000C033F">
        <w:t>CBT trial participants</w:t>
      </w:r>
      <w:r>
        <w:t xml:space="preserve"> report clinically significant change</w:t>
      </w:r>
      <w:r w:rsidR="000C033F">
        <w:t xml:space="preserve">, </w:t>
      </w:r>
      <w:r>
        <w:t xml:space="preserve">and </w:t>
      </w:r>
      <w:r w:rsidRPr="005765BE">
        <w:t xml:space="preserve">improvements to treatment are </w:t>
      </w:r>
      <w:r>
        <w:t xml:space="preserve">therefore </w:t>
      </w:r>
      <w:r w:rsidRPr="005765BE">
        <w:t xml:space="preserve">necessary </w:t>
      </w:r>
      <w:r w:rsidR="002A386A">
        <w:fldChar w:fldCharType="begin" w:fldLock="1"/>
      </w:r>
      <w:r w:rsidR="002A386A">
        <w:instrText>ADDIN CSL_CITATION {"citationItems":[{"id":"ITEM-1","itemData":{"DOI":"10.1002/da.22327","ISSN":"10914269","author":[{"dropping-particle":"","family":"Tolin","given":"David F.","non-dropping-particle":"","parse-names":false,"suffix":""},{"dropping-particle":"","family":"Frost","given":"Randy O.","non-dropping-particle":"","parse-names":false,"suffix":""},{"dropping-particle":"","family":"Steketee","given":"Gail","non-dropping-particle":"","parse-names":false,"suffix":""},{"dropping-particle":"","family":"Muroff","given":"Jordana","non-dropping-particle":"","parse-names":false,"suffix":""}],"container-title":"Depression and Anxiety","id":"ITEM-1","issued":{"date-parts":[["2015"]]},"page":"158-166","title":"Cognitive behavioral therapy for hoarding disorder: A meta-analysis","type":"article-journal","volume":"32"},"uris":["http://www.mendeley.com/documents/?uuid=d6a717d0-bb9d-4ecf-ad4b-e4699b30f7a5"]}],"mendeley":{"formattedCitation":"(Tolin et al., 2015)","plainTextFormattedCitation":"(Tolin et al., 2015)","previouslyFormattedCitation":"(Tolin et al., 2015)"},"properties":{"noteIndex":0},"schema":"https://github.com/citation-style-language/schema/raw/master/csl-citation.json"}</w:instrText>
      </w:r>
      <w:r w:rsidR="002A386A">
        <w:fldChar w:fldCharType="separate"/>
      </w:r>
      <w:r w:rsidR="002A386A" w:rsidRPr="002A386A">
        <w:rPr>
          <w:noProof/>
        </w:rPr>
        <w:t>(Tolin et al., 2015)</w:t>
      </w:r>
      <w:r w:rsidR="002A386A">
        <w:fldChar w:fldCharType="end"/>
      </w:r>
      <w:r w:rsidR="002A386A">
        <w:t xml:space="preserve">. </w:t>
      </w:r>
      <w:r>
        <w:t>A</w:t>
      </w:r>
      <w:r w:rsidRPr="005765BE">
        <w:t xml:space="preserve">nother treatment </w:t>
      </w:r>
      <w:r>
        <w:t xml:space="preserve">for HD with growing research support is </w:t>
      </w:r>
      <w:r w:rsidRPr="005765BE">
        <w:t xml:space="preserve">acceptance and commitment therapy (ACT). ACT </w:t>
      </w:r>
      <w:r>
        <w:t>is focused</w:t>
      </w:r>
      <w:r w:rsidRPr="005765BE">
        <w:t xml:space="preserve"> on </w:t>
      </w:r>
      <w:r w:rsidR="00D17680">
        <w:t>decreasing</w:t>
      </w:r>
      <w:r w:rsidR="00D17680" w:rsidRPr="005765BE">
        <w:t xml:space="preserve"> </w:t>
      </w:r>
      <w:r w:rsidRPr="005765BE">
        <w:t xml:space="preserve">psychological </w:t>
      </w:r>
      <w:r w:rsidR="00D17680">
        <w:t>in</w:t>
      </w:r>
      <w:r w:rsidRPr="005765BE">
        <w:t>flexibility</w:t>
      </w:r>
      <w:r w:rsidR="00D40E6F">
        <w:t xml:space="preserve">, a multifaceted </w:t>
      </w:r>
      <w:r w:rsidR="00EE1038">
        <w:t xml:space="preserve">process in which rigid responses to internal experiences and disconnection from personal values </w:t>
      </w:r>
      <w:r w:rsidR="009D4445">
        <w:t>contribute to narrow and dysfunctional behavior patterns</w:t>
      </w:r>
      <w:r w:rsidR="006F4F58">
        <w:t xml:space="preserve">, by </w:t>
      </w:r>
      <w:r w:rsidR="003324C5">
        <w:t>fostering</w:t>
      </w:r>
      <w:r w:rsidR="006F4F58">
        <w:t xml:space="preserve"> </w:t>
      </w:r>
      <w:r w:rsidR="00C933CC">
        <w:t xml:space="preserve">psychological flexibility (the ability to </w:t>
      </w:r>
      <w:r w:rsidR="0034360F">
        <w:t>consistently engage in</w:t>
      </w:r>
      <w:r w:rsidR="00C933CC">
        <w:t xml:space="preserve"> meaningful action</w:t>
      </w:r>
      <w:r w:rsidR="0034360F">
        <w:t xml:space="preserve"> with flexible, present-focused attention and openness toward thoughts and emotions)</w:t>
      </w:r>
      <w:r w:rsidR="006F4F58">
        <w:t>.</w:t>
      </w:r>
      <w:r w:rsidRPr="005765BE">
        <w:t xml:space="preserve"> In a recent multiple baseline of ACT for hoarding (</w:t>
      </w:r>
      <w:r>
        <w:t>N</w:t>
      </w:r>
      <w:r w:rsidRPr="005765BE">
        <w:t xml:space="preserve"> = 6), 5 of 6 participants reported improvements on discarding rate and general symptom measures</w:t>
      </w:r>
      <w:r w:rsidR="002A386A">
        <w:t xml:space="preserve"> </w:t>
      </w:r>
      <w:r w:rsidR="002A386A">
        <w:fldChar w:fldCharType="begin" w:fldLock="1"/>
      </w:r>
      <w:r w:rsidR="009066DC">
        <w:instrText>ADDIN CSL_CITATION {"citationItems":[{"id":"ITEM-1","itemData":{"author":[{"dropping-particle":"","family":"Ong","given":"C. W.","non-dropping-particle":"","parse-names":false,"suffix":""},{"dropping-particle":"","family":"Krafft","given":"J.","non-dropping-particle":"","parse-names":false,"suffix":""},{"dropping-particle":"","family":"Panoussi","given":"F.","non-dropping-particle":"","parse-names":false,"suffix":""},{"dropping-particle":"","family":"Petersen","given":"J. M.","non-dropping-particle":"","parse-names":false,"suffix":""},{"dropping-particle":"","family":"Levin","given":"M. E.","non-dropping-particle":"","parse-names":false,"suffix":""},{"dropping-particle":"","family":"Twohig","given":"M. P.","non-dropping-particle":"","parse-names":false,"suffix":""}],"container-title":"Journal of Contextual Behavioral Science","id":"ITEM-1","issued":{"date-parts":[["2021"]]},"page":"108-117","title":"In-person and online-delivered acceptance and commitment therapy for hoarding disorder: A multiple baseline study.","type":"article-journal","volume":"20"},"uris":["http://www.mendeley.com/documents/?uuid=ed35a52c-d843-48a7-8e82-25d34f36e9fc"]}],"mendeley":{"formattedCitation":"(Ong, Krafft, Panoussi, et al., 2021)","plainTextFormattedCitation":"(Ong, Krafft, Panoussi, et al., 2021)","previouslyFormattedCitation":"(Ong, Krafft, Panoussi, et al., 2021)"},"properties":{"noteIndex":0},"schema":"https://github.com/citation-style-language/schema/raw/master/csl-citation.json"}</w:instrText>
      </w:r>
      <w:r w:rsidR="002A386A">
        <w:fldChar w:fldCharType="separate"/>
      </w:r>
      <w:r w:rsidR="002A386A" w:rsidRPr="002A386A">
        <w:rPr>
          <w:noProof/>
        </w:rPr>
        <w:t>(Ong, Krafft, Panoussi, et al., 2021)</w:t>
      </w:r>
      <w:r w:rsidR="002A386A">
        <w:fldChar w:fldCharType="end"/>
      </w:r>
      <w:r w:rsidR="002A386A">
        <w:t>.</w:t>
      </w:r>
      <w:r w:rsidRPr="005765BE">
        <w:t xml:space="preserve"> </w:t>
      </w:r>
      <w:r w:rsidR="007B2132">
        <w:t>One recent</w:t>
      </w:r>
      <w:r w:rsidRPr="005765BE">
        <w:t xml:space="preserve"> trial of ACT for hoarding</w:t>
      </w:r>
      <w:r w:rsidR="00A75B29">
        <w:t xml:space="preserve"> tested</w:t>
      </w:r>
      <w:r w:rsidRPr="005765BE">
        <w:t xml:space="preserve"> a self-help website </w:t>
      </w:r>
      <w:r w:rsidRPr="005765BE">
        <w:lastRenderedPageBreak/>
        <w:t xml:space="preserve">with minimal supportive coaching. Treatment specifically targeted psychological </w:t>
      </w:r>
      <w:r w:rsidR="003324C5">
        <w:t>in</w:t>
      </w:r>
      <w:r w:rsidRPr="005765BE">
        <w:t xml:space="preserve">flexibility as it relates to hoarding symptoms and self-stigma, </w:t>
      </w:r>
      <w:r w:rsidR="00DD2870">
        <w:t>with results indicating the ACT website</w:t>
      </w:r>
      <w:r w:rsidRPr="005765BE">
        <w:t xml:space="preserve"> was </w:t>
      </w:r>
      <w:r w:rsidR="000C033F">
        <w:t>efficacious</w:t>
      </w:r>
      <w:r w:rsidRPr="005765BE">
        <w:t xml:space="preserve"> (</w:t>
      </w:r>
      <w:r>
        <w:t xml:space="preserve">e.g., </w:t>
      </w:r>
      <w:r w:rsidRPr="005765BE">
        <w:t xml:space="preserve">decreased hoarding severity and impairment, increased progress toward personal values; </w:t>
      </w:r>
      <w:r w:rsidR="002A386A" w:rsidRPr="007B2132">
        <w:rPr>
          <w:i/>
          <w:iCs/>
        </w:rPr>
        <w:t xml:space="preserve">citation </w:t>
      </w:r>
      <w:r w:rsidRPr="007B2132">
        <w:rPr>
          <w:i/>
          <w:iCs/>
        </w:rPr>
        <w:t>masked for review</w:t>
      </w:r>
      <w:r w:rsidRPr="005765BE">
        <w:t>).</w:t>
      </w:r>
    </w:p>
    <w:p w14:paraId="286E0F40" w14:textId="480ED88E" w:rsidR="000C033F" w:rsidRDefault="00FE49FE" w:rsidP="009F7E63">
      <w:pPr>
        <w:spacing w:line="480" w:lineRule="auto"/>
        <w:ind w:firstLine="720"/>
      </w:pPr>
      <w:r>
        <w:t>E</w:t>
      </w:r>
      <w:r w:rsidR="000C033F">
        <w:t>valuating</w:t>
      </w:r>
      <w:r w:rsidR="009F7E63" w:rsidRPr="005765BE">
        <w:t xml:space="preserve"> how treatments work (i.e., treatment processes) and for whom they work best</w:t>
      </w:r>
      <w:r>
        <w:t xml:space="preserve"> </w:t>
      </w:r>
      <w:r w:rsidR="007B2132" w:rsidRPr="005765BE">
        <w:t>(i.e., treatment moderation effects)</w:t>
      </w:r>
      <w:r w:rsidR="007B2132">
        <w:t xml:space="preserve"> </w:t>
      </w:r>
      <w:r>
        <w:t xml:space="preserve">is </w:t>
      </w:r>
      <w:r w:rsidR="000C033F">
        <w:t>essential to make treatments more potent or parsimonious</w:t>
      </w:r>
      <w:r w:rsidR="009F7E63" w:rsidRPr="005765BE">
        <w:t>. CBT putatively works through cognitive change and exposure; one study supports cognitive mediation in hoarding treatment</w:t>
      </w:r>
      <w:r w:rsidR="00762C9E">
        <w:t xml:space="preserve"> </w:t>
      </w:r>
      <w:r w:rsidR="00762C9E">
        <w:fldChar w:fldCharType="begin" w:fldLock="1"/>
      </w:r>
      <w:r w:rsidR="00762C9E">
        <w:instrText>ADDIN CSL_CITATION {"citationItems":[{"id":"ITEM-1","itemData":{"DOI":"10.1016/j.jocrd.2017.06.008","ISBN":"2211-3649","ISSN":"22113657","PMID":"29170732","abstract":"Cognitive-behavioral therapy (CBT) is an empirically-supported treatment for hoarding disorder (HD). However, meta-analytic studies suggest that CBT is only modestly effective, and a significant number of individuals with HD remain symptomatic following treatment. To inform the development of more effective and targeted treatments, it will be important to clarify the mechanisms of treatment response in CBT for HD. To this end, the current study examined whether change in maladaptive saving beliefs mediated symptom change in CBT for HD. Sixty-two patients with primary HD completed measures of maladaptive saving cognitions and hoarding severity at pre-, mid-, and post-CBT. Results showed that change in saving cognitions mediated change in all three domains of HD symptoms (i.e., acquiring, difficulty discarding, and excessive clutter), suggesting that cognitive change may be a mechanism of treatment response in CBT. The findings indicate that cognitive change may have an impact on treatment outcomes, and are discussed in terms of cognitive-behavioral theory of HD and potential ways in which to enhance belief change in treatment.","author":[{"dropping-particle":"","family":"Levy","given":"Hannah C.","non-dropping-particle":"","parse-names":false,"suffix":""},{"dropping-particle":"","family":"Worden","given":"Blaise L.","non-dropping-particle":"","parse-names":false,"suffix":""},{"dropping-particle":"","family":"Gilliam","given":"Christina M.","non-dropping-particle":"","parse-names":false,"suffix":""},{"dropping-particle":"","family":"D'Urso","given":"Christine","non-dropping-particle":"","parse-names":false,"suffix":""},{"dropping-particle":"","family":"Steketee","given":"Gail","non-dropping-particle":"","parse-names":false,"suffix":""},{"dropping-particle":"","family":"Frost","given":"Randy O.","non-dropping-particle":"","parse-names":false,"suffix":""},{"dropping-particle":"","family":"Tolin","given":"David F.","non-dropping-particle":"","parse-names":false,"suffix":""}],"container-title":"Journal of Obsessive-Compulsive and Related Disorders","id":"ITEM-1","issue":"June","issued":{"date-parts":[["2017"]]},"page":"112-118","publisher":"Elsevier Ltd","title":"Changes in saving cognitions mediate hoarding symptom change in cognitive-behavioral therapy for hoarding disorder","type":"article-journal","volume":"14"},"uris":["http://www.mendeley.com/documents/?uuid=4f98bb74-edb7-47d0-8797-f762d2f7bfdc"]}],"mendeley":{"formattedCitation":"(Levy et al., 2017)","plainTextFormattedCitation":"(Levy et al., 2017)","previouslyFormattedCitation":"(Levy et al., 2017)"},"properties":{"noteIndex":0},"schema":"https://github.com/citation-style-language/schema/raw/master/csl-citation.json"}</w:instrText>
      </w:r>
      <w:r w:rsidR="00762C9E">
        <w:fldChar w:fldCharType="separate"/>
      </w:r>
      <w:r w:rsidR="00762C9E" w:rsidRPr="00762C9E">
        <w:rPr>
          <w:noProof/>
        </w:rPr>
        <w:t>(Levy et al., 2017)</w:t>
      </w:r>
      <w:r w:rsidR="00762C9E">
        <w:fldChar w:fldCharType="end"/>
      </w:r>
      <w:r w:rsidR="009F7E63" w:rsidRPr="005765BE">
        <w:t xml:space="preserve">, although component research contradicts the importance of cognitive </w:t>
      </w:r>
      <w:r w:rsidR="00762C9E">
        <w:t xml:space="preserve">restructuring </w:t>
      </w:r>
      <w:r w:rsidR="00762C9E">
        <w:fldChar w:fldCharType="begin" w:fldLock="1"/>
      </w:r>
      <w:r w:rsidR="00C526D5">
        <w:instrText>ADDIN CSL_CITATION {"citationItems":[{"id":"ITEM-1","itemData":{"DOI":"10.1016/j.brat.2016.08.003","ISSN":"0005-7967","author":[{"dropping-particle":"","family":"Frost","given":"Randy O","non-dropping-particle":"","parse-names":false,"suffix":""},{"dropping-particle":"","family":"Ong","given":"Clarissa","non-dropping-particle":"","parse-names":false,"suffix":""},{"dropping-particle":"","family":"Steketee","given":"Gail","non-dropping-particle":"","parse-names":false,"suffix":""},{"dropping-particle":"","family":"Tolin","given":"David F","non-dropping-particle":"","parse-names":false,"suffix":""}],"container-title":"Behaviour Research and Therapy","id":"ITEM-1","issued":{"date-parts":[["2016"]]},"page":"13-22","publisher":"Elsevier Ltd","title":"Behavioral and emotional consequences of thought listing versus cognitive restructuring during discarding decisions in hoarding disorder","type":"article-journal","volume":"85"},"uris":["http://www.mendeley.com/documents/?uuid=ce1f4826-e94a-4695-95b5-20bb5ed96c5e"]}],"mendeley":{"formattedCitation":"(Frost et al., 2016)","plainTextFormattedCitation":"(Frost et al., 2016)","previouslyFormattedCitation":"(Frost et al., 2016)"},"properties":{"noteIndex":0},"schema":"https://github.com/citation-style-language/schema/raw/master/csl-citation.json"}</w:instrText>
      </w:r>
      <w:r w:rsidR="00762C9E">
        <w:fldChar w:fldCharType="separate"/>
      </w:r>
      <w:r w:rsidR="00C526D5" w:rsidRPr="00C526D5">
        <w:rPr>
          <w:noProof/>
        </w:rPr>
        <w:t>(Frost et al., 2016)</w:t>
      </w:r>
      <w:r w:rsidR="00762C9E">
        <w:fldChar w:fldCharType="end"/>
      </w:r>
      <w:r w:rsidR="009F7E63">
        <w:t>.</w:t>
      </w:r>
      <w:r w:rsidR="000C033F">
        <w:t xml:space="preserve"> </w:t>
      </w:r>
      <w:r w:rsidR="006E42E0">
        <w:t>Mediators</w:t>
      </w:r>
      <w:r w:rsidR="000C033F">
        <w:t xml:space="preserve"> of change in ACT for hoarding have not previously been investigated; </w:t>
      </w:r>
      <w:r w:rsidR="006E42E0">
        <w:t>potential mediators</w:t>
      </w:r>
      <w:r w:rsidR="000C033F">
        <w:t xml:space="preserve"> that merit investigation in hoarding treatment are psychological </w:t>
      </w:r>
      <w:r w:rsidR="003324C5">
        <w:t>in</w:t>
      </w:r>
      <w:r w:rsidR="000C033F">
        <w:t>flexibility</w:t>
      </w:r>
      <w:r w:rsidR="00E4355A">
        <w:t>, mindfulness</w:t>
      </w:r>
      <w:r w:rsidR="000C033F">
        <w:t xml:space="preserve"> and self-stigma.</w:t>
      </w:r>
      <w:r w:rsidR="007B20E8" w:rsidRPr="007B20E8">
        <w:t xml:space="preserve"> </w:t>
      </w:r>
    </w:p>
    <w:p w14:paraId="20C35481" w14:textId="38FBB719" w:rsidR="009F7E63" w:rsidRPr="005765BE" w:rsidRDefault="009F7E63" w:rsidP="009F7E63">
      <w:pPr>
        <w:spacing w:line="480" w:lineRule="auto"/>
        <w:ind w:firstLine="720"/>
      </w:pPr>
      <w:r w:rsidRPr="005765BE">
        <w:t xml:space="preserve">Psychological </w:t>
      </w:r>
      <w:r w:rsidR="00E01CD3">
        <w:t>in</w:t>
      </w:r>
      <w:r w:rsidRPr="005765BE">
        <w:t xml:space="preserve">flexibility is associated with HD severity and behaviors </w:t>
      </w:r>
      <w:r w:rsidR="00506FBE">
        <w:fldChar w:fldCharType="begin" w:fldLock="1"/>
      </w:r>
      <w:r w:rsidR="004A2F9D">
        <w:instrText>ADDIN CSL_CITATION {"citationItems":[{"id":"ITEM-1","itemData":{"DOI":"10.1891/0889-8391.32.2.97","author":[{"dropping-particle":"","family":"Ong","given":"C. W.","non-dropping-particle":"","parse-names":false,"suffix":""},{"dropping-particle":"","family":"Krafft","given":"Jennifer","non-dropping-particle":"","parse-names":false,"suffix":""},{"dropping-particle":"","family":"Levin","given":"Michael E.","non-dropping-particle":"","parse-names":false,"suffix":""},{"dropping-particle":"","family":"Twohig","given":"Michael P.","non-dropping-particle":"","parse-names":false,"suffix":""}],"container-title":"Journal of Cognitive Psychotherapy","id":"ITEM-1","issued":{"date-parts":[["2018"]]},"page":"97-111","title":"An examination of the role of psychological inflexibility in hoarding using multiple mediator models","type":"article-journal","volume":"32"},"uris":["http://www.mendeley.com/documents/?uuid=e9ed2510-b378-4617-9f97-d7390f005566"]}],"mendeley":{"formattedCitation":"(Ong et al., 2018)","plainTextFormattedCitation":"(Ong et al., 2018)","previouslyFormattedCitation":"(Ong et al., 2018)"},"properties":{"noteIndex":0},"schema":"https://github.com/citation-style-language/schema/raw/master/csl-citation.json"}</w:instrText>
      </w:r>
      <w:r w:rsidR="00506FBE">
        <w:fldChar w:fldCharType="separate"/>
      </w:r>
      <w:r w:rsidR="00506FBE" w:rsidRPr="00506FBE">
        <w:rPr>
          <w:noProof/>
        </w:rPr>
        <w:t>(Ong et al., 2018)</w:t>
      </w:r>
      <w:r w:rsidR="00506FBE">
        <w:fldChar w:fldCharType="end"/>
      </w:r>
      <w:r w:rsidRPr="005765BE">
        <w:t xml:space="preserve">. </w:t>
      </w:r>
      <w:r>
        <w:t xml:space="preserve">It </w:t>
      </w:r>
      <w:r w:rsidRPr="005765BE">
        <w:t>may be a particularly useful treatment target</w:t>
      </w:r>
      <w:r>
        <w:t xml:space="preserve"> to examine</w:t>
      </w:r>
      <w:r w:rsidRPr="005765BE">
        <w:t xml:space="preserve"> as ACT is designed to </w:t>
      </w:r>
      <w:r>
        <w:t>improve</w:t>
      </w:r>
      <w:r w:rsidRPr="005765BE">
        <w:t xml:space="preserve"> it directly</w:t>
      </w:r>
      <w:r>
        <w:t>,</w:t>
      </w:r>
      <w:r w:rsidR="000C033F">
        <w:t xml:space="preserve"> and</w:t>
      </w:r>
      <w:r w:rsidRPr="005765BE">
        <w:t xml:space="preserve"> there is evidence </w:t>
      </w:r>
      <w:r>
        <w:t>that improvements in ACT</w:t>
      </w:r>
      <w:r w:rsidRPr="005765BE">
        <w:t xml:space="preserve"> </w:t>
      </w:r>
      <w:r w:rsidR="00C51376">
        <w:t>are mediated by</w:t>
      </w:r>
      <w:r>
        <w:t xml:space="preserve"> psychological </w:t>
      </w:r>
      <w:r w:rsidR="00C51376">
        <w:t>in</w:t>
      </w:r>
      <w:r>
        <w:t>flexibility</w:t>
      </w:r>
      <w:r w:rsidR="004A2F9D">
        <w:t xml:space="preserve"> </w:t>
      </w:r>
      <w:r w:rsidR="004A2F9D">
        <w:fldChar w:fldCharType="begin" w:fldLock="1"/>
      </w:r>
      <w:r w:rsidR="007F66F8">
        <w:instrText>ADDIN CSL_CITATION {"citationItems":[{"id":"ITEM-1","itemData":{"DOI":"10.1017/S1352465818000553","ISSN":"14691833","PMID":"30284528","abstract":"Background: Mediation studies test the mechanisms by which interventions produce clinical outcomes. Consistent positive mediation results have previously been evidenced (Hayes et al., 2006) for the putative processes that compromise the psychological flexibility model of acceptance and commitment therapy (ACT). Aims: The present review aimed to update and extend the ACT mediation evidence base by reviewing mediation studies published since the review of Hayes et al. (2006). Method: ACT mediation studies published between 2006 and 2015 were systematically collated, synthesized and quality assessed. Results: Twelve studies met inclusion criteria and findings were synthesized by (a) the putative processes under investigation, and (b) the outcomes on which processes were tested for mediation. Mediation results were found to be generally consistent with the psychological flexibility model of ACT. However, studies were limited in methodological quality and were overly focused on a small number of putative processes. Conclusions: Further research is required that addresses the identified methodological limitations and also examines currently under-researched putative processes.","author":[{"dropping-particle":"","family":"Stockton","given":"Daniel","non-dropping-particle":"","parse-names":false,"suffix":""},{"dropping-particle":"","family":"Kellett","given":"Stephen","non-dropping-particle":"","parse-names":false,"suffix":""},{"dropping-particle":"","family":"Berrios","given":"Raul","non-dropping-particle":"","parse-names":false,"suffix":""},{"dropping-particle":"","family":"Sirois","given":"Fuschia","non-dropping-particle":"","parse-names":false,"suffix":""},{"dropping-particle":"","family":"Wilkinson","given":"Nicolas","non-dropping-particle":"","parse-names":false,"suffix":""},{"dropping-particle":"","family":"Miles","given":"Georgina","non-dropping-particle":"","parse-names":false,"suffix":""}],"container-title":"Behavioural and Cognitive Psychotherapy","id":"ITEM-1","issue":"3","issued":{"date-parts":[["2019"]]},"page":"332-362","title":"Identifying the underlying mechanisms of change during acceptance and commitment therapy (ACT): A systematic review of contemporary mediation studies","type":"article-journal","volume":"47"},"uris":["http://www.mendeley.com/documents/?uuid=9d76cfd9-994e-454f-8165-fe82052e24d7"]}],"mendeley":{"formattedCitation":"(Stockton et al., 2019)","plainTextFormattedCitation":"(Stockton et al., 2019)","previouslyFormattedCitation":"(Stockton et al., 2019)"},"properties":{"noteIndex":0},"schema":"https://github.com/citation-style-language/schema/raw/master/csl-citation.json"}</w:instrText>
      </w:r>
      <w:r w:rsidR="004A2F9D">
        <w:fldChar w:fldCharType="separate"/>
      </w:r>
      <w:r w:rsidR="00543AD6" w:rsidRPr="00543AD6">
        <w:rPr>
          <w:noProof/>
        </w:rPr>
        <w:t>(Stockton et al., 2019)</w:t>
      </w:r>
      <w:r w:rsidR="004A2F9D">
        <w:fldChar w:fldCharType="end"/>
      </w:r>
      <w:r w:rsidR="004A2F9D">
        <w:t>.</w:t>
      </w:r>
      <w:r w:rsidRPr="005765BE">
        <w:t xml:space="preserve"> </w:t>
      </w:r>
      <w:r w:rsidR="00D1072C">
        <w:t xml:space="preserve">Low mindfulness (i.e., inattention) is one component of psychological inflexibility that may be particularly relevant to hoarding, given that hoarding is often comorbid with ADHD </w:t>
      </w:r>
      <w:r w:rsidR="00884357">
        <w:t>(Frost et al., 2015)</w:t>
      </w:r>
      <w:r w:rsidR="008C130B">
        <w:t>.</w:t>
      </w:r>
      <w:r w:rsidR="00D1072C">
        <w:t xml:space="preserve"> </w:t>
      </w:r>
      <w:r w:rsidRPr="005765BE">
        <w:t xml:space="preserve">Stigma has also been identified as </w:t>
      </w:r>
      <w:r>
        <w:t xml:space="preserve">an </w:t>
      </w:r>
      <w:r w:rsidRPr="005765BE">
        <w:t xml:space="preserve">important </w:t>
      </w:r>
      <w:r>
        <w:t xml:space="preserve">process </w:t>
      </w:r>
      <w:r w:rsidRPr="005765BE">
        <w:t>in hoarding</w:t>
      </w:r>
      <w:r>
        <w:t>;</w:t>
      </w:r>
      <w:r w:rsidRPr="005765BE">
        <w:t xml:space="preserve"> hoarding is highly stigmatized and self-stigma decreases treatment-seeking willingness </w:t>
      </w:r>
      <w:r w:rsidRPr="005765BE">
        <w:fldChar w:fldCharType="begin" w:fldLock="1"/>
      </w:r>
      <w:r w:rsidRPr="005765BE">
        <w:instrText>ADDIN CSL_CITATION {"citationItems":[{"id":"ITEM-1","itemData":{"DOI":"10.1016/j.jocrd.2017.12.006","ISSN":"22113657","abstract":"There are no systematic investigations of public stigma of hoarding disorder (HD), and although there have been some studies on the public perception of obsessive-compulsive disorder (OCD), such research has not examined three theoretically informed facets of stigma: difference (“They aren't like me”), disdain (“They are bad”), and blame (“They are to blame”). The current Internet study evaluated these three facets of stigma in a general sample of 591 adults by comparing ratings of public perception for HD, OCD, serious mental illness (SMI), substance use disorders (SUD), and those in jail. Results indicate that HD is mostly associated with a neutral or negative public perception across all stigma facets, but OCD is associated with mostly positive or neutral public perception. Across all stigma ratings, HD was viewed more negatively than OCD. Comparison of ratings across conditions and the three facets of stigma suggest a nuanced picture in which HD and OCD demonstrate differences in public perceptions compared to jail, SMI, and SUD, some in the positive direction and some in the negative. In addition, among those who scored in a clinically elevated range of HD symptom severity, one facet of public stigma (i.e., a proxy for self-stigma) was negatively correlated with an index of treatment-seeking willingness, implicating stigma as a potential factor in the treatment ambivalence commonly associated with HD treatment.","author":[{"dropping-particle":"","family":"Chasson","given":"Gregory S.","non-dropping-particle":"","parse-names":false,"suffix":""},{"dropping-particle":"","family":"Guy","given":"Arryn A.","non-dropping-particle":"","parse-names":false,"suffix":""},{"dropping-particle":"","family":"Bates","given":"Sage","non-dropping-particle":"","parse-names":false,"suffix":""},{"dropping-particle":"","family":"Corrigan","given":"Patrick W.","non-dropping-particle":"","parse-names":false,"suffix":""}],"container-title":"Journal of Obsessive-Compulsive and Related Disorders","id":"ITEM-1","issued":{"date-parts":[["2018"]]},"page":"56-65","publisher":"Elsevier Ltd","title":"They aren't like me, they are bad, and they are to blame: A theoretically-informed study of stigma of hoarding disorder and obsessive-compulsive disorder","type":"article-journal","volume":"16"},"uris":["http://www.mendeley.com/documents/?uuid=6a0a1533-144d-4dfb-970c-487065e8b77f"]}],"mendeley":{"formattedCitation":"(Chasson et al., 2018)","plainTextFormattedCitation":"(Chasson et al., 2018)","previouslyFormattedCitation":"(Chasson et al., 2018)"},"properties":{"noteIndex":0},"schema":"https://github.com/citation-style-language/schema/raw/master/csl-citation.json"}</w:instrText>
      </w:r>
      <w:r w:rsidRPr="005765BE">
        <w:fldChar w:fldCharType="separate"/>
      </w:r>
      <w:r w:rsidRPr="005765BE">
        <w:rPr>
          <w:noProof/>
        </w:rPr>
        <w:t>(Chasson et al., 2018)</w:t>
      </w:r>
      <w:r w:rsidRPr="005765BE">
        <w:fldChar w:fldCharType="end"/>
      </w:r>
      <w:r>
        <w:t>.</w:t>
      </w:r>
      <w:r w:rsidRPr="005765BE">
        <w:t xml:space="preserve"> </w:t>
      </w:r>
      <w:r>
        <w:t>I</w:t>
      </w:r>
      <w:r w:rsidRPr="005765BE">
        <w:t xml:space="preserve">t may be particularly painful to identify, address, and work on a hoarding problem when </w:t>
      </w:r>
      <w:r w:rsidR="000C033F">
        <w:t>the afflicted individual</w:t>
      </w:r>
      <w:r w:rsidRPr="005765BE">
        <w:t xml:space="preserve"> believes that people with hoarding problems deserve disdain and blame. </w:t>
      </w:r>
      <w:r w:rsidR="000C033F">
        <w:t xml:space="preserve">Notably, </w:t>
      </w:r>
      <w:r w:rsidRPr="005765BE">
        <w:t xml:space="preserve">ACT can also effectively decrease stigma </w:t>
      </w:r>
      <w:r w:rsidRPr="005765BE">
        <w:fldChar w:fldCharType="begin" w:fldLock="1"/>
      </w:r>
      <w:r w:rsidR="001B1B47">
        <w:instrText>ADDIN CSL_CITATION {"citationItems":[{"id":"ITEM-1","itemData":{"DOI":"10.1016/j.jcbs.2017.11.002","ISSN":"22121447","abstract":"© 2017 Association for Contextual Behavioral Science. Stigma is known to have major impacts on the physical and psychological health of many groups. Psychological inflexibility is a psychological process that may help explain the impact of stigma on both self and others. Accordingly, acceptance and commitment therapy (ACT), which targets psychological inflexibility, has been researched as a potential treatment for stigma. In order to provide a comprehensive overview of these issues, this paper offers a systematic review and meta-analysis of the association between psychological inflexibility and stigma, as well as a systematic review of ACT interventions for stigma. The results of the meta-analysis showed a positive, medium-to-large association between psychological inflexibility and stigma measures aggregating across 16 studies. The systematic review of interventions identified 15 studies on ACT interventions for stigma. Initial findings indicate consistent reductions in stigma following ACT interventions, as well as improved outcomes relative to active controls. Data on mediation and moderation, as well as long-term outcomes, are also presented. Implications for conceptualizing and treating stigma, and limitations of the research, are discussed.","author":[{"dropping-particle":"","family":"Krafft","given":"Jennifer","non-dropping-particle":"","parse-names":false,"suffix":""},{"dropping-particle":"","family":"Ferrell","given":"J.","non-dropping-particle":"","parse-names":false,"suffix":""},{"dropping-particle":"","family":"Levin","given":"M.E.","non-dropping-particle":"","parse-names":false,"suffix":""},{"dropping-particle":"","family":"Twohig","given":"M.P.","non-dropping-particle":"","parse-names":false,"suffix":""}],"container-title":"Journal of Contextual Behavioral Science","id":"ITEM-1","issued":{"date-parts":[["2018"]]},"page":"15-28","title":"Psychological inflexibility and stigma: A meta-analytic review","type":"article-journal","volume":"7"},"uris":["http://www.mendeley.com/documents/?uuid=33d778e1-68dd-3e1a-ba91-7d60e0719153"]}],"mendeley":{"formattedCitation":"(Krafft et al., 2018)","plainTextFormattedCitation":"(Krafft et al., 2018)","previouslyFormattedCitation":"(Krafft et al., 2018)"},"properties":{"noteIndex":0},"schema":"https://github.com/citation-style-language/schema/raw/master/csl-citation.json"}</w:instrText>
      </w:r>
      <w:r w:rsidRPr="005765BE">
        <w:fldChar w:fldCharType="separate"/>
      </w:r>
      <w:r w:rsidR="001B1B47" w:rsidRPr="001B1B47">
        <w:rPr>
          <w:noProof/>
        </w:rPr>
        <w:t>(Krafft et al., 2018)</w:t>
      </w:r>
      <w:r w:rsidRPr="005765BE">
        <w:fldChar w:fldCharType="end"/>
      </w:r>
      <w:r w:rsidRPr="005765BE">
        <w:t>.</w:t>
      </w:r>
      <w:r w:rsidR="000C033F">
        <w:t xml:space="preserve"> Thus, psychological </w:t>
      </w:r>
      <w:r w:rsidR="00C51376">
        <w:t>in</w:t>
      </w:r>
      <w:r w:rsidR="000C033F">
        <w:t>flexibility</w:t>
      </w:r>
      <w:r w:rsidR="008C130B">
        <w:t>, mindfulness,</w:t>
      </w:r>
      <w:r w:rsidR="000C033F">
        <w:t xml:space="preserve"> and stigma merit investigation as potential mediators of change in ACT for hoarding.</w:t>
      </w:r>
    </w:p>
    <w:p w14:paraId="008D8F31" w14:textId="3DD25923" w:rsidR="009F7E63" w:rsidRPr="005765BE" w:rsidRDefault="00E450AE" w:rsidP="009F7E63">
      <w:pPr>
        <w:spacing w:line="480" w:lineRule="auto"/>
        <w:ind w:firstLine="720"/>
      </w:pPr>
      <w:r>
        <w:lastRenderedPageBreak/>
        <w:t xml:space="preserve">It is also important to evaluate potential moderators of ACT for hoarding disorder. </w:t>
      </w:r>
      <w:r w:rsidR="009F7E63" w:rsidRPr="005765BE">
        <w:t xml:space="preserve">Past research suggests age moderates treatment efficacy of hoarding, with younger age associated with greater improvement in symptoms at post-treatment in one meta-analysis </w:t>
      </w:r>
      <w:r w:rsidR="009F7E63" w:rsidRPr="005765BE">
        <w:fldChar w:fldCharType="begin" w:fldLock="1"/>
      </w:r>
      <w:r w:rsidR="009F7E63" w:rsidRPr="005765BE">
        <w:instrText>ADDIN CSL_CITATION {"citationItems":[{"id":"ITEM-1","itemData":{"DOI":"10.1002/da.22327","ISSN":"10914269","author":[{"dropping-particle":"","family":"Tolin","given":"David F.","non-dropping-particle":"","parse-names":false,"suffix":""},{"dropping-particle":"","family":"Frost","given":"Randy O.","non-dropping-particle":"","parse-names":false,"suffix":""},{"dropping-particle":"","family":"Steketee","given":"Gail","non-dropping-particle":"","parse-names":false,"suffix":""},{"dropping-particle":"","family":"Muroff","given":"Jordana","non-dropping-particle":"","parse-names":false,"suffix":""}],"container-title":"Depression and Anxiety","id":"ITEM-1","issued":{"date-parts":[["2015"]]},"page":"158-166","title":"Cognitive behavioral therapy for hoarding disorder: A meta-analysis","type":"article-journal","volume":"32"},"uris":["http://www.mendeley.com/documents/?uuid=d6a717d0-bb9d-4ecf-ad4b-e4699b30f7a5"]}],"mendeley":{"formattedCitation":"(Tolin et al., 2015)","plainTextFormattedCitation":"(Tolin et al., 2015)","previouslyFormattedCitation":"(Tolin et al., 2015)"},"properties":{"noteIndex":0},"schema":"https://github.com/citation-style-language/schema/raw/master/csl-citation.json"}</w:instrText>
      </w:r>
      <w:r w:rsidR="009F7E63" w:rsidRPr="005765BE">
        <w:fldChar w:fldCharType="separate"/>
      </w:r>
      <w:r w:rsidR="009F7E63" w:rsidRPr="005765BE">
        <w:rPr>
          <w:noProof/>
        </w:rPr>
        <w:t>(Tolin et al., 2015)</w:t>
      </w:r>
      <w:r w:rsidR="009F7E63" w:rsidRPr="005765BE">
        <w:fldChar w:fldCharType="end"/>
      </w:r>
      <w:r w:rsidR="009F7E63" w:rsidRPr="005765BE">
        <w:t>. However, a more recent meta-analysis found that age did not moderate treatment effects</w:t>
      </w:r>
      <w:r w:rsidR="004A2F9D">
        <w:t xml:space="preserve"> </w:t>
      </w:r>
      <w:r w:rsidR="004A2F9D">
        <w:fldChar w:fldCharType="begin" w:fldLock="1"/>
      </w:r>
      <w:r w:rsidR="00933F05">
        <w:instrText>ADDIN CSL_CITATION {"citationItems":[{"id":"ITEM-1","itemData":{"DOI":"10.1002/da.22327","ISSN":"15206394","PMID":"25639467","abstract":"Background Hoarding disorder (HD) is a new diagnosis in DSM-5 (American Psychiatric Association, 2013). Cognitive-behavioral therapy (CBT) appears promising for the treatment of HD, and has been tested in both individual and group settings. Methods The present study used meta-analytic techniques to examine the overall strength of effect of CBT on HD, as well as on its component symptoms (clutter, difficulty discarding, and acquiring) and associated functional impairment. Potential demographic and treatment-related moderators of CBT response, as well as the presence of clinically significant change were also examined. From 114 published articles, 10 articles comprising 12 distinct HD samples (N = 232) met inclusion criteria and were retained for analysis. Results HD symptom severity decreased significantly across studies with a large effect size. The strongest effects were seen for difficulty discarding, followed by clutter and acquiring. Functional impairment showed the smallest effect in the moderate range. Female gender, younger age, a greater number of CBT sessions, and a greater number of home visits were associated with better clinical outcomes. Reliable change was found in the majority of samples for each outcome domain. Rates of clinically significant change, however, were lower (percentage ranged from 24 to 43). Thus, in most cases, study patients' post-treatment scores remained closer to the HD range than to the normal range. Conclusions CBT is a promising treatment for HD, although there is significant room for improvement. Results are discussed in terms of treatment refinement for HD, and additional moderator variables are suggested for further study.","author":[{"dropping-particle":"","family":"Rodgers","given":"Natasha","non-dropping-particle":"","parse-names":false,"suffix":""},{"dropping-particle":"","family":"McDonald","given":"Sarah","non-dropping-particle":"","parse-names":false,"suffix":""},{"dropping-particle":"","family":"Wootton","given":"Bethany M.","non-dropping-particle":"","parse-names":false,"suffix":""}],"container-title":"Journal of Affective Disorders","id":"ITEM-1","issued":{"date-parts":[["2021"]]},"page":"128-135","publisher":"Elsevier B.V.","title":"Cognitive behavioral therapy for hoarding disorder: An updated meta-analysis","type":"article-journal","volume":"290"},"uris":["http://www.mendeley.com/documents/?uuid=a329781d-d444-4c17-be41-e631061cb08a"]}],"mendeley":{"formattedCitation":"(Rodgers et al., 2021)","plainTextFormattedCitation":"(Rodgers et al., 2021)","previouslyFormattedCitation":"(Rodgers et al., 2021)"},"properties":{"noteIndex":0},"schema":"https://github.com/citation-style-language/schema/raw/master/csl-citation.json"}</w:instrText>
      </w:r>
      <w:r w:rsidR="004A2F9D">
        <w:fldChar w:fldCharType="separate"/>
      </w:r>
      <w:r w:rsidR="004A2F9D" w:rsidRPr="004A2F9D">
        <w:rPr>
          <w:noProof/>
        </w:rPr>
        <w:t>(Rodgers et al., 2021)</w:t>
      </w:r>
      <w:r w:rsidR="004A2F9D">
        <w:fldChar w:fldCharType="end"/>
      </w:r>
      <w:r w:rsidR="009F7E63" w:rsidRPr="005765BE">
        <w:t xml:space="preserve">. More research is therefore needed to clarify how age may </w:t>
      </w:r>
      <w:r>
        <w:t>impact</w:t>
      </w:r>
      <w:r w:rsidR="009F7E63" w:rsidRPr="005765BE">
        <w:t xml:space="preserve"> treatment response, particularly because some research suggests that the prevalence of HD likely increases with age </w:t>
      </w:r>
      <w:r w:rsidR="00933F05">
        <w:fldChar w:fldCharType="begin" w:fldLock="1"/>
      </w:r>
      <w:r w:rsidR="00933F05">
        <w:instrText>ADDIN CSL_CITATION {"citationItems":[{"id":"ITEM-1","itemData":{"DOI":"10.1016/j.jad.2019.06.004","ISSN":"15732517","PMID":"31200169","abstract":"Currently there is uncertainty concerning the prevalence of Hoarding Disorder (HD) due to methodological issues in the evidence base. Estimates have widely ranged from between 1.5% and 6% of the general population. This systematic review and meta-analysis therefore aimed to summarise and reliably estimate the prevalence of HD by employing strict inclusion criteria and using studies with sufficiently large samples. A systematic literature search was conducted to identify all relevant prevalence studies. Inclusion criteria were studies that reported working age adult HD prevalence rates and had sample sizes of at least 1009 participants. Eleven studies met criteria (n = 53,378), had low risk of bias and were originally based in developed countries. A random effects meta-analysis was then conducted, with subgroup moderator analysis and meta-regression. The pooled estimated prevalence for HD was 2.5% (CI 1.7–3.6%) and subgroup analyses revealed that prevalence rates were similar for both males and females. Guidance on the manner in which HD is assessed in future prevalence studies is provided and the clinical implications of the results discussed.","author":[{"dropping-particle":"","family":"Postlethwaite","given":"Adam","non-dropping-particle":"","parse-names":false,"suffix":""},{"dropping-particle":"","family":"Kellett","given":"Stephen","non-dropping-particle":"","parse-names":false,"suffix":""},{"dropping-particle":"","family":"Mataix-Cols","given":"David","non-dropping-particle":"","parse-names":false,"suffix":""}],"container-title":"Journal of Affective Disorders","id":"ITEM-1","issue":"2019","issued":{"date-parts":[["2019"]]},"page":"309-316","publisher":"Elsevier B.V.","title":"Prevalence of hoarding disorder: A systematic review and meta-analysis","type":"article-journal","volume":"256"},"uris":["http://www.mendeley.com/documents/?uuid=79d9d965-271b-46a3-b462-31f40b524cf7"]}],"mendeley":{"formattedCitation":"(Postlethwaite et al., 2019)","plainTextFormattedCitation":"(Postlethwaite et al., 2019)","previouslyFormattedCitation":"(Postlethwaite et al., 2019)"},"properties":{"noteIndex":0},"schema":"https://github.com/citation-style-language/schema/raw/master/csl-citation.json"}</w:instrText>
      </w:r>
      <w:r w:rsidR="00933F05">
        <w:fldChar w:fldCharType="separate"/>
      </w:r>
      <w:r w:rsidR="00933F05" w:rsidRPr="00933F05">
        <w:rPr>
          <w:noProof/>
        </w:rPr>
        <w:t>(Postlethwaite et al., 2019)</w:t>
      </w:r>
      <w:r w:rsidR="00933F05">
        <w:fldChar w:fldCharType="end"/>
      </w:r>
      <w:r w:rsidR="009F7E63" w:rsidRPr="005765BE">
        <w:t xml:space="preserve">. </w:t>
      </w:r>
      <w:r w:rsidR="00761BBD">
        <w:t>G</w:t>
      </w:r>
      <w:r w:rsidR="009F7E63" w:rsidRPr="005765BE">
        <w:t xml:space="preserve">ender </w:t>
      </w:r>
      <w:r w:rsidR="00761BBD">
        <w:t xml:space="preserve">may also </w:t>
      </w:r>
      <w:r w:rsidR="009F7E63" w:rsidRPr="005765BE">
        <w:t xml:space="preserve">moderate outcomes; </w:t>
      </w:r>
      <w:proofErr w:type="spellStart"/>
      <w:r w:rsidR="009F7E63" w:rsidRPr="005765BE">
        <w:t>Tolin</w:t>
      </w:r>
      <w:proofErr w:type="spellEnd"/>
      <w:r w:rsidR="009F7E63" w:rsidRPr="005765BE">
        <w:t xml:space="preserve"> and colleagues (2015) found that gender had a moderating effect for HD symptoms and acquiring/discarding behaviors</w:t>
      </w:r>
      <w:r>
        <w:t xml:space="preserve"> in CBT trials</w:t>
      </w:r>
      <w:r w:rsidR="009F7E63" w:rsidRPr="005765BE">
        <w:t xml:space="preserve">. This finding was supported in a more recent meta-analysis, </w:t>
      </w:r>
      <w:r w:rsidR="009F7E63">
        <w:t>which reported</w:t>
      </w:r>
      <w:r w:rsidR="009F7E63" w:rsidRPr="005765BE">
        <w:t xml:space="preserve"> that studies with more female participants had greater effect sizes than those with</w:t>
      </w:r>
      <w:r w:rsidR="009F7E63">
        <w:t xml:space="preserve"> fewer</w:t>
      </w:r>
      <w:r w:rsidR="009F7E63" w:rsidRPr="005765BE">
        <w:t xml:space="preserve"> female participants</w:t>
      </w:r>
      <w:r w:rsidR="00933F05">
        <w:t xml:space="preserve"> </w:t>
      </w:r>
      <w:r w:rsidR="00933F05">
        <w:fldChar w:fldCharType="begin" w:fldLock="1"/>
      </w:r>
      <w:r w:rsidR="00933F05">
        <w:instrText>ADDIN CSL_CITATION {"citationItems":[{"id":"ITEM-1","itemData":{"DOI":"10.1002/da.22327","ISSN":"15206394","PMID":"25639467","abstract":"Background Hoarding disorder (HD) is a new diagnosis in DSM-5 (American Psychiatric Association, 2013). Cognitive-behavioral therapy (CBT) appears promising for the treatment of HD, and has been tested in both individual and group settings. Methods The present study used meta-analytic techniques to examine the overall strength of effect of CBT on HD, as well as on its component symptoms (clutter, difficulty discarding, and acquiring) and associated functional impairment. Potential demographic and treatment-related moderators of CBT response, as well as the presence of clinically significant change were also examined. From 114 published articles, 10 articles comprising 12 distinct HD samples (N = 232) met inclusion criteria and were retained for analysis. Results HD symptom severity decreased significantly across studies with a large effect size. The strongest effects were seen for difficulty discarding, followed by clutter and acquiring. Functional impairment showed the smallest effect in the moderate range. Female gender, younger age, a greater number of CBT sessions, and a greater number of home visits were associated with better clinical outcomes. Reliable change was found in the majority of samples for each outcome domain. Rates of clinically significant change, however, were lower (percentage ranged from 24 to 43). Thus, in most cases, study patients' post-treatment scores remained closer to the HD range than to the normal range. Conclusions CBT is a promising treatment for HD, although there is significant room for improvement. Results are discussed in terms of treatment refinement for HD, and additional moderator variables are suggested for further study.","author":[{"dropping-particle":"","family":"Rodgers","given":"Natasha","non-dropping-particle":"","parse-names":false,"suffix":""},{"dropping-particle":"","family":"McDonald","given":"Sarah","non-dropping-particle":"","parse-names":false,"suffix":""},{"dropping-particle":"","family":"Wootton","given":"Bethany M.","non-dropping-particle":"","parse-names":false,"suffix":""}],"container-title":"Journal of Affective Disorders","id":"ITEM-1","issued":{"date-parts":[["2021"]]},"page":"128-135","publisher":"Elsevier B.V.","title":"Cognitive behavioral therapy for hoarding disorder: An updated meta-analysis","type":"article-journal","volume":"290"},"uris":["http://www.mendeley.com/documents/?uuid=a329781d-d444-4c17-be41-e631061cb08a"]}],"mendeley":{"formattedCitation":"(Rodgers et al., 2021)","plainTextFormattedCitation":"(Rodgers et al., 2021)","previouslyFormattedCitation":"(Rodgers et al., 2021)"},"properties":{"noteIndex":0},"schema":"https://github.com/citation-style-language/schema/raw/master/csl-citation.json"}</w:instrText>
      </w:r>
      <w:r w:rsidR="00933F05">
        <w:fldChar w:fldCharType="separate"/>
      </w:r>
      <w:r w:rsidR="00933F05" w:rsidRPr="00933F05">
        <w:rPr>
          <w:noProof/>
        </w:rPr>
        <w:t>(Rodgers et al., 2021)</w:t>
      </w:r>
      <w:r w:rsidR="00933F05">
        <w:fldChar w:fldCharType="end"/>
      </w:r>
      <w:r w:rsidR="00933F05">
        <w:t>.</w:t>
      </w:r>
      <w:r w:rsidR="009F7E63" w:rsidRPr="005765BE">
        <w:t xml:space="preserve"> Lastly, because ACT targets psychological </w:t>
      </w:r>
      <w:r w:rsidR="008C130B">
        <w:t>in</w:t>
      </w:r>
      <w:r w:rsidR="009F7E63" w:rsidRPr="005765BE">
        <w:t xml:space="preserve">flexibility, it may be important to examine baseline levels of psychological </w:t>
      </w:r>
      <w:r w:rsidR="008C130B">
        <w:t>in</w:t>
      </w:r>
      <w:r w:rsidR="009F7E63" w:rsidRPr="005765BE">
        <w:t>flexibility as a moderator</w:t>
      </w:r>
      <w:r w:rsidR="007B2132">
        <w:t>. I</w:t>
      </w:r>
      <w:r w:rsidR="009F7E63" w:rsidRPr="005765BE">
        <w:t>t is possible that individuals who are already</w:t>
      </w:r>
      <w:r w:rsidR="00CA3C6F">
        <w:t xml:space="preserve"> lower in psychological inflexibility</w:t>
      </w:r>
      <w:r w:rsidR="00CA3C6F" w:rsidRPr="005765BE">
        <w:t xml:space="preserve"> </w:t>
      </w:r>
      <w:r w:rsidR="009F7E63" w:rsidRPr="005765BE">
        <w:t xml:space="preserve">may engage in and respond to treatment more effectively. Alternatively, individuals with </w:t>
      </w:r>
      <w:r w:rsidR="00CA3C6F">
        <w:t>high</w:t>
      </w:r>
      <w:r w:rsidR="00CA3C6F" w:rsidRPr="005765BE">
        <w:t xml:space="preserve"> </w:t>
      </w:r>
      <w:r w:rsidR="009F7E63" w:rsidRPr="005765BE">
        <w:t xml:space="preserve">psychological </w:t>
      </w:r>
      <w:r w:rsidR="00CA3C6F">
        <w:t>in</w:t>
      </w:r>
      <w:r w:rsidR="009F7E63" w:rsidRPr="005765BE">
        <w:t>flexibility may benefit from treatment the most</w:t>
      </w:r>
      <w:r w:rsidR="009F7E63">
        <w:t xml:space="preserve"> and report greater gains</w:t>
      </w:r>
      <w:r w:rsidR="009F7E63" w:rsidRPr="005765BE">
        <w:t xml:space="preserve">. There is some evidence that baseline psychological </w:t>
      </w:r>
      <w:r w:rsidR="00E17FB9">
        <w:t>in</w:t>
      </w:r>
      <w:r w:rsidR="009F7E63" w:rsidRPr="005765BE">
        <w:t xml:space="preserve">flexibility moderates relative efficacy of ACT </w:t>
      </w:r>
      <w:r w:rsidR="009F7E63">
        <w:t xml:space="preserve">for other clinical concerns </w:t>
      </w:r>
      <w:r w:rsidR="009F7E63" w:rsidRPr="005765BE">
        <w:t xml:space="preserve">in some studies </w:t>
      </w:r>
      <w:r w:rsidR="009F7E63" w:rsidRPr="005765BE">
        <w:fldChar w:fldCharType="begin" w:fldLock="1"/>
      </w:r>
      <w:r w:rsidR="009F7E63" w:rsidRPr="005765BE">
        <w:instrText>ADDIN CSL_CITATION {"citationItems":[{"id":"ITEM-1","itemData":{"author":[{"dropping-particle":"","family":"Craske","given":"Michelle G","non-dropping-particle":"","parse-names":false,"suffix":""},{"dropping-particle":"","family":"Niles","given":"Andrea N","non-dropping-particle":"","parse-names":false,"suffix":""},{"dropping-particle":"","family":"Burklund","given":"Lisa J","non-dropping-particle":"","parse-names":false,"suffix":""},{"dropping-particle":"","family":"Wolitzky-Taylor","given":"Kate B","non-dropping-particle":"","parse-names":false,"suffix":""},{"dropping-particle":"","family":"Plumb Vilardaga","given":"Jennifer C","non-dropping-particle":"","parse-names":false,"suffix":""},{"dropping-particle":"","family":"Arch","given":"Joanna J","non-dropping-particle":"","parse-names":false,"suffix":""},{"dropping-particle":"","family":"Saxbe","given":"Darby E","non-dropping-particle":"","parse-names":false,"suffix":""},{"dropping-particle":"","family":"Lieberman","given":"Matthew D","non-dropping-particle":"","parse-names":false,"suffix":""}],"container-title":"Journal of Consulting and Clinical Psychology","id":"ITEM-1","issued":{"date-parts":[["2014"]]},"page":"1034-1048","title":"Randomized controlled trial of cognitive behavioral therapy and acceptance and commitment therapy for social phobia: Outcomes and moderators","type":"article-journal","volume":"82"},"uris":["http://www.mendeley.com/documents/?uuid=7d5a0320-b373-4218-b07a-37e5a769f317"]}],"mendeley":{"formattedCitation":"(Craske et al., 2014)","plainTextFormattedCitation":"(Craske et al., 2014)","previouslyFormattedCitation":"(Craske et al., 2014)"},"properties":{"noteIndex":0},"schema":"https://github.com/citation-style-language/schema/raw/master/csl-citation.json"}</w:instrText>
      </w:r>
      <w:r w:rsidR="009F7E63" w:rsidRPr="005765BE">
        <w:fldChar w:fldCharType="separate"/>
      </w:r>
      <w:r w:rsidR="009F7E63" w:rsidRPr="005765BE">
        <w:rPr>
          <w:noProof/>
        </w:rPr>
        <w:t>(Craske et al., 2014)</w:t>
      </w:r>
      <w:r w:rsidR="009F7E63" w:rsidRPr="005765BE">
        <w:fldChar w:fldCharType="end"/>
      </w:r>
      <w:r w:rsidR="009F7E63" w:rsidRPr="005765BE">
        <w:t>, while others do not find the same effect</w:t>
      </w:r>
      <w:r w:rsidR="00933F05">
        <w:t xml:space="preserve"> </w:t>
      </w:r>
      <w:r w:rsidR="00933F05">
        <w:fldChar w:fldCharType="begin" w:fldLock="1"/>
      </w:r>
      <w:r w:rsidR="001B1B47">
        <w:instrText>ADDIN CSL_CITATION {"citationItems":[{"id":"ITEM-1","itemData":{"DOI":"10.1016/j.jocrd.2019.100499","ISSN":"22113657","abstract":"The present study evaluated moderators and processes of change in a randomized controlled trial comparing exposure and response prevention (ERP) delivered from a traditional framework versus ERP from an acceptance and commitment therapy framework (ACT + ERP) for obsessive-compulsive disorder (OCD). This paper presents baseline, weekly session, posttreatment, and follow-up data from the study. We examined (a) moderation effects of anxiety, depression, psychological inflexibility, and interpretation of intrusions and (b) the role of psychological inflexibility and interpretation of intrusions respectively as processes of change. Participants with less dysfunctional appraisals at pretreatment performed consistently better in ERP relative to ACT + ERP. In process analyses, psychological inflexibility and interpretation of intrusions positively influenced OCD severity over time in both conditions but OCD symptom severity also positively influenced psychological inflexibility and interpretation of intrusions in both conditions. Furthermore, whereas OCD symptom severity strongly and positively predicted dysfunctional appraisals over the course of treatment in ERP, symptom severity had a weaker positive effect on dysfunctional appraisals in ACT + ERP. Clinical and theoretical implications as well as study limitations are discussed.","author":[{"dropping-particle":"","family":"Ong","given":"C. W.","non-dropping-particle":"","parse-names":false,"suffix":""},{"dropping-particle":"","family":"Blakey","given":"Shannon M.","non-dropping-particle":"","parse-names":false,"suffix":""},{"dropping-particle":"","family":"Smith","given":"Brooke M.","non-dropping-particle":"","parse-names":false,"suffix":""},{"dropping-particle":"","family":"Morrison","given":"Kate L.","non-dropping-particle":"","parse-names":false,"suffix":""},{"dropping-particle":"","family":"Bluett","given":"Ellen J.","non-dropping-particle":"","parse-names":false,"suffix":""},{"dropping-particle":"","family":"Abramowitz","given":"Jonathan S.","non-dropping-particle":"","parse-names":false,"suffix":""},{"dropping-particle":"","family":"Twohig","given":"Michael P.","non-dropping-particle":"","parse-names":false,"suffix":""}],"container-title":"Journal of Obsessive-Compulsive and Related Disorders","id":"ITEM-1","issued":{"date-parts":[["2020"]]},"page":"100499","publisher":"Elsevier Inc.","title":"Moderators and processes of change in traditional exposure and response prevention (ERP) versus acceptance and commitment therapy-informed ERP for obsessive-compulsive disorder","type":"article-journal","volume":"24"},"uris":["http://www.mendeley.com/documents/?uuid=5d265799-f26c-4008-8aaf-a6304cf93021"]}],"mendeley":{"formattedCitation":"(Ong et al., 2020)","plainTextFormattedCitation":"(Ong et al., 2020)","previouslyFormattedCitation":"(Ong et al., 2020)"},"properties":{"noteIndex":0},"schema":"https://github.com/citation-style-language/schema/raw/master/csl-citation.json"}</w:instrText>
      </w:r>
      <w:r w:rsidR="00933F05">
        <w:fldChar w:fldCharType="separate"/>
      </w:r>
      <w:r w:rsidR="00933F05" w:rsidRPr="00933F05">
        <w:rPr>
          <w:noProof/>
        </w:rPr>
        <w:t>(Ong et al., 2020)</w:t>
      </w:r>
      <w:r w:rsidR="00933F05">
        <w:fldChar w:fldCharType="end"/>
      </w:r>
      <w:r w:rsidR="009F7E63" w:rsidRPr="005765BE">
        <w:t xml:space="preserve">. </w:t>
      </w:r>
      <w:r w:rsidR="009F7E63">
        <w:t xml:space="preserve">Given the mixed findings, it is important to explore baseline psychological </w:t>
      </w:r>
      <w:r w:rsidR="00A21BB5">
        <w:t>in</w:t>
      </w:r>
      <w:r w:rsidR="009F7E63">
        <w:t>flexibility as a moderator,</w:t>
      </w:r>
      <w:r w:rsidR="009F7E63" w:rsidRPr="005765BE">
        <w:t xml:space="preserve"> particularly because </w:t>
      </w:r>
      <w:r w:rsidR="009F7E63">
        <w:t>it</w:t>
      </w:r>
      <w:r w:rsidR="009F7E63" w:rsidRPr="005765BE">
        <w:t xml:space="preserve"> has not</w:t>
      </w:r>
      <w:r w:rsidR="009F7E63">
        <w:t xml:space="preserve"> yet</w:t>
      </w:r>
      <w:r w:rsidR="009F7E63" w:rsidRPr="005765BE">
        <w:t xml:space="preserve"> been examined as a moderator in treatment trials of HD</w:t>
      </w:r>
      <w:r w:rsidR="009F7E63">
        <w:t>.</w:t>
      </w:r>
    </w:p>
    <w:p w14:paraId="51BAF25D" w14:textId="191D1F95" w:rsidR="009F7E63" w:rsidRPr="005765BE" w:rsidRDefault="009F7E63" w:rsidP="009F7E63">
      <w:pPr>
        <w:spacing w:line="480" w:lineRule="auto"/>
        <w:ind w:firstLine="720"/>
      </w:pPr>
      <w:r w:rsidRPr="005765BE">
        <w:t xml:space="preserve">In sum, </w:t>
      </w:r>
      <w:r w:rsidR="00E450AE">
        <w:t>mediators</w:t>
      </w:r>
      <w:r w:rsidRPr="005765BE">
        <w:t xml:space="preserve"> and moderators have received limited attention</w:t>
      </w:r>
      <w:r>
        <w:t xml:space="preserve"> in research on the treatment of HD</w:t>
      </w:r>
      <w:r w:rsidR="00FE49FE">
        <w:t>, with a dearth of such research on ACT for hoarding specifically</w:t>
      </w:r>
      <w:r>
        <w:t xml:space="preserve">. </w:t>
      </w:r>
      <w:r w:rsidRPr="005765BE">
        <w:t xml:space="preserve">If psychological inflexibility and self-stigma contribute to hoarding problems, and ACT for </w:t>
      </w:r>
      <w:r w:rsidRPr="005765BE">
        <w:lastRenderedPageBreak/>
        <w:t>hoarding works by targeting these processes (</w:t>
      </w:r>
      <w:r w:rsidR="00086DDD">
        <w:t>reduced</w:t>
      </w:r>
      <w:r w:rsidR="00086DDD" w:rsidRPr="005765BE">
        <w:t xml:space="preserve"> </w:t>
      </w:r>
      <w:r w:rsidRPr="005765BE">
        <w:t xml:space="preserve">psychological </w:t>
      </w:r>
      <w:r w:rsidR="00086DDD">
        <w:t>in</w:t>
      </w:r>
      <w:r w:rsidRPr="005765BE">
        <w:t>flexibility, decreased self-stigma</w:t>
      </w:r>
      <w:r w:rsidR="00086DDD">
        <w:t>, increased mindful awareness</w:t>
      </w:r>
      <w:r w:rsidRPr="005765BE">
        <w:t xml:space="preserve">), this would 1) clarify </w:t>
      </w:r>
      <w:r w:rsidR="006455E2">
        <w:t>mediators</w:t>
      </w:r>
      <w:r w:rsidRPr="005765BE">
        <w:t xml:space="preserve"> of change that can be targeted to address hoarding, which may help improve treatment broadly, and 2) clarify whether ACT for hoarding works through </w:t>
      </w:r>
      <w:r w:rsidR="00C2307B">
        <w:t>hypothesized</w:t>
      </w:r>
      <w:r w:rsidRPr="005765BE">
        <w:t xml:space="preserve"> mechanisms. Therefore, the present </w:t>
      </w:r>
      <w:r w:rsidR="00FE49FE">
        <w:t>secondary analysis</w:t>
      </w:r>
      <w:r w:rsidRPr="005765BE">
        <w:t xml:space="preserve"> aims to examine </w:t>
      </w:r>
      <w:r w:rsidR="00FE49FE">
        <w:t>the moderators and mediators of ACT for hoarding from a waitlist-controlled trial evaluating an ACT self-help website for hoarding (</w:t>
      </w:r>
      <w:r w:rsidR="00FE49FE">
        <w:rPr>
          <w:i/>
          <w:iCs/>
        </w:rPr>
        <w:t>citation masked for review</w:t>
      </w:r>
      <w:r w:rsidR="00FE49FE" w:rsidRPr="007B2132">
        <w:t>)</w:t>
      </w:r>
      <w:r w:rsidRPr="005765BE">
        <w:t xml:space="preserve">. More specifically, we </w:t>
      </w:r>
      <w:r w:rsidR="00C2307B">
        <w:t>sought</w:t>
      </w:r>
      <w:r w:rsidRPr="005765BE">
        <w:t xml:space="preserve"> to </w:t>
      </w:r>
      <w:r>
        <w:t>examine</w:t>
      </w:r>
      <w:r w:rsidRPr="005765BE">
        <w:t xml:space="preserve"> if self-stigma</w:t>
      </w:r>
      <w:r w:rsidR="00086DDD">
        <w:t xml:space="preserve">, </w:t>
      </w:r>
      <w:r w:rsidRPr="005765BE">
        <w:t>hoarding-related psychological inflexibility</w:t>
      </w:r>
      <w:r w:rsidR="00086DDD">
        <w:t>, and mindful awareness</w:t>
      </w:r>
      <w:r w:rsidRPr="005765BE">
        <w:t xml:space="preserve"> </w:t>
      </w:r>
      <w:r w:rsidR="00181CC3">
        <w:t>correlate</w:t>
      </w:r>
      <w:r w:rsidR="00C2307B">
        <w:t>d</w:t>
      </w:r>
      <w:r w:rsidR="00181CC3">
        <w:t xml:space="preserve"> with and </w:t>
      </w:r>
      <w:r w:rsidRPr="005765BE">
        <w:t>mediate</w:t>
      </w:r>
      <w:r w:rsidR="00C2307B">
        <w:t>d</w:t>
      </w:r>
      <w:r w:rsidRPr="005765BE">
        <w:t xml:space="preserve"> change in hoarding symptoms during ACT self-help for hoarding. We also evaluate</w:t>
      </w:r>
      <w:r w:rsidR="00C2307B">
        <w:t>d</w:t>
      </w:r>
      <w:r w:rsidRPr="005765BE">
        <w:t xml:space="preserve"> whether the efficacy of ACT self-help for hoarding </w:t>
      </w:r>
      <w:r>
        <w:t xml:space="preserve">was </w:t>
      </w:r>
      <w:r w:rsidRPr="005765BE">
        <w:t>moderated by age, gender, or baseline hoarding-related psychological inflexibility.</w:t>
      </w:r>
    </w:p>
    <w:p w14:paraId="08FB2279" w14:textId="77777777" w:rsidR="006077EE" w:rsidRPr="001419BF" w:rsidRDefault="006077EE" w:rsidP="007B2132">
      <w:pPr>
        <w:rPr>
          <w:b/>
          <w:bCs/>
        </w:rPr>
      </w:pPr>
    </w:p>
    <w:p w14:paraId="2B8CDCD3" w14:textId="77777777" w:rsidR="003B57BE" w:rsidRPr="00A829B3" w:rsidRDefault="003B57BE" w:rsidP="003B57BE">
      <w:pPr>
        <w:spacing w:line="480" w:lineRule="auto"/>
        <w:jc w:val="center"/>
        <w:rPr>
          <w:b/>
        </w:rPr>
      </w:pPr>
      <w:r w:rsidRPr="00A829B3">
        <w:rPr>
          <w:b/>
        </w:rPr>
        <w:t>Methods</w:t>
      </w:r>
    </w:p>
    <w:p w14:paraId="03327410" w14:textId="23F1538C" w:rsidR="003B57BE" w:rsidRDefault="003B57BE" w:rsidP="004A375A">
      <w:pPr>
        <w:spacing w:line="480" w:lineRule="auto"/>
        <w:rPr>
          <w:b/>
        </w:rPr>
      </w:pPr>
      <w:r w:rsidRPr="00A829B3">
        <w:rPr>
          <w:b/>
        </w:rPr>
        <w:t>Participants</w:t>
      </w:r>
    </w:p>
    <w:p w14:paraId="7C1EE225" w14:textId="5A0C9BF7" w:rsidR="00B808CC" w:rsidRPr="00B808CC" w:rsidRDefault="00B808CC" w:rsidP="004A375A">
      <w:pPr>
        <w:spacing w:line="480" w:lineRule="auto"/>
        <w:rPr>
          <w:bCs/>
        </w:rPr>
      </w:pPr>
      <w:r>
        <w:rPr>
          <w:b/>
        </w:rPr>
        <w:tab/>
      </w:r>
      <w:r>
        <w:rPr>
          <w:bCs/>
        </w:rPr>
        <w:t>Participants were eligible for this study if they</w:t>
      </w:r>
      <w:r>
        <w:t>:</w:t>
      </w:r>
      <w:r w:rsidRPr="00C6360C">
        <w:t xml:space="preserve"> </w:t>
      </w:r>
      <w:r>
        <w:t xml:space="preserve">1) </w:t>
      </w:r>
      <w:r w:rsidR="00C14FD7">
        <w:t xml:space="preserve">were </w:t>
      </w:r>
      <w:r>
        <w:t>18 years of age or older, 2) lived</w:t>
      </w:r>
      <w:r w:rsidRPr="00C6360C">
        <w:t xml:space="preserve"> in the USA</w:t>
      </w:r>
      <w:r>
        <w:t>, 3) were seeking</w:t>
      </w:r>
      <w:r w:rsidRPr="00C6360C">
        <w:t xml:space="preserve"> help for clutter and/or hoarding, </w:t>
      </w:r>
      <w:r>
        <w:t>4) were interested in testing a self-help website, and 5) met</w:t>
      </w:r>
      <w:r w:rsidRPr="00C6360C">
        <w:t xml:space="preserve"> the clinical cutoff of 41 on the Saving Inventory-Revised </w:t>
      </w:r>
      <w:r w:rsidRPr="00C6360C">
        <w:fldChar w:fldCharType="begin" w:fldLock="1"/>
      </w:r>
      <w:r>
        <w:instrText>ADDIN CSL_CITATION {"citationItems":[{"id":"ITEM-1","itemData":{"DOI":"10.1016/j.brat.2003.07.006","ISSN":"00057967","author":[{"dropping-particle":"","family":"Frost","given":"Randy O.","non-dropping-particle":"","parse-names":false,"suffix":""},{"dropping-particle":"","family":"Steketee","given":"Gail","non-dropping-particle":"","parse-names":false,"suffix":""},{"dropping-particle":"","family":"Grisham","given":"Jessica","non-dropping-particle":"","parse-names":false,"suffix":""}],"container-title":"Behaviour Research and Therapy","id":"ITEM-1","issued":{"date-parts":[["2004"]]},"page":"1163-1182","title":"Measurement of compulsive hoarding: Saving inventory-revised","type":"article-journal","volume":"42"},"uris":["http://www.mendeley.com/documents/?uuid=f95b1376-a1ef-4340-9cf1-bed5e88c20a6"]}],"mendeley":{"formattedCitation":"(Frost et al., 2004)","manualFormatting":"(SI-R; Frost et al., 2004)","plainTextFormattedCitation":"(Frost et al., 2004)","previouslyFormattedCitation":"(Frost et al., 2004)"},"properties":{"noteIndex":0},"schema":"https://github.com/citation-style-language/schema/raw/master/csl-citation.json"}</w:instrText>
      </w:r>
      <w:r w:rsidRPr="00C6360C">
        <w:fldChar w:fldCharType="separate"/>
      </w:r>
      <w:r w:rsidRPr="00C6360C">
        <w:rPr>
          <w:noProof/>
        </w:rPr>
        <w:t>(SI-R; Frost</w:t>
      </w:r>
      <w:r>
        <w:rPr>
          <w:noProof/>
        </w:rPr>
        <w:t xml:space="preserve"> et al., 2004)</w:t>
      </w:r>
      <w:r w:rsidRPr="00C6360C">
        <w:fldChar w:fldCharType="end"/>
      </w:r>
      <w:r>
        <w:t xml:space="preserve">. </w:t>
      </w:r>
      <w:r w:rsidR="00C41CC1">
        <w:t xml:space="preserve">A total of </w:t>
      </w:r>
      <w:r>
        <w:t>122 individuals were screened for the study</w:t>
      </w:r>
      <w:r w:rsidR="009A2A38">
        <w:t>;</w:t>
      </w:r>
      <w:r>
        <w:t xml:space="preserve"> 73 completed baseline </w:t>
      </w:r>
      <w:r w:rsidR="009A2A38">
        <w:t xml:space="preserve">assessment </w:t>
      </w:r>
      <w:r>
        <w:t>and enrolled</w:t>
      </w:r>
      <w:r w:rsidR="009A2A38">
        <w:t xml:space="preserve"> in the study</w:t>
      </w:r>
      <w:r>
        <w:t xml:space="preserve"> (see Figure 1 for a flow diagram). Analyses used an intent-to-treat approach, and all 73 individuals were retained in analyses</w:t>
      </w:r>
      <w:r w:rsidR="00024EB8">
        <w:t xml:space="preserve"> (</w:t>
      </w:r>
      <w:r w:rsidR="00024EB8">
        <w:rPr>
          <w:i/>
          <w:iCs/>
        </w:rPr>
        <w:t xml:space="preserve">n </w:t>
      </w:r>
      <w:r w:rsidR="00024EB8">
        <w:t xml:space="preserve">= 38 in the intervention and </w:t>
      </w:r>
      <w:r w:rsidR="00024EB8">
        <w:rPr>
          <w:i/>
          <w:iCs/>
        </w:rPr>
        <w:t>n</w:t>
      </w:r>
      <w:r w:rsidR="00024EB8">
        <w:t xml:space="preserve"> = 35 </w:t>
      </w:r>
      <w:r w:rsidR="00202240">
        <w:t xml:space="preserve">in </w:t>
      </w:r>
      <w:r w:rsidR="00024EB8">
        <w:t>waitlist)</w:t>
      </w:r>
      <w:r>
        <w:t>.</w:t>
      </w:r>
      <w:r w:rsidR="00C65A92">
        <w:t xml:space="preserve"> Participants were</w:t>
      </w:r>
      <w:r w:rsidR="0073508F">
        <w:t xml:space="preserve"> typically middle-aged (</w:t>
      </w:r>
      <w:r w:rsidR="0073508F">
        <w:rPr>
          <w:i/>
          <w:iCs/>
        </w:rPr>
        <w:t>M</w:t>
      </w:r>
      <w:r w:rsidR="0073508F">
        <w:t xml:space="preserve"> = </w:t>
      </w:r>
      <w:r w:rsidR="00CF5153">
        <w:t>47.67, SD = 4.32)</w:t>
      </w:r>
      <w:r w:rsidR="001860AA">
        <w:t xml:space="preserve"> and</w:t>
      </w:r>
      <w:r w:rsidR="00C65A92">
        <w:t xml:space="preserve"> largely female (87.67%, with the remaining 12.33% male). Participants identified their race as: 76.71% White, 6.85% Asian, 5.48% bi/multiracial, 4.11% Black, and 6.85% other race; 6.85% of participants identified their ethnicity as Hispanic or Latino/a. Additional information on </w:t>
      </w:r>
      <w:r w:rsidR="00C65A92">
        <w:lastRenderedPageBreak/>
        <w:t>participant demographics is available in the outcome paper</w:t>
      </w:r>
      <w:r w:rsidR="0087460F">
        <w:t xml:space="preserve"> for the randomized controlled trial</w:t>
      </w:r>
      <w:r w:rsidR="00C65A92">
        <w:t xml:space="preserve"> (</w:t>
      </w:r>
      <w:r w:rsidR="0087460F">
        <w:t xml:space="preserve">RCT; </w:t>
      </w:r>
      <w:r w:rsidR="00CA37E7" w:rsidRPr="007B2132">
        <w:rPr>
          <w:i/>
          <w:iCs/>
        </w:rPr>
        <w:t>citation masked,</w:t>
      </w:r>
      <w:r w:rsidR="00C65A92" w:rsidRPr="007B2132">
        <w:rPr>
          <w:i/>
          <w:iCs/>
        </w:rPr>
        <w:t xml:space="preserve"> </w:t>
      </w:r>
      <w:r w:rsidR="00C65A92" w:rsidRPr="00482658">
        <w:t>under review</w:t>
      </w:r>
      <w:r w:rsidR="00C65A92">
        <w:t>).</w:t>
      </w:r>
    </w:p>
    <w:p w14:paraId="7790BB17" w14:textId="30FF3CD9" w:rsidR="009D3006" w:rsidRDefault="003B57BE" w:rsidP="003B57BE">
      <w:pPr>
        <w:spacing w:line="480" w:lineRule="auto"/>
        <w:rPr>
          <w:b/>
        </w:rPr>
      </w:pPr>
      <w:r w:rsidRPr="00A829B3">
        <w:rPr>
          <w:b/>
        </w:rPr>
        <w:t>Procedures</w:t>
      </w:r>
    </w:p>
    <w:p w14:paraId="4ACE2294" w14:textId="38FA7F2A" w:rsidR="00C65A92" w:rsidRPr="00E15B75" w:rsidRDefault="00E15B75" w:rsidP="003B57BE">
      <w:pPr>
        <w:spacing w:line="480" w:lineRule="auto"/>
        <w:rPr>
          <w:bCs/>
        </w:rPr>
      </w:pPr>
      <w:r>
        <w:rPr>
          <w:b/>
        </w:rPr>
        <w:tab/>
      </w:r>
      <w:r w:rsidR="0090619B">
        <w:rPr>
          <w:bCs/>
        </w:rPr>
        <w:t xml:space="preserve">The </w:t>
      </w:r>
      <w:r>
        <w:rPr>
          <w:bCs/>
        </w:rPr>
        <w:t xml:space="preserve">study </w:t>
      </w:r>
      <w:r w:rsidR="0090619B">
        <w:rPr>
          <w:bCs/>
        </w:rPr>
        <w:t xml:space="preserve">from which current data were drawn </w:t>
      </w:r>
      <w:r>
        <w:rPr>
          <w:bCs/>
        </w:rPr>
        <w:t xml:space="preserve">is a randomized, waitlist-controlled trial. Procedures were approved by the IRB of the appropriate university, a land-grant university in the USA. The study was preregistered at </w:t>
      </w:r>
      <w:r>
        <w:t>ClinicalTrials.gov (</w:t>
      </w:r>
      <w:r w:rsidRPr="001277FE">
        <w:rPr>
          <w:i/>
          <w:iCs/>
        </w:rPr>
        <w:t>ID# removed for masked review</w:t>
      </w:r>
      <w:r>
        <w:t>). Potential participants were initially screened online to determine whether they met eligibility criteria. If eligible, they reviewed an online informed consent form, and those who consented were automatically guided to a baseline survey, after which they were randomized with equal probability to intervention or waitlist. A posttreatment survey was administered 8 weeks after baseline, and a final follow-up survey was administered 12 weeks after baseline.</w:t>
      </w:r>
      <w:r w:rsidR="00F652D5">
        <w:t xml:space="preserve"> Recruitment and data collection took place between February and November 2020.</w:t>
      </w:r>
    </w:p>
    <w:p w14:paraId="23528342" w14:textId="238C8554" w:rsidR="003B57BE" w:rsidRDefault="004A375A" w:rsidP="004A375A">
      <w:pPr>
        <w:spacing w:line="480" w:lineRule="auto"/>
        <w:rPr>
          <w:b/>
          <w:bCs/>
          <w:i/>
          <w:iCs/>
        </w:rPr>
      </w:pPr>
      <w:r>
        <w:rPr>
          <w:b/>
          <w:bCs/>
          <w:i/>
          <w:iCs/>
        </w:rPr>
        <w:t>Intervention</w:t>
      </w:r>
    </w:p>
    <w:p w14:paraId="2E9E2895" w14:textId="26FFBBE8" w:rsidR="00E15B75" w:rsidRPr="00CC417C" w:rsidRDefault="00CC417C" w:rsidP="004A375A">
      <w:pPr>
        <w:spacing w:line="480" w:lineRule="auto"/>
      </w:pPr>
      <w:r>
        <w:rPr>
          <w:b/>
          <w:bCs/>
        </w:rPr>
        <w:tab/>
      </w:r>
      <w:r>
        <w:t xml:space="preserve">The ACT intervention consisted of completing 16 self-help website sessions. Participants were asked to complete two </w:t>
      </w:r>
      <w:r w:rsidR="004D2246">
        <w:t xml:space="preserve">sessions per week </w:t>
      </w:r>
      <w:r>
        <w:t>over 8 weeks, and sessions were designed to take 15-20 minutes to complete. Participants continue</w:t>
      </w:r>
      <w:r w:rsidR="004D2246">
        <w:t>d</w:t>
      </w:r>
      <w:r>
        <w:t xml:space="preserve"> having access to the website content after the 8-week period. Website content consisted of metaphors, examples, and interactive exercises, including some video and audio content. </w:t>
      </w:r>
      <w:r w:rsidR="002766DB">
        <w:t xml:space="preserve">The </w:t>
      </w:r>
      <w:r w:rsidR="00F2519C">
        <w:t>website</w:t>
      </w:r>
      <w:r w:rsidR="002766DB">
        <w:t xml:space="preserve"> sessions respectively focused on 1) values identification and psychoeducation, 2</w:t>
      </w:r>
      <w:r w:rsidR="008E345B">
        <w:t>)</w:t>
      </w:r>
      <w:r w:rsidR="002766DB">
        <w:t xml:space="preserve"> and 3) acceptance, 4) acceptance of shame/self-judgment, 5</w:t>
      </w:r>
      <w:r w:rsidR="0030780C">
        <w:t>)</w:t>
      </w:r>
      <w:r w:rsidR="002766DB">
        <w:t xml:space="preserve"> and 6) </w:t>
      </w:r>
      <w:proofErr w:type="spellStart"/>
      <w:r w:rsidR="002766DB">
        <w:t>defusion</w:t>
      </w:r>
      <w:proofErr w:type="spellEnd"/>
      <w:r w:rsidR="002766DB">
        <w:t xml:space="preserve">, 7) </w:t>
      </w:r>
      <w:proofErr w:type="spellStart"/>
      <w:r w:rsidR="002766DB">
        <w:t>defusion</w:t>
      </w:r>
      <w:proofErr w:type="spellEnd"/>
      <w:r w:rsidR="002766DB">
        <w:t xml:space="preserve"> from self-stigma, 8) self-as-context, 9) and 10) mindful awareness, 11) values</w:t>
      </w:r>
      <w:r w:rsidR="008C4662">
        <w:t>, 12) values and committed action, 13) committed action, 14) generalization of acceptance, 15) generalization of committed action, and 16) relapse prevention.</w:t>
      </w:r>
      <w:r>
        <w:t xml:space="preserve"> </w:t>
      </w:r>
      <w:r w:rsidR="0088424E">
        <w:t>Participants in the treatment condition also received minimal supportive coaching</w:t>
      </w:r>
      <w:r w:rsidR="00221166">
        <w:t xml:space="preserve"> provided by </w:t>
      </w:r>
      <w:r w:rsidR="00221166">
        <w:lastRenderedPageBreak/>
        <w:t>trained doctoral psychology students</w:t>
      </w:r>
      <w:r w:rsidR="0088424E">
        <w:t xml:space="preserve">, consisting of an initial 10-15 minute phone call and </w:t>
      </w:r>
      <w:r w:rsidR="00683027">
        <w:t xml:space="preserve">weekly coaching emails. </w:t>
      </w:r>
      <w:r w:rsidR="005931AB">
        <w:t xml:space="preserve">Coaching focused solely on facilitating adherence to the online intervention (e.g., troubleshooting barriers to adherence), and </w:t>
      </w:r>
      <w:r w:rsidR="00E56F55">
        <w:t xml:space="preserve">coaches on average spent </w:t>
      </w:r>
      <w:r w:rsidR="00CD2080">
        <w:t>approximately 52 minutes coaching each participant</w:t>
      </w:r>
      <w:r w:rsidR="00365090">
        <w:t xml:space="preserve">. </w:t>
      </w:r>
      <w:r>
        <w:t>More information on the intervention may be found in the RCT outcome paper (</w:t>
      </w:r>
      <w:r w:rsidR="007B2132" w:rsidRPr="00D40E6F">
        <w:rPr>
          <w:i/>
          <w:iCs/>
        </w:rPr>
        <w:t xml:space="preserve">citation masked, </w:t>
      </w:r>
      <w:r w:rsidR="007B2132" w:rsidRPr="00482658">
        <w:t>under review</w:t>
      </w:r>
      <w:r>
        <w:t xml:space="preserve">) or by contacting </w:t>
      </w:r>
      <w:r w:rsidR="001D0EDA" w:rsidRPr="00D40E6F">
        <w:rPr>
          <w:i/>
          <w:iCs/>
        </w:rPr>
        <w:t>[</w:t>
      </w:r>
      <w:r w:rsidR="001D0EDA">
        <w:rPr>
          <w:i/>
          <w:iCs/>
        </w:rPr>
        <w:t>masked for review]</w:t>
      </w:r>
      <w:r>
        <w:t>.</w:t>
      </w:r>
    </w:p>
    <w:p w14:paraId="72B876B8" w14:textId="74EC6476" w:rsidR="003B57BE" w:rsidRDefault="004A375A" w:rsidP="003B57BE">
      <w:pPr>
        <w:spacing w:line="480" w:lineRule="auto"/>
        <w:rPr>
          <w:b/>
        </w:rPr>
      </w:pPr>
      <w:r>
        <w:rPr>
          <w:b/>
        </w:rPr>
        <w:t>Measures</w:t>
      </w:r>
    </w:p>
    <w:p w14:paraId="691DEEF2" w14:textId="3C64A97C" w:rsidR="00CB6620" w:rsidRDefault="00CB6620" w:rsidP="00D7264B">
      <w:pPr>
        <w:spacing w:line="480" w:lineRule="auto"/>
        <w:rPr>
          <w:b/>
          <w:i/>
        </w:rPr>
      </w:pPr>
      <w:r w:rsidRPr="00CB6620">
        <w:rPr>
          <w:b/>
          <w:i/>
        </w:rPr>
        <w:t xml:space="preserve">Saving Inventory-Revised (SI-R; </w:t>
      </w:r>
      <w:r w:rsidRPr="00CB6620">
        <w:rPr>
          <w:b/>
          <w:i/>
        </w:rPr>
        <w:fldChar w:fldCharType="begin" w:fldLock="1"/>
      </w:r>
      <w:r w:rsidRPr="00CB6620">
        <w:rPr>
          <w:b/>
          <w:i/>
        </w:rPr>
        <w:instrText>ADDIN CSL_CITATION {"citationItems":[{"id":"ITEM-1","itemData":{"DOI":"10.1016/j.brat.2003.07.006","ISSN":"00057967","author":[{"dropping-particle":"","family":"Frost","given":"Randy O.","non-dropping-particle":"","parse-names":false,"suffix":""},{"dropping-particle":"","family":"Steketee","given":"Gail","non-dropping-particle":"","parse-names":false,"suffix":""},{"dropping-particle":"","family":"Grisham","given":"Jessica","non-dropping-particle":"","parse-names":false,"suffix":""}],"container-title":"Behaviour Research and Therapy","id":"ITEM-1","issued":{"date-parts":[["2004"]]},"page":"1163-1182","title":"Measurement of compulsive hoarding: Saving inventory-revised","type":"article-journal","volume":"42"},"uris":["http://www.mendeley.com/documents/?uuid=f95b1376-a1ef-4340-9cf1-bed5e88c20a6"]}],"mendeley":{"formattedCitation":"(Frost et al., 2004)","manualFormatting":"Frost et al., 2004)","plainTextFormattedCitation":"(Frost et al., 2004)","previouslyFormattedCitation":"(Frost et al., 2004)"},"properties":{"noteIndex":0},"schema":"https://github.com/citation-style-language/schema/raw/master/csl-citation.json"}</w:instrText>
      </w:r>
      <w:r w:rsidRPr="00CB6620">
        <w:rPr>
          <w:b/>
          <w:i/>
        </w:rPr>
        <w:fldChar w:fldCharType="separate"/>
      </w:r>
      <w:r w:rsidRPr="00CB6620">
        <w:rPr>
          <w:b/>
          <w:i/>
          <w:noProof/>
        </w:rPr>
        <w:t>Frost et al., 2004)</w:t>
      </w:r>
      <w:r w:rsidRPr="00CB6620">
        <w:rPr>
          <w:b/>
          <w:i/>
        </w:rPr>
        <w:fldChar w:fldCharType="end"/>
      </w:r>
    </w:p>
    <w:p w14:paraId="7CC6BF47" w14:textId="0576C238" w:rsidR="00CB6620" w:rsidRDefault="00CB6620" w:rsidP="00D7264B">
      <w:pPr>
        <w:spacing w:line="480" w:lineRule="auto"/>
      </w:pPr>
      <w:r>
        <w:rPr>
          <w:bCs/>
          <w:iCs/>
        </w:rPr>
        <w:tab/>
        <w:t>The SI-R is a</w:t>
      </w:r>
      <w:r w:rsidR="006420FC">
        <w:rPr>
          <w:bCs/>
          <w:iCs/>
        </w:rPr>
        <w:t xml:space="preserve"> 23-item</w:t>
      </w:r>
      <w:r>
        <w:rPr>
          <w:bCs/>
          <w:iCs/>
        </w:rPr>
        <w:t xml:space="preserve"> measure designed to assess core symptoms of hoarding: difficulty discarding, excessive acquisition, and clutter.</w:t>
      </w:r>
      <w:r w:rsidR="00424189">
        <w:rPr>
          <w:bCs/>
          <w:iCs/>
        </w:rPr>
        <w:t xml:space="preserve"> Higher scores indicate more severe hoarding symptoms.</w:t>
      </w:r>
      <w:r>
        <w:rPr>
          <w:bCs/>
          <w:iCs/>
        </w:rPr>
        <w:t xml:space="preserve"> </w:t>
      </w:r>
      <w:r w:rsidR="00B1018D">
        <w:rPr>
          <w:bCs/>
          <w:iCs/>
        </w:rPr>
        <w:t>Example items include “</w:t>
      </w:r>
      <w:r w:rsidR="002B3852">
        <w:rPr>
          <w:bCs/>
          <w:iCs/>
        </w:rPr>
        <w:t>How distressing do you find the task of throwing things away?</w:t>
      </w:r>
      <w:r w:rsidR="00B1018D">
        <w:rPr>
          <w:bCs/>
          <w:iCs/>
        </w:rPr>
        <w:t>” and “</w:t>
      </w:r>
      <w:r w:rsidR="00802526" w:rsidRPr="00802526">
        <w:rPr>
          <w:bCs/>
          <w:iCs/>
        </w:rPr>
        <w:t>To what extent do you have so many things that your room(s) are cluttered?</w:t>
      </w:r>
      <w:r w:rsidR="00B1018D">
        <w:rPr>
          <w:bCs/>
          <w:iCs/>
        </w:rPr>
        <w:t>” The SI-R</w:t>
      </w:r>
      <w:r>
        <w:rPr>
          <w:bCs/>
          <w:iCs/>
        </w:rPr>
        <w:t xml:space="preserve"> has the strongest psychometric qualities of any extant measure of hoarding symptoms </w:t>
      </w:r>
      <w:r>
        <w:rPr>
          <w:bCs/>
          <w:iCs/>
        </w:rPr>
        <w:fldChar w:fldCharType="begin" w:fldLock="1"/>
      </w:r>
      <w:r w:rsidR="009066DC">
        <w:rPr>
          <w:bCs/>
          <w:iCs/>
        </w:rPr>
        <w:instrText>ADDIN CSL_CITATION {"citationItems":[{"id":"ITEM-1","itemData":{"DOI":"10.1016/j.jad.2021.04.082","ISSN":"15732517","PMID":"33993080","abstract":"Background: Hoarding disorder (HD) affects approximately 2.5% of the general population, leads to significant distress and impairment, and is notoriously difficult to treat. The crux of developing effective treatments for HD is our ability to reliably and validly measure relevant constructs in HD to better understand its presentation and, subsequently, formulate appropriate interventions. Methods: We identified measures specific to HD and evaluated their psychometric properties using rating criteria formulated by the Consensus-based Standards for the selection of health Measurement INstruments (COSMIN) group. Results: The 17 included measures were developed to assess adult and pediatric hoarding severity, functional impairment, and maladaptive processes (e.g., material scrupulosity). The Saving Inventory-Revised, the most widely used measure of HD severity showed the strongest psychometric properties. However, psychometric investigations were generally of poor quality across all measures and results indicated unsatisfactory performance of measures. Limitations: The current review excluded non-English measures and ratings inherently contain some element of subjectivity despite use of predetermined criteria and two independent reviewers. Conclusions: We suggest that clinical researchers continue to develop and modify measures used to conceptualize and, ultimately, improve treatment for HD.","author":[{"dropping-particle":"","family":"Ong","given":"C. W.","non-dropping-particle":"","parse-names":false,"suffix":""},{"dropping-particle":"","family":"Krafft","given":"Jennifer","non-dropping-particle":"","parse-names":false,"suffix":""},{"dropping-particle":"","family":"Levin","given":"Michael E.","non-dropping-particle":"","parse-names":false,"suffix":""},{"dropping-particle":"","family":"Twohig","given":"Michael P.","non-dropping-particle":"","parse-names":false,"suffix":""}],"container-title":"Journal of Affective Disorders","id":"ITEM-1","issue":"April","issued":{"date-parts":[["2021"]]},"page":"136-148","publisher":"Elsevier B.V.","title":"A systematic review and psychometric evaluation of self-report measures for hoarding disorder","type":"article-journal","volume":"290"},"uris":["http://www.mendeley.com/documents/?uuid=60f8309b-113c-44fc-90da-636d09a8593f"]}],"mendeley":{"formattedCitation":"(Ong, Krafft, Levin, et al., 2021)","plainTextFormattedCitation":"(Ong, Krafft, Levin, et al., 2021)","previouslyFormattedCitation":"(Ong, Krafft, Levin, et al., 2021)"},"properties":{"noteIndex":0},"schema":"https://github.com/citation-style-language/schema/raw/master/csl-citation.json"}</w:instrText>
      </w:r>
      <w:r>
        <w:rPr>
          <w:bCs/>
          <w:iCs/>
        </w:rPr>
        <w:fldChar w:fldCharType="separate"/>
      </w:r>
      <w:r w:rsidR="002A386A" w:rsidRPr="002A386A">
        <w:rPr>
          <w:bCs/>
          <w:iCs/>
          <w:noProof/>
        </w:rPr>
        <w:t>(Ong, Krafft, Levin, et al., 2021)</w:t>
      </w:r>
      <w:r>
        <w:rPr>
          <w:bCs/>
          <w:iCs/>
        </w:rPr>
        <w:fldChar w:fldCharType="end"/>
      </w:r>
      <w:r>
        <w:rPr>
          <w:bCs/>
          <w:iCs/>
        </w:rPr>
        <w:t xml:space="preserve">. The SI-R is sensitive to treatment (e.g., </w:t>
      </w:r>
      <w:r>
        <w:rPr>
          <w:bCs/>
          <w:iCs/>
        </w:rPr>
        <w:fldChar w:fldCharType="begin" w:fldLock="1"/>
      </w:r>
      <w:r>
        <w:rPr>
          <w:bCs/>
          <w:iCs/>
        </w:rPr>
        <w:instrText>ADDIN CSL_CITATION {"citationItems":[{"id":"ITEM-1","itemData":{"DOI":"10.1002/da.20673.Waitlist-Controlled","author":[{"dropping-particle":"","family":"Steketee","given":"Gail.","non-dropping-particle":"","parse-names":false,"suffix":""},{"dropping-particle":"","family":"Frost","given":"Randy O.","non-dropping-particle":"","parse-names":false,"suffix":""},{"dropping-particle":"","family":"Tolin","given":"David F.","non-dropping-particle":"","parse-names":false,"suffix":""},{"dropping-particle":"","family":"Rasmussen","given":"Jessica L.","non-dropping-particle":"","parse-names":false,"suffix":""},{"dropping-particle":"","family":"Brown","given":"Timothy A.","non-dropping-particle":"","parse-names":false,"suffix":""}],"container-title":"Depression and Anxiety","id":"ITEM-1","issue":"5","issued":{"date-parts":[["2010"]]},"page":"476-484","title":"Waitlist-controlled trial of cognitive behavior therapy for hoarding disorder","type":"article-journal","volume":"27"},"uris":["http://www.mendeley.com/documents/?uuid=fab7a500-15ad-462f-a131-7816f37ff6c7"]}],"mendeley":{"formattedCitation":"(Steketee et al., 2010)","manualFormatting":"Steketee et al., 2010)","plainTextFormattedCitation":"(Steketee et al., 2010)","previouslyFormattedCitation":"(Steketee et al., 2010)"},"properties":{"noteIndex":0},"schema":"https://github.com/citation-style-language/schema/raw/master/csl-citation.json"}</w:instrText>
      </w:r>
      <w:r>
        <w:rPr>
          <w:bCs/>
          <w:iCs/>
        </w:rPr>
        <w:fldChar w:fldCharType="separate"/>
      </w:r>
      <w:r w:rsidRPr="00CB6620">
        <w:rPr>
          <w:bCs/>
          <w:iCs/>
          <w:noProof/>
        </w:rPr>
        <w:t>Steketee et al., 2010)</w:t>
      </w:r>
      <w:r>
        <w:rPr>
          <w:bCs/>
          <w:iCs/>
        </w:rPr>
        <w:fldChar w:fldCharType="end"/>
      </w:r>
      <w:r>
        <w:rPr>
          <w:bCs/>
          <w:iCs/>
        </w:rPr>
        <w:t xml:space="preserve"> and has good internal consistency, temporal stability, and validity in clinical samples </w:t>
      </w:r>
      <w:r>
        <w:rPr>
          <w:bCs/>
          <w:iCs/>
        </w:rPr>
        <w:fldChar w:fldCharType="begin" w:fldLock="1"/>
      </w:r>
      <w:r w:rsidR="007D7E3F">
        <w:rPr>
          <w:bCs/>
          <w:iCs/>
        </w:rPr>
        <w:instrText>ADDIN CSL_CITATION {"citationItems":[{"id":"ITEM-1","itemData":{"DOI":"10.1016/j.brat.2003.07.006","ISSN":"00057967","author":[{"dropping-particle":"","family":"Frost","given":"Randy O.","non-dropping-particle":"","parse-names":false,"suffix":""},{"dropping-particle":"","family":"Steketee","given":"Gail","non-dropping-particle":"","parse-names":false,"suffix":""},{"dropping-particle":"","family":"Grisham","given":"Jessica","non-dropping-particle":"","parse-names":false,"suffix":""}],"container-title":"Behaviour Research and Therapy","id":"ITEM-1","issued":{"date-parts":[["2004"]]},"page":"1163-1182","title":"Measurement of compulsive hoarding: Saving inventory-revised","type":"article-journal","volume":"42"},"uris":["http://www.mendeley.com/documents/?uuid=f95b1376-a1ef-4340-9cf1-bed5e88c20a6"]}],"mendeley":{"formattedCitation":"(Frost et al., 2004)","plainTextFormattedCitation":"(Frost et al., 2004)","previouslyFormattedCitation":"(Frost et al., 2004)"},"properties":{"noteIndex":0},"schema":"https://github.com/citation-style-language/schema/raw/master/csl-citation.json"}</w:instrText>
      </w:r>
      <w:r>
        <w:rPr>
          <w:bCs/>
          <w:iCs/>
        </w:rPr>
        <w:fldChar w:fldCharType="separate"/>
      </w:r>
      <w:r w:rsidRPr="00CB6620">
        <w:rPr>
          <w:bCs/>
          <w:iCs/>
          <w:noProof/>
        </w:rPr>
        <w:t>(Frost et al., 2004)</w:t>
      </w:r>
      <w:r>
        <w:rPr>
          <w:bCs/>
          <w:iCs/>
        </w:rPr>
        <w:fldChar w:fldCharType="end"/>
      </w:r>
      <w:r>
        <w:rPr>
          <w:bCs/>
          <w:iCs/>
        </w:rPr>
        <w:t>. Internal consistency for the SI-R total score was excellent (</w:t>
      </w:r>
      <w:r w:rsidRPr="00D40E6F">
        <w:rPr>
          <w:i/>
          <w:iCs/>
        </w:rPr>
        <w:sym w:font="Symbol" w:char="F061"/>
      </w:r>
      <w:r w:rsidRPr="00D40E6F">
        <w:rPr>
          <w:i/>
          <w:iCs/>
        </w:rPr>
        <w:t xml:space="preserve"> </w:t>
      </w:r>
      <w:r>
        <w:t>= .93) in this sample.</w:t>
      </w:r>
    </w:p>
    <w:p w14:paraId="10E141D4" w14:textId="09F1C0EB" w:rsidR="00DA7B53" w:rsidRDefault="00052DB1" w:rsidP="00D7264B">
      <w:pPr>
        <w:spacing w:line="480" w:lineRule="auto"/>
        <w:rPr>
          <w:b/>
          <w:i/>
        </w:rPr>
      </w:pPr>
      <w:r w:rsidRPr="007132B1">
        <w:rPr>
          <w:b/>
          <w:i/>
        </w:rPr>
        <w:t xml:space="preserve">Clinical Global Impression – Improvement (CGI-I; </w:t>
      </w:r>
      <w:r w:rsidRPr="007132B1">
        <w:rPr>
          <w:b/>
          <w:i/>
        </w:rPr>
        <w:fldChar w:fldCharType="begin" w:fldLock="1"/>
      </w:r>
      <w:r w:rsidRPr="007132B1">
        <w:rPr>
          <w:b/>
          <w:i/>
        </w:rPr>
        <w:instrText>ADDIN CSL_CITATION {"citationItems":[{"id":"ITEM-1","itemData":{"author":[{"dropping-particle":"","family":"Guy","given":"W","non-dropping-particle":"","parse-names":false,"suffix":""}],"id":"ITEM-1","issued":{"date-parts":[["1976"]]},"number-of-pages":"218-222","publisher":"National Institute of Mental Health","publisher-place":"Rockville, MD","title":"Clinical Global Impressions ECDEU Assessment Manual for Psychopharmacology, Revised (DHEW Publ. No. ADM 76-338).","type":"book"},"uris":["http://www.mendeley.com/documents/?uuid=876beea7-3f29-4ead-a104-dc447cdc99f3"]}],"mendeley":{"formattedCitation":"(Guy, 1976)","manualFormatting":"Guy, 1976)","plainTextFormattedCitation":"(Guy, 1976)","previouslyFormattedCitation":"(Guy, 1976)"},"properties":{"noteIndex":0},"schema":"https://github.com/citation-style-language/schema/raw/master/csl-citation.json"}</w:instrText>
      </w:r>
      <w:r w:rsidRPr="007132B1">
        <w:rPr>
          <w:b/>
          <w:i/>
        </w:rPr>
        <w:fldChar w:fldCharType="separate"/>
      </w:r>
      <w:r w:rsidRPr="007132B1">
        <w:rPr>
          <w:b/>
          <w:i/>
          <w:noProof/>
        </w:rPr>
        <w:t>Guy, 1976)</w:t>
      </w:r>
      <w:r w:rsidRPr="007132B1">
        <w:rPr>
          <w:b/>
          <w:i/>
        </w:rPr>
        <w:fldChar w:fldCharType="end"/>
      </w:r>
    </w:p>
    <w:p w14:paraId="4501BF01" w14:textId="2AB9B537" w:rsidR="00DB19EC" w:rsidRPr="00DB19EC" w:rsidRDefault="00DB19EC" w:rsidP="00D7264B">
      <w:pPr>
        <w:spacing w:line="480" w:lineRule="auto"/>
        <w:rPr>
          <w:bCs/>
          <w:iCs/>
        </w:rPr>
      </w:pPr>
      <w:r>
        <w:rPr>
          <w:b/>
          <w:iCs/>
        </w:rPr>
        <w:tab/>
      </w:r>
      <w:r>
        <w:rPr>
          <w:bCs/>
          <w:iCs/>
        </w:rPr>
        <w:t xml:space="preserve">The CGI-I is a single-item measure of overall clinical change (i.e., improvement or deterioration). </w:t>
      </w:r>
      <w:r w:rsidR="00B91767">
        <w:rPr>
          <w:bCs/>
          <w:iCs/>
        </w:rPr>
        <w:t xml:space="preserve">A self-report version was used in the present study, and it is rated from 1 (very much </w:t>
      </w:r>
      <w:r w:rsidR="004A25F8">
        <w:rPr>
          <w:bCs/>
          <w:iCs/>
        </w:rPr>
        <w:t xml:space="preserve">improved) to 7 (very much worse). </w:t>
      </w:r>
      <w:r w:rsidR="00C22A48">
        <w:rPr>
          <w:bCs/>
          <w:iCs/>
        </w:rPr>
        <w:t>The CGI-I has been used previously to assess global change in online treatment for hoarding (</w:t>
      </w:r>
      <w:proofErr w:type="spellStart"/>
      <w:r w:rsidR="00C22A48">
        <w:rPr>
          <w:bCs/>
          <w:iCs/>
        </w:rPr>
        <w:t>Muroff</w:t>
      </w:r>
      <w:proofErr w:type="spellEnd"/>
      <w:r w:rsidR="00C22A48">
        <w:rPr>
          <w:bCs/>
          <w:iCs/>
        </w:rPr>
        <w:t xml:space="preserve"> et al., </w:t>
      </w:r>
      <w:r w:rsidR="00601308">
        <w:rPr>
          <w:bCs/>
          <w:iCs/>
        </w:rPr>
        <w:t>2010).</w:t>
      </w:r>
    </w:p>
    <w:p w14:paraId="62C6C05C" w14:textId="2B5C957E" w:rsidR="007D7E3F" w:rsidRDefault="007D7E3F" w:rsidP="00D7264B">
      <w:pPr>
        <w:spacing w:line="480" w:lineRule="auto"/>
        <w:rPr>
          <w:b/>
          <w:i/>
        </w:rPr>
      </w:pPr>
      <w:r>
        <w:rPr>
          <w:b/>
          <w:i/>
        </w:rPr>
        <w:t>Self-</w:t>
      </w:r>
      <w:r w:rsidRPr="007D7E3F">
        <w:rPr>
          <w:b/>
          <w:i/>
        </w:rPr>
        <w:t>Stigma of Hoarding Items (</w:t>
      </w:r>
      <w:r w:rsidRPr="007D7E3F">
        <w:rPr>
          <w:b/>
          <w:i/>
        </w:rPr>
        <w:fldChar w:fldCharType="begin" w:fldLock="1"/>
      </w:r>
      <w:r w:rsidRPr="007D7E3F">
        <w:rPr>
          <w:b/>
          <w:i/>
        </w:rPr>
        <w:instrText>ADDIN CSL_CITATION {"citationItems":[{"id":"ITEM-1","itemData":{"DOI":"10.1016/j.jocrd.2017.12.006","ISSN":"22113657","abstract":"There are no systematic investigations of public stigma of hoarding disorder (HD), and although there have been some studies on the public perception of obsessive-compulsive disorder (OCD), such research has not examined three theoretically informed facets of stigma: difference (“They aren't like me”), disdain (“They are bad”), and blame (“They are to blame”). The current Internet study evaluated these three facets of stigma in a general sample of 591 adults by comparing ratings of public perception for HD, OCD, serious mental illness (SMI), substance use disorders (SUD), and those in jail. Results indicate that HD is mostly associated with a neutral or negative public perception across all stigma facets, but OCD is associated with mostly positive or neutral public perception. Across all stigma ratings, HD was viewed more negatively than OCD. Comparison of ratings across conditions and the three facets of stigma suggest a nuanced picture in which HD and OCD demonstrate differences in public perceptions compared to jail, SMI, and SUD, some in the positive direction and some in the negative. In addition, among those who scored in a clinically elevated range of HD symptom severity, one facet of public stigma (i.e., a proxy for self-stigma) was negatively correlated with an index of treatment-seeking willingness, implicating stigma as a potential factor in the treatment ambivalence commonly associated with HD treatment.","author":[{"dropping-particle":"","family":"Chasson","given":"Gregory S.","non-dropping-particle":"","parse-names":false,"suffix":""},{"dropping-particle":"","family":"Guy","given":"Arryn A.","non-dropping-particle":"","parse-names":false,"suffix":""},{"dropping-particle":"","family":"Bates","given":"Sage","non-dropping-particle":"","parse-names":false,"suffix":""},{"dropping-particle":"","family":"Corrigan","given":"Patrick W.","non-dropping-particle":"","parse-names":false,"suffix":""}],"container-title":"Journal of Obsessive-Compulsive and Related Disorders","id":"ITEM-1","issued":{"date-parts":[["2018"]]},"page":"56-65","publisher":"Elsevier Ltd","title":"They aren't like me, they are bad, and they are to blame: A theoretically-informed study of stigma of hoarding disorder and obsessive-compulsive disorder","type":"article-journal","volume":"16"},"uris":["http://www.mendeley.com/documents/?uuid=6a0a1533-144d-4dfb-970c-487065e8b77f"]}],"mendeley":{"formattedCitation":"(Chasson et al., 2018)","manualFormatting":"Chasson et al., 2018)","plainTextFormattedCitation":"(Chasson et al., 2018)","previouslyFormattedCitation":"(Chasson et al., 2018)"},"properties":{"noteIndex":0},"schema":"https://github.com/citation-style-language/schema/raw/master/csl-citation.json"}</w:instrText>
      </w:r>
      <w:r w:rsidRPr="007D7E3F">
        <w:rPr>
          <w:b/>
          <w:i/>
        </w:rPr>
        <w:fldChar w:fldCharType="separate"/>
      </w:r>
      <w:r w:rsidRPr="007D7E3F">
        <w:rPr>
          <w:b/>
          <w:i/>
          <w:noProof/>
        </w:rPr>
        <w:t>Chasson et al., 2018)</w:t>
      </w:r>
      <w:r w:rsidRPr="007D7E3F">
        <w:rPr>
          <w:b/>
          <w:i/>
        </w:rPr>
        <w:fldChar w:fldCharType="end"/>
      </w:r>
    </w:p>
    <w:p w14:paraId="19DFDB91" w14:textId="687D582C" w:rsidR="007D7E3F" w:rsidRDefault="007D7E3F" w:rsidP="00D7264B">
      <w:pPr>
        <w:spacing w:line="480" w:lineRule="auto"/>
        <w:rPr>
          <w:bCs/>
          <w:iCs/>
        </w:rPr>
      </w:pPr>
      <w:r>
        <w:rPr>
          <w:bCs/>
          <w:iCs/>
        </w:rPr>
        <w:tab/>
        <w:t xml:space="preserve">This study used seven items that have previously been used to assess self-stigma in hoarding </w:t>
      </w:r>
      <w:r>
        <w:rPr>
          <w:bCs/>
          <w:iCs/>
        </w:rPr>
        <w:fldChar w:fldCharType="begin" w:fldLock="1"/>
      </w:r>
      <w:r w:rsidR="0084531D">
        <w:rPr>
          <w:bCs/>
          <w:iCs/>
        </w:rPr>
        <w:instrText>ADDIN CSL_CITATION {"citationItems":[{"id":"ITEM-1","itemData":{"DOI":"10.1016/j.jocrd.2017.12.006","ISSN":"22113657","abstract":"There are no systematic investigations of public stigma of hoarding disorder (HD), and although there have been some studies on the public perception of obsessive-compulsive disorder (OCD), such research has not examined three theoretically informed facets of stigma: difference (“They aren't like me”), disdain (“They are bad”), and blame (“They are to blame”). The current Internet study evaluated these three facets of stigma in a general sample of 591 adults by comparing ratings of public perception for HD, OCD, serious mental illness (SMI), substance use disorders (SUD), and those in jail. Results indicate that HD is mostly associated with a neutral or negative public perception across all stigma facets, but OCD is associated with mostly positive or neutral public perception. Across all stigma ratings, HD was viewed more negatively than OCD. Comparison of ratings across conditions and the three facets of stigma suggest a nuanced picture in which HD and OCD demonstrate differences in public perceptions compared to jail, SMI, and SUD, some in the positive direction and some in the negative. In addition, among those who scored in a clinically elevated range of HD symptom severity, one facet of public stigma (i.e., a proxy for self-stigma) was negatively correlated with an index of treatment-seeking willingness, implicating stigma as a potential factor in the treatment ambivalence commonly associated with HD treatment.","author":[{"dropping-particle":"","family":"Chasson","given":"Gregory S.","non-dropping-particle":"","parse-names":false,"suffix":""},{"dropping-particle":"","family":"Guy","given":"Arryn A.","non-dropping-particle":"","parse-names":false,"suffix":""},{"dropping-particle":"","family":"Bates","given":"Sage","non-dropping-particle":"","parse-names":false,"suffix":""},{"dropping-particle":"","family":"Corrigan","given":"Patrick W.","non-dropping-particle":"","parse-names":false,"suffix":""}],"container-title":"Journal of Obsessive-Compulsive and Related Disorders","id":"ITEM-1","issued":{"date-parts":[["2018"]]},"page":"56-65","publisher":"Elsevier Ltd","title":"They aren't like me, they are bad, and they are to blame: A theoretically-informed study of stigma of hoarding disorder and obsessive-compulsive disorder","type":"article-journal","volume":"16"},"uris":["http://www.mendeley.com/documents/?uuid=6a0a1533-144d-4dfb-970c-487065e8b77f"]}],"mendeley":{"formattedCitation":"(Chasson et al., 2018)","plainTextFormattedCitation":"(Chasson et al., 2018)","previouslyFormattedCitation":"(Chasson et al., 2018)"},"properties":{"noteIndex":0},"schema":"https://github.com/citation-style-language/schema/raw/master/csl-citation.json"}</w:instrText>
      </w:r>
      <w:r>
        <w:rPr>
          <w:bCs/>
          <w:iCs/>
        </w:rPr>
        <w:fldChar w:fldCharType="separate"/>
      </w:r>
      <w:r w:rsidRPr="007D7E3F">
        <w:rPr>
          <w:bCs/>
          <w:iCs/>
          <w:noProof/>
        </w:rPr>
        <w:t>(Chasson et al., 2018)</w:t>
      </w:r>
      <w:r>
        <w:rPr>
          <w:bCs/>
          <w:iCs/>
        </w:rPr>
        <w:fldChar w:fldCharType="end"/>
      </w:r>
      <w:r>
        <w:rPr>
          <w:bCs/>
          <w:iCs/>
        </w:rPr>
        <w:t xml:space="preserve">. They were developed to assess three theoretically distinct </w:t>
      </w:r>
      <w:r>
        <w:rPr>
          <w:bCs/>
          <w:iCs/>
        </w:rPr>
        <w:lastRenderedPageBreak/>
        <w:t>aspects of stigma: difference (i.e., people with hoarding disorder are dissimilar to other people), disdain (i.e., people with hoarding disorder are bad or disrespected compared to others), and blame (i.e., people with hoarding disorder are responsible for their condition).</w:t>
      </w:r>
      <w:r w:rsidR="0084531D">
        <w:rPr>
          <w:bCs/>
          <w:iCs/>
        </w:rPr>
        <w:t xml:space="preserve"> </w:t>
      </w:r>
      <w:r w:rsidR="00424189">
        <w:rPr>
          <w:bCs/>
          <w:iCs/>
        </w:rPr>
        <w:t xml:space="preserve">Higher scores indicate greater stigma. </w:t>
      </w:r>
      <w:r w:rsidR="0084531D">
        <w:rPr>
          <w:bCs/>
          <w:iCs/>
        </w:rPr>
        <w:t>Difference and disdain are measured with three items, while blame is measured with a single item.</w:t>
      </w:r>
      <w:r>
        <w:rPr>
          <w:bCs/>
          <w:iCs/>
        </w:rPr>
        <w:t xml:space="preserve"> These items were designed to measure public stigma, but have previously been used as a proxy</w:t>
      </w:r>
      <w:r w:rsidR="0084531D">
        <w:rPr>
          <w:bCs/>
          <w:iCs/>
        </w:rPr>
        <w:t xml:space="preserve"> for self-stigma </w:t>
      </w:r>
      <w:r w:rsidR="0084531D">
        <w:rPr>
          <w:bCs/>
          <w:iCs/>
        </w:rPr>
        <w:fldChar w:fldCharType="begin" w:fldLock="1"/>
      </w:r>
      <w:r w:rsidR="0084531D">
        <w:rPr>
          <w:bCs/>
          <w:iCs/>
        </w:rPr>
        <w:instrText>ADDIN CSL_CITATION {"citationItems":[{"id":"ITEM-1","itemData":{"DOI":"10.1016/j.jocrd.2017.12.006","ISSN":"22113657","abstract":"There are no systematic investigations of public stigma of hoarding disorder (HD), and although there have been some studies on the public perception of obsessive-compulsive disorder (OCD), such research has not examined three theoretically informed facets of stigma: difference (“They aren't like me”), disdain (“They are bad”), and blame (“They are to blame”). The current Internet study evaluated these three facets of stigma in a general sample of 591 adults by comparing ratings of public perception for HD, OCD, serious mental illness (SMI), substance use disorders (SUD), and those in jail. Results indicate that HD is mostly associated with a neutral or negative public perception across all stigma facets, but OCD is associated with mostly positive or neutral public perception. Across all stigma ratings, HD was viewed more negatively than OCD. Comparison of ratings across conditions and the three facets of stigma suggest a nuanced picture in which HD and OCD demonstrate differences in public perceptions compared to jail, SMI, and SUD, some in the positive direction and some in the negative. In addition, among those who scored in a clinically elevated range of HD symptom severity, one facet of public stigma (i.e., a proxy for self-stigma) was negatively correlated with an index of treatment-seeking willingness, implicating stigma as a potential factor in the treatment ambivalence commonly associated with HD treatment.","author":[{"dropping-particle":"","family":"Chasson","given":"Gregory S.","non-dropping-particle":"","parse-names":false,"suffix":""},{"dropping-particle":"","family":"Guy","given":"Arryn A.","non-dropping-particle":"","parse-names":false,"suffix":""},{"dropping-particle":"","family":"Bates","given":"Sage","non-dropping-particle":"","parse-names":false,"suffix":""},{"dropping-particle":"","family":"Corrigan","given":"Patrick W.","non-dropping-particle":"","parse-names":false,"suffix":""}],"container-title":"Journal of Obsessive-Compulsive and Related Disorders","id":"ITEM-1","issued":{"date-parts":[["2018"]]},"page":"56-65","publisher":"Elsevier Ltd","title":"They aren't like me, they are bad, and they are to blame: A theoretically-informed study of stigma of hoarding disorder and obsessive-compulsive disorder","type":"article-journal","volume":"16"},"uris":["http://www.mendeley.com/documents/?uuid=6a0a1533-144d-4dfb-970c-487065e8b77f"]}],"mendeley":{"formattedCitation":"(Chasson et al., 2018)","plainTextFormattedCitation":"(Chasson et al., 2018)","previouslyFormattedCitation":"(Chasson et al., 2018)"},"properties":{"noteIndex":0},"schema":"https://github.com/citation-style-language/schema/raw/master/csl-citation.json"}</w:instrText>
      </w:r>
      <w:r w:rsidR="0084531D">
        <w:rPr>
          <w:bCs/>
          <w:iCs/>
        </w:rPr>
        <w:fldChar w:fldCharType="separate"/>
      </w:r>
      <w:r w:rsidR="0084531D" w:rsidRPr="0084531D">
        <w:rPr>
          <w:bCs/>
          <w:iCs/>
          <w:noProof/>
        </w:rPr>
        <w:t>(Chasson et al., 2018)</w:t>
      </w:r>
      <w:r w:rsidR="0084531D">
        <w:rPr>
          <w:bCs/>
          <w:iCs/>
        </w:rPr>
        <w:fldChar w:fldCharType="end"/>
      </w:r>
      <w:r w:rsidR="0084531D">
        <w:rPr>
          <w:bCs/>
          <w:iCs/>
        </w:rPr>
        <w:t xml:space="preserve">, as individuals with hoarding problems who endorse public stigma directed towards hoarding presumably experience high self-stigma. While this measure has not undergone formal psychometric evaluation, there is initial evidence of its validity (e.g., disdain correlates with the other two components, and blame is associated with decreased willingness to seek treatment; </w:t>
      </w:r>
      <w:r w:rsidR="0084531D">
        <w:rPr>
          <w:bCs/>
          <w:iCs/>
        </w:rPr>
        <w:fldChar w:fldCharType="begin" w:fldLock="1"/>
      </w:r>
      <w:r w:rsidR="00482658">
        <w:rPr>
          <w:bCs/>
          <w:iCs/>
        </w:rPr>
        <w:instrText>ADDIN CSL_CITATION {"citationItems":[{"id":"ITEM-1","itemData":{"DOI":"10.1016/j.jocrd.2017.12.006","ISSN":"22113657","abstract":"There are no systematic investigations of public stigma of hoarding disorder (HD), and although there have been some studies on the public perception of obsessive-compulsive disorder (OCD), such research has not examined three theoretically informed facets of stigma: difference (“They aren't like me”), disdain (“They are bad”), and blame (“They are to blame”). The current Internet study evaluated these three facets of stigma in a general sample of 591 adults by comparing ratings of public perception for HD, OCD, serious mental illness (SMI), substance use disorders (SUD), and those in jail. Results indicate that HD is mostly associated with a neutral or negative public perception across all stigma facets, but OCD is associated with mostly positive or neutral public perception. Across all stigma ratings, HD was viewed more negatively than OCD. Comparison of ratings across conditions and the three facets of stigma suggest a nuanced picture in which HD and OCD demonstrate differences in public perceptions compared to jail, SMI, and SUD, some in the positive direction and some in the negative. In addition, among those who scored in a clinically elevated range of HD symptom severity, one facet of public stigma (i.e., a proxy for self-stigma) was negatively correlated with an index of treatment-seeking willingness, implicating stigma as a potential factor in the treatment ambivalence commonly associated with HD treatment.","author":[{"dropping-particle":"","family":"Chasson","given":"Gregory S.","non-dropping-particle":"","parse-names":false,"suffix":""},{"dropping-particle":"","family":"Guy","given":"Arryn A.","non-dropping-particle":"","parse-names":false,"suffix":""},{"dropping-particle":"","family":"Bates","given":"Sage","non-dropping-particle":"","parse-names":false,"suffix":""},{"dropping-particle":"","family":"Corrigan","given":"Patrick W.","non-dropping-particle":"","parse-names":false,"suffix":""}],"container-title":"Journal of Obsessive-Compulsive and Related Disorders","id":"ITEM-1","issued":{"date-parts":[["2018"]]},"page":"56-65","publisher":"Elsevier Ltd","title":"They aren't like me, they are bad, and they are to blame: A theoretically-informed study of stigma of hoarding disorder and obsessive-compulsive disorder","type":"article-journal","volume":"16"},"uris":["http://www.mendeley.com/documents/?uuid=6a0a1533-144d-4dfb-970c-487065e8b77f"]}],"mendeley":{"formattedCitation":"(Chasson et al., 2018)","manualFormatting":"Chasson et al., 2018)","plainTextFormattedCitation":"(Chasson et al., 2018)","previouslyFormattedCitation":"(Chasson et al., 2018)"},"properties":{"noteIndex":0},"schema":"https://github.com/citation-style-language/schema/raw/master/csl-citation.json"}</w:instrText>
      </w:r>
      <w:r w:rsidR="0084531D">
        <w:rPr>
          <w:bCs/>
          <w:iCs/>
        </w:rPr>
        <w:fldChar w:fldCharType="separate"/>
      </w:r>
      <w:r w:rsidR="0084531D" w:rsidRPr="0084531D">
        <w:rPr>
          <w:bCs/>
          <w:iCs/>
          <w:noProof/>
        </w:rPr>
        <w:t>Chasson et al., 2018)</w:t>
      </w:r>
      <w:r w:rsidR="0084531D">
        <w:rPr>
          <w:bCs/>
          <w:iCs/>
        </w:rPr>
        <w:fldChar w:fldCharType="end"/>
      </w:r>
      <w:r w:rsidR="0084531D">
        <w:rPr>
          <w:bCs/>
          <w:iCs/>
        </w:rPr>
        <w:t xml:space="preserve">. In this sample, internal consistency was adequate for disdain </w:t>
      </w:r>
      <w:r w:rsidR="007A0EBD">
        <w:rPr>
          <w:bCs/>
          <w:iCs/>
        </w:rPr>
        <w:t>(</w:t>
      </w:r>
      <w:r w:rsidR="007A0EBD" w:rsidRPr="00D40E6F">
        <w:rPr>
          <w:i/>
          <w:iCs/>
        </w:rPr>
        <w:sym w:font="Symbol" w:char="F061"/>
      </w:r>
      <w:r w:rsidR="007A0EBD">
        <w:t xml:space="preserve"> = .70</w:t>
      </w:r>
      <w:r w:rsidR="007A0EBD">
        <w:rPr>
          <w:bCs/>
          <w:iCs/>
        </w:rPr>
        <w:t xml:space="preserve">) </w:t>
      </w:r>
      <w:r w:rsidR="0084531D">
        <w:rPr>
          <w:bCs/>
          <w:iCs/>
        </w:rPr>
        <w:t>and excellent for difference</w:t>
      </w:r>
      <w:r w:rsidR="007A0EBD">
        <w:rPr>
          <w:bCs/>
          <w:iCs/>
        </w:rPr>
        <w:t xml:space="preserve"> (</w:t>
      </w:r>
      <w:r w:rsidR="007A0EBD" w:rsidRPr="00D40E6F">
        <w:rPr>
          <w:i/>
          <w:iCs/>
        </w:rPr>
        <w:sym w:font="Symbol" w:char="F061"/>
      </w:r>
      <w:r w:rsidR="007A0EBD">
        <w:t xml:space="preserve"> = .93)</w:t>
      </w:r>
      <w:r w:rsidR="0084531D">
        <w:rPr>
          <w:bCs/>
          <w:iCs/>
        </w:rPr>
        <w:t>.</w:t>
      </w:r>
    </w:p>
    <w:p w14:paraId="66CBD53F" w14:textId="46B105B8" w:rsidR="00824ACA" w:rsidRPr="0046502B" w:rsidRDefault="00824ACA" w:rsidP="00D7264B">
      <w:pPr>
        <w:spacing w:line="480" w:lineRule="auto"/>
        <w:rPr>
          <w:b/>
          <w:i/>
        </w:rPr>
      </w:pPr>
      <w:r w:rsidRPr="0046502B">
        <w:rPr>
          <w:b/>
          <w:i/>
        </w:rPr>
        <w:t>Acceptance and Action Questionnaire for Hoarding (AAQH</w:t>
      </w:r>
      <w:r w:rsidR="0046502B" w:rsidRPr="0046502B">
        <w:rPr>
          <w:b/>
          <w:i/>
        </w:rPr>
        <w:t xml:space="preserve">; </w:t>
      </w:r>
      <w:r w:rsidR="0046502B" w:rsidRPr="0046502B">
        <w:rPr>
          <w:b/>
          <w:i/>
        </w:rPr>
        <w:fldChar w:fldCharType="begin" w:fldLock="1"/>
      </w:r>
      <w:r w:rsidR="001B1B47">
        <w:rPr>
          <w:b/>
          <w:i/>
        </w:rPr>
        <w:instrText>ADDIN CSL_CITATION {"citationItems":[{"id":"ITEM-1","itemData":{"DOI":"10.1016/j.jcbs.2018.08.003","ISSN":"22121447","abstract":"Psychological inflexibility is a psychopathological process referring to the tendency for behavior to be overly controlled by internal experiences to an extent that interferes with quality of life. Some studies indicate that psychological inflexibility is linked to hoarding, but findings have been mixed. This inconsistency may be due to reliance on general measures of psychological inflexibility in prior research as there was previously no validated measure to assess psychological inflexibility as it relates to hoarding. The present study developed and validated a measure of hoarding-related psychological inflexibility, the Acceptance and Action Questionnaire for Hoarding (AAQH) in a college student sample with elevated hoarding symptoms (n = 201). The AAQH demonstrated a two-factor structure and good internal consistency, construct validity, and incremental validity over a general measure of psychological inflexibility, the AAQ-II. The potential research and clinical utility of the AAQH as well as limitations of this preliminary validation study are discussed.","author":[{"dropping-particle":"","family":"Krafft","given":"Jennifer","non-dropping-particle":"","parse-names":false,"suffix":""},{"dropping-particle":"","family":"Ong","given":"Clarissa W.","non-dropping-particle":"","parse-names":false,"suffix":""},{"dropping-particle":"","family":"Twohig","given":"Michael P.","non-dropping-particle":"","parse-names":false,"suffix":""},{"dropping-particle":"","family":"Levin","given":"Michael E.","non-dropping-particle":"","parse-names":false,"suffix":""}],"container-title":"Journal of Contextual Behavioral Science","id":"ITEM-1","issued":{"date-parts":[["2019"]]},"page":"234-242","title":"Assessing psychological inflexibility in hoarding: The Acceptance and Action Questionnaire for Hoarding (AAQH)","type":"article-journal","volume":"12"},"uris":["http://www.mendeley.com/documents/?uuid=3e859e22-7f6d-4455-9f0d-d7d1ed73ef07"]}],"mendeley":{"formattedCitation":"(Krafft et al., 2019)","manualFormatting":"Krafft, Ong, et al., 2018)","plainTextFormattedCitation":"(Krafft et al., 2019)","previouslyFormattedCitation":"(Krafft et al., 2019)"},"properties":{"noteIndex":0},"schema":"https://github.com/citation-style-language/schema/raw/master/csl-citation.json"}</w:instrText>
      </w:r>
      <w:r w:rsidR="0046502B" w:rsidRPr="0046502B">
        <w:rPr>
          <w:b/>
          <w:i/>
        </w:rPr>
        <w:fldChar w:fldCharType="separate"/>
      </w:r>
      <w:r w:rsidR="0046502B" w:rsidRPr="0046502B">
        <w:rPr>
          <w:b/>
          <w:i/>
          <w:noProof/>
        </w:rPr>
        <w:t>Krafft, Ong, et al., 2018)</w:t>
      </w:r>
      <w:r w:rsidR="0046502B" w:rsidRPr="0046502B">
        <w:rPr>
          <w:b/>
          <w:i/>
        </w:rPr>
        <w:fldChar w:fldCharType="end"/>
      </w:r>
    </w:p>
    <w:p w14:paraId="3169FD43" w14:textId="384B15ED" w:rsidR="00423984" w:rsidRDefault="006420FC" w:rsidP="00D7264B">
      <w:pPr>
        <w:spacing w:line="480" w:lineRule="auto"/>
      </w:pPr>
      <w:r>
        <w:rPr>
          <w:b/>
          <w:iCs/>
        </w:rPr>
        <w:tab/>
      </w:r>
      <w:r>
        <w:rPr>
          <w:bCs/>
          <w:iCs/>
        </w:rPr>
        <w:t xml:space="preserve">The AAQH is a 14-item measure of hoarding-related psychological inflexibility comprised of two subscales: Saving and Acquiring. </w:t>
      </w:r>
      <w:r w:rsidR="00424189">
        <w:rPr>
          <w:bCs/>
          <w:iCs/>
        </w:rPr>
        <w:t>Higher scores indicate greater inflexibility (e.g., nonacceptance of distress when discarding, inflexible attention to belongings, and cognitive fusion with beliefs about the need to keep or acquire items).</w:t>
      </w:r>
      <w:r w:rsidR="00072FFE">
        <w:rPr>
          <w:bCs/>
          <w:iCs/>
        </w:rPr>
        <w:t xml:space="preserve"> Example items include “</w:t>
      </w:r>
      <w:r w:rsidR="00132725" w:rsidRPr="00132725">
        <w:rPr>
          <w:bCs/>
          <w:iCs/>
        </w:rPr>
        <w:t>My thoughts or feelings make it hard for me to get rid of my things</w:t>
      </w:r>
      <w:r w:rsidR="00072FFE">
        <w:rPr>
          <w:bCs/>
          <w:iCs/>
        </w:rPr>
        <w:t>” and “</w:t>
      </w:r>
      <w:r w:rsidR="008735B0" w:rsidRPr="008735B0">
        <w:rPr>
          <w:bCs/>
          <w:iCs/>
        </w:rPr>
        <w:t>I need to get rid of my urges to acquire new things</w:t>
      </w:r>
      <w:r w:rsidR="00072FFE">
        <w:rPr>
          <w:bCs/>
          <w:iCs/>
        </w:rPr>
        <w:t>.”</w:t>
      </w:r>
      <w:r w:rsidR="00907462">
        <w:rPr>
          <w:bCs/>
          <w:iCs/>
        </w:rPr>
        <w:t xml:space="preserve"> There is initial evidence that this measure is valid and reliable within college students with elevated hoarding symptoms </w:t>
      </w:r>
      <w:r w:rsidR="00907462">
        <w:rPr>
          <w:bCs/>
          <w:iCs/>
        </w:rPr>
        <w:fldChar w:fldCharType="begin" w:fldLock="1"/>
      </w:r>
      <w:r w:rsidR="001B1B47">
        <w:rPr>
          <w:bCs/>
          <w:iCs/>
        </w:rPr>
        <w:instrText>ADDIN CSL_CITATION {"citationItems":[{"id":"ITEM-1","itemData":{"DOI":"10.1016/j.jcbs.2018.08.003","ISSN":"22121447","abstract":"Psychological inflexibility is a psychopathological process referring to the tendency for behavior to be overly controlled by internal experiences to an extent that interferes with quality of life. Some studies indicate that psychological inflexibility is linked to hoarding, but findings have been mixed. This inconsistency may be due to reliance on general measures of psychological inflexibility in prior research as there was previously no validated measure to assess psychological inflexibility as it relates to hoarding. The present study developed and validated a measure of hoarding-related psychological inflexibility, the Acceptance and Action Questionnaire for Hoarding (AAQH) in a college student sample with elevated hoarding symptoms (n = 201). The AAQH demonstrated a two-factor structure and good internal consistency, construct validity, and incremental validity over a general measure of psychological inflexibility, the AAQ-II. The potential research and clinical utility of the AAQH as well as limitations of this preliminary validation study are discussed.","author":[{"dropping-particle":"","family":"Krafft","given":"Jennifer","non-dropping-particle":"","parse-names":false,"suffix":""},{"dropping-particle":"","family":"Ong","given":"Clarissa W.","non-dropping-particle":"","parse-names":false,"suffix":""},{"dropping-particle":"","family":"Twohig","given":"Michael P.","non-dropping-particle":"","parse-names":false,"suffix":""},{"dropping-particle":"","family":"Levin","given":"Michael E.","non-dropping-particle":"","parse-names":false,"suffix":""}],"container-title":"Journal of Contextual Behavioral Science","id":"ITEM-1","issued":{"date-parts":[["2019"]]},"page":"234-242","title":"Assessing psychological inflexibility in hoarding: The Acceptance and Action Questionnaire for Hoarding (AAQH)","type":"article-journal","volume":"12"},"uris":["http://www.mendeley.com/documents/?uuid=3e859e22-7f6d-4455-9f0d-d7d1ed73ef07"]}],"mendeley":{"formattedCitation":"(Krafft et al., 2019)","plainTextFormattedCitation":"(Krafft et al., 2019)","previouslyFormattedCitation":"(Krafft et al., 2019)"},"properties":{"noteIndex":0},"schema":"https://github.com/citation-style-language/schema/raw/master/csl-citation.json"}</w:instrText>
      </w:r>
      <w:r w:rsidR="00907462">
        <w:rPr>
          <w:bCs/>
          <w:iCs/>
        </w:rPr>
        <w:fldChar w:fldCharType="separate"/>
      </w:r>
      <w:r w:rsidR="001B1B47" w:rsidRPr="001B1B47">
        <w:rPr>
          <w:bCs/>
          <w:iCs/>
          <w:noProof/>
        </w:rPr>
        <w:t>(Krafft et al., 2019)</w:t>
      </w:r>
      <w:r w:rsidR="00907462">
        <w:rPr>
          <w:bCs/>
          <w:iCs/>
        </w:rPr>
        <w:fldChar w:fldCharType="end"/>
      </w:r>
      <w:r w:rsidR="00907462">
        <w:rPr>
          <w:bCs/>
          <w:iCs/>
        </w:rPr>
        <w:t>. In the present study, internal consistency was excellent for the total score (</w:t>
      </w:r>
      <w:r w:rsidR="00907462" w:rsidRPr="00D40E6F">
        <w:rPr>
          <w:i/>
          <w:iCs/>
        </w:rPr>
        <w:sym w:font="Symbol" w:char="F061"/>
      </w:r>
      <w:r w:rsidR="00907462">
        <w:t xml:space="preserve"> = .90</w:t>
      </w:r>
      <w:r w:rsidR="00907462">
        <w:rPr>
          <w:bCs/>
          <w:iCs/>
        </w:rPr>
        <w:t>) and good for both subscales (</w:t>
      </w:r>
      <w:r w:rsidR="00907462">
        <w:t xml:space="preserve">Saving </w:t>
      </w:r>
      <w:r w:rsidR="00907462" w:rsidRPr="00D40E6F">
        <w:rPr>
          <w:i/>
          <w:iCs/>
        </w:rPr>
        <w:sym w:font="Symbol" w:char="F061"/>
      </w:r>
      <w:r w:rsidR="00907462" w:rsidRPr="00D40E6F">
        <w:rPr>
          <w:i/>
          <w:iCs/>
        </w:rPr>
        <w:t xml:space="preserve"> </w:t>
      </w:r>
      <w:r w:rsidR="00907462">
        <w:t xml:space="preserve">= .89, Acquisition </w:t>
      </w:r>
      <w:r w:rsidR="00907462" w:rsidRPr="00D40E6F">
        <w:rPr>
          <w:i/>
          <w:iCs/>
        </w:rPr>
        <w:sym w:font="Symbol" w:char="F061"/>
      </w:r>
      <w:r w:rsidR="00907462">
        <w:t xml:space="preserve"> = .83).</w:t>
      </w:r>
    </w:p>
    <w:p w14:paraId="3142D8E4" w14:textId="4933615B" w:rsidR="0046502B" w:rsidRDefault="0046502B" w:rsidP="00D7264B">
      <w:pPr>
        <w:spacing w:line="480" w:lineRule="auto"/>
        <w:rPr>
          <w:b/>
          <w:bCs/>
          <w:i/>
          <w:iCs/>
        </w:rPr>
      </w:pPr>
      <w:r w:rsidRPr="0046502B">
        <w:rPr>
          <w:b/>
          <w:bCs/>
          <w:i/>
          <w:iCs/>
        </w:rPr>
        <w:t xml:space="preserve">Five-Facet Mindfulness Questionnaire </w:t>
      </w:r>
      <w:r w:rsidRPr="0046502B">
        <w:rPr>
          <w:b/>
          <w:bCs/>
          <w:i/>
          <w:iCs/>
        </w:rPr>
        <w:fldChar w:fldCharType="begin" w:fldLock="1"/>
      </w:r>
      <w:r w:rsidR="004D069A">
        <w:rPr>
          <w:b/>
          <w:bCs/>
          <w:i/>
          <w:iCs/>
        </w:rPr>
        <w:instrText>ADDIN CSL_CITATION {"citationItems":[{"id":"ITEM-1","itemData":{"DOI":"10.1177/1073191105283504","ISBN":"1073-1911 (Print)\\r1073-1911 (Linking)","ISSN":"1073-1911","PMID":"16443717","abstract":"The authors examine the facet structure of mindfulness using five recently developed mindfulness questionnaires. Two large samples of undergraduate students completed mindfulness questionnaires and measures of other constructs. Psychometric properties of the mindfulness questionnaires were examined, including internal consistency and convergent and discriminant relationships with other variables. Factor analyses of the combined pool of items from the mindfulness questionnaires suggested that collectively they contain five clear, interpretable facets of mindfulness. Hierarchical confirmatory factor analyses suggested that at least four of the identified factors are components of an overall mindfulness construct and that the factor structure of mindfulness may vary with meditation experience. Mindfulness facets were shown to be differentially correlated in expected ways with several other constructs and to have incremental validity in the prediction of psychological symptoms. Findings suggest that conceptualizing mindfulness as a multifaceted construct is helpful in understanding its components and its relationships with other variables.","author":[{"dropping-particle":"","family":"Baer","given":"Ruth A.","non-dropping-particle":"","parse-names":false,"suffix":""},{"dropping-particle":"","family":"Smith","given":"Gregory T.","non-dropping-particle":"","parse-names":false,"suffix":""},{"dropping-particle":"","family":"Hopkins","given":"Jaclyn","non-dropping-particle":"","parse-names":false,"suffix":""},{"dropping-particle":"","family":"Krietemeyer","given":"Jennifer","non-dropping-particle":"","parse-names":false,"suffix":""},{"dropping-particle":"","family":"Toney","given":"Leslie","non-dropping-particle":"","parse-names":false,"suffix":""}],"container-title":"Assessment","id":"ITEM-1","issued":{"date-parts":[["2006"]]},"page":"27-45","title":"Using self-report assessment methods to explore facets of mindfulness","type":"article-journal","volume":"13"},"uris":["http://www.mendeley.com/documents/?uuid=d04f35e1-b09f-456d-a45a-0d76d06959c8"]}],"mendeley":{"formattedCitation":"(Baer et al., 2006)","manualFormatting":"(FFMQ; Baer et al., 2006)","plainTextFormattedCitation":"(Baer et al., 2006)","previouslyFormattedCitation":"(Baer et al., 2006)"},"properties":{"noteIndex":0},"schema":"https://github.com/citation-style-language/schema/raw/master/csl-citation.json"}</w:instrText>
      </w:r>
      <w:r w:rsidRPr="0046502B">
        <w:rPr>
          <w:b/>
          <w:bCs/>
          <w:i/>
          <w:iCs/>
        </w:rPr>
        <w:fldChar w:fldCharType="separate"/>
      </w:r>
      <w:r w:rsidRPr="0046502B">
        <w:rPr>
          <w:b/>
          <w:bCs/>
          <w:i/>
          <w:iCs/>
          <w:noProof/>
        </w:rPr>
        <w:t>(</w:t>
      </w:r>
      <w:r>
        <w:rPr>
          <w:b/>
          <w:bCs/>
          <w:i/>
          <w:iCs/>
          <w:noProof/>
        </w:rPr>
        <w:t xml:space="preserve">FFMQ; </w:t>
      </w:r>
      <w:r w:rsidRPr="0046502B">
        <w:rPr>
          <w:b/>
          <w:bCs/>
          <w:i/>
          <w:iCs/>
          <w:noProof/>
        </w:rPr>
        <w:t>Baer et al., 2006)</w:t>
      </w:r>
      <w:r w:rsidRPr="0046502B">
        <w:rPr>
          <w:b/>
          <w:bCs/>
          <w:i/>
          <w:iCs/>
        </w:rPr>
        <w:fldChar w:fldCharType="end"/>
      </w:r>
      <w:r w:rsidRPr="0046502B">
        <w:rPr>
          <w:b/>
          <w:bCs/>
          <w:i/>
          <w:iCs/>
        </w:rPr>
        <w:t>, Acting with Awareness Subscale</w:t>
      </w:r>
    </w:p>
    <w:p w14:paraId="200060DA" w14:textId="6F872B4C" w:rsidR="0046502B" w:rsidRPr="0046502B" w:rsidRDefault="0046502B" w:rsidP="00D7264B">
      <w:pPr>
        <w:spacing w:line="480" w:lineRule="auto"/>
      </w:pPr>
      <w:r>
        <w:rPr>
          <w:b/>
          <w:bCs/>
        </w:rPr>
        <w:lastRenderedPageBreak/>
        <w:tab/>
      </w:r>
      <w:r>
        <w:t xml:space="preserve">The Acting with Awareness subscale of the FFMQ consists of </w:t>
      </w:r>
      <w:r w:rsidR="002742D6">
        <w:t>eight</w:t>
      </w:r>
      <w:r>
        <w:t xml:space="preserve"> items that assess the ability to focus one’s attention on the activity one is currently engaged in. </w:t>
      </w:r>
      <w:r w:rsidR="00D40E6F">
        <w:t xml:space="preserve">Mindful, present-moment awareness is one facet of psychological flexibility that </w:t>
      </w:r>
      <w:r>
        <w:t xml:space="preserve">may be particularly relevant to hoarding, given that hoarding is defined by deficits in consistently making decisions about </w:t>
      </w:r>
      <w:r w:rsidR="004947EB">
        <w:t xml:space="preserve">saving or </w:t>
      </w:r>
      <w:r>
        <w:t>discarding belongings, a process that requires thoughtful attention.</w:t>
      </w:r>
      <w:r w:rsidR="000B33F9">
        <w:t xml:space="preserve"> </w:t>
      </w:r>
      <w:r>
        <w:t xml:space="preserve">Higher scores indicate greater mindful awareness. </w:t>
      </w:r>
      <w:r w:rsidR="004D069A">
        <w:t xml:space="preserve">There is evidence that the subscale has convergent validity and internal consistency </w:t>
      </w:r>
      <w:r w:rsidR="004D069A">
        <w:fldChar w:fldCharType="begin" w:fldLock="1"/>
      </w:r>
      <w:r w:rsidR="00AE666E">
        <w:instrText>ADDIN CSL_CITATION {"citationItems":[{"id":"ITEM-1","itemData":{"DOI":"10.1177/1073191105283504","ISBN":"1073-1911 (Print)\\r1073-1911 (Linking)","ISSN":"1073-1911","PMID":"16443717","abstract":"The authors examine the facet structure of mindfulness using five recently developed mindfulness questionnaires. Two large samples of undergraduate students completed mindfulness questionnaires and measures of other constructs. Psychometric properties of the mindfulness questionnaires were examined, including internal consistency and convergent and discriminant relationships with other variables. Factor analyses of the combined pool of items from the mindfulness questionnaires suggested that collectively they contain five clear, interpretable facets of mindfulness. Hierarchical confirmatory factor analyses suggested that at least four of the identified factors are components of an overall mindfulness construct and that the factor structure of mindfulness may vary with meditation experience. Mindfulness facets were shown to be differentially correlated in expected ways with several other constructs and to have incremental validity in the prediction of psychological symptoms. Findings suggest that conceptualizing mindfulness as a multifaceted construct is helpful in understanding its components and its relationships with other variables.","author":[{"dropping-particle":"","family":"Baer","given":"Ruth A.","non-dropping-particle":"","parse-names":false,"suffix":""},{"dropping-particle":"","family":"Smith","given":"Gregory T.","non-dropping-particle":"","parse-names":false,"suffix":""},{"dropping-particle":"","family":"Hopkins","given":"Jaclyn","non-dropping-particle":"","parse-names":false,"suffix":""},{"dropping-particle":"","family":"Krietemeyer","given":"Jennifer","non-dropping-particle":"","parse-names":false,"suffix":""},{"dropping-particle":"","family":"Toney","given":"Leslie","non-dropping-particle":"","parse-names":false,"suffix":""}],"container-title":"Assessment","id":"ITEM-1","issued":{"date-parts":[["2006"]]},"page":"27-45","title":"Using self-report assessment methods to explore facets of mindfulness","type":"article-journal","volume":"13"},"uris":["http://www.mendeley.com/documents/?uuid=d04f35e1-b09f-456d-a45a-0d76d06959c8"]}],"mendeley":{"formattedCitation":"(Baer et al., 2006)","plainTextFormattedCitation":"(Baer et al., 2006)","previouslyFormattedCitation":"(Baer et al., 2006)"},"properties":{"noteIndex":0},"schema":"https://github.com/citation-style-language/schema/raw/master/csl-citation.json"}</w:instrText>
      </w:r>
      <w:r w:rsidR="004D069A">
        <w:fldChar w:fldCharType="separate"/>
      </w:r>
      <w:r w:rsidR="004D069A" w:rsidRPr="004D069A">
        <w:rPr>
          <w:noProof/>
        </w:rPr>
        <w:t>(Baer et al., 2006)</w:t>
      </w:r>
      <w:r w:rsidR="004D069A">
        <w:fldChar w:fldCharType="end"/>
      </w:r>
      <w:r w:rsidR="004D069A">
        <w:t>. Internal consistency was good (</w:t>
      </w:r>
      <w:r w:rsidR="004D069A" w:rsidRPr="00482658">
        <w:rPr>
          <w:i/>
          <w:iCs/>
        </w:rPr>
        <w:sym w:font="Symbol" w:char="F061"/>
      </w:r>
      <w:r w:rsidR="004D069A" w:rsidRPr="00482658">
        <w:rPr>
          <w:i/>
          <w:iCs/>
        </w:rPr>
        <w:t xml:space="preserve"> </w:t>
      </w:r>
      <w:r w:rsidR="004D069A">
        <w:t>= .89) in this study.</w:t>
      </w:r>
    </w:p>
    <w:p w14:paraId="6ECD984D" w14:textId="6E811560" w:rsidR="003B57BE" w:rsidRDefault="00EB3E00" w:rsidP="00D7264B">
      <w:pPr>
        <w:spacing w:line="480" w:lineRule="auto"/>
        <w:rPr>
          <w:b/>
        </w:rPr>
      </w:pPr>
      <w:r>
        <w:rPr>
          <w:b/>
        </w:rPr>
        <w:t>A</w:t>
      </w:r>
      <w:r w:rsidR="003B57BE" w:rsidRPr="00A829B3">
        <w:rPr>
          <w:b/>
        </w:rPr>
        <w:t xml:space="preserve">nalysis </w:t>
      </w:r>
      <w:r w:rsidR="004A375A">
        <w:rPr>
          <w:b/>
        </w:rPr>
        <w:t>Plan</w:t>
      </w:r>
    </w:p>
    <w:p w14:paraId="54166E6D" w14:textId="6658AE62" w:rsidR="00FA6765" w:rsidRDefault="00FA6765" w:rsidP="00D7264B">
      <w:pPr>
        <w:spacing w:line="480" w:lineRule="auto"/>
        <w:rPr>
          <w:bCs/>
        </w:rPr>
      </w:pPr>
      <w:r>
        <w:rPr>
          <w:b/>
        </w:rPr>
        <w:tab/>
      </w:r>
      <w:r>
        <w:rPr>
          <w:bCs/>
        </w:rPr>
        <w:t xml:space="preserve">All analyses were conducted using R </w:t>
      </w:r>
      <w:r>
        <w:rPr>
          <w:bCs/>
        </w:rPr>
        <w:fldChar w:fldCharType="begin" w:fldLock="1"/>
      </w:r>
      <w:r w:rsidR="004A1E34">
        <w:rPr>
          <w:bCs/>
        </w:rPr>
        <w:instrText>ADDIN CSL_CITATION {"citationItems":[{"id":"ITEM-1","itemData":{"author":[{"dropping-particle":"","family":"R Core Team","given":"","non-dropping-particle":"","parse-names":false,"suffix":""}],"id":"ITEM-1","issued":{"date-parts":[["2018"]]},"publisher":"R Foundation for Statistical Computing","publisher-place":"Vienna, Austria","title":"R: A language and environment for statistical computing","type":"book"},"uris":["http://www.mendeley.com/documents/?uuid=c6c3de26-331a-4a46-aaf6-592b8acfcb47"]}],"mendeley":{"formattedCitation":"(R Core Team, 2018)","plainTextFormattedCitation":"(R Core Team, 2018)","previouslyFormattedCitation":"(R Core Team, 2018)"},"properties":{"noteIndex":0},"schema":"https://github.com/citation-style-language/schema/raw/master/csl-citation.json"}</w:instrText>
      </w:r>
      <w:r>
        <w:rPr>
          <w:bCs/>
        </w:rPr>
        <w:fldChar w:fldCharType="separate"/>
      </w:r>
      <w:r w:rsidRPr="00FA6765">
        <w:rPr>
          <w:bCs/>
          <w:noProof/>
        </w:rPr>
        <w:t>(R Core Team, 2018)</w:t>
      </w:r>
      <w:r>
        <w:rPr>
          <w:bCs/>
        </w:rPr>
        <w:fldChar w:fldCharType="end"/>
      </w:r>
      <w:r w:rsidR="00046B40">
        <w:rPr>
          <w:bCs/>
        </w:rPr>
        <w:t>.</w:t>
      </w:r>
      <w:r w:rsidR="00CA37E7">
        <w:rPr>
          <w:bCs/>
        </w:rPr>
        <w:t xml:space="preserve"> </w:t>
      </w:r>
      <w:r w:rsidR="00046B40">
        <w:rPr>
          <w:bCs/>
        </w:rPr>
        <w:t>T</w:t>
      </w:r>
      <w:r w:rsidR="00CA37E7">
        <w:rPr>
          <w:bCs/>
        </w:rPr>
        <w:t xml:space="preserve">he </w:t>
      </w:r>
      <w:proofErr w:type="spellStart"/>
      <w:r w:rsidR="00CA37E7">
        <w:rPr>
          <w:bCs/>
        </w:rPr>
        <w:t>lmerTest</w:t>
      </w:r>
      <w:proofErr w:type="spellEnd"/>
      <w:r w:rsidR="00CA37E7">
        <w:rPr>
          <w:bCs/>
        </w:rPr>
        <w:t xml:space="preserve"> package was used for analyses of overall change on process variables and moderation </w:t>
      </w:r>
      <w:r w:rsidR="00CA37E7">
        <w:rPr>
          <w:bCs/>
        </w:rPr>
        <w:fldChar w:fldCharType="begin" w:fldLock="1"/>
      </w:r>
      <w:r w:rsidR="00CA37E7">
        <w:rPr>
          <w:bCs/>
        </w:rPr>
        <w:instrText>ADDIN CSL_CITATION {"citationItems":[{"id":"ITEM-1","itemData":{"ISSN":"1548-7660","author":[{"dropping-particle":"","family":"Kuznetsova","given":"Alexandra","non-dropping-particle":"","parse-names":false,"suffix":""},{"dropping-particle":"","family":"Brockhoff","given":"Per B","non-dropping-particle":"","parse-names":false,"suffix":""},{"dropping-particle":"","family":"Christensen","given":"Rune Haubo Bojesen","non-dropping-particle":"","parse-names":false,"suffix":""}],"container-title":"Journal of statistical software","id":"ITEM-1","issued":{"date-parts":[["2017"]]},"publisher":"The Foundation for Open Access Statistics","title":"lmerTest package: tests in linear mixed effects models","type":"article-journal","volume":"82"},"uris":["http://www.mendeley.com/documents/?uuid=5fcac400-24fd-4ce6-95d3-1a06ac15f922"]}],"mendeley":{"formattedCitation":"(Kuznetsova et al., 2017)","plainTextFormattedCitation":"(Kuznetsova et al., 2017)","previouslyFormattedCitation":"(Kuznetsova et al., 2017)"},"properties":{"noteIndex":0},"schema":"https://github.com/citation-style-language/schema/raw/master/csl-citation.json"}</w:instrText>
      </w:r>
      <w:r w:rsidR="00CA37E7">
        <w:rPr>
          <w:bCs/>
        </w:rPr>
        <w:fldChar w:fldCharType="separate"/>
      </w:r>
      <w:r w:rsidR="00CA37E7" w:rsidRPr="00CA37E7">
        <w:rPr>
          <w:bCs/>
          <w:noProof/>
        </w:rPr>
        <w:t>(Kuznetsova et al., 2017)</w:t>
      </w:r>
      <w:r w:rsidR="00CA37E7">
        <w:rPr>
          <w:bCs/>
        </w:rPr>
        <w:fldChar w:fldCharType="end"/>
      </w:r>
      <w:r w:rsidR="00CA37E7">
        <w:rPr>
          <w:bCs/>
        </w:rPr>
        <w:t xml:space="preserve">, while </w:t>
      </w:r>
      <w:proofErr w:type="spellStart"/>
      <w:r w:rsidR="00CA37E7">
        <w:rPr>
          <w:bCs/>
        </w:rPr>
        <w:t>lavaan</w:t>
      </w:r>
      <w:proofErr w:type="spellEnd"/>
      <w:r w:rsidR="00CA37E7">
        <w:rPr>
          <w:bCs/>
        </w:rPr>
        <w:t xml:space="preserve"> </w:t>
      </w:r>
      <w:r w:rsidR="00CA37E7">
        <w:rPr>
          <w:bCs/>
        </w:rPr>
        <w:fldChar w:fldCharType="begin" w:fldLock="1"/>
      </w:r>
      <w:r w:rsidR="00482658">
        <w:rPr>
          <w:bCs/>
        </w:rPr>
        <w:instrText>ADDIN CSL_CITATION {"citationItems":[{"id":"ITEM-1","itemData":{"author":[{"dropping-particle":"","family":"Rosseel","given":"Yves","non-dropping-particle":"","parse-names":false,"suffix":""}],"container-title":"Journal of Statistical Software","id":"ITEM-1","issued":{"date-parts":[["2012"]]},"page":"1-36","title":"lavaan: An R Package for Structural Equation Modeling.","type":"article-journal","volume":"48"},"uris":["http://www.mendeley.com/documents/?uuid=cbc8f4fd-be7d-480b-9f95-b3a2d6948e07"]}],"mendeley":{"formattedCitation":"(Rosseel, 2012)","plainTextFormattedCitation":"(Rosseel, 2012)","previouslyFormattedCitation":"(Rosseel, 2012)"},"properties":{"noteIndex":0},"schema":"https://github.com/citation-style-language/schema/raw/master/csl-citation.json"}</w:instrText>
      </w:r>
      <w:r w:rsidR="00CA37E7">
        <w:rPr>
          <w:bCs/>
        </w:rPr>
        <w:fldChar w:fldCharType="separate"/>
      </w:r>
      <w:r w:rsidR="00CA37E7" w:rsidRPr="00CA37E7">
        <w:rPr>
          <w:bCs/>
          <w:noProof/>
        </w:rPr>
        <w:t>(Rosseel, 2012)</w:t>
      </w:r>
      <w:r w:rsidR="00CA37E7">
        <w:rPr>
          <w:bCs/>
        </w:rPr>
        <w:fldChar w:fldCharType="end"/>
      </w:r>
      <w:r w:rsidR="00CA37E7">
        <w:rPr>
          <w:bCs/>
        </w:rPr>
        <w:t xml:space="preserve"> was used for mediation tests.</w:t>
      </w:r>
      <w:r>
        <w:rPr>
          <w:bCs/>
        </w:rPr>
        <w:t xml:space="preserve"> Treatment and waitlist groups were compared on demographics, outcome, and process variables to identify any covariates to correct failures in randomization. Study variables were inspected for adequate normality. Missingness was inspected and potential predictors of missingness were evaluated for significance.</w:t>
      </w:r>
      <w:r w:rsidR="00922023">
        <w:rPr>
          <w:bCs/>
        </w:rPr>
        <w:t xml:space="preserve"> Zero-order correlations </w:t>
      </w:r>
      <w:r w:rsidR="00C55FA8">
        <w:rPr>
          <w:bCs/>
        </w:rPr>
        <w:t xml:space="preserve">between process variables and hoarding severity </w:t>
      </w:r>
      <w:r w:rsidR="00922023">
        <w:rPr>
          <w:bCs/>
        </w:rPr>
        <w:t>were calculated</w:t>
      </w:r>
      <w:r w:rsidR="00C55FA8">
        <w:rPr>
          <w:bCs/>
        </w:rPr>
        <w:t xml:space="preserve"> to characterize relationships between stigma, psychological inflexibility, and hoarding symptoms at baseline.</w:t>
      </w:r>
    </w:p>
    <w:p w14:paraId="1318A1ED" w14:textId="613F2517" w:rsidR="007F7DD6" w:rsidRDefault="00FA6765" w:rsidP="00D7264B">
      <w:pPr>
        <w:spacing w:line="480" w:lineRule="auto"/>
        <w:rPr>
          <w:bCs/>
        </w:rPr>
      </w:pPr>
      <w:r>
        <w:rPr>
          <w:bCs/>
        </w:rPr>
        <w:tab/>
      </w:r>
      <w:r w:rsidR="004E740E" w:rsidRPr="00CA37E7">
        <w:rPr>
          <w:b/>
        </w:rPr>
        <w:t>Change in process measures over time.</w:t>
      </w:r>
      <w:r w:rsidR="004E740E">
        <w:rPr>
          <w:bCs/>
        </w:rPr>
        <w:t xml:space="preserve"> </w:t>
      </w:r>
      <w:r>
        <w:rPr>
          <w:bCs/>
        </w:rPr>
        <w:t>Multilevel models with maximum likelihood estimation were used to investigate the overall impact of the intervention on process measures. Random intercepts (modeling participant-level variability in the dependent variable</w:t>
      </w:r>
      <w:r w:rsidR="009113A1">
        <w:rPr>
          <w:bCs/>
        </w:rPr>
        <w:t xml:space="preserve"> at baseline</w:t>
      </w:r>
      <w:r>
        <w:rPr>
          <w:bCs/>
        </w:rPr>
        <w:t xml:space="preserve">) </w:t>
      </w:r>
      <w:r w:rsidR="00EF2E24">
        <w:rPr>
          <w:bCs/>
        </w:rPr>
        <w:t>were employed, and</w:t>
      </w:r>
      <w:r>
        <w:rPr>
          <w:bCs/>
        </w:rPr>
        <w:t xml:space="preserve"> random slopes (modeling participant-level differences in trajectories in the dependent variable over time) were </w:t>
      </w:r>
      <w:r w:rsidR="00EF2E24">
        <w:rPr>
          <w:bCs/>
        </w:rPr>
        <w:t>also used if likelihood ratio tests indicated they improved model fit</w:t>
      </w:r>
      <w:r>
        <w:rPr>
          <w:bCs/>
        </w:rPr>
        <w:t xml:space="preserve">. </w:t>
      </w:r>
      <w:r w:rsidR="007D52FC">
        <w:rPr>
          <w:bCs/>
        </w:rPr>
        <w:t xml:space="preserve">An unstructured variance-covariance matrix </w:t>
      </w:r>
      <w:r w:rsidR="00D664D5">
        <w:rPr>
          <w:bCs/>
        </w:rPr>
        <w:t xml:space="preserve">was used. </w:t>
      </w:r>
      <w:r>
        <w:rPr>
          <w:bCs/>
        </w:rPr>
        <w:t xml:space="preserve">Time-by-condition interactions </w:t>
      </w:r>
      <w:r>
        <w:rPr>
          <w:bCs/>
        </w:rPr>
        <w:lastRenderedPageBreak/>
        <w:t xml:space="preserve">were calculated and tested for significance, using </w:t>
      </w:r>
      <w:r>
        <w:rPr>
          <w:bCs/>
          <w:i/>
          <w:iCs/>
        </w:rPr>
        <w:t>p</w:t>
      </w:r>
      <w:r>
        <w:rPr>
          <w:bCs/>
        </w:rPr>
        <w:t xml:space="preserve">-values based on the Satterthwaite approximation. </w:t>
      </w:r>
      <w:r w:rsidR="002C2D59">
        <w:rPr>
          <w:bCs/>
        </w:rPr>
        <w:t xml:space="preserve">Standardized variables were used for all analyses. </w:t>
      </w:r>
      <w:r>
        <w:rPr>
          <w:bCs/>
        </w:rPr>
        <w:t xml:space="preserve">Standardization of dependent variables was performed using grand mean centering, and condition and time were dummy coded </w:t>
      </w:r>
      <w:r w:rsidR="00F15D15">
        <w:rPr>
          <w:bCs/>
        </w:rPr>
        <w:t>so that regression coefficients</w:t>
      </w:r>
      <w:r w:rsidR="00EB63F1">
        <w:rPr>
          <w:bCs/>
        </w:rPr>
        <w:t xml:space="preserve"> are standardized and can</w:t>
      </w:r>
      <w:r w:rsidR="000327EA">
        <w:rPr>
          <w:bCs/>
        </w:rPr>
        <w:t xml:space="preserve"> provide</w:t>
      </w:r>
      <w:r>
        <w:rPr>
          <w:bCs/>
        </w:rPr>
        <w:t xml:space="preserve"> an estimate of effect size </w:t>
      </w:r>
      <w:r>
        <w:rPr>
          <w:bCs/>
        </w:rPr>
        <w:fldChar w:fldCharType="begin" w:fldLock="1"/>
      </w:r>
      <w:r>
        <w:rPr>
          <w:bCs/>
        </w:rPr>
        <w:instrText>ADDIN CSL_CITATION {"citationItems":[{"id":"ITEM-1","itemData":{"DOI":"10.1186/s40536-018-0061-2","ISBN":"4053601800612","ISSN":"21960739","abstract":"Effect size reporting is crucial for interpretation of applied research results and for conducting meta-analysis. However, clear guidelines for reporting effect size in multilevel models have not been provided. This report suggests and demonstrates appropriate effect size measures including the ICC for random effects and standardized regression coefficients or f 2 for fixed effects. Following this, complexities associated with reporting R 2 as an effect size measure are explored, as well as appropriate effect size measures for more complex models including the three-level model and the random slopes model. An example using TIMSS data is provided.","author":[{"dropping-particle":"","family":"Lorah","given":"Julie","non-dropping-particle":"","parse-names":false,"suffix":""}],"container-title":"Large-Scale Assessments in Education","id":"ITEM-1","issued":{"date-parts":[["2018"]]},"publisher":"Springer US","title":"Effect size measures for multilevel models: definition, interpretation, and TIMSS example","type":"article-journal","volume":"6"},"uris":["http://www.mendeley.com/documents/?uuid=0282632b-bcac-4935-a780-02bf30c6e967"]}],"mendeley":{"formattedCitation":"(Lorah, 2018)","plainTextFormattedCitation":"(Lorah, 2018)","previouslyFormattedCitation":"(Lorah, 2018)"},"properties":{"noteIndex":0},"schema":"https://github.com/citation-style-language/schema/raw/master/csl-citation.json"}</w:instrText>
      </w:r>
      <w:r>
        <w:rPr>
          <w:bCs/>
        </w:rPr>
        <w:fldChar w:fldCharType="separate"/>
      </w:r>
      <w:r w:rsidRPr="00FA6765">
        <w:rPr>
          <w:bCs/>
          <w:noProof/>
        </w:rPr>
        <w:t>(Lorah, 2018)</w:t>
      </w:r>
      <w:r>
        <w:rPr>
          <w:bCs/>
        </w:rPr>
        <w:fldChar w:fldCharType="end"/>
      </w:r>
      <w:r>
        <w:rPr>
          <w:bCs/>
        </w:rPr>
        <w:t>.</w:t>
      </w:r>
      <w:r w:rsidR="00C55FA8">
        <w:rPr>
          <w:bCs/>
        </w:rPr>
        <w:t xml:space="preserve"> </w:t>
      </w:r>
      <w:r>
        <w:rPr>
          <w:bCs/>
        </w:rPr>
        <w:t>Specifically, time-by-condition coefficients indicate change in the treatment group, relative to the waitlist group, from baseline to follow-up</w:t>
      </w:r>
      <w:r w:rsidR="001B62A5">
        <w:rPr>
          <w:bCs/>
        </w:rPr>
        <w:t>, in terms of standard deviations</w:t>
      </w:r>
      <w:r w:rsidR="009B701F">
        <w:rPr>
          <w:bCs/>
        </w:rPr>
        <w:t>.</w:t>
      </w:r>
      <w:r w:rsidR="00FE032F">
        <w:rPr>
          <w:bCs/>
        </w:rPr>
        <w:t xml:space="preserve"> </w:t>
      </w:r>
      <w:r w:rsidR="009B1BB8">
        <w:rPr>
          <w:bCs/>
        </w:rPr>
        <w:t xml:space="preserve">These coefficients are not </w:t>
      </w:r>
      <w:r w:rsidR="00741CC4">
        <w:rPr>
          <w:bCs/>
        </w:rPr>
        <w:t xml:space="preserve">precisely equivalent to Cohen’s </w:t>
      </w:r>
      <w:r w:rsidR="00741CC4" w:rsidRPr="007132B1">
        <w:rPr>
          <w:bCs/>
          <w:i/>
          <w:iCs/>
        </w:rPr>
        <w:t>d</w:t>
      </w:r>
      <w:r w:rsidR="00741CC4">
        <w:rPr>
          <w:bCs/>
        </w:rPr>
        <w:t xml:space="preserve">, because they account for the random effects </w:t>
      </w:r>
      <w:r w:rsidR="00EB63F1">
        <w:rPr>
          <w:bCs/>
        </w:rPr>
        <w:t>and covariates included in these models, but they are similar</w:t>
      </w:r>
      <w:r w:rsidR="00741CC4">
        <w:rPr>
          <w:bCs/>
        </w:rPr>
        <w:t xml:space="preserve"> </w:t>
      </w:r>
      <w:r w:rsidR="002C2D59">
        <w:rPr>
          <w:bCs/>
        </w:rPr>
        <w:t>in that they indicate</w:t>
      </w:r>
      <w:r w:rsidR="00D73E67">
        <w:rPr>
          <w:bCs/>
        </w:rPr>
        <w:t xml:space="preserve"> the difference between groups over time, or the change within groups, in terms of standard deviations.</w:t>
      </w:r>
    </w:p>
    <w:p w14:paraId="10A43732" w14:textId="08E5D648" w:rsidR="00FA6765" w:rsidRDefault="007F7DD6" w:rsidP="00D7264B">
      <w:pPr>
        <w:spacing w:line="480" w:lineRule="auto"/>
        <w:rPr>
          <w:bCs/>
        </w:rPr>
      </w:pPr>
      <w:r>
        <w:rPr>
          <w:bCs/>
        </w:rPr>
        <w:tab/>
      </w:r>
      <w:r w:rsidR="00023704" w:rsidRPr="00CA37E7">
        <w:rPr>
          <w:b/>
        </w:rPr>
        <w:t>Moderation of treatment effect.</w:t>
      </w:r>
      <w:r w:rsidR="00023704">
        <w:rPr>
          <w:bCs/>
        </w:rPr>
        <w:t xml:space="preserve"> </w:t>
      </w:r>
      <w:r>
        <w:rPr>
          <w:bCs/>
        </w:rPr>
        <w:t>A series of moderation analyses were also conducted. Potential moderators of the impact of the intervention on hoarding severity were estimated and evaluated for significance using the same methodology</w:t>
      </w:r>
      <w:r w:rsidR="004719F7">
        <w:rPr>
          <w:bCs/>
        </w:rPr>
        <w:t xml:space="preserve"> described in the previous paragraph</w:t>
      </w:r>
      <w:r>
        <w:rPr>
          <w:bCs/>
        </w:rPr>
        <w:t>. The moderator term was calculated as Time x Condition x Moderator.</w:t>
      </w:r>
    </w:p>
    <w:p w14:paraId="511F36D5" w14:textId="719F3132" w:rsidR="00F07804" w:rsidRDefault="00F07804" w:rsidP="00D7264B">
      <w:pPr>
        <w:spacing w:line="480" w:lineRule="auto"/>
        <w:rPr>
          <w:bCs/>
        </w:rPr>
      </w:pPr>
      <w:r>
        <w:rPr>
          <w:bCs/>
        </w:rPr>
        <w:tab/>
      </w:r>
      <w:r w:rsidR="008C3AF8" w:rsidRPr="00CA37E7">
        <w:rPr>
          <w:b/>
        </w:rPr>
        <w:t>Mediation of treatment effect.</w:t>
      </w:r>
      <w:r w:rsidR="008C3AF8">
        <w:rPr>
          <w:bCs/>
        </w:rPr>
        <w:t xml:space="preserve"> </w:t>
      </w:r>
      <w:r>
        <w:rPr>
          <w:bCs/>
        </w:rPr>
        <w:t xml:space="preserve">Longitudinal mediation models were then used to determine if improvement in the treatment condition </w:t>
      </w:r>
      <w:r w:rsidR="00023704">
        <w:rPr>
          <w:bCs/>
        </w:rPr>
        <w:t>w</w:t>
      </w:r>
      <w:r w:rsidR="00A83E98">
        <w:rPr>
          <w:bCs/>
        </w:rPr>
        <w:t>as</w:t>
      </w:r>
      <w:r w:rsidR="00023704">
        <w:rPr>
          <w:bCs/>
        </w:rPr>
        <w:t xml:space="preserve"> explained by</w:t>
      </w:r>
      <w:r>
        <w:rPr>
          <w:bCs/>
        </w:rPr>
        <w:t xml:space="preserve"> hypothesized processes. Specifically, these models estimated the indirect effect of condition on the pre-specified primary outcome (hoarding severity) at follow-up, through </w:t>
      </w:r>
      <w:r w:rsidR="004719F7">
        <w:rPr>
          <w:bCs/>
        </w:rPr>
        <w:t xml:space="preserve">each of the </w:t>
      </w:r>
      <w:r>
        <w:rPr>
          <w:bCs/>
        </w:rPr>
        <w:t>process variables at post-treatment</w:t>
      </w:r>
      <w:r w:rsidR="00720DCB">
        <w:rPr>
          <w:bCs/>
        </w:rPr>
        <w:t xml:space="preserve"> (see Figure 2)</w:t>
      </w:r>
      <w:r>
        <w:rPr>
          <w:bCs/>
        </w:rPr>
        <w:t xml:space="preserve">. </w:t>
      </w:r>
      <w:r w:rsidR="004719F7">
        <w:rPr>
          <w:bCs/>
        </w:rPr>
        <w:t xml:space="preserve">A separate model was run for each process variable. </w:t>
      </w:r>
      <w:r>
        <w:rPr>
          <w:bCs/>
        </w:rPr>
        <w:t xml:space="preserve">These models provide estimates of the effect of condition on the mediator </w:t>
      </w:r>
      <w:r w:rsidR="006542F0">
        <w:rPr>
          <w:bCs/>
        </w:rPr>
        <w:t xml:space="preserve">at post-treatment </w:t>
      </w:r>
      <w:r>
        <w:rPr>
          <w:bCs/>
        </w:rPr>
        <w:t>(</w:t>
      </w:r>
      <w:r>
        <w:rPr>
          <w:bCs/>
          <w:i/>
          <w:iCs/>
        </w:rPr>
        <w:t>a</w:t>
      </w:r>
      <w:r>
        <w:rPr>
          <w:bCs/>
        </w:rPr>
        <w:t xml:space="preserve"> path), </w:t>
      </w:r>
      <w:r w:rsidR="00C12786">
        <w:rPr>
          <w:bCs/>
        </w:rPr>
        <w:t xml:space="preserve">the effect of the </w:t>
      </w:r>
      <w:r>
        <w:rPr>
          <w:bCs/>
        </w:rPr>
        <w:t>mediator on hoarding severity</w:t>
      </w:r>
      <w:r w:rsidR="006542F0">
        <w:rPr>
          <w:bCs/>
        </w:rPr>
        <w:t xml:space="preserve"> at follow-up</w:t>
      </w:r>
      <w:r>
        <w:rPr>
          <w:bCs/>
        </w:rPr>
        <w:t xml:space="preserve"> (</w:t>
      </w:r>
      <w:r>
        <w:rPr>
          <w:bCs/>
          <w:i/>
          <w:iCs/>
        </w:rPr>
        <w:t>b</w:t>
      </w:r>
      <w:r>
        <w:rPr>
          <w:bCs/>
        </w:rPr>
        <w:t xml:space="preserve"> path),</w:t>
      </w:r>
      <w:r w:rsidR="00016162">
        <w:rPr>
          <w:bCs/>
        </w:rPr>
        <w:t xml:space="preserve"> </w:t>
      </w:r>
      <w:r w:rsidR="00C12786">
        <w:rPr>
          <w:bCs/>
        </w:rPr>
        <w:t xml:space="preserve">the effect of </w:t>
      </w:r>
      <w:r w:rsidR="00016162">
        <w:rPr>
          <w:bCs/>
        </w:rPr>
        <w:t>their interaction</w:t>
      </w:r>
      <w:r w:rsidR="00C12786">
        <w:rPr>
          <w:bCs/>
        </w:rPr>
        <w:t xml:space="preserve"> on hoarding severity at post-treatment</w:t>
      </w:r>
      <w:r w:rsidR="00016162">
        <w:rPr>
          <w:bCs/>
        </w:rPr>
        <w:t xml:space="preserve"> (</w:t>
      </w:r>
      <w:r w:rsidR="00016162" w:rsidRPr="00016162">
        <w:rPr>
          <w:bCs/>
          <w:i/>
          <w:iCs/>
        </w:rPr>
        <w:t>ab</w:t>
      </w:r>
      <w:r w:rsidR="00016162">
        <w:rPr>
          <w:bCs/>
        </w:rPr>
        <w:t xml:space="preserve"> path, the indirect effect), </w:t>
      </w:r>
      <w:r w:rsidR="00ED2559">
        <w:rPr>
          <w:bCs/>
        </w:rPr>
        <w:t xml:space="preserve">the </w:t>
      </w:r>
      <w:r w:rsidRPr="00016162">
        <w:rPr>
          <w:bCs/>
        </w:rPr>
        <w:t>total</w:t>
      </w:r>
      <w:r>
        <w:rPr>
          <w:bCs/>
        </w:rPr>
        <w:t xml:space="preserve"> effect of condition on hoarding severity </w:t>
      </w:r>
      <w:r w:rsidR="00070460">
        <w:rPr>
          <w:bCs/>
        </w:rPr>
        <w:t xml:space="preserve">at follow-up </w:t>
      </w:r>
      <w:r>
        <w:rPr>
          <w:bCs/>
        </w:rPr>
        <w:t>(</w:t>
      </w:r>
      <w:r>
        <w:rPr>
          <w:bCs/>
          <w:i/>
          <w:iCs/>
        </w:rPr>
        <w:t>c</w:t>
      </w:r>
      <w:r>
        <w:rPr>
          <w:bCs/>
        </w:rPr>
        <w:t xml:space="preserve"> path), and </w:t>
      </w:r>
      <w:r w:rsidR="00ED2559">
        <w:rPr>
          <w:bCs/>
        </w:rPr>
        <w:t xml:space="preserve">the </w:t>
      </w:r>
      <w:r>
        <w:rPr>
          <w:bCs/>
        </w:rPr>
        <w:t xml:space="preserve">residual effect of condition on hoarding severity after the </w:t>
      </w:r>
      <w:r>
        <w:rPr>
          <w:bCs/>
        </w:rPr>
        <w:lastRenderedPageBreak/>
        <w:t>indirect effect is modeled (</w:t>
      </w:r>
      <w:r>
        <w:rPr>
          <w:bCs/>
          <w:i/>
          <w:iCs/>
        </w:rPr>
        <w:t>c’</w:t>
      </w:r>
      <w:r>
        <w:rPr>
          <w:bCs/>
        </w:rPr>
        <w:t xml:space="preserve"> path). </w:t>
      </w:r>
      <w:r w:rsidR="004A1E34">
        <w:rPr>
          <w:bCs/>
        </w:rPr>
        <w:t xml:space="preserve">Models were estimated with the </w:t>
      </w:r>
      <w:proofErr w:type="spellStart"/>
      <w:r w:rsidR="004A1E34">
        <w:rPr>
          <w:bCs/>
        </w:rPr>
        <w:t>lavaan</w:t>
      </w:r>
      <w:proofErr w:type="spellEnd"/>
      <w:r w:rsidR="004A1E34">
        <w:rPr>
          <w:bCs/>
        </w:rPr>
        <w:t xml:space="preserve"> package </w:t>
      </w:r>
      <w:r w:rsidR="004A1E34">
        <w:rPr>
          <w:bCs/>
        </w:rPr>
        <w:fldChar w:fldCharType="begin" w:fldLock="1"/>
      </w:r>
      <w:r w:rsidR="00C62403">
        <w:rPr>
          <w:bCs/>
        </w:rPr>
        <w:instrText>ADDIN CSL_CITATION {"citationItems":[{"id":"ITEM-1","itemData":{"author":[{"dropping-particle":"","family":"Rosseel","given":"Yves","non-dropping-particle":"","parse-names":false,"suffix":""}],"container-title":"Journal of Statistical Software","id":"ITEM-1","issued":{"date-parts":[["2012"]]},"page":"1-36","title":"lavaan: An R Package for Structural Equation Modeling.","type":"article-journal","volume":"48"},"uris":["http://www.mendeley.com/documents/?uuid=cbc8f4fd-be7d-480b-9f95-b3a2d6948e07"]}],"mendeley":{"formattedCitation":"(Rosseel, 2012)","plainTextFormattedCitation":"(Rosseel, 2012)","previouslyFormattedCitation":"(Rosseel, 2012)"},"properties":{"noteIndex":0},"schema":"https://github.com/citation-style-language/schema/raw/master/csl-citation.json"}</w:instrText>
      </w:r>
      <w:r w:rsidR="004A1E34">
        <w:rPr>
          <w:bCs/>
        </w:rPr>
        <w:fldChar w:fldCharType="separate"/>
      </w:r>
      <w:r w:rsidR="004A1E34" w:rsidRPr="004A1E34">
        <w:rPr>
          <w:bCs/>
          <w:noProof/>
        </w:rPr>
        <w:t>(Rosseel, 2012)</w:t>
      </w:r>
      <w:r w:rsidR="004A1E34">
        <w:rPr>
          <w:bCs/>
        </w:rPr>
        <w:fldChar w:fldCharType="end"/>
      </w:r>
      <w:r w:rsidR="004A1E34">
        <w:rPr>
          <w:bCs/>
        </w:rPr>
        <w:t xml:space="preserve"> using full-information maximum likelihood (FIML) estimation</w:t>
      </w:r>
      <w:r w:rsidR="0081119E">
        <w:rPr>
          <w:bCs/>
        </w:rPr>
        <w:t>.</w:t>
      </w:r>
      <w:r w:rsidR="004741D5">
        <w:rPr>
          <w:bCs/>
        </w:rPr>
        <w:t xml:space="preserve"> Percentile bootstrap confidence intervals for the indirect effect were obtained from the </w:t>
      </w:r>
      <w:proofErr w:type="spellStart"/>
      <w:r w:rsidR="004741D5">
        <w:rPr>
          <w:bCs/>
        </w:rPr>
        <w:t>manymome</w:t>
      </w:r>
      <w:proofErr w:type="spellEnd"/>
      <w:r w:rsidR="004741D5">
        <w:rPr>
          <w:bCs/>
        </w:rPr>
        <w:t xml:space="preserve"> package </w:t>
      </w:r>
      <w:r w:rsidR="004741D5">
        <w:rPr>
          <w:bCs/>
        </w:rPr>
        <w:fldChar w:fldCharType="begin" w:fldLock="1"/>
      </w:r>
      <w:r w:rsidR="004741D5">
        <w:rPr>
          <w:bCs/>
        </w:rPr>
        <w:instrText>ADDIN CSL_CITATION {"citationItems":[{"id":"ITEM-1","itemData":{"author":[{"dropping-particle":"","family":"Cheung","given":"SF","non-dropping-particle":"","parse-names":false,"suffix":""},{"dropping-particle":"","family":"Cheung","given":"S","non-dropping-particle":"","parse-names":false,"suffix":""}],"id":"ITEM-1","issued":{"date-parts":[["2022"]]},"title":"manymome: An R package for computing the indirect effects, conditional effects, and conditional indirect effects.","type":"article-journal"},"uris":["http://www.mendeley.com/documents/?uuid=8bd5beac-0a49-4c26-b6c8-45353eeff801"]}],"mendeley":{"formattedCitation":"(Cheung &amp; Cheung, 2022)","plainTextFormattedCitation":"(Cheung &amp; Cheung, 2022)","previouslyFormattedCitation":"(Cheung &amp; Cheung, 2022)"},"properties":{"noteIndex":0},"schema":"https://github.com/citation-style-language/schema/raw/master/csl-citation.json"}</w:instrText>
      </w:r>
      <w:r w:rsidR="004741D5">
        <w:rPr>
          <w:bCs/>
        </w:rPr>
        <w:fldChar w:fldCharType="separate"/>
      </w:r>
      <w:r w:rsidR="004741D5" w:rsidRPr="004741D5">
        <w:rPr>
          <w:bCs/>
          <w:noProof/>
        </w:rPr>
        <w:t>(Cheung &amp; Cheung, 2022)</w:t>
      </w:r>
      <w:r w:rsidR="004741D5">
        <w:rPr>
          <w:bCs/>
        </w:rPr>
        <w:fldChar w:fldCharType="end"/>
      </w:r>
      <w:r w:rsidR="00084302">
        <w:rPr>
          <w:bCs/>
        </w:rPr>
        <w:t>.</w:t>
      </w:r>
      <w:r w:rsidR="00005EF8">
        <w:rPr>
          <w:bCs/>
        </w:rPr>
        <w:t xml:space="preserve"> Mediators and outcomes were both standardized, and time and condition were dummy coded, as described above.</w:t>
      </w:r>
    </w:p>
    <w:p w14:paraId="484CF506" w14:textId="4FC50217" w:rsidR="007F7DD6" w:rsidRDefault="007F7DD6" w:rsidP="00D7264B">
      <w:pPr>
        <w:spacing w:line="480" w:lineRule="auto"/>
        <w:rPr>
          <w:bCs/>
        </w:rPr>
      </w:pPr>
      <w:r>
        <w:rPr>
          <w:bCs/>
        </w:rPr>
        <w:tab/>
        <w:t xml:space="preserve">In addition to longitudinal mediation models, a series of post-hoc </w:t>
      </w:r>
      <w:r w:rsidR="00BD4122">
        <w:rPr>
          <w:bCs/>
        </w:rPr>
        <w:t xml:space="preserve">cross-sectional </w:t>
      </w:r>
      <w:r>
        <w:rPr>
          <w:bCs/>
        </w:rPr>
        <w:t xml:space="preserve">mediation models were also computed. These models repeated the above analyses, but with the mediator and hoarding severity both measured at follow-up, to assess whether the effect of the intervention on hoarding severity was significantly </w:t>
      </w:r>
      <w:r w:rsidR="00AA0F7B">
        <w:rPr>
          <w:bCs/>
        </w:rPr>
        <w:t>mediated by a particular process as measured at follow-up</w:t>
      </w:r>
      <w:r w:rsidR="00720DCB">
        <w:rPr>
          <w:bCs/>
        </w:rPr>
        <w:t xml:space="preserve"> (see Figure 3</w:t>
      </w:r>
      <w:r w:rsidR="00736B51">
        <w:rPr>
          <w:bCs/>
        </w:rPr>
        <w:t>)</w:t>
      </w:r>
      <w:r w:rsidR="00AA0F7B">
        <w:rPr>
          <w:bCs/>
        </w:rPr>
        <w:t>. These post-hoc analyses were added given that most process measures changed significantly from posttreatment to follow-up.</w:t>
      </w:r>
    </w:p>
    <w:p w14:paraId="0028080A" w14:textId="7237F5C9" w:rsidR="00BE0A68" w:rsidRPr="00FA6765" w:rsidRDefault="00BE0A68" w:rsidP="00D7264B">
      <w:pPr>
        <w:spacing w:line="480" w:lineRule="auto"/>
        <w:rPr>
          <w:bCs/>
        </w:rPr>
      </w:pPr>
      <w:r>
        <w:rPr>
          <w:bCs/>
        </w:rPr>
        <w:tab/>
      </w:r>
      <w:r w:rsidR="00CA12D6">
        <w:rPr>
          <w:b/>
        </w:rPr>
        <w:t xml:space="preserve">Correlated change </w:t>
      </w:r>
      <w:r w:rsidR="00CA12D6" w:rsidRPr="00CA12D6">
        <w:rPr>
          <w:b/>
        </w:rPr>
        <w:t>scores</w:t>
      </w:r>
      <w:r w:rsidR="00CA12D6">
        <w:rPr>
          <w:bCs/>
        </w:rPr>
        <w:t xml:space="preserve">. </w:t>
      </w:r>
      <w:r w:rsidRPr="00CA12D6">
        <w:rPr>
          <w:bCs/>
        </w:rPr>
        <w:t>Finally</w:t>
      </w:r>
      <w:r w:rsidR="00856065">
        <w:rPr>
          <w:bCs/>
        </w:rPr>
        <w:t>, to further explore the relation</w:t>
      </w:r>
      <w:r w:rsidR="00482658">
        <w:rPr>
          <w:bCs/>
        </w:rPr>
        <w:t xml:space="preserve">ship between </w:t>
      </w:r>
      <w:r w:rsidR="00856065">
        <w:rPr>
          <w:bCs/>
        </w:rPr>
        <w:t>changes in process variables and hoarding symptoms</w:t>
      </w:r>
      <w:r>
        <w:rPr>
          <w:bCs/>
        </w:rPr>
        <w:t xml:space="preserve">, change scores were computed for the primary outcome (SI-R score) and process variables (AAQH, FFMQ Acting with Awareness, Difference, Disdain, and Blame) from baseline to follow-up, and correlations between the </w:t>
      </w:r>
      <w:r w:rsidR="00B4787A">
        <w:rPr>
          <w:bCs/>
        </w:rPr>
        <w:t xml:space="preserve">change scores for </w:t>
      </w:r>
      <w:r w:rsidR="002863F8">
        <w:rPr>
          <w:bCs/>
        </w:rPr>
        <w:t xml:space="preserve">the </w:t>
      </w:r>
      <w:r>
        <w:rPr>
          <w:bCs/>
        </w:rPr>
        <w:t xml:space="preserve">outcome and </w:t>
      </w:r>
      <w:r w:rsidR="002863F8">
        <w:rPr>
          <w:bCs/>
        </w:rPr>
        <w:t xml:space="preserve">each of the </w:t>
      </w:r>
      <w:r>
        <w:rPr>
          <w:bCs/>
        </w:rPr>
        <w:t>process variables were calculated.</w:t>
      </w:r>
      <w:r w:rsidR="009A21BC">
        <w:rPr>
          <w:bCs/>
        </w:rPr>
        <w:t xml:space="preserve"> These analyses were done combining across </w:t>
      </w:r>
      <w:r w:rsidR="002863F8">
        <w:rPr>
          <w:bCs/>
        </w:rPr>
        <w:t>both treatment and waitlist groups</w:t>
      </w:r>
      <w:r w:rsidR="009A21BC">
        <w:rPr>
          <w:bCs/>
        </w:rPr>
        <w:t xml:space="preserve">, and use </w:t>
      </w:r>
      <w:r w:rsidR="002863F8">
        <w:rPr>
          <w:bCs/>
        </w:rPr>
        <w:t xml:space="preserve">only </w:t>
      </w:r>
      <w:r w:rsidR="009A21BC">
        <w:rPr>
          <w:bCs/>
        </w:rPr>
        <w:t>complete cases given that change scores required data at baseline and follow-up to compute.</w:t>
      </w:r>
    </w:p>
    <w:p w14:paraId="5B836618" w14:textId="77777777" w:rsidR="003B57BE" w:rsidRPr="00A829B3" w:rsidRDefault="003B57BE" w:rsidP="003B57BE">
      <w:pPr>
        <w:spacing w:line="480" w:lineRule="auto"/>
        <w:jc w:val="center"/>
        <w:rPr>
          <w:b/>
        </w:rPr>
      </w:pPr>
      <w:r w:rsidRPr="00A829B3">
        <w:rPr>
          <w:b/>
        </w:rPr>
        <w:t>Results</w:t>
      </w:r>
    </w:p>
    <w:p w14:paraId="5AF07C10" w14:textId="513EFE63" w:rsidR="003B57BE" w:rsidRDefault="003B57BE" w:rsidP="003B57BE">
      <w:pPr>
        <w:spacing w:line="480" w:lineRule="auto"/>
        <w:rPr>
          <w:b/>
        </w:rPr>
      </w:pPr>
      <w:r w:rsidRPr="00A829B3">
        <w:rPr>
          <w:b/>
        </w:rPr>
        <w:t xml:space="preserve">Preliminary </w:t>
      </w:r>
      <w:r w:rsidR="00EB3E00">
        <w:rPr>
          <w:b/>
        </w:rPr>
        <w:t>A</w:t>
      </w:r>
      <w:r w:rsidRPr="00A829B3">
        <w:rPr>
          <w:b/>
        </w:rPr>
        <w:t>nalyses</w:t>
      </w:r>
    </w:p>
    <w:p w14:paraId="78B202D7" w14:textId="00BE17CD" w:rsidR="003209F3" w:rsidRDefault="00C62403" w:rsidP="003B57BE">
      <w:pPr>
        <w:spacing w:line="480" w:lineRule="auto"/>
        <w:rPr>
          <w:bCs/>
        </w:rPr>
      </w:pPr>
      <w:r>
        <w:rPr>
          <w:bCs/>
        </w:rPr>
        <w:tab/>
        <w:t xml:space="preserve">The two groups significantly differed on one outcome measure at baseline, the </w:t>
      </w:r>
      <w:r w:rsidR="00AB3B8C">
        <w:rPr>
          <w:bCs/>
        </w:rPr>
        <w:t xml:space="preserve">CGI-I, and baseline CGI-I score </w:t>
      </w:r>
      <w:r w:rsidR="0008332E">
        <w:rPr>
          <w:bCs/>
        </w:rPr>
        <w:t xml:space="preserve">was </w:t>
      </w:r>
      <w:r w:rsidR="00AB3B8C">
        <w:rPr>
          <w:bCs/>
        </w:rPr>
        <w:t xml:space="preserve">thus </w:t>
      </w:r>
      <w:r w:rsidR="0008332E">
        <w:rPr>
          <w:bCs/>
        </w:rPr>
        <w:t xml:space="preserve">included as a </w:t>
      </w:r>
      <w:r w:rsidR="00702F49">
        <w:rPr>
          <w:bCs/>
        </w:rPr>
        <w:t xml:space="preserve">fixed </w:t>
      </w:r>
      <w:r w:rsidR="0008332E">
        <w:rPr>
          <w:bCs/>
        </w:rPr>
        <w:t>covariate in subsequent analyses.</w:t>
      </w:r>
      <w:r w:rsidR="00674841">
        <w:rPr>
          <w:bCs/>
        </w:rPr>
        <w:t xml:space="preserve"> Outcome and process variables adequately approximated normality.</w:t>
      </w:r>
      <w:r w:rsidR="00CF4F6F">
        <w:rPr>
          <w:bCs/>
        </w:rPr>
        <w:t xml:space="preserve"> The following variables were evaluated as </w:t>
      </w:r>
      <w:r w:rsidR="00CF4F6F">
        <w:rPr>
          <w:bCs/>
        </w:rPr>
        <w:lastRenderedPageBreak/>
        <w:t xml:space="preserve">potential predictors of missingness on the primary outcome (hoarding severity) at posttreatment: baseline scores on </w:t>
      </w:r>
      <w:r w:rsidR="002818BE">
        <w:rPr>
          <w:bCs/>
        </w:rPr>
        <w:t xml:space="preserve">all </w:t>
      </w:r>
      <w:r w:rsidR="00CF4F6F">
        <w:rPr>
          <w:bCs/>
        </w:rPr>
        <w:t>outcome and process variables (excluding subscales), baseline therapy and medication utilization, age, gender, and credibility and expectancy. None significantly predicted missingness (</w:t>
      </w:r>
      <w:proofErr w:type="spellStart"/>
      <w:r w:rsidR="00CF4F6F">
        <w:rPr>
          <w:bCs/>
          <w:i/>
          <w:iCs/>
        </w:rPr>
        <w:t>p</w:t>
      </w:r>
      <w:r w:rsidR="00CF4F6F">
        <w:rPr>
          <w:bCs/>
        </w:rPr>
        <w:t>s</w:t>
      </w:r>
      <w:proofErr w:type="spellEnd"/>
      <w:r w:rsidR="00CF4F6F">
        <w:rPr>
          <w:bCs/>
        </w:rPr>
        <w:t xml:space="preserve"> &gt; .05).</w:t>
      </w:r>
      <w:r w:rsidR="00EF2E24">
        <w:rPr>
          <w:bCs/>
        </w:rPr>
        <w:t xml:space="preserve"> Random slopes significantly improved each model except the model with self-stigma of difference as an outcome (</w:t>
      </w:r>
      <w:proofErr w:type="spellStart"/>
      <w:r w:rsidR="00EF2E24">
        <w:rPr>
          <w:bCs/>
          <w:i/>
          <w:iCs/>
        </w:rPr>
        <w:t>p</w:t>
      </w:r>
      <w:r w:rsidR="00EF2E24">
        <w:rPr>
          <w:bCs/>
        </w:rPr>
        <w:t>s</w:t>
      </w:r>
      <w:proofErr w:type="spellEnd"/>
      <w:r w:rsidR="00EF2E24">
        <w:rPr>
          <w:bCs/>
        </w:rPr>
        <w:t xml:space="preserve"> &lt; .05) and were thus retained for all other models.</w:t>
      </w:r>
      <w:r w:rsidR="000A26CD">
        <w:rPr>
          <w:bCs/>
        </w:rPr>
        <w:t xml:space="preserve"> </w:t>
      </w:r>
      <w:r w:rsidR="00055AF8">
        <w:rPr>
          <w:bCs/>
        </w:rPr>
        <w:t xml:space="preserve">The average number of sessions </w:t>
      </w:r>
      <w:r w:rsidR="00FE2522">
        <w:rPr>
          <w:bCs/>
        </w:rPr>
        <w:t xml:space="preserve">participants </w:t>
      </w:r>
      <w:r w:rsidR="0061644E">
        <w:rPr>
          <w:bCs/>
        </w:rPr>
        <w:t xml:space="preserve">in the treatment condition had </w:t>
      </w:r>
      <w:r w:rsidR="00055AF8">
        <w:rPr>
          <w:bCs/>
        </w:rPr>
        <w:t xml:space="preserve">completed by posttreatment was 6.89 of the 16 sessions </w:t>
      </w:r>
      <w:r w:rsidR="00FE2522">
        <w:rPr>
          <w:bCs/>
        </w:rPr>
        <w:t xml:space="preserve">available </w:t>
      </w:r>
      <w:r w:rsidR="00055AF8">
        <w:rPr>
          <w:bCs/>
        </w:rPr>
        <w:t>(SD = 5.71)</w:t>
      </w:r>
      <w:r w:rsidR="00FE2522">
        <w:rPr>
          <w:bCs/>
        </w:rPr>
        <w:t>.</w:t>
      </w:r>
      <w:r w:rsidR="000A26CD">
        <w:rPr>
          <w:bCs/>
        </w:rPr>
        <w:t xml:space="preserve"> </w:t>
      </w:r>
      <w:r w:rsidR="00F324C4">
        <w:rPr>
          <w:bCs/>
        </w:rPr>
        <w:t>Of these 38 individuals,</w:t>
      </w:r>
      <w:r w:rsidR="003334EF">
        <w:rPr>
          <w:bCs/>
        </w:rPr>
        <w:t xml:space="preserve"> 9 did not complete any website sessions,</w:t>
      </w:r>
      <w:r w:rsidR="00F324C4">
        <w:rPr>
          <w:bCs/>
        </w:rPr>
        <w:t xml:space="preserve"> </w:t>
      </w:r>
      <w:r w:rsidR="00EC1EFB">
        <w:rPr>
          <w:bCs/>
        </w:rPr>
        <w:t xml:space="preserve">7 completed 2-4 sessions, </w:t>
      </w:r>
      <w:r w:rsidR="00960B57">
        <w:rPr>
          <w:bCs/>
        </w:rPr>
        <w:t xml:space="preserve">5 completed 5-7 sessions, </w:t>
      </w:r>
      <w:r w:rsidR="0007682B">
        <w:rPr>
          <w:bCs/>
        </w:rPr>
        <w:t>4 completed 8-10 sessions, 8 completed 12-13 sessions</w:t>
      </w:r>
      <w:r w:rsidR="00A2444D">
        <w:rPr>
          <w:bCs/>
        </w:rPr>
        <w:t>, and 5 completed all 16 sessions.</w:t>
      </w:r>
      <w:r w:rsidR="001A0528">
        <w:rPr>
          <w:bCs/>
        </w:rPr>
        <w:t xml:space="preserve"> Participants rarely </w:t>
      </w:r>
      <w:r w:rsidR="00D12CEB">
        <w:rPr>
          <w:bCs/>
        </w:rPr>
        <w:t>did sessions out of order; thus, more participants were exposed to the earlier sessions (</w:t>
      </w:r>
      <w:r w:rsidR="00F421C9">
        <w:rPr>
          <w:bCs/>
        </w:rPr>
        <w:t>which focused primarily on acceptance</w:t>
      </w:r>
      <w:r w:rsidR="000031CD">
        <w:rPr>
          <w:bCs/>
        </w:rPr>
        <w:t xml:space="preserve">, </w:t>
      </w:r>
      <w:proofErr w:type="spellStart"/>
      <w:r w:rsidR="00F421C9">
        <w:rPr>
          <w:bCs/>
        </w:rPr>
        <w:t>defusion</w:t>
      </w:r>
      <w:proofErr w:type="spellEnd"/>
      <w:r w:rsidR="000031CD">
        <w:rPr>
          <w:bCs/>
        </w:rPr>
        <w:t>, and self-as-context</w:t>
      </w:r>
      <w:r w:rsidR="00D12CEB">
        <w:rPr>
          <w:bCs/>
        </w:rPr>
        <w:t>) compared to the later sessions (</w:t>
      </w:r>
      <w:r w:rsidR="00F421C9">
        <w:rPr>
          <w:bCs/>
        </w:rPr>
        <w:t>which focused primarily on mindful awareness, values, committed action, and skills generalization</w:t>
      </w:r>
      <w:r w:rsidR="00D12CEB">
        <w:rPr>
          <w:bCs/>
        </w:rPr>
        <w:t>)</w:t>
      </w:r>
      <w:r w:rsidR="000031CD">
        <w:rPr>
          <w:bCs/>
        </w:rPr>
        <w:t>.</w:t>
      </w:r>
    </w:p>
    <w:p w14:paraId="635B79B0" w14:textId="42EE9F07" w:rsidR="005A5E7A" w:rsidRDefault="005A5E7A" w:rsidP="003B57BE">
      <w:pPr>
        <w:spacing w:line="480" w:lineRule="auto"/>
        <w:rPr>
          <w:bCs/>
        </w:rPr>
      </w:pPr>
      <w:r>
        <w:rPr>
          <w:b/>
        </w:rPr>
        <w:t>Baseline Correlations</w:t>
      </w:r>
    </w:p>
    <w:p w14:paraId="1CFD7699" w14:textId="1E65ECFD" w:rsidR="00C55FA8" w:rsidRPr="00A0149C" w:rsidRDefault="00C55FA8" w:rsidP="000D0171">
      <w:pPr>
        <w:spacing w:line="480" w:lineRule="auto"/>
        <w:rPr>
          <w:b/>
        </w:rPr>
      </w:pPr>
      <w:r>
        <w:rPr>
          <w:bCs/>
        </w:rPr>
        <w:tab/>
        <w:t>Zero-order correlations indicated a complex pattern of relationships between variables at baseline</w:t>
      </w:r>
      <w:r w:rsidR="00DC7541">
        <w:rPr>
          <w:bCs/>
        </w:rPr>
        <w:t xml:space="preserve"> (see Table 2)</w:t>
      </w:r>
      <w:r>
        <w:rPr>
          <w:bCs/>
        </w:rPr>
        <w:t xml:space="preserve">. </w:t>
      </w:r>
      <w:r w:rsidR="00FF3C1E">
        <w:rPr>
          <w:bCs/>
        </w:rPr>
        <w:t>Hoarding symptoms were significantly associated with s</w:t>
      </w:r>
      <w:r>
        <w:rPr>
          <w:bCs/>
        </w:rPr>
        <w:t>elf-stigma of difference (</w:t>
      </w:r>
      <w:r>
        <w:rPr>
          <w:bCs/>
          <w:i/>
          <w:iCs/>
        </w:rPr>
        <w:t>r</w:t>
      </w:r>
      <w:r>
        <w:rPr>
          <w:bCs/>
        </w:rPr>
        <w:t xml:space="preserve"> = .31, </w:t>
      </w:r>
      <w:r>
        <w:rPr>
          <w:bCs/>
          <w:i/>
          <w:iCs/>
        </w:rPr>
        <w:t>p</w:t>
      </w:r>
      <w:r>
        <w:rPr>
          <w:bCs/>
        </w:rPr>
        <w:t xml:space="preserve"> &lt; </w:t>
      </w:r>
      <w:r w:rsidR="00DC7541">
        <w:rPr>
          <w:bCs/>
        </w:rPr>
        <w:t>.01), AAQH total (</w:t>
      </w:r>
      <w:r w:rsidR="00DC7541">
        <w:rPr>
          <w:bCs/>
          <w:i/>
          <w:iCs/>
        </w:rPr>
        <w:t>r</w:t>
      </w:r>
      <w:r w:rsidR="00DC7541">
        <w:rPr>
          <w:bCs/>
        </w:rPr>
        <w:t xml:space="preserve"> = .52, </w:t>
      </w:r>
      <w:r w:rsidR="00DC7541">
        <w:rPr>
          <w:bCs/>
          <w:i/>
          <w:iCs/>
        </w:rPr>
        <w:t>p</w:t>
      </w:r>
      <w:r w:rsidR="00DC7541">
        <w:rPr>
          <w:bCs/>
        </w:rPr>
        <w:t xml:space="preserve"> &lt; .01), and FFMQ Acting with Awareness (</w:t>
      </w:r>
      <w:r w:rsidR="00DC7541">
        <w:rPr>
          <w:bCs/>
          <w:i/>
          <w:iCs/>
        </w:rPr>
        <w:t>r</w:t>
      </w:r>
      <w:r w:rsidR="00DC7541">
        <w:rPr>
          <w:bCs/>
        </w:rPr>
        <w:t xml:space="preserve"> = -0.40, </w:t>
      </w:r>
      <w:r w:rsidR="00DC7541">
        <w:rPr>
          <w:bCs/>
          <w:i/>
          <w:iCs/>
        </w:rPr>
        <w:t>p</w:t>
      </w:r>
      <w:r w:rsidR="00DC7541">
        <w:rPr>
          <w:bCs/>
        </w:rPr>
        <w:t xml:space="preserve"> &lt; .01).</w:t>
      </w:r>
      <w:r w:rsidR="00A0149C">
        <w:rPr>
          <w:bCs/>
        </w:rPr>
        <w:t xml:space="preserve"> Self-stigma of disdain and blame were not significantly related to hoarding severity. AAQH total was significantly correlated with self-stigma of difference (</w:t>
      </w:r>
      <w:r w:rsidR="00A0149C">
        <w:rPr>
          <w:bCs/>
          <w:i/>
          <w:iCs/>
        </w:rPr>
        <w:t>r</w:t>
      </w:r>
      <w:r w:rsidR="00A0149C">
        <w:rPr>
          <w:bCs/>
        </w:rPr>
        <w:t xml:space="preserve"> = .26, </w:t>
      </w:r>
      <w:r w:rsidR="00A0149C">
        <w:rPr>
          <w:bCs/>
          <w:i/>
          <w:iCs/>
        </w:rPr>
        <w:t>p</w:t>
      </w:r>
      <w:r w:rsidR="00A0149C">
        <w:rPr>
          <w:bCs/>
        </w:rPr>
        <w:t xml:space="preserve"> &lt; .05), but not disdain or blame. FFMQ Acting with Awareness was negatively correlated with disdain (</w:t>
      </w:r>
      <w:r w:rsidR="00A0149C">
        <w:rPr>
          <w:bCs/>
          <w:i/>
          <w:iCs/>
        </w:rPr>
        <w:t>r</w:t>
      </w:r>
      <w:r w:rsidR="00A0149C">
        <w:rPr>
          <w:bCs/>
        </w:rPr>
        <w:t xml:space="preserve"> = -.27, </w:t>
      </w:r>
      <w:r w:rsidR="00A0149C">
        <w:rPr>
          <w:bCs/>
          <w:i/>
          <w:iCs/>
        </w:rPr>
        <w:t>p</w:t>
      </w:r>
      <w:r w:rsidR="00A0149C">
        <w:rPr>
          <w:bCs/>
        </w:rPr>
        <w:t xml:space="preserve"> &lt; .05) and blame (</w:t>
      </w:r>
      <w:r w:rsidR="00A0149C">
        <w:rPr>
          <w:bCs/>
          <w:i/>
          <w:iCs/>
        </w:rPr>
        <w:t>r</w:t>
      </w:r>
      <w:r w:rsidR="00A0149C">
        <w:rPr>
          <w:bCs/>
        </w:rPr>
        <w:t xml:space="preserve"> = -.28, </w:t>
      </w:r>
      <w:r w:rsidR="00A0149C">
        <w:rPr>
          <w:bCs/>
          <w:i/>
          <w:iCs/>
        </w:rPr>
        <w:t>p</w:t>
      </w:r>
      <w:r w:rsidR="00A0149C">
        <w:rPr>
          <w:bCs/>
        </w:rPr>
        <w:t xml:space="preserve"> &lt; .05). </w:t>
      </w:r>
    </w:p>
    <w:p w14:paraId="4C206EF2" w14:textId="2DBB92CC" w:rsidR="005A5E7A" w:rsidRPr="005A5E7A" w:rsidRDefault="00C55FA8" w:rsidP="003B57BE">
      <w:pPr>
        <w:spacing w:line="480" w:lineRule="auto"/>
        <w:rPr>
          <w:bCs/>
        </w:rPr>
      </w:pPr>
      <w:r>
        <w:rPr>
          <w:bCs/>
        </w:rPr>
        <w:tab/>
        <w:t>Correlates of hoarding severity at baseline were further explored to better characterize possible contributors to hoarding severity. S</w:t>
      </w:r>
      <w:r w:rsidR="00C7740F">
        <w:rPr>
          <w:bCs/>
        </w:rPr>
        <w:t xml:space="preserve">elf-stigma of difference, AAQH </w:t>
      </w:r>
      <w:r>
        <w:rPr>
          <w:bCs/>
        </w:rPr>
        <w:t>total</w:t>
      </w:r>
      <w:r w:rsidR="00C7740F">
        <w:rPr>
          <w:bCs/>
        </w:rPr>
        <w:t xml:space="preserve">, and FFMQ </w:t>
      </w:r>
      <w:r>
        <w:rPr>
          <w:bCs/>
        </w:rPr>
        <w:lastRenderedPageBreak/>
        <w:t>A</w:t>
      </w:r>
      <w:r w:rsidR="00C7740F">
        <w:rPr>
          <w:bCs/>
        </w:rPr>
        <w:t xml:space="preserve">cting with </w:t>
      </w:r>
      <w:r>
        <w:rPr>
          <w:bCs/>
        </w:rPr>
        <w:t>A</w:t>
      </w:r>
      <w:r w:rsidR="00C7740F">
        <w:rPr>
          <w:bCs/>
        </w:rPr>
        <w:t xml:space="preserve">wareness </w:t>
      </w:r>
      <w:r>
        <w:rPr>
          <w:bCs/>
        </w:rPr>
        <w:t xml:space="preserve">were </w:t>
      </w:r>
      <w:r w:rsidR="00C7740F">
        <w:rPr>
          <w:bCs/>
        </w:rPr>
        <w:t xml:space="preserve">entered </w:t>
      </w:r>
      <w:r>
        <w:rPr>
          <w:bCs/>
        </w:rPr>
        <w:t xml:space="preserve">in a linear regression </w:t>
      </w:r>
      <w:r w:rsidR="00C7740F">
        <w:rPr>
          <w:bCs/>
        </w:rPr>
        <w:t>as predictors of hoarding severity</w:t>
      </w:r>
      <w:r>
        <w:rPr>
          <w:bCs/>
        </w:rPr>
        <w:t>. In this multiple regression,</w:t>
      </w:r>
      <w:r w:rsidR="00C7740F">
        <w:rPr>
          <w:bCs/>
        </w:rPr>
        <w:t xml:space="preserve"> AAQH (</w:t>
      </w:r>
      <w:r w:rsidR="004C224B">
        <w:rPr>
          <w:bCs/>
          <w:i/>
          <w:iCs/>
        </w:rPr>
        <w:t>B</w:t>
      </w:r>
      <w:r w:rsidR="004C224B">
        <w:rPr>
          <w:bCs/>
        </w:rPr>
        <w:t xml:space="preserve"> = 0.42, SE = -0.10, </w:t>
      </w:r>
      <w:r w:rsidR="004C224B">
        <w:rPr>
          <w:bCs/>
          <w:i/>
          <w:iCs/>
        </w:rPr>
        <w:t>p</w:t>
      </w:r>
      <w:r w:rsidR="004C224B">
        <w:rPr>
          <w:bCs/>
        </w:rPr>
        <w:t xml:space="preserve"> &lt; .0001) and FFMQ </w:t>
      </w:r>
      <w:r>
        <w:rPr>
          <w:bCs/>
        </w:rPr>
        <w:t>A</w:t>
      </w:r>
      <w:r w:rsidR="004C224B">
        <w:rPr>
          <w:bCs/>
        </w:rPr>
        <w:t xml:space="preserve">cting with </w:t>
      </w:r>
      <w:r>
        <w:rPr>
          <w:bCs/>
        </w:rPr>
        <w:t>A</w:t>
      </w:r>
      <w:r w:rsidR="004C224B">
        <w:rPr>
          <w:bCs/>
        </w:rPr>
        <w:t>wareness (</w:t>
      </w:r>
      <w:r w:rsidR="004C224B">
        <w:rPr>
          <w:bCs/>
          <w:i/>
          <w:iCs/>
        </w:rPr>
        <w:t>B</w:t>
      </w:r>
      <w:r w:rsidR="004C224B">
        <w:rPr>
          <w:bCs/>
        </w:rPr>
        <w:t xml:space="preserve"> = -0.59, SE = 0.21, </w:t>
      </w:r>
      <w:r w:rsidR="004C224B">
        <w:rPr>
          <w:bCs/>
          <w:i/>
          <w:iCs/>
        </w:rPr>
        <w:t>p</w:t>
      </w:r>
      <w:r w:rsidR="004C224B">
        <w:rPr>
          <w:bCs/>
        </w:rPr>
        <w:t xml:space="preserve"> &lt; .01) were significant predictors</w:t>
      </w:r>
      <w:r>
        <w:rPr>
          <w:bCs/>
        </w:rPr>
        <w:t xml:space="preserve"> of hoarding severity, while </w:t>
      </w:r>
      <w:r w:rsidR="004C224B">
        <w:rPr>
          <w:bCs/>
        </w:rPr>
        <w:t xml:space="preserve">self-stigma of difference was </w:t>
      </w:r>
      <w:r>
        <w:rPr>
          <w:bCs/>
        </w:rPr>
        <w:t>not a significant predictor</w:t>
      </w:r>
      <w:r w:rsidR="004C224B">
        <w:rPr>
          <w:bCs/>
        </w:rPr>
        <w:t xml:space="preserve"> (</w:t>
      </w:r>
      <w:r w:rsidR="004C224B">
        <w:rPr>
          <w:bCs/>
          <w:i/>
          <w:iCs/>
        </w:rPr>
        <w:t>B</w:t>
      </w:r>
      <w:r w:rsidR="004C224B">
        <w:rPr>
          <w:bCs/>
        </w:rPr>
        <w:t xml:space="preserve"> = 0.91, SE = 0.60, </w:t>
      </w:r>
      <w:r w:rsidR="004C224B">
        <w:rPr>
          <w:bCs/>
          <w:i/>
          <w:iCs/>
        </w:rPr>
        <w:t>p</w:t>
      </w:r>
      <w:r w:rsidR="004C224B">
        <w:rPr>
          <w:bCs/>
        </w:rPr>
        <w:t xml:space="preserve"> = .13)</w:t>
      </w:r>
      <w:r>
        <w:rPr>
          <w:bCs/>
        </w:rPr>
        <w:t xml:space="preserve"> at baseline.</w:t>
      </w:r>
    </w:p>
    <w:p w14:paraId="48A02DBF" w14:textId="4476135E" w:rsidR="003B57BE" w:rsidRDefault="003209F3" w:rsidP="004A375A">
      <w:pPr>
        <w:spacing w:line="480" w:lineRule="auto"/>
        <w:rPr>
          <w:b/>
        </w:rPr>
      </w:pPr>
      <w:r>
        <w:rPr>
          <w:b/>
        </w:rPr>
        <w:t>Change in Processes</w:t>
      </w:r>
    </w:p>
    <w:p w14:paraId="1ED3E8FF" w14:textId="67DD1B80" w:rsidR="009D48F7" w:rsidRDefault="00674841" w:rsidP="004A375A">
      <w:pPr>
        <w:spacing w:line="480" w:lineRule="auto"/>
        <w:rPr>
          <w:bCs/>
        </w:rPr>
      </w:pPr>
      <w:r>
        <w:rPr>
          <w:b/>
        </w:rPr>
        <w:tab/>
      </w:r>
      <w:r w:rsidR="00EF2E24">
        <w:rPr>
          <w:bCs/>
        </w:rPr>
        <w:t>There was a significant time by condition interaction for each process variable</w:t>
      </w:r>
      <w:r w:rsidR="00BD2D22">
        <w:rPr>
          <w:bCs/>
        </w:rPr>
        <w:t xml:space="preserve"> except self-stigma of blame</w:t>
      </w:r>
      <w:r w:rsidR="00EF2E24">
        <w:rPr>
          <w:bCs/>
        </w:rPr>
        <w:t xml:space="preserve"> (see Table </w:t>
      </w:r>
      <w:r w:rsidR="00036AB3">
        <w:rPr>
          <w:bCs/>
        </w:rPr>
        <w:t>3</w:t>
      </w:r>
      <w:r w:rsidR="00EF2E24">
        <w:rPr>
          <w:bCs/>
        </w:rPr>
        <w:t xml:space="preserve">). In each case, the direction was consistent with hypotheses, such that the ACT condition improved significantly more than the waitlist condition from baseline to follow-up. </w:t>
      </w:r>
      <w:r w:rsidR="00552C52">
        <w:rPr>
          <w:bCs/>
        </w:rPr>
        <w:t xml:space="preserve">The </w:t>
      </w:r>
      <w:r w:rsidR="00BD2D22">
        <w:rPr>
          <w:bCs/>
        </w:rPr>
        <w:t>parameter estimates of these models</w:t>
      </w:r>
      <w:r w:rsidR="00552C52">
        <w:rPr>
          <w:bCs/>
        </w:rPr>
        <w:t xml:space="preserve"> can be interpreted as follows. </w:t>
      </w:r>
      <w:r w:rsidR="00BD2D22">
        <w:rPr>
          <w:bCs/>
        </w:rPr>
        <w:t>Relative to waitlist, the</w:t>
      </w:r>
      <w:r w:rsidR="00552C52">
        <w:rPr>
          <w:bCs/>
        </w:rPr>
        <w:t xml:space="preserve"> ACT condition </w:t>
      </w:r>
      <w:r w:rsidR="00BD2D22">
        <w:rPr>
          <w:bCs/>
        </w:rPr>
        <w:t xml:space="preserve">experienced a 0.50-SD decrease in self-stigma of difference, a 1.12-SD decrease in self-stigma of disdain, a nonsignificant 0.52-SD decrease in self-stigma of blame, a 0.79-SD decrease in </w:t>
      </w:r>
      <w:r w:rsidR="0072669A">
        <w:rPr>
          <w:bCs/>
        </w:rPr>
        <w:t>AAQH total</w:t>
      </w:r>
      <w:r w:rsidR="00BD2D22">
        <w:rPr>
          <w:bCs/>
        </w:rPr>
        <w:t xml:space="preserve">, and a 1.11-SD increase in </w:t>
      </w:r>
      <w:r w:rsidR="0072669A">
        <w:rPr>
          <w:bCs/>
        </w:rPr>
        <w:t>FFMQ Acting with Awareness</w:t>
      </w:r>
      <w:r w:rsidR="00BD2D22">
        <w:rPr>
          <w:bCs/>
        </w:rPr>
        <w:t xml:space="preserve">. </w:t>
      </w:r>
      <w:r>
        <w:rPr>
          <w:bCs/>
        </w:rPr>
        <w:t>Model residuals showed acceptable normality.</w:t>
      </w:r>
      <w:r w:rsidR="00A93AB7">
        <w:rPr>
          <w:bCs/>
        </w:rPr>
        <w:t xml:space="preserve"> Observed and predicted group means were plotted and indicated that </w:t>
      </w:r>
      <w:r w:rsidR="009D48F7">
        <w:rPr>
          <w:bCs/>
        </w:rPr>
        <w:t xml:space="preserve">change within the ACT condition was </w:t>
      </w:r>
      <w:r w:rsidR="00E169A4">
        <w:rPr>
          <w:bCs/>
        </w:rPr>
        <w:t>approximately</w:t>
      </w:r>
      <w:r w:rsidR="009D48F7">
        <w:rPr>
          <w:bCs/>
        </w:rPr>
        <w:t xml:space="preserve"> linear</w:t>
      </w:r>
      <w:r w:rsidR="00E169A4">
        <w:rPr>
          <w:bCs/>
        </w:rPr>
        <w:t xml:space="preserve"> for each outcome</w:t>
      </w:r>
      <w:r w:rsidR="009D48F7">
        <w:rPr>
          <w:bCs/>
        </w:rPr>
        <w:t xml:space="preserve"> (i.e., equivalent slopes from baseline to posttreatment and posttreatment to follow-up).</w:t>
      </w:r>
    </w:p>
    <w:p w14:paraId="52B2AEB1" w14:textId="133AE13A" w:rsidR="00A93AB7" w:rsidRPr="00C607C1" w:rsidRDefault="009D48F7" w:rsidP="00C607C1">
      <w:pPr>
        <w:spacing w:line="480" w:lineRule="auto"/>
        <w:jc w:val="both"/>
        <w:rPr>
          <w:bCs/>
        </w:rPr>
      </w:pPr>
      <w:r>
        <w:rPr>
          <w:bCs/>
        </w:rPr>
        <w:tab/>
        <w:t xml:space="preserve">Linear contrasts were used to evaluate the timing of improvement within the ACT condition. </w:t>
      </w:r>
      <w:r w:rsidR="00C607C1">
        <w:rPr>
          <w:bCs/>
        </w:rPr>
        <w:t>The ACT group improved significantly on self-stigma of difference from baseline to posttreatment (</w:t>
      </w:r>
      <w:r w:rsidR="00C607C1">
        <w:rPr>
          <w:bCs/>
          <w:i/>
          <w:iCs/>
        </w:rPr>
        <w:t xml:space="preserve">B = </w:t>
      </w:r>
      <w:r w:rsidR="00C607C1">
        <w:rPr>
          <w:bCs/>
        </w:rPr>
        <w:t xml:space="preserve">0.54, SE = 0.10, </w:t>
      </w:r>
      <w:r w:rsidR="00C607C1">
        <w:rPr>
          <w:bCs/>
          <w:i/>
          <w:iCs/>
        </w:rPr>
        <w:t>p</w:t>
      </w:r>
      <w:r w:rsidR="00C607C1">
        <w:rPr>
          <w:bCs/>
        </w:rPr>
        <w:t xml:space="preserve"> &lt; .0001) and posttreatment to follow-up (</w:t>
      </w:r>
      <w:r w:rsidR="00C607C1">
        <w:rPr>
          <w:bCs/>
          <w:i/>
          <w:iCs/>
        </w:rPr>
        <w:t>B</w:t>
      </w:r>
      <w:r w:rsidR="00C607C1">
        <w:rPr>
          <w:bCs/>
        </w:rPr>
        <w:t xml:space="preserve"> = 0.27, SE = 0.05, </w:t>
      </w:r>
      <w:r w:rsidR="00C607C1">
        <w:rPr>
          <w:bCs/>
          <w:i/>
          <w:iCs/>
        </w:rPr>
        <w:t>p</w:t>
      </w:r>
      <w:r w:rsidR="00C607C1">
        <w:rPr>
          <w:bCs/>
        </w:rPr>
        <w:t xml:space="preserve"> &lt; .0001)</w:t>
      </w:r>
      <w:r w:rsidR="00A10F22">
        <w:rPr>
          <w:bCs/>
        </w:rPr>
        <w:t>, on self-stigma of disdain from baseline to posttreatment (</w:t>
      </w:r>
      <w:r w:rsidR="00A10F22">
        <w:rPr>
          <w:bCs/>
          <w:i/>
          <w:iCs/>
        </w:rPr>
        <w:t xml:space="preserve">B = </w:t>
      </w:r>
      <w:r w:rsidR="00A10F22">
        <w:rPr>
          <w:bCs/>
        </w:rPr>
        <w:t xml:space="preserve">0.69, SE = 0.15, </w:t>
      </w:r>
      <w:r w:rsidR="00A10F22">
        <w:rPr>
          <w:bCs/>
          <w:i/>
          <w:iCs/>
        </w:rPr>
        <w:t>p</w:t>
      </w:r>
      <w:r w:rsidR="00A10F22">
        <w:rPr>
          <w:bCs/>
        </w:rPr>
        <w:t xml:space="preserve"> &lt; .001) and posttreatment to follow-up (</w:t>
      </w:r>
      <w:r w:rsidR="00A10F22">
        <w:rPr>
          <w:bCs/>
          <w:i/>
          <w:iCs/>
        </w:rPr>
        <w:t>B</w:t>
      </w:r>
      <w:r w:rsidR="00A10F22">
        <w:rPr>
          <w:bCs/>
        </w:rPr>
        <w:t xml:space="preserve"> = 0.34, SE = 0.08, </w:t>
      </w:r>
      <w:r w:rsidR="00A10F22">
        <w:rPr>
          <w:bCs/>
          <w:i/>
          <w:iCs/>
        </w:rPr>
        <w:t>p</w:t>
      </w:r>
      <w:r w:rsidR="00A10F22">
        <w:rPr>
          <w:bCs/>
        </w:rPr>
        <w:t xml:space="preserve"> &lt; .001), on </w:t>
      </w:r>
      <w:r w:rsidR="00E169A4">
        <w:rPr>
          <w:bCs/>
        </w:rPr>
        <w:t>self-stigma of blame from baseline to posttreatment (</w:t>
      </w:r>
      <w:r w:rsidR="00E169A4">
        <w:rPr>
          <w:bCs/>
          <w:i/>
          <w:iCs/>
        </w:rPr>
        <w:t xml:space="preserve">B = </w:t>
      </w:r>
      <w:r w:rsidR="00E169A4">
        <w:rPr>
          <w:bCs/>
        </w:rPr>
        <w:t xml:space="preserve">0.46, SE = 0.17, </w:t>
      </w:r>
      <w:r w:rsidR="00E169A4">
        <w:rPr>
          <w:bCs/>
          <w:i/>
          <w:iCs/>
        </w:rPr>
        <w:t>p</w:t>
      </w:r>
      <w:r w:rsidR="00E169A4">
        <w:rPr>
          <w:bCs/>
        </w:rPr>
        <w:t xml:space="preserve"> &lt; .05) and posttreatment to follow-up (</w:t>
      </w:r>
      <w:r w:rsidR="00E169A4">
        <w:rPr>
          <w:bCs/>
          <w:i/>
          <w:iCs/>
        </w:rPr>
        <w:t>B</w:t>
      </w:r>
      <w:r w:rsidR="00E169A4">
        <w:rPr>
          <w:bCs/>
        </w:rPr>
        <w:t xml:space="preserve"> = </w:t>
      </w:r>
      <w:r w:rsidR="00E169A4">
        <w:rPr>
          <w:bCs/>
        </w:rPr>
        <w:lastRenderedPageBreak/>
        <w:t xml:space="preserve">0.23, SE = 0.09, </w:t>
      </w:r>
      <w:r w:rsidR="00E169A4">
        <w:rPr>
          <w:bCs/>
          <w:i/>
          <w:iCs/>
        </w:rPr>
        <w:t>p</w:t>
      </w:r>
      <w:r w:rsidR="00E169A4">
        <w:rPr>
          <w:bCs/>
        </w:rPr>
        <w:t xml:space="preserve"> &lt; .05), </w:t>
      </w:r>
      <w:r w:rsidR="000A1E2B">
        <w:rPr>
          <w:bCs/>
        </w:rPr>
        <w:t xml:space="preserve">on </w:t>
      </w:r>
      <w:r w:rsidR="0072669A">
        <w:rPr>
          <w:bCs/>
        </w:rPr>
        <w:t>AAQH Total</w:t>
      </w:r>
      <w:r w:rsidR="000A1E2B">
        <w:rPr>
          <w:bCs/>
        </w:rPr>
        <w:t xml:space="preserve"> from baseline to posttreatment (</w:t>
      </w:r>
      <w:r w:rsidR="000A1E2B">
        <w:rPr>
          <w:bCs/>
          <w:i/>
          <w:iCs/>
        </w:rPr>
        <w:t xml:space="preserve">B = </w:t>
      </w:r>
      <w:r w:rsidR="000A1E2B">
        <w:rPr>
          <w:bCs/>
        </w:rPr>
        <w:t xml:space="preserve">0.87, SE = 0.12, </w:t>
      </w:r>
      <w:r w:rsidR="000A1E2B">
        <w:rPr>
          <w:bCs/>
          <w:i/>
          <w:iCs/>
        </w:rPr>
        <w:t>p</w:t>
      </w:r>
      <w:r w:rsidR="000A1E2B">
        <w:rPr>
          <w:bCs/>
        </w:rPr>
        <w:t xml:space="preserve"> &lt; .0001) and posttreatment to follow-up (</w:t>
      </w:r>
      <w:r w:rsidR="000A1E2B">
        <w:rPr>
          <w:bCs/>
          <w:i/>
          <w:iCs/>
        </w:rPr>
        <w:t>B</w:t>
      </w:r>
      <w:r w:rsidR="000A1E2B">
        <w:rPr>
          <w:bCs/>
        </w:rPr>
        <w:t xml:space="preserve"> = 0.43, SE = 0.06, </w:t>
      </w:r>
      <w:r w:rsidR="000A1E2B">
        <w:rPr>
          <w:bCs/>
          <w:i/>
          <w:iCs/>
        </w:rPr>
        <w:t>p</w:t>
      </w:r>
      <w:r w:rsidR="000A1E2B">
        <w:rPr>
          <w:bCs/>
        </w:rPr>
        <w:t xml:space="preserve"> &lt; .0001), </w:t>
      </w:r>
      <w:r w:rsidR="00BF42FC">
        <w:rPr>
          <w:bCs/>
        </w:rPr>
        <w:t xml:space="preserve">and on </w:t>
      </w:r>
      <w:r w:rsidR="00DA454C">
        <w:rPr>
          <w:bCs/>
        </w:rPr>
        <w:t>FFMQ Acting with Awareness</w:t>
      </w:r>
      <w:r w:rsidR="00BF42FC">
        <w:rPr>
          <w:bCs/>
        </w:rPr>
        <w:t xml:space="preserve"> from baseline to posttreatment (</w:t>
      </w:r>
      <w:r w:rsidR="00BF42FC">
        <w:rPr>
          <w:bCs/>
          <w:i/>
          <w:iCs/>
        </w:rPr>
        <w:t xml:space="preserve">B = </w:t>
      </w:r>
      <w:r w:rsidR="003E3980">
        <w:rPr>
          <w:bCs/>
        </w:rPr>
        <w:t>-0.83</w:t>
      </w:r>
      <w:r w:rsidR="00BF42FC">
        <w:rPr>
          <w:bCs/>
        </w:rPr>
        <w:t>, SE = 0.</w:t>
      </w:r>
      <w:r w:rsidR="003E3980">
        <w:rPr>
          <w:bCs/>
        </w:rPr>
        <w:t>13</w:t>
      </w:r>
      <w:r w:rsidR="00BF42FC">
        <w:rPr>
          <w:bCs/>
        </w:rPr>
        <w:t xml:space="preserve">, </w:t>
      </w:r>
      <w:r w:rsidR="00BF42FC">
        <w:rPr>
          <w:bCs/>
          <w:i/>
          <w:iCs/>
        </w:rPr>
        <w:t>p</w:t>
      </w:r>
      <w:r w:rsidR="00BF42FC">
        <w:rPr>
          <w:bCs/>
        </w:rPr>
        <w:t xml:space="preserve"> &lt; .0</w:t>
      </w:r>
      <w:r w:rsidR="003E3980">
        <w:rPr>
          <w:bCs/>
        </w:rPr>
        <w:t>001</w:t>
      </w:r>
      <w:r w:rsidR="00BF42FC">
        <w:rPr>
          <w:bCs/>
        </w:rPr>
        <w:t>) and posttreatment to follow-up (</w:t>
      </w:r>
      <w:r w:rsidR="00BF42FC">
        <w:rPr>
          <w:bCs/>
          <w:i/>
          <w:iCs/>
        </w:rPr>
        <w:t>B</w:t>
      </w:r>
      <w:r w:rsidR="00BF42FC">
        <w:rPr>
          <w:bCs/>
        </w:rPr>
        <w:t xml:space="preserve"> = </w:t>
      </w:r>
      <w:r w:rsidR="003E3980">
        <w:rPr>
          <w:bCs/>
        </w:rPr>
        <w:t>-0</w:t>
      </w:r>
      <w:r w:rsidR="006A27C8">
        <w:rPr>
          <w:bCs/>
        </w:rPr>
        <w:t>.</w:t>
      </w:r>
      <w:r w:rsidR="003E3980">
        <w:rPr>
          <w:bCs/>
        </w:rPr>
        <w:t>41</w:t>
      </w:r>
      <w:r w:rsidR="00BF42FC">
        <w:rPr>
          <w:bCs/>
        </w:rPr>
        <w:t>, SE = 0.0</w:t>
      </w:r>
      <w:r w:rsidR="003E3980">
        <w:rPr>
          <w:bCs/>
        </w:rPr>
        <w:t>7</w:t>
      </w:r>
      <w:r w:rsidR="00BF42FC">
        <w:rPr>
          <w:bCs/>
        </w:rPr>
        <w:t xml:space="preserve">, </w:t>
      </w:r>
      <w:r w:rsidR="00BF42FC">
        <w:rPr>
          <w:bCs/>
          <w:i/>
          <w:iCs/>
        </w:rPr>
        <w:t>p</w:t>
      </w:r>
      <w:r w:rsidR="00BF42FC">
        <w:rPr>
          <w:bCs/>
        </w:rPr>
        <w:t xml:space="preserve"> &lt; .0</w:t>
      </w:r>
      <w:r w:rsidR="003E3980">
        <w:rPr>
          <w:bCs/>
        </w:rPr>
        <w:t xml:space="preserve">001). To summarize, the ACT condition experienced a statistically significant degree of improvement on each process </w:t>
      </w:r>
      <w:r w:rsidR="00F15D88">
        <w:rPr>
          <w:bCs/>
        </w:rPr>
        <w:t>from baseline to posttreatment</w:t>
      </w:r>
      <w:r w:rsidR="006A27C8">
        <w:rPr>
          <w:bCs/>
        </w:rPr>
        <w:t xml:space="preserve"> ranging from an effect size of 0.46 to 0.87 SDs</w:t>
      </w:r>
      <w:r w:rsidR="00F15D88">
        <w:rPr>
          <w:bCs/>
        </w:rPr>
        <w:t xml:space="preserve"> and again from posttreatment to</w:t>
      </w:r>
      <w:r w:rsidR="003E3980">
        <w:rPr>
          <w:bCs/>
        </w:rPr>
        <w:t xml:space="preserve"> follow-up</w:t>
      </w:r>
      <w:r w:rsidR="006A27C8">
        <w:rPr>
          <w:bCs/>
        </w:rPr>
        <w:t xml:space="preserve"> with effect sizes from 0.23 to </w:t>
      </w:r>
      <w:r w:rsidR="00673BCD">
        <w:rPr>
          <w:bCs/>
        </w:rPr>
        <w:t>0.43</w:t>
      </w:r>
      <w:r w:rsidR="006A27C8">
        <w:rPr>
          <w:bCs/>
        </w:rPr>
        <w:t xml:space="preserve"> SDs</w:t>
      </w:r>
      <w:r w:rsidR="003E3980">
        <w:rPr>
          <w:bCs/>
        </w:rPr>
        <w:t>.</w:t>
      </w:r>
      <w:r w:rsidR="009B408C">
        <w:rPr>
          <w:bCs/>
        </w:rPr>
        <w:t xml:space="preserve"> On further examination, we found that </w:t>
      </w:r>
      <w:r w:rsidR="00942EBE">
        <w:rPr>
          <w:bCs/>
        </w:rPr>
        <w:t>nine</w:t>
      </w:r>
      <w:r w:rsidR="009B408C">
        <w:rPr>
          <w:bCs/>
        </w:rPr>
        <w:t xml:space="preserve"> participants (23.68%) of those assigned to treatment completed at least one website session between posttreatment and follow-up. </w:t>
      </w:r>
    </w:p>
    <w:p w14:paraId="497FCB31" w14:textId="21873FD4" w:rsidR="003209F3" w:rsidRDefault="003209F3" w:rsidP="004A375A">
      <w:pPr>
        <w:spacing w:line="480" w:lineRule="auto"/>
        <w:rPr>
          <w:b/>
        </w:rPr>
      </w:pPr>
      <w:r>
        <w:rPr>
          <w:b/>
        </w:rPr>
        <w:t>Moderation</w:t>
      </w:r>
    </w:p>
    <w:p w14:paraId="5B1C70D6" w14:textId="575F8ADD" w:rsidR="004741D5" w:rsidRPr="00350EA7" w:rsidRDefault="00350EA7" w:rsidP="004A375A">
      <w:pPr>
        <w:spacing w:line="480" w:lineRule="auto"/>
        <w:rPr>
          <w:bCs/>
        </w:rPr>
      </w:pPr>
      <w:r w:rsidRPr="00350EA7">
        <w:rPr>
          <w:bCs/>
        </w:rPr>
        <w:tab/>
      </w:r>
      <w:r w:rsidR="00A23533">
        <w:rPr>
          <w:bCs/>
        </w:rPr>
        <w:t xml:space="preserve">The three-way interactions between time, condition, and the three hypothesized </w:t>
      </w:r>
      <w:r w:rsidR="0084263C">
        <w:rPr>
          <w:bCs/>
        </w:rPr>
        <w:t xml:space="preserve">moderators </w:t>
      </w:r>
      <w:r w:rsidR="00A23533">
        <w:rPr>
          <w:bCs/>
        </w:rPr>
        <w:t>(age, gender, and baseline AAQH</w:t>
      </w:r>
      <w:r w:rsidR="005615B5">
        <w:rPr>
          <w:bCs/>
        </w:rPr>
        <w:t xml:space="preserve"> total</w:t>
      </w:r>
      <w:r w:rsidR="00A23533">
        <w:rPr>
          <w:bCs/>
        </w:rPr>
        <w:t>) were nonsignificant (</w:t>
      </w:r>
      <w:proofErr w:type="spellStart"/>
      <w:r w:rsidR="00A23533" w:rsidRPr="00A23533">
        <w:rPr>
          <w:bCs/>
          <w:i/>
          <w:iCs/>
        </w:rPr>
        <w:t>p</w:t>
      </w:r>
      <w:r w:rsidR="00A23533">
        <w:rPr>
          <w:bCs/>
        </w:rPr>
        <w:t>s</w:t>
      </w:r>
      <w:proofErr w:type="spellEnd"/>
      <w:r w:rsidR="00A23533">
        <w:rPr>
          <w:bCs/>
        </w:rPr>
        <w:t xml:space="preserve"> &gt; .1; </w:t>
      </w:r>
      <w:r w:rsidR="00A23533" w:rsidRPr="00A23533">
        <w:rPr>
          <w:bCs/>
        </w:rPr>
        <w:t>see</w:t>
      </w:r>
      <w:r w:rsidR="00A23533">
        <w:rPr>
          <w:bCs/>
        </w:rPr>
        <w:t xml:space="preserve"> Table </w:t>
      </w:r>
      <w:r w:rsidR="00036AB3">
        <w:rPr>
          <w:bCs/>
        </w:rPr>
        <w:t>4</w:t>
      </w:r>
      <w:r w:rsidR="00A23533">
        <w:rPr>
          <w:bCs/>
        </w:rPr>
        <w:t>). While power was limited</w:t>
      </w:r>
      <w:r w:rsidR="00DD69F9">
        <w:rPr>
          <w:bCs/>
        </w:rPr>
        <w:t xml:space="preserve"> to detect such an interaction</w:t>
      </w:r>
      <w:r w:rsidR="00A23533">
        <w:rPr>
          <w:bCs/>
        </w:rPr>
        <w:t>, there is no indication that treatment eff</w:t>
      </w:r>
      <w:r w:rsidR="008A4017">
        <w:rPr>
          <w:bCs/>
        </w:rPr>
        <w:t>icacy</w:t>
      </w:r>
      <w:r w:rsidR="00A23533">
        <w:rPr>
          <w:bCs/>
        </w:rPr>
        <w:t xml:space="preserve"> differed based on age, gender, or initial psychological inflexibility. </w:t>
      </w:r>
      <w:r w:rsidR="004741D5">
        <w:rPr>
          <w:bCs/>
        </w:rPr>
        <w:t>Residual</w:t>
      </w:r>
      <w:r w:rsidR="008E7066">
        <w:rPr>
          <w:bCs/>
        </w:rPr>
        <w:t xml:space="preserve"> inspection suggested adequate model fit.</w:t>
      </w:r>
    </w:p>
    <w:p w14:paraId="7F2AFF40" w14:textId="5EF052B0" w:rsidR="003209F3" w:rsidRDefault="003209F3" w:rsidP="004A375A">
      <w:pPr>
        <w:spacing w:line="480" w:lineRule="auto"/>
        <w:rPr>
          <w:b/>
        </w:rPr>
      </w:pPr>
      <w:r>
        <w:rPr>
          <w:b/>
        </w:rPr>
        <w:t>Mediation</w:t>
      </w:r>
    </w:p>
    <w:p w14:paraId="25ECA031" w14:textId="0F004C69" w:rsidR="003209F3" w:rsidRDefault="00103AB5" w:rsidP="004A375A">
      <w:pPr>
        <w:spacing w:line="480" w:lineRule="auto"/>
        <w:rPr>
          <w:bCs/>
        </w:rPr>
      </w:pPr>
      <w:r>
        <w:rPr>
          <w:b/>
        </w:rPr>
        <w:tab/>
      </w:r>
      <w:r>
        <w:rPr>
          <w:bCs/>
        </w:rPr>
        <w:t xml:space="preserve">In each of the longitudinal mediation analyses, the bootstrapped confidence interval of the indirect effect included zero (see Table </w:t>
      </w:r>
      <w:r w:rsidR="00036AB3">
        <w:rPr>
          <w:bCs/>
        </w:rPr>
        <w:t>5</w:t>
      </w:r>
      <w:r>
        <w:rPr>
          <w:bCs/>
        </w:rPr>
        <w:t xml:space="preserve">), providing no evidence that improvement in hoarding severity at follow-up was attributable to hypothesized processes at posttreatment. </w:t>
      </w:r>
      <w:r w:rsidR="00747D0A">
        <w:rPr>
          <w:bCs/>
        </w:rPr>
        <w:t>We conducted an exploratory series of longitudinal mediation models controlling for</w:t>
      </w:r>
      <w:r w:rsidR="00306643">
        <w:rPr>
          <w:bCs/>
        </w:rPr>
        <w:t xml:space="preserve"> the impact of</w:t>
      </w:r>
      <w:r w:rsidR="00747D0A">
        <w:rPr>
          <w:bCs/>
        </w:rPr>
        <w:t xml:space="preserve"> baseline SI-R score</w:t>
      </w:r>
      <w:r w:rsidR="00306643">
        <w:rPr>
          <w:bCs/>
        </w:rPr>
        <w:t xml:space="preserve"> on the mediator and outcome, to assess whether </w:t>
      </w:r>
      <w:r w:rsidR="0027445C">
        <w:rPr>
          <w:bCs/>
        </w:rPr>
        <w:t xml:space="preserve">the effect of treatment on hoarding symptoms </w:t>
      </w:r>
      <w:r w:rsidR="00297BED">
        <w:rPr>
          <w:bCs/>
        </w:rPr>
        <w:t>w</w:t>
      </w:r>
      <w:r w:rsidR="0027445C">
        <w:rPr>
          <w:bCs/>
        </w:rPr>
        <w:t xml:space="preserve">as mediated by hypothesized processes after adjusting for </w:t>
      </w:r>
      <w:r w:rsidR="00306643">
        <w:rPr>
          <w:bCs/>
        </w:rPr>
        <w:t xml:space="preserve">individual </w:t>
      </w:r>
      <w:r w:rsidR="00306643">
        <w:rPr>
          <w:bCs/>
        </w:rPr>
        <w:lastRenderedPageBreak/>
        <w:t>differences at baseline</w:t>
      </w:r>
      <w:r w:rsidR="003C45B3">
        <w:rPr>
          <w:bCs/>
        </w:rPr>
        <w:t>; however, the indirect effect in each model was nonsignificant (i.e., 95% CIs contained 0).</w:t>
      </w:r>
    </w:p>
    <w:p w14:paraId="00A4B882" w14:textId="2874E487" w:rsidR="00112773" w:rsidRDefault="00103AB5" w:rsidP="004A375A">
      <w:pPr>
        <w:spacing w:line="480" w:lineRule="auto"/>
        <w:rPr>
          <w:bCs/>
        </w:rPr>
      </w:pPr>
      <w:r>
        <w:rPr>
          <w:bCs/>
        </w:rPr>
        <w:tab/>
        <w:t xml:space="preserve">In the cross-sectional series of mediation analyses (see Table </w:t>
      </w:r>
      <w:r w:rsidR="00036AB3">
        <w:rPr>
          <w:bCs/>
        </w:rPr>
        <w:t>6</w:t>
      </w:r>
      <w:r>
        <w:rPr>
          <w:bCs/>
        </w:rPr>
        <w:t>), the indirect effect</w:t>
      </w:r>
      <w:r w:rsidR="00AE721E">
        <w:rPr>
          <w:bCs/>
        </w:rPr>
        <w:t xml:space="preserve"> was </w:t>
      </w:r>
      <w:r>
        <w:rPr>
          <w:bCs/>
        </w:rPr>
        <w:t xml:space="preserve">significant in the model evaluating </w:t>
      </w:r>
      <w:r w:rsidR="00D46E77">
        <w:rPr>
          <w:bCs/>
        </w:rPr>
        <w:t>AAQH total</w:t>
      </w:r>
      <w:r>
        <w:rPr>
          <w:bCs/>
        </w:rPr>
        <w:t xml:space="preserve"> at follow-up (</w:t>
      </w:r>
      <w:r>
        <w:rPr>
          <w:bCs/>
          <w:i/>
          <w:iCs/>
        </w:rPr>
        <w:t>ab</w:t>
      </w:r>
      <w:r>
        <w:rPr>
          <w:bCs/>
        </w:rPr>
        <w:t xml:space="preserve"> = </w:t>
      </w:r>
      <w:r w:rsidR="00D0121C">
        <w:rPr>
          <w:bCs/>
        </w:rPr>
        <w:t>-0.41</w:t>
      </w:r>
      <w:r>
        <w:rPr>
          <w:bCs/>
        </w:rPr>
        <w:t xml:space="preserve">, SE = </w:t>
      </w:r>
      <w:r w:rsidR="00D0121C">
        <w:rPr>
          <w:bCs/>
        </w:rPr>
        <w:t>0.20</w:t>
      </w:r>
      <w:r>
        <w:rPr>
          <w:bCs/>
        </w:rPr>
        <w:t>, 95% CI = [</w:t>
      </w:r>
      <w:r w:rsidR="00D0121C">
        <w:rPr>
          <w:bCs/>
        </w:rPr>
        <w:t>-0.85</w:t>
      </w:r>
      <w:r>
        <w:rPr>
          <w:bCs/>
        </w:rPr>
        <w:t>,</w:t>
      </w:r>
      <w:r w:rsidR="003F0C23">
        <w:rPr>
          <w:bCs/>
        </w:rPr>
        <w:t xml:space="preserve"> </w:t>
      </w:r>
      <w:r w:rsidR="00D0121C">
        <w:rPr>
          <w:bCs/>
        </w:rPr>
        <w:t>-0.01</w:t>
      </w:r>
      <w:r>
        <w:rPr>
          <w:bCs/>
        </w:rPr>
        <w:t xml:space="preserve">]) </w:t>
      </w:r>
      <w:r w:rsidR="00EA70A5">
        <w:rPr>
          <w:bCs/>
        </w:rPr>
        <w:t>as a</w:t>
      </w:r>
      <w:r>
        <w:rPr>
          <w:bCs/>
        </w:rPr>
        <w:t xml:space="preserve"> potential mediator of hoarding severity at follow-up. </w:t>
      </w:r>
      <w:r w:rsidR="00D0121C">
        <w:rPr>
          <w:bCs/>
        </w:rPr>
        <w:t>No other indirect effects were statistically significant.</w:t>
      </w:r>
      <w:r w:rsidR="00964B98">
        <w:rPr>
          <w:bCs/>
        </w:rPr>
        <w:tab/>
      </w:r>
    </w:p>
    <w:p w14:paraId="6D22FB89" w14:textId="59ADDD73" w:rsidR="00103AB5" w:rsidRDefault="00112773" w:rsidP="004A375A">
      <w:pPr>
        <w:spacing w:line="480" w:lineRule="auto"/>
        <w:rPr>
          <w:b/>
        </w:rPr>
      </w:pPr>
      <w:r w:rsidRPr="00482658">
        <w:rPr>
          <w:b/>
        </w:rPr>
        <w:t>Correlations of Change Scores</w:t>
      </w:r>
    </w:p>
    <w:p w14:paraId="7E15614F" w14:textId="6FFE18F7" w:rsidR="00112773" w:rsidRPr="005942F6" w:rsidRDefault="00112773" w:rsidP="004A375A">
      <w:pPr>
        <w:spacing w:line="480" w:lineRule="auto"/>
        <w:rPr>
          <w:bCs/>
        </w:rPr>
      </w:pPr>
      <w:r>
        <w:rPr>
          <w:b/>
        </w:rPr>
        <w:tab/>
      </w:r>
      <w:r w:rsidR="005942F6">
        <w:rPr>
          <w:bCs/>
        </w:rPr>
        <w:t>Across the full sample, change in SI-R total from baseline to follow-up was significantly associated with change in AAQH total (</w:t>
      </w:r>
      <w:r w:rsidR="005942F6">
        <w:rPr>
          <w:bCs/>
          <w:i/>
          <w:iCs/>
        </w:rPr>
        <w:t>r</w:t>
      </w:r>
      <w:r w:rsidR="005942F6">
        <w:rPr>
          <w:bCs/>
        </w:rPr>
        <w:t xml:space="preserve"> = .73, </w:t>
      </w:r>
      <w:r w:rsidR="005942F6">
        <w:rPr>
          <w:bCs/>
          <w:i/>
          <w:iCs/>
        </w:rPr>
        <w:t>p</w:t>
      </w:r>
      <w:r w:rsidR="005942F6">
        <w:rPr>
          <w:bCs/>
        </w:rPr>
        <w:t xml:space="preserve"> &lt; .01) and FFMQ Acting with Awareness (</w:t>
      </w:r>
      <w:r w:rsidR="005942F6">
        <w:rPr>
          <w:bCs/>
          <w:i/>
          <w:iCs/>
        </w:rPr>
        <w:t>r</w:t>
      </w:r>
      <w:r w:rsidR="005942F6">
        <w:rPr>
          <w:bCs/>
        </w:rPr>
        <w:t xml:space="preserve"> = -.69, </w:t>
      </w:r>
      <w:r w:rsidR="005942F6">
        <w:rPr>
          <w:bCs/>
          <w:i/>
          <w:iCs/>
        </w:rPr>
        <w:t>p</w:t>
      </w:r>
      <w:r w:rsidR="005942F6">
        <w:rPr>
          <w:bCs/>
        </w:rPr>
        <w:t xml:space="preserve"> &lt; .01) with a large effect size. Change in Difference (</w:t>
      </w:r>
      <w:r w:rsidR="005942F6">
        <w:rPr>
          <w:bCs/>
          <w:i/>
          <w:iCs/>
        </w:rPr>
        <w:t>r</w:t>
      </w:r>
      <w:r w:rsidR="005942F6">
        <w:rPr>
          <w:bCs/>
        </w:rPr>
        <w:t xml:space="preserve"> = .33, </w:t>
      </w:r>
      <w:r w:rsidR="005942F6">
        <w:rPr>
          <w:bCs/>
          <w:i/>
          <w:iCs/>
        </w:rPr>
        <w:t xml:space="preserve">p </w:t>
      </w:r>
      <w:r w:rsidR="005942F6">
        <w:rPr>
          <w:bCs/>
        </w:rPr>
        <w:t>&lt; .05) was significantly correlated with SI-R change with a moderate effect size, while change in Disdain (</w:t>
      </w:r>
      <w:r w:rsidR="005942F6">
        <w:rPr>
          <w:bCs/>
          <w:i/>
          <w:iCs/>
        </w:rPr>
        <w:t>r</w:t>
      </w:r>
      <w:r w:rsidR="005942F6">
        <w:rPr>
          <w:bCs/>
        </w:rPr>
        <w:t xml:space="preserve"> = .15, </w:t>
      </w:r>
      <w:r w:rsidR="005942F6">
        <w:rPr>
          <w:bCs/>
          <w:i/>
          <w:iCs/>
        </w:rPr>
        <w:t>p</w:t>
      </w:r>
      <w:r w:rsidR="005942F6">
        <w:rPr>
          <w:bCs/>
        </w:rPr>
        <w:t xml:space="preserve"> &gt; .05) and Blame (</w:t>
      </w:r>
      <w:r w:rsidR="005942F6">
        <w:rPr>
          <w:bCs/>
          <w:i/>
          <w:iCs/>
        </w:rPr>
        <w:t>r</w:t>
      </w:r>
      <w:r w:rsidR="005942F6">
        <w:rPr>
          <w:bCs/>
        </w:rPr>
        <w:t xml:space="preserve"> = .15, </w:t>
      </w:r>
      <w:r w:rsidR="005942F6">
        <w:rPr>
          <w:bCs/>
          <w:i/>
          <w:iCs/>
        </w:rPr>
        <w:t>p</w:t>
      </w:r>
      <w:r w:rsidR="005942F6">
        <w:rPr>
          <w:bCs/>
        </w:rPr>
        <w:t xml:space="preserve"> &gt; .05) were not significantly related.</w:t>
      </w:r>
      <w:r w:rsidR="005942F6">
        <w:rPr>
          <w:bCs/>
        </w:rPr>
        <w:br/>
      </w:r>
    </w:p>
    <w:p w14:paraId="4D438094" w14:textId="558DF74A" w:rsidR="00434953" w:rsidRPr="00A829B3" w:rsidRDefault="00434953" w:rsidP="00434953">
      <w:pPr>
        <w:spacing w:line="480" w:lineRule="auto"/>
        <w:jc w:val="center"/>
        <w:rPr>
          <w:b/>
        </w:rPr>
      </w:pPr>
      <w:r w:rsidRPr="00A829B3">
        <w:rPr>
          <w:b/>
        </w:rPr>
        <w:t>Discussion</w:t>
      </w:r>
    </w:p>
    <w:p w14:paraId="608883C2" w14:textId="32375737" w:rsidR="00FB17AF" w:rsidRPr="004D6404" w:rsidRDefault="00FB17AF" w:rsidP="00FB17AF">
      <w:pPr>
        <w:spacing w:line="480" w:lineRule="auto"/>
        <w:ind w:firstLine="720"/>
      </w:pPr>
      <w:r w:rsidRPr="004D6404">
        <w:t xml:space="preserve">In the present study, we examined the role of hoarding-related psychological inflexibility and self-stigma in online ACT self-help for hoarding. Results from the randomized controlled trial from which current data were drawn indicated that the </w:t>
      </w:r>
      <w:r>
        <w:t xml:space="preserve">study </w:t>
      </w:r>
      <w:r w:rsidRPr="004D6404">
        <w:t>intervention significantly improved hoarding symptom severity, functional impairment, well-being, and progress toward personal values (</w:t>
      </w:r>
      <w:r w:rsidR="00672F23" w:rsidRPr="00482658">
        <w:rPr>
          <w:i/>
          <w:iCs/>
        </w:rPr>
        <w:t>citation masked</w:t>
      </w:r>
      <w:r w:rsidR="00672F23">
        <w:t>,</w:t>
      </w:r>
      <w:r w:rsidRPr="004D6404">
        <w:t xml:space="preserve"> under review). Th</w:t>
      </w:r>
      <w:r>
        <w:t>e objective of this</w:t>
      </w:r>
      <w:r w:rsidRPr="004D6404">
        <w:t xml:space="preserve"> follow-up paper was to clarify the relevance of processes of change to treatment response.</w:t>
      </w:r>
    </w:p>
    <w:p w14:paraId="7033A661" w14:textId="23B817D6" w:rsidR="00FB17AF" w:rsidRPr="004D6404" w:rsidRDefault="00FB17AF" w:rsidP="00FB17AF">
      <w:pPr>
        <w:spacing w:line="480" w:lineRule="auto"/>
        <w:ind w:firstLine="720"/>
      </w:pPr>
      <w:r w:rsidRPr="004D6404">
        <w:t>Findings indicated that hoarding severity was significantly and moderately correlated with self-stigma of difference (</w:t>
      </w:r>
      <w:r w:rsidR="00482658">
        <w:t>i.e.</w:t>
      </w:r>
      <w:r>
        <w:t xml:space="preserve">, </w:t>
      </w:r>
      <w:r w:rsidR="0084263C">
        <w:t xml:space="preserve">the internalized belief that </w:t>
      </w:r>
      <w:r w:rsidRPr="004D6404">
        <w:t xml:space="preserve">people with hoarding disorder are different from other people), hoarding-related psychological inflexibility, and mindful awareness </w:t>
      </w:r>
      <w:r w:rsidRPr="004D6404">
        <w:lastRenderedPageBreak/>
        <w:t xml:space="preserve">at baseline, providing </w:t>
      </w:r>
      <w:r>
        <w:t xml:space="preserve">convergent </w:t>
      </w:r>
      <w:r w:rsidRPr="004D6404">
        <w:t>evidence for the relevance of these processes to the presentation of hoarding</w:t>
      </w:r>
      <w:r w:rsidR="001B1B47">
        <w:t xml:space="preserve"> </w:t>
      </w:r>
      <w:r w:rsidR="001B1B47">
        <w:fldChar w:fldCharType="begin" w:fldLock="1"/>
      </w:r>
      <w:r w:rsidR="001B1B47">
        <w:instrText>ADDIN CSL_CITATION {"citationItems":[{"id":"ITEM-1","itemData":{"DOI":"10.1016/j.jcbs.2018.08.003","ISSN":"22121447","abstract":"Psychological inflexibility is a psychopathological process referring to the tendency for behavior to be overly controlled by internal experiences to an extent that interferes with quality of life. Some studies indicate that psychological inflexibility is linked to hoarding, but findings have been mixed. This inconsistency may be due to reliance on general measures of psychological inflexibility in prior research as there was previously no validated measure to assess psychological inflexibility as it relates to hoarding. The present study developed and validated a measure of hoarding-related psychological inflexibility, the Acceptance and Action Questionnaire for Hoarding (AAQH) in a college student sample with elevated hoarding symptoms (n = 201). The AAQH demonstrated a two-factor structure and good internal consistency, construct validity, and incremental validity over a general measure of psychological inflexibility, the AAQ-II. The potential research and clinical utility of the AAQH as well as limitations of this preliminary validation study are discussed.","author":[{"dropping-particle":"","family":"Krafft","given":"Jennifer","non-dropping-particle":"","parse-names":false,"suffix":""},{"dropping-particle":"","family":"Ong","given":"Clarissa W.","non-dropping-particle":"","parse-names":false,"suffix":""},{"dropping-particle":"","family":"Twohig","given":"Michael P.","non-dropping-particle":"","parse-names":false,"suffix":""},{"dropping-particle":"","family":"Levin","given":"Michael E.","non-dropping-particle":"","parse-names":false,"suffix":""}],"container-title":"Journal of Contextual Behavioral Science","id":"ITEM-1","issued":{"date-parts":[["2019"]]},"page":"234-242","title":"Assessing psychological inflexibility in hoarding: The Acceptance and Action Questionnaire for Hoarding (AAQH)","type":"article-journal","volume":"12"},"uris":["http://www.mendeley.com/documents/?uuid=3e859e22-7f6d-4455-9f0d-d7d1ed73ef07"]},{"id":"ITEM-2","itemData":{"DOI":"10.1891/0889-8391.32.2.97","author":[{"dropping-particle":"","family":"Ong","given":"C. W.","non-dropping-particle":"","parse-names":false,"suffix":""},{"dropping-particle":"","family":"Krafft","given":"Jennifer","non-dropping-particle":"","parse-names":false,"suffix":""},{"dropping-particle":"","family":"Levin","given":"Michael E.","non-dropping-particle":"","parse-names":false,"suffix":""},{"dropping-particle":"","family":"Twohig","given":"Michael P.","non-dropping-particle":"","parse-names":false,"suffix":""}],"container-title":"Journal of Cognitive Psychotherapy","id":"ITEM-2","issued":{"date-parts":[["2018"]]},"page":"97-111","title":"An examination of the role of psychological inflexibility in hoarding using multiple mediator models","type":"article-journal","volume":"32"},"uris":["http://www.mendeley.com/documents/?uuid=e9ed2510-b378-4617-9f97-d7390f005566"]}],"mendeley":{"formattedCitation":"(Krafft et al., 2019; Ong et al., 2018)","plainTextFormattedCitation":"(Krafft et al., 2019; Ong et al., 2018)","previouslyFormattedCitation":"(Krafft et al., 2019; Ong et al., 2018)"},"properties":{"noteIndex":0},"schema":"https://github.com/citation-style-language/schema/raw/master/csl-citation.json"}</w:instrText>
      </w:r>
      <w:r w:rsidR="001B1B47">
        <w:fldChar w:fldCharType="separate"/>
      </w:r>
      <w:r w:rsidR="001B1B47" w:rsidRPr="001B1B47">
        <w:rPr>
          <w:noProof/>
        </w:rPr>
        <w:t>(Krafft et al., 2019; Ong et al., 2018)</w:t>
      </w:r>
      <w:r w:rsidR="001B1B47">
        <w:fldChar w:fldCharType="end"/>
      </w:r>
      <w:r w:rsidR="001B1B47">
        <w:t>.</w:t>
      </w:r>
      <w:r>
        <w:t xml:space="preserve"> </w:t>
      </w:r>
      <w:r w:rsidRPr="004D6404">
        <w:t xml:space="preserve">Self-stigma of difference was also significantly associated with hoarding-related psychological inflexibility, suggesting that these are related constructs. Consequently, targeting hoarding-related psychological inflexibility (e.g., teaching </w:t>
      </w:r>
      <w:proofErr w:type="spellStart"/>
      <w:r w:rsidRPr="004D6404">
        <w:t>defusion</w:t>
      </w:r>
      <w:proofErr w:type="spellEnd"/>
      <w:r w:rsidRPr="004D6404">
        <w:t xml:space="preserve"> from thoughts) may improve self-stigma of difference</w:t>
      </w:r>
      <w:r>
        <w:t xml:space="preserve"> (e.g., client generalizes </w:t>
      </w:r>
      <w:proofErr w:type="spellStart"/>
      <w:r>
        <w:t>defusion</w:t>
      </w:r>
      <w:proofErr w:type="spellEnd"/>
      <w:r>
        <w:t xml:space="preserve"> to stigmatizing thoughts)</w:t>
      </w:r>
      <w:r w:rsidRPr="004D6404">
        <w:t xml:space="preserve">. At the same time, given that self-stigma of disdain and blame were not significantly correlated with hoarding severity and hoarding-related psychological inflexibility, it appears that </w:t>
      </w:r>
      <w:r>
        <w:t>the various facets of</w:t>
      </w:r>
      <w:r w:rsidRPr="004D6404">
        <w:t xml:space="preserve"> </w:t>
      </w:r>
      <w:r>
        <w:t>self-stigma are not uniformly associated with hoarding, consistent with survey research that has produced mixed findings on this relationship</w:t>
      </w:r>
      <w:r w:rsidR="001B1B47">
        <w:t xml:space="preserve"> </w:t>
      </w:r>
      <w:r w:rsidR="001B1B47">
        <w:fldChar w:fldCharType="begin" w:fldLock="1"/>
      </w:r>
      <w:r w:rsidR="004E4F4C">
        <w:instrText>ADDIN CSL_CITATION {"citationItems":[{"id":"ITEM-1","itemData":{"DOI":"10.1016/j.jocrd.2017.12.006","ISSN":"22113657","abstract":"There are no systematic investigations of public stigma of hoarding disorder (HD), and although there have been some studies on the public perception of obsessive-compulsive disorder (OCD), such research has not examined three theoretically informed facets of stigma: difference (“They aren't like me”), disdain (“They are bad”), and blame (“They are to blame”). The current Internet study evaluated these three facets of stigma in a general sample of 591 adults by comparing ratings of public perception for HD, OCD, serious mental illness (SMI), substance use disorders (SUD), and those in jail. Results indicate that HD is mostly associated with a neutral or negative public perception across all stigma facets, but OCD is associated with mostly positive or neutral public perception. Across all stigma ratings, HD was viewed more negatively than OCD. Comparison of ratings across conditions and the three facets of stigma suggest a nuanced picture in which HD and OCD demonstrate differences in public perceptions compared to jail, SMI, and SUD, some in the positive direction and some in the negative. In addition, among those who scored in a clinically elevated range of HD symptom severity, one facet of public stigma (i.e., a proxy for self-stigma) was negatively correlated with an index of treatment-seeking willingness, implicating stigma as a potential factor in the treatment ambivalence commonly associated with HD treatment.","author":[{"dropping-particle":"","family":"Chasson","given":"Gregory S.","non-dropping-particle":"","parse-names":false,"suffix":""},{"dropping-particle":"","family":"Guy","given":"Arryn A.","non-dropping-particle":"","parse-names":false,"suffix":""},{"dropping-particle":"","family":"Bates","given":"Sage","non-dropping-particle":"","parse-names":false,"suffix":""},{"dropping-particle":"","family":"Corrigan","given":"Patrick W.","non-dropping-particle":"","parse-names":false,"suffix":""}],"container-title":"Journal of Obsessive-Compulsive and Related Disorders","id":"ITEM-1","issued":{"date-parts":[["2018"]]},"page":"56-65","publisher":"Elsevier Ltd","title":"They aren't like me, they are bad, and they are to blame: A theoretically-informed study of stigma of hoarding disorder and obsessive-compulsive disorder","type":"article-journal","volume":"16"},"uris":["http://www.mendeley.com/documents/?uuid=6a0a1533-144d-4dfb-970c-487065e8b77f"]}],"mendeley":{"formattedCitation":"(Chasson et al., 2018)","plainTextFormattedCitation":"(Chasson et al., 2018)","previouslyFormattedCitation":"(Chasson et al., 2018)"},"properties":{"noteIndex":0},"schema":"https://github.com/citation-style-language/schema/raw/master/csl-citation.json"}</w:instrText>
      </w:r>
      <w:r w:rsidR="001B1B47">
        <w:fldChar w:fldCharType="separate"/>
      </w:r>
      <w:r w:rsidR="001B1B47" w:rsidRPr="001B1B47">
        <w:rPr>
          <w:noProof/>
        </w:rPr>
        <w:t>(Chasson et al., 2018)</w:t>
      </w:r>
      <w:r w:rsidR="001B1B47">
        <w:fldChar w:fldCharType="end"/>
      </w:r>
      <w:r w:rsidR="001B1B47">
        <w:t>.</w:t>
      </w:r>
    </w:p>
    <w:p w14:paraId="0882CF94" w14:textId="7EF0D4B2" w:rsidR="00FB17AF" w:rsidRPr="004D6404" w:rsidRDefault="00FB17AF" w:rsidP="00FB17AF">
      <w:pPr>
        <w:spacing w:line="480" w:lineRule="auto"/>
        <w:ind w:firstLine="720"/>
      </w:pPr>
      <w:r w:rsidRPr="004D6404">
        <w:t xml:space="preserve">With respect to effect of the </w:t>
      </w:r>
      <w:r>
        <w:t xml:space="preserve">ACT self-help </w:t>
      </w:r>
      <w:r w:rsidRPr="004D6404">
        <w:t xml:space="preserve">intervention on process measures, we </w:t>
      </w:r>
      <w:r>
        <w:t>observed</w:t>
      </w:r>
      <w:r w:rsidRPr="004D6404">
        <w:t xml:space="preserve"> significant improvement </w:t>
      </w:r>
      <w:r>
        <w:t xml:space="preserve">over time </w:t>
      </w:r>
      <w:r w:rsidRPr="004D6404">
        <w:t>in self-stigma of difference, self-stigma of disdain, hoarding-related psychological inflexibility, and mindful awareness—but not self-stigma of blame</w:t>
      </w:r>
      <w:r>
        <w:t>—</w:t>
      </w:r>
      <w:r w:rsidRPr="004D6404">
        <w:t xml:space="preserve">suggesting that the ACT intervention was </w:t>
      </w:r>
      <w:r>
        <w:t xml:space="preserve">largely </w:t>
      </w:r>
      <w:r w:rsidRPr="004D6404">
        <w:t>efficacious in targeting its hypothesized process of change (i.e., hoarding-related psychological inflexibility</w:t>
      </w:r>
      <w:r w:rsidR="009B408C">
        <w:t>, mindfulness</w:t>
      </w:r>
      <w:r w:rsidRPr="004D6404">
        <w:t>) and</w:t>
      </w:r>
      <w:r w:rsidR="0084263C">
        <w:t xml:space="preserve"> self-stigma as</w:t>
      </w:r>
      <w:r w:rsidRPr="004D6404">
        <w:t xml:space="preserve"> a potential barrier to treatment (</w:t>
      </w:r>
      <w:r w:rsidR="004E4F4C">
        <w:fldChar w:fldCharType="begin" w:fldLock="1"/>
      </w:r>
      <w:r w:rsidR="004E4F4C">
        <w:instrText>ADDIN CSL_CITATION {"citationItems":[{"id":"ITEM-1","itemData":{"DOI":"10.1016/j.jocrd.2017.12.006","ISSN":"22113657","abstract":"There are no systematic investigations of public stigma of hoarding disorder (HD), and although there have been some studies on the public perception of obsessive-compulsive disorder (OCD), such research has not examined three theoretically informed facets of stigma: difference (“They aren't like me”), disdain (“They are bad”), and blame (“They are to blame”). The current Internet study evaluated these three facets of stigma in a general sample of 591 adults by comparing ratings of public perception for HD, OCD, serious mental illness (SMI), substance use disorders (SUD), and those in jail. Results indicate that HD is mostly associated with a neutral or negative public perception across all stigma facets, but OCD is associated with mostly positive or neutral public perception. Across all stigma ratings, HD was viewed more negatively than OCD. Comparison of ratings across conditions and the three facets of stigma suggest a nuanced picture in which HD and OCD demonstrate differences in public perceptions compared to jail, SMI, and SUD, some in the positive direction and some in the negative. In addition, among those who scored in a clinically elevated range of HD symptom severity, one facet of public stigma (i.e., a proxy for self-stigma) was negatively correlated with an index of treatment-seeking willingness, implicating stigma as a potential factor in the treatment ambivalence commonly associated with HD treatment.","author":[{"dropping-particle":"","family":"Chasson","given":"Gregory S.","non-dropping-particle":"","parse-names":false,"suffix":""},{"dropping-particle":"","family":"Guy","given":"Arryn A.","non-dropping-particle":"","parse-names":false,"suffix":""},{"dropping-particle":"","family":"Bates","given":"Sage","non-dropping-particle":"","parse-names":false,"suffix":""},{"dropping-particle":"","family":"Corrigan","given":"Patrick W.","non-dropping-particle":"","parse-names":false,"suffix":""}],"container-title":"Journal of Obsessive-Compulsive and Related Disorders","id":"ITEM-1","issued":{"date-parts":[["2018"]]},"page":"56-65","publisher":"Elsevier Ltd","title":"They aren't like me, they are bad, and they are to blame: A theoretically-informed study of stigma of hoarding disorder and obsessive-compulsive disorder","type":"article-journal","volume":"16"},"uris":["http://www.mendeley.com/documents/?uuid=6a0a1533-144d-4dfb-970c-487065e8b77f"]}],"mendeley":{"formattedCitation":"(Chasson et al., 2018)","manualFormatting":"Chasson et al., 2018)","plainTextFormattedCitation":"(Chasson et al., 2018)","previouslyFormattedCitation":"(Chasson et al., 2018)"},"properties":{"noteIndex":0},"schema":"https://github.com/citation-style-language/schema/raw/master/csl-citation.json"}</w:instrText>
      </w:r>
      <w:r w:rsidR="004E4F4C">
        <w:fldChar w:fldCharType="separate"/>
      </w:r>
      <w:r w:rsidR="004E4F4C" w:rsidRPr="004E4F4C">
        <w:rPr>
          <w:noProof/>
        </w:rPr>
        <w:t>Chasson et al., 2018)</w:t>
      </w:r>
      <w:r w:rsidR="004E4F4C">
        <w:fldChar w:fldCharType="end"/>
      </w:r>
      <w:r w:rsidRPr="004D6404">
        <w:t xml:space="preserve">. </w:t>
      </w:r>
      <w:r w:rsidR="0084263C">
        <w:t>In addition</w:t>
      </w:r>
      <w:r w:rsidRPr="004D6404">
        <w:t xml:space="preserve">, scores on these process measures further decreased from posttreatment to follow-up, indicating not just </w:t>
      </w:r>
      <w:r>
        <w:t>a positive</w:t>
      </w:r>
      <w:r w:rsidRPr="004D6404">
        <w:t xml:space="preserve"> effect </w:t>
      </w:r>
      <w:r>
        <w:t xml:space="preserve">at the end of the intervention </w:t>
      </w:r>
      <w:r w:rsidRPr="004D6404">
        <w:t>but also maintenance</w:t>
      </w:r>
      <w:r>
        <w:t xml:space="preserve"> of gains</w:t>
      </w:r>
      <w:r w:rsidRPr="004D6404">
        <w:t>.</w:t>
      </w:r>
      <w:r w:rsidR="00FB1CD4">
        <w:t xml:space="preserve"> This continued improvement may have been due to some participants continuing to use the website in the follow-up window.</w:t>
      </w:r>
      <w:r w:rsidRPr="004D6404">
        <w:t xml:space="preserve"> Together, these findings indicate that the ACT self-help intervention led to improvement in processes it was designed to target.</w:t>
      </w:r>
      <w:r>
        <w:t xml:space="preserve"> </w:t>
      </w:r>
    </w:p>
    <w:p w14:paraId="1D620974" w14:textId="1BF137E1" w:rsidR="00FB17AF" w:rsidRPr="004D6404" w:rsidRDefault="00FB17AF" w:rsidP="00FB17AF">
      <w:pPr>
        <w:spacing w:line="480" w:lineRule="auto"/>
        <w:ind w:firstLine="720"/>
      </w:pPr>
      <w:r>
        <w:t>In addition</w:t>
      </w:r>
      <w:r w:rsidRPr="004D6404">
        <w:t xml:space="preserve">, we tested whether these variables moderated and/or mediated treatment effects. There was no evidence showing that the effect of treatment on symptom severity </w:t>
      </w:r>
      <w:r w:rsidRPr="004D6404">
        <w:lastRenderedPageBreak/>
        <w:t>depended on age, gender, or hoarding-related psychological inflexibility. In other words, the effect of treatment was relatively uniform along the dimension of these variables. However, it is possible that treatment response was moderated by an untested or unmeasured variable or that there was insufficient power to detect a moderation effect, given that the effect of treatment is likely to differ among individuals</w:t>
      </w:r>
      <w:r w:rsidR="004E4F4C">
        <w:t xml:space="preserve"> </w:t>
      </w:r>
      <w:r w:rsidR="004E4F4C">
        <w:fldChar w:fldCharType="begin" w:fldLock="1"/>
      </w:r>
      <w:r w:rsidR="00543AD6">
        <w:instrText>ADDIN CSL_CITATION {"citationItems":[{"id":"ITEM-1","itemData":{"DOI":"10.1207/s15366359mea0204_1","ISSN":"1536-6367","abstract":"Psychology is focused on variation between cases (interindividual variation). Results thus obtained are considered to be generalizable to the understanding and explana- tion of variation within single cases (intraindividual variation). It is indicated, how- ever, that the direct consequences of the classical ergodic theorems for psychology and psychometrics invalidate this conjectured generalizability: only under very strict conditions—which are hardly obtained in real psychological processes–can a general- ization be made from a structure of interindividual variation to the analogous structure of intraindividual variation. Illustrations of the lack of this generalizability are given in the contexts of psychometrics, developmental psychology, and personality theory.","author":[{"dropping-particle":"","family":"Molenaar","given":"Peter C. M.","non-dropping-particle":"","parse-names":false,"suffix":""}],"container-title":"Measurement: Interdisciplinary Research &amp; Perspective","id":"ITEM-1","issue":"4","issued":{"date-parts":[["2004"]]},"page":"201-218","title":"A manifesto on psychology as idiographic science: Bringing the person back into scientific psychology, this time forever","type":"article-journal","volume":"2"},"uris":["http://www.mendeley.com/documents/?uuid=b217813d-c518-4a49-b6b4-42267d91bee9"]}],"mendeley":{"formattedCitation":"(Molenaar, 2004)","plainTextFormattedCitation":"(Molenaar, 2004)","previouslyFormattedCitation":"(Molenaar, 2004)"},"properties":{"noteIndex":0},"schema":"https://github.com/citation-style-language/schema/raw/master/csl-citation.json"}</w:instrText>
      </w:r>
      <w:r w:rsidR="004E4F4C">
        <w:fldChar w:fldCharType="separate"/>
      </w:r>
      <w:r w:rsidR="004E4F4C" w:rsidRPr="004E4F4C">
        <w:rPr>
          <w:noProof/>
        </w:rPr>
        <w:t>(Molenaar, 2004)</w:t>
      </w:r>
      <w:r w:rsidR="004E4F4C">
        <w:fldChar w:fldCharType="end"/>
      </w:r>
      <w:r w:rsidRPr="004D6404">
        <w:t xml:space="preserve">. </w:t>
      </w:r>
    </w:p>
    <w:p w14:paraId="63CFA34F" w14:textId="54660902" w:rsidR="00D05A14" w:rsidRDefault="00FB17AF" w:rsidP="00FB17AF">
      <w:pPr>
        <w:spacing w:line="480" w:lineRule="auto"/>
        <w:ind w:firstLine="720"/>
      </w:pPr>
      <w:r w:rsidRPr="004D6404">
        <w:t>Finally, a more stringent test of the theoretical model underlying ACT would evaluate whether improvement in symptoms was explained by improvement in hoarding-related psychological inflexibility</w:t>
      </w:r>
      <w:r w:rsidR="00543AD6">
        <w:t xml:space="preserve"> </w:t>
      </w:r>
      <w:r w:rsidR="00543AD6">
        <w:fldChar w:fldCharType="begin" w:fldLock="1"/>
      </w:r>
      <w:r w:rsidR="00543AD6">
        <w:instrText>ADDIN CSL_CITATION {"citationItems":[{"id":"ITEM-1","itemData":{"DOI":"10.1016/j.brat.2005.06.006","ISBN":"0005-7967","ISSN":"0005-7967","PMID":"16300724","abstract":"The present article presents and reviews the model of psychopathology and treatment underlying Acceptance and Commitment Therapy (ACT). ACT is unusual in that it is linked to a comprehensive active basic research program on the nature of human language and cognition (Relational Frame Theory), echoing back to an earlier era of behavior therapy in which clinical treatments were consciously based on basic behavioral principles. The evidence from correlational, component, process of change, and outcome comparisons relevant to the model are broadly supportive, but the literature is not mature and many questions have not yet been examined. What evidence is available suggests that ACT works through different processes than active treatment comparisons, including traditional Cognitive-Behavior Therapy (CBT). There are not enough well-controlled studies to conclude that ACT is generally more effective than other active treatments across the range of problems examined, but so far the data are promising.","author":[{"dropping-particle":"","family":"Hayes","given":"Steven C","non-dropping-particle":"","parse-names":false,"suffix":""},{"dropping-particle":"","family":"Luoma","given":"Jason B","non-dropping-particle":"","parse-names":false,"suffix":""},{"dropping-particle":"","family":"Bond","given":"Frank W","non-dropping-particle":"","parse-names":false,"suffix":""},{"dropping-particle":"","family":"Masuda","given":"Akihiko","non-dropping-particle":"","parse-names":false,"suffix":""},{"dropping-particle":"","family":"Lillis","given":"Jason","non-dropping-particle":"","parse-names":false,"suffix":""}],"container-title":"Behaviour Research and Therapy","id":"ITEM-1","issued":{"date-parts":[["2006"]]},"page":"1-25","title":"Acceptance and Commitment Therapy: Model, processes and outcomes.","type":"article-journal","volume":"44"},"uris":["http://www.mendeley.com/documents/?uuid=ff47006a-314b-4e8a-9cd4-0f9cb00fd209"]},{"id":"ITEM-2","itemData":{"DOI":"10.1017/S1352465818000553","ISSN":"14691833","PMID":"30284528","abstract":"Background: Mediation studies test the mechanisms by which interventions produce clinical outcomes. Consistent positive mediation results have previously been evidenced (Hayes et al., 2006) for the putative processes that compromise the psychological flexibility model of acceptance and commitment therapy (ACT). Aims: The present review aimed to update and extend the ACT mediation evidence base by reviewing mediation studies published since the review of Hayes et al. (2006). Method: ACT mediation studies published between 2006 and 2015 were systematically collated, synthesized and quality assessed. Results: Twelve studies met inclusion criteria and findings were synthesized by (a) the putative processes under investigation, and (b) the outcomes on which processes were tested for mediation. Mediation results were found to be generally consistent with the psychological flexibility model of ACT. However, studies were limited in methodological quality and were overly focused on a small number of putative processes. Conclusions: Further research is required that addresses the identified methodological limitations and also examines currently under-researched putative processes.","author":[{"dropping-particle":"","family":"Stockton","given":"Daniel","non-dropping-particle":"","parse-names":false,"suffix":""},{"dropping-particle":"","family":"Kellett","given":"Stephen","non-dropping-particle":"","parse-names":false,"suffix":""},{"dropping-particle":"","family":"Berrios","given":"Raul","non-dropping-particle":"","parse-names":false,"suffix":""},{"dropping-particle":"","family":"Sirois","given":"Fuschia","non-dropping-particle":"","parse-names":false,"suffix":""},{"dropping-particle":"","family":"Wilkinson","given":"Nicolas","non-dropping-particle":"","parse-names":false,"suffix":""},{"dropping-particle":"","family":"Miles","given":"Georgina","non-dropping-particle":"","parse-names":false,"suffix":""}],"container-title":"Behavioural and Cognitive Psychotherapy","id":"ITEM-2","issue":"3","issued":{"date-parts":[["2019"]]},"page":"332-362","title":"Identifying the underlying mechanisms of change during acceptance and commitment therapy (ACT): A systematic review of contemporary mediation studies","type":"article-journal","volume":"47"},"uris":["http://www.mendeley.com/documents/?uuid=9d76cfd9-994e-454f-8165-fe82052e24d7"]}],"mendeley":{"formattedCitation":"(Hayes et al., 2006; Stockton et al., 2019)","plainTextFormattedCitation":"(Hayes et al., 2006; Stockton et al., 2019)","previouslyFormattedCitation":"(Hayes et al., 2006; Stockton et al., 2019)"},"properties":{"noteIndex":0},"schema":"https://github.com/citation-style-language/schema/raw/master/csl-citation.json"}</w:instrText>
      </w:r>
      <w:r w:rsidR="00543AD6">
        <w:fldChar w:fldCharType="separate"/>
      </w:r>
      <w:r w:rsidR="00543AD6" w:rsidRPr="00543AD6">
        <w:rPr>
          <w:noProof/>
        </w:rPr>
        <w:t>(Hayes et al., 2006; Stockton et al., 2019)</w:t>
      </w:r>
      <w:r w:rsidR="00543AD6">
        <w:fldChar w:fldCharType="end"/>
      </w:r>
      <w:r w:rsidRPr="004D6404">
        <w:t>. Mediation findings did not support the process</w:t>
      </w:r>
      <w:r w:rsidR="00560047">
        <w:t>es</w:t>
      </w:r>
      <w:r w:rsidRPr="004D6404">
        <w:t xml:space="preserve"> of change posited by the ACT model; namely, hoarding-related psychological inflexibility</w:t>
      </w:r>
      <w:r w:rsidR="00560047">
        <w:t xml:space="preserve"> and mindfulness</w:t>
      </w:r>
      <w:r w:rsidRPr="004D6404">
        <w:t xml:space="preserve"> did not explain symptom improvement. The null finding could be due to inadequate power.</w:t>
      </w:r>
      <w:r w:rsidR="00751C64">
        <w:t xml:space="preserve"> Another possible explanation is that due to limited adherence, participants received an inadequate “dosage” of the comprehensive ACT model; however, this appears less likely given that </w:t>
      </w:r>
      <w:r w:rsidR="009D39B7">
        <w:t>measures of psychological inflexibility and mindful awareness did change significantly after the intervention.</w:t>
      </w:r>
      <w:r w:rsidRPr="004D6404">
        <w:t xml:space="preserve"> </w:t>
      </w:r>
      <w:r w:rsidR="00B637B6">
        <w:t xml:space="preserve">Due to the limited sample size of this study, we did not attempt subgroup analyses; however, in the future it would be valuable to </w:t>
      </w:r>
      <w:r w:rsidR="00AB2A6B">
        <w:t xml:space="preserve">assess whether psychological inflexibility mediates the impact of ACT on hoarding in individuals with relatively severe symptoms. </w:t>
      </w:r>
    </w:p>
    <w:p w14:paraId="551172D1" w14:textId="6925A248" w:rsidR="00FB17AF" w:rsidRDefault="00FB17AF" w:rsidP="00FB17AF">
      <w:pPr>
        <w:spacing w:line="480" w:lineRule="auto"/>
        <w:ind w:firstLine="720"/>
      </w:pPr>
      <w:r w:rsidRPr="004D6404">
        <w:t xml:space="preserve">Post hoc cross-sectional mediation analyses showed that hoarding-related psychological inflexibility measured at follow-up mediated symptom severity measured at follow-up. That is, the intervention was associated with decreased hoarding-related psychological inflexibility at follow-up, and hoarding-related psychological inflexibility at follow-up was associated with less symptom severity at follow-up. Nonetheless, given lack of evidence for a longitudinal mediation effect, our results do not support hoarding-related psychological inflexibility as a key process of </w:t>
      </w:r>
      <w:r w:rsidRPr="004D6404">
        <w:lastRenderedPageBreak/>
        <w:t xml:space="preserve">change in ACT for hoarding. </w:t>
      </w:r>
      <w:r w:rsidR="0084263C">
        <w:t xml:space="preserve">This stands in contrast to the large literature indicating that psychological inflexibility mediates the effects of ACT for a wide range of clinical presentations, including other obsessive-compulsive related disorders </w:t>
      </w:r>
      <w:r w:rsidR="00482658">
        <w:fldChar w:fldCharType="begin" w:fldLock="1"/>
      </w:r>
      <w:r w:rsidR="00482658">
        <w:instrText>ADDIN CSL_CITATION {"citationItems":[{"id":"ITEM-1","itemData":{"DOI":"10.1016/j.jocrd.2019.100499","ISSN":"22113657","abstract":"The present study evaluated moderators and processes of change in a randomized controlled trial comparing exposure and response prevention (ERP) delivered from a traditional framework versus ERP from an acceptance and commitment therapy framework (ACT + ERP) for obsessive-compulsive disorder (OCD). This paper presents baseline, weekly session, posttreatment, and follow-up data from the study. We examined (a) moderation effects of anxiety, depression, psychological inflexibility, and interpretation of intrusions and (b) the role of psychological inflexibility and interpretation of intrusions respectively as processes of change. Participants with less dysfunctional appraisals at pretreatment performed consistently better in ERP relative to ACT + ERP. In process analyses, psychological inflexibility and interpretation of intrusions positively influenced OCD severity over time in both conditions but OCD symptom severity also positively influenced psychological inflexibility and interpretation of intrusions in both conditions. Furthermore, whereas OCD symptom severity strongly and positively predicted dysfunctional appraisals over the course of treatment in ERP, symptom severity had a weaker positive effect on dysfunctional appraisals in ACT + ERP. Clinical and theoretical implications as well as study limitations are discussed.","author":[{"dropping-particle":"","family":"Ong","given":"C. W.","non-dropping-particle":"","parse-names":false,"suffix":""},{"dropping-particle":"","family":"Blakey","given":"Shannon M.","non-dropping-particle":"","parse-names":false,"suffix":""},{"dropping-particle":"","family":"Smith","given":"Brooke M.","non-dropping-particle":"","parse-names":false,"suffix":""},{"dropping-particle":"","family":"Morrison","given":"Kate L.","non-dropping-particle":"","parse-names":false,"suffix":""},{"dropping-particle":"","family":"Bluett","given":"Ellen J.","non-dropping-particle":"","parse-names":false,"suffix":""},{"dropping-particle":"","family":"Abramowitz","given":"Jonathan S.","non-dropping-particle":"","parse-names":false,"suffix":""},{"dropping-particle":"","family":"Twohig","given":"Michael P.","non-dropping-particle":"","parse-names":false,"suffix":""}],"container-title":"Journal of Obsessive-Compulsive and Related Disorders","id":"ITEM-1","issued":{"date-parts":[["2020"]]},"page":"100499","publisher":"Elsevier Inc.","title":"Moderators and processes of change in traditional exposure and response prevention (ERP) versus acceptance and commitment therapy-informed ERP for obsessive-compulsive disorder","type":"article-journal","volume":"24"},"uris":["http://www.mendeley.com/documents/?uuid=5d265799-f26c-4008-8aaf-a6304cf93021"]},{"id":"ITEM-2","itemData":{"DOI":"10.1017/S1352465818000553","ISSN":"14691833","PMID":"30284528","abstract":"Background: Mediation studies test the mechanisms by which interventions produce clinical outcomes. Consistent positive mediation results have previously been evidenced (Hayes et al., 2006) for the putative processes that compromise the psychological flexibility model of acceptance and commitment therapy (ACT). Aims: The present review aimed to update and extend the ACT mediation evidence base by reviewing mediation studies published since the review of Hayes et al. (2006). Method: ACT mediation studies published between 2006 and 2015 were systematically collated, synthesized and quality assessed. Results: Twelve studies met inclusion criteria and findings were synthesized by (a) the putative processes under investigation, and (b) the outcomes on which processes were tested for mediation. Mediation results were found to be generally consistent with the psychological flexibility model of ACT. However, studies were limited in methodological quality and were overly focused on a small number of putative processes. Conclusions: Further research is required that addresses the identified methodological limitations and also examines currently under-researched putative processes.","author":[{"dropping-particle":"","family":"Stockton","given":"Daniel","non-dropping-particle":"","parse-names":false,"suffix":""},{"dropping-particle":"","family":"Kellett","given":"Stephen","non-dropping-particle":"","parse-names":false,"suffix":""},{"dropping-particle":"","family":"Berrios","given":"Raul","non-dropping-particle":"","parse-names":false,"suffix":""},{"dropping-particle":"","family":"Sirois","given":"Fuschia","non-dropping-particle":"","parse-names":false,"suffix":""},{"dropping-particle":"","family":"Wilkinson","given":"Nicolas","non-dropping-particle":"","parse-names":false,"suffix":""},{"dropping-particle":"","family":"Miles","given":"Georgina","non-dropping-particle":"","parse-names":false,"suffix":""}],"container-title":"Behavioural and Cognitive Psychotherapy","id":"ITEM-2","issue":"3","issued":{"date-parts":[["2019"]]},"page":"332-362","title":"Identifying the underlying mechanisms of change during acceptance and commitment therapy (ACT): A systematic review of contemporary mediation studies","type":"article-journal","volume":"47"},"uris":["http://www.mendeley.com/documents/?uuid=9d76cfd9-994e-454f-8165-fe82052e24d7"]}],"mendeley":{"formattedCitation":"(Ong et al., 2020; Stockton et al., 2019)","plainTextFormattedCitation":"(Ong et al., 2020; Stockton et al., 2019)"},"properties":{"noteIndex":0},"schema":"https://github.com/citation-style-language/schema/raw/master/csl-citation.json"}</w:instrText>
      </w:r>
      <w:r w:rsidR="00482658">
        <w:fldChar w:fldCharType="separate"/>
      </w:r>
      <w:r w:rsidR="00482658" w:rsidRPr="00482658">
        <w:rPr>
          <w:noProof/>
        </w:rPr>
        <w:t>(Ong et al., 2020; Stockton et al., 2019)</w:t>
      </w:r>
      <w:r w:rsidR="00482658">
        <w:fldChar w:fldCharType="end"/>
      </w:r>
      <w:r w:rsidR="0084263C">
        <w:t xml:space="preserve">. However, this was the first study to test hoarding-related psychological inflexibility as a mediator for an ACT intervention for hoarding disorder. </w:t>
      </w:r>
      <w:r w:rsidRPr="004D6404">
        <w:t>Future ACT treatment studies for hoarding should still test this mediation given its centrality to ACT theory and ensure they are sufficiently powered to do so.</w:t>
      </w:r>
    </w:p>
    <w:p w14:paraId="21CDA9F9" w14:textId="276FDF85" w:rsidR="006D0347" w:rsidRPr="004D6404" w:rsidRDefault="006D0347" w:rsidP="00FB17AF">
      <w:pPr>
        <w:spacing w:line="480" w:lineRule="auto"/>
        <w:ind w:firstLine="720"/>
      </w:pPr>
      <w:r>
        <w:t xml:space="preserve">Although mediation was largely not supported, examination of change scores did demonstrate that changes in hoarding severity were correlated with changes in psychological inflexibility, mindful awareness, and the difference component of self-stigma over time. This provides additional support that psychological </w:t>
      </w:r>
      <w:r w:rsidR="00400F09">
        <w:t>in</w:t>
      </w:r>
      <w:r>
        <w:t>flexibility</w:t>
      </w:r>
      <w:r w:rsidR="00400F09">
        <w:t xml:space="preserve">, </w:t>
      </w:r>
      <w:r>
        <w:t>self-stigma</w:t>
      </w:r>
      <w:r w:rsidR="00400F09">
        <w:t>, and mindful awareness</w:t>
      </w:r>
      <w:r>
        <w:t xml:space="preserve"> are relevant to hoarding not just cross-sectionally but during the course of treatment, although the direction of this relationship is largely unclear. Future studies should </w:t>
      </w:r>
      <w:r w:rsidR="00E51788">
        <w:t xml:space="preserve">clarify the temporal relationship between these processes and hoarding outcomes </w:t>
      </w:r>
      <w:r>
        <w:t>using a more precise framework (e.g., daily or weekly brief assessments)</w:t>
      </w:r>
      <w:r w:rsidR="00E51788">
        <w:t>.</w:t>
      </w:r>
    </w:p>
    <w:p w14:paraId="196EA74D" w14:textId="09DEA7F1" w:rsidR="00FB17AF" w:rsidRPr="004D6404" w:rsidRDefault="00FB17AF" w:rsidP="00FB17AF">
      <w:pPr>
        <w:spacing w:line="480" w:lineRule="auto"/>
        <w:ind w:firstLine="720"/>
      </w:pPr>
      <w:r w:rsidRPr="004D6404">
        <w:t>Overall, the current study provides support for the efficacy of ACT self-help for targeted processes: hoarding-related psychological inflexibility, two of three aspects of self-stigma, and mindful awareness. This pattern of findings validates one part of the ACT model, that ACT decreases psychological inflexibility</w:t>
      </w:r>
      <w:r w:rsidR="007F66F8">
        <w:t xml:space="preserve"> </w:t>
      </w:r>
      <w:r w:rsidR="007F66F8">
        <w:fldChar w:fldCharType="begin" w:fldLock="1"/>
      </w:r>
      <w:r w:rsidR="007F66F8">
        <w:instrText>ADDIN CSL_CITATION {"citationItems":[{"id":"ITEM-1","itemData":{"DOI":"10.1016/j.brat.2005.06.006","ISBN":"0005-7967","ISSN":"0005-7967","PMID":"16300724","abstract":"The present article presents and reviews the model of psychopathology and treatment underlying Acceptance and Commitment Therapy (ACT). ACT is unusual in that it is linked to a comprehensive active basic research program on the nature of human language and cognition (Relational Frame Theory), echoing back to an earlier era of behavior therapy in which clinical treatments were consciously based on basic behavioral principles. The evidence from correlational, component, process of change, and outcome comparisons relevant to the model are broadly supportive, but the literature is not mature and many questions have not yet been examined. What evidence is available suggests that ACT works through different processes than active treatment comparisons, including traditional Cognitive-Behavior Therapy (CBT). There are not enough well-controlled studies to conclude that ACT is generally more effective than other active treatments across the range of problems examined, but so far the data are promising.","author":[{"dropping-particle":"","family":"Hayes","given":"Steven C","non-dropping-particle":"","parse-names":false,"suffix":""},{"dropping-particle":"","family":"Luoma","given":"Jason B","non-dropping-particle":"","parse-names":false,"suffix":""},{"dropping-particle":"","family":"Bond","given":"Frank W","non-dropping-particle":"","parse-names":false,"suffix":""},{"dropping-particle":"","family":"Masuda","given":"Akihiko","non-dropping-particle":"","parse-names":false,"suffix":""},{"dropping-particle":"","family":"Lillis","given":"Jason","non-dropping-particle":"","parse-names":false,"suffix":""}],"container-title":"Behaviour Research and Therapy","id":"ITEM-1","issued":{"date-parts":[["2006"]]},"page":"1-25","title":"Acceptance and Commitment Therapy: Model, processes and outcomes.","type":"article-journal","volume":"44"},"uris":["http://www.mendeley.com/documents/?uuid=ff47006a-314b-4e8a-9cd4-0f9cb00fd209"]}],"mendeley":{"formattedCitation":"(Hayes et al., 2006)","plainTextFormattedCitation":"(Hayes et al., 2006)","previouslyFormattedCitation":"(Hayes et al., 2006)"},"properties":{"noteIndex":0},"schema":"https://github.com/citation-style-language/schema/raw/master/csl-citation.json"}</w:instrText>
      </w:r>
      <w:r w:rsidR="007F66F8">
        <w:fldChar w:fldCharType="separate"/>
      </w:r>
      <w:r w:rsidR="007F66F8" w:rsidRPr="007F66F8">
        <w:rPr>
          <w:noProof/>
        </w:rPr>
        <w:t>(Hayes et al., 2006)</w:t>
      </w:r>
      <w:r w:rsidR="007F66F8">
        <w:fldChar w:fldCharType="end"/>
      </w:r>
      <w:r w:rsidR="007F66F8">
        <w:t>.</w:t>
      </w:r>
      <w:r w:rsidRPr="004D6404">
        <w:t xml:space="preserve"> However, there was less support for </w:t>
      </w:r>
      <w:r>
        <w:t>an</w:t>
      </w:r>
      <w:r w:rsidRPr="004D6404">
        <w:t xml:space="preserve">other </w:t>
      </w:r>
      <w:r>
        <w:t>aspect</w:t>
      </w:r>
      <w:r w:rsidRPr="004D6404">
        <w:t xml:space="preserve"> of the ACT model, which states that improvement in outcomes is </w:t>
      </w:r>
      <w:r w:rsidRPr="004D6404">
        <w:rPr>
          <w:i/>
          <w:iCs/>
        </w:rPr>
        <w:t>due to</w:t>
      </w:r>
      <w:r w:rsidRPr="004D6404">
        <w:t xml:space="preserve"> improvement in psychological inflexibility. Instead, we found evidence for cross-sectional mediation of symptom severity at follow-up</w:t>
      </w:r>
      <w:r w:rsidR="00BF746B">
        <w:t xml:space="preserve"> and </w:t>
      </w:r>
      <w:r w:rsidR="001932CB">
        <w:t>significant correlations between change scores</w:t>
      </w:r>
      <w:r w:rsidRPr="004D6404">
        <w:t xml:space="preserve"> but not for longitudinal mediation from posttreatment to follow-up.  </w:t>
      </w:r>
    </w:p>
    <w:p w14:paraId="4D7ABD0A" w14:textId="7B270AD2" w:rsidR="00462A25" w:rsidRPr="00A45857" w:rsidRDefault="00A45857" w:rsidP="004A375A">
      <w:pPr>
        <w:spacing w:line="480" w:lineRule="auto"/>
        <w:rPr>
          <w:b/>
          <w:bCs/>
        </w:rPr>
      </w:pPr>
      <w:r w:rsidRPr="00A45857">
        <w:rPr>
          <w:b/>
          <w:bCs/>
        </w:rPr>
        <w:lastRenderedPageBreak/>
        <w:t>Limitations</w:t>
      </w:r>
      <w:r w:rsidR="00D30821">
        <w:rPr>
          <w:b/>
          <w:bCs/>
        </w:rPr>
        <w:t xml:space="preserve"> and Conclusion</w:t>
      </w:r>
    </w:p>
    <w:p w14:paraId="2B1345EB" w14:textId="765929B2" w:rsidR="00D30821" w:rsidRDefault="008F3B98" w:rsidP="001D0A94">
      <w:pPr>
        <w:spacing w:line="480" w:lineRule="auto"/>
      </w:pPr>
      <w:r w:rsidRPr="004D6404">
        <w:tab/>
        <w:t xml:space="preserve">The uneven findings related to self-stigma could be due to the unreliability of the </w:t>
      </w:r>
      <w:r w:rsidR="00560047">
        <w:t>s</w:t>
      </w:r>
      <w:r w:rsidRPr="004D6404">
        <w:t>elf-</w:t>
      </w:r>
      <w:r w:rsidR="00560047">
        <w:t>s</w:t>
      </w:r>
      <w:r w:rsidRPr="004D6404">
        <w:t>tigma measure, given that the Blame subscale only contains one item, and all items were originally designed to measure public stigma</w:t>
      </w:r>
      <w:r w:rsidR="007F66F8">
        <w:t xml:space="preserve"> </w:t>
      </w:r>
      <w:r w:rsidR="007F66F8">
        <w:fldChar w:fldCharType="begin" w:fldLock="1"/>
      </w:r>
      <w:r w:rsidR="007F66F8">
        <w:instrText>ADDIN CSL_CITATION {"citationItems":[{"id":"ITEM-1","itemData":{"DOI":"10.1016/j.jocrd.2017.12.006","ISSN":"22113657","abstract":"There are no systematic investigations of public stigma of hoarding disorder (HD), and although there have been some studies on the public perception of obsessive-compulsive disorder (OCD), such research has not examined three theoretically informed facets of stigma: difference (“They aren't like me”), disdain (“They are bad”), and blame (“They are to blame”). The current Internet study evaluated these three facets of stigma in a general sample of 591 adults by comparing ratings of public perception for HD, OCD, serious mental illness (SMI), substance use disorders (SUD), and those in jail. Results indicate that HD is mostly associated with a neutral or negative public perception across all stigma facets, but OCD is associated with mostly positive or neutral public perception. Across all stigma ratings, HD was viewed more negatively than OCD. Comparison of ratings across conditions and the three facets of stigma suggest a nuanced picture in which HD and OCD demonstrate differences in public perceptions compared to jail, SMI, and SUD, some in the positive direction and some in the negative. In addition, among those who scored in a clinically elevated range of HD symptom severity, one facet of public stigma (i.e., a proxy for self-stigma) was negatively correlated with an index of treatment-seeking willingness, implicating stigma as a potential factor in the treatment ambivalence commonly associated with HD treatment.","author":[{"dropping-particle":"","family":"Chasson","given":"Gregory S.","non-dropping-particle":"","parse-names":false,"suffix":""},{"dropping-particle":"","family":"Guy","given":"Arryn A.","non-dropping-particle":"","parse-names":false,"suffix":""},{"dropping-particle":"","family":"Bates","given":"Sage","non-dropping-particle":"","parse-names":false,"suffix":""},{"dropping-particle":"","family":"Corrigan","given":"Patrick W.","non-dropping-particle":"","parse-names":false,"suffix":""}],"container-title":"Journal of Obsessive-Compulsive and Related Disorders","id":"ITEM-1","issued":{"date-parts":[["2018"]]},"page":"56-65","publisher":"Elsevier Ltd","title":"They aren't like me, they are bad, and they are to blame: A theoretically-informed study of stigma of hoarding disorder and obsessive-compulsive disorder","type":"article-journal","volume":"16"},"uris":["http://www.mendeley.com/documents/?uuid=6a0a1533-144d-4dfb-970c-487065e8b77f"]}],"mendeley":{"formattedCitation":"(Chasson et al., 2018)","plainTextFormattedCitation":"(Chasson et al., 2018)","previouslyFormattedCitation":"(Chasson et al., 2018)"},"properties":{"noteIndex":0},"schema":"https://github.com/citation-style-language/schema/raw/master/csl-citation.json"}</w:instrText>
      </w:r>
      <w:r w:rsidR="007F66F8">
        <w:fldChar w:fldCharType="separate"/>
      </w:r>
      <w:r w:rsidR="007F66F8" w:rsidRPr="007F66F8">
        <w:rPr>
          <w:noProof/>
        </w:rPr>
        <w:t>(Chasson et al., 2018)</w:t>
      </w:r>
      <w:r w:rsidR="007F66F8">
        <w:fldChar w:fldCharType="end"/>
      </w:r>
      <w:r w:rsidRPr="004D6404">
        <w:t xml:space="preserve">. Furthermore, the </w:t>
      </w:r>
      <w:r w:rsidR="00560047">
        <w:t>s</w:t>
      </w:r>
      <w:r w:rsidRPr="004D6404">
        <w:t>elf-</w:t>
      </w:r>
      <w:r w:rsidR="00560047">
        <w:t>s</w:t>
      </w:r>
      <w:r w:rsidRPr="004D6404">
        <w:t>tigma measure has only been used in the context of hoarding in one previous study</w:t>
      </w:r>
      <w:r w:rsidR="007F66F8">
        <w:t xml:space="preserve"> </w:t>
      </w:r>
      <w:r w:rsidR="007F66F8">
        <w:fldChar w:fldCharType="begin" w:fldLock="1"/>
      </w:r>
      <w:r w:rsidR="007F66F8">
        <w:instrText>ADDIN CSL_CITATION {"citationItems":[{"id":"ITEM-1","itemData":{"DOI":"10.1016/j.jocrd.2017.12.006","ISSN":"22113657","abstract":"There are no systematic investigations of public stigma of hoarding disorder (HD), and although there have been some studies on the public perception of obsessive-compulsive disorder (OCD), such research has not examined three theoretically informed facets of stigma: difference (“They aren't like me”), disdain (“They are bad”), and blame (“They are to blame”). The current Internet study evaluated these three facets of stigma in a general sample of 591 adults by comparing ratings of public perception for HD, OCD, serious mental illness (SMI), substance use disorders (SUD), and those in jail. Results indicate that HD is mostly associated with a neutral or negative public perception across all stigma facets, but OCD is associated with mostly positive or neutral public perception. Across all stigma ratings, HD was viewed more negatively than OCD. Comparison of ratings across conditions and the three facets of stigma suggest a nuanced picture in which HD and OCD demonstrate differences in public perceptions compared to jail, SMI, and SUD, some in the positive direction and some in the negative. In addition, among those who scored in a clinically elevated range of HD symptom severity, one facet of public stigma (i.e., a proxy for self-stigma) was negatively correlated with an index of treatment-seeking willingness, implicating stigma as a potential factor in the treatment ambivalence commonly associated with HD treatment.","author":[{"dropping-particle":"","family":"Chasson","given":"Gregory S.","non-dropping-particle":"","parse-names":false,"suffix":""},{"dropping-particle":"","family":"Guy","given":"Arryn A.","non-dropping-particle":"","parse-names":false,"suffix":""},{"dropping-particle":"","family":"Bates","given":"Sage","non-dropping-particle":"","parse-names":false,"suffix":""},{"dropping-particle":"","family":"Corrigan","given":"Patrick W.","non-dropping-particle":"","parse-names":false,"suffix":""}],"container-title":"Journal of Obsessive-Compulsive and Related Disorders","id":"ITEM-1","issued":{"date-parts":[["2018"]]},"page":"56-65","publisher":"Elsevier Ltd","title":"They aren't like me, they are bad, and they are to blame: A theoretically-informed study of stigma of hoarding disorder and obsessive-compulsive disorder","type":"article-journal","volume":"16"},"uris":["http://www.mendeley.com/documents/?uuid=6a0a1533-144d-4dfb-970c-487065e8b77f"]}],"mendeley":{"formattedCitation":"(Chasson et al., 2018)","plainTextFormattedCitation":"(Chasson et al., 2018)","previouslyFormattedCitation":"(Chasson et al., 2018)"},"properties":{"noteIndex":0},"schema":"https://github.com/citation-style-language/schema/raw/master/csl-citation.json"}</w:instrText>
      </w:r>
      <w:r w:rsidR="007F66F8">
        <w:fldChar w:fldCharType="separate"/>
      </w:r>
      <w:r w:rsidR="007F66F8" w:rsidRPr="007F66F8">
        <w:rPr>
          <w:noProof/>
        </w:rPr>
        <w:t>(Chasson et al., 2018)</w:t>
      </w:r>
      <w:r w:rsidR="007F66F8">
        <w:fldChar w:fldCharType="end"/>
      </w:r>
      <w:r w:rsidR="007F66F8">
        <w:t>,</w:t>
      </w:r>
      <w:r w:rsidRPr="004D6404">
        <w:t xml:space="preserve"> so there is limited evidence for its utility in this area. Similar to the AAQH, a self-stigma measure specifically designed for people who struggle with hoarding may be more useful than a general scale</w:t>
      </w:r>
      <w:r w:rsidR="007F66F8">
        <w:t xml:space="preserve"> </w:t>
      </w:r>
      <w:r w:rsidR="007F66F8">
        <w:fldChar w:fldCharType="begin" w:fldLock="1"/>
      </w:r>
      <w:r w:rsidR="007F66F8">
        <w:instrText>ADDIN CSL_CITATION {"citationItems":[{"id":"ITEM-1","itemData":{"DOI":"10.1016/j.jcbs.2018.08.003","ISSN":"22121447","abstract":"Psychological inflexibility is a psychopathological process referring to the tendency for behavior to be overly controlled by internal experiences to an extent that interferes with quality of life. Some studies indicate that psychological inflexibility is linked to hoarding, but findings have been mixed. This inconsistency may be due to reliance on general measures of psychological inflexibility in prior research as there was previously no validated measure to assess psychological inflexibility as it relates to hoarding. The present study developed and validated a measure of hoarding-related psychological inflexibility, the Acceptance and Action Questionnaire for Hoarding (AAQH) in a college student sample with elevated hoarding symptoms (n = 201). The AAQH demonstrated a two-factor structure and good internal consistency, construct validity, and incremental validity over a general measure of psychological inflexibility, the AAQ-II. The potential research and clinical utility of the AAQH as well as limitations of this preliminary validation study are discussed.","author":[{"dropping-particle":"","family":"Krafft","given":"Jennifer","non-dropping-particle":"","parse-names":false,"suffix":""},{"dropping-particle":"","family":"Ong","given":"Clarissa W.","non-dropping-particle":"","parse-names":false,"suffix":""},{"dropping-particle":"","family":"Twohig","given":"Michael P.","non-dropping-particle":"","parse-names":false,"suffix":""},{"dropping-particle":"","family":"Levin","given":"Michael E.","non-dropping-particle":"","parse-names":false,"suffix":""}],"container-title":"Journal of Contextual Behavioral Science","id":"ITEM-1","issued":{"date-parts":[["2019"]]},"page":"234-242","title":"Assessing psychological inflexibility in hoarding: The Acceptance and Action Questionnaire for Hoarding (AAQH)","type":"article-journal","volume":"12"},"uris":["http://www.mendeley.com/documents/?uuid=3e859e22-7f6d-4455-9f0d-d7d1ed73ef07"]}],"mendeley":{"formattedCitation":"(Krafft et al., 2019)","plainTextFormattedCitation":"(Krafft et al., 2019)","previouslyFormattedCitation":"(Krafft et al., 2019)"},"properties":{"noteIndex":0},"schema":"https://github.com/citation-style-language/schema/raw/master/csl-citation.json"}</w:instrText>
      </w:r>
      <w:r w:rsidR="007F66F8">
        <w:fldChar w:fldCharType="separate"/>
      </w:r>
      <w:r w:rsidR="007F66F8" w:rsidRPr="007F66F8">
        <w:rPr>
          <w:noProof/>
        </w:rPr>
        <w:t>(Krafft et al., 2019)</w:t>
      </w:r>
      <w:r w:rsidR="007F66F8">
        <w:fldChar w:fldCharType="end"/>
      </w:r>
      <w:r w:rsidRPr="004D6404">
        <w:t xml:space="preserve">. </w:t>
      </w:r>
      <w:r w:rsidR="00C002A7">
        <w:t xml:space="preserve">Second, the AAQH was adapted </w:t>
      </w:r>
      <w:r w:rsidR="00B47B0A">
        <w:t xml:space="preserve">in part </w:t>
      </w:r>
      <w:r w:rsidR="00C002A7">
        <w:t>from the AAQ-II</w:t>
      </w:r>
      <w:r w:rsidR="00A73874">
        <w:t xml:space="preserve"> (</w:t>
      </w:r>
      <w:r w:rsidR="00B36276">
        <w:t>Bond et al., 2011)</w:t>
      </w:r>
      <w:r w:rsidR="00C002A7">
        <w:t xml:space="preserve">, which </w:t>
      </w:r>
      <w:r w:rsidR="00B47B0A">
        <w:t xml:space="preserve">has been demonstrated </w:t>
      </w:r>
      <w:r w:rsidR="00C77099">
        <w:t xml:space="preserve">share excessive </w:t>
      </w:r>
      <w:r w:rsidR="00A73874">
        <w:t>overlap</w:t>
      </w:r>
      <w:r w:rsidR="00C77099">
        <w:t xml:space="preserve"> with measures of distress (Tyndall et al., 2019)</w:t>
      </w:r>
      <w:r w:rsidR="0053525E">
        <w:t>; while the AAQH has a</w:t>
      </w:r>
      <w:r w:rsidR="00AE3076">
        <w:t xml:space="preserve"> much</w:t>
      </w:r>
      <w:r w:rsidR="0053525E">
        <w:t xml:space="preserve"> smaller relationship with distress than the AAQ-II</w:t>
      </w:r>
      <w:r w:rsidR="00AE3076">
        <w:t xml:space="preserve"> (Krafft et al., 2019)</w:t>
      </w:r>
      <w:r w:rsidR="0053525E">
        <w:t xml:space="preserve">, additional research on the degree to which the AAQH measures a construct distinct from </w:t>
      </w:r>
      <w:r w:rsidR="004C118F">
        <w:t xml:space="preserve">both </w:t>
      </w:r>
      <w:r w:rsidR="0053525E">
        <w:t xml:space="preserve">distress and hoarding symptoms would increase confidence in </w:t>
      </w:r>
      <w:r w:rsidR="00AE4AE8">
        <w:t>our conclusions.</w:t>
      </w:r>
      <w:r w:rsidR="00C77099">
        <w:t xml:space="preserve"> </w:t>
      </w:r>
      <w:r w:rsidR="00C002A7">
        <w:t>Additionally</w:t>
      </w:r>
      <w:r w:rsidRPr="004D6404">
        <w:t xml:space="preserve">, current analyses are exploratory given low power of the study to detect significant and clinically meaningful moderation and mediation effects. Thus, while current results shed light on how ACT self-help influences hoarding-related psychological inflexibility, they are limited in their ability to clarify </w:t>
      </w:r>
      <w:r w:rsidRPr="007E63B6">
        <w:rPr>
          <w:i/>
          <w:iCs/>
        </w:rPr>
        <w:t>how</w:t>
      </w:r>
      <w:r w:rsidRPr="004D6404">
        <w:t xml:space="preserve"> hoarding-related psychological inflexibility influences response to ACT for hoarding. Future studies should replicate present analyses with a bigger sample. Finally, most participants identified as female (87.7%) and White (76.7%), which is a longstanding issue in hoarding treatment studies</w:t>
      </w:r>
      <w:r w:rsidR="007F66F8">
        <w:t xml:space="preserve"> </w:t>
      </w:r>
      <w:r w:rsidR="007F66F8">
        <w:fldChar w:fldCharType="begin" w:fldLock="1"/>
      </w:r>
      <w:r w:rsidR="00CA37E7">
        <w:instrText>ADDIN CSL_CITATION {"citationItems":[{"id":"ITEM-1","itemData":{"DOI":"10.1002/da.22327","ISSN":"10914269","author":[{"dropping-particle":"","family":"Tolin","given":"David F.","non-dropping-particle":"","parse-names":false,"suffix":""},{"dropping-particle":"","family":"Frost","given":"Randy O.","non-dropping-particle":"","parse-names":false,"suffix":""},{"dropping-particle":"","family":"Steketee","given":"Gail","non-dropping-particle":"","parse-names":false,"suffix":""},{"dropping-particle":"","family":"Muroff","given":"Jordana","non-dropping-particle":"","parse-names":false,"suffix":""}],"container-title":"Depression and Anxiety","id":"ITEM-1","issued":{"date-parts":[["2015"]]},"page":"158-166","title":"Cognitive behavioral therapy for hoarding disorder: A meta-analysis","type":"article-journal","volume":"32"},"uris":["http://www.mendeley.com/documents/?uuid=d6a717d0-bb9d-4ecf-ad4b-e4699b30f7a5"]}],"mendeley":{"formattedCitation":"(Tolin et al., 2015)","plainTextFormattedCitation":"(Tolin et al., 2015)","previouslyFormattedCitation":"(Tolin et al., 2015)"},"properties":{"noteIndex":0},"schema":"https://github.com/citation-style-language/schema/raw/master/csl-citation.json"}</w:instrText>
      </w:r>
      <w:r w:rsidR="007F66F8">
        <w:fldChar w:fldCharType="separate"/>
      </w:r>
      <w:r w:rsidR="007F66F8" w:rsidRPr="007F66F8">
        <w:rPr>
          <w:noProof/>
        </w:rPr>
        <w:t>(Tolin et al., 2015)</w:t>
      </w:r>
      <w:r w:rsidR="007F66F8">
        <w:fldChar w:fldCharType="end"/>
      </w:r>
      <w:r w:rsidR="007F66F8">
        <w:t>.</w:t>
      </w:r>
      <w:r w:rsidRPr="004D6404">
        <w:t xml:space="preserve"> The problem with such sample homogeneity is that generalization of findings to other groups is limited. For example, we cannot be certain a similar treatment will also lead to improvement in hoarding-related psychological inflexibility in a sample that largely identifies differently from female and White. </w:t>
      </w:r>
      <w:r w:rsidR="005578EA">
        <w:t>Also, educational background was not assessed in this study</w:t>
      </w:r>
      <w:r w:rsidR="004A44E1">
        <w:t xml:space="preserve">, and it is possible </w:t>
      </w:r>
      <w:r w:rsidR="004A44E1">
        <w:lastRenderedPageBreak/>
        <w:t>that</w:t>
      </w:r>
      <w:r w:rsidR="005928C2">
        <w:t xml:space="preserve"> acceptability or efficacy of the self-help intervention would differ depending on educational variables such as reading level.</w:t>
      </w:r>
    </w:p>
    <w:p w14:paraId="61234F99" w14:textId="77777777" w:rsidR="00482658" w:rsidRPr="00DA0C9F" w:rsidRDefault="00482658" w:rsidP="00482658">
      <w:pPr>
        <w:spacing w:line="480" w:lineRule="auto"/>
      </w:pPr>
      <w:r>
        <w:tab/>
        <w:t>Overall, this study provides a key initial test of the psychological inflexibility model applied to hoarding disorder through examining processes of change for an ACT-based intervention. These findings highlight the relationship of psychological inflexibility to hoarding symptoms and provide some preliminary data suggesting that reducing psychological inflexibility may lead to improvements in symptoms. It also suggests that ACT can effectively target self-stigma among individuals with hoarding and that some aspects of self-stigma may relate to hoarding severity. Future research is needed to continue to further clarify which processes of change are most relevant to the course of hoarding disorder, and how they can most effectively be engaged.</w:t>
      </w:r>
      <w:r>
        <w:rPr>
          <w:b/>
        </w:rPr>
        <w:br w:type="page"/>
      </w:r>
    </w:p>
    <w:p w14:paraId="717F176A" w14:textId="3954BF85" w:rsidR="00462A25" w:rsidRPr="00A829B3" w:rsidRDefault="00462A25" w:rsidP="00891052">
      <w:pPr>
        <w:spacing w:line="480" w:lineRule="auto"/>
        <w:contextualSpacing/>
        <w:jc w:val="center"/>
        <w:rPr>
          <w:b/>
        </w:rPr>
      </w:pPr>
      <w:r w:rsidRPr="00A829B3">
        <w:rPr>
          <w:b/>
        </w:rPr>
        <w:lastRenderedPageBreak/>
        <w:t>References</w:t>
      </w:r>
    </w:p>
    <w:p w14:paraId="11726FEF" w14:textId="0E63D5B0" w:rsidR="00482658" w:rsidRPr="00482658" w:rsidRDefault="004741D5" w:rsidP="00482658">
      <w:pPr>
        <w:widowControl w:val="0"/>
        <w:autoSpaceDE w:val="0"/>
        <w:autoSpaceDN w:val="0"/>
        <w:adjustRightInd w:val="0"/>
        <w:spacing w:line="480" w:lineRule="auto"/>
        <w:ind w:left="480" w:hanging="480"/>
        <w:rPr>
          <w:noProof/>
        </w:rPr>
      </w:pPr>
      <w:r>
        <w:fldChar w:fldCharType="begin" w:fldLock="1"/>
      </w:r>
      <w:r>
        <w:instrText xml:space="preserve">ADDIN Mendeley Bibliography CSL_BIBLIOGRAPHY </w:instrText>
      </w:r>
      <w:r>
        <w:fldChar w:fldCharType="separate"/>
      </w:r>
      <w:r w:rsidR="00482658" w:rsidRPr="00482658">
        <w:rPr>
          <w:noProof/>
        </w:rPr>
        <w:t xml:space="preserve">American Psychiatric Association. (2013). </w:t>
      </w:r>
      <w:r w:rsidR="00482658" w:rsidRPr="00482658">
        <w:rPr>
          <w:i/>
          <w:iCs/>
          <w:noProof/>
        </w:rPr>
        <w:t>Diagnostic and statistical manual of mental disorders</w:t>
      </w:r>
      <w:r w:rsidR="00482658" w:rsidRPr="00482658">
        <w:rPr>
          <w:noProof/>
        </w:rPr>
        <w:t xml:space="preserve"> (5th ed.). American Psychiatric Publishing.</w:t>
      </w:r>
    </w:p>
    <w:p w14:paraId="6E3CE66F" w14:textId="77777777" w:rsidR="00482658" w:rsidRPr="00482658" w:rsidRDefault="00482658" w:rsidP="00482658">
      <w:pPr>
        <w:widowControl w:val="0"/>
        <w:autoSpaceDE w:val="0"/>
        <w:autoSpaceDN w:val="0"/>
        <w:adjustRightInd w:val="0"/>
        <w:spacing w:line="480" w:lineRule="auto"/>
        <w:ind w:left="480" w:hanging="480"/>
        <w:rPr>
          <w:noProof/>
        </w:rPr>
      </w:pPr>
      <w:r w:rsidRPr="00482658">
        <w:rPr>
          <w:noProof/>
        </w:rPr>
        <w:t xml:space="preserve">Baer, R. A., Smith, G. T., Hopkins, J., Krietemeyer, J., &amp; Toney, L. (2006). Using self-report assessment methods to explore facets of mindfulness. </w:t>
      </w:r>
      <w:r w:rsidRPr="00482658">
        <w:rPr>
          <w:i/>
          <w:iCs/>
          <w:noProof/>
        </w:rPr>
        <w:t>Assessment</w:t>
      </w:r>
      <w:r w:rsidRPr="00482658">
        <w:rPr>
          <w:noProof/>
        </w:rPr>
        <w:t xml:space="preserve">, </w:t>
      </w:r>
      <w:r w:rsidRPr="00482658">
        <w:rPr>
          <w:i/>
          <w:iCs/>
          <w:noProof/>
        </w:rPr>
        <w:t>13</w:t>
      </w:r>
      <w:r w:rsidRPr="00482658">
        <w:rPr>
          <w:noProof/>
        </w:rPr>
        <w:t>, 27–45. https://doi.org/10.1177/1073191105283504</w:t>
      </w:r>
    </w:p>
    <w:p w14:paraId="7BBC73BB" w14:textId="77777777" w:rsidR="00B36276" w:rsidRDefault="00482658" w:rsidP="00B36276">
      <w:pPr>
        <w:widowControl w:val="0"/>
        <w:autoSpaceDE w:val="0"/>
        <w:autoSpaceDN w:val="0"/>
        <w:adjustRightInd w:val="0"/>
        <w:spacing w:line="480" w:lineRule="auto"/>
        <w:ind w:left="480" w:hanging="480"/>
        <w:rPr>
          <w:noProof/>
        </w:rPr>
      </w:pPr>
      <w:r w:rsidRPr="00482658">
        <w:rPr>
          <w:noProof/>
        </w:rPr>
        <w:t xml:space="preserve">Bates, S., Chang, W. C., Hamilton, C. E., &amp; Chasson, G. S. (2021). Hoarding disorder and co-occurring medical conditions: A systematic review. </w:t>
      </w:r>
      <w:r w:rsidRPr="00482658">
        <w:rPr>
          <w:i/>
          <w:iCs/>
          <w:noProof/>
        </w:rPr>
        <w:t>Journal of Obsessive-Compulsive and Related Disorders</w:t>
      </w:r>
      <w:r w:rsidRPr="00482658">
        <w:rPr>
          <w:noProof/>
        </w:rPr>
        <w:t xml:space="preserve">, </w:t>
      </w:r>
      <w:r w:rsidRPr="00482658">
        <w:rPr>
          <w:i/>
          <w:iCs/>
          <w:noProof/>
        </w:rPr>
        <w:t>30</w:t>
      </w:r>
      <w:r w:rsidRPr="00482658">
        <w:rPr>
          <w:noProof/>
        </w:rPr>
        <w:t>, 100661. https://doi.org/10.1016/j.jocrd.2021.100661</w:t>
      </w:r>
    </w:p>
    <w:p w14:paraId="1292C3A7" w14:textId="0C22506F" w:rsidR="00B36276" w:rsidRPr="00482658" w:rsidRDefault="00B36276" w:rsidP="000A45A0">
      <w:pPr>
        <w:widowControl w:val="0"/>
        <w:autoSpaceDE w:val="0"/>
        <w:autoSpaceDN w:val="0"/>
        <w:adjustRightInd w:val="0"/>
        <w:spacing w:line="480" w:lineRule="auto"/>
        <w:ind w:left="480" w:hanging="480"/>
        <w:rPr>
          <w:noProof/>
        </w:rPr>
      </w:pPr>
      <w:r>
        <w:t xml:space="preserve">Bond, F. W., Hayes, S. C., Baer, R. A., Carpenter, K. M., Guenole, N., Orcutt, H. K., ... &amp; Zettle, R. D. (2011). Preliminary psychometric properties of the Acceptance and Action Questionnaire–II: A revised measure of psychological inflexibility and experiential avoidance. </w:t>
      </w:r>
      <w:r>
        <w:rPr>
          <w:i/>
          <w:iCs/>
        </w:rPr>
        <w:t>Behavior therapy</w:t>
      </w:r>
      <w:r>
        <w:t xml:space="preserve">, </w:t>
      </w:r>
      <w:r>
        <w:rPr>
          <w:i/>
          <w:iCs/>
        </w:rPr>
        <w:t>42</w:t>
      </w:r>
      <w:r>
        <w:t>(4), 676-688.</w:t>
      </w:r>
    </w:p>
    <w:p w14:paraId="758FFF3E" w14:textId="77777777" w:rsidR="00482658" w:rsidRPr="00482658" w:rsidRDefault="00482658" w:rsidP="00482658">
      <w:pPr>
        <w:widowControl w:val="0"/>
        <w:autoSpaceDE w:val="0"/>
        <w:autoSpaceDN w:val="0"/>
        <w:adjustRightInd w:val="0"/>
        <w:spacing w:line="480" w:lineRule="auto"/>
        <w:ind w:left="480" w:hanging="480"/>
        <w:rPr>
          <w:noProof/>
        </w:rPr>
      </w:pPr>
      <w:r w:rsidRPr="00482658">
        <w:rPr>
          <w:noProof/>
        </w:rPr>
        <w:t xml:space="preserve">Chasson, G. S., Guy, A. A., Bates, S., &amp; Corrigan, P. W. (2018). They aren’t like me, they are bad, and they are to blame: A theoretically-informed study of stigma of hoarding disorder and obsessive-compulsive disorder. </w:t>
      </w:r>
      <w:r w:rsidRPr="00482658">
        <w:rPr>
          <w:i/>
          <w:iCs/>
          <w:noProof/>
        </w:rPr>
        <w:t>Journal of Obsessive-Compulsive and Related Disorders</w:t>
      </w:r>
      <w:r w:rsidRPr="00482658">
        <w:rPr>
          <w:noProof/>
        </w:rPr>
        <w:t xml:space="preserve">, </w:t>
      </w:r>
      <w:r w:rsidRPr="00482658">
        <w:rPr>
          <w:i/>
          <w:iCs/>
          <w:noProof/>
        </w:rPr>
        <w:t>16</w:t>
      </w:r>
      <w:r w:rsidRPr="00482658">
        <w:rPr>
          <w:noProof/>
        </w:rPr>
        <w:t>, 56–65. https://doi.org/10.1016/j.jocrd.2017.12.006</w:t>
      </w:r>
    </w:p>
    <w:p w14:paraId="303FE110" w14:textId="77777777" w:rsidR="00482658" w:rsidRPr="00482658" w:rsidRDefault="00482658" w:rsidP="00482658">
      <w:pPr>
        <w:widowControl w:val="0"/>
        <w:autoSpaceDE w:val="0"/>
        <w:autoSpaceDN w:val="0"/>
        <w:adjustRightInd w:val="0"/>
        <w:spacing w:line="480" w:lineRule="auto"/>
        <w:ind w:left="480" w:hanging="480"/>
        <w:rPr>
          <w:noProof/>
        </w:rPr>
      </w:pPr>
      <w:r w:rsidRPr="00482658">
        <w:rPr>
          <w:noProof/>
        </w:rPr>
        <w:t xml:space="preserve">Cheung, S., &amp; Cheung, S. (2022). </w:t>
      </w:r>
      <w:r w:rsidRPr="00482658">
        <w:rPr>
          <w:i/>
          <w:iCs/>
          <w:noProof/>
        </w:rPr>
        <w:t>manymome: An R package for computing the indirect effects, conditional effects, and conditional indirect effects.</w:t>
      </w:r>
      <w:r w:rsidRPr="00482658">
        <w:rPr>
          <w:noProof/>
        </w:rPr>
        <w:t xml:space="preserve"> https://github.com/sfcheung/manymome/</w:t>
      </w:r>
    </w:p>
    <w:p w14:paraId="1DAA0040" w14:textId="77777777" w:rsidR="00482658" w:rsidRPr="00482658" w:rsidRDefault="00482658" w:rsidP="00482658">
      <w:pPr>
        <w:widowControl w:val="0"/>
        <w:autoSpaceDE w:val="0"/>
        <w:autoSpaceDN w:val="0"/>
        <w:adjustRightInd w:val="0"/>
        <w:spacing w:line="480" w:lineRule="auto"/>
        <w:ind w:left="480" w:hanging="480"/>
        <w:rPr>
          <w:noProof/>
        </w:rPr>
      </w:pPr>
      <w:r w:rsidRPr="00482658">
        <w:rPr>
          <w:noProof/>
        </w:rPr>
        <w:t xml:space="preserve">Craske, M. G., Niles, A. N., Burklund, L. J., Wolitzky-Taylor, K. B., Plumb Vilardaga, J. C., Arch, J. J., Saxbe, D. E., &amp; Lieberman, M. D. (2014). Randomized controlled trial of cognitive behavioral therapy and acceptance and commitment therapy for social phobia: </w:t>
      </w:r>
      <w:r w:rsidRPr="00482658">
        <w:rPr>
          <w:noProof/>
        </w:rPr>
        <w:lastRenderedPageBreak/>
        <w:t xml:space="preserve">Outcomes and moderators. </w:t>
      </w:r>
      <w:r w:rsidRPr="00482658">
        <w:rPr>
          <w:i/>
          <w:iCs/>
          <w:noProof/>
        </w:rPr>
        <w:t>Journal of Consulting and Clinical Psychology</w:t>
      </w:r>
      <w:r w:rsidRPr="00482658">
        <w:rPr>
          <w:noProof/>
        </w:rPr>
        <w:t xml:space="preserve">, </w:t>
      </w:r>
      <w:r w:rsidRPr="00482658">
        <w:rPr>
          <w:i/>
          <w:iCs/>
          <w:noProof/>
        </w:rPr>
        <w:t>82</w:t>
      </w:r>
      <w:r w:rsidRPr="00482658">
        <w:rPr>
          <w:noProof/>
        </w:rPr>
        <w:t>, 1034–1048.</w:t>
      </w:r>
    </w:p>
    <w:p w14:paraId="1DD85E22" w14:textId="77777777" w:rsidR="00482658" w:rsidRPr="00482658" w:rsidRDefault="00482658" w:rsidP="00482658">
      <w:pPr>
        <w:widowControl w:val="0"/>
        <w:autoSpaceDE w:val="0"/>
        <w:autoSpaceDN w:val="0"/>
        <w:adjustRightInd w:val="0"/>
        <w:spacing w:line="480" w:lineRule="auto"/>
        <w:ind w:left="480" w:hanging="480"/>
        <w:rPr>
          <w:noProof/>
        </w:rPr>
      </w:pPr>
      <w:r w:rsidRPr="00482658">
        <w:rPr>
          <w:noProof/>
        </w:rPr>
        <w:t xml:space="preserve">Frost, R. O., Ong, C., Steketee, G., &amp; Tolin, D. F. (2016). Behavioral and emotional consequences of thought listing versus cognitive restructuring during discarding decisions in hoarding disorder. </w:t>
      </w:r>
      <w:r w:rsidRPr="00482658">
        <w:rPr>
          <w:i/>
          <w:iCs/>
          <w:noProof/>
        </w:rPr>
        <w:t>Behaviour Research and Therapy</w:t>
      </w:r>
      <w:r w:rsidRPr="00482658">
        <w:rPr>
          <w:noProof/>
        </w:rPr>
        <w:t xml:space="preserve">, </w:t>
      </w:r>
      <w:r w:rsidRPr="00482658">
        <w:rPr>
          <w:i/>
          <w:iCs/>
          <w:noProof/>
        </w:rPr>
        <w:t>85</w:t>
      </w:r>
      <w:r w:rsidRPr="00482658">
        <w:rPr>
          <w:noProof/>
        </w:rPr>
        <w:t>, 13–22. https://doi.org/10.1016/j.brat.2016.08.003</w:t>
      </w:r>
    </w:p>
    <w:p w14:paraId="10A011C0" w14:textId="77777777" w:rsidR="00482658" w:rsidRPr="00482658" w:rsidRDefault="00482658" w:rsidP="00482658">
      <w:pPr>
        <w:widowControl w:val="0"/>
        <w:autoSpaceDE w:val="0"/>
        <w:autoSpaceDN w:val="0"/>
        <w:adjustRightInd w:val="0"/>
        <w:spacing w:line="480" w:lineRule="auto"/>
        <w:ind w:left="480" w:hanging="480"/>
        <w:rPr>
          <w:noProof/>
        </w:rPr>
      </w:pPr>
      <w:r w:rsidRPr="00482658">
        <w:rPr>
          <w:noProof/>
        </w:rPr>
        <w:t xml:space="preserve">Frost, R. O., Steketee, G., &amp; Grisham, J. (2004). Measurement of compulsive hoarding: Saving inventory-revised. </w:t>
      </w:r>
      <w:r w:rsidRPr="00482658">
        <w:rPr>
          <w:i/>
          <w:iCs/>
          <w:noProof/>
        </w:rPr>
        <w:t>Behaviour Research and Therapy</w:t>
      </w:r>
      <w:r w:rsidRPr="00482658">
        <w:rPr>
          <w:noProof/>
        </w:rPr>
        <w:t xml:space="preserve">, </w:t>
      </w:r>
      <w:r w:rsidRPr="00482658">
        <w:rPr>
          <w:i/>
          <w:iCs/>
          <w:noProof/>
        </w:rPr>
        <w:t>42</w:t>
      </w:r>
      <w:r w:rsidRPr="00482658">
        <w:rPr>
          <w:noProof/>
        </w:rPr>
        <w:t>, 1163–1182. https://doi.org/10.1016/j.brat.2003.07.006</w:t>
      </w:r>
    </w:p>
    <w:p w14:paraId="67D5AC98" w14:textId="77777777" w:rsidR="00482658" w:rsidRPr="00482658" w:rsidRDefault="00482658" w:rsidP="00482658">
      <w:pPr>
        <w:widowControl w:val="0"/>
        <w:autoSpaceDE w:val="0"/>
        <w:autoSpaceDN w:val="0"/>
        <w:adjustRightInd w:val="0"/>
        <w:spacing w:line="480" w:lineRule="auto"/>
        <w:ind w:left="480" w:hanging="480"/>
        <w:rPr>
          <w:noProof/>
        </w:rPr>
      </w:pPr>
      <w:r w:rsidRPr="00482658">
        <w:rPr>
          <w:noProof/>
        </w:rPr>
        <w:t xml:space="preserve">Frost, R. O., Steketee, G., &amp; Tolin, D. F. (2015). Comorbidity in hoarding disorder. </w:t>
      </w:r>
      <w:r w:rsidRPr="00482658">
        <w:rPr>
          <w:i/>
          <w:iCs/>
          <w:noProof/>
        </w:rPr>
        <w:t>Focus</w:t>
      </w:r>
      <w:r w:rsidRPr="00482658">
        <w:rPr>
          <w:noProof/>
        </w:rPr>
        <w:t xml:space="preserve">, </w:t>
      </w:r>
      <w:r w:rsidRPr="00482658">
        <w:rPr>
          <w:i/>
          <w:iCs/>
          <w:noProof/>
        </w:rPr>
        <w:t>13</w:t>
      </w:r>
      <w:r w:rsidRPr="00482658">
        <w:rPr>
          <w:noProof/>
        </w:rPr>
        <w:t>(2), 244–251. https://doi.org/10.1176/appi.focus.130218</w:t>
      </w:r>
    </w:p>
    <w:p w14:paraId="0B4B25C1" w14:textId="77777777" w:rsidR="00482658" w:rsidRPr="00482658" w:rsidRDefault="00482658" w:rsidP="00482658">
      <w:pPr>
        <w:widowControl w:val="0"/>
        <w:autoSpaceDE w:val="0"/>
        <w:autoSpaceDN w:val="0"/>
        <w:adjustRightInd w:val="0"/>
        <w:spacing w:line="480" w:lineRule="auto"/>
        <w:ind w:left="480" w:hanging="480"/>
        <w:rPr>
          <w:noProof/>
        </w:rPr>
      </w:pPr>
      <w:r w:rsidRPr="00482658">
        <w:rPr>
          <w:noProof/>
        </w:rPr>
        <w:t xml:space="preserve">Guy, W. (1976). </w:t>
      </w:r>
      <w:r w:rsidRPr="00482658">
        <w:rPr>
          <w:i/>
          <w:iCs/>
          <w:noProof/>
        </w:rPr>
        <w:t>Clinical Global Impressions ECDEU Assessment Manual for Psychopharmacology, Revised (DHEW Publ. No. ADM 76-338).</w:t>
      </w:r>
      <w:r w:rsidRPr="00482658">
        <w:rPr>
          <w:noProof/>
        </w:rPr>
        <w:t xml:space="preserve"> National Institute of Mental Health.</w:t>
      </w:r>
    </w:p>
    <w:p w14:paraId="5CF40B1E" w14:textId="77777777" w:rsidR="00482658" w:rsidRPr="00482658" w:rsidRDefault="00482658" w:rsidP="00482658">
      <w:pPr>
        <w:widowControl w:val="0"/>
        <w:autoSpaceDE w:val="0"/>
        <w:autoSpaceDN w:val="0"/>
        <w:adjustRightInd w:val="0"/>
        <w:spacing w:line="480" w:lineRule="auto"/>
        <w:ind w:left="480" w:hanging="480"/>
        <w:rPr>
          <w:noProof/>
        </w:rPr>
      </w:pPr>
      <w:r w:rsidRPr="00482658">
        <w:rPr>
          <w:noProof/>
        </w:rPr>
        <w:t xml:space="preserve">Hayes, S. C., Luoma, J. B., Bond, F. W., Masuda, A., &amp; Lillis, J. (2006). Acceptance and Commitment Therapy: Model, processes and outcomes. </w:t>
      </w:r>
      <w:r w:rsidRPr="00482658">
        <w:rPr>
          <w:i/>
          <w:iCs/>
          <w:noProof/>
        </w:rPr>
        <w:t>Behaviour Research and Therapy</w:t>
      </w:r>
      <w:r w:rsidRPr="00482658">
        <w:rPr>
          <w:noProof/>
        </w:rPr>
        <w:t xml:space="preserve">, </w:t>
      </w:r>
      <w:r w:rsidRPr="00482658">
        <w:rPr>
          <w:i/>
          <w:iCs/>
          <w:noProof/>
        </w:rPr>
        <w:t>44</w:t>
      </w:r>
      <w:r w:rsidRPr="00482658">
        <w:rPr>
          <w:noProof/>
        </w:rPr>
        <w:t>, 1–25. https://doi.org/10.1016/j.brat.2005.06.006</w:t>
      </w:r>
    </w:p>
    <w:p w14:paraId="195B6BF9" w14:textId="77777777" w:rsidR="00482658" w:rsidRPr="00482658" w:rsidRDefault="00482658" w:rsidP="00482658">
      <w:pPr>
        <w:widowControl w:val="0"/>
        <w:autoSpaceDE w:val="0"/>
        <w:autoSpaceDN w:val="0"/>
        <w:adjustRightInd w:val="0"/>
        <w:spacing w:line="480" w:lineRule="auto"/>
        <w:ind w:left="480" w:hanging="480"/>
        <w:rPr>
          <w:noProof/>
        </w:rPr>
      </w:pPr>
      <w:r w:rsidRPr="00482658">
        <w:rPr>
          <w:noProof/>
        </w:rPr>
        <w:t xml:space="preserve">Krafft, J., Ferrell, J., Levin, M. E., &amp; Twohig, M. P. (2018). Psychological inflexibility and stigma: A meta-analytic review. </w:t>
      </w:r>
      <w:r w:rsidRPr="00482658">
        <w:rPr>
          <w:i/>
          <w:iCs/>
          <w:noProof/>
        </w:rPr>
        <w:t>Journal of Contextual Behavioral Science</w:t>
      </w:r>
      <w:r w:rsidRPr="00482658">
        <w:rPr>
          <w:noProof/>
        </w:rPr>
        <w:t xml:space="preserve">, </w:t>
      </w:r>
      <w:r w:rsidRPr="00482658">
        <w:rPr>
          <w:i/>
          <w:iCs/>
          <w:noProof/>
        </w:rPr>
        <w:t>7</w:t>
      </w:r>
      <w:r w:rsidRPr="00482658">
        <w:rPr>
          <w:noProof/>
        </w:rPr>
        <w:t>, 15–28. https://doi.org/10.1016/j.jcbs.2017.11.002</w:t>
      </w:r>
    </w:p>
    <w:p w14:paraId="6349DC6A" w14:textId="77777777" w:rsidR="00482658" w:rsidRPr="00482658" w:rsidRDefault="00482658" w:rsidP="00482658">
      <w:pPr>
        <w:widowControl w:val="0"/>
        <w:autoSpaceDE w:val="0"/>
        <w:autoSpaceDN w:val="0"/>
        <w:adjustRightInd w:val="0"/>
        <w:spacing w:line="480" w:lineRule="auto"/>
        <w:ind w:left="480" w:hanging="480"/>
        <w:rPr>
          <w:noProof/>
        </w:rPr>
      </w:pPr>
      <w:r w:rsidRPr="00482658">
        <w:rPr>
          <w:noProof/>
        </w:rPr>
        <w:t xml:space="preserve">Krafft, J., Ong, C. W., Twohig, M. P., &amp; Levin, M. E. (2019). Assessing psychological inflexibility in hoarding: The Acceptance and Action Questionnaire for Hoarding (AAQH). </w:t>
      </w:r>
      <w:r w:rsidRPr="00482658">
        <w:rPr>
          <w:i/>
          <w:iCs/>
          <w:noProof/>
        </w:rPr>
        <w:t>Journal of Contextual Behavioral Science</w:t>
      </w:r>
      <w:r w:rsidRPr="00482658">
        <w:rPr>
          <w:noProof/>
        </w:rPr>
        <w:t xml:space="preserve">, </w:t>
      </w:r>
      <w:r w:rsidRPr="00482658">
        <w:rPr>
          <w:i/>
          <w:iCs/>
          <w:noProof/>
        </w:rPr>
        <w:t>12</w:t>
      </w:r>
      <w:r w:rsidRPr="00482658">
        <w:rPr>
          <w:noProof/>
        </w:rPr>
        <w:t>, 234–242. https://doi.org/10.1016/j.jcbs.2018.08.003</w:t>
      </w:r>
    </w:p>
    <w:p w14:paraId="2399A7C0" w14:textId="77777777" w:rsidR="00482658" w:rsidRPr="00482658" w:rsidRDefault="00482658" w:rsidP="00482658">
      <w:pPr>
        <w:widowControl w:val="0"/>
        <w:autoSpaceDE w:val="0"/>
        <w:autoSpaceDN w:val="0"/>
        <w:adjustRightInd w:val="0"/>
        <w:spacing w:line="480" w:lineRule="auto"/>
        <w:ind w:left="480" w:hanging="480"/>
        <w:rPr>
          <w:noProof/>
        </w:rPr>
      </w:pPr>
      <w:r w:rsidRPr="00482658">
        <w:rPr>
          <w:noProof/>
        </w:rPr>
        <w:lastRenderedPageBreak/>
        <w:t xml:space="preserve">Kuznetsova, A., Brockhoff, P. B., &amp; Christensen, R. H. B. (2017). lmerTest package: tests in linear mixed effects models. </w:t>
      </w:r>
      <w:r w:rsidRPr="00482658">
        <w:rPr>
          <w:i/>
          <w:iCs/>
          <w:noProof/>
        </w:rPr>
        <w:t>Journal of Statistical Software</w:t>
      </w:r>
      <w:r w:rsidRPr="00482658">
        <w:rPr>
          <w:noProof/>
        </w:rPr>
        <w:t xml:space="preserve">, </w:t>
      </w:r>
      <w:r w:rsidRPr="00482658">
        <w:rPr>
          <w:i/>
          <w:iCs/>
          <w:noProof/>
        </w:rPr>
        <w:t>82</w:t>
      </w:r>
      <w:r w:rsidRPr="00482658">
        <w:rPr>
          <w:noProof/>
        </w:rPr>
        <w:t>.</w:t>
      </w:r>
    </w:p>
    <w:p w14:paraId="58C5310A" w14:textId="77777777" w:rsidR="00482658" w:rsidRPr="00482658" w:rsidRDefault="00482658" w:rsidP="00482658">
      <w:pPr>
        <w:widowControl w:val="0"/>
        <w:autoSpaceDE w:val="0"/>
        <w:autoSpaceDN w:val="0"/>
        <w:adjustRightInd w:val="0"/>
        <w:spacing w:line="480" w:lineRule="auto"/>
        <w:ind w:left="480" w:hanging="480"/>
        <w:rPr>
          <w:noProof/>
        </w:rPr>
      </w:pPr>
      <w:r w:rsidRPr="00482658">
        <w:rPr>
          <w:noProof/>
        </w:rPr>
        <w:t xml:space="preserve">Levy, H. C., Worden, B. L., Gilliam, C. M., D’Urso, C., Steketee, G., Frost, R. O., &amp; Tolin, D. F. (2017). Changes in saving cognitions mediate hoarding symptom change in cognitive-behavioral therapy for hoarding disorder. </w:t>
      </w:r>
      <w:r w:rsidRPr="00482658">
        <w:rPr>
          <w:i/>
          <w:iCs/>
          <w:noProof/>
        </w:rPr>
        <w:t>Journal of Obsessive-Compulsive and Related Disorders</w:t>
      </w:r>
      <w:r w:rsidRPr="00482658">
        <w:rPr>
          <w:noProof/>
        </w:rPr>
        <w:t xml:space="preserve">, </w:t>
      </w:r>
      <w:r w:rsidRPr="00482658">
        <w:rPr>
          <w:i/>
          <w:iCs/>
          <w:noProof/>
        </w:rPr>
        <w:t>14</w:t>
      </w:r>
      <w:r w:rsidRPr="00482658">
        <w:rPr>
          <w:noProof/>
        </w:rPr>
        <w:t>(June), 112–118. https://doi.org/10.1016/j.jocrd.2017.06.008</w:t>
      </w:r>
    </w:p>
    <w:p w14:paraId="1FF720A1" w14:textId="77777777" w:rsidR="00482658" w:rsidRPr="00482658" w:rsidRDefault="00482658" w:rsidP="00482658">
      <w:pPr>
        <w:widowControl w:val="0"/>
        <w:autoSpaceDE w:val="0"/>
        <w:autoSpaceDN w:val="0"/>
        <w:adjustRightInd w:val="0"/>
        <w:spacing w:line="480" w:lineRule="auto"/>
        <w:ind w:left="480" w:hanging="480"/>
        <w:rPr>
          <w:noProof/>
        </w:rPr>
      </w:pPr>
      <w:r w:rsidRPr="00482658">
        <w:rPr>
          <w:noProof/>
        </w:rPr>
        <w:t xml:space="preserve">Lorah, J. (2018). Effect size measures for multilevel models: definition, interpretation, and TIMSS example. </w:t>
      </w:r>
      <w:r w:rsidRPr="00482658">
        <w:rPr>
          <w:i/>
          <w:iCs/>
          <w:noProof/>
        </w:rPr>
        <w:t>Large-Scale Assessments in Education</w:t>
      </w:r>
      <w:r w:rsidRPr="00482658">
        <w:rPr>
          <w:noProof/>
        </w:rPr>
        <w:t xml:space="preserve">, </w:t>
      </w:r>
      <w:r w:rsidRPr="00482658">
        <w:rPr>
          <w:i/>
          <w:iCs/>
          <w:noProof/>
        </w:rPr>
        <w:t>6</w:t>
      </w:r>
      <w:r w:rsidRPr="00482658">
        <w:rPr>
          <w:noProof/>
        </w:rPr>
        <w:t>. https://doi.org/10.1186/s40536-018-0061-2</w:t>
      </w:r>
    </w:p>
    <w:p w14:paraId="66AB8BB7" w14:textId="77777777" w:rsidR="00482658" w:rsidRDefault="00482658" w:rsidP="00482658">
      <w:pPr>
        <w:widowControl w:val="0"/>
        <w:autoSpaceDE w:val="0"/>
        <w:autoSpaceDN w:val="0"/>
        <w:adjustRightInd w:val="0"/>
        <w:spacing w:line="480" w:lineRule="auto"/>
        <w:ind w:left="480" w:hanging="480"/>
        <w:rPr>
          <w:noProof/>
        </w:rPr>
      </w:pPr>
      <w:r w:rsidRPr="00482658">
        <w:rPr>
          <w:noProof/>
        </w:rPr>
        <w:t xml:space="preserve">Molenaar, P. C. M. (2004). A manifesto on psychology as idiographic science: Bringing the person back into scientific psychology, this time forever. </w:t>
      </w:r>
      <w:r w:rsidRPr="00482658">
        <w:rPr>
          <w:i/>
          <w:iCs/>
          <w:noProof/>
        </w:rPr>
        <w:t>Measurement: Interdisciplinary Research &amp; Perspective</w:t>
      </w:r>
      <w:r w:rsidRPr="00482658">
        <w:rPr>
          <w:noProof/>
        </w:rPr>
        <w:t xml:space="preserve">, </w:t>
      </w:r>
      <w:r w:rsidRPr="00482658">
        <w:rPr>
          <w:i/>
          <w:iCs/>
          <w:noProof/>
        </w:rPr>
        <w:t>2</w:t>
      </w:r>
      <w:r w:rsidRPr="00482658">
        <w:rPr>
          <w:noProof/>
        </w:rPr>
        <w:t>(4), 201–218. https://doi.org/10.1207/s15366359mea0204_1</w:t>
      </w:r>
    </w:p>
    <w:p w14:paraId="684F9ADD" w14:textId="7A089F6E" w:rsidR="00601308" w:rsidRPr="00482658" w:rsidRDefault="001B2590" w:rsidP="001B2590">
      <w:pPr>
        <w:widowControl w:val="0"/>
        <w:autoSpaceDE w:val="0"/>
        <w:autoSpaceDN w:val="0"/>
        <w:adjustRightInd w:val="0"/>
        <w:spacing w:line="480" w:lineRule="auto"/>
        <w:ind w:left="480" w:hanging="480"/>
        <w:rPr>
          <w:noProof/>
        </w:rPr>
      </w:pPr>
      <w:r w:rsidRPr="002C4BF1">
        <w:rPr>
          <w:noProof/>
        </w:rPr>
        <w:t xml:space="preserve">Muroff, J., Steketee, G., Himle, J., &amp; Frost, R. (2010). Delivery of internet treatment for compulsive hoarding (D.I.T.C.H.). </w:t>
      </w:r>
      <w:r w:rsidRPr="002C4BF1">
        <w:rPr>
          <w:i/>
          <w:iCs/>
          <w:noProof/>
        </w:rPr>
        <w:t>Behaviour Research and Therapy</w:t>
      </w:r>
      <w:r w:rsidRPr="002C4BF1">
        <w:rPr>
          <w:noProof/>
        </w:rPr>
        <w:t xml:space="preserve">, </w:t>
      </w:r>
      <w:r w:rsidRPr="002C4BF1">
        <w:rPr>
          <w:i/>
          <w:iCs/>
          <w:noProof/>
        </w:rPr>
        <w:t>48</w:t>
      </w:r>
      <w:r w:rsidRPr="002C4BF1">
        <w:rPr>
          <w:noProof/>
        </w:rPr>
        <w:t>(1), 79–85. https://doi.org/10.1016/j.brat.2009.09.006</w:t>
      </w:r>
    </w:p>
    <w:p w14:paraId="5E1BD368" w14:textId="77777777" w:rsidR="00482658" w:rsidRPr="00482658" w:rsidRDefault="00482658" w:rsidP="00482658">
      <w:pPr>
        <w:widowControl w:val="0"/>
        <w:autoSpaceDE w:val="0"/>
        <w:autoSpaceDN w:val="0"/>
        <w:adjustRightInd w:val="0"/>
        <w:spacing w:line="480" w:lineRule="auto"/>
        <w:ind w:left="480" w:hanging="480"/>
        <w:rPr>
          <w:noProof/>
        </w:rPr>
      </w:pPr>
      <w:r w:rsidRPr="00482658">
        <w:rPr>
          <w:noProof/>
        </w:rPr>
        <w:t xml:space="preserve">Nutley, S. K., Read, M., Martinez, S., Eichenbaum, J., Nosheny, R. L., Weiner, M., Mackin, R. S., &amp; Mathews, C. A. (2022). Hoarding symptoms are associated with higher rates of disability than other medical and psychiatric disorders across multiple domains of functioning. </w:t>
      </w:r>
      <w:r w:rsidRPr="00482658">
        <w:rPr>
          <w:i/>
          <w:iCs/>
          <w:noProof/>
        </w:rPr>
        <w:t>BMC Psychiatry</w:t>
      </w:r>
      <w:r w:rsidRPr="00482658">
        <w:rPr>
          <w:noProof/>
        </w:rPr>
        <w:t xml:space="preserve">, </w:t>
      </w:r>
      <w:r w:rsidRPr="00482658">
        <w:rPr>
          <w:i/>
          <w:iCs/>
          <w:noProof/>
        </w:rPr>
        <w:t>22</w:t>
      </w:r>
      <w:r w:rsidRPr="00482658">
        <w:rPr>
          <w:noProof/>
        </w:rPr>
        <w:t>(1), 1–13. https://doi.org/10.1186/s12888-022-04287-2</w:t>
      </w:r>
    </w:p>
    <w:p w14:paraId="6C8A1425" w14:textId="77777777" w:rsidR="00482658" w:rsidRPr="00482658" w:rsidRDefault="00482658" w:rsidP="00482658">
      <w:pPr>
        <w:widowControl w:val="0"/>
        <w:autoSpaceDE w:val="0"/>
        <w:autoSpaceDN w:val="0"/>
        <w:adjustRightInd w:val="0"/>
        <w:spacing w:line="480" w:lineRule="auto"/>
        <w:ind w:left="480" w:hanging="480"/>
        <w:rPr>
          <w:noProof/>
        </w:rPr>
      </w:pPr>
      <w:r w:rsidRPr="00482658">
        <w:rPr>
          <w:noProof/>
        </w:rPr>
        <w:t xml:space="preserve">Ong, C. W., Blakey, S. M., Smith, B. M., Morrison, K. L., Bluett, E. J., Abramowitz, J. S., &amp; Twohig, M. P. (2020). Moderators and processes of change in traditional exposure and response prevention (ERP) versus acceptance and commitment therapy-informed ERP for obsessive-compulsive disorder. </w:t>
      </w:r>
      <w:r w:rsidRPr="00482658">
        <w:rPr>
          <w:i/>
          <w:iCs/>
          <w:noProof/>
        </w:rPr>
        <w:t>Journal of Obsessive-Compulsive and Related Disorders</w:t>
      </w:r>
      <w:r w:rsidRPr="00482658">
        <w:rPr>
          <w:noProof/>
        </w:rPr>
        <w:t xml:space="preserve">, </w:t>
      </w:r>
      <w:r w:rsidRPr="00482658">
        <w:rPr>
          <w:i/>
          <w:iCs/>
          <w:noProof/>
        </w:rPr>
        <w:lastRenderedPageBreak/>
        <w:t>24</w:t>
      </w:r>
      <w:r w:rsidRPr="00482658">
        <w:rPr>
          <w:noProof/>
        </w:rPr>
        <w:t>, 100499. https://doi.org/10.1016/j.jocrd.2019.100499</w:t>
      </w:r>
    </w:p>
    <w:p w14:paraId="0833C7B4" w14:textId="77777777" w:rsidR="00482658" w:rsidRPr="00482658" w:rsidRDefault="00482658" w:rsidP="00482658">
      <w:pPr>
        <w:widowControl w:val="0"/>
        <w:autoSpaceDE w:val="0"/>
        <w:autoSpaceDN w:val="0"/>
        <w:adjustRightInd w:val="0"/>
        <w:spacing w:line="480" w:lineRule="auto"/>
        <w:ind w:left="480" w:hanging="480"/>
        <w:rPr>
          <w:noProof/>
        </w:rPr>
      </w:pPr>
      <w:r w:rsidRPr="00482658">
        <w:rPr>
          <w:noProof/>
        </w:rPr>
        <w:t xml:space="preserve">Ong, C. W., Krafft, J., Levin, M. E., &amp; Twohig, M. P. (2018). An examination of the role of psychological inflexibility in hoarding using multiple mediator models. </w:t>
      </w:r>
      <w:r w:rsidRPr="00482658">
        <w:rPr>
          <w:i/>
          <w:iCs/>
          <w:noProof/>
        </w:rPr>
        <w:t>Journal of Cognitive Psychotherapy</w:t>
      </w:r>
      <w:r w:rsidRPr="00482658">
        <w:rPr>
          <w:noProof/>
        </w:rPr>
        <w:t xml:space="preserve">, </w:t>
      </w:r>
      <w:r w:rsidRPr="00482658">
        <w:rPr>
          <w:i/>
          <w:iCs/>
          <w:noProof/>
        </w:rPr>
        <w:t>32</w:t>
      </w:r>
      <w:r w:rsidRPr="00482658">
        <w:rPr>
          <w:noProof/>
        </w:rPr>
        <w:t>, 97–111. https://doi.org/10.1891/0889-8391.32.2.97</w:t>
      </w:r>
    </w:p>
    <w:p w14:paraId="45810C66" w14:textId="77777777" w:rsidR="00482658" w:rsidRPr="00482658" w:rsidRDefault="00482658" w:rsidP="00482658">
      <w:pPr>
        <w:widowControl w:val="0"/>
        <w:autoSpaceDE w:val="0"/>
        <w:autoSpaceDN w:val="0"/>
        <w:adjustRightInd w:val="0"/>
        <w:spacing w:line="480" w:lineRule="auto"/>
        <w:ind w:left="480" w:hanging="480"/>
        <w:rPr>
          <w:noProof/>
        </w:rPr>
      </w:pPr>
      <w:r w:rsidRPr="00482658">
        <w:rPr>
          <w:noProof/>
        </w:rPr>
        <w:t xml:space="preserve">Ong, C. W., Krafft, J., Levin, M. E., &amp; Twohig, M. P. (2021). A systematic review and psychometric evaluation of self-report measures for hoarding disorder. </w:t>
      </w:r>
      <w:r w:rsidRPr="00482658">
        <w:rPr>
          <w:i/>
          <w:iCs/>
          <w:noProof/>
        </w:rPr>
        <w:t>Journal of Affective Disorders</w:t>
      </w:r>
      <w:r w:rsidRPr="00482658">
        <w:rPr>
          <w:noProof/>
        </w:rPr>
        <w:t xml:space="preserve">, </w:t>
      </w:r>
      <w:r w:rsidRPr="00482658">
        <w:rPr>
          <w:i/>
          <w:iCs/>
          <w:noProof/>
        </w:rPr>
        <w:t>290</w:t>
      </w:r>
      <w:r w:rsidRPr="00482658">
        <w:rPr>
          <w:noProof/>
        </w:rPr>
        <w:t>(April), 136–148. https://doi.org/10.1016/j.jad.2021.04.082</w:t>
      </w:r>
    </w:p>
    <w:p w14:paraId="02C56DE4" w14:textId="77777777" w:rsidR="00482658" w:rsidRPr="00482658" w:rsidRDefault="00482658" w:rsidP="00482658">
      <w:pPr>
        <w:widowControl w:val="0"/>
        <w:autoSpaceDE w:val="0"/>
        <w:autoSpaceDN w:val="0"/>
        <w:adjustRightInd w:val="0"/>
        <w:spacing w:line="480" w:lineRule="auto"/>
        <w:ind w:left="480" w:hanging="480"/>
        <w:rPr>
          <w:noProof/>
        </w:rPr>
      </w:pPr>
      <w:r w:rsidRPr="00482658">
        <w:rPr>
          <w:noProof/>
        </w:rPr>
        <w:t xml:space="preserve">Ong, C. W., Krafft, J., Panoussi, F., Petersen, J. M., Levin, M. E., &amp; Twohig, M. P. (2021). In-person and online-delivered acceptance and commitment therapy for hoarding disorder: A multiple baseline study. </w:t>
      </w:r>
      <w:r w:rsidRPr="00482658">
        <w:rPr>
          <w:i/>
          <w:iCs/>
          <w:noProof/>
        </w:rPr>
        <w:t>Journal of Contextual Behavioral Science</w:t>
      </w:r>
      <w:r w:rsidRPr="00482658">
        <w:rPr>
          <w:noProof/>
        </w:rPr>
        <w:t xml:space="preserve">, </w:t>
      </w:r>
      <w:r w:rsidRPr="00482658">
        <w:rPr>
          <w:i/>
          <w:iCs/>
          <w:noProof/>
        </w:rPr>
        <w:t>20</w:t>
      </w:r>
      <w:r w:rsidRPr="00482658">
        <w:rPr>
          <w:noProof/>
        </w:rPr>
        <w:t>, 108–117.</w:t>
      </w:r>
    </w:p>
    <w:p w14:paraId="6B156638" w14:textId="77777777" w:rsidR="00482658" w:rsidRPr="00482658" w:rsidRDefault="00482658" w:rsidP="00482658">
      <w:pPr>
        <w:widowControl w:val="0"/>
        <w:autoSpaceDE w:val="0"/>
        <w:autoSpaceDN w:val="0"/>
        <w:adjustRightInd w:val="0"/>
        <w:spacing w:line="480" w:lineRule="auto"/>
        <w:ind w:left="480" w:hanging="480"/>
        <w:rPr>
          <w:noProof/>
        </w:rPr>
      </w:pPr>
      <w:r w:rsidRPr="00482658">
        <w:rPr>
          <w:noProof/>
        </w:rPr>
        <w:t xml:space="preserve">Ong, C. W., Pang, S., Sagayadevan, V., Chong, S. A., &amp; Subramaniam, M. (2015). Functioning and quality of life in hoarding: A systematic review. </w:t>
      </w:r>
      <w:r w:rsidRPr="00482658">
        <w:rPr>
          <w:i/>
          <w:iCs/>
          <w:noProof/>
        </w:rPr>
        <w:t>Journal of Anxiety Disorders</w:t>
      </w:r>
      <w:r w:rsidRPr="00482658">
        <w:rPr>
          <w:noProof/>
        </w:rPr>
        <w:t xml:space="preserve">, </w:t>
      </w:r>
      <w:r w:rsidRPr="00482658">
        <w:rPr>
          <w:i/>
          <w:iCs/>
          <w:noProof/>
        </w:rPr>
        <w:t>32</w:t>
      </w:r>
      <w:r w:rsidRPr="00482658">
        <w:rPr>
          <w:noProof/>
        </w:rPr>
        <w:t>, 17–30. https://doi.org/10.1016/j.janxdis.2014.12.003</w:t>
      </w:r>
    </w:p>
    <w:p w14:paraId="2EFF5A7F" w14:textId="77777777" w:rsidR="00482658" w:rsidRPr="00482658" w:rsidRDefault="00482658" w:rsidP="00482658">
      <w:pPr>
        <w:widowControl w:val="0"/>
        <w:autoSpaceDE w:val="0"/>
        <w:autoSpaceDN w:val="0"/>
        <w:adjustRightInd w:val="0"/>
        <w:spacing w:line="480" w:lineRule="auto"/>
        <w:ind w:left="480" w:hanging="480"/>
        <w:rPr>
          <w:noProof/>
        </w:rPr>
      </w:pPr>
      <w:r w:rsidRPr="00482658">
        <w:rPr>
          <w:noProof/>
        </w:rPr>
        <w:t xml:space="preserve">Postlethwaite, A., Kellett, S., &amp; Mataix-Cols, D. (2019). Prevalence of hoarding disorder: A systematic review and meta-analysis. </w:t>
      </w:r>
      <w:r w:rsidRPr="00482658">
        <w:rPr>
          <w:i/>
          <w:iCs/>
          <w:noProof/>
        </w:rPr>
        <w:t>Journal of Affective Disorders</w:t>
      </w:r>
      <w:r w:rsidRPr="00482658">
        <w:rPr>
          <w:noProof/>
        </w:rPr>
        <w:t xml:space="preserve">, </w:t>
      </w:r>
      <w:r w:rsidRPr="00482658">
        <w:rPr>
          <w:i/>
          <w:iCs/>
          <w:noProof/>
        </w:rPr>
        <w:t>256</w:t>
      </w:r>
      <w:r w:rsidRPr="00482658">
        <w:rPr>
          <w:noProof/>
        </w:rPr>
        <w:t>(2019), 309–316. https://doi.org/10.1016/j.jad.2019.06.004</w:t>
      </w:r>
    </w:p>
    <w:p w14:paraId="153F9720" w14:textId="77777777" w:rsidR="00482658" w:rsidRPr="00482658" w:rsidRDefault="00482658" w:rsidP="00482658">
      <w:pPr>
        <w:widowControl w:val="0"/>
        <w:autoSpaceDE w:val="0"/>
        <w:autoSpaceDN w:val="0"/>
        <w:adjustRightInd w:val="0"/>
        <w:spacing w:line="480" w:lineRule="auto"/>
        <w:ind w:left="480" w:hanging="480"/>
        <w:rPr>
          <w:noProof/>
        </w:rPr>
      </w:pPr>
      <w:r w:rsidRPr="00482658">
        <w:rPr>
          <w:noProof/>
        </w:rPr>
        <w:t xml:space="preserve">R Core Team. (2018). </w:t>
      </w:r>
      <w:r w:rsidRPr="00482658">
        <w:rPr>
          <w:i/>
          <w:iCs/>
          <w:noProof/>
        </w:rPr>
        <w:t>R: A language and environment for statistical computing</w:t>
      </w:r>
      <w:r w:rsidRPr="00482658">
        <w:rPr>
          <w:noProof/>
        </w:rPr>
        <w:t>. R Foundation for Statistical Computing.</w:t>
      </w:r>
    </w:p>
    <w:p w14:paraId="43956A10" w14:textId="77777777" w:rsidR="00482658" w:rsidRPr="00482658" w:rsidRDefault="00482658" w:rsidP="00482658">
      <w:pPr>
        <w:widowControl w:val="0"/>
        <w:autoSpaceDE w:val="0"/>
        <w:autoSpaceDN w:val="0"/>
        <w:adjustRightInd w:val="0"/>
        <w:spacing w:line="480" w:lineRule="auto"/>
        <w:ind w:left="480" w:hanging="480"/>
        <w:rPr>
          <w:noProof/>
        </w:rPr>
      </w:pPr>
      <w:r w:rsidRPr="00482658">
        <w:rPr>
          <w:noProof/>
        </w:rPr>
        <w:t xml:space="preserve">Rodgers, N., McDonald, S., &amp; Wootton, B. M. (2021). Cognitive behavioral therapy for hoarding disorder: An updated meta-analysis. </w:t>
      </w:r>
      <w:r w:rsidRPr="00482658">
        <w:rPr>
          <w:i/>
          <w:iCs/>
          <w:noProof/>
        </w:rPr>
        <w:t>Journal of Affective Disorders</w:t>
      </w:r>
      <w:r w:rsidRPr="00482658">
        <w:rPr>
          <w:noProof/>
        </w:rPr>
        <w:t xml:space="preserve">, </w:t>
      </w:r>
      <w:r w:rsidRPr="00482658">
        <w:rPr>
          <w:i/>
          <w:iCs/>
          <w:noProof/>
        </w:rPr>
        <w:t>290</w:t>
      </w:r>
      <w:r w:rsidRPr="00482658">
        <w:rPr>
          <w:noProof/>
        </w:rPr>
        <w:t>, 128–135. https://doi.org/10.1002/da.22327</w:t>
      </w:r>
    </w:p>
    <w:p w14:paraId="5612AD92" w14:textId="77777777" w:rsidR="00482658" w:rsidRPr="00482658" w:rsidRDefault="00482658" w:rsidP="00482658">
      <w:pPr>
        <w:widowControl w:val="0"/>
        <w:autoSpaceDE w:val="0"/>
        <w:autoSpaceDN w:val="0"/>
        <w:adjustRightInd w:val="0"/>
        <w:spacing w:line="480" w:lineRule="auto"/>
        <w:ind w:left="480" w:hanging="480"/>
        <w:rPr>
          <w:noProof/>
        </w:rPr>
      </w:pPr>
      <w:r w:rsidRPr="00482658">
        <w:rPr>
          <w:noProof/>
        </w:rPr>
        <w:t xml:space="preserve">Rosseel, Y. (2012). lavaan: An R Package for Structural Equation Modeling. </w:t>
      </w:r>
      <w:r w:rsidRPr="00482658">
        <w:rPr>
          <w:i/>
          <w:iCs/>
          <w:noProof/>
        </w:rPr>
        <w:t>Journal of Statistical Software</w:t>
      </w:r>
      <w:r w:rsidRPr="00482658">
        <w:rPr>
          <w:noProof/>
        </w:rPr>
        <w:t xml:space="preserve">, </w:t>
      </w:r>
      <w:r w:rsidRPr="00482658">
        <w:rPr>
          <w:i/>
          <w:iCs/>
          <w:noProof/>
        </w:rPr>
        <w:t>48</w:t>
      </w:r>
      <w:r w:rsidRPr="00482658">
        <w:rPr>
          <w:noProof/>
        </w:rPr>
        <w:t>, 1–36.</w:t>
      </w:r>
    </w:p>
    <w:p w14:paraId="25999800" w14:textId="77777777" w:rsidR="00482658" w:rsidRPr="00482658" w:rsidRDefault="00482658" w:rsidP="00482658">
      <w:pPr>
        <w:widowControl w:val="0"/>
        <w:autoSpaceDE w:val="0"/>
        <w:autoSpaceDN w:val="0"/>
        <w:adjustRightInd w:val="0"/>
        <w:spacing w:line="480" w:lineRule="auto"/>
        <w:ind w:left="480" w:hanging="480"/>
        <w:rPr>
          <w:noProof/>
        </w:rPr>
      </w:pPr>
      <w:r w:rsidRPr="00482658">
        <w:rPr>
          <w:noProof/>
        </w:rPr>
        <w:lastRenderedPageBreak/>
        <w:t xml:space="preserve">Steketee, G., Frost, R. O., Tolin, D. F., Rasmussen, J. L., &amp; Brown, T. A. (2010). Waitlist-controlled trial of cognitive behavior therapy for hoarding disorder. </w:t>
      </w:r>
      <w:r w:rsidRPr="00482658">
        <w:rPr>
          <w:i/>
          <w:iCs/>
          <w:noProof/>
        </w:rPr>
        <w:t>Depression and Anxiety</w:t>
      </w:r>
      <w:r w:rsidRPr="00482658">
        <w:rPr>
          <w:noProof/>
        </w:rPr>
        <w:t xml:space="preserve">, </w:t>
      </w:r>
      <w:r w:rsidRPr="00482658">
        <w:rPr>
          <w:i/>
          <w:iCs/>
          <w:noProof/>
        </w:rPr>
        <w:t>27</w:t>
      </w:r>
      <w:r w:rsidRPr="00482658">
        <w:rPr>
          <w:noProof/>
        </w:rPr>
        <w:t>(5), 476–484. https://doi.org/10.1002/da.20673.Waitlist-Controlled</w:t>
      </w:r>
    </w:p>
    <w:p w14:paraId="1069094D" w14:textId="77777777" w:rsidR="00482658" w:rsidRPr="00482658" w:rsidRDefault="00482658" w:rsidP="00482658">
      <w:pPr>
        <w:widowControl w:val="0"/>
        <w:autoSpaceDE w:val="0"/>
        <w:autoSpaceDN w:val="0"/>
        <w:adjustRightInd w:val="0"/>
        <w:spacing w:line="480" w:lineRule="auto"/>
        <w:ind w:left="480" w:hanging="480"/>
        <w:rPr>
          <w:noProof/>
        </w:rPr>
      </w:pPr>
      <w:r w:rsidRPr="00482658">
        <w:rPr>
          <w:noProof/>
        </w:rPr>
        <w:t xml:space="preserve">Stockton, D., Kellett, S., Berrios, R., Sirois, F., Wilkinson, N., &amp; Miles, G. (2019). Identifying the underlying mechanisms of change during acceptance and commitment therapy (ACT): A systematic review of contemporary mediation studies. </w:t>
      </w:r>
      <w:r w:rsidRPr="00482658">
        <w:rPr>
          <w:i/>
          <w:iCs/>
          <w:noProof/>
        </w:rPr>
        <w:t>Behavioural and Cognitive Psychotherapy</w:t>
      </w:r>
      <w:r w:rsidRPr="00482658">
        <w:rPr>
          <w:noProof/>
        </w:rPr>
        <w:t xml:space="preserve">, </w:t>
      </w:r>
      <w:r w:rsidRPr="00482658">
        <w:rPr>
          <w:i/>
          <w:iCs/>
          <w:noProof/>
        </w:rPr>
        <w:t>47</w:t>
      </w:r>
      <w:r w:rsidRPr="00482658">
        <w:rPr>
          <w:noProof/>
        </w:rPr>
        <w:t>(3), 332–362. https://doi.org/10.1017/S1352465818000553</w:t>
      </w:r>
    </w:p>
    <w:p w14:paraId="2579D30F" w14:textId="77777777" w:rsidR="00A73874" w:rsidRDefault="00482658" w:rsidP="00A73874">
      <w:pPr>
        <w:widowControl w:val="0"/>
        <w:autoSpaceDE w:val="0"/>
        <w:autoSpaceDN w:val="0"/>
        <w:adjustRightInd w:val="0"/>
        <w:spacing w:line="480" w:lineRule="auto"/>
        <w:ind w:left="480" w:hanging="480"/>
        <w:rPr>
          <w:noProof/>
        </w:rPr>
      </w:pPr>
      <w:r w:rsidRPr="00482658">
        <w:rPr>
          <w:noProof/>
        </w:rPr>
        <w:t xml:space="preserve">Tolin, D. F., Frost, R. O., Steketee, G., &amp; Muroff, J. (2015). Cognitive behavioral therapy for hoarding disorder: A meta-analysis. </w:t>
      </w:r>
      <w:r w:rsidRPr="00482658">
        <w:rPr>
          <w:i/>
          <w:iCs/>
          <w:noProof/>
        </w:rPr>
        <w:t>Depression and Anxiety</w:t>
      </w:r>
      <w:r w:rsidRPr="00482658">
        <w:rPr>
          <w:noProof/>
        </w:rPr>
        <w:t xml:space="preserve">, </w:t>
      </w:r>
      <w:r w:rsidRPr="00482658">
        <w:rPr>
          <w:i/>
          <w:iCs/>
          <w:noProof/>
        </w:rPr>
        <w:t>32</w:t>
      </w:r>
      <w:r w:rsidRPr="00482658">
        <w:rPr>
          <w:noProof/>
        </w:rPr>
        <w:t>, 158–166. https://doi.org/10.1002/da.22327</w:t>
      </w:r>
    </w:p>
    <w:p w14:paraId="1B8F6C8A" w14:textId="0EC13779" w:rsidR="00A73874" w:rsidRDefault="00A73874" w:rsidP="007132B1">
      <w:pPr>
        <w:widowControl w:val="0"/>
        <w:autoSpaceDE w:val="0"/>
        <w:autoSpaceDN w:val="0"/>
        <w:adjustRightInd w:val="0"/>
        <w:spacing w:line="480" w:lineRule="auto"/>
        <w:ind w:left="480" w:hanging="480"/>
        <w:rPr>
          <w:noProof/>
        </w:rPr>
      </w:pPr>
      <w:r>
        <w:t xml:space="preserve">Tyndall, I., Waldeck, D., Pancani, L., Whelan, R., Roche, B., &amp; Dawson, D. L. (2019). The Acceptance and Action Questionnaire-II (AAQ-II) as a measure of experiential avoidance: Concerns over discriminant validity. </w:t>
      </w:r>
      <w:r>
        <w:rPr>
          <w:i/>
          <w:iCs/>
        </w:rPr>
        <w:t>Journal of Contextual Behavioral Science</w:t>
      </w:r>
      <w:r>
        <w:t xml:space="preserve">, </w:t>
      </w:r>
      <w:r>
        <w:rPr>
          <w:i/>
          <w:iCs/>
        </w:rPr>
        <w:t>12</w:t>
      </w:r>
      <w:r>
        <w:t>, 278-284.</w:t>
      </w:r>
    </w:p>
    <w:p w14:paraId="053DEBC0" w14:textId="77777777" w:rsidR="00A73874" w:rsidRPr="00482658" w:rsidRDefault="00A73874" w:rsidP="00482658">
      <w:pPr>
        <w:widowControl w:val="0"/>
        <w:autoSpaceDE w:val="0"/>
        <w:autoSpaceDN w:val="0"/>
        <w:adjustRightInd w:val="0"/>
        <w:spacing w:line="480" w:lineRule="auto"/>
        <w:ind w:left="480" w:hanging="480"/>
        <w:rPr>
          <w:noProof/>
        </w:rPr>
      </w:pPr>
    </w:p>
    <w:p w14:paraId="52232C24" w14:textId="318D2226" w:rsidR="00462A25" w:rsidRDefault="004741D5" w:rsidP="00C9262E">
      <w:pPr>
        <w:widowControl w:val="0"/>
        <w:autoSpaceDE w:val="0"/>
        <w:autoSpaceDN w:val="0"/>
        <w:adjustRightInd w:val="0"/>
        <w:spacing w:line="480" w:lineRule="auto"/>
        <w:ind w:left="480" w:hanging="480"/>
      </w:pPr>
      <w:r>
        <w:fldChar w:fldCharType="end"/>
      </w:r>
      <w:r w:rsidR="00462A25">
        <w:br w:type="page"/>
      </w:r>
    </w:p>
    <w:p w14:paraId="406F53C9" w14:textId="77777777" w:rsidR="0013128C" w:rsidRDefault="0013128C" w:rsidP="004A375A">
      <w:pPr>
        <w:rPr>
          <w:b/>
          <w:bCs/>
        </w:rPr>
        <w:sectPr w:rsidR="0013128C" w:rsidSect="001408BD">
          <w:headerReference w:type="default" r:id="rId9"/>
          <w:pgSz w:w="12240" w:h="15840"/>
          <w:pgMar w:top="1440" w:right="1440" w:bottom="1440" w:left="1440" w:header="1080" w:footer="720" w:gutter="0"/>
          <w:cols w:space="720"/>
          <w:docGrid w:linePitch="400"/>
        </w:sectPr>
      </w:pPr>
    </w:p>
    <w:p w14:paraId="5EBC368B" w14:textId="3535DFB1" w:rsidR="00162E29" w:rsidRDefault="00BA3FB6" w:rsidP="004A375A">
      <w:pPr>
        <w:rPr>
          <w:b/>
          <w:bCs/>
        </w:rPr>
      </w:pPr>
      <w:r w:rsidRPr="004A375A">
        <w:rPr>
          <w:b/>
          <w:bCs/>
        </w:rPr>
        <w:lastRenderedPageBreak/>
        <w:t>Table 1</w:t>
      </w:r>
    </w:p>
    <w:p w14:paraId="6ED35128" w14:textId="77777777" w:rsidR="00D72775" w:rsidRDefault="00D72775" w:rsidP="004A375A">
      <w:pPr>
        <w:rPr>
          <w:b/>
          <w:bCs/>
        </w:rPr>
      </w:pPr>
    </w:p>
    <w:p w14:paraId="233016AD" w14:textId="33EB5780" w:rsidR="00D72775" w:rsidRPr="00B020C4" w:rsidRDefault="00D72775" w:rsidP="00D72775">
      <w:pPr>
        <w:contextualSpacing/>
        <w:rPr>
          <w:b/>
          <w:bCs/>
          <w:i/>
          <w:iCs/>
        </w:rPr>
      </w:pPr>
      <w:r w:rsidRPr="00B020C4">
        <w:rPr>
          <w:b/>
          <w:bCs/>
          <w:i/>
          <w:iCs/>
        </w:rPr>
        <w:t xml:space="preserve">Descriptive Statistics by Group </w:t>
      </w:r>
      <w:r>
        <w:rPr>
          <w:b/>
          <w:bCs/>
          <w:i/>
          <w:iCs/>
        </w:rPr>
        <w:t>and Timepoint</w:t>
      </w:r>
    </w:p>
    <w:p w14:paraId="06E2AAD7" w14:textId="77777777" w:rsidR="00D72775" w:rsidRPr="007F5727" w:rsidRDefault="00D72775" w:rsidP="00D72775">
      <w:pPr>
        <w:contextualSpacing/>
        <w:rPr>
          <w:i/>
          <w:iCs/>
        </w:rPr>
      </w:pPr>
    </w:p>
    <w:tbl>
      <w:tblPr>
        <w:tblStyle w:val="TableGrid"/>
        <w:tblW w:w="5071"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4"/>
        <w:gridCol w:w="1391"/>
        <w:gridCol w:w="1606"/>
        <w:gridCol w:w="2148"/>
        <w:gridCol w:w="1427"/>
        <w:gridCol w:w="1611"/>
        <w:gridCol w:w="1391"/>
        <w:gridCol w:w="1606"/>
      </w:tblGrid>
      <w:tr w:rsidR="007D52FC" w:rsidRPr="00E33387" w14:paraId="401D4D67" w14:textId="77777777" w:rsidTr="00EF1372">
        <w:trPr>
          <w:trHeight w:val="199"/>
        </w:trPr>
        <w:tc>
          <w:tcPr>
            <w:tcW w:w="747" w:type="pct"/>
            <w:shd w:val="clear" w:color="auto" w:fill="auto"/>
            <w:vAlign w:val="center"/>
          </w:tcPr>
          <w:p w14:paraId="047CC57F" w14:textId="77777777" w:rsidR="004E5E32" w:rsidRPr="00E33387" w:rsidRDefault="004E5E32" w:rsidP="00EF1372">
            <w:pPr>
              <w:rPr>
                <w:sz w:val="20"/>
                <w:szCs w:val="20"/>
              </w:rPr>
            </w:pPr>
          </w:p>
        </w:tc>
        <w:tc>
          <w:tcPr>
            <w:tcW w:w="1140" w:type="pct"/>
            <w:gridSpan w:val="2"/>
            <w:tcBorders>
              <w:top w:val="single" w:sz="4" w:space="0" w:color="auto"/>
              <w:bottom w:val="single" w:sz="4" w:space="0" w:color="auto"/>
            </w:tcBorders>
            <w:shd w:val="clear" w:color="auto" w:fill="auto"/>
            <w:vAlign w:val="center"/>
          </w:tcPr>
          <w:p w14:paraId="41B15382" w14:textId="77777777" w:rsidR="004E5E32" w:rsidRPr="00E33387" w:rsidRDefault="004E5E32" w:rsidP="00EF1372">
            <w:pPr>
              <w:jc w:val="center"/>
              <w:rPr>
                <w:sz w:val="20"/>
                <w:szCs w:val="20"/>
              </w:rPr>
            </w:pPr>
            <w:r w:rsidRPr="00E33387">
              <w:rPr>
                <w:sz w:val="20"/>
                <w:szCs w:val="20"/>
              </w:rPr>
              <w:t>Baseline</w:t>
            </w:r>
          </w:p>
        </w:tc>
        <w:tc>
          <w:tcPr>
            <w:tcW w:w="817" w:type="pct"/>
            <w:shd w:val="clear" w:color="auto" w:fill="auto"/>
            <w:vAlign w:val="center"/>
          </w:tcPr>
          <w:p w14:paraId="4ADD68CF" w14:textId="77777777" w:rsidR="004E5E32" w:rsidRPr="00E33387" w:rsidRDefault="004E5E32" w:rsidP="00EF1372">
            <w:pPr>
              <w:jc w:val="center"/>
              <w:rPr>
                <w:sz w:val="20"/>
                <w:szCs w:val="20"/>
              </w:rPr>
            </w:pPr>
            <w:r w:rsidRPr="00E33387">
              <w:rPr>
                <w:sz w:val="20"/>
                <w:szCs w:val="20"/>
              </w:rPr>
              <w:t>Group comparison at baseline</w:t>
            </w:r>
          </w:p>
        </w:tc>
        <w:tc>
          <w:tcPr>
            <w:tcW w:w="1155" w:type="pct"/>
            <w:gridSpan w:val="2"/>
            <w:tcBorders>
              <w:top w:val="single" w:sz="4" w:space="0" w:color="auto"/>
              <w:bottom w:val="single" w:sz="4" w:space="0" w:color="auto"/>
            </w:tcBorders>
            <w:shd w:val="clear" w:color="auto" w:fill="auto"/>
            <w:vAlign w:val="center"/>
          </w:tcPr>
          <w:p w14:paraId="2B0AAB16" w14:textId="77777777" w:rsidR="004E5E32" w:rsidRPr="00E33387" w:rsidRDefault="004E5E32" w:rsidP="00EF1372">
            <w:pPr>
              <w:jc w:val="center"/>
              <w:rPr>
                <w:sz w:val="20"/>
                <w:szCs w:val="20"/>
              </w:rPr>
            </w:pPr>
            <w:r w:rsidRPr="00E33387">
              <w:rPr>
                <w:sz w:val="20"/>
                <w:szCs w:val="20"/>
              </w:rPr>
              <w:t>Posttreatment</w:t>
            </w:r>
          </w:p>
        </w:tc>
        <w:tc>
          <w:tcPr>
            <w:tcW w:w="1141" w:type="pct"/>
            <w:gridSpan w:val="2"/>
            <w:tcBorders>
              <w:top w:val="single" w:sz="4" w:space="0" w:color="auto"/>
              <w:bottom w:val="single" w:sz="4" w:space="0" w:color="auto"/>
            </w:tcBorders>
            <w:shd w:val="clear" w:color="auto" w:fill="auto"/>
            <w:vAlign w:val="center"/>
          </w:tcPr>
          <w:p w14:paraId="53523552" w14:textId="77777777" w:rsidR="004E5E32" w:rsidRPr="00E33387" w:rsidRDefault="004E5E32" w:rsidP="00EF1372">
            <w:pPr>
              <w:jc w:val="center"/>
              <w:rPr>
                <w:sz w:val="20"/>
                <w:szCs w:val="20"/>
              </w:rPr>
            </w:pPr>
            <w:r w:rsidRPr="00E33387">
              <w:rPr>
                <w:sz w:val="20"/>
                <w:szCs w:val="20"/>
              </w:rPr>
              <w:t>Follow-up</w:t>
            </w:r>
          </w:p>
        </w:tc>
      </w:tr>
      <w:tr w:rsidR="007D52FC" w:rsidRPr="00E33387" w14:paraId="2AE1F269" w14:textId="77777777" w:rsidTr="00EF1372">
        <w:trPr>
          <w:trHeight w:val="199"/>
        </w:trPr>
        <w:tc>
          <w:tcPr>
            <w:tcW w:w="747" w:type="pct"/>
            <w:tcBorders>
              <w:bottom w:val="single" w:sz="4" w:space="0" w:color="auto"/>
            </w:tcBorders>
            <w:shd w:val="clear" w:color="auto" w:fill="auto"/>
            <w:vAlign w:val="center"/>
          </w:tcPr>
          <w:p w14:paraId="573939BE" w14:textId="77777777" w:rsidR="004E5E32" w:rsidRPr="00E33387" w:rsidRDefault="004E5E32" w:rsidP="00EF1372">
            <w:pPr>
              <w:rPr>
                <w:sz w:val="20"/>
                <w:szCs w:val="20"/>
              </w:rPr>
            </w:pPr>
          </w:p>
        </w:tc>
        <w:tc>
          <w:tcPr>
            <w:tcW w:w="529" w:type="pct"/>
            <w:tcBorders>
              <w:top w:val="single" w:sz="4" w:space="0" w:color="auto"/>
              <w:bottom w:val="single" w:sz="4" w:space="0" w:color="auto"/>
            </w:tcBorders>
            <w:shd w:val="clear" w:color="auto" w:fill="auto"/>
            <w:vAlign w:val="center"/>
          </w:tcPr>
          <w:p w14:paraId="496921CA" w14:textId="77777777" w:rsidR="004E5E32" w:rsidRPr="00E33387" w:rsidRDefault="004E5E32" w:rsidP="00EF1372">
            <w:pPr>
              <w:jc w:val="center"/>
              <w:rPr>
                <w:sz w:val="20"/>
                <w:szCs w:val="20"/>
              </w:rPr>
            </w:pPr>
            <w:r w:rsidRPr="00E33387">
              <w:rPr>
                <w:sz w:val="20"/>
                <w:szCs w:val="20"/>
              </w:rPr>
              <w:t>ACT (n = 38)</w:t>
            </w:r>
          </w:p>
          <w:p w14:paraId="61420E35" w14:textId="77777777" w:rsidR="004E5E32" w:rsidRPr="00E33387" w:rsidRDefault="004E5E32" w:rsidP="00EF1372">
            <w:pPr>
              <w:jc w:val="center"/>
              <w:rPr>
                <w:sz w:val="20"/>
                <w:szCs w:val="20"/>
              </w:rPr>
            </w:pPr>
            <w:r w:rsidRPr="00E33387">
              <w:rPr>
                <w:sz w:val="20"/>
                <w:szCs w:val="20"/>
              </w:rPr>
              <w:t>M(SD)/%</w:t>
            </w:r>
          </w:p>
        </w:tc>
        <w:tc>
          <w:tcPr>
            <w:tcW w:w="611" w:type="pct"/>
            <w:tcBorders>
              <w:top w:val="single" w:sz="4" w:space="0" w:color="auto"/>
              <w:bottom w:val="single" w:sz="4" w:space="0" w:color="auto"/>
            </w:tcBorders>
            <w:shd w:val="clear" w:color="auto" w:fill="auto"/>
            <w:vAlign w:val="center"/>
          </w:tcPr>
          <w:p w14:paraId="3E280090" w14:textId="77777777" w:rsidR="004E5E32" w:rsidRPr="00E33387" w:rsidRDefault="004E5E32" w:rsidP="00EF1372">
            <w:pPr>
              <w:jc w:val="center"/>
              <w:rPr>
                <w:sz w:val="20"/>
                <w:szCs w:val="20"/>
              </w:rPr>
            </w:pPr>
            <w:r w:rsidRPr="00E33387">
              <w:rPr>
                <w:sz w:val="20"/>
                <w:szCs w:val="20"/>
              </w:rPr>
              <w:t>Waitlist (n = 35)</w:t>
            </w:r>
          </w:p>
          <w:p w14:paraId="1FAA7113" w14:textId="77777777" w:rsidR="004E5E32" w:rsidRPr="00E33387" w:rsidRDefault="004E5E32" w:rsidP="00EF1372">
            <w:pPr>
              <w:jc w:val="center"/>
              <w:rPr>
                <w:sz w:val="20"/>
                <w:szCs w:val="20"/>
              </w:rPr>
            </w:pPr>
            <w:r w:rsidRPr="00E33387">
              <w:rPr>
                <w:sz w:val="20"/>
                <w:szCs w:val="20"/>
              </w:rPr>
              <w:t>M(SD)/%</w:t>
            </w:r>
          </w:p>
        </w:tc>
        <w:tc>
          <w:tcPr>
            <w:tcW w:w="817" w:type="pct"/>
            <w:tcBorders>
              <w:bottom w:val="single" w:sz="4" w:space="0" w:color="auto"/>
            </w:tcBorders>
            <w:shd w:val="clear" w:color="auto" w:fill="auto"/>
            <w:vAlign w:val="center"/>
          </w:tcPr>
          <w:p w14:paraId="68C0BACB" w14:textId="77777777" w:rsidR="004E5E32" w:rsidRPr="00E33387" w:rsidRDefault="004E5E32" w:rsidP="00EF1372">
            <w:pPr>
              <w:jc w:val="center"/>
              <w:rPr>
                <w:sz w:val="20"/>
                <w:szCs w:val="20"/>
              </w:rPr>
            </w:pPr>
          </w:p>
        </w:tc>
        <w:tc>
          <w:tcPr>
            <w:tcW w:w="543" w:type="pct"/>
            <w:tcBorders>
              <w:top w:val="single" w:sz="4" w:space="0" w:color="auto"/>
              <w:bottom w:val="single" w:sz="4" w:space="0" w:color="auto"/>
            </w:tcBorders>
            <w:shd w:val="clear" w:color="auto" w:fill="auto"/>
            <w:vAlign w:val="center"/>
          </w:tcPr>
          <w:p w14:paraId="44CAF63B" w14:textId="77777777" w:rsidR="004E5E32" w:rsidRPr="00E33387" w:rsidRDefault="004E5E32" w:rsidP="00EF1372">
            <w:pPr>
              <w:jc w:val="center"/>
              <w:rPr>
                <w:sz w:val="20"/>
                <w:szCs w:val="20"/>
              </w:rPr>
            </w:pPr>
            <w:r w:rsidRPr="00E33387">
              <w:rPr>
                <w:sz w:val="20"/>
                <w:szCs w:val="20"/>
              </w:rPr>
              <w:t>ACT (n = 26)</w:t>
            </w:r>
          </w:p>
          <w:p w14:paraId="39551245" w14:textId="77777777" w:rsidR="004E5E32" w:rsidRPr="00E33387" w:rsidRDefault="004E5E32" w:rsidP="00EF1372">
            <w:pPr>
              <w:jc w:val="center"/>
              <w:rPr>
                <w:sz w:val="20"/>
                <w:szCs w:val="20"/>
              </w:rPr>
            </w:pPr>
            <w:r w:rsidRPr="00E33387">
              <w:rPr>
                <w:sz w:val="20"/>
                <w:szCs w:val="20"/>
              </w:rPr>
              <w:t>M(SD)/%</w:t>
            </w:r>
          </w:p>
        </w:tc>
        <w:tc>
          <w:tcPr>
            <w:tcW w:w="613" w:type="pct"/>
            <w:tcBorders>
              <w:top w:val="single" w:sz="4" w:space="0" w:color="auto"/>
              <w:bottom w:val="single" w:sz="4" w:space="0" w:color="auto"/>
            </w:tcBorders>
            <w:shd w:val="clear" w:color="auto" w:fill="auto"/>
            <w:vAlign w:val="center"/>
          </w:tcPr>
          <w:p w14:paraId="0FAABCEF" w14:textId="77777777" w:rsidR="004E5E32" w:rsidRPr="00E33387" w:rsidRDefault="004E5E32" w:rsidP="00EF1372">
            <w:pPr>
              <w:jc w:val="center"/>
              <w:rPr>
                <w:sz w:val="20"/>
                <w:szCs w:val="20"/>
              </w:rPr>
            </w:pPr>
            <w:r w:rsidRPr="00E33387">
              <w:rPr>
                <w:sz w:val="20"/>
                <w:szCs w:val="20"/>
              </w:rPr>
              <w:t>Waitlist (n = 26)</w:t>
            </w:r>
          </w:p>
          <w:p w14:paraId="241EC477" w14:textId="77777777" w:rsidR="004E5E32" w:rsidRPr="00E33387" w:rsidRDefault="004E5E32" w:rsidP="00EF1372">
            <w:pPr>
              <w:jc w:val="center"/>
              <w:rPr>
                <w:sz w:val="20"/>
                <w:szCs w:val="20"/>
              </w:rPr>
            </w:pPr>
            <w:r w:rsidRPr="00E33387">
              <w:rPr>
                <w:sz w:val="20"/>
                <w:szCs w:val="20"/>
              </w:rPr>
              <w:t>M(SD)/%</w:t>
            </w:r>
          </w:p>
        </w:tc>
        <w:tc>
          <w:tcPr>
            <w:tcW w:w="529" w:type="pct"/>
            <w:tcBorders>
              <w:top w:val="single" w:sz="4" w:space="0" w:color="auto"/>
              <w:bottom w:val="single" w:sz="4" w:space="0" w:color="auto"/>
            </w:tcBorders>
            <w:shd w:val="clear" w:color="auto" w:fill="auto"/>
            <w:vAlign w:val="center"/>
          </w:tcPr>
          <w:p w14:paraId="4B63C014" w14:textId="77777777" w:rsidR="004E5E32" w:rsidRPr="00E33387" w:rsidRDefault="004E5E32" w:rsidP="00EF1372">
            <w:pPr>
              <w:jc w:val="center"/>
              <w:rPr>
                <w:sz w:val="20"/>
                <w:szCs w:val="20"/>
              </w:rPr>
            </w:pPr>
            <w:r w:rsidRPr="00E33387">
              <w:rPr>
                <w:sz w:val="20"/>
                <w:szCs w:val="20"/>
              </w:rPr>
              <w:t>ACT (n = 25)</w:t>
            </w:r>
          </w:p>
          <w:p w14:paraId="4CCC979B" w14:textId="77777777" w:rsidR="004E5E32" w:rsidRPr="00E33387" w:rsidRDefault="004E5E32" w:rsidP="00EF1372">
            <w:pPr>
              <w:jc w:val="center"/>
              <w:rPr>
                <w:sz w:val="20"/>
                <w:szCs w:val="20"/>
              </w:rPr>
            </w:pPr>
            <w:r w:rsidRPr="00E33387">
              <w:rPr>
                <w:sz w:val="20"/>
                <w:szCs w:val="20"/>
              </w:rPr>
              <w:t>M(SD)/%</w:t>
            </w:r>
          </w:p>
        </w:tc>
        <w:tc>
          <w:tcPr>
            <w:tcW w:w="612" w:type="pct"/>
            <w:tcBorders>
              <w:top w:val="single" w:sz="4" w:space="0" w:color="auto"/>
              <w:bottom w:val="single" w:sz="4" w:space="0" w:color="auto"/>
            </w:tcBorders>
            <w:shd w:val="clear" w:color="auto" w:fill="auto"/>
            <w:vAlign w:val="center"/>
          </w:tcPr>
          <w:p w14:paraId="5FE0F511" w14:textId="77777777" w:rsidR="004E5E32" w:rsidRPr="00E33387" w:rsidRDefault="004E5E32" w:rsidP="00EF1372">
            <w:pPr>
              <w:jc w:val="center"/>
              <w:rPr>
                <w:sz w:val="20"/>
                <w:szCs w:val="20"/>
              </w:rPr>
            </w:pPr>
            <w:r w:rsidRPr="00E33387">
              <w:rPr>
                <w:sz w:val="20"/>
                <w:szCs w:val="20"/>
              </w:rPr>
              <w:t>Waitlist (n = 29)</w:t>
            </w:r>
          </w:p>
          <w:p w14:paraId="54266C42" w14:textId="77777777" w:rsidR="004E5E32" w:rsidRPr="00E33387" w:rsidRDefault="004E5E32" w:rsidP="00EF1372">
            <w:pPr>
              <w:jc w:val="center"/>
              <w:rPr>
                <w:sz w:val="20"/>
                <w:szCs w:val="20"/>
              </w:rPr>
            </w:pPr>
            <w:r w:rsidRPr="00E33387">
              <w:rPr>
                <w:sz w:val="20"/>
                <w:szCs w:val="20"/>
              </w:rPr>
              <w:t>M(SD)/%</w:t>
            </w:r>
          </w:p>
        </w:tc>
      </w:tr>
      <w:tr w:rsidR="007D52FC" w:rsidRPr="00E33387" w14:paraId="7AC7A709" w14:textId="77777777" w:rsidTr="008A79F3">
        <w:trPr>
          <w:trHeight w:val="287"/>
        </w:trPr>
        <w:tc>
          <w:tcPr>
            <w:tcW w:w="747" w:type="pct"/>
            <w:tcBorders>
              <w:top w:val="single" w:sz="4" w:space="0" w:color="auto"/>
              <w:bottom w:val="nil"/>
            </w:tcBorders>
            <w:shd w:val="clear" w:color="auto" w:fill="auto"/>
            <w:vAlign w:val="center"/>
          </w:tcPr>
          <w:p w14:paraId="5946575C" w14:textId="77777777" w:rsidR="004E5E32" w:rsidRPr="006D5FC8" w:rsidRDefault="004E5E32" w:rsidP="00EF1372">
            <w:pPr>
              <w:rPr>
                <w:sz w:val="20"/>
                <w:szCs w:val="20"/>
              </w:rPr>
            </w:pPr>
            <w:r w:rsidRPr="006D5FC8">
              <w:rPr>
                <w:color w:val="000000" w:themeColor="text1"/>
                <w:sz w:val="20"/>
                <w:szCs w:val="20"/>
              </w:rPr>
              <w:t>SI-R Total</w:t>
            </w:r>
          </w:p>
        </w:tc>
        <w:tc>
          <w:tcPr>
            <w:tcW w:w="529" w:type="pct"/>
            <w:tcBorders>
              <w:top w:val="single" w:sz="4" w:space="0" w:color="auto"/>
              <w:bottom w:val="nil"/>
            </w:tcBorders>
            <w:shd w:val="clear" w:color="auto" w:fill="auto"/>
            <w:vAlign w:val="center"/>
          </w:tcPr>
          <w:p w14:paraId="7A924CDE" w14:textId="77777777" w:rsidR="004E5E32" w:rsidRPr="006D5FC8" w:rsidRDefault="004E5E32" w:rsidP="00EF1372">
            <w:pPr>
              <w:jc w:val="center"/>
              <w:rPr>
                <w:color w:val="000000" w:themeColor="text1"/>
                <w:sz w:val="20"/>
                <w:szCs w:val="20"/>
              </w:rPr>
            </w:pPr>
            <w:r w:rsidRPr="006D5FC8">
              <w:rPr>
                <w:color w:val="000000" w:themeColor="text1"/>
                <w:sz w:val="20"/>
                <w:szCs w:val="20"/>
              </w:rPr>
              <w:t>66.25 (11.96)</w:t>
            </w:r>
          </w:p>
        </w:tc>
        <w:tc>
          <w:tcPr>
            <w:tcW w:w="611" w:type="pct"/>
            <w:tcBorders>
              <w:top w:val="single" w:sz="4" w:space="0" w:color="auto"/>
              <w:bottom w:val="nil"/>
            </w:tcBorders>
            <w:shd w:val="clear" w:color="auto" w:fill="auto"/>
            <w:vAlign w:val="center"/>
          </w:tcPr>
          <w:p w14:paraId="599BE8CB" w14:textId="77777777" w:rsidR="004E5E32" w:rsidRPr="006D5FC8" w:rsidRDefault="004E5E32" w:rsidP="00EF1372">
            <w:pPr>
              <w:jc w:val="center"/>
              <w:rPr>
                <w:color w:val="000000" w:themeColor="text1"/>
                <w:sz w:val="20"/>
                <w:szCs w:val="20"/>
              </w:rPr>
            </w:pPr>
            <w:r w:rsidRPr="006D5FC8">
              <w:rPr>
                <w:color w:val="000000" w:themeColor="text1"/>
                <w:sz w:val="20"/>
                <w:szCs w:val="20"/>
              </w:rPr>
              <w:t>67.18 (14.84)</w:t>
            </w:r>
          </w:p>
        </w:tc>
        <w:tc>
          <w:tcPr>
            <w:tcW w:w="817" w:type="pct"/>
            <w:tcBorders>
              <w:top w:val="single" w:sz="4" w:space="0" w:color="auto"/>
              <w:bottom w:val="nil"/>
            </w:tcBorders>
            <w:shd w:val="clear" w:color="auto" w:fill="auto"/>
            <w:vAlign w:val="center"/>
          </w:tcPr>
          <w:p w14:paraId="4D3E8F3C" w14:textId="77777777" w:rsidR="004E5E32" w:rsidRPr="006D5FC8" w:rsidRDefault="004E5E32" w:rsidP="00EF1372">
            <w:pPr>
              <w:jc w:val="center"/>
              <w:rPr>
                <w:color w:val="000000" w:themeColor="text1"/>
                <w:sz w:val="20"/>
                <w:szCs w:val="20"/>
              </w:rPr>
            </w:pPr>
            <w:r w:rsidRPr="006D5FC8">
              <w:rPr>
                <w:color w:val="000000" w:themeColor="text1"/>
                <w:sz w:val="20"/>
                <w:szCs w:val="20"/>
              </w:rPr>
              <w:t>t(65.4) = -0.734, p = .47</w:t>
            </w:r>
          </w:p>
        </w:tc>
        <w:tc>
          <w:tcPr>
            <w:tcW w:w="543" w:type="pct"/>
            <w:tcBorders>
              <w:top w:val="single" w:sz="4" w:space="0" w:color="auto"/>
              <w:bottom w:val="nil"/>
            </w:tcBorders>
            <w:shd w:val="clear" w:color="auto" w:fill="auto"/>
            <w:vAlign w:val="center"/>
          </w:tcPr>
          <w:p w14:paraId="7409C251" w14:textId="77777777" w:rsidR="004E5E32" w:rsidRPr="006D5FC8" w:rsidRDefault="004E5E32" w:rsidP="00EF1372">
            <w:pPr>
              <w:jc w:val="center"/>
              <w:rPr>
                <w:color w:val="000000" w:themeColor="text1"/>
                <w:sz w:val="20"/>
                <w:szCs w:val="20"/>
              </w:rPr>
            </w:pPr>
            <w:r w:rsidRPr="006D5FC8">
              <w:rPr>
                <w:color w:val="000000" w:themeColor="text1"/>
                <w:sz w:val="20"/>
                <w:szCs w:val="20"/>
              </w:rPr>
              <w:t>54.46 (13.40)</w:t>
            </w:r>
          </w:p>
        </w:tc>
        <w:tc>
          <w:tcPr>
            <w:tcW w:w="613" w:type="pct"/>
            <w:tcBorders>
              <w:top w:val="single" w:sz="4" w:space="0" w:color="auto"/>
              <w:bottom w:val="nil"/>
            </w:tcBorders>
            <w:shd w:val="clear" w:color="auto" w:fill="auto"/>
            <w:vAlign w:val="center"/>
          </w:tcPr>
          <w:p w14:paraId="35708F3E" w14:textId="77777777" w:rsidR="004E5E32" w:rsidRPr="006D5FC8" w:rsidRDefault="004E5E32" w:rsidP="00EF1372">
            <w:pPr>
              <w:jc w:val="center"/>
              <w:rPr>
                <w:color w:val="000000" w:themeColor="text1"/>
                <w:sz w:val="20"/>
                <w:szCs w:val="20"/>
              </w:rPr>
            </w:pPr>
            <w:r w:rsidRPr="006D5FC8">
              <w:rPr>
                <w:color w:val="000000" w:themeColor="text1"/>
                <w:sz w:val="20"/>
                <w:szCs w:val="20"/>
              </w:rPr>
              <w:t>59.15 (12.18)</w:t>
            </w:r>
          </w:p>
        </w:tc>
        <w:tc>
          <w:tcPr>
            <w:tcW w:w="529" w:type="pct"/>
            <w:tcBorders>
              <w:top w:val="single" w:sz="4" w:space="0" w:color="auto"/>
              <w:bottom w:val="nil"/>
            </w:tcBorders>
            <w:shd w:val="clear" w:color="auto" w:fill="auto"/>
            <w:vAlign w:val="center"/>
          </w:tcPr>
          <w:p w14:paraId="3A341411" w14:textId="77777777" w:rsidR="004E5E32" w:rsidRPr="006D5FC8" w:rsidRDefault="004E5E32" w:rsidP="00EF1372">
            <w:pPr>
              <w:jc w:val="center"/>
              <w:rPr>
                <w:color w:val="000000" w:themeColor="text1"/>
                <w:sz w:val="20"/>
                <w:szCs w:val="20"/>
              </w:rPr>
            </w:pPr>
            <w:r w:rsidRPr="006D5FC8">
              <w:rPr>
                <w:color w:val="000000" w:themeColor="text1"/>
                <w:sz w:val="20"/>
                <w:szCs w:val="20"/>
              </w:rPr>
              <w:t>46.72 (13.40)</w:t>
            </w:r>
          </w:p>
        </w:tc>
        <w:tc>
          <w:tcPr>
            <w:tcW w:w="612" w:type="pct"/>
            <w:tcBorders>
              <w:top w:val="single" w:sz="4" w:space="0" w:color="auto"/>
              <w:bottom w:val="nil"/>
            </w:tcBorders>
            <w:shd w:val="clear" w:color="auto" w:fill="auto"/>
            <w:vAlign w:val="center"/>
          </w:tcPr>
          <w:p w14:paraId="7AF2A225" w14:textId="77777777" w:rsidR="004E5E32" w:rsidRPr="006D5FC8" w:rsidRDefault="004E5E32" w:rsidP="00EF1372">
            <w:pPr>
              <w:jc w:val="center"/>
              <w:rPr>
                <w:color w:val="000000" w:themeColor="text1"/>
                <w:sz w:val="20"/>
                <w:szCs w:val="20"/>
              </w:rPr>
            </w:pPr>
            <w:r w:rsidRPr="006D5FC8">
              <w:rPr>
                <w:color w:val="000000" w:themeColor="text1"/>
                <w:sz w:val="20"/>
                <w:szCs w:val="20"/>
              </w:rPr>
              <w:t>55.55 (14.86)</w:t>
            </w:r>
          </w:p>
        </w:tc>
      </w:tr>
      <w:tr w:rsidR="007D52FC" w:rsidRPr="00E33387" w14:paraId="5AF20A01" w14:textId="77777777" w:rsidTr="008A79F3">
        <w:trPr>
          <w:trHeight w:val="243"/>
        </w:trPr>
        <w:tc>
          <w:tcPr>
            <w:tcW w:w="747" w:type="pct"/>
            <w:tcBorders>
              <w:top w:val="nil"/>
              <w:bottom w:val="nil"/>
            </w:tcBorders>
            <w:shd w:val="clear" w:color="auto" w:fill="auto"/>
            <w:vAlign w:val="center"/>
          </w:tcPr>
          <w:p w14:paraId="37FB8F92" w14:textId="77777777" w:rsidR="004E5E32" w:rsidRPr="00E33387" w:rsidRDefault="004E5E32" w:rsidP="00EF1372">
            <w:pPr>
              <w:rPr>
                <w:sz w:val="20"/>
                <w:szCs w:val="20"/>
              </w:rPr>
            </w:pPr>
            <w:r>
              <w:rPr>
                <w:sz w:val="20"/>
                <w:szCs w:val="20"/>
              </w:rPr>
              <w:t>CGI-I</w:t>
            </w:r>
          </w:p>
        </w:tc>
        <w:tc>
          <w:tcPr>
            <w:tcW w:w="529" w:type="pct"/>
            <w:tcBorders>
              <w:top w:val="nil"/>
              <w:bottom w:val="nil"/>
            </w:tcBorders>
            <w:shd w:val="clear" w:color="auto" w:fill="auto"/>
            <w:vAlign w:val="center"/>
          </w:tcPr>
          <w:p w14:paraId="48BFA842" w14:textId="77777777" w:rsidR="004E5E32" w:rsidRPr="00013BC7" w:rsidRDefault="004E5E32" w:rsidP="00EF1372">
            <w:pPr>
              <w:jc w:val="center"/>
              <w:rPr>
                <w:sz w:val="20"/>
                <w:szCs w:val="20"/>
              </w:rPr>
            </w:pPr>
            <w:r w:rsidRPr="00B8311D">
              <w:rPr>
                <w:color w:val="000000" w:themeColor="text1"/>
                <w:sz w:val="20"/>
                <w:szCs w:val="20"/>
              </w:rPr>
              <w:t>4.31 (0.87)</w:t>
            </w:r>
          </w:p>
        </w:tc>
        <w:tc>
          <w:tcPr>
            <w:tcW w:w="611" w:type="pct"/>
            <w:tcBorders>
              <w:top w:val="nil"/>
              <w:bottom w:val="nil"/>
            </w:tcBorders>
            <w:shd w:val="clear" w:color="auto" w:fill="auto"/>
            <w:vAlign w:val="center"/>
          </w:tcPr>
          <w:p w14:paraId="7BA6CC1B" w14:textId="77777777" w:rsidR="004E5E32" w:rsidRPr="00013BC7" w:rsidRDefault="004E5E32" w:rsidP="00EF1372">
            <w:pPr>
              <w:jc w:val="center"/>
              <w:rPr>
                <w:sz w:val="20"/>
                <w:szCs w:val="20"/>
              </w:rPr>
            </w:pPr>
            <w:r w:rsidRPr="00B8311D">
              <w:rPr>
                <w:color w:val="000000" w:themeColor="text1"/>
                <w:sz w:val="20"/>
                <w:szCs w:val="20"/>
              </w:rPr>
              <w:t>3.76 (0.90)</w:t>
            </w:r>
          </w:p>
        </w:tc>
        <w:tc>
          <w:tcPr>
            <w:tcW w:w="817" w:type="pct"/>
            <w:tcBorders>
              <w:top w:val="nil"/>
              <w:bottom w:val="nil"/>
            </w:tcBorders>
            <w:shd w:val="clear" w:color="auto" w:fill="auto"/>
            <w:vAlign w:val="center"/>
          </w:tcPr>
          <w:p w14:paraId="48F129BC" w14:textId="77777777" w:rsidR="004E5E32" w:rsidRPr="00013BC7" w:rsidRDefault="004E5E32" w:rsidP="00EF1372">
            <w:pPr>
              <w:jc w:val="center"/>
              <w:rPr>
                <w:sz w:val="20"/>
                <w:szCs w:val="20"/>
              </w:rPr>
            </w:pPr>
            <w:r w:rsidRPr="00B8311D">
              <w:rPr>
                <w:color w:val="000000" w:themeColor="text1"/>
                <w:sz w:val="20"/>
                <w:szCs w:val="20"/>
              </w:rPr>
              <w:t>t(68.3) = -2.81, p = .006</w:t>
            </w:r>
          </w:p>
        </w:tc>
        <w:tc>
          <w:tcPr>
            <w:tcW w:w="543" w:type="pct"/>
            <w:tcBorders>
              <w:top w:val="nil"/>
              <w:bottom w:val="nil"/>
            </w:tcBorders>
            <w:shd w:val="clear" w:color="auto" w:fill="auto"/>
            <w:vAlign w:val="center"/>
          </w:tcPr>
          <w:p w14:paraId="66DAE9EF" w14:textId="77777777" w:rsidR="004E5E32" w:rsidRPr="00013BC7" w:rsidRDefault="004E5E32" w:rsidP="00EF1372">
            <w:pPr>
              <w:jc w:val="center"/>
              <w:rPr>
                <w:sz w:val="20"/>
                <w:szCs w:val="20"/>
              </w:rPr>
            </w:pPr>
            <w:r w:rsidRPr="00B8311D">
              <w:rPr>
                <w:color w:val="000000" w:themeColor="text1"/>
                <w:sz w:val="20"/>
                <w:szCs w:val="20"/>
              </w:rPr>
              <w:t>2.69 (0.79)</w:t>
            </w:r>
          </w:p>
        </w:tc>
        <w:tc>
          <w:tcPr>
            <w:tcW w:w="613" w:type="pct"/>
            <w:tcBorders>
              <w:top w:val="nil"/>
              <w:bottom w:val="nil"/>
            </w:tcBorders>
            <w:shd w:val="clear" w:color="auto" w:fill="auto"/>
            <w:vAlign w:val="center"/>
          </w:tcPr>
          <w:p w14:paraId="774D7174" w14:textId="77777777" w:rsidR="004E5E32" w:rsidRPr="00013BC7" w:rsidRDefault="004E5E32" w:rsidP="00EF1372">
            <w:pPr>
              <w:jc w:val="center"/>
              <w:rPr>
                <w:sz w:val="20"/>
                <w:szCs w:val="20"/>
              </w:rPr>
            </w:pPr>
            <w:r w:rsidRPr="00B8311D">
              <w:rPr>
                <w:color w:val="000000" w:themeColor="text1"/>
                <w:sz w:val="20"/>
                <w:szCs w:val="20"/>
              </w:rPr>
              <w:t>3.65 (1.38)</w:t>
            </w:r>
          </w:p>
        </w:tc>
        <w:tc>
          <w:tcPr>
            <w:tcW w:w="529" w:type="pct"/>
            <w:tcBorders>
              <w:top w:val="nil"/>
              <w:bottom w:val="nil"/>
            </w:tcBorders>
            <w:shd w:val="clear" w:color="auto" w:fill="auto"/>
            <w:vAlign w:val="center"/>
          </w:tcPr>
          <w:p w14:paraId="1D3B281E" w14:textId="7702150E" w:rsidR="004E5E32" w:rsidRPr="00122FA2" w:rsidRDefault="004E5E32" w:rsidP="00122FA2">
            <w:pPr>
              <w:jc w:val="center"/>
              <w:rPr>
                <w:color w:val="000000" w:themeColor="text1"/>
                <w:sz w:val="20"/>
                <w:szCs w:val="20"/>
              </w:rPr>
            </w:pPr>
            <w:r w:rsidRPr="00B8311D">
              <w:rPr>
                <w:color w:val="000000" w:themeColor="text1"/>
                <w:sz w:val="20"/>
                <w:szCs w:val="20"/>
              </w:rPr>
              <w:t>2.76 (1.05)</w:t>
            </w:r>
          </w:p>
        </w:tc>
        <w:tc>
          <w:tcPr>
            <w:tcW w:w="612" w:type="pct"/>
            <w:tcBorders>
              <w:top w:val="nil"/>
              <w:bottom w:val="nil"/>
            </w:tcBorders>
            <w:shd w:val="clear" w:color="auto" w:fill="auto"/>
            <w:vAlign w:val="center"/>
          </w:tcPr>
          <w:p w14:paraId="017EC551" w14:textId="77777777" w:rsidR="004E5E32" w:rsidRPr="00013BC7" w:rsidRDefault="004E5E32" w:rsidP="00EF1372">
            <w:pPr>
              <w:jc w:val="center"/>
              <w:rPr>
                <w:sz w:val="20"/>
                <w:szCs w:val="20"/>
              </w:rPr>
            </w:pPr>
            <w:r w:rsidRPr="00B8311D">
              <w:rPr>
                <w:color w:val="000000" w:themeColor="text1"/>
                <w:sz w:val="20"/>
                <w:szCs w:val="20"/>
              </w:rPr>
              <w:t>3.66 (1.01)</w:t>
            </w:r>
          </w:p>
        </w:tc>
      </w:tr>
      <w:tr w:rsidR="007D52FC" w:rsidRPr="00E33387" w14:paraId="07921C25" w14:textId="77777777" w:rsidTr="00EF1372">
        <w:trPr>
          <w:trHeight w:val="309"/>
        </w:trPr>
        <w:tc>
          <w:tcPr>
            <w:tcW w:w="747" w:type="pct"/>
            <w:tcBorders>
              <w:top w:val="nil"/>
            </w:tcBorders>
            <w:shd w:val="clear" w:color="auto" w:fill="auto"/>
            <w:vAlign w:val="center"/>
          </w:tcPr>
          <w:p w14:paraId="63B62649" w14:textId="77777777" w:rsidR="004E5E32" w:rsidRPr="00E33387" w:rsidRDefault="004E5E32" w:rsidP="00EF1372">
            <w:pPr>
              <w:rPr>
                <w:sz w:val="20"/>
                <w:szCs w:val="20"/>
              </w:rPr>
            </w:pPr>
            <w:r w:rsidRPr="00E33387">
              <w:rPr>
                <w:sz w:val="20"/>
                <w:szCs w:val="20"/>
              </w:rPr>
              <w:t>Difference</w:t>
            </w:r>
          </w:p>
        </w:tc>
        <w:tc>
          <w:tcPr>
            <w:tcW w:w="529" w:type="pct"/>
            <w:tcBorders>
              <w:top w:val="nil"/>
            </w:tcBorders>
            <w:shd w:val="clear" w:color="auto" w:fill="auto"/>
            <w:vAlign w:val="center"/>
          </w:tcPr>
          <w:p w14:paraId="5DE7A8B1" w14:textId="77777777" w:rsidR="004E5E32" w:rsidRPr="00E33387" w:rsidRDefault="004E5E32" w:rsidP="00EF1372">
            <w:pPr>
              <w:jc w:val="center"/>
              <w:rPr>
                <w:sz w:val="20"/>
                <w:szCs w:val="20"/>
              </w:rPr>
            </w:pPr>
            <w:r w:rsidRPr="00E33387">
              <w:rPr>
                <w:sz w:val="20"/>
                <w:szCs w:val="20"/>
              </w:rPr>
              <w:t>6.62 (2.07)</w:t>
            </w:r>
          </w:p>
        </w:tc>
        <w:tc>
          <w:tcPr>
            <w:tcW w:w="611" w:type="pct"/>
            <w:tcBorders>
              <w:top w:val="nil"/>
            </w:tcBorders>
            <w:shd w:val="clear" w:color="auto" w:fill="auto"/>
            <w:vAlign w:val="center"/>
          </w:tcPr>
          <w:p w14:paraId="1B3F76E7" w14:textId="77777777" w:rsidR="004E5E32" w:rsidRPr="00E33387" w:rsidRDefault="004E5E32" w:rsidP="00EF1372">
            <w:pPr>
              <w:jc w:val="center"/>
              <w:rPr>
                <w:sz w:val="20"/>
                <w:szCs w:val="20"/>
              </w:rPr>
            </w:pPr>
            <w:r w:rsidRPr="00E33387">
              <w:rPr>
                <w:sz w:val="20"/>
                <w:szCs w:val="20"/>
              </w:rPr>
              <w:t>6.41 (2.19)</w:t>
            </w:r>
          </w:p>
        </w:tc>
        <w:tc>
          <w:tcPr>
            <w:tcW w:w="817" w:type="pct"/>
            <w:tcBorders>
              <w:top w:val="nil"/>
            </w:tcBorders>
            <w:shd w:val="clear" w:color="auto" w:fill="auto"/>
            <w:vAlign w:val="center"/>
          </w:tcPr>
          <w:p w14:paraId="6CC14545" w14:textId="77777777" w:rsidR="004E5E32" w:rsidRPr="00E33387" w:rsidRDefault="004E5E32" w:rsidP="00EF1372">
            <w:pPr>
              <w:jc w:val="center"/>
              <w:rPr>
                <w:sz w:val="20"/>
                <w:szCs w:val="20"/>
              </w:rPr>
            </w:pPr>
            <w:r w:rsidRPr="00E33387">
              <w:rPr>
                <w:sz w:val="20"/>
                <w:szCs w:val="20"/>
              </w:rPr>
              <w:t>t(69.8) = -1.15, p = .25</w:t>
            </w:r>
          </w:p>
        </w:tc>
        <w:tc>
          <w:tcPr>
            <w:tcW w:w="543" w:type="pct"/>
            <w:tcBorders>
              <w:top w:val="nil"/>
            </w:tcBorders>
            <w:shd w:val="clear" w:color="auto" w:fill="auto"/>
            <w:vAlign w:val="center"/>
          </w:tcPr>
          <w:p w14:paraId="4D8B6199" w14:textId="77777777" w:rsidR="004E5E32" w:rsidRPr="00E33387" w:rsidRDefault="004E5E32" w:rsidP="00EF1372">
            <w:pPr>
              <w:jc w:val="center"/>
              <w:rPr>
                <w:sz w:val="20"/>
                <w:szCs w:val="20"/>
              </w:rPr>
            </w:pPr>
            <w:r w:rsidRPr="00E33387">
              <w:rPr>
                <w:sz w:val="20"/>
                <w:szCs w:val="20"/>
              </w:rPr>
              <w:t>5.85 (1.77)</w:t>
            </w:r>
          </w:p>
        </w:tc>
        <w:tc>
          <w:tcPr>
            <w:tcW w:w="613" w:type="pct"/>
            <w:tcBorders>
              <w:top w:val="nil"/>
            </w:tcBorders>
            <w:shd w:val="clear" w:color="auto" w:fill="auto"/>
            <w:vAlign w:val="center"/>
          </w:tcPr>
          <w:p w14:paraId="772C1C65" w14:textId="77777777" w:rsidR="004E5E32" w:rsidRPr="00E33387" w:rsidRDefault="004E5E32" w:rsidP="00EF1372">
            <w:pPr>
              <w:jc w:val="center"/>
              <w:rPr>
                <w:sz w:val="20"/>
                <w:szCs w:val="20"/>
              </w:rPr>
            </w:pPr>
            <w:r w:rsidRPr="00E33387">
              <w:rPr>
                <w:sz w:val="20"/>
                <w:szCs w:val="20"/>
              </w:rPr>
              <w:t>5.38 (2.04)</w:t>
            </w:r>
          </w:p>
        </w:tc>
        <w:tc>
          <w:tcPr>
            <w:tcW w:w="529" w:type="pct"/>
            <w:tcBorders>
              <w:top w:val="nil"/>
            </w:tcBorders>
            <w:shd w:val="clear" w:color="auto" w:fill="auto"/>
            <w:vAlign w:val="center"/>
          </w:tcPr>
          <w:p w14:paraId="724A4B85" w14:textId="77777777" w:rsidR="004E5E32" w:rsidRPr="00E33387" w:rsidRDefault="004E5E32" w:rsidP="00EF1372">
            <w:pPr>
              <w:jc w:val="center"/>
              <w:rPr>
                <w:sz w:val="20"/>
                <w:szCs w:val="20"/>
              </w:rPr>
            </w:pPr>
            <w:r w:rsidRPr="00E33387">
              <w:rPr>
                <w:sz w:val="20"/>
                <w:szCs w:val="20"/>
              </w:rPr>
              <w:t>5.44 (2.29)</w:t>
            </w:r>
          </w:p>
        </w:tc>
        <w:tc>
          <w:tcPr>
            <w:tcW w:w="612" w:type="pct"/>
            <w:tcBorders>
              <w:top w:val="nil"/>
            </w:tcBorders>
            <w:shd w:val="clear" w:color="auto" w:fill="auto"/>
            <w:vAlign w:val="center"/>
          </w:tcPr>
          <w:p w14:paraId="27401ED6" w14:textId="77777777" w:rsidR="004E5E32" w:rsidRPr="00E33387" w:rsidRDefault="004E5E32" w:rsidP="00EF1372">
            <w:pPr>
              <w:jc w:val="center"/>
              <w:rPr>
                <w:sz w:val="20"/>
                <w:szCs w:val="20"/>
              </w:rPr>
            </w:pPr>
            <w:r w:rsidRPr="00E33387">
              <w:rPr>
                <w:sz w:val="20"/>
                <w:szCs w:val="20"/>
              </w:rPr>
              <w:t>5.76 (2.04)</w:t>
            </w:r>
          </w:p>
        </w:tc>
      </w:tr>
      <w:tr w:rsidR="007D52FC" w:rsidRPr="00E33387" w14:paraId="5F82BB03" w14:textId="77777777" w:rsidTr="00EF1372">
        <w:trPr>
          <w:trHeight w:val="309"/>
        </w:trPr>
        <w:tc>
          <w:tcPr>
            <w:tcW w:w="747" w:type="pct"/>
            <w:shd w:val="clear" w:color="auto" w:fill="auto"/>
            <w:vAlign w:val="center"/>
          </w:tcPr>
          <w:p w14:paraId="2A28489A" w14:textId="77777777" w:rsidR="004E5E32" w:rsidRPr="00E33387" w:rsidRDefault="004E5E32" w:rsidP="00EF1372">
            <w:pPr>
              <w:rPr>
                <w:sz w:val="20"/>
                <w:szCs w:val="20"/>
              </w:rPr>
            </w:pPr>
            <w:r w:rsidRPr="00E33387">
              <w:rPr>
                <w:sz w:val="20"/>
                <w:szCs w:val="20"/>
              </w:rPr>
              <w:t>Disdain</w:t>
            </w:r>
          </w:p>
        </w:tc>
        <w:tc>
          <w:tcPr>
            <w:tcW w:w="529" w:type="pct"/>
            <w:shd w:val="clear" w:color="auto" w:fill="auto"/>
            <w:vAlign w:val="center"/>
          </w:tcPr>
          <w:p w14:paraId="66760958" w14:textId="77777777" w:rsidR="004E5E32" w:rsidRPr="00E33387" w:rsidRDefault="004E5E32" w:rsidP="00EF1372">
            <w:pPr>
              <w:jc w:val="center"/>
              <w:rPr>
                <w:sz w:val="20"/>
                <w:szCs w:val="20"/>
              </w:rPr>
            </w:pPr>
            <w:r w:rsidRPr="00E33387">
              <w:rPr>
                <w:sz w:val="20"/>
                <w:szCs w:val="20"/>
              </w:rPr>
              <w:t>5.75 (2.27)</w:t>
            </w:r>
          </w:p>
        </w:tc>
        <w:tc>
          <w:tcPr>
            <w:tcW w:w="611" w:type="pct"/>
            <w:shd w:val="clear" w:color="auto" w:fill="auto"/>
            <w:vAlign w:val="center"/>
          </w:tcPr>
          <w:p w14:paraId="59516729" w14:textId="77777777" w:rsidR="004E5E32" w:rsidRPr="00E33387" w:rsidRDefault="004E5E32" w:rsidP="00EF1372">
            <w:pPr>
              <w:jc w:val="center"/>
              <w:rPr>
                <w:sz w:val="20"/>
                <w:szCs w:val="20"/>
              </w:rPr>
            </w:pPr>
            <w:r w:rsidRPr="00E33387">
              <w:rPr>
                <w:sz w:val="20"/>
                <w:szCs w:val="20"/>
              </w:rPr>
              <w:t>5.73 (1.81)</w:t>
            </w:r>
          </w:p>
        </w:tc>
        <w:tc>
          <w:tcPr>
            <w:tcW w:w="817" w:type="pct"/>
            <w:shd w:val="clear" w:color="auto" w:fill="auto"/>
            <w:vAlign w:val="center"/>
          </w:tcPr>
          <w:p w14:paraId="22EF62D8" w14:textId="77777777" w:rsidR="004E5E32" w:rsidRPr="00E33387" w:rsidRDefault="004E5E32" w:rsidP="00EF1372">
            <w:pPr>
              <w:jc w:val="center"/>
              <w:rPr>
                <w:sz w:val="20"/>
                <w:szCs w:val="20"/>
              </w:rPr>
            </w:pPr>
            <w:r w:rsidRPr="00E33387">
              <w:rPr>
                <w:sz w:val="20"/>
                <w:szCs w:val="20"/>
              </w:rPr>
              <w:t>t(70.9) = -1.91, p = .06</w:t>
            </w:r>
          </w:p>
        </w:tc>
        <w:tc>
          <w:tcPr>
            <w:tcW w:w="543" w:type="pct"/>
            <w:shd w:val="clear" w:color="auto" w:fill="auto"/>
            <w:vAlign w:val="center"/>
          </w:tcPr>
          <w:p w14:paraId="54AFAEDE" w14:textId="77777777" w:rsidR="004E5E32" w:rsidRPr="00E33387" w:rsidRDefault="004E5E32" w:rsidP="00EF1372">
            <w:pPr>
              <w:jc w:val="center"/>
              <w:rPr>
                <w:sz w:val="20"/>
                <w:szCs w:val="20"/>
              </w:rPr>
            </w:pPr>
            <w:r w:rsidRPr="00E33387">
              <w:rPr>
                <w:sz w:val="20"/>
                <w:szCs w:val="20"/>
              </w:rPr>
              <w:t>5.32 (1.59)</w:t>
            </w:r>
          </w:p>
        </w:tc>
        <w:tc>
          <w:tcPr>
            <w:tcW w:w="613" w:type="pct"/>
            <w:shd w:val="clear" w:color="auto" w:fill="auto"/>
            <w:vAlign w:val="center"/>
          </w:tcPr>
          <w:p w14:paraId="55FC599E" w14:textId="7559E1FD" w:rsidR="004E5E32" w:rsidRPr="00E33387" w:rsidRDefault="004E5E32" w:rsidP="00122FA2">
            <w:pPr>
              <w:jc w:val="center"/>
              <w:rPr>
                <w:sz w:val="20"/>
                <w:szCs w:val="20"/>
              </w:rPr>
            </w:pPr>
            <w:r w:rsidRPr="00E33387">
              <w:rPr>
                <w:sz w:val="20"/>
                <w:szCs w:val="20"/>
              </w:rPr>
              <w:t>5.51 (1.68)</w:t>
            </w:r>
          </w:p>
        </w:tc>
        <w:tc>
          <w:tcPr>
            <w:tcW w:w="529" w:type="pct"/>
            <w:shd w:val="clear" w:color="auto" w:fill="auto"/>
            <w:vAlign w:val="center"/>
          </w:tcPr>
          <w:p w14:paraId="4D06DF3C" w14:textId="77777777" w:rsidR="004E5E32" w:rsidRPr="00E33387" w:rsidRDefault="004E5E32" w:rsidP="00EF1372">
            <w:pPr>
              <w:jc w:val="center"/>
              <w:rPr>
                <w:sz w:val="20"/>
                <w:szCs w:val="20"/>
              </w:rPr>
            </w:pPr>
            <w:r w:rsidRPr="00E33387">
              <w:rPr>
                <w:sz w:val="20"/>
                <w:szCs w:val="20"/>
              </w:rPr>
              <w:t>4.49 (1.91)</w:t>
            </w:r>
          </w:p>
        </w:tc>
        <w:tc>
          <w:tcPr>
            <w:tcW w:w="612" w:type="pct"/>
            <w:shd w:val="clear" w:color="auto" w:fill="auto"/>
            <w:vAlign w:val="center"/>
          </w:tcPr>
          <w:p w14:paraId="1BAEDCA9" w14:textId="77777777" w:rsidR="004E5E32" w:rsidRPr="00E33387" w:rsidRDefault="004E5E32" w:rsidP="00EF1372">
            <w:pPr>
              <w:jc w:val="center"/>
              <w:rPr>
                <w:sz w:val="20"/>
                <w:szCs w:val="20"/>
              </w:rPr>
            </w:pPr>
            <w:r w:rsidRPr="00E33387">
              <w:rPr>
                <w:sz w:val="20"/>
                <w:szCs w:val="20"/>
              </w:rPr>
              <w:t>5.70 (1.80)</w:t>
            </w:r>
          </w:p>
        </w:tc>
      </w:tr>
      <w:tr w:rsidR="007D52FC" w:rsidRPr="00E33387" w14:paraId="57B881A5" w14:textId="77777777" w:rsidTr="00EF1372">
        <w:trPr>
          <w:trHeight w:val="309"/>
        </w:trPr>
        <w:tc>
          <w:tcPr>
            <w:tcW w:w="747" w:type="pct"/>
            <w:shd w:val="clear" w:color="auto" w:fill="auto"/>
            <w:vAlign w:val="center"/>
          </w:tcPr>
          <w:p w14:paraId="1992B8E8" w14:textId="77777777" w:rsidR="004E5E32" w:rsidRPr="00E33387" w:rsidRDefault="004E5E32" w:rsidP="00EF1372">
            <w:pPr>
              <w:rPr>
                <w:sz w:val="20"/>
                <w:szCs w:val="20"/>
              </w:rPr>
            </w:pPr>
            <w:r w:rsidRPr="00E33387">
              <w:rPr>
                <w:sz w:val="20"/>
                <w:szCs w:val="20"/>
              </w:rPr>
              <w:t>Blame</w:t>
            </w:r>
          </w:p>
        </w:tc>
        <w:tc>
          <w:tcPr>
            <w:tcW w:w="529" w:type="pct"/>
            <w:shd w:val="clear" w:color="auto" w:fill="auto"/>
            <w:vAlign w:val="center"/>
          </w:tcPr>
          <w:p w14:paraId="2CCC4E43" w14:textId="77777777" w:rsidR="004E5E32" w:rsidRPr="00E33387" w:rsidRDefault="004E5E32" w:rsidP="00EF1372">
            <w:pPr>
              <w:jc w:val="center"/>
              <w:rPr>
                <w:sz w:val="20"/>
                <w:szCs w:val="20"/>
              </w:rPr>
            </w:pPr>
            <w:r w:rsidRPr="00E33387">
              <w:rPr>
                <w:sz w:val="20"/>
                <w:szCs w:val="20"/>
              </w:rPr>
              <w:t>4.62 (2.39)</w:t>
            </w:r>
          </w:p>
        </w:tc>
        <w:tc>
          <w:tcPr>
            <w:tcW w:w="611" w:type="pct"/>
            <w:shd w:val="clear" w:color="auto" w:fill="auto"/>
            <w:vAlign w:val="center"/>
          </w:tcPr>
          <w:p w14:paraId="34E319BC" w14:textId="77777777" w:rsidR="004E5E32" w:rsidRPr="00E33387" w:rsidRDefault="004E5E32" w:rsidP="00EF1372">
            <w:pPr>
              <w:jc w:val="center"/>
              <w:rPr>
                <w:sz w:val="20"/>
                <w:szCs w:val="20"/>
              </w:rPr>
            </w:pPr>
            <w:r w:rsidRPr="00E33387">
              <w:rPr>
                <w:sz w:val="20"/>
                <w:szCs w:val="20"/>
              </w:rPr>
              <w:t>5.76 (2.70)</w:t>
            </w:r>
          </w:p>
        </w:tc>
        <w:tc>
          <w:tcPr>
            <w:tcW w:w="817" w:type="pct"/>
            <w:shd w:val="clear" w:color="auto" w:fill="auto"/>
            <w:vAlign w:val="center"/>
          </w:tcPr>
          <w:p w14:paraId="075F2062" w14:textId="77777777" w:rsidR="004E5E32" w:rsidRPr="00E33387" w:rsidRDefault="004E5E32" w:rsidP="00EF1372">
            <w:pPr>
              <w:jc w:val="center"/>
              <w:rPr>
                <w:sz w:val="20"/>
                <w:szCs w:val="20"/>
              </w:rPr>
            </w:pPr>
            <w:r w:rsidRPr="00E33387">
              <w:rPr>
                <w:sz w:val="20"/>
                <w:szCs w:val="20"/>
              </w:rPr>
              <w:t>t(68.6) = 0.03, p = .98</w:t>
            </w:r>
          </w:p>
        </w:tc>
        <w:tc>
          <w:tcPr>
            <w:tcW w:w="543" w:type="pct"/>
            <w:shd w:val="clear" w:color="auto" w:fill="auto"/>
            <w:vAlign w:val="center"/>
          </w:tcPr>
          <w:p w14:paraId="676A1655" w14:textId="77777777" w:rsidR="004E5E32" w:rsidRPr="00E33387" w:rsidRDefault="004E5E32" w:rsidP="00EF1372">
            <w:pPr>
              <w:jc w:val="center"/>
              <w:rPr>
                <w:sz w:val="20"/>
                <w:szCs w:val="20"/>
              </w:rPr>
            </w:pPr>
            <w:r w:rsidRPr="00E33387">
              <w:rPr>
                <w:sz w:val="20"/>
                <w:szCs w:val="20"/>
              </w:rPr>
              <w:t>4.27 (1.85)</w:t>
            </w:r>
          </w:p>
        </w:tc>
        <w:tc>
          <w:tcPr>
            <w:tcW w:w="613" w:type="pct"/>
            <w:shd w:val="clear" w:color="auto" w:fill="auto"/>
            <w:vAlign w:val="center"/>
          </w:tcPr>
          <w:p w14:paraId="6BE7A6B3" w14:textId="77777777" w:rsidR="004E5E32" w:rsidRPr="00E33387" w:rsidRDefault="004E5E32" w:rsidP="00EF1372">
            <w:pPr>
              <w:jc w:val="center"/>
              <w:rPr>
                <w:sz w:val="20"/>
                <w:szCs w:val="20"/>
              </w:rPr>
            </w:pPr>
            <w:r w:rsidRPr="00E33387">
              <w:rPr>
                <w:sz w:val="20"/>
                <w:szCs w:val="20"/>
              </w:rPr>
              <w:t>4.81 (2.23)</w:t>
            </w:r>
          </w:p>
        </w:tc>
        <w:tc>
          <w:tcPr>
            <w:tcW w:w="529" w:type="pct"/>
            <w:shd w:val="clear" w:color="auto" w:fill="auto"/>
            <w:vAlign w:val="center"/>
          </w:tcPr>
          <w:p w14:paraId="30F3097B" w14:textId="77777777" w:rsidR="004E5E32" w:rsidRPr="00E33387" w:rsidRDefault="004E5E32" w:rsidP="00EF1372">
            <w:pPr>
              <w:jc w:val="center"/>
              <w:rPr>
                <w:sz w:val="20"/>
                <w:szCs w:val="20"/>
              </w:rPr>
            </w:pPr>
            <w:r w:rsidRPr="00E33387">
              <w:rPr>
                <w:sz w:val="20"/>
                <w:szCs w:val="20"/>
              </w:rPr>
              <w:t>3.72 (1.67)</w:t>
            </w:r>
          </w:p>
        </w:tc>
        <w:tc>
          <w:tcPr>
            <w:tcW w:w="612" w:type="pct"/>
            <w:shd w:val="clear" w:color="auto" w:fill="auto"/>
            <w:vAlign w:val="center"/>
          </w:tcPr>
          <w:p w14:paraId="76BF6F40" w14:textId="77777777" w:rsidR="004E5E32" w:rsidRPr="00E33387" w:rsidRDefault="004E5E32" w:rsidP="00EF1372">
            <w:pPr>
              <w:jc w:val="center"/>
              <w:rPr>
                <w:sz w:val="20"/>
                <w:szCs w:val="20"/>
              </w:rPr>
            </w:pPr>
            <w:r w:rsidRPr="00E33387">
              <w:rPr>
                <w:sz w:val="20"/>
                <w:szCs w:val="20"/>
              </w:rPr>
              <w:t>5.34 (2.04)</w:t>
            </w:r>
          </w:p>
        </w:tc>
      </w:tr>
      <w:tr w:rsidR="007D52FC" w:rsidRPr="00E33387" w14:paraId="110B98C7" w14:textId="77777777" w:rsidTr="00EF1372">
        <w:trPr>
          <w:trHeight w:val="309"/>
        </w:trPr>
        <w:tc>
          <w:tcPr>
            <w:tcW w:w="747" w:type="pct"/>
            <w:shd w:val="clear" w:color="auto" w:fill="auto"/>
            <w:vAlign w:val="center"/>
          </w:tcPr>
          <w:p w14:paraId="2B917D69" w14:textId="77777777" w:rsidR="004E5E32" w:rsidRPr="00E33387" w:rsidRDefault="004E5E32" w:rsidP="00EF1372">
            <w:pPr>
              <w:rPr>
                <w:sz w:val="20"/>
                <w:szCs w:val="20"/>
              </w:rPr>
            </w:pPr>
            <w:r w:rsidRPr="00E33387">
              <w:rPr>
                <w:sz w:val="20"/>
                <w:szCs w:val="20"/>
              </w:rPr>
              <w:t>AAQH Total</w:t>
            </w:r>
          </w:p>
        </w:tc>
        <w:tc>
          <w:tcPr>
            <w:tcW w:w="529" w:type="pct"/>
            <w:shd w:val="clear" w:color="auto" w:fill="auto"/>
            <w:vAlign w:val="center"/>
          </w:tcPr>
          <w:p w14:paraId="0784DD0B" w14:textId="77777777" w:rsidR="004E5E32" w:rsidRPr="00E33387" w:rsidRDefault="004E5E32" w:rsidP="00EF1372">
            <w:pPr>
              <w:jc w:val="center"/>
              <w:rPr>
                <w:sz w:val="20"/>
                <w:szCs w:val="20"/>
              </w:rPr>
            </w:pPr>
            <w:r w:rsidRPr="00E33387">
              <w:rPr>
                <w:sz w:val="20"/>
                <w:szCs w:val="20"/>
              </w:rPr>
              <w:t>75.25 (10.32)</w:t>
            </w:r>
          </w:p>
        </w:tc>
        <w:tc>
          <w:tcPr>
            <w:tcW w:w="611" w:type="pct"/>
            <w:shd w:val="clear" w:color="auto" w:fill="auto"/>
            <w:vAlign w:val="center"/>
          </w:tcPr>
          <w:p w14:paraId="0F20B5CE" w14:textId="77777777" w:rsidR="004E5E32" w:rsidRPr="00E33387" w:rsidRDefault="004E5E32" w:rsidP="00EF1372">
            <w:pPr>
              <w:jc w:val="center"/>
              <w:rPr>
                <w:sz w:val="20"/>
                <w:szCs w:val="20"/>
              </w:rPr>
            </w:pPr>
            <w:r w:rsidRPr="00E33387">
              <w:rPr>
                <w:sz w:val="20"/>
                <w:szCs w:val="20"/>
              </w:rPr>
              <w:t>74.76 (11.97)</w:t>
            </w:r>
          </w:p>
        </w:tc>
        <w:tc>
          <w:tcPr>
            <w:tcW w:w="817" w:type="pct"/>
            <w:shd w:val="clear" w:color="auto" w:fill="auto"/>
            <w:vAlign w:val="center"/>
          </w:tcPr>
          <w:p w14:paraId="74EB6C43" w14:textId="77777777" w:rsidR="004E5E32" w:rsidRPr="00E33387" w:rsidRDefault="004E5E32" w:rsidP="00EF1372">
            <w:pPr>
              <w:jc w:val="center"/>
              <w:rPr>
                <w:sz w:val="20"/>
                <w:szCs w:val="20"/>
              </w:rPr>
            </w:pPr>
            <w:r w:rsidRPr="00E33387">
              <w:rPr>
                <w:sz w:val="20"/>
                <w:szCs w:val="20"/>
              </w:rPr>
              <w:t>t(71) = -0.46, p = .64</w:t>
            </w:r>
          </w:p>
        </w:tc>
        <w:tc>
          <w:tcPr>
            <w:tcW w:w="543" w:type="pct"/>
            <w:shd w:val="clear" w:color="auto" w:fill="auto"/>
            <w:vAlign w:val="center"/>
          </w:tcPr>
          <w:p w14:paraId="06A52AAC" w14:textId="77777777" w:rsidR="004E5E32" w:rsidRPr="00E33387" w:rsidRDefault="004E5E32" w:rsidP="00EF1372">
            <w:pPr>
              <w:jc w:val="center"/>
              <w:rPr>
                <w:sz w:val="20"/>
                <w:szCs w:val="20"/>
              </w:rPr>
            </w:pPr>
            <w:r w:rsidRPr="00E33387">
              <w:rPr>
                <w:sz w:val="20"/>
                <w:szCs w:val="20"/>
              </w:rPr>
              <w:t>63.54 (9.35)</w:t>
            </w:r>
          </w:p>
        </w:tc>
        <w:tc>
          <w:tcPr>
            <w:tcW w:w="613" w:type="pct"/>
            <w:shd w:val="clear" w:color="auto" w:fill="auto"/>
            <w:vAlign w:val="center"/>
          </w:tcPr>
          <w:p w14:paraId="0962C45B" w14:textId="77777777" w:rsidR="004E5E32" w:rsidRPr="00E33387" w:rsidRDefault="004E5E32" w:rsidP="00EF1372">
            <w:pPr>
              <w:jc w:val="center"/>
              <w:rPr>
                <w:sz w:val="20"/>
                <w:szCs w:val="20"/>
              </w:rPr>
            </w:pPr>
            <w:r w:rsidRPr="00E33387">
              <w:rPr>
                <w:sz w:val="20"/>
                <w:szCs w:val="20"/>
              </w:rPr>
              <w:t>67.35 (10.77)</w:t>
            </w:r>
          </w:p>
        </w:tc>
        <w:tc>
          <w:tcPr>
            <w:tcW w:w="529" w:type="pct"/>
            <w:shd w:val="clear" w:color="auto" w:fill="auto"/>
            <w:vAlign w:val="center"/>
          </w:tcPr>
          <w:p w14:paraId="2D138F8E" w14:textId="77777777" w:rsidR="004E5E32" w:rsidRPr="00E33387" w:rsidRDefault="004E5E32" w:rsidP="00EF1372">
            <w:pPr>
              <w:jc w:val="center"/>
              <w:rPr>
                <w:sz w:val="20"/>
                <w:szCs w:val="20"/>
              </w:rPr>
            </w:pPr>
            <w:r w:rsidRPr="00E33387">
              <w:rPr>
                <w:sz w:val="20"/>
                <w:szCs w:val="20"/>
              </w:rPr>
              <w:t>57.80 (14.15)</w:t>
            </w:r>
          </w:p>
        </w:tc>
        <w:tc>
          <w:tcPr>
            <w:tcW w:w="612" w:type="pct"/>
            <w:shd w:val="clear" w:color="auto" w:fill="auto"/>
            <w:vAlign w:val="center"/>
          </w:tcPr>
          <w:p w14:paraId="627712C6" w14:textId="77777777" w:rsidR="004E5E32" w:rsidRPr="00E33387" w:rsidRDefault="004E5E32" w:rsidP="00EF1372">
            <w:pPr>
              <w:jc w:val="center"/>
              <w:rPr>
                <w:sz w:val="20"/>
                <w:szCs w:val="20"/>
              </w:rPr>
            </w:pPr>
            <w:r w:rsidRPr="00E33387">
              <w:rPr>
                <w:sz w:val="20"/>
                <w:szCs w:val="20"/>
              </w:rPr>
              <w:t>65.38 (13.93)</w:t>
            </w:r>
          </w:p>
        </w:tc>
      </w:tr>
      <w:tr w:rsidR="007D52FC" w:rsidRPr="00E33387" w14:paraId="11DC703F" w14:textId="77777777" w:rsidTr="00EF1372">
        <w:trPr>
          <w:trHeight w:val="309"/>
        </w:trPr>
        <w:tc>
          <w:tcPr>
            <w:tcW w:w="747" w:type="pct"/>
            <w:shd w:val="clear" w:color="auto" w:fill="auto"/>
            <w:vAlign w:val="center"/>
          </w:tcPr>
          <w:p w14:paraId="73ADF5DC" w14:textId="77777777" w:rsidR="004E5E32" w:rsidRPr="00E33387" w:rsidRDefault="004E5E32" w:rsidP="00EF1372">
            <w:pPr>
              <w:rPr>
                <w:sz w:val="20"/>
                <w:szCs w:val="20"/>
              </w:rPr>
            </w:pPr>
            <w:r w:rsidRPr="00E33387">
              <w:rPr>
                <w:sz w:val="20"/>
                <w:szCs w:val="20"/>
              </w:rPr>
              <w:t>AAQH Saving</w:t>
            </w:r>
          </w:p>
        </w:tc>
        <w:tc>
          <w:tcPr>
            <w:tcW w:w="529" w:type="pct"/>
            <w:shd w:val="clear" w:color="auto" w:fill="auto"/>
            <w:vAlign w:val="center"/>
          </w:tcPr>
          <w:p w14:paraId="73BDE544" w14:textId="77777777" w:rsidR="004E5E32" w:rsidRPr="00E33387" w:rsidRDefault="004E5E32" w:rsidP="00EF1372">
            <w:pPr>
              <w:jc w:val="center"/>
              <w:rPr>
                <w:sz w:val="20"/>
                <w:szCs w:val="20"/>
              </w:rPr>
            </w:pPr>
            <w:r w:rsidRPr="00E33387">
              <w:rPr>
                <w:sz w:val="20"/>
                <w:szCs w:val="20"/>
              </w:rPr>
              <w:t>40.69 (4.87)</w:t>
            </w:r>
          </w:p>
        </w:tc>
        <w:tc>
          <w:tcPr>
            <w:tcW w:w="611" w:type="pct"/>
            <w:shd w:val="clear" w:color="auto" w:fill="auto"/>
            <w:vAlign w:val="center"/>
          </w:tcPr>
          <w:p w14:paraId="571154B8" w14:textId="77777777" w:rsidR="004E5E32" w:rsidRPr="00E33387" w:rsidRDefault="004E5E32" w:rsidP="00EF1372">
            <w:pPr>
              <w:jc w:val="center"/>
              <w:rPr>
                <w:sz w:val="20"/>
                <w:szCs w:val="20"/>
              </w:rPr>
            </w:pPr>
            <w:r w:rsidRPr="00E33387">
              <w:rPr>
                <w:sz w:val="20"/>
                <w:szCs w:val="20"/>
              </w:rPr>
              <w:t>40.71 (6.25)</w:t>
            </w:r>
          </w:p>
        </w:tc>
        <w:tc>
          <w:tcPr>
            <w:tcW w:w="817" w:type="pct"/>
            <w:shd w:val="clear" w:color="auto" w:fill="auto"/>
            <w:vAlign w:val="center"/>
          </w:tcPr>
          <w:p w14:paraId="4EEBE9CA" w14:textId="77777777" w:rsidR="004E5E32" w:rsidRPr="00E33387" w:rsidRDefault="004E5E32" w:rsidP="00EF1372">
            <w:pPr>
              <w:jc w:val="center"/>
              <w:rPr>
                <w:sz w:val="20"/>
                <w:szCs w:val="20"/>
              </w:rPr>
            </w:pPr>
            <w:r w:rsidRPr="00E33387">
              <w:rPr>
                <w:sz w:val="20"/>
                <w:szCs w:val="20"/>
              </w:rPr>
              <w:t>t(70.8) = -0.03, p = .98</w:t>
            </w:r>
          </w:p>
        </w:tc>
        <w:tc>
          <w:tcPr>
            <w:tcW w:w="543" w:type="pct"/>
            <w:shd w:val="clear" w:color="auto" w:fill="auto"/>
            <w:vAlign w:val="center"/>
          </w:tcPr>
          <w:p w14:paraId="4B74C725" w14:textId="77777777" w:rsidR="004E5E32" w:rsidRPr="00E33387" w:rsidRDefault="004E5E32" w:rsidP="00EF1372">
            <w:pPr>
              <w:jc w:val="center"/>
              <w:rPr>
                <w:sz w:val="20"/>
                <w:szCs w:val="20"/>
              </w:rPr>
            </w:pPr>
            <w:r w:rsidRPr="00E33387">
              <w:rPr>
                <w:sz w:val="20"/>
                <w:szCs w:val="20"/>
              </w:rPr>
              <w:t>35.12 (5.21)</w:t>
            </w:r>
          </w:p>
        </w:tc>
        <w:tc>
          <w:tcPr>
            <w:tcW w:w="613" w:type="pct"/>
            <w:shd w:val="clear" w:color="auto" w:fill="auto"/>
            <w:vAlign w:val="center"/>
          </w:tcPr>
          <w:p w14:paraId="5A08AB55" w14:textId="77777777" w:rsidR="004E5E32" w:rsidRPr="00E33387" w:rsidRDefault="004E5E32" w:rsidP="00EF1372">
            <w:pPr>
              <w:jc w:val="center"/>
              <w:rPr>
                <w:sz w:val="20"/>
                <w:szCs w:val="20"/>
              </w:rPr>
            </w:pPr>
            <w:r w:rsidRPr="00E33387">
              <w:rPr>
                <w:sz w:val="20"/>
                <w:szCs w:val="20"/>
              </w:rPr>
              <w:t>37.00 (5.08)</w:t>
            </w:r>
          </w:p>
        </w:tc>
        <w:tc>
          <w:tcPr>
            <w:tcW w:w="529" w:type="pct"/>
            <w:shd w:val="clear" w:color="auto" w:fill="auto"/>
            <w:vAlign w:val="center"/>
          </w:tcPr>
          <w:p w14:paraId="19A1D45E" w14:textId="77777777" w:rsidR="004E5E32" w:rsidRPr="00E33387" w:rsidRDefault="004E5E32" w:rsidP="00EF1372">
            <w:pPr>
              <w:jc w:val="center"/>
              <w:rPr>
                <w:sz w:val="20"/>
                <w:szCs w:val="20"/>
              </w:rPr>
            </w:pPr>
            <w:r w:rsidRPr="00E33387">
              <w:rPr>
                <w:sz w:val="20"/>
                <w:szCs w:val="20"/>
              </w:rPr>
              <w:t>32.52 (8.81)</w:t>
            </w:r>
          </w:p>
        </w:tc>
        <w:tc>
          <w:tcPr>
            <w:tcW w:w="612" w:type="pct"/>
            <w:shd w:val="clear" w:color="auto" w:fill="auto"/>
            <w:vAlign w:val="center"/>
          </w:tcPr>
          <w:p w14:paraId="705CD09E" w14:textId="77777777" w:rsidR="004E5E32" w:rsidRPr="00E33387" w:rsidRDefault="004E5E32" w:rsidP="00EF1372">
            <w:pPr>
              <w:jc w:val="center"/>
              <w:rPr>
                <w:sz w:val="20"/>
                <w:szCs w:val="20"/>
              </w:rPr>
            </w:pPr>
            <w:r w:rsidRPr="00E33387">
              <w:rPr>
                <w:sz w:val="20"/>
                <w:szCs w:val="20"/>
              </w:rPr>
              <w:t>35.31 (7.76)</w:t>
            </w:r>
          </w:p>
        </w:tc>
      </w:tr>
      <w:tr w:rsidR="007D52FC" w:rsidRPr="00E33387" w14:paraId="78FD367B" w14:textId="77777777" w:rsidTr="00EF1372">
        <w:trPr>
          <w:trHeight w:val="309"/>
        </w:trPr>
        <w:tc>
          <w:tcPr>
            <w:tcW w:w="747" w:type="pct"/>
            <w:shd w:val="clear" w:color="auto" w:fill="auto"/>
            <w:vAlign w:val="center"/>
          </w:tcPr>
          <w:p w14:paraId="57E1AB46" w14:textId="77777777" w:rsidR="004E5E32" w:rsidRPr="00E33387" w:rsidRDefault="004E5E32" w:rsidP="00EF1372">
            <w:pPr>
              <w:rPr>
                <w:sz w:val="20"/>
                <w:szCs w:val="20"/>
              </w:rPr>
            </w:pPr>
            <w:r>
              <w:rPr>
                <w:sz w:val="20"/>
                <w:szCs w:val="20"/>
              </w:rPr>
              <w:t>AAQH Acquisition</w:t>
            </w:r>
          </w:p>
        </w:tc>
        <w:tc>
          <w:tcPr>
            <w:tcW w:w="529" w:type="pct"/>
            <w:shd w:val="clear" w:color="auto" w:fill="auto"/>
            <w:vAlign w:val="center"/>
          </w:tcPr>
          <w:p w14:paraId="07748795" w14:textId="77777777" w:rsidR="004E5E32" w:rsidRPr="00E33387" w:rsidRDefault="004E5E32" w:rsidP="00EF1372">
            <w:pPr>
              <w:jc w:val="center"/>
              <w:rPr>
                <w:sz w:val="20"/>
                <w:szCs w:val="20"/>
              </w:rPr>
            </w:pPr>
            <w:r w:rsidRPr="00E33387">
              <w:rPr>
                <w:sz w:val="20"/>
                <w:szCs w:val="20"/>
              </w:rPr>
              <w:t>34.56 (6.40)</w:t>
            </w:r>
          </w:p>
        </w:tc>
        <w:tc>
          <w:tcPr>
            <w:tcW w:w="611" w:type="pct"/>
            <w:shd w:val="clear" w:color="auto" w:fill="auto"/>
            <w:vAlign w:val="center"/>
          </w:tcPr>
          <w:p w14:paraId="1C8208DE" w14:textId="77777777" w:rsidR="004E5E32" w:rsidRPr="00E33387" w:rsidRDefault="004E5E32" w:rsidP="00EF1372">
            <w:pPr>
              <w:jc w:val="center"/>
              <w:rPr>
                <w:sz w:val="20"/>
                <w:szCs w:val="20"/>
              </w:rPr>
            </w:pPr>
            <w:r w:rsidRPr="00E33387">
              <w:rPr>
                <w:sz w:val="20"/>
                <w:szCs w:val="20"/>
              </w:rPr>
              <w:t>34.06 (7.62)</w:t>
            </w:r>
          </w:p>
        </w:tc>
        <w:tc>
          <w:tcPr>
            <w:tcW w:w="817" w:type="pct"/>
            <w:shd w:val="clear" w:color="auto" w:fill="auto"/>
            <w:vAlign w:val="center"/>
          </w:tcPr>
          <w:p w14:paraId="439AE6CB" w14:textId="77777777" w:rsidR="004E5E32" w:rsidRPr="00E33387" w:rsidRDefault="004E5E32" w:rsidP="00EF1372">
            <w:pPr>
              <w:jc w:val="center"/>
              <w:rPr>
                <w:sz w:val="20"/>
                <w:szCs w:val="20"/>
              </w:rPr>
            </w:pPr>
            <w:r w:rsidRPr="00E33387">
              <w:rPr>
                <w:sz w:val="20"/>
                <w:szCs w:val="20"/>
              </w:rPr>
              <w:t>t(71) = -0.76, p = .45</w:t>
            </w:r>
          </w:p>
        </w:tc>
        <w:tc>
          <w:tcPr>
            <w:tcW w:w="543" w:type="pct"/>
            <w:shd w:val="clear" w:color="auto" w:fill="auto"/>
            <w:vAlign w:val="center"/>
          </w:tcPr>
          <w:p w14:paraId="2894D1CA" w14:textId="77777777" w:rsidR="004E5E32" w:rsidRPr="00E33387" w:rsidRDefault="004E5E32" w:rsidP="00EF1372">
            <w:pPr>
              <w:jc w:val="center"/>
              <w:rPr>
                <w:sz w:val="20"/>
                <w:szCs w:val="20"/>
              </w:rPr>
            </w:pPr>
            <w:r w:rsidRPr="00E33387">
              <w:rPr>
                <w:sz w:val="20"/>
                <w:szCs w:val="20"/>
              </w:rPr>
              <w:t>28.42 (6.15)</w:t>
            </w:r>
          </w:p>
        </w:tc>
        <w:tc>
          <w:tcPr>
            <w:tcW w:w="613" w:type="pct"/>
            <w:shd w:val="clear" w:color="auto" w:fill="auto"/>
            <w:vAlign w:val="center"/>
          </w:tcPr>
          <w:p w14:paraId="7040F644" w14:textId="77777777" w:rsidR="004E5E32" w:rsidRPr="00E33387" w:rsidRDefault="004E5E32" w:rsidP="00EF1372">
            <w:pPr>
              <w:jc w:val="center"/>
              <w:rPr>
                <w:sz w:val="20"/>
                <w:szCs w:val="20"/>
              </w:rPr>
            </w:pPr>
            <w:r w:rsidRPr="00E33387">
              <w:rPr>
                <w:sz w:val="20"/>
                <w:szCs w:val="20"/>
              </w:rPr>
              <w:t>30.35 (7.20)</w:t>
            </w:r>
          </w:p>
        </w:tc>
        <w:tc>
          <w:tcPr>
            <w:tcW w:w="529" w:type="pct"/>
            <w:shd w:val="clear" w:color="auto" w:fill="auto"/>
            <w:vAlign w:val="center"/>
          </w:tcPr>
          <w:p w14:paraId="07347E46" w14:textId="77777777" w:rsidR="004E5E32" w:rsidRPr="00E33387" w:rsidRDefault="004E5E32" w:rsidP="00EF1372">
            <w:pPr>
              <w:jc w:val="center"/>
              <w:rPr>
                <w:sz w:val="20"/>
                <w:szCs w:val="20"/>
              </w:rPr>
            </w:pPr>
            <w:r w:rsidRPr="00E33387">
              <w:rPr>
                <w:sz w:val="20"/>
                <w:szCs w:val="20"/>
              </w:rPr>
              <w:t>25.28 (7.34)</w:t>
            </w:r>
          </w:p>
        </w:tc>
        <w:tc>
          <w:tcPr>
            <w:tcW w:w="612" w:type="pct"/>
            <w:shd w:val="clear" w:color="auto" w:fill="auto"/>
            <w:vAlign w:val="center"/>
          </w:tcPr>
          <w:p w14:paraId="03DD08BE" w14:textId="77777777" w:rsidR="004E5E32" w:rsidRPr="00E33387" w:rsidRDefault="004E5E32" w:rsidP="00EF1372">
            <w:pPr>
              <w:jc w:val="center"/>
              <w:rPr>
                <w:sz w:val="20"/>
                <w:szCs w:val="20"/>
              </w:rPr>
            </w:pPr>
            <w:r w:rsidRPr="00E33387">
              <w:rPr>
                <w:sz w:val="20"/>
                <w:szCs w:val="20"/>
              </w:rPr>
              <w:t>30.07 (7.77)</w:t>
            </w:r>
          </w:p>
        </w:tc>
      </w:tr>
      <w:tr w:rsidR="007D52FC" w:rsidRPr="00E33387" w14:paraId="63427C35" w14:textId="77777777" w:rsidTr="00EF1372">
        <w:trPr>
          <w:trHeight w:val="309"/>
        </w:trPr>
        <w:tc>
          <w:tcPr>
            <w:tcW w:w="747" w:type="pct"/>
            <w:shd w:val="clear" w:color="auto" w:fill="auto"/>
            <w:vAlign w:val="center"/>
          </w:tcPr>
          <w:p w14:paraId="452A2302" w14:textId="77777777" w:rsidR="004E5E32" w:rsidRPr="00E33387" w:rsidRDefault="004E5E32" w:rsidP="00EF1372">
            <w:pPr>
              <w:rPr>
                <w:sz w:val="20"/>
                <w:szCs w:val="20"/>
              </w:rPr>
            </w:pPr>
            <w:r w:rsidRPr="00E33387">
              <w:rPr>
                <w:sz w:val="20"/>
                <w:szCs w:val="20"/>
              </w:rPr>
              <w:t>FFMQ Acting with Awareness</w:t>
            </w:r>
          </w:p>
        </w:tc>
        <w:tc>
          <w:tcPr>
            <w:tcW w:w="529" w:type="pct"/>
            <w:shd w:val="clear" w:color="auto" w:fill="auto"/>
            <w:vAlign w:val="center"/>
          </w:tcPr>
          <w:p w14:paraId="7C8DDE63" w14:textId="77777777" w:rsidR="004E5E32" w:rsidRPr="00E33387" w:rsidRDefault="004E5E32" w:rsidP="00EF1372">
            <w:pPr>
              <w:jc w:val="center"/>
              <w:rPr>
                <w:sz w:val="20"/>
                <w:szCs w:val="20"/>
              </w:rPr>
            </w:pPr>
            <w:r w:rsidRPr="00E33387">
              <w:rPr>
                <w:sz w:val="20"/>
                <w:szCs w:val="20"/>
              </w:rPr>
              <w:t>20.00 (5.20)</w:t>
            </w:r>
          </w:p>
        </w:tc>
        <w:tc>
          <w:tcPr>
            <w:tcW w:w="611" w:type="pct"/>
            <w:shd w:val="clear" w:color="auto" w:fill="auto"/>
            <w:vAlign w:val="center"/>
          </w:tcPr>
          <w:p w14:paraId="699973EC" w14:textId="77777777" w:rsidR="004E5E32" w:rsidRPr="00E33387" w:rsidRDefault="004E5E32" w:rsidP="00EF1372">
            <w:pPr>
              <w:jc w:val="center"/>
              <w:rPr>
                <w:sz w:val="20"/>
                <w:szCs w:val="20"/>
              </w:rPr>
            </w:pPr>
            <w:r w:rsidRPr="00E33387">
              <w:rPr>
                <w:sz w:val="20"/>
                <w:szCs w:val="20"/>
              </w:rPr>
              <w:t>19.00 (3.87)</w:t>
            </w:r>
          </w:p>
        </w:tc>
        <w:tc>
          <w:tcPr>
            <w:tcW w:w="817" w:type="pct"/>
            <w:shd w:val="clear" w:color="auto" w:fill="auto"/>
            <w:vAlign w:val="center"/>
          </w:tcPr>
          <w:p w14:paraId="3F011D98" w14:textId="77777777" w:rsidR="004E5E32" w:rsidRPr="00E33387" w:rsidRDefault="004E5E32" w:rsidP="00EF1372">
            <w:pPr>
              <w:jc w:val="center"/>
              <w:rPr>
                <w:sz w:val="20"/>
                <w:szCs w:val="20"/>
              </w:rPr>
            </w:pPr>
            <w:r w:rsidRPr="00E33387">
              <w:rPr>
                <w:sz w:val="20"/>
                <w:szCs w:val="20"/>
              </w:rPr>
              <w:t>t(68.9) = 1.85, p = .07</w:t>
            </w:r>
          </w:p>
        </w:tc>
        <w:tc>
          <w:tcPr>
            <w:tcW w:w="543" w:type="pct"/>
            <w:shd w:val="clear" w:color="auto" w:fill="auto"/>
            <w:vAlign w:val="center"/>
          </w:tcPr>
          <w:p w14:paraId="28D92989" w14:textId="77777777" w:rsidR="004E5E32" w:rsidRPr="00E33387" w:rsidRDefault="004E5E32" w:rsidP="00EF1372">
            <w:pPr>
              <w:jc w:val="center"/>
              <w:rPr>
                <w:sz w:val="20"/>
                <w:szCs w:val="20"/>
              </w:rPr>
            </w:pPr>
            <w:r w:rsidRPr="00E33387">
              <w:rPr>
                <w:sz w:val="20"/>
                <w:szCs w:val="20"/>
              </w:rPr>
              <w:t>22.92 (5.04)</w:t>
            </w:r>
          </w:p>
        </w:tc>
        <w:tc>
          <w:tcPr>
            <w:tcW w:w="613" w:type="pct"/>
            <w:shd w:val="clear" w:color="auto" w:fill="auto"/>
            <w:vAlign w:val="center"/>
          </w:tcPr>
          <w:p w14:paraId="2E1B3407" w14:textId="77777777" w:rsidR="004E5E32" w:rsidRPr="00E33387" w:rsidRDefault="004E5E32" w:rsidP="00EF1372">
            <w:pPr>
              <w:jc w:val="center"/>
              <w:rPr>
                <w:sz w:val="20"/>
                <w:szCs w:val="20"/>
              </w:rPr>
            </w:pPr>
            <w:r w:rsidRPr="00E33387">
              <w:rPr>
                <w:sz w:val="20"/>
                <w:szCs w:val="20"/>
              </w:rPr>
              <w:t>19.88 (4.56)</w:t>
            </w:r>
          </w:p>
        </w:tc>
        <w:tc>
          <w:tcPr>
            <w:tcW w:w="529" w:type="pct"/>
            <w:shd w:val="clear" w:color="auto" w:fill="auto"/>
            <w:vAlign w:val="center"/>
          </w:tcPr>
          <w:p w14:paraId="64A7C06A" w14:textId="77777777" w:rsidR="004E5E32" w:rsidRPr="00E33387" w:rsidRDefault="004E5E32" w:rsidP="00EF1372">
            <w:pPr>
              <w:jc w:val="center"/>
              <w:rPr>
                <w:sz w:val="20"/>
                <w:szCs w:val="20"/>
              </w:rPr>
            </w:pPr>
            <w:r w:rsidRPr="00E33387">
              <w:rPr>
                <w:sz w:val="20"/>
                <w:szCs w:val="20"/>
              </w:rPr>
              <w:t>25.28 (4.77)</w:t>
            </w:r>
          </w:p>
        </w:tc>
        <w:tc>
          <w:tcPr>
            <w:tcW w:w="612" w:type="pct"/>
            <w:shd w:val="clear" w:color="auto" w:fill="auto"/>
            <w:vAlign w:val="center"/>
          </w:tcPr>
          <w:p w14:paraId="128D947A" w14:textId="77777777" w:rsidR="004E5E32" w:rsidRPr="00E33387" w:rsidRDefault="004E5E32" w:rsidP="00EF1372">
            <w:pPr>
              <w:jc w:val="center"/>
              <w:rPr>
                <w:sz w:val="20"/>
                <w:szCs w:val="20"/>
              </w:rPr>
            </w:pPr>
            <w:r w:rsidRPr="00E33387">
              <w:rPr>
                <w:sz w:val="20"/>
                <w:szCs w:val="20"/>
              </w:rPr>
              <w:t>21.72 (5.95)</w:t>
            </w:r>
          </w:p>
        </w:tc>
      </w:tr>
    </w:tbl>
    <w:p w14:paraId="5F5EEC0D" w14:textId="77777777" w:rsidR="004F33C0" w:rsidRDefault="004F33C0">
      <w:pPr>
        <w:spacing w:after="160" w:line="259" w:lineRule="auto"/>
        <w:rPr>
          <w:b/>
          <w:bCs/>
        </w:rPr>
      </w:pPr>
      <w:r>
        <w:rPr>
          <w:b/>
          <w:bCs/>
        </w:rPr>
        <w:br w:type="page"/>
      </w:r>
    </w:p>
    <w:p w14:paraId="29DD3657" w14:textId="2EC6C8DF" w:rsidR="004F33C0" w:rsidRDefault="004F33C0" w:rsidP="004F33C0">
      <w:pPr>
        <w:rPr>
          <w:b/>
          <w:bCs/>
        </w:rPr>
      </w:pPr>
      <w:r w:rsidRPr="004A375A">
        <w:rPr>
          <w:b/>
          <w:bCs/>
        </w:rPr>
        <w:lastRenderedPageBreak/>
        <w:t xml:space="preserve">Table </w:t>
      </w:r>
      <w:r>
        <w:rPr>
          <w:b/>
          <w:bCs/>
        </w:rPr>
        <w:t>2</w:t>
      </w:r>
    </w:p>
    <w:p w14:paraId="267A6C2B" w14:textId="77777777" w:rsidR="004F33C0" w:rsidRDefault="004F33C0" w:rsidP="004F33C0">
      <w:pPr>
        <w:rPr>
          <w:b/>
          <w:bCs/>
        </w:rPr>
      </w:pPr>
    </w:p>
    <w:p w14:paraId="419468D1" w14:textId="7F573758" w:rsidR="004F33C0" w:rsidRPr="00B020C4" w:rsidRDefault="00036AB3" w:rsidP="004F33C0">
      <w:pPr>
        <w:contextualSpacing/>
        <w:rPr>
          <w:b/>
          <w:bCs/>
          <w:i/>
          <w:iCs/>
        </w:rPr>
      </w:pPr>
      <w:r>
        <w:rPr>
          <w:b/>
          <w:bCs/>
          <w:i/>
          <w:iCs/>
        </w:rPr>
        <w:t>Zero-Order Correlations at Baseline</w:t>
      </w:r>
    </w:p>
    <w:p w14:paraId="7585E06E" w14:textId="77777777" w:rsidR="004F33C0" w:rsidRPr="007F5727" w:rsidRDefault="004F33C0" w:rsidP="004F33C0">
      <w:pPr>
        <w:contextualSpacing/>
        <w:rPr>
          <w:i/>
          <w:iCs/>
        </w:rPr>
      </w:pPr>
    </w:p>
    <w:tbl>
      <w:tblPr>
        <w:tblStyle w:val="TableGrid"/>
        <w:tblW w:w="11266" w:type="dxa"/>
        <w:tblInd w:w="-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3"/>
        <w:gridCol w:w="1190"/>
        <w:gridCol w:w="1190"/>
        <w:gridCol w:w="1191"/>
        <w:gridCol w:w="1190"/>
        <w:gridCol w:w="1191"/>
        <w:gridCol w:w="1190"/>
        <w:gridCol w:w="1191"/>
        <w:gridCol w:w="1190"/>
      </w:tblGrid>
      <w:tr w:rsidR="00CF3E6A" w:rsidRPr="00E33387" w14:paraId="014CCF98" w14:textId="77777777" w:rsidTr="0008032F">
        <w:trPr>
          <w:trHeight w:val="324"/>
        </w:trPr>
        <w:tc>
          <w:tcPr>
            <w:tcW w:w="1743" w:type="dxa"/>
            <w:tcBorders>
              <w:top w:val="single" w:sz="4" w:space="0" w:color="auto"/>
              <w:bottom w:val="single" w:sz="4" w:space="0" w:color="auto"/>
            </w:tcBorders>
            <w:shd w:val="clear" w:color="auto" w:fill="auto"/>
            <w:vAlign w:val="center"/>
          </w:tcPr>
          <w:p w14:paraId="3237C82F" w14:textId="77777777" w:rsidR="00CF3E6A" w:rsidRDefault="00CF3E6A" w:rsidP="00036AB3">
            <w:pPr>
              <w:rPr>
                <w:sz w:val="20"/>
                <w:szCs w:val="20"/>
              </w:rPr>
            </w:pPr>
          </w:p>
        </w:tc>
        <w:tc>
          <w:tcPr>
            <w:tcW w:w="1190" w:type="dxa"/>
            <w:tcBorders>
              <w:top w:val="single" w:sz="4" w:space="0" w:color="auto"/>
              <w:bottom w:val="single" w:sz="4" w:space="0" w:color="auto"/>
            </w:tcBorders>
            <w:vAlign w:val="center"/>
          </w:tcPr>
          <w:p w14:paraId="30153BEB" w14:textId="17CD4472" w:rsidR="00CF3E6A" w:rsidRDefault="00CF3E6A" w:rsidP="0008032F">
            <w:pPr>
              <w:jc w:val="center"/>
              <w:rPr>
                <w:sz w:val="20"/>
                <w:szCs w:val="20"/>
              </w:rPr>
            </w:pPr>
            <w:r>
              <w:rPr>
                <w:sz w:val="20"/>
                <w:szCs w:val="20"/>
              </w:rPr>
              <w:t>M (SD)</w:t>
            </w:r>
          </w:p>
        </w:tc>
        <w:tc>
          <w:tcPr>
            <w:tcW w:w="1190" w:type="dxa"/>
            <w:tcBorders>
              <w:top w:val="single" w:sz="4" w:space="0" w:color="auto"/>
              <w:bottom w:val="single" w:sz="4" w:space="0" w:color="auto"/>
            </w:tcBorders>
            <w:shd w:val="clear" w:color="auto" w:fill="auto"/>
            <w:vAlign w:val="center"/>
          </w:tcPr>
          <w:p w14:paraId="210784D3" w14:textId="2539A900" w:rsidR="00CF3E6A" w:rsidRPr="00E33387" w:rsidRDefault="00CF3E6A" w:rsidP="00036AB3">
            <w:pPr>
              <w:jc w:val="center"/>
              <w:rPr>
                <w:sz w:val="20"/>
                <w:szCs w:val="20"/>
              </w:rPr>
            </w:pPr>
            <w:r>
              <w:rPr>
                <w:sz w:val="20"/>
                <w:szCs w:val="20"/>
              </w:rPr>
              <w:t>1</w:t>
            </w:r>
          </w:p>
        </w:tc>
        <w:tc>
          <w:tcPr>
            <w:tcW w:w="1191" w:type="dxa"/>
            <w:tcBorders>
              <w:top w:val="single" w:sz="4" w:space="0" w:color="auto"/>
              <w:bottom w:val="single" w:sz="4" w:space="0" w:color="auto"/>
            </w:tcBorders>
            <w:shd w:val="clear" w:color="auto" w:fill="auto"/>
            <w:vAlign w:val="center"/>
          </w:tcPr>
          <w:p w14:paraId="387F4CA6" w14:textId="2AA77270" w:rsidR="00CF3E6A" w:rsidRPr="00E33387" w:rsidRDefault="00CF3E6A" w:rsidP="00036AB3">
            <w:pPr>
              <w:jc w:val="center"/>
              <w:rPr>
                <w:sz w:val="20"/>
                <w:szCs w:val="20"/>
              </w:rPr>
            </w:pPr>
            <w:r>
              <w:rPr>
                <w:sz w:val="20"/>
                <w:szCs w:val="20"/>
              </w:rPr>
              <w:t>2</w:t>
            </w:r>
          </w:p>
        </w:tc>
        <w:tc>
          <w:tcPr>
            <w:tcW w:w="1190" w:type="dxa"/>
            <w:tcBorders>
              <w:top w:val="single" w:sz="4" w:space="0" w:color="auto"/>
              <w:bottom w:val="single" w:sz="4" w:space="0" w:color="auto"/>
            </w:tcBorders>
            <w:shd w:val="clear" w:color="auto" w:fill="auto"/>
            <w:vAlign w:val="center"/>
          </w:tcPr>
          <w:p w14:paraId="06AC466A" w14:textId="74DDEB1B" w:rsidR="00CF3E6A" w:rsidRPr="00E33387" w:rsidRDefault="00CF3E6A" w:rsidP="00036AB3">
            <w:pPr>
              <w:jc w:val="center"/>
              <w:rPr>
                <w:sz w:val="20"/>
                <w:szCs w:val="20"/>
              </w:rPr>
            </w:pPr>
            <w:r>
              <w:rPr>
                <w:sz w:val="20"/>
                <w:szCs w:val="20"/>
              </w:rPr>
              <w:t>3</w:t>
            </w:r>
          </w:p>
        </w:tc>
        <w:tc>
          <w:tcPr>
            <w:tcW w:w="1191" w:type="dxa"/>
            <w:tcBorders>
              <w:top w:val="single" w:sz="4" w:space="0" w:color="auto"/>
              <w:bottom w:val="single" w:sz="4" w:space="0" w:color="auto"/>
            </w:tcBorders>
            <w:shd w:val="clear" w:color="auto" w:fill="auto"/>
            <w:vAlign w:val="center"/>
          </w:tcPr>
          <w:p w14:paraId="1A15F646" w14:textId="00916266" w:rsidR="00CF3E6A" w:rsidRPr="00E33387" w:rsidRDefault="00CF3E6A" w:rsidP="00036AB3">
            <w:pPr>
              <w:jc w:val="center"/>
              <w:rPr>
                <w:sz w:val="20"/>
                <w:szCs w:val="20"/>
              </w:rPr>
            </w:pPr>
            <w:r>
              <w:rPr>
                <w:sz w:val="20"/>
                <w:szCs w:val="20"/>
              </w:rPr>
              <w:t>4</w:t>
            </w:r>
          </w:p>
        </w:tc>
        <w:tc>
          <w:tcPr>
            <w:tcW w:w="1190" w:type="dxa"/>
            <w:tcBorders>
              <w:top w:val="single" w:sz="4" w:space="0" w:color="auto"/>
              <w:bottom w:val="single" w:sz="4" w:space="0" w:color="auto"/>
            </w:tcBorders>
            <w:shd w:val="clear" w:color="auto" w:fill="auto"/>
            <w:vAlign w:val="center"/>
          </w:tcPr>
          <w:p w14:paraId="5795A3E2" w14:textId="647892A2" w:rsidR="00CF3E6A" w:rsidRPr="00E33387" w:rsidRDefault="00CF3E6A" w:rsidP="00036AB3">
            <w:pPr>
              <w:jc w:val="center"/>
              <w:rPr>
                <w:sz w:val="20"/>
                <w:szCs w:val="20"/>
              </w:rPr>
            </w:pPr>
            <w:r>
              <w:rPr>
                <w:sz w:val="20"/>
                <w:szCs w:val="20"/>
              </w:rPr>
              <w:t>5</w:t>
            </w:r>
          </w:p>
        </w:tc>
        <w:tc>
          <w:tcPr>
            <w:tcW w:w="1191" w:type="dxa"/>
            <w:tcBorders>
              <w:top w:val="single" w:sz="4" w:space="0" w:color="auto"/>
              <w:bottom w:val="single" w:sz="4" w:space="0" w:color="auto"/>
            </w:tcBorders>
            <w:shd w:val="clear" w:color="auto" w:fill="auto"/>
            <w:vAlign w:val="center"/>
          </w:tcPr>
          <w:p w14:paraId="22BD07BE" w14:textId="009E37CF" w:rsidR="00CF3E6A" w:rsidRPr="00E33387" w:rsidRDefault="00CF3E6A" w:rsidP="00036AB3">
            <w:pPr>
              <w:jc w:val="center"/>
              <w:rPr>
                <w:sz w:val="20"/>
                <w:szCs w:val="20"/>
              </w:rPr>
            </w:pPr>
            <w:r>
              <w:rPr>
                <w:sz w:val="20"/>
                <w:szCs w:val="20"/>
              </w:rPr>
              <w:t>6</w:t>
            </w:r>
          </w:p>
        </w:tc>
        <w:tc>
          <w:tcPr>
            <w:tcW w:w="1190" w:type="dxa"/>
            <w:tcBorders>
              <w:top w:val="single" w:sz="4" w:space="0" w:color="auto"/>
              <w:bottom w:val="single" w:sz="4" w:space="0" w:color="auto"/>
            </w:tcBorders>
            <w:shd w:val="clear" w:color="auto" w:fill="auto"/>
            <w:vAlign w:val="center"/>
          </w:tcPr>
          <w:p w14:paraId="48DEDA6A" w14:textId="50CFAECE" w:rsidR="00CF3E6A" w:rsidRPr="00E33387" w:rsidRDefault="00CF3E6A" w:rsidP="00036AB3">
            <w:pPr>
              <w:jc w:val="center"/>
              <w:rPr>
                <w:sz w:val="20"/>
                <w:szCs w:val="20"/>
              </w:rPr>
            </w:pPr>
            <w:r>
              <w:rPr>
                <w:sz w:val="20"/>
                <w:szCs w:val="20"/>
              </w:rPr>
              <w:t>7</w:t>
            </w:r>
          </w:p>
        </w:tc>
      </w:tr>
      <w:tr w:rsidR="00CF3E6A" w:rsidRPr="00E33387" w14:paraId="29C1102B" w14:textId="77777777" w:rsidTr="0008032F">
        <w:trPr>
          <w:trHeight w:val="324"/>
        </w:trPr>
        <w:tc>
          <w:tcPr>
            <w:tcW w:w="1743" w:type="dxa"/>
            <w:tcBorders>
              <w:top w:val="single" w:sz="4" w:space="0" w:color="auto"/>
            </w:tcBorders>
            <w:shd w:val="clear" w:color="auto" w:fill="auto"/>
            <w:vAlign w:val="center"/>
          </w:tcPr>
          <w:p w14:paraId="1AB00371" w14:textId="0D895504" w:rsidR="00CF3E6A" w:rsidRDefault="00CF3E6A" w:rsidP="00036AB3">
            <w:pPr>
              <w:rPr>
                <w:sz w:val="20"/>
                <w:szCs w:val="20"/>
              </w:rPr>
            </w:pPr>
            <w:r>
              <w:rPr>
                <w:sz w:val="20"/>
                <w:szCs w:val="20"/>
              </w:rPr>
              <w:t>1. SI-R Total</w:t>
            </w:r>
          </w:p>
        </w:tc>
        <w:tc>
          <w:tcPr>
            <w:tcW w:w="1190" w:type="dxa"/>
            <w:tcBorders>
              <w:top w:val="single" w:sz="4" w:space="0" w:color="auto"/>
            </w:tcBorders>
          </w:tcPr>
          <w:p w14:paraId="0E967CF3" w14:textId="79C50645" w:rsidR="00CF3E6A" w:rsidRPr="00E33387" w:rsidRDefault="00CF3E6A" w:rsidP="00036AB3">
            <w:pPr>
              <w:jc w:val="center"/>
              <w:rPr>
                <w:sz w:val="20"/>
                <w:szCs w:val="20"/>
              </w:rPr>
            </w:pPr>
            <w:r>
              <w:rPr>
                <w:sz w:val="20"/>
                <w:szCs w:val="20"/>
              </w:rPr>
              <w:t>65.99 (12.24)</w:t>
            </w:r>
          </w:p>
        </w:tc>
        <w:tc>
          <w:tcPr>
            <w:tcW w:w="1190" w:type="dxa"/>
            <w:tcBorders>
              <w:top w:val="single" w:sz="4" w:space="0" w:color="auto"/>
            </w:tcBorders>
            <w:shd w:val="clear" w:color="auto" w:fill="auto"/>
            <w:vAlign w:val="center"/>
          </w:tcPr>
          <w:p w14:paraId="6D80D40C" w14:textId="39A874D2" w:rsidR="00CF3E6A" w:rsidRPr="00E33387" w:rsidRDefault="00CF3E6A" w:rsidP="00036AB3">
            <w:pPr>
              <w:jc w:val="center"/>
              <w:rPr>
                <w:sz w:val="20"/>
                <w:szCs w:val="20"/>
              </w:rPr>
            </w:pPr>
          </w:p>
        </w:tc>
        <w:tc>
          <w:tcPr>
            <w:tcW w:w="1191" w:type="dxa"/>
            <w:tcBorders>
              <w:top w:val="single" w:sz="4" w:space="0" w:color="auto"/>
            </w:tcBorders>
            <w:shd w:val="clear" w:color="auto" w:fill="auto"/>
            <w:vAlign w:val="center"/>
          </w:tcPr>
          <w:p w14:paraId="0253D3F0" w14:textId="77777777" w:rsidR="00CF3E6A" w:rsidRPr="00E33387" w:rsidRDefault="00CF3E6A" w:rsidP="00036AB3">
            <w:pPr>
              <w:jc w:val="center"/>
              <w:rPr>
                <w:sz w:val="20"/>
                <w:szCs w:val="20"/>
              </w:rPr>
            </w:pPr>
          </w:p>
        </w:tc>
        <w:tc>
          <w:tcPr>
            <w:tcW w:w="1190" w:type="dxa"/>
            <w:tcBorders>
              <w:top w:val="single" w:sz="4" w:space="0" w:color="auto"/>
            </w:tcBorders>
            <w:shd w:val="clear" w:color="auto" w:fill="auto"/>
            <w:vAlign w:val="center"/>
          </w:tcPr>
          <w:p w14:paraId="64F6502A" w14:textId="77777777" w:rsidR="00CF3E6A" w:rsidRPr="00E33387" w:rsidRDefault="00CF3E6A" w:rsidP="00036AB3">
            <w:pPr>
              <w:jc w:val="center"/>
              <w:rPr>
                <w:sz w:val="20"/>
                <w:szCs w:val="20"/>
              </w:rPr>
            </w:pPr>
          </w:p>
        </w:tc>
        <w:tc>
          <w:tcPr>
            <w:tcW w:w="1191" w:type="dxa"/>
            <w:tcBorders>
              <w:top w:val="single" w:sz="4" w:space="0" w:color="auto"/>
            </w:tcBorders>
            <w:shd w:val="clear" w:color="auto" w:fill="auto"/>
            <w:vAlign w:val="center"/>
          </w:tcPr>
          <w:p w14:paraId="586E3B04" w14:textId="77777777" w:rsidR="00CF3E6A" w:rsidRPr="00E33387" w:rsidRDefault="00CF3E6A" w:rsidP="00036AB3">
            <w:pPr>
              <w:jc w:val="center"/>
              <w:rPr>
                <w:sz w:val="20"/>
                <w:szCs w:val="20"/>
              </w:rPr>
            </w:pPr>
          </w:p>
        </w:tc>
        <w:tc>
          <w:tcPr>
            <w:tcW w:w="1190" w:type="dxa"/>
            <w:tcBorders>
              <w:top w:val="single" w:sz="4" w:space="0" w:color="auto"/>
            </w:tcBorders>
            <w:shd w:val="clear" w:color="auto" w:fill="auto"/>
            <w:vAlign w:val="center"/>
          </w:tcPr>
          <w:p w14:paraId="17DAFE8B" w14:textId="77777777" w:rsidR="00CF3E6A" w:rsidRPr="00E33387" w:rsidRDefault="00CF3E6A" w:rsidP="00036AB3">
            <w:pPr>
              <w:jc w:val="center"/>
              <w:rPr>
                <w:sz w:val="20"/>
                <w:szCs w:val="20"/>
              </w:rPr>
            </w:pPr>
          </w:p>
        </w:tc>
        <w:tc>
          <w:tcPr>
            <w:tcW w:w="1191" w:type="dxa"/>
            <w:tcBorders>
              <w:top w:val="single" w:sz="4" w:space="0" w:color="auto"/>
            </w:tcBorders>
            <w:shd w:val="clear" w:color="auto" w:fill="auto"/>
            <w:vAlign w:val="center"/>
          </w:tcPr>
          <w:p w14:paraId="4763D829" w14:textId="77777777" w:rsidR="00CF3E6A" w:rsidRPr="00E33387" w:rsidRDefault="00CF3E6A" w:rsidP="00036AB3">
            <w:pPr>
              <w:jc w:val="center"/>
              <w:rPr>
                <w:sz w:val="20"/>
                <w:szCs w:val="20"/>
              </w:rPr>
            </w:pPr>
          </w:p>
        </w:tc>
        <w:tc>
          <w:tcPr>
            <w:tcW w:w="1190" w:type="dxa"/>
            <w:tcBorders>
              <w:top w:val="single" w:sz="4" w:space="0" w:color="auto"/>
            </w:tcBorders>
            <w:shd w:val="clear" w:color="auto" w:fill="auto"/>
            <w:vAlign w:val="center"/>
          </w:tcPr>
          <w:p w14:paraId="5C68898A" w14:textId="77777777" w:rsidR="00CF3E6A" w:rsidRPr="00E33387" w:rsidRDefault="00CF3E6A" w:rsidP="00036AB3">
            <w:pPr>
              <w:jc w:val="center"/>
              <w:rPr>
                <w:sz w:val="20"/>
                <w:szCs w:val="20"/>
              </w:rPr>
            </w:pPr>
          </w:p>
        </w:tc>
      </w:tr>
      <w:tr w:rsidR="00CF3E6A" w:rsidRPr="00E33387" w14:paraId="64249CEE" w14:textId="3CD6D7BC" w:rsidTr="0008032F">
        <w:trPr>
          <w:trHeight w:val="324"/>
        </w:trPr>
        <w:tc>
          <w:tcPr>
            <w:tcW w:w="1743" w:type="dxa"/>
            <w:shd w:val="clear" w:color="auto" w:fill="auto"/>
            <w:vAlign w:val="center"/>
          </w:tcPr>
          <w:p w14:paraId="42E89854" w14:textId="59E86FF2" w:rsidR="00CF3E6A" w:rsidRPr="00E33387" w:rsidRDefault="00CF3E6A" w:rsidP="00036AB3">
            <w:pPr>
              <w:rPr>
                <w:sz w:val="20"/>
                <w:szCs w:val="20"/>
              </w:rPr>
            </w:pPr>
            <w:r>
              <w:rPr>
                <w:sz w:val="20"/>
                <w:szCs w:val="20"/>
              </w:rPr>
              <w:t xml:space="preserve">2. </w:t>
            </w:r>
            <w:r w:rsidRPr="00E33387">
              <w:rPr>
                <w:sz w:val="20"/>
                <w:szCs w:val="20"/>
              </w:rPr>
              <w:t>Difference</w:t>
            </w:r>
          </w:p>
        </w:tc>
        <w:tc>
          <w:tcPr>
            <w:tcW w:w="1190" w:type="dxa"/>
          </w:tcPr>
          <w:p w14:paraId="59D44DD5" w14:textId="7C9FE651" w:rsidR="00CF3E6A" w:rsidRPr="00E33387" w:rsidRDefault="00CF3E6A" w:rsidP="00036AB3">
            <w:pPr>
              <w:jc w:val="center"/>
              <w:rPr>
                <w:sz w:val="20"/>
                <w:szCs w:val="20"/>
              </w:rPr>
            </w:pPr>
            <w:r>
              <w:rPr>
                <w:sz w:val="20"/>
                <w:szCs w:val="20"/>
              </w:rPr>
              <w:t>6.53 (2.05)</w:t>
            </w:r>
          </w:p>
        </w:tc>
        <w:tc>
          <w:tcPr>
            <w:tcW w:w="1190" w:type="dxa"/>
            <w:shd w:val="clear" w:color="auto" w:fill="auto"/>
            <w:vAlign w:val="center"/>
          </w:tcPr>
          <w:p w14:paraId="7028A940" w14:textId="3BA8A502" w:rsidR="00CF3E6A" w:rsidRPr="00E33387" w:rsidRDefault="00CF3E6A" w:rsidP="00036AB3">
            <w:pPr>
              <w:jc w:val="center"/>
              <w:rPr>
                <w:sz w:val="20"/>
                <w:szCs w:val="20"/>
              </w:rPr>
            </w:pPr>
            <w:r>
              <w:rPr>
                <w:sz w:val="20"/>
                <w:szCs w:val="20"/>
              </w:rPr>
              <w:t>.31**</w:t>
            </w:r>
          </w:p>
        </w:tc>
        <w:tc>
          <w:tcPr>
            <w:tcW w:w="1191" w:type="dxa"/>
            <w:shd w:val="clear" w:color="auto" w:fill="auto"/>
            <w:vAlign w:val="center"/>
          </w:tcPr>
          <w:p w14:paraId="62F1FB2D" w14:textId="36F6367C" w:rsidR="00CF3E6A" w:rsidRPr="00E33387" w:rsidRDefault="00CF3E6A" w:rsidP="00036AB3">
            <w:pPr>
              <w:jc w:val="center"/>
              <w:rPr>
                <w:sz w:val="20"/>
                <w:szCs w:val="20"/>
              </w:rPr>
            </w:pPr>
          </w:p>
        </w:tc>
        <w:tc>
          <w:tcPr>
            <w:tcW w:w="1190" w:type="dxa"/>
            <w:shd w:val="clear" w:color="auto" w:fill="auto"/>
            <w:vAlign w:val="center"/>
          </w:tcPr>
          <w:p w14:paraId="783DE228" w14:textId="4A3A3AFF" w:rsidR="00CF3E6A" w:rsidRPr="00E33387" w:rsidRDefault="00CF3E6A" w:rsidP="00036AB3">
            <w:pPr>
              <w:jc w:val="center"/>
              <w:rPr>
                <w:sz w:val="20"/>
                <w:szCs w:val="20"/>
              </w:rPr>
            </w:pPr>
          </w:p>
        </w:tc>
        <w:tc>
          <w:tcPr>
            <w:tcW w:w="1191" w:type="dxa"/>
            <w:shd w:val="clear" w:color="auto" w:fill="auto"/>
            <w:vAlign w:val="center"/>
          </w:tcPr>
          <w:p w14:paraId="791A1F8D" w14:textId="550F6248" w:rsidR="00CF3E6A" w:rsidRPr="00E33387" w:rsidRDefault="00CF3E6A" w:rsidP="00036AB3">
            <w:pPr>
              <w:jc w:val="center"/>
              <w:rPr>
                <w:sz w:val="20"/>
                <w:szCs w:val="20"/>
              </w:rPr>
            </w:pPr>
          </w:p>
        </w:tc>
        <w:tc>
          <w:tcPr>
            <w:tcW w:w="1190" w:type="dxa"/>
            <w:shd w:val="clear" w:color="auto" w:fill="auto"/>
            <w:vAlign w:val="center"/>
          </w:tcPr>
          <w:p w14:paraId="7A394A59" w14:textId="3CD5118F" w:rsidR="00CF3E6A" w:rsidRPr="00E33387" w:rsidRDefault="00CF3E6A" w:rsidP="00036AB3">
            <w:pPr>
              <w:jc w:val="center"/>
              <w:rPr>
                <w:sz w:val="20"/>
                <w:szCs w:val="20"/>
              </w:rPr>
            </w:pPr>
          </w:p>
        </w:tc>
        <w:tc>
          <w:tcPr>
            <w:tcW w:w="1191" w:type="dxa"/>
            <w:shd w:val="clear" w:color="auto" w:fill="auto"/>
            <w:vAlign w:val="center"/>
          </w:tcPr>
          <w:p w14:paraId="02E6285B" w14:textId="58D34A45" w:rsidR="00CF3E6A" w:rsidRPr="00E33387" w:rsidRDefault="00CF3E6A" w:rsidP="00036AB3">
            <w:pPr>
              <w:jc w:val="center"/>
              <w:rPr>
                <w:sz w:val="20"/>
                <w:szCs w:val="20"/>
              </w:rPr>
            </w:pPr>
          </w:p>
        </w:tc>
        <w:tc>
          <w:tcPr>
            <w:tcW w:w="1190" w:type="dxa"/>
            <w:shd w:val="clear" w:color="auto" w:fill="auto"/>
            <w:vAlign w:val="center"/>
          </w:tcPr>
          <w:p w14:paraId="52A6CD73" w14:textId="688F3438" w:rsidR="00CF3E6A" w:rsidRPr="00E33387" w:rsidRDefault="00CF3E6A" w:rsidP="00036AB3">
            <w:pPr>
              <w:jc w:val="center"/>
              <w:rPr>
                <w:sz w:val="20"/>
                <w:szCs w:val="20"/>
              </w:rPr>
            </w:pPr>
          </w:p>
        </w:tc>
      </w:tr>
      <w:tr w:rsidR="00CF3E6A" w:rsidRPr="00E33387" w14:paraId="40A954F8" w14:textId="581F2637" w:rsidTr="0008032F">
        <w:trPr>
          <w:trHeight w:val="324"/>
        </w:trPr>
        <w:tc>
          <w:tcPr>
            <w:tcW w:w="1743" w:type="dxa"/>
            <w:shd w:val="clear" w:color="auto" w:fill="auto"/>
            <w:vAlign w:val="center"/>
          </w:tcPr>
          <w:p w14:paraId="6BA5335F" w14:textId="243833F3" w:rsidR="00CF3E6A" w:rsidRPr="00E33387" w:rsidRDefault="00CF3E6A" w:rsidP="00036AB3">
            <w:pPr>
              <w:rPr>
                <w:sz w:val="20"/>
                <w:szCs w:val="20"/>
              </w:rPr>
            </w:pPr>
            <w:r>
              <w:rPr>
                <w:sz w:val="20"/>
                <w:szCs w:val="20"/>
              </w:rPr>
              <w:t xml:space="preserve">3. </w:t>
            </w:r>
            <w:r w:rsidRPr="00E33387">
              <w:rPr>
                <w:sz w:val="20"/>
                <w:szCs w:val="20"/>
              </w:rPr>
              <w:t>Disdain</w:t>
            </w:r>
          </w:p>
        </w:tc>
        <w:tc>
          <w:tcPr>
            <w:tcW w:w="1190" w:type="dxa"/>
          </w:tcPr>
          <w:p w14:paraId="5A7E9537" w14:textId="5BB0B675" w:rsidR="00CF3E6A" w:rsidRPr="00E33387" w:rsidRDefault="00CF3E6A" w:rsidP="00036AB3">
            <w:pPr>
              <w:jc w:val="center"/>
              <w:rPr>
                <w:sz w:val="20"/>
                <w:szCs w:val="20"/>
              </w:rPr>
            </w:pPr>
            <w:r>
              <w:rPr>
                <w:sz w:val="20"/>
                <w:szCs w:val="20"/>
              </w:rPr>
              <w:t>5.94 (1.93)</w:t>
            </w:r>
          </w:p>
        </w:tc>
        <w:tc>
          <w:tcPr>
            <w:tcW w:w="1190" w:type="dxa"/>
            <w:shd w:val="clear" w:color="auto" w:fill="auto"/>
            <w:vAlign w:val="center"/>
          </w:tcPr>
          <w:p w14:paraId="3BB0A658" w14:textId="45EB160A" w:rsidR="00CF3E6A" w:rsidRPr="00E33387" w:rsidRDefault="00CF3E6A" w:rsidP="00036AB3">
            <w:pPr>
              <w:jc w:val="center"/>
              <w:rPr>
                <w:sz w:val="20"/>
                <w:szCs w:val="20"/>
              </w:rPr>
            </w:pPr>
            <w:r>
              <w:rPr>
                <w:sz w:val="20"/>
                <w:szCs w:val="20"/>
              </w:rPr>
              <w:t>.21</w:t>
            </w:r>
          </w:p>
        </w:tc>
        <w:tc>
          <w:tcPr>
            <w:tcW w:w="1191" w:type="dxa"/>
            <w:shd w:val="clear" w:color="auto" w:fill="auto"/>
            <w:vAlign w:val="center"/>
          </w:tcPr>
          <w:p w14:paraId="02EA47ED" w14:textId="052156F2" w:rsidR="00CF3E6A" w:rsidRPr="00E33387" w:rsidRDefault="00CF3E6A" w:rsidP="00036AB3">
            <w:pPr>
              <w:jc w:val="center"/>
              <w:rPr>
                <w:sz w:val="20"/>
                <w:szCs w:val="20"/>
              </w:rPr>
            </w:pPr>
            <w:r>
              <w:rPr>
                <w:sz w:val="20"/>
                <w:szCs w:val="20"/>
              </w:rPr>
              <w:t>.50**</w:t>
            </w:r>
          </w:p>
        </w:tc>
        <w:tc>
          <w:tcPr>
            <w:tcW w:w="1190" w:type="dxa"/>
            <w:shd w:val="clear" w:color="auto" w:fill="auto"/>
            <w:vAlign w:val="center"/>
          </w:tcPr>
          <w:p w14:paraId="70D60D49" w14:textId="6C1F3FF8" w:rsidR="00CF3E6A" w:rsidRPr="00E33387" w:rsidRDefault="00CF3E6A" w:rsidP="00036AB3">
            <w:pPr>
              <w:jc w:val="center"/>
              <w:rPr>
                <w:sz w:val="20"/>
                <w:szCs w:val="20"/>
              </w:rPr>
            </w:pPr>
          </w:p>
        </w:tc>
        <w:tc>
          <w:tcPr>
            <w:tcW w:w="1191" w:type="dxa"/>
            <w:shd w:val="clear" w:color="auto" w:fill="auto"/>
            <w:vAlign w:val="center"/>
          </w:tcPr>
          <w:p w14:paraId="5EC8A095" w14:textId="6D2629D2" w:rsidR="00CF3E6A" w:rsidRPr="00E33387" w:rsidRDefault="00CF3E6A" w:rsidP="00036AB3">
            <w:pPr>
              <w:jc w:val="center"/>
              <w:rPr>
                <w:sz w:val="20"/>
                <w:szCs w:val="20"/>
              </w:rPr>
            </w:pPr>
          </w:p>
        </w:tc>
        <w:tc>
          <w:tcPr>
            <w:tcW w:w="1190" w:type="dxa"/>
            <w:shd w:val="clear" w:color="auto" w:fill="auto"/>
            <w:vAlign w:val="center"/>
          </w:tcPr>
          <w:p w14:paraId="1A9A65C4" w14:textId="77777777" w:rsidR="00CF3E6A" w:rsidRPr="00E33387" w:rsidRDefault="00CF3E6A" w:rsidP="00036AB3">
            <w:pPr>
              <w:jc w:val="center"/>
              <w:rPr>
                <w:sz w:val="20"/>
                <w:szCs w:val="20"/>
              </w:rPr>
            </w:pPr>
          </w:p>
        </w:tc>
        <w:tc>
          <w:tcPr>
            <w:tcW w:w="1191" w:type="dxa"/>
            <w:shd w:val="clear" w:color="auto" w:fill="auto"/>
            <w:vAlign w:val="center"/>
          </w:tcPr>
          <w:p w14:paraId="303ED7E9" w14:textId="4710DE1F" w:rsidR="00CF3E6A" w:rsidRPr="00E33387" w:rsidRDefault="00CF3E6A" w:rsidP="00036AB3">
            <w:pPr>
              <w:jc w:val="center"/>
              <w:rPr>
                <w:sz w:val="20"/>
                <w:szCs w:val="20"/>
              </w:rPr>
            </w:pPr>
          </w:p>
        </w:tc>
        <w:tc>
          <w:tcPr>
            <w:tcW w:w="1190" w:type="dxa"/>
            <w:shd w:val="clear" w:color="auto" w:fill="auto"/>
            <w:vAlign w:val="center"/>
          </w:tcPr>
          <w:p w14:paraId="75EDD8F6" w14:textId="53002178" w:rsidR="00CF3E6A" w:rsidRPr="00E33387" w:rsidRDefault="00CF3E6A" w:rsidP="00036AB3">
            <w:pPr>
              <w:jc w:val="center"/>
              <w:rPr>
                <w:sz w:val="20"/>
                <w:szCs w:val="20"/>
              </w:rPr>
            </w:pPr>
          </w:p>
        </w:tc>
      </w:tr>
      <w:tr w:rsidR="00CF3E6A" w:rsidRPr="00E33387" w14:paraId="21E04EF6" w14:textId="2049125B" w:rsidTr="0008032F">
        <w:trPr>
          <w:trHeight w:val="324"/>
        </w:trPr>
        <w:tc>
          <w:tcPr>
            <w:tcW w:w="1743" w:type="dxa"/>
            <w:shd w:val="clear" w:color="auto" w:fill="auto"/>
            <w:vAlign w:val="center"/>
          </w:tcPr>
          <w:p w14:paraId="3B2D94D2" w14:textId="4B5AA54F" w:rsidR="00CF3E6A" w:rsidRPr="00E33387" w:rsidRDefault="00CF3E6A" w:rsidP="00036AB3">
            <w:pPr>
              <w:rPr>
                <w:sz w:val="20"/>
                <w:szCs w:val="20"/>
              </w:rPr>
            </w:pPr>
            <w:r>
              <w:rPr>
                <w:sz w:val="20"/>
                <w:szCs w:val="20"/>
              </w:rPr>
              <w:t xml:space="preserve">4. </w:t>
            </w:r>
            <w:r w:rsidRPr="00E33387">
              <w:rPr>
                <w:sz w:val="20"/>
                <w:szCs w:val="20"/>
              </w:rPr>
              <w:t>Blame</w:t>
            </w:r>
          </w:p>
        </w:tc>
        <w:tc>
          <w:tcPr>
            <w:tcW w:w="1190" w:type="dxa"/>
          </w:tcPr>
          <w:p w14:paraId="4404AF86" w14:textId="30F1C52C" w:rsidR="00CF3E6A" w:rsidRPr="00E33387" w:rsidRDefault="00CF3E6A" w:rsidP="00036AB3">
            <w:pPr>
              <w:jc w:val="center"/>
              <w:rPr>
                <w:sz w:val="20"/>
                <w:szCs w:val="20"/>
              </w:rPr>
            </w:pPr>
            <w:r>
              <w:rPr>
                <w:sz w:val="20"/>
                <w:szCs w:val="20"/>
              </w:rPr>
              <w:t>5.53 (2.57)</w:t>
            </w:r>
          </w:p>
        </w:tc>
        <w:tc>
          <w:tcPr>
            <w:tcW w:w="1190" w:type="dxa"/>
            <w:shd w:val="clear" w:color="auto" w:fill="auto"/>
            <w:vAlign w:val="center"/>
          </w:tcPr>
          <w:p w14:paraId="5EB31740" w14:textId="79479363" w:rsidR="00CF3E6A" w:rsidRPr="00E33387" w:rsidRDefault="00CF3E6A" w:rsidP="00036AB3">
            <w:pPr>
              <w:jc w:val="center"/>
              <w:rPr>
                <w:sz w:val="20"/>
                <w:szCs w:val="20"/>
              </w:rPr>
            </w:pPr>
            <w:r>
              <w:rPr>
                <w:sz w:val="20"/>
                <w:szCs w:val="20"/>
              </w:rPr>
              <w:t>.09</w:t>
            </w:r>
          </w:p>
        </w:tc>
        <w:tc>
          <w:tcPr>
            <w:tcW w:w="1191" w:type="dxa"/>
            <w:shd w:val="clear" w:color="auto" w:fill="auto"/>
            <w:vAlign w:val="center"/>
          </w:tcPr>
          <w:p w14:paraId="178FDFB9" w14:textId="70A17098" w:rsidR="00CF3E6A" w:rsidRPr="00E33387" w:rsidRDefault="00CF3E6A" w:rsidP="00036AB3">
            <w:pPr>
              <w:jc w:val="center"/>
              <w:rPr>
                <w:sz w:val="20"/>
                <w:szCs w:val="20"/>
              </w:rPr>
            </w:pPr>
            <w:r>
              <w:rPr>
                <w:sz w:val="20"/>
                <w:szCs w:val="20"/>
              </w:rPr>
              <w:t>.20</w:t>
            </w:r>
          </w:p>
        </w:tc>
        <w:tc>
          <w:tcPr>
            <w:tcW w:w="1190" w:type="dxa"/>
            <w:shd w:val="clear" w:color="auto" w:fill="auto"/>
            <w:vAlign w:val="center"/>
          </w:tcPr>
          <w:p w14:paraId="05867E26" w14:textId="0BB330CC" w:rsidR="00CF3E6A" w:rsidRPr="00E33387" w:rsidRDefault="00CF3E6A" w:rsidP="00036AB3">
            <w:pPr>
              <w:jc w:val="center"/>
              <w:rPr>
                <w:sz w:val="20"/>
                <w:szCs w:val="20"/>
              </w:rPr>
            </w:pPr>
            <w:r>
              <w:rPr>
                <w:sz w:val="20"/>
                <w:szCs w:val="20"/>
              </w:rPr>
              <w:t>.34**</w:t>
            </w:r>
          </w:p>
        </w:tc>
        <w:tc>
          <w:tcPr>
            <w:tcW w:w="1191" w:type="dxa"/>
            <w:shd w:val="clear" w:color="auto" w:fill="auto"/>
            <w:vAlign w:val="center"/>
          </w:tcPr>
          <w:p w14:paraId="13A2254A" w14:textId="1266E6F9" w:rsidR="00CF3E6A" w:rsidRPr="00E33387" w:rsidRDefault="00CF3E6A" w:rsidP="00036AB3">
            <w:pPr>
              <w:jc w:val="center"/>
              <w:rPr>
                <w:sz w:val="20"/>
                <w:szCs w:val="20"/>
              </w:rPr>
            </w:pPr>
          </w:p>
        </w:tc>
        <w:tc>
          <w:tcPr>
            <w:tcW w:w="1190" w:type="dxa"/>
            <w:shd w:val="clear" w:color="auto" w:fill="auto"/>
            <w:vAlign w:val="center"/>
          </w:tcPr>
          <w:p w14:paraId="4E7D452C" w14:textId="253C3917" w:rsidR="00CF3E6A" w:rsidRPr="00E33387" w:rsidRDefault="00CF3E6A" w:rsidP="00036AB3">
            <w:pPr>
              <w:jc w:val="center"/>
              <w:rPr>
                <w:sz w:val="20"/>
                <w:szCs w:val="20"/>
              </w:rPr>
            </w:pPr>
          </w:p>
        </w:tc>
        <w:tc>
          <w:tcPr>
            <w:tcW w:w="1191" w:type="dxa"/>
            <w:shd w:val="clear" w:color="auto" w:fill="auto"/>
            <w:vAlign w:val="center"/>
          </w:tcPr>
          <w:p w14:paraId="36D39927" w14:textId="01549747" w:rsidR="00CF3E6A" w:rsidRPr="00E33387" w:rsidRDefault="00CF3E6A" w:rsidP="00036AB3">
            <w:pPr>
              <w:jc w:val="center"/>
              <w:rPr>
                <w:sz w:val="20"/>
                <w:szCs w:val="20"/>
              </w:rPr>
            </w:pPr>
          </w:p>
        </w:tc>
        <w:tc>
          <w:tcPr>
            <w:tcW w:w="1190" w:type="dxa"/>
            <w:shd w:val="clear" w:color="auto" w:fill="auto"/>
            <w:vAlign w:val="center"/>
          </w:tcPr>
          <w:p w14:paraId="6EA743C8" w14:textId="458458EF" w:rsidR="00CF3E6A" w:rsidRPr="00E33387" w:rsidRDefault="00CF3E6A" w:rsidP="00036AB3">
            <w:pPr>
              <w:jc w:val="center"/>
              <w:rPr>
                <w:sz w:val="20"/>
                <w:szCs w:val="20"/>
              </w:rPr>
            </w:pPr>
          </w:p>
        </w:tc>
      </w:tr>
      <w:tr w:rsidR="00CF3E6A" w:rsidRPr="00E33387" w14:paraId="21934331" w14:textId="179B2860" w:rsidTr="0008032F">
        <w:trPr>
          <w:trHeight w:val="324"/>
        </w:trPr>
        <w:tc>
          <w:tcPr>
            <w:tcW w:w="1743" w:type="dxa"/>
            <w:shd w:val="clear" w:color="auto" w:fill="auto"/>
            <w:vAlign w:val="center"/>
          </w:tcPr>
          <w:p w14:paraId="3541FE39" w14:textId="763B3CDE" w:rsidR="00CF3E6A" w:rsidRPr="00E33387" w:rsidRDefault="00CF3E6A" w:rsidP="00036AB3">
            <w:pPr>
              <w:rPr>
                <w:sz w:val="20"/>
                <w:szCs w:val="20"/>
              </w:rPr>
            </w:pPr>
            <w:r>
              <w:rPr>
                <w:sz w:val="20"/>
                <w:szCs w:val="20"/>
              </w:rPr>
              <w:t xml:space="preserve">5. </w:t>
            </w:r>
            <w:r w:rsidRPr="00E33387">
              <w:rPr>
                <w:sz w:val="20"/>
                <w:szCs w:val="20"/>
              </w:rPr>
              <w:t>AAQH Total</w:t>
            </w:r>
          </w:p>
        </w:tc>
        <w:tc>
          <w:tcPr>
            <w:tcW w:w="1190" w:type="dxa"/>
          </w:tcPr>
          <w:p w14:paraId="47D596C8" w14:textId="2AFE4A8E" w:rsidR="00CF3E6A" w:rsidRPr="00E33387" w:rsidRDefault="00CF3E6A" w:rsidP="00036AB3">
            <w:pPr>
              <w:jc w:val="center"/>
              <w:rPr>
                <w:sz w:val="20"/>
                <w:szCs w:val="20"/>
              </w:rPr>
            </w:pPr>
            <w:r>
              <w:rPr>
                <w:sz w:val="20"/>
                <w:szCs w:val="20"/>
              </w:rPr>
              <w:t>73.99 (12.37)</w:t>
            </w:r>
          </w:p>
        </w:tc>
        <w:tc>
          <w:tcPr>
            <w:tcW w:w="1190" w:type="dxa"/>
            <w:shd w:val="clear" w:color="auto" w:fill="auto"/>
            <w:vAlign w:val="center"/>
          </w:tcPr>
          <w:p w14:paraId="3FC295CB" w14:textId="24DCEBF7" w:rsidR="00CF3E6A" w:rsidRPr="00E33387" w:rsidRDefault="00CF3E6A" w:rsidP="00036AB3">
            <w:pPr>
              <w:jc w:val="center"/>
              <w:rPr>
                <w:sz w:val="20"/>
                <w:szCs w:val="20"/>
              </w:rPr>
            </w:pPr>
            <w:r>
              <w:rPr>
                <w:sz w:val="20"/>
                <w:szCs w:val="20"/>
              </w:rPr>
              <w:t>.52**</w:t>
            </w:r>
          </w:p>
        </w:tc>
        <w:tc>
          <w:tcPr>
            <w:tcW w:w="1191" w:type="dxa"/>
            <w:shd w:val="clear" w:color="auto" w:fill="auto"/>
            <w:vAlign w:val="center"/>
          </w:tcPr>
          <w:p w14:paraId="26F9525B" w14:textId="03A7A532" w:rsidR="00CF3E6A" w:rsidRPr="00E33387" w:rsidRDefault="00CF3E6A" w:rsidP="00036AB3">
            <w:pPr>
              <w:jc w:val="center"/>
              <w:rPr>
                <w:sz w:val="20"/>
                <w:szCs w:val="20"/>
              </w:rPr>
            </w:pPr>
            <w:r>
              <w:rPr>
                <w:sz w:val="20"/>
                <w:szCs w:val="20"/>
              </w:rPr>
              <w:t>.26*</w:t>
            </w:r>
          </w:p>
        </w:tc>
        <w:tc>
          <w:tcPr>
            <w:tcW w:w="1190" w:type="dxa"/>
            <w:shd w:val="clear" w:color="auto" w:fill="auto"/>
            <w:vAlign w:val="center"/>
          </w:tcPr>
          <w:p w14:paraId="45D93D15" w14:textId="28CEB9B3" w:rsidR="00CF3E6A" w:rsidRPr="00E33387" w:rsidRDefault="00CF3E6A" w:rsidP="00036AB3">
            <w:pPr>
              <w:jc w:val="center"/>
              <w:rPr>
                <w:sz w:val="20"/>
                <w:szCs w:val="20"/>
              </w:rPr>
            </w:pPr>
            <w:r>
              <w:rPr>
                <w:sz w:val="20"/>
                <w:szCs w:val="20"/>
              </w:rPr>
              <w:t>.20</w:t>
            </w:r>
          </w:p>
        </w:tc>
        <w:tc>
          <w:tcPr>
            <w:tcW w:w="1191" w:type="dxa"/>
            <w:shd w:val="clear" w:color="auto" w:fill="auto"/>
            <w:vAlign w:val="center"/>
          </w:tcPr>
          <w:p w14:paraId="3A09282B" w14:textId="6C876BDB" w:rsidR="00CF3E6A" w:rsidRPr="00E33387" w:rsidRDefault="00CF3E6A" w:rsidP="00036AB3">
            <w:pPr>
              <w:jc w:val="center"/>
              <w:rPr>
                <w:sz w:val="20"/>
                <w:szCs w:val="20"/>
              </w:rPr>
            </w:pPr>
            <w:r>
              <w:rPr>
                <w:sz w:val="20"/>
                <w:szCs w:val="20"/>
              </w:rPr>
              <w:t>.08</w:t>
            </w:r>
          </w:p>
        </w:tc>
        <w:tc>
          <w:tcPr>
            <w:tcW w:w="1190" w:type="dxa"/>
            <w:shd w:val="clear" w:color="auto" w:fill="auto"/>
            <w:vAlign w:val="center"/>
          </w:tcPr>
          <w:p w14:paraId="0C56D5C9" w14:textId="79EA6326" w:rsidR="00CF3E6A" w:rsidRPr="00E33387" w:rsidRDefault="00CF3E6A" w:rsidP="00036AB3">
            <w:pPr>
              <w:jc w:val="center"/>
              <w:rPr>
                <w:sz w:val="20"/>
                <w:szCs w:val="20"/>
              </w:rPr>
            </w:pPr>
          </w:p>
        </w:tc>
        <w:tc>
          <w:tcPr>
            <w:tcW w:w="1191" w:type="dxa"/>
            <w:shd w:val="clear" w:color="auto" w:fill="auto"/>
            <w:vAlign w:val="center"/>
          </w:tcPr>
          <w:p w14:paraId="7A544387" w14:textId="0B37E21F" w:rsidR="00CF3E6A" w:rsidRPr="00E33387" w:rsidRDefault="00CF3E6A" w:rsidP="00036AB3">
            <w:pPr>
              <w:jc w:val="center"/>
              <w:rPr>
                <w:sz w:val="20"/>
                <w:szCs w:val="20"/>
              </w:rPr>
            </w:pPr>
          </w:p>
        </w:tc>
        <w:tc>
          <w:tcPr>
            <w:tcW w:w="1190" w:type="dxa"/>
            <w:shd w:val="clear" w:color="auto" w:fill="auto"/>
            <w:vAlign w:val="center"/>
          </w:tcPr>
          <w:p w14:paraId="0DAF8523" w14:textId="31830A88" w:rsidR="00CF3E6A" w:rsidRPr="00E33387" w:rsidRDefault="00CF3E6A" w:rsidP="00036AB3">
            <w:pPr>
              <w:jc w:val="center"/>
              <w:rPr>
                <w:sz w:val="20"/>
                <w:szCs w:val="20"/>
              </w:rPr>
            </w:pPr>
          </w:p>
        </w:tc>
      </w:tr>
      <w:tr w:rsidR="00CF3E6A" w:rsidRPr="00E33387" w14:paraId="29E6F30F" w14:textId="6576010A" w:rsidTr="0008032F">
        <w:trPr>
          <w:trHeight w:val="324"/>
        </w:trPr>
        <w:tc>
          <w:tcPr>
            <w:tcW w:w="1743" w:type="dxa"/>
            <w:shd w:val="clear" w:color="auto" w:fill="auto"/>
            <w:vAlign w:val="center"/>
          </w:tcPr>
          <w:p w14:paraId="29858079" w14:textId="75673E80" w:rsidR="00CF3E6A" w:rsidRPr="00E33387" w:rsidRDefault="00CF3E6A" w:rsidP="00036AB3">
            <w:pPr>
              <w:rPr>
                <w:sz w:val="20"/>
                <w:szCs w:val="20"/>
              </w:rPr>
            </w:pPr>
            <w:r>
              <w:rPr>
                <w:sz w:val="20"/>
                <w:szCs w:val="20"/>
              </w:rPr>
              <w:t xml:space="preserve">6. </w:t>
            </w:r>
            <w:r w:rsidRPr="00E33387">
              <w:rPr>
                <w:sz w:val="20"/>
                <w:szCs w:val="20"/>
              </w:rPr>
              <w:t>AAQH Saving</w:t>
            </w:r>
          </w:p>
        </w:tc>
        <w:tc>
          <w:tcPr>
            <w:tcW w:w="1190" w:type="dxa"/>
          </w:tcPr>
          <w:p w14:paraId="5453CBEF" w14:textId="18A1A0A0" w:rsidR="00CF3E6A" w:rsidRPr="00E33387" w:rsidRDefault="00CF3E6A" w:rsidP="00036AB3">
            <w:pPr>
              <w:jc w:val="center"/>
              <w:rPr>
                <w:sz w:val="20"/>
                <w:szCs w:val="20"/>
              </w:rPr>
            </w:pPr>
            <w:r>
              <w:rPr>
                <w:sz w:val="20"/>
                <w:szCs w:val="20"/>
              </w:rPr>
              <w:t>40.14 (6.49)</w:t>
            </w:r>
          </w:p>
        </w:tc>
        <w:tc>
          <w:tcPr>
            <w:tcW w:w="1190" w:type="dxa"/>
            <w:shd w:val="clear" w:color="auto" w:fill="auto"/>
            <w:vAlign w:val="center"/>
          </w:tcPr>
          <w:p w14:paraId="019E7B5A" w14:textId="35DB329F" w:rsidR="00CF3E6A" w:rsidRPr="00E33387" w:rsidRDefault="00CF3E6A" w:rsidP="00036AB3">
            <w:pPr>
              <w:jc w:val="center"/>
              <w:rPr>
                <w:sz w:val="20"/>
                <w:szCs w:val="20"/>
              </w:rPr>
            </w:pPr>
            <w:r>
              <w:rPr>
                <w:sz w:val="20"/>
                <w:szCs w:val="20"/>
              </w:rPr>
              <w:t>.42**</w:t>
            </w:r>
          </w:p>
        </w:tc>
        <w:tc>
          <w:tcPr>
            <w:tcW w:w="1191" w:type="dxa"/>
            <w:shd w:val="clear" w:color="auto" w:fill="auto"/>
            <w:vAlign w:val="center"/>
          </w:tcPr>
          <w:p w14:paraId="37EED38F" w14:textId="331A3B31" w:rsidR="00CF3E6A" w:rsidRPr="00E33387" w:rsidRDefault="00CF3E6A" w:rsidP="00036AB3">
            <w:pPr>
              <w:jc w:val="center"/>
              <w:rPr>
                <w:sz w:val="20"/>
                <w:szCs w:val="20"/>
              </w:rPr>
            </w:pPr>
            <w:r>
              <w:rPr>
                <w:sz w:val="20"/>
                <w:szCs w:val="20"/>
              </w:rPr>
              <w:t>.22</w:t>
            </w:r>
          </w:p>
        </w:tc>
        <w:tc>
          <w:tcPr>
            <w:tcW w:w="1190" w:type="dxa"/>
            <w:shd w:val="clear" w:color="auto" w:fill="auto"/>
            <w:vAlign w:val="center"/>
          </w:tcPr>
          <w:p w14:paraId="6036E0B4" w14:textId="03FB00E2" w:rsidR="00CF3E6A" w:rsidRPr="00E33387" w:rsidRDefault="00CF3E6A" w:rsidP="00036AB3">
            <w:pPr>
              <w:jc w:val="center"/>
              <w:rPr>
                <w:sz w:val="20"/>
                <w:szCs w:val="20"/>
              </w:rPr>
            </w:pPr>
            <w:r>
              <w:rPr>
                <w:sz w:val="20"/>
                <w:szCs w:val="20"/>
              </w:rPr>
              <w:t>.15</w:t>
            </w:r>
          </w:p>
        </w:tc>
        <w:tc>
          <w:tcPr>
            <w:tcW w:w="1191" w:type="dxa"/>
            <w:shd w:val="clear" w:color="auto" w:fill="auto"/>
            <w:vAlign w:val="center"/>
          </w:tcPr>
          <w:p w14:paraId="345730D5" w14:textId="0942EA1E" w:rsidR="00CF3E6A" w:rsidRPr="00E33387" w:rsidRDefault="00CF3E6A" w:rsidP="00036AB3">
            <w:pPr>
              <w:jc w:val="center"/>
              <w:rPr>
                <w:sz w:val="20"/>
                <w:szCs w:val="20"/>
              </w:rPr>
            </w:pPr>
            <w:r>
              <w:rPr>
                <w:sz w:val="20"/>
                <w:szCs w:val="20"/>
              </w:rPr>
              <w:t>.03</w:t>
            </w:r>
          </w:p>
        </w:tc>
        <w:tc>
          <w:tcPr>
            <w:tcW w:w="1190" w:type="dxa"/>
            <w:shd w:val="clear" w:color="auto" w:fill="auto"/>
            <w:vAlign w:val="center"/>
          </w:tcPr>
          <w:p w14:paraId="0FF9343F" w14:textId="10A68036" w:rsidR="00CF3E6A" w:rsidRPr="00E33387" w:rsidRDefault="00CF3E6A" w:rsidP="00036AB3">
            <w:pPr>
              <w:jc w:val="center"/>
              <w:rPr>
                <w:sz w:val="20"/>
                <w:szCs w:val="20"/>
              </w:rPr>
            </w:pPr>
            <w:r>
              <w:rPr>
                <w:sz w:val="20"/>
                <w:szCs w:val="20"/>
              </w:rPr>
              <w:t>.88**</w:t>
            </w:r>
          </w:p>
        </w:tc>
        <w:tc>
          <w:tcPr>
            <w:tcW w:w="1191" w:type="dxa"/>
            <w:shd w:val="clear" w:color="auto" w:fill="auto"/>
            <w:vAlign w:val="center"/>
          </w:tcPr>
          <w:p w14:paraId="665618B2" w14:textId="55885B50" w:rsidR="00CF3E6A" w:rsidRPr="00E33387" w:rsidRDefault="00CF3E6A" w:rsidP="00036AB3">
            <w:pPr>
              <w:jc w:val="center"/>
              <w:rPr>
                <w:sz w:val="20"/>
                <w:szCs w:val="20"/>
              </w:rPr>
            </w:pPr>
          </w:p>
        </w:tc>
        <w:tc>
          <w:tcPr>
            <w:tcW w:w="1190" w:type="dxa"/>
            <w:shd w:val="clear" w:color="auto" w:fill="auto"/>
            <w:vAlign w:val="center"/>
          </w:tcPr>
          <w:p w14:paraId="0FFE4D44" w14:textId="14A33DD9" w:rsidR="00CF3E6A" w:rsidRPr="00E33387" w:rsidRDefault="00CF3E6A" w:rsidP="00036AB3">
            <w:pPr>
              <w:jc w:val="center"/>
              <w:rPr>
                <w:sz w:val="20"/>
                <w:szCs w:val="20"/>
              </w:rPr>
            </w:pPr>
          </w:p>
        </w:tc>
      </w:tr>
      <w:tr w:rsidR="00CF3E6A" w:rsidRPr="00E33387" w14:paraId="3F5ADEF5" w14:textId="1AE5EF7D" w:rsidTr="0008032F">
        <w:trPr>
          <w:trHeight w:val="324"/>
        </w:trPr>
        <w:tc>
          <w:tcPr>
            <w:tcW w:w="1743" w:type="dxa"/>
            <w:shd w:val="clear" w:color="auto" w:fill="auto"/>
            <w:vAlign w:val="center"/>
          </w:tcPr>
          <w:p w14:paraId="1C07599F" w14:textId="7A1CD668" w:rsidR="00CF3E6A" w:rsidRPr="00E33387" w:rsidRDefault="00CF3E6A" w:rsidP="00036AB3">
            <w:pPr>
              <w:rPr>
                <w:sz w:val="20"/>
                <w:szCs w:val="20"/>
              </w:rPr>
            </w:pPr>
            <w:r>
              <w:rPr>
                <w:sz w:val="20"/>
                <w:szCs w:val="20"/>
              </w:rPr>
              <w:t>7. AAQH Acquisition</w:t>
            </w:r>
          </w:p>
        </w:tc>
        <w:tc>
          <w:tcPr>
            <w:tcW w:w="1190" w:type="dxa"/>
          </w:tcPr>
          <w:p w14:paraId="3CAB1114" w14:textId="7FB502C4" w:rsidR="00CF3E6A" w:rsidRPr="00E33387" w:rsidRDefault="00CF3E6A" w:rsidP="00036AB3">
            <w:pPr>
              <w:jc w:val="center"/>
              <w:rPr>
                <w:sz w:val="20"/>
                <w:szCs w:val="20"/>
              </w:rPr>
            </w:pPr>
            <w:r>
              <w:rPr>
                <w:sz w:val="20"/>
                <w:szCs w:val="20"/>
              </w:rPr>
              <w:t>33.85 (7.34)</w:t>
            </w:r>
          </w:p>
        </w:tc>
        <w:tc>
          <w:tcPr>
            <w:tcW w:w="1190" w:type="dxa"/>
            <w:shd w:val="clear" w:color="auto" w:fill="auto"/>
            <w:vAlign w:val="center"/>
          </w:tcPr>
          <w:p w14:paraId="6105F410" w14:textId="4B22B29F" w:rsidR="00CF3E6A" w:rsidRPr="00E33387" w:rsidRDefault="00CF3E6A" w:rsidP="00036AB3">
            <w:pPr>
              <w:jc w:val="center"/>
              <w:rPr>
                <w:sz w:val="20"/>
                <w:szCs w:val="20"/>
              </w:rPr>
            </w:pPr>
            <w:r>
              <w:rPr>
                <w:sz w:val="20"/>
                <w:szCs w:val="20"/>
              </w:rPr>
              <w:t>.52**</w:t>
            </w:r>
          </w:p>
        </w:tc>
        <w:tc>
          <w:tcPr>
            <w:tcW w:w="1191" w:type="dxa"/>
            <w:shd w:val="clear" w:color="auto" w:fill="auto"/>
            <w:vAlign w:val="center"/>
          </w:tcPr>
          <w:p w14:paraId="3C70F8B5" w14:textId="19C8F374" w:rsidR="00CF3E6A" w:rsidRPr="00E33387" w:rsidRDefault="00CF3E6A" w:rsidP="00036AB3">
            <w:pPr>
              <w:jc w:val="center"/>
              <w:rPr>
                <w:sz w:val="20"/>
                <w:szCs w:val="20"/>
              </w:rPr>
            </w:pPr>
            <w:r>
              <w:rPr>
                <w:sz w:val="20"/>
                <w:szCs w:val="20"/>
              </w:rPr>
              <w:t>.23*</w:t>
            </w:r>
          </w:p>
        </w:tc>
        <w:tc>
          <w:tcPr>
            <w:tcW w:w="1190" w:type="dxa"/>
            <w:shd w:val="clear" w:color="auto" w:fill="auto"/>
            <w:vAlign w:val="center"/>
          </w:tcPr>
          <w:p w14:paraId="55020B00" w14:textId="6740DA8D" w:rsidR="00CF3E6A" w:rsidRPr="00E33387" w:rsidRDefault="00CF3E6A" w:rsidP="00036AB3">
            <w:pPr>
              <w:jc w:val="center"/>
              <w:rPr>
                <w:sz w:val="20"/>
                <w:szCs w:val="20"/>
              </w:rPr>
            </w:pPr>
            <w:r>
              <w:rPr>
                <w:sz w:val="20"/>
                <w:szCs w:val="20"/>
              </w:rPr>
              <w:t>.20</w:t>
            </w:r>
          </w:p>
        </w:tc>
        <w:tc>
          <w:tcPr>
            <w:tcW w:w="1191" w:type="dxa"/>
            <w:shd w:val="clear" w:color="auto" w:fill="auto"/>
            <w:vAlign w:val="center"/>
          </w:tcPr>
          <w:p w14:paraId="4A6CD145" w14:textId="021F501D" w:rsidR="00CF3E6A" w:rsidRPr="00E33387" w:rsidRDefault="00CF3E6A" w:rsidP="00036AB3">
            <w:pPr>
              <w:jc w:val="center"/>
              <w:rPr>
                <w:sz w:val="20"/>
                <w:szCs w:val="20"/>
              </w:rPr>
            </w:pPr>
            <w:r>
              <w:rPr>
                <w:sz w:val="20"/>
                <w:szCs w:val="20"/>
              </w:rPr>
              <w:t>.11</w:t>
            </w:r>
          </w:p>
        </w:tc>
        <w:tc>
          <w:tcPr>
            <w:tcW w:w="1190" w:type="dxa"/>
            <w:shd w:val="clear" w:color="auto" w:fill="auto"/>
            <w:vAlign w:val="center"/>
          </w:tcPr>
          <w:p w14:paraId="4BA52ED7" w14:textId="707869EE" w:rsidR="00CF3E6A" w:rsidRPr="00E33387" w:rsidRDefault="00CF3E6A" w:rsidP="00036AB3">
            <w:pPr>
              <w:jc w:val="center"/>
              <w:rPr>
                <w:sz w:val="20"/>
                <w:szCs w:val="20"/>
              </w:rPr>
            </w:pPr>
            <w:r>
              <w:rPr>
                <w:sz w:val="20"/>
                <w:szCs w:val="20"/>
              </w:rPr>
              <w:t>.91**</w:t>
            </w:r>
          </w:p>
        </w:tc>
        <w:tc>
          <w:tcPr>
            <w:tcW w:w="1191" w:type="dxa"/>
            <w:shd w:val="clear" w:color="auto" w:fill="auto"/>
            <w:vAlign w:val="center"/>
          </w:tcPr>
          <w:p w14:paraId="1B02C1BA" w14:textId="24DDEA2B" w:rsidR="00CF3E6A" w:rsidRPr="00E33387" w:rsidRDefault="00CF3E6A" w:rsidP="00036AB3">
            <w:pPr>
              <w:jc w:val="center"/>
              <w:rPr>
                <w:sz w:val="20"/>
                <w:szCs w:val="20"/>
              </w:rPr>
            </w:pPr>
            <w:r>
              <w:rPr>
                <w:sz w:val="20"/>
                <w:szCs w:val="20"/>
              </w:rPr>
              <w:t>.60**</w:t>
            </w:r>
          </w:p>
        </w:tc>
        <w:tc>
          <w:tcPr>
            <w:tcW w:w="1190" w:type="dxa"/>
            <w:shd w:val="clear" w:color="auto" w:fill="auto"/>
            <w:vAlign w:val="center"/>
          </w:tcPr>
          <w:p w14:paraId="53CECB52" w14:textId="640FFCE1" w:rsidR="00CF3E6A" w:rsidRPr="00E33387" w:rsidRDefault="00CF3E6A" w:rsidP="00036AB3">
            <w:pPr>
              <w:jc w:val="center"/>
              <w:rPr>
                <w:sz w:val="20"/>
                <w:szCs w:val="20"/>
              </w:rPr>
            </w:pPr>
          </w:p>
        </w:tc>
      </w:tr>
      <w:tr w:rsidR="00CF3E6A" w:rsidRPr="00E33387" w14:paraId="45A771FE" w14:textId="548CC93C" w:rsidTr="0008032F">
        <w:trPr>
          <w:trHeight w:val="324"/>
        </w:trPr>
        <w:tc>
          <w:tcPr>
            <w:tcW w:w="1743" w:type="dxa"/>
            <w:shd w:val="clear" w:color="auto" w:fill="auto"/>
            <w:vAlign w:val="center"/>
          </w:tcPr>
          <w:p w14:paraId="1C283280" w14:textId="611EA880" w:rsidR="00CF3E6A" w:rsidRPr="00E33387" w:rsidRDefault="00CF3E6A" w:rsidP="00036AB3">
            <w:pPr>
              <w:rPr>
                <w:sz w:val="20"/>
                <w:szCs w:val="20"/>
              </w:rPr>
            </w:pPr>
            <w:r>
              <w:rPr>
                <w:sz w:val="20"/>
                <w:szCs w:val="20"/>
              </w:rPr>
              <w:t xml:space="preserve">8. </w:t>
            </w:r>
            <w:r w:rsidRPr="00E33387">
              <w:rPr>
                <w:sz w:val="20"/>
                <w:szCs w:val="20"/>
              </w:rPr>
              <w:t>FFMQ Acting with Awareness</w:t>
            </w:r>
          </w:p>
        </w:tc>
        <w:tc>
          <w:tcPr>
            <w:tcW w:w="1190" w:type="dxa"/>
          </w:tcPr>
          <w:p w14:paraId="642B8AE8" w14:textId="07C27D1A" w:rsidR="00CF3E6A" w:rsidRPr="00E33387" w:rsidRDefault="00CF3E6A" w:rsidP="00036AB3">
            <w:pPr>
              <w:jc w:val="center"/>
              <w:rPr>
                <w:sz w:val="20"/>
                <w:szCs w:val="20"/>
              </w:rPr>
            </w:pPr>
            <w:r>
              <w:rPr>
                <w:sz w:val="20"/>
                <w:szCs w:val="20"/>
              </w:rPr>
              <w:t>19.51 (5.67)</w:t>
            </w:r>
          </w:p>
        </w:tc>
        <w:tc>
          <w:tcPr>
            <w:tcW w:w="1190" w:type="dxa"/>
            <w:shd w:val="clear" w:color="auto" w:fill="auto"/>
            <w:vAlign w:val="center"/>
          </w:tcPr>
          <w:p w14:paraId="4D2615A4" w14:textId="75E3FD44" w:rsidR="00CF3E6A" w:rsidRPr="00E33387" w:rsidRDefault="00CF3E6A" w:rsidP="00036AB3">
            <w:pPr>
              <w:jc w:val="center"/>
              <w:rPr>
                <w:sz w:val="20"/>
                <w:szCs w:val="20"/>
              </w:rPr>
            </w:pPr>
            <w:r>
              <w:rPr>
                <w:sz w:val="20"/>
                <w:szCs w:val="20"/>
              </w:rPr>
              <w:t>-0.40**</w:t>
            </w:r>
          </w:p>
        </w:tc>
        <w:tc>
          <w:tcPr>
            <w:tcW w:w="1191" w:type="dxa"/>
            <w:shd w:val="clear" w:color="auto" w:fill="auto"/>
            <w:vAlign w:val="center"/>
          </w:tcPr>
          <w:p w14:paraId="491916CF" w14:textId="057D25A9" w:rsidR="00CF3E6A" w:rsidRPr="00E33387" w:rsidRDefault="00CF3E6A" w:rsidP="00036AB3">
            <w:pPr>
              <w:jc w:val="center"/>
              <w:rPr>
                <w:sz w:val="20"/>
                <w:szCs w:val="20"/>
              </w:rPr>
            </w:pPr>
            <w:r>
              <w:rPr>
                <w:sz w:val="20"/>
                <w:szCs w:val="20"/>
              </w:rPr>
              <w:t>-.20</w:t>
            </w:r>
          </w:p>
        </w:tc>
        <w:tc>
          <w:tcPr>
            <w:tcW w:w="1190" w:type="dxa"/>
            <w:shd w:val="clear" w:color="auto" w:fill="auto"/>
            <w:vAlign w:val="center"/>
          </w:tcPr>
          <w:p w14:paraId="628CE20F" w14:textId="69563020" w:rsidR="00CF3E6A" w:rsidRPr="00E33387" w:rsidRDefault="00CF3E6A" w:rsidP="00036AB3">
            <w:pPr>
              <w:jc w:val="center"/>
              <w:rPr>
                <w:sz w:val="20"/>
                <w:szCs w:val="20"/>
              </w:rPr>
            </w:pPr>
            <w:r>
              <w:rPr>
                <w:sz w:val="20"/>
                <w:szCs w:val="20"/>
              </w:rPr>
              <w:t>-.27*</w:t>
            </w:r>
          </w:p>
        </w:tc>
        <w:tc>
          <w:tcPr>
            <w:tcW w:w="1191" w:type="dxa"/>
            <w:shd w:val="clear" w:color="auto" w:fill="auto"/>
            <w:vAlign w:val="center"/>
          </w:tcPr>
          <w:p w14:paraId="51C931A4" w14:textId="2A8120A1" w:rsidR="00CF3E6A" w:rsidRPr="00E33387" w:rsidRDefault="00CF3E6A" w:rsidP="00036AB3">
            <w:pPr>
              <w:jc w:val="center"/>
              <w:rPr>
                <w:sz w:val="20"/>
                <w:szCs w:val="20"/>
              </w:rPr>
            </w:pPr>
            <w:r>
              <w:rPr>
                <w:sz w:val="20"/>
                <w:szCs w:val="20"/>
              </w:rPr>
              <w:t>-.28*</w:t>
            </w:r>
          </w:p>
        </w:tc>
        <w:tc>
          <w:tcPr>
            <w:tcW w:w="1190" w:type="dxa"/>
            <w:shd w:val="clear" w:color="auto" w:fill="auto"/>
            <w:vAlign w:val="center"/>
          </w:tcPr>
          <w:p w14:paraId="2E823267" w14:textId="2A3A20F9" w:rsidR="00CF3E6A" w:rsidRPr="00E33387" w:rsidRDefault="00CF3E6A" w:rsidP="00036AB3">
            <w:pPr>
              <w:jc w:val="center"/>
              <w:rPr>
                <w:sz w:val="20"/>
                <w:szCs w:val="20"/>
              </w:rPr>
            </w:pPr>
            <w:r>
              <w:rPr>
                <w:sz w:val="20"/>
                <w:szCs w:val="20"/>
              </w:rPr>
              <w:t>-.22</w:t>
            </w:r>
          </w:p>
        </w:tc>
        <w:tc>
          <w:tcPr>
            <w:tcW w:w="1191" w:type="dxa"/>
            <w:shd w:val="clear" w:color="auto" w:fill="auto"/>
            <w:vAlign w:val="center"/>
          </w:tcPr>
          <w:p w14:paraId="53D45A61" w14:textId="70389B23" w:rsidR="00CF3E6A" w:rsidRPr="00E33387" w:rsidRDefault="00CF3E6A" w:rsidP="00036AB3">
            <w:pPr>
              <w:jc w:val="center"/>
              <w:rPr>
                <w:sz w:val="20"/>
                <w:szCs w:val="20"/>
              </w:rPr>
            </w:pPr>
            <w:r>
              <w:rPr>
                <w:sz w:val="20"/>
                <w:szCs w:val="20"/>
              </w:rPr>
              <w:t>-.05</w:t>
            </w:r>
          </w:p>
        </w:tc>
        <w:tc>
          <w:tcPr>
            <w:tcW w:w="1190" w:type="dxa"/>
            <w:shd w:val="clear" w:color="auto" w:fill="auto"/>
            <w:vAlign w:val="center"/>
          </w:tcPr>
          <w:p w14:paraId="149C2796" w14:textId="3BEEC015" w:rsidR="00CF3E6A" w:rsidRPr="00E33387" w:rsidRDefault="00CF3E6A" w:rsidP="00036AB3">
            <w:pPr>
              <w:jc w:val="center"/>
              <w:rPr>
                <w:sz w:val="20"/>
                <w:szCs w:val="20"/>
              </w:rPr>
            </w:pPr>
            <w:r>
              <w:rPr>
                <w:sz w:val="20"/>
                <w:szCs w:val="20"/>
              </w:rPr>
              <w:t>-.33*</w:t>
            </w:r>
          </w:p>
        </w:tc>
      </w:tr>
    </w:tbl>
    <w:p w14:paraId="05968DE2" w14:textId="77777777" w:rsidR="00036AB3" w:rsidRPr="0002766F" w:rsidRDefault="00036AB3" w:rsidP="00036AB3">
      <w:pPr>
        <w:spacing w:line="480" w:lineRule="auto"/>
      </w:pPr>
      <w:r w:rsidRPr="0002766F">
        <w:rPr>
          <w:i/>
          <w:iCs/>
        </w:rPr>
        <w:t>Note</w:t>
      </w:r>
      <w:r>
        <w:t>.</w:t>
      </w:r>
      <w:r w:rsidRPr="0002766F">
        <w:t xml:space="preserve"> *</w:t>
      </w:r>
      <w:r w:rsidRPr="0002766F">
        <w:rPr>
          <w:i/>
          <w:iCs/>
        </w:rPr>
        <w:t>p</w:t>
      </w:r>
      <w:r w:rsidRPr="0002766F">
        <w:t xml:space="preserve"> &lt; 0.05, **</w:t>
      </w:r>
      <w:r w:rsidRPr="0002766F">
        <w:rPr>
          <w:i/>
          <w:iCs/>
        </w:rPr>
        <w:t>p</w:t>
      </w:r>
      <w:r w:rsidRPr="0002766F">
        <w:t xml:space="preserve"> &lt; 0.01, ***</w:t>
      </w:r>
      <w:r w:rsidRPr="0002766F">
        <w:rPr>
          <w:i/>
          <w:iCs/>
        </w:rPr>
        <w:t>p</w:t>
      </w:r>
      <w:r w:rsidRPr="0002766F">
        <w:t xml:space="preserve"> &lt; 0.001. </w:t>
      </w:r>
    </w:p>
    <w:p w14:paraId="43CD0892" w14:textId="3688BA05" w:rsidR="00036AB3" w:rsidRDefault="00036AB3" w:rsidP="004F33C0">
      <w:pPr>
        <w:contextualSpacing/>
        <w:sectPr w:rsidR="00036AB3" w:rsidSect="00C9262E">
          <w:pgSz w:w="15840" w:h="12240" w:orient="landscape"/>
          <w:pgMar w:top="1440" w:right="1440" w:bottom="1440" w:left="1440" w:header="1080" w:footer="720" w:gutter="0"/>
          <w:cols w:space="720"/>
          <w:docGrid w:linePitch="400"/>
        </w:sectPr>
      </w:pPr>
    </w:p>
    <w:p w14:paraId="459DED5A" w14:textId="457FFEF6" w:rsidR="00D72775" w:rsidRPr="004A375A" w:rsidRDefault="00D72775" w:rsidP="004A375A">
      <w:pPr>
        <w:rPr>
          <w:b/>
          <w:bCs/>
        </w:rPr>
      </w:pPr>
      <w:r>
        <w:rPr>
          <w:b/>
          <w:bCs/>
        </w:rPr>
        <w:lastRenderedPageBreak/>
        <w:t xml:space="preserve">Table </w:t>
      </w:r>
      <w:r w:rsidR="00036AB3">
        <w:rPr>
          <w:b/>
          <w:bCs/>
        </w:rPr>
        <w:t>3</w:t>
      </w:r>
    </w:p>
    <w:p w14:paraId="280E8A1D" w14:textId="77777777" w:rsidR="00ED6A9C" w:rsidRDefault="00ED6A9C" w:rsidP="00486CE7">
      <w:pPr>
        <w:rPr>
          <w:i/>
          <w:iCs/>
        </w:rPr>
      </w:pPr>
    </w:p>
    <w:p w14:paraId="22E89AB6" w14:textId="5AA0EAD9" w:rsidR="00BA3FB6" w:rsidRDefault="00D72775" w:rsidP="00486CE7">
      <w:pPr>
        <w:rPr>
          <w:i/>
          <w:iCs/>
        </w:rPr>
      </w:pPr>
      <w:r>
        <w:rPr>
          <w:i/>
          <w:iCs/>
        </w:rPr>
        <w:t>Time by Condition Effects on Process Variables</w:t>
      </w:r>
    </w:p>
    <w:p w14:paraId="41DD7616" w14:textId="77777777" w:rsidR="00D72775" w:rsidRPr="00E33387" w:rsidRDefault="00D72775" w:rsidP="00D72775">
      <w:pPr>
        <w:contextualSpacing/>
        <w:rPr>
          <w:i/>
          <w:iCs/>
        </w:rPr>
      </w:pPr>
    </w:p>
    <w:tbl>
      <w:tblPr>
        <w:tblStyle w:val="TableGrid"/>
        <w:tblW w:w="8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3"/>
        <w:gridCol w:w="1387"/>
        <w:gridCol w:w="1853"/>
        <w:gridCol w:w="2023"/>
        <w:gridCol w:w="1594"/>
      </w:tblGrid>
      <w:tr w:rsidR="00D72775" w:rsidRPr="0002766F" w14:paraId="467DFE49" w14:textId="77777777" w:rsidTr="004741D5">
        <w:tc>
          <w:tcPr>
            <w:tcW w:w="1783" w:type="dxa"/>
            <w:tcBorders>
              <w:top w:val="single" w:sz="4" w:space="0" w:color="auto"/>
              <w:bottom w:val="single" w:sz="4" w:space="0" w:color="auto"/>
            </w:tcBorders>
          </w:tcPr>
          <w:p w14:paraId="68080E2B" w14:textId="77777777" w:rsidR="00D72775" w:rsidRPr="00B108B2" w:rsidRDefault="00D72775" w:rsidP="004741D5">
            <w:pPr>
              <w:jc w:val="center"/>
            </w:pPr>
            <w:r w:rsidRPr="00B020C4">
              <w:t>Outcome</w:t>
            </w:r>
          </w:p>
        </w:tc>
        <w:tc>
          <w:tcPr>
            <w:tcW w:w="1387" w:type="dxa"/>
            <w:tcBorders>
              <w:top w:val="single" w:sz="4" w:space="0" w:color="auto"/>
              <w:bottom w:val="single" w:sz="4" w:space="0" w:color="auto"/>
            </w:tcBorders>
          </w:tcPr>
          <w:p w14:paraId="18148235" w14:textId="77777777" w:rsidR="00D72775" w:rsidRPr="00D30D8C" w:rsidRDefault="00D72775" w:rsidP="004741D5">
            <w:pPr>
              <w:jc w:val="center"/>
            </w:pPr>
            <w:r w:rsidRPr="00D30D8C">
              <w:t xml:space="preserve">Time </w:t>
            </w:r>
            <w:r w:rsidRPr="00D30D8C">
              <w:rPr>
                <w:i/>
                <w:iCs/>
              </w:rPr>
              <w:sym w:font="Symbol" w:char="F062"/>
            </w:r>
          </w:p>
        </w:tc>
        <w:tc>
          <w:tcPr>
            <w:tcW w:w="1853" w:type="dxa"/>
            <w:tcBorders>
              <w:top w:val="single" w:sz="4" w:space="0" w:color="auto"/>
              <w:bottom w:val="single" w:sz="4" w:space="0" w:color="auto"/>
            </w:tcBorders>
          </w:tcPr>
          <w:p w14:paraId="65D3E506" w14:textId="77777777" w:rsidR="00D72775" w:rsidRPr="00D30D8C" w:rsidRDefault="00D72775" w:rsidP="004741D5">
            <w:pPr>
              <w:jc w:val="center"/>
            </w:pPr>
            <w:r>
              <w:t xml:space="preserve">Condition </w:t>
            </w:r>
            <w:r w:rsidRPr="00D30D8C">
              <w:rPr>
                <w:i/>
                <w:iCs/>
              </w:rPr>
              <w:sym w:font="Symbol" w:char="F062"/>
            </w:r>
          </w:p>
        </w:tc>
        <w:tc>
          <w:tcPr>
            <w:tcW w:w="2023" w:type="dxa"/>
            <w:tcBorders>
              <w:top w:val="single" w:sz="4" w:space="0" w:color="auto"/>
              <w:bottom w:val="single" w:sz="4" w:space="0" w:color="auto"/>
            </w:tcBorders>
          </w:tcPr>
          <w:p w14:paraId="0D05F2BF" w14:textId="77777777" w:rsidR="00D72775" w:rsidRPr="00D30D8C" w:rsidRDefault="00D72775" w:rsidP="004741D5">
            <w:pPr>
              <w:jc w:val="center"/>
            </w:pPr>
            <w:r w:rsidRPr="00D30D8C">
              <w:t xml:space="preserve">Time*Condition </w:t>
            </w:r>
            <w:r w:rsidRPr="00D30D8C">
              <w:rPr>
                <w:i/>
                <w:iCs/>
              </w:rPr>
              <w:sym w:font="Symbol" w:char="F062"/>
            </w:r>
          </w:p>
        </w:tc>
        <w:tc>
          <w:tcPr>
            <w:tcW w:w="1594" w:type="dxa"/>
            <w:tcBorders>
              <w:top w:val="single" w:sz="4" w:space="0" w:color="auto"/>
              <w:bottom w:val="single" w:sz="4" w:space="0" w:color="auto"/>
            </w:tcBorders>
          </w:tcPr>
          <w:p w14:paraId="383E3B84" w14:textId="77777777" w:rsidR="00D72775" w:rsidRPr="00D30D8C" w:rsidRDefault="00D72775" w:rsidP="004741D5">
            <w:pPr>
              <w:jc w:val="center"/>
            </w:pPr>
            <w:r>
              <w:t xml:space="preserve">Baseline CGI-I </w:t>
            </w:r>
            <w:r w:rsidRPr="00D30D8C">
              <w:rPr>
                <w:i/>
                <w:iCs/>
              </w:rPr>
              <w:sym w:font="Symbol" w:char="F062"/>
            </w:r>
          </w:p>
        </w:tc>
      </w:tr>
      <w:tr w:rsidR="00D72775" w:rsidRPr="0002766F" w14:paraId="256ADE63" w14:textId="77777777" w:rsidTr="004741D5">
        <w:tc>
          <w:tcPr>
            <w:tcW w:w="1783" w:type="dxa"/>
          </w:tcPr>
          <w:p w14:paraId="3A0F0CA5" w14:textId="77777777" w:rsidR="00D72775" w:rsidRPr="0002766F" w:rsidRDefault="00D72775" w:rsidP="004741D5">
            <w:r>
              <w:t>Difference</w:t>
            </w:r>
          </w:p>
        </w:tc>
        <w:tc>
          <w:tcPr>
            <w:tcW w:w="1387" w:type="dxa"/>
          </w:tcPr>
          <w:p w14:paraId="6E64E7FC" w14:textId="77777777" w:rsidR="00D72775" w:rsidRPr="0002766F" w:rsidRDefault="00D72775" w:rsidP="004741D5">
            <w:pPr>
              <w:jc w:val="center"/>
            </w:pPr>
            <w:r>
              <w:t>-0.31*</w:t>
            </w:r>
          </w:p>
        </w:tc>
        <w:tc>
          <w:tcPr>
            <w:tcW w:w="1853" w:type="dxa"/>
          </w:tcPr>
          <w:p w14:paraId="3024AAC7" w14:textId="77777777" w:rsidR="00D72775" w:rsidRPr="0002766F" w:rsidRDefault="00D72775" w:rsidP="004741D5">
            <w:pPr>
              <w:jc w:val="center"/>
            </w:pPr>
            <w:r>
              <w:t>0.10</w:t>
            </w:r>
          </w:p>
        </w:tc>
        <w:tc>
          <w:tcPr>
            <w:tcW w:w="2023" w:type="dxa"/>
          </w:tcPr>
          <w:p w14:paraId="09B8746E" w14:textId="77777777" w:rsidR="00D72775" w:rsidRPr="0002766F" w:rsidRDefault="00D72775" w:rsidP="004741D5">
            <w:pPr>
              <w:jc w:val="center"/>
            </w:pPr>
            <w:r>
              <w:t>-0.50*</w:t>
            </w:r>
          </w:p>
        </w:tc>
        <w:tc>
          <w:tcPr>
            <w:tcW w:w="1594" w:type="dxa"/>
          </w:tcPr>
          <w:p w14:paraId="0457552A" w14:textId="77777777" w:rsidR="00D72775" w:rsidRPr="0002766F" w:rsidRDefault="00D72775" w:rsidP="004741D5">
            <w:pPr>
              <w:jc w:val="center"/>
            </w:pPr>
            <w:r>
              <w:t>0.32**</w:t>
            </w:r>
          </w:p>
        </w:tc>
      </w:tr>
      <w:tr w:rsidR="00D72775" w:rsidRPr="0002766F" w14:paraId="6ACEF29B" w14:textId="77777777" w:rsidTr="004741D5">
        <w:tc>
          <w:tcPr>
            <w:tcW w:w="1783" w:type="dxa"/>
          </w:tcPr>
          <w:p w14:paraId="0FE2434D" w14:textId="77777777" w:rsidR="00D72775" w:rsidRPr="0002766F" w:rsidRDefault="00D72775" w:rsidP="004741D5">
            <w:r>
              <w:t>Disdain</w:t>
            </w:r>
          </w:p>
        </w:tc>
        <w:tc>
          <w:tcPr>
            <w:tcW w:w="1387" w:type="dxa"/>
          </w:tcPr>
          <w:p w14:paraId="763C9173" w14:textId="77777777" w:rsidR="00D72775" w:rsidRPr="0002766F" w:rsidRDefault="00D72775" w:rsidP="004741D5">
            <w:pPr>
              <w:jc w:val="center"/>
            </w:pPr>
            <w:r>
              <w:t>0.09</w:t>
            </w:r>
          </w:p>
        </w:tc>
        <w:tc>
          <w:tcPr>
            <w:tcW w:w="1853" w:type="dxa"/>
          </w:tcPr>
          <w:p w14:paraId="0CA4D6A0" w14:textId="77777777" w:rsidR="00D72775" w:rsidRPr="0002766F" w:rsidRDefault="00D72775" w:rsidP="004741D5">
            <w:pPr>
              <w:jc w:val="center"/>
            </w:pPr>
            <w:r>
              <w:t>0.30</w:t>
            </w:r>
          </w:p>
        </w:tc>
        <w:tc>
          <w:tcPr>
            <w:tcW w:w="2023" w:type="dxa"/>
          </w:tcPr>
          <w:p w14:paraId="2ACA76B1" w14:textId="77777777" w:rsidR="00D72775" w:rsidRPr="0002766F" w:rsidRDefault="00D72775" w:rsidP="004741D5">
            <w:pPr>
              <w:jc w:val="center"/>
            </w:pPr>
            <w:r>
              <w:t>-1.12***</w:t>
            </w:r>
          </w:p>
        </w:tc>
        <w:tc>
          <w:tcPr>
            <w:tcW w:w="1594" w:type="dxa"/>
          </w:tcPr>
          <w:p w14:paraId="3438317A" w14:textId="77777777" w:rsidR="00D72775" w:rsidRPr="0002766F" w:rsidRDefault="00D72775" w:rsidP="004741D5">
            <w:pPr>
              <w:jc w:val="center"/>
            </w:pPr>
            <w:r>
              <w:t>0.27**</w:t>
            </w:r>
          </w:p>
        </w:tc>
      </w:tr>
      <w:tr w:rsidR="00D72775" w:rsidRPr="0002766F" w14:paraId="46613A5B" w14:textId="77777777" w:rsidTr="004741D5">
        <w:tc>
          <w:tcPr>
            <w:tcW w:w="1783" w:type="dxa"/>
          </w:tcPr>
          <w:p w14:paraId="203E039F" w14:textId="77777777" w:rsidR="00D72775" w:rsidRPr="0002766F" w:rsidRDefault="00D72775" w:rsidP="004741D5">
            <w:r>
              <w:t>Blame</w:t>
            </w:r>
          </w:p>
        </w:tc>
        <w:tc>
          <w:tcPr>
            <w:tcW w:w="1387" w:type="dxa"/>
          </w:tcPr>
          <w:p w14:paraId="061DA00A" w14:textId="77777777" w:rsidR="00D72775" w:rsidRPr="0002766F" w:rsidRDefault="00D72775" w:rsidP="004741D5">
            <w:pPr>
              <w:jc w:val="center"/>
            </w:pPr>
            <w:r>
              <w:t>-0.17</w:t>
            </w:r>
          </w:p>
        </w:tc>
        <w:tc>
          <w:tcPr>
            <w:tcW w:w="1853" w:type="dxa"/>
          </w:tcPr>
          <w:p w14:paraId="399158BB" w14:textId="77777777" w:rsidR="00D72775" w:rsidRPr="0002766F" w:rsidRDefault="00D72775" w:rsidP="004741D5">
            <w:pPr>
              <w:jc w:val="center"/>
            </w:pPr>
            <w:r>
              <w:t>-0.14</w:t>
            </w:r>
          </w:p>
        </w:tc>
        <w:tc>
          <w:tcPr>
            <w:tcW w:w="2023" w:type="dxa"/>
          </w:tcPr>
          <w:p w14:paraId="1805C126" w14:textId="77777777" w:rsidR="00D72775" w:rsidRPr="0002766F" w:rsidRDefault="00D72775" w:rsidP="004741D5">
            <w:pPr>
              <w:jc w:val="center"/>
            </w:pPr>
            <w:r>
              <w:t>-0.52</w:t>
            </w:r>
          </w:p>
        </w:tc>
        <w:tc>
          <w:tcPr>
            <w:tcW w:w="1594" w:type="dxa"/>
          </w:tcPr>
          <w:p w14:paraId="2FCF7FA9" w14:textId="77777777" w:rsidR="00D72775" w:rsidRPr="0002766F" w:rsidRDefault="00D72775" w:rsidP="004741D5">
            <w:pPr>
              <w:jc w:val="center"/>
            </w:pPr>
            <w:r>
              <w:t>0.24**</w:t>
            </w:r>
          </w:p>
        </w:tc>
      </w:tr>
      <w:tr w:rsidR="00D72775" w:rsidRPr="0002766F" w14:paraId="380850F3" w14:textId="77777777" w:rsidTr="004741D5">
        <w:tc>
          <w:tcPr>
            <w:tcW w:w="1783" w:type="dxa"/>
          </w:tcPr>
          <w:p w14:paraId="1B08853C" w14:textId="77777777" w:rsidR="00D72775" w:rsidRPr="0002766F" w:rsidRDefault="00D72775" w:rsidP="004741D5">
            <w:r>
              <w:t>AAQH Total</w:t>
            </w:r>
          </w:p>
        </w:tc>
        <w:tc>
          <w:tcPr>
            <w:tcW w:w="1387" w:type="dxa"/>
          </w:tcPr>
          <w:p w14:paraId="30EC0FE9" w14:textId="77777777" w:rsidR="00D72775" w:rsidRPr="0002766F" w:rsidRDefault="00D72775" w:rsidP="004741D5">
            <w:pPr>
              <w:jc w:val="center"/>
            </w:pPr>
            <w:r>
              <w:t>-0.51**</w:t>
            </w:r>
          </w:p>
        </w:tc>
        <w:tc>
          <w:tcPr>
            <w:tcW w:w="1853" w:type="dxa"/>
          </w:tcPr>
          <w:p w14:paraId="6B2B3190" w14:textId="77777777" w:rsidR="00D72775" w:rsidRPr="0002766F" w:rsidRDefault="00D72775" w:rsidP="004741D5">
            <w:pPr>
              <w:jc w:val="center"/>
            </w:pPr>
            <w:r>
              <w:t>0.13</w:t>
            </w:r>
          </w:p>
        </w:tc>
        <w:tc>
          <w:tcPr>
            <w:tcW w:w="2023" w:type="dxa"/>
          </w:tcPr>
          <w:p w14:paraId="73194BEF" w14:textId="77777777" w:rsidR="00D72775" w:rsidRPr="0002766F" w:rsidRDefault="00D72775" w:rsidP="004741D5">
            <w:pPr>
              <w:jc w:val="center"/>
            </w:pPr>
            <w:r>
              <w:t>-0.79**</w:t>
            </w:r>
          </w:p>
        </w:tc>
        <w:tc>
          <w:tcPr>
            <w:tcW w:w="1594" w:type="dxa"/>
          </w:tcPr>
          <w:p w14:paraId="2C82FBF2" w14:textId="77777777" w:rsidR="00D72775" w:rsidRPr="0002766F" w:rsidRDefault="00D72775" w:rsidP="004741D5">
            <w:pPr>
              <w:jc w:val="center"/>
            </w:pPr>
            <w:r>
              <w:t>-0.03</w:t>
            </w:r>
          </w:p>
        </w:tc>
      </w:tr>
      <w:tr w:rsidR="00D72775" w:rsidRPr="0002766F" w14:paraId="79913DD9" w14:textId="77777777" w:rsidTr="004741D5">
        <w:tc>
          <w:tcPr>
            <w:tcW w:w="1783" w:type="dxa"/>
            <w:tcBorders>
              <w:bottom w:val="single" w:sz="4" w:space="0" w:color="auto"/>
            </w:tcBorders>
          </w:tcPr>
          <w:p w14:paraId="3893700B" w14:textId="77777777" w:rsidR="00D72775" w:rsidRPr="0002766F" w:rsidRDefault="00D72775" w:rsidP="004741D5">
            <w:r>
              <w:t>FFMQ Acting with Awareness</w:t>
            </w:r>
          </w:p>
        </w:tc>
        <w:tc>
          <w:tcPr>
            <w:tcW w:w="1387" w:type="dxa"/>
            <w:tcBorders>
              <w:bottom w:val="single" w:sz="4" w:space="0" w:color="auto"/>
            </w:tcBorders>
          </w:tcPr>
          <w:p w14:paraId="0B3E2EF1" w14:textId="77777777" w:rsidR="00D72775" w:rsidRPr="0002766F" w:rsidRDefault="00D72775" w:rsidP="004741D5">
            <w:pPr>
              <w:jc w:val="center"/>
            </w:pPr>
            <w:r>
              <w:t>0.13</w:t>
            </w:r>
          </w:p>
        </w:tc>
        <w:tc>
          <w:tcPr>
            <w:tcW w:w="1853" w:type="dxa"/>
            <w:tcBorders>
              <w:bottom w:val="single" w:sz="4" w:space="0" w:color="auto"/>
            </w:tcBorders>
          </w:tcPr>
          <w:p w14:paraId="6B9B77F7" w14:textId="77777777" w:rsidR="00D72775" w:rsidRPr="0002766F" w:rsidRDefault="00D72775" w:rsidP="004741D5">
            <w:pPr>
              <w:jc w:val="center"/>
            </w:pPr>
            <w:r>
              <w:t>-0.37</w:t>
            </w:r>
          </w:p>
        </w:tc>
        <w:tc>
          <w:tcPr>
            <w:tcW w:w="2023" w:type="dxa"/>
            <w:tcBorders>
              <w:bottom w:val="single" w:sz="4" w:space="0" w:color="auto"/>
            </w:tcBorders>
          </w:tcPr>
          <w:p w14:paraId="46562336" w14:textId="77777777" w:rsidR="00D72775" w:rsidRPr="0002766F" w:rsidRDefault="00D72775" w:rsidP="004741D5">
            <w:pPr>
              <w:jc w:val="center"/>
            </w:pPr>
            <w:r>
              <w:t>1.11***</w:t>
            </w:r>
          </w:p>
        </w:tc>
        <w:tc>
          <w:tcPr>
            <w:tcW w:w="1594" w:type="dxa"/>
            <w:tcBorders>
              <w:bottom w:val="single" w:sz="4" w:space="0" w:color="auto"/>
            </w:tcBorders>
          </w:tcPr>
          <w:p w14:paraId="7191986B" w14:textId="77777777" w:rsidR="00D72775" w:rsidRPr="0002766F" w:rsidRDefault="00D72775" w:rsidP="004741D5">
            <w:pPr>
              <w:jc w:val="center"/>
            </w:pPr>
            <w:r>
              <w:t>-0.10</w:t>
            </w:r>
          </w:p>
        </w:tc>
      </w:tr>
    </w:tbl>
    <w:p w14:paraId="53FEAD22" w14:textId="6DCC38A8" w:rsidR="00D72775" w:rsidRPr="0002766F" w:rsidRDefault="00D72775" w:rsidP="00D72775">
      <w:pPr>
        <w:spacing w:line="480" w:lineRule="auto"/>
      </w:pPr>
      <w:r w:rsidRPr="0002766F">
        <w:rPr>
          <w:i/>
          <w:iCs/>
        </w:rPr>
        <w:t>Note</w:t>
      </w:r>
      <w:r>
        <w:t>.</w:t>
      </w:r>
      <w:r w:rsidRPr="0002766F">
        <w:t xml:space="preserve"> *</w:t>
      </w:r>
      <w:r w:rsidRPr="0002766F">
        <w:rPr>
          <w:i/>
          <w:iCs/>
        </w:rPr>
        <w:t>p</w:t>
      </w:r>
      <w:r w:rsidRPr="0002766F">
        <w:t xml:space="preserve"> &lt; 0.05, **</w:t>
      </w:r>
      <w:r w:rsidRPr="0002766F">
        <w:rPr>
          <w:i/>
          <w:iCs/>
        </w:rPr>
        <w:t>p</w:t>
      </w:r>
      <w:r w:rsidRPr="0002766F">
        <w:t xml:space="preserve"> &lt; 0.01, ***</w:t>
      </w:r>
      <w:r w:rsidRPr="0002766F">
        <w:rPr>
          <w:i/>
          <w:iCs/>
        </w:rPr>
        <w:t>p</w:t>
      </w:r>
      <w:r w:rsidRPr="0002766F">
        <w:t xml:space="preserve"> &lt; 0.001. </w:t>
      </w:r>
    </w:p>
    <w:p w14:paraId="2AED837F" w14:textId="77777777" w:rsidR="00A86E89" w:rsidRDefault="00A86E89">
      <w:pPr>
        <w:spacing w:after="160" w:line="259" w:lineRule="auto"/>
        <w:rPr>
          <w:i/>
          <w:iCs/>
          <w:sz w:val="20"/>
          <w:szCs w:val="20"/>
        </w:rPr>
      </w:pPr>
      <w:r>
        <w:rPr>
          <w:i/>
          <w:iCs/>
          <w:sz w:val="20"/>
          <w:szCs w:val="20"/>
        </w:rPr>
        <w:br w:type="page"/>
      </w:r>
    </w:p>
    <w:p w14:paraId="78002E01" w14:textId="6E025B0E" w:rsidR="00D72775" w:rsidRPr="004A375A" w:rsidRDefault="00D72775" w:rsidP="00D72775">
      <w:pPr>
        <w:rPr>
          <w:b/>
          <w:bCs/>
        </w:rPr>
      </w:pPr>
      <w:r w:rsidRPr="004A375A">
        <w:rPr>
          <w:b/>
          <w:bCs/>
        </w:rPr>
        <w:lastRenderedPageBreak/>
        <w:t xml:space="preserve">Table </w:t>
      </w:r>
      <w:r w:rsidR="00036AB3">
        <w:rPr>
          <w:b/>
          <w:bCs/>
        </w:rPr>
        <w:t>4</w:t>
      </w:r>
    </w:p>
    <w:p w14:paraId="39F1DCB7" w14:textId="77777777" w:rsidR="00D72775" w:rsidRDefault="00D72775" w:rsidP="00D72775">
      <w:pPr>
        <w:rPr>
          <w:i/>
          <w:iCs/>
        </w:rPr>
      </w:pPr>
    </w:p>
    <w:p w14:paraId="419EF133" w14:textId="60A9DB13" w:rsidR="00D72775" w:rsidRDefault="00281A0B" w:rsidP="00C540C8">
      <w:pPr>
        <w:rPr>
          <w:i/>
          <w:iCs/>
        </w:rPr>
      </w:pPr>
      <w:r>
        <w:rPr>
          <w:i/>
          <w:iCs/>
        </w:rPr>
        <w:t>Impact of Moderator Variables on SI-R Total</w:t>
      </w:r>
    </w:p>
    <w:p w14:paraId="4E865D79" w14:textId="77777777" w:rsidR="00C540C8" w:rsidRPr="00C540C8" w:rsidRDefault="00C540C8" w:rsidP="00C540C8">
      <w:pPr>
        <w:rPr>
          <w:i/>
          <w:iCs/>
        </w:rPr>
      </w:pPr>
    </w:p>
    <w:tbl>
      <w:tblPr>
        <w:tblStyle w:val="TableGrid"/>
        <w:tblW w:w="975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3"/>
        <w:gridCol w:w="3291"/>
        <w:gridCol w:w="1631"/>
        <w:gridCol w:w="1851"/>
        <w:gridCol w:w="1896"/>
      </w:tblGrid>
      <w:tr w:rsidR="00C21702" w:rsidRPr="00FE21E4" w14:paraId="1C799195" w14:textId="77777777" w:rsidTr="00583C12">
        <w:trPr>
          <w:trHeight w:val="241"/>
        </w:trPr>
        <w:tc>
          <w:tcPr>
            <w:tcW w:w="1083" w:type="dxa"/>
            <w:tcBorders>
              <w:top w:val="single" w:sz="4" w:space="0" w:color="auto"/>
              <w:bottom w:val="nil"/>
            </w:tcBorders>
          </w:tcPr>
          <w:p w14:paraId="60686802" w14:textId="13BCD25C" w:rsidR="00C21702" w:rsidRPr="00F70017" w:rsidRDefault="00C21702" w:rsidP="004741D5">
            <w:pPr>
              <w:rPr>
                <w:b/>
              </w:rPr>
            </w:pPr>
          </w:p>
        </w:tc>
        <w:tc>
          <w:tcPr>
            <w:tcW w:w="3291" w:type="dxa"/>
            <w:tcBorders>
              <w:top w:val="single" w:sz="4" w:space="0" w:color="auto"/>
              <w:bottom w:val="nil"/>
            </w:tcBorders>
          </w:tcPr>
          <w:p w14:paraId="206AEC8B" w14:textId="77777777" w:rsidR="00C21702" w:rsidRPr="00F70017" w:rsidRDefault="00C21702" w:rsidP="004741D5">
            <w:pPr>
              <w:rPr>
                <w:b/>
              </w:rPr>
            </w:pPr>
            <w:r w:rsidRPr="00F70017">
              <w:rPr>
                <w:b/>
              </w:rPr>
              <w:t>Variable</w:t>
            </w:r>
          </w:p>
        </w:tc>
        <w:tc>
          <w:tcPr>
            <w:tcW w:w="1631" w:type="dxa"/>
            <w:tcBorders>
              <w:top w:val="single" w:sz="4" w:space="0" w:color="auto"/>
              <w:bottom w:val="nil"/>
            </w:tcBorders>
          </w:tcPr>
          <w:p w14:paraId="410165D7" w14:textId="596104E8" w:rsidR="00C21702" w:rsidRPr="00F70017" w:rsidRDefault="00C21702" w:rsidP="004741D5">
            <w:pPr>
              <w:rPr>
                <w:b/>
              </w:rPr>
            </w:pPr>
            <w:r>
              <w:rPr>
                <w:b/>
              </w:rPr>
              <w:t>B</w:t>
            </w:r>
          </w:p>
        </w:tc>
        <w:tc>
          <w:tcPr>
            <w:tcW w:w="1851" w:type="dxa"/>
            <w:tcBorders>
              <w:top w:val="single" w:sz="4" w:space="0" w:color="auto"/>
              <w:bottom w:val="nil"/>
            </w:tcBorders>
          </w:tcPr>
          <w:p w14:paraId="6DACBEAC" w14:textId="5F5F90B2" w:rsidR="00C21702" w:rsidRPr="00F70017" w:rsidRDefault="00C21702" w:rsidP="004741D5">
            <w:pPr>
              <w:rPr>
                <w:b/>
              </w:rPr>
            </w:pPr>
            <w:r>
              <w:rPr>
                <w:b/>
              </w:rPr>
              <w:t>SE</w:t>
            </w:r>
          </w:p>
        </w:tc>
        <w:tc>
          <w:tcPr>
            <w:tcW w:w="1896" w:type="dxa"/>
            <w:tcBorders>
              <w:top w:val="single" w:sz="4" w:space="0" w:color="auto"/>
              <w:bottom w:val="nil"/>
            </w:tcBorders>
          </w:tcPr>
          <w:p w14:paraId="171BB6F6" w14:textId="79C9F364" w:rsidR="00C21702" w:rsidRPr="00C21702" w:rsidRDefault="00C21702" w:rsidP="004741D5">
            <w:pPr>
              <w:rPr>
                <w:b/>
                <w:i/>
                <w:iCs/>
              </w:rPr>
            </w:pPr>
            <w:r>
              <w:rPr>
                <w:b/>
                <w:i/>
                <w:iCs/>
              </w:rPr>
              <w:t>t</w:t>
            </w:r>
          </w:p>
        </w:tc>
      </w:tr>
      <w:tr w:rsidR="00C540C8" w:rsidRPr="00FE21E4" w14:paraId="762D9B8B" w14:textId="77777777" w:rsidTr="00583C12">
        <w:trPr>
          <w:trHeight w:val="232"/>
        </w:trPr>
        <w:tc>
          <w:tcPr>
            <w:tcW w:w="9752" w:type="dxa"/>
            <w:gridSpan w:val="5"/>
            <w:tcBorders>
              <w:top w:val="nil"/>
              <w:bottom w:val="single" w:sz="4" w:space="0" w:color="auto"/>
            </w:tcBorders>
          </w:tcPr>
          <w:p w14:paraId="7ED2C071" w14:textId="6DE89EBA" w:rsidR="00C540C8" w:rsidRPr="00583C12" w:rsidRDefault="00C540C8" w:rsidP="004741D5">
            <w:pPr>
              <w:rPr>
                <w:i/>
                <w:iCs/>
              </w:rPr>
            </w:pPr>
            <w:r w:rsidRPr="00583C12">
              <w:rPr>
                <w:i/>
                <w:iCs/>
              </w:rPr>
              <w:t>Time by condition by age</w:t>
            </w:r>
          </w:p>
        </w:tc>
      </w:tr>
      <w:tr w:rsidR="00C21702" w:rsidRPr="00FE21E4" w14:paraId="22CB46C6" w14:textId="77777777" w:rsidTr="00583C12">
        <w:trPr>
          <w:trHeight w:val="241"/>
        </w:trPr>
        <w:tc>
          <w:tcPr>
            <w:tcW w:w="1083" w:type="dxa"/>
            <w:tcBorders>
              <w:top w:val="single" w:sz="4" w:space="0" w:color="auto"/>
            </w:tcBorders>
          </w:tcPr>
          <w:p w14:paraId="47ACCBDB" w14:textId="77777777" w:rsidR="00C21702" w:rsidRPr="00FE21E4" w:rsidRDefault="00C21702" w:rsidP="004741D5"/>
        </w:tc>
        <w:tc>
          <w:tcPr>
            <w:tcW w:w="3291" w:type="dxa"/>
            <w:tcBorders>
              <w:top w:val="single" w:sz="4" w:space="0" w:color="auto"/>
            </w:tcBorders>
          </w:tcPr>
          <w:p w14:paraId="4B156980" w14:textId="6F0FFC45" w:rsidR="00C21702" w:rsidRDefault="00C21702" w:rsidP="004741D5">
            <w:r>
              <w:t>Intercept</w:t>
            </w:r>
          </w:p>
        </w:tc>
        <w:tc>
          <w:tcPr>
            <w:tcW w:w="1631" w:type="dxa"/>
            <w:tcBorders>
              <w:top w:val="single" w:sz="4" w:space="0" w:color="auto"/>
            </w:tcBorders>
          </w:tcPr>
          <w:p w14:paraId="0F7D1E48" w14:textId="53FF7091" w:rsidR="00C21702" w:rsidRPr="00FE21E4" w:rsidRDefault="00116C87" w:rsidP="004741D5">
            <w:r>
              <w:t>0.15</w:t>
            </w:r>
          </w:p>
        </w:tc>
        <w:tc>
          <w:tcPr>
            <w:tcW w:w="1851" w:type="dxa"/>
            <w:tcBorders>
              <w:top w:val="single" w:sz="4" w:space="0" w:color="auto"/>
            </w:tcBorders>
          </w:tcPr>
          <w:p w14:paraId="4DFF6E45" w14:textId="4C6EA1F5" w:rsidR="00C21702" w:rsidRPr="00FE21E4" w:rsidRDefault="00116C87" w:rsidP="004741D5">
            <w:r>
              <w:t>0.46</w:t>
            </w:r>
          </w:p>
        </w:tc>
        <w:tc>
          <w:tcPr>
            <w:tcW w:w="1896" w:type="dxa"/>
            <w:tcBorders>
              <w:top w:val="single" w:sz="4" w:space="0" w:color="auto"/>
            </w:tcBorders>
          </w:tcPr>
          <w:p w14:paraId="5B363D28" w14:textId="7ADA7E62" w:rsidR="00C21702" w:rsidRPr="00FE21E4" w:rsidRDefault="00116C87" w:rsidP="004741D5">
            <w:r>
              <w:t>0.33</w:t>
            </w:r>
          </w:p>
        </w:tc>
      </w:tr>
      <w:tr w:rsidR="00C21702" w:rsidRPr="00FE21E4" w14:paraId="42C3CA0E" w14:textId="77777777" w:rsidTr="00583C12">
        <w:trPr>
          <w:trHeight w:val="232"/>
        </w:trPr>
        <w:tc>
          <w:tcPr>
            <w:tcW w:w="1083" w:type="dxa"/>
          </w:tcPr>
          <w:p w14:paraId="6B66D8DE" w14:textId="77777777" w:rsidR="00C21702" w:rsidRPr="00FE21E4" w:rsidRDefault="00C21702" w:rsidP="004741D5"/>
        </w:tc>
        <w:tc>
          <w:tcPr>
            <w:tcW w:w="3291" w:type="dxa"/>
          </w:tcPr>
          <w:p w14:paraId="639AACAA" w14:textId="3CDF160F" w:rsidR="00C21702" w:rsidRDefault="00C21702" w:rsidP="004741D5">
            <w:r>
              <w:t>Time</w:t>
            </w:r>
          </w:p>
        </w:tc>
        <w:tc>
          <w:tcPr>
            <w:tcW w:w="1631" w:type="dxa"/>
          </w:tcPr>
          <w:p w14:paraId="3FDEE4E0" w14:textId="691343E5" w:rsidR="00C21702" w:rsidRPr="00FE21E4" w:rsidRDefault="00116C87" w:rsidP="004741D5">
            <w:r>
              <w:t>-0.12</w:t>
            </w:r>
          </w:p>
        </w:tc>
        <w:tc>
          <w:tcPr>
            <w:tcW w:w="1851" w:type="dxa"/>
          </w:tcPr>
          <w:p w14:paraId="64FF4D86" w14:textId="629D4365" w:rsidR="00C21702" w:rsidRPr="00FE21E4" w:rsidRDefault="00116C87" w:rsidP="004741D5">
            <w:r>
              <w:t>0.47</w:t>
            </w:r>
          </w:p>
        </w:tc>
        <w:tc>
          <w:tcPr>
            <w:tcW w:w="1896" w:type="dxa"/>
          </w:tcPr>
          <w:p w14:paraId="314DF9F4" w14:textId="0E4C2E00" w:rsidR="00C21702" w:rsidRPr="00FE21E4" w:rsidRDefault="00116C87" w:rsidP="004741D5">
            <w:r>
              <w:t>-0.25</w:t>
            </w:r>
          </w:p>
        </w:tc>
      </w:tr>
      <w:tr w:rsidR="00C21702" w:rsidRPr="00FE21E4" w14:paraId="56579660" w14:textId="77777777" w:rsidTr="00583C12">
        <w:trPr>
          <w:trHeight w:val="241"/>
        </w:trPr>
        <w:tc>
          <w:tcPr>
            <w:tcW w:w="1083" w:type="dxa"/>
          </w:tcPr>
          <w:p w14:paraId="6C2B421E" w14:textId="77777777" w:rsidR="00C21702" w:rsidRPr="00FE21E4" w:rsidRDefault="00C21702" w:rsidP="004741D5"/>
        </w:tc>
        <w:tc>
          <w:tcPr>
            <w:tcW w:w="3291" w:type="dxa"/>
          </w:tcPr>
          <w:p w14:paraId="52945A3B" w14:textId="3BA3D637" w:rsidR="00C21702" w:rsidRDefault="00C21702" w:rsidP="004741D5">
            <w:r>
              <w:t>Condition</w:t>
            </w:r>
          </w:p>
        </w:tc>
        <w:tc>
          <w:tcPr>
            <w:tcW w:w="1631" w:type="dxa"/>
          </w:tcPr>
          <w:p w14:paraId="2056617A" w14:textId="2D0FFEF0" w:rsidR="00C21702" w:rsidRPr="00FE21E4" w:rsidRDefault="00116C87" w:rsidP="004741D5">
            <w:r>
              <w:t>-0.44</w:t>
            </w:r>
          </w:p>
        </w:tc>
        <w:tc>
          <w:tcPr>
            <w:tcW w:w="1851" w:type="dxa"/>
          </w:tcPr>
          <w:p w14:paraId="2CE64935" w14:textId="6D8ABD55" w:rsidR="00C21702" w:rsidRPr="00FE21E4" w:rsidRDefault="00116C87" w:rsidP="004741D5">
            <w:r>
              <w:t>0.71</w:t>
            </w:r>
          </w:p>
        </w:tc>
        <w:tc>
          <w:tcPr>
            <w:tcW w:w="1896" w:type="dxa"/>
          </w:tcPr>
          <w:p w14:paraId="19933F76" w14:textId="245FEF1C" w:rsidR="00C21702" w:rsidRPr="00FE21E4" w:rsidRDefault="00116C87" w:rsidP="004741D5">
            <w:r>
              <w:t>-0.62</w:t>
            </w:r>
          </w:p>
        </w:tc>
      </w:tr>
      <w:tr w:rsidR="00116C87" w:rsidRPr="00FE21E4" w14:paraId="2DA11069" w14:textId="77777777" w:rsidTr="00583C12">
        <w:trPr>
          <w:trHeight w:val="241"/>
        </w:trPr>
        <w:tc>
          <w:tcPr>
            <w:tcW w:w="1083" w:type="dxa"/>
          </w:tcPr>
          <w:p w14:paraId="1397744C" w14:textId="77777777" w:rsidR="00116C87" w:rsidRPr="00FE21E4" w:rsidRDefault="00116C87" w:rsidP="00C540C8"/>
        </w:tc>
        <w:tc>
          <w:tcPr>
            <w:tcW w:w="3291" w:type="dxa"/>
          </w:tcPr>
          <w:p w14:paraId="34553CA9" w14:textId="06F96B11" w:rsidR="00116C87" w:rsidRDefault="00116C87" w:rsidP="00C540C8">
            <w:r>
              <w:t>Age</w:t>
            </w:r>
          </w:p>
        </w:tc>
        <w:tc>
          <w:tcPr>
            <w:tcW w:w="1631" w:type="dxa"/>
          </w:tcPr>
          <w:p w14:paraId="4504E9F3" w14:textId="6B334754" w:rsidR="00116C87" w:rsidRPr="00FE21E4" w:rsidRDefault="00EE2145" w:rsidP="00C540C8">
            <w:r>
              <w:t>0.01</w:t>
            </w:r>
          </w:p>
        </w:tc>
        <w:tc>
          <w:tcPr>
            <w:tcW w:w="1851" w:type="dxa"/>
          </w:tcPr>
          <w:p w14:paraId="688FDED9" w14:textId="3364781D" w:rsidR="00116C87" w:rsidRPr="00FE21E4" w:rsidRDefault="00EE2145" w:rsidP="00C540C8">
            <w:r>
              <w:t>0.01</w:t>
            </w:r>
          </w:p>
        </w:tc>
        <w:tc>
          <w:tcPr>
            <w:tcW w:w="1896" w:type="dxa"/>
          </w:tcPr>
          <w:p w14:paraId="72652749" w14:textId="53D25242" w:rsidR="00116C87" w:rsidRPr="00FE21E4" w:rsidRDefault="00EE2145" w:rsidP="00C540C8">
            <w:r>
              <w:t>0.75</w:t>
            </w:r>
          </w:p>
        </w:tc>
      </w:tr>
      <w:tr w:rsidR="00EE2145" w:rsidRPr="00FE21E4" w14:paraId="5B4E900A" w14:textId="77777777" w:rsidTr="00583C12">
        <w:trPr>
          <w:trHeight w:val="241"/>
        </w:trPr>
        <w:tc>
          <w:tcPr>
            <w:tcW w:w="1083" w:type="dxa"/>
          </w:tcPr>
          <w:p w14:paraId="6335E767" w14:textId="77777777" w:rsidR="00EE2145" w:rsidRPr="00FE21E4" w:rsidRDefault="00EE2145" w:rsidP="00C540C8"/>
        </w:tc>
        <w:tc>
          <w:tcPr>
            <w:tcW w:w="3291" w:type="dxa"/>
          </w:tcPr>
          <w:p w14:paraId="25FB4DBC" w14:textId="45EAC7CE" w:rsidR="00EE2145" w:rsidRDefault="00EE2145" w:rsidP="00C540C8">
            <w:r>
              <w:t>Baseline CGI</w:t>
            </w:r>
          </w:p>
        </w:tc>
        <w:tc>
          <w:tcPr>
            <w:tcW w:w="1631" w:type="dxa"/>
          </w:tcPr>
          <w:p w14:paraId="34E1EDAE" w14:textId="657B38C4" w:rsidR="00EE2145" w:rsidRPr="00FE21E4" w:rsidRDefault="00913EEE" w:rsidP="00C540C8">
            <w:r>
              <w:t>0.14</w:t>
            </w:r>
          </w:p>
        </w:tc>
        <w:tc>
          <w:tcPr>
            <w:tcW w:w="1851" w:type="dxa"/>
          </w:tcPr>
          <w:p w14:paraId="5A67F185" w14:textId="36A09702" w:rsidR="00EE2145" w:rsidRPr="00FE21E4" w:rsidRDefault="00913EEE" w:rsidP="00C540C8">
            <w:r>
              <w:t>0.10</w:t>
            </w:r>
          </w:p>
        </w:tc>
        <w:tc>
          <w:tcPr>
            <w:tcW w:w="1896" w:type="dxa"/>
          </w:tcPr>
          <w:p w14:paraId="60A955D4" w14:textId="0347D3E6" w:rsidR="00EE2145" w:rsidRPr="00FE21E4" w:rsidRDefault="00913EEE" w:rsidP="00C540C8">
            <w:r>
              <w:t>1.47</w:t>
            </w:r>
          </w:p>
        </w:tc>
      </w:tr>
      <w:tr w:rsidR="00C21702" w:rsidRPr="00FE21E4" w14:paraId="6EE7F2AC" w14:textId="77777777" w:rsidTr="00583C12">
        <w:trPr>
          <w:trHeight w:val="241"/>
        </w:trPr>
        <w:tc>
          <w:tcPr>
            <w:tcW w:w="1083" w:type="dxa"/>
          </w:tcPr>
          <w:p w14:paraId="4EB5244C" w14:textId="7F7535B2" w:rsidR="00C21702" w:rsidRPr="00FE21E4" w:rsidRDefault="00C21702" w:rsidP="00C540C8"/>
        </w:tc>
        <w:tc>
          <w:tcPr>
            <w:tcW w:w="3291" w:type="dxa"/>
          </w:tcPr>
          <w:p w14:paraId="163E5ABE" w14:textId="5223A2DA" w:rsidR="00C21702" w:rsidRPr="00FE21E4" w:rsidRDefault="00C21702" w:rsidP="00C540C8">
            <w:r>
              <w:t>Time x Condition</w:t>
            </w:r>
          </w:p>
        </w:tc>
        <w:tc>
          <w:tcPr>
            <w:tcW w:w="1631" w:type="dxa"/>
          </w:tcPr>
          <w:p w14:paraId="712BEA69" w14:textId="08959D39" w:rsidR="00C21702" w:rsidRPr="00FE21E4" w:rsidRDefault="00913EEE" w:rsidP="00C540C8">
            <w:r>
              <w:t>-0.57</w:t>
            </w:r>
          </w:p>
        </w:tc>
        <w:tc>
          <w:tcPr>
            <w:tcW w:w="1851" w:type="dxa"/>
          </w:tcPr>
          <w:p w14:paraId="3CCCB19C" w14:textId="7DE62B50" w:rsidR="00C21702" w:rsidRPr="00FE21E4" w:rsidRDefault="00913EEE" w:rsidP="00C540C8">
            <w:r>
              <w:t>0.76</w:t>
            </w:r>
          </w:p>
        </w:tc>
        <w:tc>
          <w:tcPr>
            <w:tcW w:w="1896" w:type="dxa"/>
          </w:tcPr>
          <w:p w14:paraId="13C68411" w14:textId="581F8C11" w:rsidR="00C21702" w:rsidRPr="00FE21E4" w:rsidRDefault="00913EEE" w:rsidP="00C540C8">
            <w:r>
              <w:t>0.46</w:t>
            </w:r>
          </w:p>
        </w:tc>
      </w:tr>
      <w:tr w:rsidR="00C21702" w:rsidRPr="00FE21E4" w14:paraId="3A24793C" w14:textId="77777777" w:rsidTr="00583C12">
        <w:trPr>
          <w:trHeight w:val="232"/>
        </w:trPr>
        <w:tc>
          <w:tcPr>
            <w:tcW w:w="1083" w:type="dxa"/>
          </w:tcPr>
          <w:p w14:paraId="53559796" w14:textId="4E99EB78" w:rsidR="00C21702" w:rsidRPr="00FE21E4" w:rsidRDefault="00C21702" w:rsidP="00C540C8"/>
        </w:tc>
        <w:tc>
          <w:tcPr>
            <w:tcW w:w="3291" w:type="dxa"/>
          </w:tcPr>
          <w:p w14:paraId="79163B1C" w14:textId="2F86CC7C" w:rsidR="00C21702" w:rsidRPr="00FE21E4" w:rsidRDefault="00C21702" w:rsidP="00C540C8">
            <w:r>
              <w:t>Time x Age</w:t>
            </w:r>
          </w:p>
        </w:tc>
        <w:tc>
          <w:tcPr>
            <w:tcW w:w="1631" w:type="dxa"/>
          </w:tcPr>
          <w:p w14:paraId="58521F73" w14:textId="4B36802E" w:rsidR="00C21702" w:rsidRPr="00FE21E4" w:rsidRDefault="00913EEE" w:rsidP="00C540C8">
            <w:r>
              <w:t>-0.01</w:t>
            </w:r>
          </w:p>
        </w:tc>
        <w:tc>
          <w:tcPr>
            <w:tcW w:w="1851" w:type="dxa"/>
          </w:tcPr>
          <w:p w14:paraId="6DD4A1A0" w14:textId="549DC41D" w:rsidR="00C21702" w:rsidRPr="00FE21E4" w:rsidRDefault="00913EEE" w:rsidP="00C540C8">
            <w:r>
              <w:t>0.01</w:t>
            </w:r>
          </w:p>
        </w:tc>
        <w:tc>
          <w:tcPr>
            <w:tcW w:w="1896" w:type="dxa"/>
          </w:tcPr>
          <w:p w14:paraId="1EBD1235" w14:textId="31A8ED94" w:rsidR="00C21702" w:rsidRPr="00FE21E4" w:rsidRDefault="00913EEE" w:rsidP="00C540C8">
            <w:r>
              <w:t>-1.05</w:t>
            </w:r>
          </w:p>
        </w:tc>
      </w:tr>
      <w:tr w:rsidR="00C21702" w:rsidRPr="00FE21E4" w14:paraId="123CA22D" w14:textId="77777777" w:rsidTr="00583C12">
        <w:trPr>
          <w:trHeight w:val="241"/>
        </w:trPr>
        <w:tc>
          <w:tcPr>
            <w:tcW w:w="1083" w:type="dxa"/>
          </w:tcPr>
          <w:p w14:paraId="244BCB70" w14:textId="77777777" w:rsidR="00C21702" w:rsidRPr="00FE21E4" w:rsidRDefault="00C21702" w:rsidP="00C540C8"/>
        </w:tc>
        <w:tc>
          <w:tcPr>
            <w:tcW w:w="3291" w:type="dxa"/>
          </w:tcPr>
          <w:p w14:paraId="0AC85CF6" w14:textId="18E68C90" w:rsidR="00C21702" w:rsidRPr="00FE21E4" w:rsidRDefault="00C21702" w:rsidP="00C540C8">
            <w:r>
              <w:t>Age x Condition</w:t>
            </w:r>
          </w:p>
        </w:tc>
        <w:tc>
          <w:tcPr>
            <w:tcW w:w="1631" w:type="dxa"/>
          </w:tcPr>
          <w:p w14:paraId="43A2F19B" w14:textId="7D48F023" w:rsidR="00C21702" w:rsidRPr="00FE21E4" w:rsidRDefault="00913EEE" w:rsidP="00C540C8">
            <w:r>
              <w:t>0.01</w:t>
            </w:r>
          </w:p>
        </w:tc>
        <w:tc>
          <w:tcPr>
            <w:tcW w:w="1851" w:type="dxa"/>
          </w:tcPr>
          <w:p w14:paraId="5D1B8F8A" w14:textId="38315B6B" w:rsidR="00C21702" w:rsidRPr="00FE21E4" w:rsidRDefault="00913EEE" w:rsidP="00C540C8">
            <w:r>
              <w:t>0.01</w:t>
            </w:r>
          </w:p>
        </w:tc>
        <w:tc>
          <w:tcPr>
            <w:tcW w:w="1896" w:type="dxa"/>
          </w:tcPr>
          <w:p w14:paraId="055E7EDF" w14:textId="5A5C0B07" w:rsidR="00C21702" w:rsidRPr="00FE21E4" w:rsidRDefault="00913EEE" w:rsidP="00C540C8">
            <w:r>
              <w:t>0.63</w:t>
            </w:r>
          </w:p>
        </w:tc>
      </w:tr>
      <w:tr w:rsidR="00C21702" w:rsidRPr="00FE21E4" w14:paraId="19A76802" w14:textId="77777777" w:rsidTr="00583C12">
        <w:trPr>
          <w:trHeight w:val="474"/>
        </w:trPr>
        <w:tc>
          <w:tcPr>
            <w:tcW w:w="1083" w:type="dxa"/>
          </w:tcPr>
          <w:p w14:paraId="3B2BAD84" w14:textId="77777777" w:rsidR="00C21702" w:rsidRPr="00FE21E4" w:rsidRDefault="00C21702" w:rsidP="00C540C8"/>
        </w:tc>
        <w:tc>
          <w:tcPr>
            <w:tcW w:w="3291" w:type="dxa"/>
          </w:tcPr>
          <w:p w14:paraId="15AC74E0" w14:textId="5B42488F" w:rsidR="00C21702" w:rsidRDefault="00C21702" w:rsidP="00C540C8">
            <w:r>
              <w:t>Time x Condition x Age</w:t>
            </w:r>
          </w:p>
        </w:tc>
        <w:tc>
          <w:tcPr>
            <w:tcW w:w="1631" w:type="dxa"/>
          </w:tcPr>
          <w:p w14:paraId="140C79A3" w14:textId="6EA215FF" w:rsidR="00C21702" w:rsidRPr="00FE21E4" w:rsidRDefault="00913EEE" w:rsidP="00C540C8">
            <w:r>
              <w:t>0.00</w:t>
            </w:r>
          </w:p>
        </w:tc>
        <w:tc>
          <w:tcPr>
            <w:tcW w:w="1851" w:type="dxa"/>
          </w:tcPr>
          <w:p w14:paraId="3DA327E6" w14:textId="6D9E7031" w:rsidR="00C21702" w:rsidRPr="00FE21E4" w:rsidRDefault="00913EEE" w:rsidP="00C540C8">
            <w:r>
              <w:t>0.02</w:t>
            </w:r>
          </w:p>
        </w:tc>
        <w:tc>
          <w:tcPr>
            <w:tcW w:w="1896" w:type="dxa"/>
          </w:tcPr>
          <w:p w14:paraId="373E798C" w14:textId="59E56DD8" w:rsidR="00C21702" w:rsidRPr="00FE21E4" w:rsidRDefault="00913EEE" w:rsidP="00C540C8">
            <w:r>
              <w:t>-0.17</w:t>
            </w:r>
          </w:p>
        </w:tc>
      </w:tr>
      <w:tr w:rsidR="00C540C8" w:rsidRPr="00FE21E4" w14:paraId="458E4277" w14:textId="77777777" w:rsidTr="00583C12">
        <w:trPr>
          <w:trHeight w:val="232"/>
        </w:trPr>
        <w:tc>
          <w:tcPr>
            <w:tcW w:w="9752" w:type="dxa"/>
            <w:gridSpan w:val="5"/>
          </w:tcPr>
          <w:p w14:paraId="3B2640BC" w14:textId="45233B95" w:rsidR="00C540C8" w:rsidRPr="00583C12" w:rsidRDefault="00C540C8" w:rsidP="00C540C8">
            <w:pPr>
              <w:rPr>
                <w:i/>
                <w:iCs/>
              </w:rPr>
            </w:pPr>
            <w:r w:rsidRPr="00583C12">
              <w:rPr>
                <w:i/>
                <w:iCs/>
              </w:rPr>
              <w:t>Time by condition by gender</w:t>
            </w:r>
          </w:p>
        </w:tc>
      </w:tr>
      <w:tr w:rsidR="00C21702" w:rsidRPr="00FE21E4" w14:paraId="25746583" w14:textId="77777777" w:rsidTr="00583C12">
        <w:trPr>
          <w:trHeight w:val="241"/>
        </w:trPr>
        <w:tc>
          <w:tcPr>
            <w:tcW w:w="1083" w:type="dxa"/>
          </w:tcPr>
          <w:p w14:paraId="18618E69" w14:textId="77777777" w:rsidR="00C21702" w:rsidRPr="00FE21E4" w:rsidRDefault="00C21702" w:rsidP="00C540C8"/>
        </w:tc>
        <w:tc>
          <w:tcPr>
            <w:tcW w:w="3291" w:type="dxa"/>
          </w:tcPr>
          <w:p w14:paraId="71A10671" w14:textId="45A0A449" w:rsidR="00C21702" w:rsidRDefault="00C21702" w:rsidP="00C540C8">
            <w:r>
              <w:t>Intercept</w:t>
            </w:r>
          </w:p>
        </w:tc>
        <w:tc>
          <w:tcPr>
            <w:tcW w:w="1631" w:type="dxa"/>
          </w:tcPr>
          <w:p w14:paraId="49811503" w14:textId="2D383AC4" w:rsidR="00C21702" w:rsidRPr="00FE21E4" w:rsidRDefault="00635313" w:rsidP="00C540C8">
            <w:r>
              <w:t>0.36</w:t>
            </w:r>
          </w:p>
        </w:tc>
        <w:tc>
          <w:tcPr>
            <w:tcW w:w="1851" w:type="dxa"/>
          </w:tcPr>
          <w:p w14:paraId="780FE695" w14:textId="71D8187E" w:rsidR="00C21702" w:rsidRPr="00FE21E4" w:rsidRDefault="00635313" w:rsidP="00C540C8">
            <w:r>
              <w:t>0.53</w:t>
            </w:r>
          </w:p>
        </w:tc>
        <w:tc>
          <w:tcPr>
            <w:tcW w:w="1896" w:type="dxa"/>
          </w:tcPr>
          <w:p w14:paraId="150DE1CF" w14:textId="5975A9C7" w:rsidR="00C21702" w:rsidRPr="00FE21E4" w:rsidRDefault="00635313" w:rsidP="00C540C8">
            <w:r>
              <w:t>0.69</w:t>
            </w:r>
          </w:p>
        </w:tc>
      </w:tr>
      <w:tr w:rsidR="00C21702" w:rsidRPr="00FE21E4" w14:paraId="7ABA38FA" w14:textId="77777777" w:rsidTr="00583C12">
        <w:trPr>
          <w:trHeight w:val="232"/>
        </w:trPr>
        <w:tc>
          <w:tcPr>
            <w:tcW w:w="1083" w:type="dxa"/>
          </w:tcPr>
          <w:p w14:paraId="7D671559" w14:textId="77777777" w:rsidR="00C21702" w:rsidRPr="00FE21E4" w:rsidRDefault="00C21702" w:rsidP="00C540C8"/>
        </w:tc>
        <w:tc>
          <w:tcPr>
            <w:tcW w:w="3291" w:type="dxa"/>
          </w:tcPr>
          <w:p w14:paraId="76AAF176" w14:textId="3ECB52F8" w:rsidR="00C21702" w:rsidRDefault="00C21702" w:rsidP="00C540C8">
            <w:r>
              <w:t>Time</w:t>
            </w:r>
          </w:p>
        </w:tc>
        <w:tc>
          <w:tcPr>
            <w:tcW w:w="1631" w:type="dxa"/>
          </w:tcPr>
          <w:p w14:paraId="16FE3F12" w14:textId="54C9EA7D" w:rsidR="00C21702" w:rsidRPr="00FE21E4" w:rsidRDefault="00635313" w:rsidP="00C540C8">
            <w:r>
              <w:t>-0.91</w:t>
            </w:r>
          </w:p>
        </w:tc>
        <w:tc>
          <w:tcPr>
            <w:tcW w:w="1851" w:type="dxa"/>
          </w:tcPr>
          <w:p w14:paraId="32C64B1D" w14:textId="62269DD0" w:rsidR="00C21702" w:rsidRPr="00FE21E4" w:rsidRDefault="00635313" w:rsidP="00C540C8">
            <w:r>
              <w:t>0.48</w:t>
            </w:r>
          </w:p>
        </w:tc>
        <w:tc>
          <w:tcPr>
            <w:tcW w:w="1896" w:type="dxa"/>
          </w:tcPr>
          <w:p w14:paraId="7C3C6C80" w14:textId="3CF9E920" w:rsidR="00C21702" w:rsidRPr="00FE21E4" w:rsidRDefault="00635313" w:rsidP="00C540C8">
            <w:r>
              <w:t>-1.89</w:t>
            </w:r>
          </w:p>
        </w:tc>
      </w:tr>
      <w:tr w:rsidR="00C21702" w:rsidRPr="00FE21E4" w14:paraId="51923FE7" w14:textId="77777777" w:rsidTr="00583C12">
        <w:trPr>
          <w:trHeight w:val="241"/>
        </w:trPr>
        <w:tc>
          <w:tcPr>
            <w:tcW w:w="1083" w:type="dxa"/>
          </w:tcPr>
          <w:p w14:paraId="5528BE2A" w14:textId="77777777" w:rsidR="00C21702" w:rsidRPr="00FE21E4" w:rsidRDefault="00C21702" w:rsidP="00C540C8"/>
        </w:tc>
        <w:tc>
          <w:tcPr>
            <w:tcW w:w="3291" w:type="dxa"/>
          </w:tcPr>
          <w:p w14:paraId="1714281A" w14:textId="193AD4C1" w:rsidR="00C21702" w:rsidRDefault="00C21702" w:rsidP="00C540C8">
            <w:r>
              <w:t>Condition</w:t>
            </w:r>
          </w:p>
        </w:tc>
        <w:tc>
          <w:tcPr>
            <w:tcW w:w="1631" w:type="dxa"/>
          </w:tcPr>
          <w:p w14:paraId="7B5334EC" w14:textId="0FFC5B48" w:rsidR="00C21702" w:rsidRPr="00FE21E4" w:rsidRDefault="00635313" w:rsidP="00C540C8">
            <w:r>
              <w:t>0.03</w:t>
            </w:r>
          </w:p>
        </w:tc>
        <w:tc>
          <w:tcPr>
            <w:tcW w:w="1851" w:type="dxa"/>
          </w:tcPr>
          <w:p w14:paraId="42224CE0" w14:textId="40A9892E" w:rsidR="00C21702" w:rsidRPr="00FE21E4" w:rsidRDefault="00635313" w:rsidP="00C540C8">
            <w:r>
              <w:t>0.64</w:t>
            </w:r>
          </w:p>
        </w:tc>
        <w:tc>
          <w:tcPr>
            <w:tcW w:w="1896" w:type="dxa"/>
          </w:tcPr>
          <w:p w14:paraId="38EC130E" w14:textId="34E7A791" w:rsidR="00C21702" w:rsidRPr="00FE21E4" w:rsidRDefault="00635313" w:rsidP="00C540C8">
            <w:r>
              <w:t>0.05</w:t>
            </w:r>
          </w:p>
        </w:tc>
      </w:tr>
      <w:tr w:rsidR="00116C87" w:rsidRPr="00FE21E4" w14:paraId="3B5879F2" w14:textId="77777777" w:rsidTr="00583C12">
        <w:trPr>
          <w:trHeight w:val="241"/>
        </w:trPr>
        <w:tc>
          <w:tcPr>
            <w:tcW w:w="1083" w:type="dxa"/>
          </w:tcPr>
          <w:p w14:paraId="418A3947" w14:textId="77777777" w:rsidR="00116C87" w:rsidRPr="00FE21E4" w:rsidRDefault="00116C87" w:rsidP="00C540C8"/>
        </w:tc>
        <w:tc>
          <w:tcPr>
            <w:tcW w:w="3291" w:type="dxa"/>
          </w:tcPr>
          <w:p w14:paraId="6EC42E35" w14:textId="79F0E751" w:rsidR="00116C87" w:rsidRDefault="00915D3E" w:rsidP="00C540C8">
            <w:r>
              <w:t>Gender</w:t>
            </w:r>
          </w:p>
        </w:tc>
        <w:tc>
          <w:tcPr>
            <w:tcW w:w="1631" w:type="dxa"/>
          </w:tcPr>
          <w:p w14:paraId="772DAA27" w14:textId="6CE98C33" w:rsidR="00116C87" w:rsidRPr="00FE21E4" w:rsidRDefault="00635313" w:rsidP="00C540C8">
            <w:r>
              <w:t>0.11</w:t>
            </w:r>
          </w:p>
        </w:tc>
        <w:tc>
          <w:tcPr>
            <w:tcW w:w="1851" w:type="dxa"/>
          </w:tcPr>
          <w:p w14:paraId="2DE58099" w14:textId="198E4E0C" w:rsidR="00116C87" w:rsidRPr="00FE21E4" w:rsidRDefault="00635313" w:rsidP="00C540C8">
            <w:r>
              <w:t>0.54</w:t>
            </w:r>
          </w:p>
        </w:tc>
        <w:tc>
          <w:tcPr>
            <w:tcW w:w="1896" w:type="dxa"/>
          </w:tcPr>
          <w:p w14:paraId="58832CBF" w14:textId="129F105C" w:rsidR="00116C87" w:rsidRPr="00FE21E4" w:rsidRDefault="00635313" w:rsidP="00C540C8">
            <w:r>
              <w:t>0.21</w:t>
            </w:r>
          </w:p>
        </w:tc>
      </w:tr>
      <w:tr w:rsidR="00EE2145" w:rsidRPr="00FE21E4" w14:paraId="193C36C4" w14:textId="77777777" w:rsidTr="00583C12">
        <w:trPr>
          <w:trHeight w:val="241"/>
        </w:trPr>
        <w:tc>
          <w:tcPr>
            <w:tcW w:w="1083" w:type="dxa"/>
          </w:tcPr>
          <w:p w14:paraId="2A424729" w14:textId="77777777" w:rsidR="00EE2145" w:rsidRPr="00FE21E4" w:rsidRDefault="00EE2145" w:rsidP="00EE2145"/>
        </w:tc>
        <w:tc>
          <w:tcPr>
            <w:tcW w:w="3291" w:type="dxa"/>
          </w:tcPr>
          <w:p w14:paraId="4BB0BC3F" w14:textId="38C0AFE6" w:rsidR="00EE2145" w:rsidRDefault="00EE2145" w:rsidP="00EE2145">
            <w:r>
              <w:t>Baseline CGI</w:t>
            </w:r>
          </w:p>
        </w:tc>
        <w:tc>
          <w:tcPr>
            <w:tcW w:w="1631" w:type="dxa"/>
          </w:tcPr>
          <w:p w14:paraId="56329A3F" w14:textId="5FB7E9F4" w:rsidR="00EE2145" w:rsidRPr="00FE21E4" w:rsidRDefault="00635313" w:rsidP="00EE2145">
            <w:r>
              <w:t>0.12</w:t>
            </w:r>
          </w:p>
        </w:tc>
        <w:tc>
          <w:tcPr>
            <w:tcW w:w="1851" w:type="dxa"/>
          </w:tcPr>
          <w:p w14:paraId="6E544929" w14:textId="07D054E1" w:rsidR="00EE2145" w:rsidRPr="00FE21E4" w:rsidRDefault="00635313" w:rsidP="00EE2145">
            <w:r>
              <w:t>0.11</w:t>
            </w:r>
          </w:p>
        </w:tc>
        <w:tc>
          <w:tcPr>
            <w:tcW w:w="1896" w:type="dxa"/>
          </w:tcPr>
          <w:p w14:paraId="3287A7C6" w14:textId="619B9A08" w:rsidR="00EE2145" w:rsidRPr="00FE21E4" w:rsidRDefault="00635313" w:rsidP="00EE2145">
            <w:r>
              <w:t>1.08</w:t>
            </w:r>
          </w:p>
        </w:tc>
      </w:tr>
      <w:tr w:rsidR="00C21702" w:rsidRPr="00FE21E4" w14:paraId="5B025AA0" w14:textId="77777777" w:rsidTr="00583C12">
        <w:trPr>
          <w:trHeight w:val="241"/>
        </w:trPr>
        <w:tc>
          <w:tcPr>
            <w:tcW w:w="1083" w:type="dxa"/>
          </w:tcPr>
          <w:p w14:paraId="5C8D0DD6" w14:textId="77777777" w:rsidR="00C21702" w:rsidRPr="00FE21E4" w:rsidRDefault="00C21702" w:rsidP="00C540C8"/>
        </w:tc>
        <w:tc>
          <w:tcPr>
            <w:tcW w:w="3291" w:type="dxa"/>
          </w:tcPr>
          <w:p w14:paraId="2A58A7A8" w14:textId="0100AFBB" w:rsidR="00C21702" w:rsidRDefault="00C21702" w:rsidP="00C540C8">
            <w:r>
              <w:t>Time x Condition</w:t>
            </w:r>
          </w:p>
        </w:tc>
        <w:tc>
          <w:tcPr>
            <w:tcW w:w="1631" w:type="dxa"/>
          </w:tcPr>
          <w:p w14:paraId="26249480" w14:textId="5351EA86" w:rsidR="00C21702" w:rsidRPr="00FE21E4" w:rsidRDefault="00635313" w:rsidP="00C540C8">
            <w:r>
              <w:t>-0.63</w:t>
            </w:r>
          </w:p>
        </w:tc>
        <w:tc>
          <w:tcPr>
            <w:tcW w:w="1851" w:type="dxa"/>
          </w:tcPr>
          <w:p w14:paraId="6461BC61" w14:textId="538F908E" w:rsidR="00C21702" w:rsidRPr="00FE21E4" w:rsidRDefault="00635313" w:rsidP="00C540C8">
            <w:r>
              <w:t>0.63</w:t>
            </w:r>
          </w:p>
        </w:tc>
        <w:tc>
          <w:tcPr>
            <w:tcW w:w="1896" w:type="dxa"/>
          </w:tcPr>
          <w:p w14:paraId="1484B2D4" w14:textId="1A9BA087" w:rsidR="00C21702" w:rsidRPr="00FE21E4" w:rsidRDefault="00635313" w:rsidP="00C540C8">
            <w:r>
              <w:t>-1.00</w:t>
            </w:r>
          </w:p>
        </w:tc>
      </w:tr>
      <w:tr w:rsidR="00C21702" w:rsidRPr="00FE21E4" w14:paraId="0045EBA3" w14:textId="77777777" w:rsidTr="00583C12">
        <w:trPr>
          <w:trHeight w:val="232"/>
        </w:trPr>
        <w:tc>
          <w:tcPr>
            <w:tcW w:w="1083" w:type="dxa"/>
          </w:tcPr>
          <w:p w14:paraId="7D98A4B8" w14:textId="12625494" w:rsidR="00C21702" w:rsidRPr="00FE21E4" w:rsidRDefault="00C21702" w:rsidP="00C540C8"/>
        </w:tc>
        <w:tc>
          <w:tcPr>
            <w:tcW w:w="3291" w:type="dxa"/>
          </w:tcPr>
          <w:p w14:paraId="63F430B6" w14:textId="70AAD965" w:rsidR="00C21702" w:rsidRPr="00FE21E4" w:rsidRDefault="00C21702" w:rsidP="00C540C8">
            <w:r>
              <w:t xml:space="preserve">Time x </w:t>
            </w:r>
            <w:r w:rsidR="00635313">
              <w:t>Gender</w:t>
            </w:r>
          </w:p>
        </w:tc>
        <w:tc>
          <w:tcPr>
            <w:tcW w:w="1631" w:type="dxa"/>
          </w:tcPr>
          <w:p w14:paraId="29FD985A" w14:textId="2BFE053A" w:rsidR="00C21702" w:rsidRPr="00FE21E4" w:rsidRDefault="00294E0E" w:rsidP="00C540C8">
            <w:r>
              <w:t>0.36</w:t>
            </w:r>
          </w:p>
        </w:tc>
        <w:tc>
          <w:tcPr>
            <w:tcW w:w="1851" w:type="dxa"/>
          </w:tcPr>
          <w:p w14:paraId="00CA6D32" w14:textId="0E13A2A8" w:rsidR="00C21702" w:rsidRPr="00FE21E4" w:rsidRDefault="00294E0E" w:rsidP="00C540C8">
            <w:r>
              <w:t>0.51</w:t>
            </w:r>
          </w:p>
        </w:tc>
        <w:tc>
          <w:tcPr>
            <w:tcW w:w="1896" w:type="dxa"/>
          </w:tcPr>
          <w:p w14:paraId="70CBC8FD" w14:textId="162CE4DD" w:rsidR="00C21702" w:rsidRPr="00FE21E4" w:rsidRDefault="00294E0E" w:rsidP="00C540C8">
            <w:r>
              <w:t>0.70</w:t>
            </w:r>
          </w:p>
        </w:tc>
      </w:tr>
      <w:tr w:rsidR="00C21702" w:rsidRPr="00FE21E4" w14:paraId="14367493" w14:textId="77777777" w:rsidTr="00583C12">
        <w:trPr>
          <w:trHeight w:val="241"/>
        </w:trPr>
        <w:tc>
          <w:tcPr>
            <w:tcW w:w="1083" w:type="dxa"/>
          </w:tcPr>
          <w:p w14:paraId="156D7E1F" w14:textId="4D8D23DD" w:rsidR="00C21702" w:rsidRPr="00FE21E4" w:rsidRDefault="00C21702" w:rsidP="00C540C8"/>
        </w:tc>
        <w:tc>
          <w:tcPr>
            <w:tcW w:w="3291" w:type="dxa"/>
          </w:tcPr>
          <w:p w14:paraId="14DA9D06" w14:textId="1450DED0" w:rsidR="00C21702" w:rsidRPr="00FE21E4" w:rsidRDefault="00635313" w:rsidP="00C540C8">
            <w:r>
              <w:t>Gender</w:t>
            </w:r>
            <w:r w:rsidR="00C21702">
              <w:t xml:space="preserve"> x Condition</w:t>
            </w:r>
          </w:p>
        </w:tc>
        <w:tc>
          <w:tcPr>
            <w:tcW w:w="1631" w:type="dxa"/>
          </w:tcPr>
          <w:p w14:paraId="5D51F257" w14:textId="50483827" w:rsidR="00C21702" w:rsidRPr="00FE21E4" w:rsidRDefault="00294E0E" w:rsidP="00C540C8">
            <w:r>
              <w:t>0.04</w:t>
            </w:r>
          </w:p>
        </w:tc>
        <w:tc>
          <w:tcPr>
            <w:tcW w:w="1851" w:type="dxa"/>
          </w:tcPr>
          <w:p w14:paraId="597CF629" w14:textId="42D39BDF" w:rsidR="00C21702" w:rsidRPr="00FE21E4" w:rsidRDefault="00294E0E" w:rsidP="00C540C8">
            <w:r>
              <w:t>0.66</w:t>
            </w:r>
          </w:p>
        </w:tc>
        <w:tc>
          <w:tcPr>
            <w:tcW w:w="1896" w:type="dxa"/>
          </w:tcPr>
          <w:p w14:paraId="0B106747" w14:textId="55251C2A" w:rsidR="00C21702" w:rsidRPr="00FE21E4" w:rsidRDefault="00294E0E" w:rsidP="00C540C8">
            <w:r>
              <w:t>0.06</w:t>
            </w:r>
          </w:p>
        </w:tc>
      </w:tr>
      <w:tr w:rsidR="00C21702" w:rsidRPr="00FE21E4" w14:paraId="59804CBB" w14:textId="77777777" w:rsidTr="00583C12">
        <w:trPr>
          <w:trHeight w:val="474"/>
        </w:trPr>
        <w:tc>
          <w:tcPr>
            <w:tcW w:w="1083" w:type="dxa"/>
          </w:tcPr>
          <w:p w14:paraId="0822D7EA" w14:textId="77777777" w:rsidR="00C21702" w:rsidRPr="00FE21E4" w:rsidRDefault="00C21702" w:rsidP="00C540C8"/>
        </w:tc>
        <w:tc>
          <w:tcPr>
            <w:tcW w:w="3291" w:type="dxa"/>
          </w:tcPr>
          <w:p w14:paraId="3BC1DB70" w14:textId="16E8A0F9" w:rsidR="00C21702" w:rsidRPr="00FE21E4" w:rsidRDefault="00C21702" w:rsidP="00C540C8">
            <w:r>
              <w:t xml:space="preserve">Time x Condition x </w:t>
            </w:r>
            <w:r w:rsidR="00635313">
              <w:t>Gender</w:t>
            </w:r>
          </w:p>
        </w:tc>
        <w:tc>
          <w:tcPr>
            <w:tcW w:w="1631" w:type="dxa"/>
          </w:tcPr>
          <w:p w14:paraId="170C30B5" w14:textId="49AB2704" w:rsidR="00C21702" w:rsidRPr="00FE21E4" w:rsidRDefault="00294E0E" w:rsidP="00C540C8">
            <w:r>
              <w:t>-0.11</w:t>
            </w:r>
          </w:p>
        </w:tc>
        <w:tc>
          <w:tcPr>
            <w:tcW w:w="1851" w:type="dxa"/>
          </w:tcPr>
          <w:p w14:paraId="49B53B23" w14:textId="03FC772E" w:rsidR="00C21702" w:rsidRPr="00FE21E4" w:rsidRDefault="00294E0E" w:rsidP="00C540C8">
            <w:r>
              <w:t>0.67</w:t>
            </w:r>
          </w:p>
        </w:tc>
        <w:tc>
          <w:tcPr>
            <w:tcW w:w="1896" w:type="dxa"/>
          </w:tcPr>
          <w:p w14:paraId="48AA8E13" w14:textId="2159B761" w:rsidR="00C21702" w:rsidRPr="00FE21E4" w:rsidRDefault="00294E0E" w:rsidP="00C540C8">
            <w:r>
              <w:t>-0.17</w:t>
            </w:r>
          </w:p>
        </w:tc>
      </w:tr>
      <w:tr w:rsidR="00C540C8" w:rsidRPr="00FE21E4" w14:paraId="3B76B24B" w14:textId="77777777" w:rsidTr="00583C12">
        <w:trPr>
          <w:trHeight w:val="474"/>
        </w:trPr>
        <w:tc>
          <w:tcPr>
            <w:tcW w:w="9752" w:type="dxa"/>
            <w:gridSpan w:val="5"/>
          </w:tcPr>
          <w:p w14:paraId="2A0C787A" w14:textId="1C3B55D8" w:rsidR="00C540C8" w:rsidRPr="00FE21E4" w:rsidRDefault="00C540C8" w:rsidP="00C540C8">
            <w:r>
              <w:t xml:space="preserve">Time by condition by baseline </w:t>
            </w:r>
            <w:r w:rsidR="00D46E77">
              <w:t>AAQH total</w:t>
            </w:r>
          </w:p>
        </w:tc>
      </w:tr>
      <w:tr w:rsidR="00C21702" w:rsidRPr="00FE21E4" w14:paraId="434804FB" w14:textId="77777777" w:rsidTr="00583C12">
        <w:trPr>
          <w:trHeight w:val="232"/>
        </w:trPr>
        <w:tc>
          <w:tcPr>
            <w:tcW w:w="1083" w:type="dxa"/>
          </w:tcPr>
          <w:p w14:paraId="53A2B625" w14:textId="7B959716" w:rsidR="00C21702" w:rsidRPr="00FE21E4" w:rsidRDefault="00C21702" w:rsidP="00C540C8"/>
        </w:tc>
        <w:tc>
          <w:tcPr>
            <w:tcW w:w="3291" w:type="dxa"/>
          </w:tcPr>
          <w:p w14:paraId="24328D8C" w14:textId="7CE32A1F" w:rsidR="00C21702" w:rsidRPr="00FE21E4" w:rsidRDefault="00C21702" w:rsidP="00C540C8">
            <w:r>
              <w:t>Intercept</w:t>
            </w:r>
          </w:p>
        </w:tc>
        <w:tc>
          <w:tcPr>
            <w:tcW w:w="1631" w:type="dxa"/>
          </w:tcPr>
          <w:p w14:paraId="426D011C" w14:textId="4BB79923" w:rsidR="00C21702" w:rsidRPr="00FE21E4" w:rsidRDefault="00294E0E" w:rsidP="00C540C8">
            <w:r>
              <w:t>0.50***</w:t>
            </w:r>
          </w:p>
        </w:tc>
        <w:tc>
          <w:tcPr>
            <w:tcW w:w="1851" w:type="dxa"/>
          </w:tcPr>
          <w:p w14:paraId="6AD0736C" w14:textId="2696A616" w:rsidR="00C21702" w:rsidRPr="00FE21E4" w:rsidRDefault="00294E0E" w:rsidP="00C540C8">
            <w:r>
              <w:t>0.12</w:t>
            </w:r>
          </w:p>
        </w:tc>
        <w:tc>
          <w:tcPr>
            <w:tcW w:w="1896" w:type="dxa"/>
          </w:tcPr>
          <w:p w14:paraId="59E8F7C9" w14:textId="3C70A32F" w:rsidR="00C21702" w:rsidRPr="00FE21E4" w:rsidRDefault="00294E0E" w:rsidP="00C540C8">
            <w:r>
              <w:t>4.10</w:t>
            </w:r>
          </w:p>
        </w:tc>
      </w:tr>
      <w:tr w:rsidR="00C21702" w:rsidRPr="00FE21E4" w14:paraId="4D084140" w14:textId="77777777" w:rsidTr="00583C12">
        <w:trPr>
          <w:trHeight w:val="241"/>
        </w:trPr>
        <w:tc>
          <w:tcPr>
            <w:tcW w:w="1083" w:type="dxa"/>
          </w:tcPr>
          <w:p w14:paraId="3CF3E661" w14:textId="31D3EA63" w:rsidR="00C21702" w:rsidRPr="00FE21E4" w:rsidRDefault="00C21702" w:rsidP="00C540C8"/>
        </w:tc>
        <w:tc>
          <w:tcPr>
            <w:tcW w:w="3291" w:type="dxa"/>
          </w:tcPr>
          <w:p w14:paraId="48041638" w14:textId="38A105C9" w:rsidR="00C21702" w:rsidRPr="00FE21E4" w:rsidRDefault="00C21702" w:rsidP="00C540C8">
            <w:r>
              <w:t>Time</w:t>
            </w:r>
          </w:p>
        </w:tc>
        <w:tc>
          <w:tcPr>
            <w:tcW w:w="1631" w:type="dxa"/>
          </w:tcPr>
          <w:p w14:paraId="714E4508" w14:textId="0FDEF30B" w:rsidR="00C21702" w:rsidRPr="00FE21E4" w:rsidRDefault="00294E0E" w:rsidP="00C540C8">
            <w:r>
              <w:t>-0.55***</w:t>
            </w:r>
          </w:p>
        </w:tc>
        <w:tc>
          <w:tcPr>
            <w:tcW w:w="1851" w:type="dxa"/>
          </w:tcPr>
          <w:p w14:paraId="6FE96520" w14:textId="2B3C4982" w:rsidR="00C21702" w:rsidRPr="00FE21E4" w:rsidRDefault="00294E0E" w:rsidP="00C540C8">
            <w:r>
              <w:t>0.15</w:t>
            </w:r>
          </w:p>
        </w:tc>
        <w:tc>
          <w:tcPr>
            <w:tcW w:w="1896" w:type="dxa"/>
          </w:tcPr>
          <w:p w14:paraId="560298A0" w14:textId="6C0A9F0C" w:rsidR="00C21702" w:rsidRPr="00FE21E4" w:rsidRDefault="00294E0E" w:rsidP="00C540C8">
            <w:r>
              <w:t>-3.64</w:t>
            </w:r>
          </w:p>
        </w:tc>
      </w:tr>
      <w:tr w:rsidR="00C21702" w:rsidRPr="00FE21E4" w14:paraId="23452AE8" w14:textId="77777777" w:rsidTr="00583C12">
        <w:trPr>
          <w:trHeight w:val="241"/>
        </w:trPr>
        <w:tc>
          <w:tcPr>
            <w:tcW w:w="1083" w:type="dxa"/>
          </w:tcPr>
          <w:p w14:paraId="50BC06AC" w14:textId="77777777" w:rsidR="00C21702" w:rsidRPr="00FE21E4" w:rsidRDefault="00C21702" w:rsidP="00C540C8"/>
        </w:tc>
        <w:tc>
          <w:tcPr>
            <w:tcW w:w="3291" w:type="dxa"/>
          </w:tcPr>
          <w:p w14:paraId="5858C6D4" w14:textId="1467C49E" w:rsidR="00C21702" w:rsidRPr="00FE21E4" w:rsidRDefault="00C21702" w:rsidP="00C540C8">
            <w:r>
              <w:t>Condition</w:t>
            </w:r>
          </w:p>
        </w:tc>
        <w:tc>
          <w:tcPr>
            <w:tcW w:w="1631" w:type="dxa"/>
          </w:tcPr>
          <w:p w14:paraId="60D0A4C1" w14:textId="4C99E826" w:rsidR="00C21702" w:rsidRPr="00FE21E4" w:rsidRDefault="00294E0E" w:rsidP="00C540C8">
            <w:r>
              <w:t>0.01</w:t>
            </w:r>
          </w:p>
        </w:tc>
        <w:tc>
          <w:tcPr>
            <w:tcW w:w="1851" w:type="dxa"/>
          </w:tcPr>
          <w:p w14:paraId="3F4D75FA" w14:textId="71F079BA" w:rsidR="00C21702" w:rsidRPr="00FE21E4" w:rsidRDefault="00294E0E" w:rsidP="00C540C8">
            <w:r>
              <w:t>0.17</w:t>
            </w:r>
          </w:p>
        </w:tc>
        <w:tc>
          <w:tcPr>
            <w:tcW w:w="1896" w:type="dxa"/>
          </w:tcPr>
          <w:p w14:paraId="19B3C6F2" w14:textId="398BCB26" w:rsidR="00C21702" w:rsidRPr="00FE21E4" w:rsidRDefault="00294E0E" w:rsidP="00C540C8">
            <w:r>
              <w:t>0.03</w:t>
            </w:r>
          </w:p>
        </w:tc>
      </w:tr>
      <w:tr w:rsidR="00116C87" w:rsidRPr="00FE21E4" w14:paraId="525B1731" w14:textId="77777777" w:rsidTr="00583C12">
        <w:trPr>
          <w:trHeight w:val="232"/>
        </w:trPr>
        <w:tc>
          <w:tcPr>
            <w:tcW w:w="1083" w:type="dxa"/>
          </w:tcPr>
          <w:p w14:paraId="63F048D6" w14:textId="77777777" w:rsidR="00116C87" w:rsidRPr="00FE21E4" w:rsidRDefault="00116C87" w:rsidP="00C540C8"/>
        </w:tc>
        <w:tc>
          <w:tcPr>
            <w:tcW w:w="3291" w:type="dxa"/>
          </w:tcPr>
          <w:p w14:paraId="14272FFB" w14:textId="5A73E577" w:rsidR="00116C87" w:rsidRDefault="00915D3E" w:rsidP="00C540C8">
            <w:r>
              <w:t>Baseline AAQH</w:t>
            </w:r>
          </w:p>
        </w:tc>
        <w:tc>
          <w:tcPr>
            <w:tcW w:w="1631" w:type="dxa"/>
          </w:tcPr>
          <w:p w14:paraId="3E687BC9" w14:textId="5F6988FF" w:rsidR="00116C87" w:rsidRPr="00FE21E4" w:rsidRDefault="00294E0E" w:rsidP="00C540C8">
            <w:r>
              <w:t>0.61***</w:t>
            </w:r>
          </w:p>
        </w:tc>
        <w:tc>
          <w:tcPr>
            <w:tcW w:w="1851" w:type="dxa"/>
          </w:tcPr>
          <w:p w14:paraId="4961B26C" w14:textId="3E73D88C" w:rsidR="00116C87" w:rsidRPr="00FE21E4" w:rsidRDefault="00294E0E" w:rsidP="00C540C8">
            <w:r>
              <w:t>0.12</w:t>
            </w:r>
          </w:p>
        </w:tc>
        <w:tc>
          <w:tcPr>
            <w:tcW w:w="1896" w:type="dxa"/>
          </w:tcPr>
          <w:p w14:paraId="4406C25C" w14:textId="6CFE27AA" w:rsidR="00116C87" w:rsidRPr="00FE21E4" w:rsidRDefault="00294E0E" w:rsidP="00C540C8">
            <w:r>
              <w:t>4.92</w:t>
            </w:r>
          </w:p>
        </w:tc>
      </w:tr>
      <w:tr w:rsidR="00EE2145" w:rsidRPr="00FE21E4" w14:paraId="6B50A535" w14:textId="77777777" w:rsidTr="00583C12">
        <w:trPr>
          <w:trHeight w:val="232"/>
        </w:trPr>
        <w:tc>
          <w:tcPr>
            <w:tcW w:w="1083" w:type="dxa"/>
          </w:tcPr>
          <w:p w14:paraId="56C41E05" w14:textId="77777777" w:rsidR="00EE2145" w:rsidRPr="00FE21E4" w:rsidRDefault="00EE2145" w:rsidP="00EE2145"/>
        </w:tc>
        <w:tc>
          <w:tcPr>
            <w:tcW w:w="3291" w:type="dxa"/>
          </w:tcPr>
          <w:p w14:paraId="3CC0849A" w14:textId="04D0E0D4" w:rsidR="00EE2145" w:rsidRDefault="00EE2145" w:rsidP="00EE2145">
            <w:r>
              <w:t>Baseline CGI</w:t>
            </w:r>
          </w:p>
        </w:tc>
        <w:tc>
          <w:tcPr>
            <w:tcW w:w="1631" w:type="dxa"/>
          </w:tcPr>
          <w:p w14:paraId="40ABD92B" w14:textId="0DF5E7A5" w:rsidR="00EE2145" w:rsidRPr="00FE21E4" w:rsidRDefault="00294E0E" w:rsidP="00EE2145">
            <w:r>
              <w:t>0.11</w:t>
            </w:r>
          </w:p>
        </w:tc>
        <w:tc>
          <w:tcPr>
            <w:tcW w:w="1851" w:type="dxa"/>
          </w:tcPr>
          <w:p w14:paraId="1BB71C91" w14:textId="2517770E" w:rsidR="00EE2145" w:rsidRPr="00FE21E4" w:rsidRDefault="00294E0E" w:rsidP="00EE2145">
            <w:r>
              <w:t>0.08</w:t>
            </w:r>
          </w:p>
        </w:tc>
        <w:tc>
          <w:tcPr>
            <w:tcW w:w="1896" w:type="dxa"/>
          </w:tcPr>
          <w:p w14:paraId="5ACFA743" w14:textId="5B523F7F" w:rsidR="00EE2145" w:rsidRPr="00FE21E4" w:rsidRDefault="00294E0E" w:rsidP="00EE2145">
            <w:r>
              <w:t>1.37</w:t>
            </w:r>
          </w:p>
        </w:tc>
      </w:tr>
      <w:tr w:rsidR="00C21702" w:rsidRPr="00FE21E4" w14:paraId="4FA9B35D" w14:textId="77777777" w:rsidTr="00583C12">
        <w:trPr>
          <w:trHeight w:val="232"/>
        </w:trPr>
        <w:tc>
          <w:tcPr>
            <w:tcW w:w="1083" w:type="dxa"/>
          </w:tcPr>
          <w:p w14:paraId="328D0757" w14:textId="77777777" w:rsidR="00C21702" w:rsidRPr="00FE21E4" w:rsidRDefault="00C21702" w:rsidP="00C540C8"/>
        </w:tc>
        <w:tc>
          <w:tcPr>
            <w:tcW w:w="3291" w:type="dxa"/>
          </w:tcPr>
          <w:p w14:paraId="675F5484" w14:textId="6BEE97A5" w:rsidR="00C21702" w:rsidRPr="00FE21E4" w:rsidRDefault="00C21702" w:rsidP="00C540C8">
            <w:r>
              <w:t>Time x Condition</w:t>
            </w:r>
          </w:p>
        </w:tc>
        <w:tc>
          <w:tcPr>
            <w:tcW w:w="1631" w:type="dxa"/>
          </w:tcPr>
          <w:p w14:paraId="4F3A49D5" w14:textId="0299BF10" w:rsidR="00C21702" w:rsidRPr="00FE21E4" w:rsidRDefault="00294E0E" w:rsidP="00C540C8">
            <w:r>
              <w:t>-0.788***</w:t>
            </w:r>
          </w:p>
        </w:tc>
        <w:tc>
          <w:tcPr>
            <w:tcW w:w="1851" w:type="dxa"/>
          </w:tcPr>
          <w:p w14:paraId="0A2F5037" w14:textId="78A909EA" w:rsidR="00C21702" w:rsidRPr="00FE21E4" w:rsidRDefault="00294E0E" w:rsidP="00C540C8">
            <w:r>
              <w:t>0.22</w:t>
            </w:r>
          </w:p>
        </w:tc>
        <w:tc>
          <w:tcPr>
            <w:tcW w:w="1896" w:type="dxa"/>
          </w:tcPr>
          <w:p w14:paraId="54250DAB" w14:textId="4EDE8A49" w:rsidR="00C21702" w:rsidRPr="00FE21E4" w:rsidRDefault="00294E0E" w:rsidP="00C540C8">
            <w:r>
              <w:t>-3.58</w:t>
            </w:r>
          </w:p>
        </w:tc>
      </w:tr>
      <w:tr w:rsidR="00C21702" w:rsidRPr="00FE21E4" w14:paraId="1AF787DC" w14:textId="77777777" w:rsidTr="00583C12">
        <w:trPr>
          <w:trHeight w:val="241"/>
        </w:trPr>
        <w:tc>
          <w:tcPr>
            <w:tcW w:w="1083" w:type="dxa"/>
          </w:tcPr>
          <w:p w14:paraId="5223089D" w14:textId="77777777" w:rsidR="00C21702" w:rsidRPr="00FE21E4" w:rsidRDefault="00C21702" w:rsidP="00C540C8"/>
        </w:tc>
        <w:tc>
          <w:tcPr>
            <w:tcW w:w="3291" w:type="dxa"/>
          </w:tcPr>
          <w:p w14:paraId="250E50AB" w14:textId="5B7428AE" w:rsidR="00C21702" w:rsidRPr="00FE21E4" w:rsidRDefault="00C21702" w:rsidP="00C540C8">
            <w:r>
              <w:t xml:space="preserve">Time x </w:t>
            </w:r>
            <w:r w:rsidR="00635313">
              <w:t>Baseline AAQH</w:t>
            </w:r>
            <w:r w:rsidR="00D46E77">
              <w:t xml:space="preserve"> total</w:t>
            </w:r>
          </w:p>
        </w:tc>
        <w:tc>
          <w:tcPr>
            <w:tcW w:w="1631" w:type="dxa"/>
          </w:tcPr>
          <w:p w14:paraId="31397D99" w14:textId="0A8C762D" w:rsidR="00C21702" w:rsidRPr="00FE21E4" w:rsidRDefault="00294E0E" w:rsidP="00C540C8">
            <w:r>
              <w:t>0.08</w:t>
            </w:r>
          </w:p>
        </w:tc>
        <w:tc>
          <w:tcPr>
            <w:tcW w:w="1851" w:type="dxa"/>
          </w:tcPr>
          <w:p w14:paraId="05942962" w14:textId="2596831C" w:rsidR="00C21702" w:rsidRPr="00FE21E4" w:rsidRDefault="00294E0E" w:rsidP="00C540C8">
            <w:r>
              <w:t>0.16</w:t>
            </w:r>
          </w:p>
        </w:tc>
        <w:tc>
          <w:tcPr>
            <w:tcW w:w="1896" w:type="dxa"/>
          </w:tcPr>
          <w:p w14:paraId="20043D11" w14:textId="475EE1B1" w:rsidR="00C21702" w:rsidRPr="00FE21E4" w:rsidRDefault="00294E0E" w:rsidP="00C540C8">
            <w:r>
              <w:t>-2.05</w:t>
            </w:r>
          </w:p>
        </w:tc>
      </w:tr>
      <w:tr w:rsidR="00C21702" w:rsidRPr="00FE21E4" w14:paraId="7D8DBFAD" w14:textId="77777777" w:rsidTr="00583C12">
        <w:trPr>
          <w:trHeight w:val="232"/>
        </w:trPr>
        <w:tc>
          <w:tcPr>
            <w:tcW w:w="1083" w:type="dxa"/>
          </w:tcPr>
          <w:p w14:paraId="2523D425" w14:textId="77777777" w:rsidR="00C21702" w:rsidRPr="00FE21E4" w:rsidRDefault="00C21702" w:rsidP="00C540C8"/>
        </w:tc>
        <w:tc>
          <w:tcPr>
            <w:tcW w:w="3291" w:type="dxa"/>
          </w:tcPr>
          <w:p w14:paraId="6A8E6562" w14:textId="6B4351D3" w:rsidR="00C21702" w:rsidRPr="00FE21E4" w:rsidRDefault="00635313" w:rsidP="00C540C8">
            <w:r>
              <w:t xml:space="preserve">Baseline AAQH </w:t>
            </w:r>
            <w:r w:rsidR="00C21702">
              <w:t>x Condition</w:t>
            </w:r>
          </w:p>
        </w:tc>
        <w:tc>
          <w:tcPr>
            <w:tcW w:w="1631" w:type="dxa"/>
          </w:tcPr>
          <w:p w14:paraId="73D4478D" w14:textId="4369B4CE" w:rsidR="00C21702" w:rsidRPr="00FE21E4" w:rsidRDefault="00294E0E" w:rsidP="00C540C8">
            <w:r>
              <w:t>-0.35*</w:t>
            </w:r>
          </w:p>
        </w:tc>
        <w:tc>
          <w:tcPr>
            <w:tcW w:w="1851" w:type="dxa"/>
          </w:tcPr>
          <w:p w14:paraId="31C9DC17" w14:textId="2B401712" w:rsidR="00C21702" w:rsidRPr="00FE21E4" w:rsidRDefault="00294E0E" w:rsidP="00C540C8">
            <w:r>
              <w:t>0.17</w:t>
            </w:r>
          </w:p>
        </w:tc>
        <w:tc>
          <w:tcPr>
            <w:tcW w:w="1896" w:type="dxa"/>
          </w:tcPr>
          <w:p w14:paraId="280D3F8A" w14:textId="1DEA5FCB" w:rsidR="00C21702" w:rsidRPr="00FE21E4" w:rsidRDefault="00294E0E" w:rsidP="00C540C8">
            <w:r>
              <w:t>-2.05</w:t>
            </w:r>
          </w:p>
        </w:tc>
      </w:tr>
      <w:tr w:rsidR="00C21702" w:rsidRPr="00FE21E4" w14:paraId="6F47F882" w14:textId="77777777" w:rsidTr="00583C12">
        <w:trPr>
          <w:trHeight w:val="483"/>
        </w:trPr>
        <w:tc>
          <w:tcPr>
            <w:tcW w:w="1083" w:type="dxa"/>
          </w:tcPr>
          <w:p w14:paraId="41FF5020" w14:textId="77777777" w:rsidR="00C21702" w:rsidRPr="00FE21E4" w:rsidRDefault="00C21702" w:rsidP="00C540C8"/>
        </w:tc>
        <w:tc>
          <w:tcPr>
            <w:tcW w:w="3291" w:type="dxa"/>
          </w:tcPr>
          <w:p w14:paraId="7AB1B443" w14:textId="7190388C" w:rsidR="00C21702" w:rsidRPr="00FE21E4" w:rsidRDefault="00C21702" w:rsidP="00C540C8">
            <w:r>
              <w:t xml:space="preserve">Time x Condition x </w:t>
            </w:r>
            <w:r w:rsidR="00635313">
              <w:t>Baseline AAQH</w:t>
            </w:r>
          </w:p>
        </w:tc>
        <w:tc>
          <w:tcPr>
            <w:tcW w:w="1631" w:type="dxa"/>
          </w:tcPr>
          <w:p w14:paraId="0E5D69FA" w14:textId="3817D093" w:rsidR="00C21702" w:rsidRPr="00FE21E4" w:rsidRDefault="00294E0E" w:rsidP="00C540C8">
            <w:r>
              <w:t>-0.02</w:t>
            </w:r>
          </w:p>
        </w:tc>
        <w:tc>
          <w:tcPr>
            <w:tcW w:w="1851" w:type="dxa"/>
          </w:tcPr>
          <w:p w14:paraId="30B74435" w14:textId="6225787C" w:rsidR="00C21702" w:rsidRPr="00FE21E4" w:rsidRDefault="00294E0E" w:rsidP="00C540C8">
            <w:r>
              <w:t>0.22</w:t>
            </w:r>
          </w:p>
        </w:tc>
        <w:tc>
          <w:tcPr>
            <w:tcW w:w="1896" w:type="dxa"/>
          </w:tcPr>
          <w:p w14:paraId="01C07B6D" w14:textId="09BE9C84" w:rsidR="00C21702" w:rsidRPr="00FE21E4" w:rsidRDefault="00294E0E" w:rsidP="00C540C8">
            <w:r>
              <w:t>-0.09</w:t>
            </w:r>
          </w:p>
        </w:tc>
      </w:tr>
      <w:tr w:rsidR="00C21702" w:rsidRPr="00FE21E4" w14:paraId="67E65040" w14:textId="77777777" w:rsidTr="00583C12">
        <w:trPr>
          <w:trHeight w:val="232"/>
        </w:trPr>
        <w:tc>
          <w:tcPr>
            <w:tcW w:w="1083" w:type="dxa"/>
          </w:tcPr>
          <w:p w14:paraId="3715833D" w14:textId="77777777" w:rsidR="00C21702" w:rsidRPr="00FE21E4" w:rsidRDefault="00C21702" w:rsidP="00C540C8"/>
        </w:tc>
        <w:tc>
          <w:tcPr>
            <w:tcW w:w="3291" w:type="dxa"/>
          </w:tcPr>
          <w:p w14:paraId="4F589719" w14:textId="77777777" w:rsidR="00C21702" w:rsidRPr="00FE21E4" w:rsidRDefault="00C21702" w:rsidP="00C540C8"/>
        </w:tc>
        <w:tc>
          <w:tcPr>
            <w:tcW w:w="1631" w:type="dxa"/>
          </w:tcPr>
          <w:p w14:paraId="14A96F0E" w14:textId="77777777" w:rsidR="00C21702" w:rsidRPr="00FE21E4" w:rsidRDefault="00C21702" w:rsidP="00C540C8"/>
        </w:tc>
        <w:tc>
          <w:tcPr>
            <w:tcW w:w="1851" w:type="dxa"/>
          </w:tcPr>
          <w:p w14:paraId="43161ED0" w14:textId="77777777" w:rsidR="00C21702" w:rsidRPr="00FE21E4" w:rsidRDefault="00C21702" w:rsidP="00C540C8"/>
        </w:tc>
        <w:tc>
          <w:tcPr>
            <w:tcW w:w="1896" w:type="dxa"/>
          </w:tcPr>
          <w:p w14:paraId="42A8EA47" w14:textId="77777777" w:rsidR="00C21702" w:rsidRPr="00FE21E4" w:rsidRDefault="00C21702" w:rsidP="00C540C8"/>
        </w:tc>
      </w:tr>
    </w:tbl>
    <w:p w14:paraId="71B17885" w14:textId="77777777" w:rsidR="001A32DB" w:rsidRDefault="00C540C8">
      <w:pPr>
        <w:spacing w:after="160" w:line="259" w:lineRule="auto"/>
        <w:sectPr w:rsidR="001A32DB" w:rsidSect="00AF2A94">
          <w:headerReference w:type="default" r:id="rId10"/>
          <w:pgSz w:w="12240" w:h="15840"/>
          <w:pgMar w:top="1440" w:right="1440" w:bottom="1440" w:left="1440" w:header="720" w:footer="720" w:gutter="0"/>
          <w:cols w:space="720"/>
          <w:docGrid w:linePitch="360"/>
        </w:sectPr>
      </w:pPr>
      <w:r w:rsidRPr="0002766F">
        <w:rPr>
          <w:i/>
          <w:iCs/>
        </w:rPr>
        <w:t>Note</w:t>
      </w:r>
      <w:r>
        <w:t>.</w:t>
      </w:r>
      <w:r w:rsidRPr="0002766F">
        <w:t xml:space="preserve"> *</w:t>
      </w:r>
      <w:r w:rsidRPr="0002766F">
        <w:rPr>
          <w:i/>
          <w:iCs/>
        </w:rPr>
        <w:t>p</w:t>
      </w:r>
      <w:r w:rsidRPr="0002766F">
        <w:t xml:space="preserve"> &lt; 0.05, **</w:t>
      </w:r>
      <w:r w:rsidRPr="0002766F">
        <w:rPr>
          <w:i/>
          <w:iCs/>
        </w:rPr>
        <w:t>p</w:t>
      </w:r>
      <w:r w:rsidRPr="0002766F">
        <w:t xml:space="preserve"> &lt; 0.01, ***</w:t>
      </w:r>
      <w:r w:rsidRPr="0002766F">
        <w:rPr>
          <w:i/>
          <w:iCs/>
        </w:rPr>
        <w:t>p</w:t>
      </w:r>
      <w:r w:rsidRPr="0002766F">
        <w:t xml:space="preserve"> &lt; 0.001. </w:t>
      </w:r>
    </w:p>
    <w:p w14:paraId="40696D31" w14:textId="2CC5EDEA" w:rsidR="001A32DB" w:rsidRPr="00B020C4" w:rsidRDefault="001A32DB" w:rsidP="001A32DB">
      <w:pPr>
        <w:rPr>
          <w:b/>
          <w:bCs/>
        </w:rPr>
      </w:pPr>
      <w:r w:rsidRPr="00B020C4">
        <w:rPr>
          <w:b/>
          <w:bCs/>
        </w:rPr>
        <w:lastRenderedPageBreak/>
        <w:t xml:space="preserve">Table </w:t>
      </w:r>
      <w:r w:rsidR="00036AB3">
        <w:rPr>
          <w:b/>
          <w:bCs/>
        </w:rPr>
        <w:t>5</w:t>
      </w:r>
    </w:p>
    <w:p w14:paraId="278ED9C7" w14:textId="77777777" w:rsidR="001A32DB" w:rsidRPr="00B020C4" w:rsidRDefault="001A32DB" w:rsidP="001A32DB">
      <w:pPr>
        <w:rPr>
          <w:b/>
          <w:bCs/>
        </w:rPr>
      </w:pPr>
    </w:p>
    <w:p w14:paraId="2E456D21" w14:textId="23219884" w:rsidR="001A32DB" w:rsidRPr="00B020C4" w:rsidRDefault="001A32DB" w:rsidP="001A32DB">
      <w:pPr>
        <w:rPr>
          <w:b/>
          <w:bCs/>
          <w:i/>
          <w:iCs/>
        </w:rPr>
      </w:pPr>
      <w:r w:rsidRPr="00B020C4">
        <w:rPr>
          <w:b/>
          <w:bCs/>
          <w:i/>
          <w:iCs/>
        </w:rPr>
        <w:t>Longitudinal Mediation Models</w:t>
      </w:r>
      <w:r w:rsidR="003D2415">
        <w:rPr>
          <w:b/>
          <w:bCs/>
          <w:i/>
          <w:iCs/>
        </w:rPr>
        <w:t xml:space="preserve"> with SI-R as Outcome</w:t>
      </w:r>
    </w:p>
    <w:p w14:paraId="3878498E" w14:textId="77777777" w:rsidR="001A32DB" w:rsidRPr="00E33387" w:rsidRDefault="001A32DB" w:rsidP="001A32DB">
      <w:pPr>
        <w:rPr>
          <w:i/>
          <w:iCs/>
        </w:rPr>
      </w:pPr>
    </w:p>
    <w:tbl>
      <w:tblPr>
        <w:tblStyle w:val="TableGrid"/>
        <w:tblW w:w="1333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91"/>
        <w:gridCol w:w="1068"/>
        <w:gridCol w:w="1069"/>
        <w:gridCol w:w="1068"/>
        <w:gridCol w:w="1069"/>
        <w:gridCol w:w="1080"/>
        <w:gridCol w:w="900"/>
        <w:gridCol w:w="990"/>
        <w:gridCol w:w="905"/>
        <w:gridCol w:w="1895"/>
        <w:gridCol w:w="1895"/>
      </w:tblGrid>
      <w:tr w:rsidR="001A32DB" w14:paraId="45A7007A" w14:textId="77777777" w:rsidTr="004741D5">
        <w:trPr>
          <w:trHeight w:val="577"/>
        </w:trPr>
        <w:tc>
          <w:tcPr>
            <w:tcW w:w="1391" w:type="dxa"/>
            <w:tcBorders>
              <w:top w:val="single" w:sz="4" w:space="0" w:color="auto"/>
              <w:bottom w:val="nil"/>
            </w:tcBorders>
          </w:tcPr>
          <w:p w14:paraId="79AA99C2" w14:textId="77777777" w:rsidR="001A32DB" w:rsidRDefault="001A32DB" w:rsidP="004741D5">
            <w:r>
              <w:t>Mediator</w:t>
            </w:r>
          </w:p>
        </w:tc>
        <w:tc>
          <w:tcPr>
            <w:tcW w:w="1068" w:type="dxa"/>
            <w:tcBorders>
              <w:top w:val="single" w:sz="4" w:space="0" w:color="auto"/>
              <w:bottom w:val="nil"/>
            </w:tcBorders>
          </w:tcPr>
          <w:p w14:paraId="20D9AB21" w14:textId="77777777" w:rsidR="001A32DB" w:rsidRDefault="001A32DB" w:rsidP="004741D5">
            <w:pPr>
              <w:jc w:val="center"/>
            </w:pPr>
            <w:r>
              <w:t>a path</w:t>
            </w:r>
          </w:p>
        </w:tc>
        <w:tc>
          <w:tcPr>
            <w:tcW w:w="1069" w:type="dxa"/>
            <w:tcBorders>
              <w:top w:val="single" w:sz="4" w:space="0" w:color="auto"/>
              <w:bottom w:val="nil"/>
            </w:tcBorders>
          </w:tcPr>
          <w:p w14:paraId="5986CA02" w14:textId="77777777" w:rsidR="001A32DB" w:rsidRDefault="001A32DB" w:rsidP="004741D5">
            <w:pPr>
              <w:jc w:val="center"/>
            </w:pPr>
            <w:r>
              <w:t>b path</w:t>
            </w:r>
          </w:p>
        </w:tc>
        <w:tc>
          <w:tcPr>
            <w:tcW w:w="1068" w:type="dxa"/>
            <w:tcBorders>
              <w:top w:val="single" w:sz="4" w:space="0" w:color="auto"/>
              <w:bottom w:val="nil"/>
            </w:tcBorders>
          </w:tcPr>
          <w:p w14:paraId="23009156" w14:textId="77777777" w:rsidR="001A32DB" w:rsidRDefault="001A32DB" w:rsidP="004741D5">
            <w:pPr>
              <w:jc w:val="center"/>
            </w:pPr>
            <w:r>
              <w:t>c path</w:t>
            </w:r>
          </w:p>
        </w:tc>
        <w:tc>
          <w:tcPr>
            <w:tcW w:w="1069" w:type="dxa"/>
            <w:tcBorders>
              <w:top w:val="single" w:sz="4" w:space="0" w:color="auto"/>
              <w:bottom w:val="nil"/>
            </w:tcBorders>
          </w:tcPr>
          <w:p w14:paraId="67D44537" w14:textId="77777777" w:rsidR="001A32DB" w:rsidRDefault="001A32DB" w:rsidP="004741D5">
            <w:pPr>
              <w:jc w:val="center"/>
            </w:pPr>
            <w:r>
              <w:t>c’ path</w:t>
            </w:r>
          </w:p>
        </w:tc>
        <w:tc>
          <w:tcPr>
            <w:tcW w:w="1980" w:type="dxa"/>
            <w:gridSpan w:val="2"/>
            <w:tcBorders>
              <w:top w:val="single" w:sz="4" w:space="0" w:color="auto"/>
              <w:bottom w:val="single" w:sz="4" w:space="0" w:color="auto"/>
            </w:tcBorders>
          </w:tcPr>
          <w:p w14:paraId="557038EE" w14:textId="77777777" w:rsidR="001A32DB" w:rsidRPr="00B020C4" w:rsidRDefault="001A32DB" w:rsidP="004741D5">
            <w:pPr>
              <w:jc w:val="center"/>
            </w:pPr>
            <w:r w:rsidRPr="00B020C4">
              <w:t>Product of coefficients</w:t>
            </w:r>
          </w:p>
        </w:tc>
        <w:tc>
          <w:tcPr>
            <w:tcW w:w="1895" w:type="dxa"/>
            <w:gridSpan w:val="2"/>
            <w:tcBorders>
              <w:top w:val="single" w:sz="4" w:space="0" w:color="auto"/>
              <w:bottom w:val="single" w:sz="4" w:space="0" w:color="auto"/>
            </w:tcBorders>
          </w:tcPr>
          <w:p w14:paraId="4D44D628" w14:textId="77777777" w:rsidR="001A32DB" w:rsidRPr="00B020C4" w:rsidRDefault="001A32DB" w:rsidP="004741D5">
            <w:pPr>
              <w:jc w:val="center"/>
            </w:pPr>
            <w:r w:rsidRPr="00B020C4">
              <w:t>Bootstrapped 95% CI</w:t>
            </w:r>
          </w:p>
        </w:tc>
        <w:tc>
          <w:tcPr>
            <w:tcW w:w="1895" w:type="dxa"/>
            <w:tcBorders>
              <w:top w:val="single" w:sz="4" w:space="0" w:color="auto"/>
              <w:bottom w:val="nil"/>
            </w:tcBorders>
          </w:tcPr>
          <w:p w14:paraId="64D8923F" w14:textId="77777777" w:rsidR="001A32DB" w:rsidRPr="00B020C4" w:rsidRDefault="001A32DB" w:rsidP="004741D5">
            <w:pPr>
              <w:jc w:val="center"/>
            </w:pPr>
            <w:r w:rsidRPr="00B020C4">
              <w:t xml:space="preserve">CGI-I </w:t>
            </w:r>
            <w:r w:rsidRPr="00B020C4">
              <w:sym w:font="Symbol" w:char="F0AE"/>
            </w:r>
            <w:r w:rsidRPr="00B020C4">
              <w:t xml:space="preserve"> M</w:t>
            </w:r>
          </w:p>
        </w:tc>
        <w:tc>
          <w:tcPr>
            <w:tcW w:w="1895" w:type="dxa"/>
            <w:tcBorders>
              <w:top w:val="single" w:sz="4" w:space="0" w:color="auto"/>
              <w:bottom w:val="nil"/>
            </w:tcBorders>
          </w:tcPr>
          <w:p w14:paraId="636F734B" w14:textId="77777777" w:rsidR="001A32DB" w:rsidRPr="00B020C4" w:rsidRDefault="001A32DB" w:rsidP="004741D5">
            <w:pPr>
              <w:jc w:val="center"/>
            </w:pPr>
            <w:r w:rsidRPr="00B020C4">
              <w:t xml:space="preserve">CGI-I </w:t>
            </w:r>
            <w:r w:rsidRPr="00B020C4">
              <w:sym w:font="Symbol" w:char="F0AE"/>
            </w:r>
            <w:r w:rsidRPr="00B020C4">
              <w:t xml:space="preserve"> Y</w:t>
            </w:r>
          </w:p>
        </w:tc>
      </w:tr>
      <w:tr w:rsidR="001A32DB" w14:paraId="0A92CA4C" w14:textId="77777777" w:rsidTr="004741D5">
        <w:trPr>
          <w:trHeight w:val="279"/>
        </w:trPr>
        <w:tc>
          <w:tcPr>
            <w:tcW w:w="1391" w:type="dxa"/>
            <w:tcBorders>
              <w:top w:val="nil"/>
              <w:bottom w:val="single" w:sz="4" w:space="0" w:color="auto"/>
            </w:tcBorders>
          </w:tcPr>
          <w:p w14:paraId="32CA284E" w14:textId="77777777" w:rsidR="001A32DB" w:rsidRDefault="001A32DB" w:rsidP="004741D5"/>
        </w:tc>
        <w:tc>
          <w:tcPr>
            <w:tcW w:w="1068" w:type="dxa"/>
            <w:tcBorders>
              <w:top w:val="nil"/>
              <w:bottom w:val="single" w:sz="4" w:space="0" w:color="auto"/>
            </w:tcBorders>
          </w:tcPr>
          <w:p w14:paraId="107905F7" w14:textId="77777777" w:rsidR="001A32DB" w:rsidRDefault="001A32DB" w:rsidP="004741D5">
            <w:pPr>
              <w:jc w:val="center"/>
            </w:pPr>
          </w:p>
        </w:tc>
        <w:tc>
          <w:tcPr>
            <w:tcW w:w="1069" w:type="dxa"/>
            <w:tcBorders>
              <w:top w:val="nil"/>
              <w:bottom w:val="single" w:sz="4" w:space="0" w:color="auto"/>
            </w:tcBorders>
          </w:tcPr>
          <w:p w14:paraId="0DE68F1A" w14:textId="77777777" w:rsidR="001A32DB" w:rsidRDefault="001A32DB" w:rsidP="004741D5">
            <w:pPr>
              <w:jc w:val="center"/>
            </w:pPr>
          </w:p>
        </w:tc>
        <w:tc>
          <w:tcPr>
            <w:tcW w:w="1068" w:type="dxa"/>
            <w:tcBorders>
              <w:top w:val="nil"/>
              <w:bottom w:val="single" w:sz="4" w:space="0" w:color="auto"/>
            </w:tcBorders>
          </w:tcPr>
          <w:p w14:paraId="610C9F07" w14:textId="77777777" w:rsidR="001A32DB" w:rsidRDefault="001A32DB" w:rsidP="004741D5">
            <w:pPr>
              <w:jc w:val="center"/>
            </w:pPr>
          </w:p>
        </w:tc>
        <w:tc>
          <w:tcPr>
            <w:tcW w:w="1069" w:type="dxa"/>
            <w:tcBorders>
              <w:top w:val="nil"/>
              <w:bottom w:val="single" w:sz="4" w:space="0" w:color="auto"/>
            </w:tcBorders>
          </w:tcPr>
          <w:p w14:paraId="3C3DAD6E" w14:textId="77777777" w:rsidR="001A32DB" w:rsidRDefault="001A32DB" w:rsidP="004741D5">
            <w:pPr>
              <w:jc w:val="center"/>
            </w:pPr>
          </w:p>
        </w:tc>
        <w:tc>
          <w:tcPr>
            <w:tcW w:w="1080" w:type="dxa"/>
            <w:tcBorders>
              <w:top w:val="single" w:sz="4" w:space="0" w:color="auto"/>
              <w:bottom w:val="single" w:sz="4" w:space="0" w:color="auto"/>
            </w:tcBorders>
          </w:tcPr>
          <w:p w14:paraId="25331F4B" w14:textId="77777777" w:rsidR="001A32DB" w:rsidRDefault="001A32DB" w:rsidP="004741D5">
            <w:pPr>
              <w:jc w:val="center"/>
            </w:pPr>
            <w:r>
              <w:t>Point estimate</w:t>
            </w:r>
          </w:p>
        </w:tc>
        <w:tc>
          <w:tcPr>
            <w:tcW w:w="900" w:type="dxa"/>
            <w:tcBorders>
              <w:top w:val="single" w:sz="4" w:space="0" w:color="auto"/>
              <w:bottom w:val="single" w:sz="4" w:space="0" w:color="auto"/>
            </w:tcBorders>
          </w:tcPr>
          <w:p w14:paraId="35443AEA" w14:textId="77777777" w:rsidR="001A32DB" w:rsidRDefault="001A32DB" w:rsidP="004741D5">
            <w:pPr>
              <w:jc w:val="center"/>
            </w:pPr>
            <w:r>
              <w:t>SE</w:t>
            </w:r>
          </w:p>
        </w:tc>
        <w:tc>
          <w:tcPr>
            <w:tcW w:w="990" w:type="dxa"/>
            <w:tcBorders>
              <w:top w:val="single" w:sz="4" w:space="0" w:color="auto"/>
              <w:bottom w:val="single" w:sz="4" w:space="0" w:color="auto"/>
            </w:tcBorders>
          </w:tcPr>
          <w:p w14:paraId="15950577" w14:textId="77777777" w:rsidR="001A32DB" w:rsidRDefault="001A32DB" w:rsidP="004741D5">
            <w:pPr>
              <w:jc w:val="center"/>
            </w:pPr>
            <w:r>
              <w:t>Lower</w:t>
            </w:r>
          </w:p>
        </w:tc>
        <w:tc>
          <w:tcPr>
            <w:tcW w:w="905" w:type="dxa"/>
            <w:tcBorders>
              <w:top w:val="single" w:sz="4" w:space="0" w:color="auto"/>
              <w:bottom w:val="single" w:sz="4" w:space="0" w:color="auto"/>
            </w:tcBorders>
          </w:tcPr>
          <w:p w14:paraId="10FF73A2" w14:textId="77777777" w:rsidR="001A32DB" w:rsidRDefault="001A32DB" w:rsidP="004741D5">
            <w:pPr>
              <w:jc w:val="center"/>
            </w:pPr>
            <w:r>
              <w:t>Upper</w:t>
            </w:r>
          </w:p>
        </w:tc>
        <w:tc>
          <w:tcPr>
            <w:tcW w:w="1895" w:type="dxa"/>
            <w:tcBorders>
              <w:top w:val="nil"/>
              <w:bottom w:val="single" w:sz="4" w:space="0" w:color="auto"/>
            </w:tcBorders>
          </w:tcPr>
          <w:p w14:paraId="3303D9AE" w14:textId="77777777" w:rsidR="001A32DB" w:rsidRDefault="001A32DB" w:rsidP="004741D5">
            <w:pPr>
              <w:jc w:val="center"/>
            </w:pPr>
          </w:p>
        </w:tc>
        <w:tc>
          <w:tcPr>
            <w:tcW w:w="1895" w:type="dxa"/>
            <w:tcBorders>
              <w:top w:val="nil"/>
              <w:bottom w:val="single" w:sz="4" w:space="0" w:color="auto"/>
            </w:tcBorders>
          </w:tcPr>
          <w:p w14:paraId="35C2BB28" w14:textId="77777777" w:rsidR="001A32DB" w:rsidRDefault="001A32DB" w:rsidP="004741D5">
            <w:pPr>
              <w:jc w:val="center"/>
            </w:pPr>
          </w:p>
        </w:tc>
      </w:tr>
      <w:tr w:rsidR="001A32DB" w14:paraId="11C74FCF" w14:textId="77777777" w:rsidTr="004741D5">
        <w:trPr>
          <w:trHeight w:val="279"/>
        </w:trPr>
        <w:tc>
          <w:tcPr>
            <w:tcW w:w="1391" w:type="dxa"/>
            <w:tcBorders>
              <w:top w:val="single" w:sz="4" w:space="0" w:color="auto"/>
            </w:tcBorders>
          </w:tcPr>
          <w:p w14:paraId="3C677424" w14:textId="77777777" w:rsidR="001A32DB" w:rsidRDefault="001A32DB" w:rsidP="004741D5">
            <w:r>
              <w:t>AAQH Total</w:t>
            </w:r>
          </w:p>
        </w:tc>
        <w:tc>
          <w:tcPr>
            <w:tcW w:w="1068" w:type="dxa"/>
            <w:tcBorders>
              <w:top w:val="single" w:sz="4" w:space="0" w:color="auto"/>
            </w:tcBorders>
            <w:vAlign w:val="center"/>
          </w:tcPr>
          <w:p w14:paraId="67DF5B33" w14:textId="77777777" w:rsidR="001A32DB" w:rsidRDefault="001A32DB" w:rsidP="004741D5">
            <w:pPr>
              <w:jc w:val="center"/>
            </w:pPr>
            <w:r>
              <w:t>-0.53*</w:t>
            </w:r>
          </w:p>
        </w:tc>
        <w:tc>
          <w:tcPr>
            <w:tcW w:w="1069" w:type="dxa"/>
            <w:tcBorders>
              <w:top w:val="single" w:sz="4" w:space="0" w:color="auto"/>
            </w:tcBorders>
            <w:vAlign w:val="center"/>
          </w:tcPr>
          <w:p w14:paraId="7EBA905C" w14:textId="77777777" w:rsidR="001A32DB" w:rsidRDefault="001A32DB" w:rsidP="004741D5">
            <w:pPr>
              <w:jc w:val="center"/>
            </w:pPr>
            <w:r>
              <w:t>0.53***</w:t>
            </w:r>
          </w:p>
        </w:tc>
        <w:tc>
          <w:tcPr>
            <w:tcW w:w="1068" w:type="dxa"/>
            <w:tcBorders>
              <w:top w:val="single" w:sz="4" w:space="0" w:color="auto"/>
            </w:tcBorders>
            <w:vAlign w:val="center"/>
          </w:tcPr>
          <w:p w14:paraId="56411BA5" w14:textId="77777777" w:rsidR="001A32DB" w:rsidRDefault="001A32DB" w:rsidP="004741D5">
            <w:pPr>
              <w:jc w:val="center"/>
            </w:pPr>
            <w:r>
              <w:t>-0.66*</w:t>
            </w:r>
          </w:p>
        </w:tc>
        <w:tc>
          <w:tcPr>
            <w:tcW w:w="1069" w:type="dxa"/>
            <w:tcBorders>
              <w:top w:val="single" w:sz="4" w:space="0" w:color="auto"/>
            </w:tcBorders>
            <w:vAlign w:val="center"/>
          </w:tcPr>
          <w:p w14:paraId="1ACE7D75" w14:textId="77777777" w:rsidR="001A32DB" w:rsidRDefault="001A32DB" w:rsidP="004741D5">
            <w:pPr>
              <w:jc w:val="center"/>
            </w:pPr>
            <w:r>
              <w:t>-0.38</w:t>
            </w:r>
          </w:p>
        </w:tc>
        <w:tc>
          <w:tcPr>
            <w:tcW w:w="1080" w:type="dxa"/>
            <w:tcBorders>
              <w:top w:val="single" w:sz="4" w:space="0" w:color="auto"/>
            </w:tcBorders>
            <w:vAlign w:val="center"/>
          </w:tcPr>
          <w:p w14:paraId="7EAFB649" w14:textId="77777777" w:rsidR="001A32DB" w:rsidRDefault="001A32DB" w:rsidP="004741D5">
            <w:pPr>
              <w:jc w:val="center"/>
            </w:pPr>
            <w:r>
              <w:t>-0.28</w:t>
            </w:r>
          </w:p>
        </w:tc>
        <w:tc>
          <w:tcPr>
            <w:tcW w:w="900" w:type="dxa"/>
            <w:tcBorders>
              <w:top w:val="single" w:sz="4" w:space="0" w:color="auto"/>
            </w:tcBorders>
            <w:vAlign w:val="center"/>
          </w:tcPr>
          <w:p w14:paraId="35F104FB" w14:textId="77777777" w:rsidR="001A32DB" w:rsidRDefault="001A32DB" w:rsidP="004741D5">
            <w:pPr>
              <w:jc w:val="center"/>
            </w:pPr>
            <w:r>
              <w:t>0.16</w:t>
            </w:r>
          </w:p>
        </w:tc>
        <w:tc>
          <w:tcPr>
            <w:tcW w:w="990" w:type="dxa"/>
            <w:tcBorders>
              <w:top w:val="single" w:sz="4" w:space="0" w:color="auto"/>
            </w:tcBorders>
            <w:vAlign w:val="center"/>
          </w:tcPr>
          <w:p w14:paraId="7A58F1C3" w14:textId="4BE5C059" w:rsidR="001A32DB" w:rsidRDefault="003B2A5D" w:rsidP="004741D5">
            <w:pPr>
              <w:jc w:val="center"/>
            </w:pPr>
            <w:r>
              <w:t>-0.71</w:t>
            </w:r>
          </w:p>
        </w:tc>
        <w:tc>
          <w:tcPr>
            <w:tcW w:w="905" w:type="dxa"/>
            <w:tcBorders>
              <w:top w:val="single" w:sz="4" w:space="0" w:color="auto"/>
            </w:tcBorders>
            <w:vAlign w:val="center"/>
          </w:tcPr>
          <w:p w14:paraId="413FCB36" w14:textId="3B065FED" w:rsidR="001A32DB" w:rsidRDefault="003B2A5D" w:rsidP="004741D5">
            <w:pPr>
              <w:jc w:val="center"/>
            </w:pPr>
            <w:r>
              <w:t>0.02</w:t>
            </w:r>
          </w:p>
        </w:tc>
        <w:tc>
          <w:tcPr>
            <w:tcW w:w="1895" w:type="dxa"/>
            <w:tcBorders>
              <w:top w:val="single" w:sz="4" w:space="0" w:color="auto"/>
            </w:tcBorders>
            <w:vAlign w:val="center"/>
          </w:tcPr>
          <w:p w14:paraId="4763BCBF" w14:textId="77777777" w:rsidR="001A32DB" w:rsidRDefault="001A32DB" w:rsidP="004741D5">
            <w:pPr>
              <w:jc w:val="center"/>
            </w:pPr>
            <w:r>
              <w:t>0.22</w:t>
            </w:r>
          </w:p>
        </w:tc>
        <w:tc>
          <w:tcPr>
            <w:tcW w:w="1895" w:type="dxa"/>
            <w:tcBorders>
              <w:top w:val="single" w:sz="4" w:space="0" w:color="auto"/>
            </w:tcBorders>
            <w:vAlign w:val="center"/>
          </w:tcPr>
          <w:p w14:paraId="584CB4F7" w14:textId="77777777" w:rsidR="001A32DB" w:rsidRDefault="001A32DB" w:rsidP="004741D5">
            <w:pPr>
              <w:jc w:val="center"/>
            </w:pPr>
            <w:r>
              <w:t>-0.06</w:t>
            </w:r>
          </w:p>
        </w:tc>
      </w:tr>
      <w:tr w:rsidR="003B2A5D" w14:paraId="024EDDCF" w14:textId="77777777" w:rsidTr="004741D5">
        <w:trPr>
          <w:trHeight w:val="279"/>
        </w:trPr>
        <w:tc>
          <w:tcPr>
            <w:tcW w:w="1391" w:type="dxa"/>
          </w:tcPr>
          <w:p w14:paraId="2C4019A6" w14:textId="77777777" w:rsidR="003B2A5D" w:rsidRDefault="003B2A5D" w:rsidP="003B2A5D">
            <w:r>
              <w:t>FFMQ Acting With Awareness</w:t>
            </w:r>
          </w:p>
        </w:tc>
        <w:tc>
          <w:tcPr>
            <w:tcW w:w="1068" w:type="dxa"/>
            <w:vAlign w:val="center"/>
          </w:tcPr>
          <w:p w14:paraId="3224B25F" w14:textId="77777777" w:rsidR="003B2A5D" w:rsidRDefault="003B2A5D" w:rsidP="003B2A5D">
            <w:pPr>
              <w:jc w:val="center"/>
            </w:pPr>
            <w:r>
              <w:t>0.59*</w:t>
            </w:r>
          </w:p>
        </w:tc>
        <w:tc>
          <w:tcPr>
            <w:tcW w:w="1069" w:type="dxa"/>
            <w:vAlign w:val="center"/>
          </w:tcPr>
          <w:p w14:paraId="44DBC1C6" w14:textId="77777777" w:rsidR="003B2A5D" w:rsidRDefault="003B2A5D" w:rsidP="003B2A5D">
            <w:pPr>
              <w:jc w:val="center"/>
            </w:pPr>
            <w:r>
              <w:t>-0.26</w:t>
            </w:r>
          </w:p>
        </w:tc>
        <w:tc>
          <w:tcPr>
            <w:tcW w:w="1068" w:type="dxa"/>
            <w:vAlign w:val="center"/>
          </w:tcPr>
          <w:p w14:paraId="3DA5ABE9" w14:textId="77777777" w:rsidR="003B2A5D" w:rsidRDefault="003B2A5D" w:rsidP="003B2A5D">
            <w:pPr>
              <w:jc w:val="center"/>
            </w:pPr>
            <w:r>
              <w:t>-0.56</w:t>
            </w:r>
          </w:p>
        </w:tc>
        <w:tc>
          <w:tcPr>
            <w:tcW w:w="1069" w:type="dxa"/>
            <w:vAlign w:val="center"/>
          </w:tcPr>
          <w:p w14:paraId="17C0E177" w14:textId="77777777" w:rsidR="003B2A5D" w:rsidRDefault="003B2A5D" w:rsidP="003B2A5D">
            <w:pPr>
              <w:jc w:val="center"/>
            </w:pPr>
            <w:r>
              <w:t>-0.47</w:t>
            </w:r>
          </w:p>
        </w:tc>
        <w:tc>
          <w:tcPr>
            <w:tcW w:w="1080" w:type="dxa"/>
            <w:vAlign w:val="center"/>
          </w:tcPr>
          <w:p w14:paraId="5D964136" w14:textId="77777777" w:rsidR="003B2A5D" w:rsidRDefault="003B2A5D" w:rsidP="003B2A5D">
            <w:pPr>
              <w:jc w:val="center"/>
            </w:pPr>
            <w:r>
              <w:t>-0.15</w:t>
            </w:r>
          </w:p>
        </w:tc>
        <w:tc>
          <w:tcPr>
            <w:tcW w:w="900" w:type="dxa"/>
            <w:vAlign w:val="center"/>
          </w:tcPr>
          <w:p w14:paraId="68508A2F" w14:textId="77777777" w:rsidR="003B2A5D" w:rsidRDefault="003B2A5D" w:rsidP="003B2A5D">
            <w:pPr>
              <w:jc w:val="center"/>
            </w:pPr>
            <w:r>
              <w:t>0.11</w:t>
            </w:r>
          </w:p>
        </w:tc>
        <w:tc>
          <w:tcPr>
            <w:tcW w:w="990" w:type="dxa"/>
            <w:vAlign w:val="center"/>
          </w:tcPr>
          <w:p w14:paraId="74D2178B" w14:textId="6DABFD98" w:rsidR="003B2A5D" w:rsidRDefault="003B2A5D" w:rsidP="003B2A5D">
            <w:pPr>
              <w:jc w:val="center"/>
            </w:pPr>
            <w:r>
              <w:t>-0.50</w:t>
            </w:r>
          </w:p>
        </w:tc>
        <w:tc>
          <w:tcPr>
            <w:tcW w:w="905" w:type="dxa"/>
            <w:vAlign w:val="center"/>
          </w:tcPr>
          <w:p w14:paraId="3ADE33F8" w14:textId="7A2CB1EB" w:rsidR="003B2A5D" w:rsidRDefault="003B2A5D" w:rsidP="003B2A5D">
            <w:pPr>
              <w:jc w:val="center"/>
            </w:pPr>
            <w:r>
              <w:t>0.02</w:t>
            </w:r>
          </w:p>
        </w:tc>
        <w:tc>
          <w:tcPr>
            <w:tcW w:w="1895" w:type="dxa"/>
            <w:vAlign w:val="center"/>
          </w:tcPr>
          <w:p w14:paraId="797C9053" w14:textId="77777777" w:rsidR="003B2A5D" w:rsidRDefault="003B2A5D" w:rsidP="003B2A5D">
            <w:pPr>
              <w:jc w:val="center"/>
            </w:pPr>
            <w:r>
              <w:t>0.05</w:t>
            </w:r>
          </w:p>
        </w:tc>
        <w:tc>
          <w:tcPr>
            <w:tcW w:w="1895" w:type="dxa"/>
            <w:vAlign w:val="center"/>
          </w:tcPr>
          <w:p w14:paraId="3AB9BB2F" w14:textId="77777777" w:rsidR="003B2A5D" w:rsidRDefault="003B2A5D" w:rsidP="003B2A5D">
            <w:pPr>
              <w:jc w:val="center"/>
            </w:pPr>
            <w:r>
              <w:t>0.07</w:t>
            </w:r>
          </w:p>
        </w:tc>
      </w:tr>
      <w:tr w:rsidR="003B2A5D" w14:paraId="32B3C67D" w14:textId="77777777" w:rsidTr="004741D5">
        <w:trPr>
          <w:trHeight w:val="279"/>
        </w:trPr>
        <w:tc>
          <w:tcPr>
            <w:tcW w:w="1391" w:type="dxa"/>
          </w:tcPr>
          <w:p w14:paraId="269FF89C" w14:textId="77777777" w:rsidR="003B2A5D" w:rsidRDefault="003B2A5D" w:rsidP="003B2A5D">
            <w:r>
              <w:t>Difference</w:t>
            </w:r>
          </w:p>
        </w:tc>
        <w:tc>
          <w:tcPr>
            <w:tcW w:w="1068" w:type="dxa"/>
            <w:vAlign w:val="center"/>
          </w:tcPr>
          <w:p w14:paraId="62114B2B" w14:textId="77777777" w:rsidR="003B2A5D" w:rsidRDefault="003B2A5D" w:rsidP="003B2A5D">
            <w:pPr>
              <w:jc w:val="center"/>
            </w:pPr>
            <w:r>
              <w:t>-0.02</w:t>
            </w:r>
          </w:p>
        </w:tc>
        <w:tc>
          <w:tcPr>
            <w:tcW w:w="1069" w:type="dxa"/>
            <w:vAlign w:val="center"/>
          </w:tcPr>
          <w:p w14:paraId="4C7DA0F0" w14:textId="77777777" w:rsidR="003B2A5D" w:rsidRDefault="003B2A5D" w:rsidP="003B2A5D">
            <w:pPr>
              <w:jc w:val="center"/>
            </w:pPr>
            <w:r>
              <w:t>0.05</w:t>
            </w:r>
          </w:p>
        </w:tc>
        <w:tc>
          <w:tcPr>
            <w:tcW w:w="1068" w:type="dxa"/>
            <w:vAlign w:val="center"/>
          </w:tcPr>
          <w:p w14:paraId="0A93FBBF" w14:textId="77777777" w:rsidR="003B2A5D" w:rsidRDefault="003B2A5D" w:rsidP="003B2A5D">
            <w:pPr>
              <w:jc w:val="center"/>
            </w:pPr>
            <w:r>
              <w:t>-0.61*</w:t>
            </w:r>
          </w:p>
        </w:tc>
        <w:tc>
          <w:tcPr>
            <w:tcW w:w="1069" w:type="dxa"/>
            <w:vAlign w:val="center"/>
          </w:tcPr>
          <w:p w14:paraId="6A2D78B8" w14:textId="77777777" w:rsidR="003B2A5D" w:rsidRDefault="003B2A5D" w:rsidP="003B2A5D">
            <w:pPr>
              <w:jc w:val="center"/>
            </w:pPr>
            <w:r>
              <w:t>-0.61*</w:t>
            </w:r>
          </w:p>
        </w:tc>
        <w:tc>
          <w:tcPr>
            <w:tcW w:w="1080" w:type="dxa"/>
            <w:vAlign w:val="center"/>
          </w:tcPr>
          <w:p w14:paraId="6D7D1CBB" w14:textId="77777777" w:rsidR="003B2A5D" w:rsidRDefault="003B2A5D" w:rsidP="003B2A5D">
            <w:pPr>
              <w:jc w:val="center"/>
            </w:pPr>
            <w:r>
              <w:t>0.00</w:t>
            </w:r>
          </w:p>
        </w:tc>
        <w:tc>
          <w:tcPr>
            <w:tcW w:w="900" w:type="dxa"/>
            <w:vAlign w:val="center"/>
          </w:tcPr>
          <w:p w14:paraId="73C435BB" w14:textId="77777777" w:rsidR="003B2A5D" w:rsidRDefault="003B2A5D" w:rsidP="003B2A5D">
            <w:pPr>
              <w:jc w:val="center"/>
            </w:pPr>
            <w:r>
              <w:t>0.01</w:t>
            </w:r>
          </w:p>
        </w:tc>
        <w:tc>
          <w:tcPr>
            <w:tcW w:w="990" w:type="dxa"/>
            <w:vAlign w:val="center"/>
          </w:tcPr>
          <w:p w14:paraId="494E3441" w14:textId="76A20AEA" w:rsidR="003B2A5D" w:rsidRDefault="00452649" w:rsidP="003B2A5D">
            <w:pPr>
              <w:jc w:val="center"/>
            </w:pPr>
            <w:r>
              <w:t>-0.10</w:t>
            </w:r>
          </w:p>
        </w:tc>
        <w:tc>
          <w:tcPr>
            <w:tcW w:w="905" w:type="dxa"/>
            <w:vAlign w:val="center"/>
          </w:tcPr>
          <w:p w14:paraId="58377C0D" w14:textId="545F3220" w:rsidR="003B2A5D" w:rsidRDefault="00452649" w:rsidP="003B2A5D">
            <w:pPr>
              <w:jc w:val="center"/>
            </w:pPr>
            <w:r>
              <w:t>0.08</w:t>
            </w:r>
          </w:p>
        </w:tc>
        <w:tc>
          <w:tcPr>
            <w:tcW w:w="1895" w:type="dxa"/>
            <w:vAlign w:val="center"/>
          </w:tcPr>
          <w:p w14:paraId="639EE1C7" w14:textId="77777777" w:rsidR="003B2A5D" w:rsidRDefault="003B2A5D" w:rsidP="003B2A5D">
            <w:pPr>
              <w:jc w:val="center"/>
            </w:pPr>
            <w:r>
              <w:t>0.42**</w:t>
            </w:r>
          </w:p>
        </w:tc>
        <w:tc>
          <w:tcPr>
            <w:tcW w:w="1895" w:type="dxa"/>
            <w:vAlign w:val="center"/>
          </w:tcPr>
          <w:p w14:paraId="61486E13" w14:textId="77777777" w:rsidR="003B2A5D" w:rsidRDefault="003B2A5D" w:rsidP="003B2A5D">
            <w:pPr>
              <w:jc w:val="center"/>
            </w:pPr>
            <w:r>
              <w:t>0.01</w:t>
            </w:r>
          </w:p>
        </w:tc>
      </w:tr>
      <w:tr w:rsidR="003B2A5D" w14:paraId="34BC8CEB" w14:textId="77777777" w:rsidTr="004741D5">
        <w:trPr>
          <w:trHeight w:val="279"/>
        </w:trPr>
        <w:tc>
          <w:tcPr>
            <w:tcW w:w="1391" w:type="dxa"/>
          </w:tcPr>
          <w:p w14:paraId="35D27F5B" w14:textId="77777777" w:rsidR="003B2A5D" w:rsidRDefault="003B2A5D" w:rsidP="003B2A5D">
            <w:r>
              <w:t>Disdain</w:t>
            </w:r>
          </w:p>
        </w:tc>
        <w:tc>
          <w:tcPr>
            <w:tcW w:w="1068" w:type="dxa"/>
            <w:vAlign w:val="center"/>
          </w:tcPr>
          <w:p w14:paraId="676C86A5" w14:textId="77777777" w:rsidR="003B2A5D" w:rsidRDefault="003B2A5D" w:rsidP="003B2A5D">
            <w:pPr>
              <w:jc w:val="center"/>
            </w:pPr>
            <w:r>
              <w:t>-0.29</w:t>
            </w:r>
          </w:p>
        </w:tc>
        <w:tc>
          <w:tcPr>
            <w:tcW w:w="1069" w:type="dxa"/>
            <w:vAlign w:val="center"/>
          </w:tcPr>
          <w:p w14:paraId="497657CF" w14:textId="77777777" w:rsidR="003B2A5D" w:rsidRDefault="003B2A5D" w:rsidP="003B2A5D">
            <w:pPr>
              <w:jc w:val="center"/>
            </w:pPr>
            <w:r>
              <w:t>0.16</w:t>
            </w:r>
          </w:p>
        </w:tc>
        <w:tc>
          <w:tcPr>
            <w:tcW w:w="1068" w:type="dxa"/>
            <w:vAlign w:val="center"/>
          </w:tcPr>
          <w:p w14:paraId="5C13814E" w14:textId="77777777" w:rsidR="003B2A5D" w:rsidRDefault="003B2A5D" w:rsidP="003B2A5D">
            <w:pPr>
              <w:jc w:val="center"/>
            </w:pPr>
            <w:r>
              <w:t>-0.62*</w:t>
            </w:r>
          </w:p>
        </w:tc>
        <w:tc>
          <w:tcPr>
            <w:tcW w:w="1069" w:type="dxa"/>
            <w:vAlign w:val="center"/>
          </w:tcPr>
          <w:p w14:paraId="735476C2" w14:textId="77777777" w:rsidR="003B2A5D" w:rsidRDefault="003B2A5D" w:rsidP="003B2A5D">
            <w:pPr>
              <w:jc w:val="center"/>
            </w:pPr>
            <w:r>
              <w:t>-0.58*</w:t>
            </w:r>
          </w:p>
        </w:tc>
        <w:tc>
          <w:tcPr>
            <w:tcW w:w="1080" w:type="dxa"/>
            <w:vAlign w:val="center"/>
          </w:tcPr>
          <w:p w14:paraId="0A5CE020" w14:textId="77777777" w:rsidR="003B2A5D" w:rsidRDefault="003B2A5D" w:rsidP="003B2A5D">
            <w:pPr>
              <w:jc w:val="center"/>
            </w:pPr>
            <w:r>
              <w:t>-0.05</w:t>
            </w:r>
          </w:p>
        </w:tc>
        <w:tc>
          <w:tcPr>
            <w:tcW w:w="900" w:type="dxa"/>
            <w:vAlign w:val="center"/>
          </w:tcPr>
          <w:p w14:paraId="280ED19E" w14:textId="77777777" w:rsidR="003B2A5D" w:rsidRDefault="003B2A5D" w:rsidP="003B2A5D">
            <w:pPr>
              <w:jc w:val="center"/>
            </w:pPr>
            <w:r>
              <w:t>0.06</w:t>
            </w:r>
          </w:p>
        </w:tc>
        <w:tc>
          <w:tcPr>
            <w:tcW w:w="990" w:type="dxa"/>
            <w:vAlign w:val="center"/>
          </w:tcPr>
          <w:p w14:paraId="5B8C5165" w14:textId="6EADE10B" w:rsidR="003B2A5D" w:rsidRDefault="00032AB7" w:rsidP="003B2A5D">
            <w:pPr>
              <w:jc w:val="center"/>
            </w:pPr>
            <w:r>
              <w:t>-0.20</w:t>
            </w:r>
          </w:p>
        </w:tc>
        <w:tc>
          <w:tcPr>
            <w:tcW w:w="905" w:type="dxa"/>
            <w:vAlign w:val="center"/>
          </w:tcPr>
          <w:p w14:paraId="311B75F8" w14:textId="6258B320" w:rsidR="003B2A5D" w:rsidRDefault="00032AB7" w:rsidP="003B2A5D">
            <w:pPr>
              <w:jc w:val="center"/>
            </w:pPr>
            <w:r>
              <w:t>0.09</w:t>
            </w:r>
          </w:p>
        </w:tc>
        <w:tc>
          <w:tcPr>
            <w:tcW w:w="1895" w:type="dxa"/>
            <w:vAlign w:val="center"/>
          </w:tcPr>
          <w:p w14:paraId="0589829D" w14:textId="77777777" w:rsidR="003B2A5D" w:rsidRDefault="003B2A5D" w:rsidP="003B2A5D">
            <w:pPr>
              <w:jc w:val="center"/>
            </w:pPr>
            <w:r>
              <w:t>0.26</w:t>
            </w:r>
          </w:p>
        </w:tc>
        <w:tc>
          <w:tcPr>
            <w:tcW w:w="1895" w:type="dxa"/>
            <w:vAlign w:val="center"/>
          </w:tcPr>
          <w:p w14:paraId="07647A82" w14:textId="77777777" w:rsidR="003B2A5D" w:rsidRDefault="003B2A5D" w:rsidP="003B2A5D">
            <w:pPr>
              <w:jc w:val="center"/>
            </w:pPr>
            <w:r>
              <w:t>0.01</w:t>
            </w:r>
          </w:p>
        </w:tc>
      </w:tr>
      <w:tr w:rsidR="003B2A5D" w14:paraId="34B0C5E1" w14:textId="77777777" w:rsidTr="004741D5">
        <w:trPr>
          <w:trHeight w:val="279"/>
        </w:trPr>
        <w:tc>
          <w:tcPr>
            <w:tcW w:w="1391" w:type="dxa"/>
          </w:tcPr>
          <w:p w14:paraId="4076D5FC" w14:textId="77777777" w:rsidR="003B2A5D" w:rsidRDefault="003B2A5D" w:rsidP="003B2A5D">
            <w:r>
              <w:t>Blame</w:t>
            </w:r>
          </w:p>
        </w:tc>
        <w:tc>
          <w:tcPr>
            <w:tcW w:w="1068" w:type="dxa"/>
            <w:vAlign w:val="center"/>
          </w:tcPr>
          <w:p w14:paraId="29FBEA62" w14:textId="77777777" w:rsidR="003B2A5D" w:rsidRDefault="003B2A5D" w:rsidP="003B2A5D">
            <w:pPr>
              <w:jc w:val="center"/>
            </w:pPr>
            <w:r>
              <w:t>-0.52</w:t>
            </w:r>
          </w:p>
        </w:tc>
        <w:tc>
          <w:tcPr>
            <w:tcW w:w="1069" w:type="dxa"/>
            <w:vAlign w:val="center"/>
          </w:tcPr>
          <w:p w14:paraId="405B702B" w14:textId="77777777" w:rsidR="003B2A5D" w:rsidRDefault="003B2A5D" w:rsidP="003B2A5D">
            <w:pPr>
              <w:jc w:val="center"/>
            </w:pPr>
            <w:r>
              <w:t>-0.02</w:t>
            </w:r>
          </w:p>
        </w:tc>
        <w:tc>
          <w:tcPr>
            <w:tcW w:w="1068" w:type="dxa"/>
            <w:vAlign w:val="center"/>
          </w:tcPr>
          <w:p w14:paraId="0EEAEECD" w14:textId="77777777" w:rsidR="003B2A5D" w:rsidRDefault="003B2A5D" w:rsidP="003B2A5D">
            <w:pPr>
              <w:jc w:val="center"/>
            </w:pPr>
            <w:r>
              <w:t>-0.62*</w:t>
            </w:r>
          </w:p>
        </w:tc>
        <w:tc>
          <w:tcPr>
            <w:tcW w:w="1069" w:type="dxa"/>
            <w:vAlign w:val="center"/>
          </w:tcPr>
          <w:p w14:paraId="65D7E565" w14:textId="77777777" w:rsidR="003B2A5D" w:rsidRDefault="003B2A5D" w:rsidP="003B2A5D">
            <w:pPr>
              <w:jc w:val="center"/>
            </w:pPr>
            <w:r>
              <w:t>-0.63*</w:t>
            </w:r>
          </w:p>
        </w:tc>
        <w:tc>
          <w:tcPr>
            <w:tcW w:w="1080" w:type="dxa"/>
            <w:vAlign w:val="center"/>
          </w:tcPr>
          <w:p w14:paraId="26883301" w14:textId="77777777" w:rsidR="003B2A5D" w:rsidRDefault="003B2A5D" w:rsidP="003B2A5D">
            <w:pPr>
              <w:jc w:val="center"/>
            </w:pPr>
            <w:r>
              <w:t>0.01</w:t>
            </w:r>
          </w:p>
        </w:tc>
        <w:tc>
          <w:tcPr>
            <w:tcW w:w="900" w:type="dxa"/>
            <w:vAlign w:val="center"/>
          </w:tcPr>
          <w:p w14:paraId="521962A3" w14:textId="77777777" w:rsidR="003B2A5D" w:rsidRDefault="003B2A5D" w:rsidP="003B2A5D">
            <w:pPr>
              <w:jc w:val="center"/>
            </w:pPr>
            <w:r>
              <w:t>0.08</w:t>
            </w:r>
          </w:p>
        </w:tc>
        <w:tc>
          <w:tcPr>
            <w:tcW w:w="990" w:type="dxa"/>
            <w:vAlign w:val="center"/>
          </w:tcPr>
          <w:p w14:paraId="32E9E6AD" w14:textId="2E15095F" w:rsidR="003B2A5D" w:rsidRDefault="00B854F9" w:rsidP="003B2A5D">
            <w:pPr>
              <w:jc w:val="center"/>
            </w:pPr>
            <w:r>
              <w:t>-0.17</w:t>
            </w:r>
          </w:p>
        </w:tc>
        <w:tc>
          <w:tcPr>
            <w:tcW w:w="905" w:type="dxa"/>
            <w:vAlign w:val="center"/>
          </w:tcPr>
          <w:p w14:paraId="52433E0F" w14:textId="01D88FAE" w:rsidR="003B2A5D" w:rsidRDefault="00B854F9" w:rsidP="003B2A5D">
            <w:pPr>
              <w:jc w:val="center"/>
            </w:pPr>
            <w:r>
              <w:t>0.27</w:t>
            </w:r>
          </w:p>
        </w:tc>
        <w:tc>
          <w:tcPr>
            <w:tcW w:w="1895" w:type="dxa"/>
            <w:vAlign w:val="center"/>
          </w:tcPr>
          <w:p w14:paraId="78B09CAA" w14:textId="77777777" w:rsidR="003B2A5D" w:rsidRDefault="003B2A5D" w:rsidP="003B2A5D">
            <w:pPr>
              <w:jc w:val="center"/>
            </w:pPr>
            <w:r>
              <w:t>0.42**</w:t>
            </w:r>
          </w:p>
        </w:tc>
        <w:tc>
          <w:tcPr>
            <w:tcW w:w="1895" w:type="dxa"/>
            <w:vAlign w:val="center"/>
          </w:tcPr>
          <w:p w14:paraId="2A771015" w14:textId="77777777" w:rsidR="003B2A5D" w:rsidRDefault="003B2A5D" w:rsidP="003B2A5D">
            <w:pPr>
              <w:jc w:val="center"/>
            </w:pPr>
            <w:r>
              <w:t>0.06</w:t>
            </w:r>
          </w:p>
        </w:tc>
      </w:tr>
    </w:tbl>
    <w:p w14:paraId="7CA410D1" w14:textId="6CEE7A6E" w:rsidR="003D2415" w:rsidRDefault="001A32DB" w:rsidP="001A32DB">
      <w:pPr>
        <w:spacing w:line="480" w:lineRule="auto"/>
      </w:pPr>
      <w:r w:rsidRPr="0002766F">
        <w:rPr>
          <w:i/>
          <w:iCs/>
        </w:rPr>
        <w:t>Note</w:t>
      </w:r>
      <w:r>
        <w:rPr>
          <w:i/>
          <w:iCs/>
        </w:rPr>
        <w:t>s</w:t>
      </w:r>
      <w:r>
        <w:t>.</w:t>
      </w:r>
      <w:r w:rsidRPr="0002766F">
        <w:t xml:space="preserve"> *</w:t>
      </w:r>
      <w:r w:rsidRPr="0002766F">
        <w:rPr>
          <w:i/>
          <w:iCs/>
        </w:rPr>
        <w:t>p</w:t>
      </w:r>
      <w:r w:rsidRPr="0002766F">
        <w:t xml:space="preserve"> &lt; 0.05, **</w:t>
      </w:r>
      <w:r w:rsidRPr="0002766F">
        <w:rPr>
          <w:i/>
          <w:iCs/>
        </w:rPr>
        <w:t>p</w:t>
      </w:r>
      <w:r w:rsidRPr="0002766F">
        <w:t xml:space="preserve"> &lt; 0.01, ***</w:t>
      </w:r>
      <w:r w:rsidRPr="0002766F">
        <w:rPr>
          <w:i/>
          <w:iCs/>
        </w:rPr>
        <w:t>p</w:t>
      </w:r>
      <w:r w:rsidRPr="0002766F">
        <w:t xml:space="preserve"> &lt; 0.001.</w:t>
      </w:r>
      <w:r>
        <w:t xml:space="preserve"> CGI-I </w:t>
      </w:r>
      <w:r w:rsidRPr="007132B1">
        <w:sym w:font="Symbol" w:char="F0AE"/>
      </w:r>
      <w:r>
        <w:t xml:space="preserve"> M refers to the effect of baseline CGI-I on the mediator at posttreatment; CGI-I </w:t>
      </w:r>
      <w:r>
        <w:rPr>
          <w:u w:val="single"/>
        </w:rPr>
        <w:sym w:font="Symbol" w:char="F0AE"/>
      </w:r>
      <w:r>
        <w:t xml:space="preserve"> Y refers to the effect of baseline CGI-I on the outcome (hoarding severity) at follow-up.</w:t>
      </w:r>
      <w:r w:rsidRPr="0002766F">
        <w:t xml:space="preserve"> </w:t>
      </w:r>
    </w:p>
    <w:p w14:paraId="25DEBC67" w14:textId="3C604A67" w:rsidR="001A32DB" w:rsidRDefault="003D2415" w:rsidP="00C9262E">
      <w:pPr>
        <w:spacing w:after="160" w:line="259" w:lineRule="auto"/>
      </w:pPr>
      <w:r>
        <w:br w:type="page"/>
      </w:r>
    </w:p>
    <w:p w14:paraId="7976EF10" w14:textId="2F1996E4" w:rsidR="001A32DB" w:rsidRPr="00B020C4" w:rsidRDefault="001A32DB" w:rsidP="001A32DB">
      <w:pPr>
        <w:rPr>
          <w:b/>
          <w:bCs/>
        </w:rPr>
      </w:pPr>
      <w:r w:rsidRPr="00B020C4">
        <w:rPr>
          <w:b/>
          <w:bCs/>
        </w:rPr>
        <w:lastRenderedPageBreak/>
        <w:t xml:space="preserve">Table </w:t>
      </w:r>
      <w:r w:rsidR="00036AB3">
        <w:rPr>
          <w:b/>
          <w:bCs/>
        </w:rPr>
        <w:t>6</w:t>
      </w:r>
    </w:p>
    <w:p w14:paraId="62BE284E" w14:textId="77777777" w:rsidR="001A32DB" w:rsidRPr="00B020C4" w:rsidRDefault="001A32DB" w:rsidP="001A32DB">
      <w:pPr>
        <w:rPr>
          <w:b/>
          <w:bCs/>
        </w:rPr>
      </w:pPr>
    </w:p>
    <w:p w14:paraId="341D1CF7" w14:textId="77777777" w:rsidR="001A32DB" w:rsidRPr="00B020C4" w:rsidRDefault="001A32DB" w:rsidP="001A32DB">
      <w:pPr>
        <w:rPr>
          <w:b/>
          <w:bCs/>
          <w:i/>
          <w:iCs/>
        </w:rPr>
      </w:pPr>
      <w:r w:rsidRPr="00B020C4">
        <w:rPr>
          <w:b/>
          <w:bCs/>
          <w:i/>
          <w:iCs/>
        </w:rPr>
        <w:t>Cross-Sectional Mediation Models</w:t>
      </w:r>
    </w:p>
    <w:p w14:paraId="5BED0765" w14:textId="77777777" w:rsidR="001A32DB" w:rsidRPr="00E33387" w:rsidRDefault="001A32DB" w:rsidP="001A32DB">
      <w:pPr>
        <w:rPr>
          <w:i/>
          <w:iCs/>
        </w:rPr>
      </w:pPr>
    </w:p>
    <w:tbl>
      <w:tblPr>
        <w:tblStyle w:val="TableGrid"/>
        <w:tblW w:w="1317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79"/>
        <w:gridCol w:w="1144"/>
        <w:gridCol w:w="1121"/>
        <w:gridCol w:w="909"/>
        <w:gridCol w:w="1059"/>
        <w:gridCol w:w="1070"/>
        <w:gridCol w:w="893"/>
        <w:gridCol w:w="981"/>
        <w:gridCol w:w="1630"/>
        <w:gridCol w:w="1495"/>
        <w:gridCol w:w="1495"/>
      </w:tblGrid>
      <w:tr w:rsidR="001A32DB" w14:paraId="7F75D4C3" w14:textId="77777777" w:rsidTr="004741D5">
        <w:trPr>
          <w:trHeight w:val="581"/>
        </w:trPr>
        <w:tc>
          <w:tcPr>
            <w:tcW w:w="1379" w:type="dxa"/>
            <w:tcBorders>
              <w:top w:val="single" w:sz="4" w:space="0" w:color="auto"/>
              <w:bottom w:val="nil"/>
            </w:tcBorders>
          </w:tcPr>
          <w:p w14:paraId="2F419B76" w14:textId="77777777" w:rsidR="001A32DB" w:rsidRDefault="001A32DB" w:rsidP="004741D5">
            <w:r>
              <w:t>Mediator</w:t>
            </w:r>
          </w:p>
        </w:tc>
        <w:tc>
          <w:tcPr>
            <w:tcW w:w="1144" w:type="dxa"/>
            <w:tcBorders>
              <w:top w:val="single" w:sz="4" w:space="0" w:color="auto"/>
              <w:bottom w:val="nil"/>
            </w:tcBorders>
          </w:tcPr>
          <w:p w14:paraId="02F5DBAE" w14:textId="77777777" w:rsidR="001A32DB" w:rsidRDefault="001A32DB" w:rsidP="004741D5">
            <w:pPr>
              <w:jc w:val="center"/>
            </w:pPr>
            <w:r>
              <w:t>a path</w:t>
            </w:r>
          </w:p>
        </w:tc>
        <w:tc>
          <w:tcPr>
            <w:tcW w:w="1121" w:type="dxa"/>
            <w:tcBorders>
              <w:top w:val="single" w:sz="4" w:space="0" w:color="auto"/>
              <w:bottom w:val="nil"/>
            </w:tcBorders>
          </w:tcPr>
          <w:p w14:paraId="2CF96593" w14:textId="77777777" w:rsidR="001A32DB" w:rsidRDefault="001A32DB" w:rsidP="004741D5">
            <w:pPr>
              <w:jc w:val="center"/>
            </w:pPr>
            <w:r>
              <w:t>b path</w:t>
            </w:r>
          </w:p>
        </w:tc>
        <w:tc>
          <w:tcPr>
            <w:tcW w:w="909" w:type="dxa"/>
            <w:tcBorders>
              <w:top w:val="single" w:sz="4" w:space="0" w:color="auto"/>
              <w:bottom w:val="nil"/>
            </w:tcBorders>
          </w:tcPr>
          <w:p w14:paraId="76BA7731" w14:textId="77777777" w:rsidR="001A32DB" w:rsidRDefault="001A32DB" w:rsidP="004741D5">
            <w:pPr>
              <w:jc w:val="center"/>
            </w:pPr>
            <w:r>
              <w:t>c path</w:t>
            </w:r>
          </w:p>
        </w:tc>
        <w:tc>
          <w:tcPr>
            <w:tcW w:w="1059" w:type="dxa"/>
            <w:tcBorders>
              <w:top w:val="single" w:sz="4" w:space="0" w:color="auto"/>
              <w:bottom w:val="nil"/>
            </w:tcBorders>
          </w:tcPr>
          <w:p w14:paraId="6A7B8BE2" w14:textId="77777777" w:rsidR="001A32DB" w:rsidRDefault="001A32DB" w:rsidP="004741D5">
            <w:pPr>
              <w:jc w:val="center"/>
            </w:pPr>
            <w:r>
              <w:t>c’ path</w:t>
            </w:r>
          </w:p>
        </w:tc>
        <w:tc>
          <w:tcPr>
            <w:tcW w:w="1963" w:type="dxa"/>
            <w:gridSpan w:val="2"/>
            <w:tcBorders>
              <w:top w:val="single" w:sz="4" w:space="0" w:color="auto"/>
              <w:bottom w:val="single" w:sz="4" w:space="0" w:color="auto"/>
            </w:tcBorders>
          </w:tcPr>
          <w:p w14:paraId="20B24B53" w14:textId="77777777" w:rsidR="001A32DB" w:rsidRPr="00B020C4" w:rsidRDefault="001A32DB" w:rsidP="004741D5">
            <w:pPr>
              <w:jc w:val="center"/>
            </w:pPr>
            <w:r w:rsidRPr="00B020C4">
              <w:t>Product of coefficients</w:t>
            </w:r>
          </w:p>
        </w:tc>
        <w:tc>
          <w:tcPr>
            <w:tcW w:w="2611" w:type="dxa"/>
            <w:gridSpan w:val="2"/>
            <w:tcBorders>
              <w:top w:val="single" w:sz="4" w:space="0" w:color="auto"/>
              <w:bottom w:val="single" w:sz="4" w:space="0" w:color="auto"/>
            </w:tcBorders>
          </w:tcPr>
          <w:p w14:paraId="73006A0B" w14:textId="77777777" w:rsidR="001A32DB" w:rsidRPr="00B020C4" w:rsidRDefault="001A32DB" w:rsidP="004741D5">
            <w:pPr>
              <w:jc w:val="center"/>
            </w:pPr>
            <w:r w:rsidRPr="00B020C4">
              <w:t>Bootstrapped 95% CI</w:t>
            </w:r>
          </w:p>
        </w:tc>
        <w:tc>
          <w:tcPr>
            <w:tcW w:w="1495" w:type="dxa"/>
            <w:tcBorders>
              <w:top w:val="single" w:sz="4" w:space="0" w:color="auto"/>
              <w:bottom w:val="nil"/>
            </w:tcBorders>
          </w:tcPr>
          <w:p w14:paraId="71F11F5B" w14:textId="77777777" w:rsidR="001A32DB" w:rsidRDefault="001A32DB" w:rsidP="004741D5">
            <w:pPr>
              <w:jc w:val="center"/>
              <w:rPr>
                <w:u w:val="single"/>
              </w:rPr>
            </w:pPr>
            <w:r>
              <w:rPr>
                <w:u w:val="single"/>
              </w:rPr>
              <w:t xml:space="preserve">CGI-I </w:t>
            </w:r>
            <w:r>
              <w:rPr>
                <w:u w:val="single"/>
              </w:rPr>
              <w:sym w:font="Symbol" w:char="F0AE"/>
            </w:r>
            <w:r>
              <w:rPr>
                <w:u w:val="single"/>
              </w:rPr>
              <w:t xml:space="preserve"> M</w:t>
            </w:r>
          </w:p>
        </w:tc>
        <w:tc>
          <w:tcPr>
            <w:tcW w:w="1495" w:type="dxa"/>
            <w:tcBorders>
              <w:top w:val="single" w:sz="4" w:space="0" w:color="auto"/>
              <w:bottom w:val="nil"/>
            </w:tcBorders>
          </w:tcPr>
          <w:p w14:paraId="4A4CCD89" w14:textId="77777777" w:rsidR="001A32DB" w:rsidRPr="00E33387" w:rsidRDefault="001A32DB" w:rsidP="004741D5">
            <w:pPr>
              <w:jc w:val="center"/>
              <w:rPr>
                <w:u w:val="single"/>
              </w:rPr>
            </w:pPr>
            <w:r>
              <w:rPr>
                <w:u w:val="single"/>
              </w:rPr>
              <w:t xml:space="preserve">CGI-I </w:t>
            </w:r>
            <w:r>
              <w:rPr>
                <w:u w:val="single"/>
              </w:rPr>
              <w:sym w:font="Symbol" w:char="F0AE"/>
            </w:r>
            <w:r>
              <w:rPr>
                <w:u w:val="single"/>
              </w:rPr>
              <w:t xml:space="preserve"> Y</w:t>
            </w:r>
          </w:p>
        </w:tc>
      </w:tr>
      <w:tr w:rsidR="001A32DB" w14:paraId="6604E1AB" w14:textId="77777777" w:rsidTr="008A4017">
        <w:trPr>
          <w:trHeight w:val="280"/>
        </w:trPr>
        <w:tc>
          <w:tcPr>
            <w:tcW w:w="1379" w:type="dxa"/>
            <w:tcBorders>
              <w:top w:val="nil"/>
              <w:bottom w:val="single" w:sz="4" w:space="0" w:color="auto"/>
            </w:tcBorders>
          </w:tcPr>
          <w:p w14:paraId="66702E6E" w14:textId="77777777" w:rsidR="001A32DB" w:rsidRDefault="001A32DB" w:rsidP="004741D5"/>
        </w:tc>
        <w:tc>
          <w:tcPr>
            <w:tcW w:w="1144" w:type="dxa"/>
            <w:tcBorders>
              <w:top w:val="nil"/>
              <w:bottom w:val="single" w:sz="4" w:space="0" w:color="auto"/>
            </w:tcBorders>
          </w:tcPr>
          <w:p w14:paraId="78B219E2" w14:textId="77777777" w:rsidR="001A32DB" w:rsidRDefault="001A32DB" w:rsidP="004741D5">
            <w:pPr>
              <w:jc w:val="center"/>
            </w:pPr>
          </w:p>
        </w:tc>
        <w:tc>
          <w:tcPr>
            <w:tcW w:w="1121" w:type="dxa"/>
            <w:tcBorders>
              <w:top w:val="nil"/>
              <w:bottom w:val="single" w:sz="4" w:space="0" w:color="auto"/>
            </w:tcBorders>
          </w:tcPr>
          <w:p w14:paraId="6397F0D4" w14:textId="77777777" w:rsidR="001A32DB" w:rsidRDefault="001A32DB" w:rsidP="004741D5">
            <w:pPr>
              <w:jc w:val="center"/>
            </w:pPr>
          </w:p>
        </w:tc>
        <w:tc>
          <w:tcPr>
            <w:tcW w:w="909" w:type="dxa"/>
            <w:tcBorders>
              <w:top w:val="nil"/>
              <w:bottom w:val="single" w:sz="4" w:space="0" w:color="auto"/>
            </w:tcBorders>
          </w:tcPr>
          <w:p w14:paraId="56FEED6D" w14:textId="77777777" w:rsidR="001A32DB" w:rsidRDefault="001A32DB" w:rsidP="004741D5">
            <w:pPr>
              <w:jc w:val="center"/>
            </w:pPr>
          </w:p>
        </w:tc>
        <w:tc>
          <w:tcPr>
            <w:tcW w:w="1059" w:type="dxa"/>
            <w:tcBorders>
              <w:top w:val="nil"/>
              <w:bottom w:val="single" w:sz="4" w:space="0" w:color="auto"/>
            </w:tcBorders>
          </w:tcPr>
          <w:p w14:paraId="0CE74478" w14:textId="77777777" w:rsidR="001A32DB" w:rsidRDefault="001A32DB" w:rsidP="004741D5">
            <w:pPr>
              <w:jc w:val="center"/>
            </w:pPr>
          </w:p>
        </w:tc>
        <w:tc>
          <w:tcPr>
            <w:tcW w:w="1070" w:type="dxa"/>
            <w:tcBorders>
              <w:top w:val="single" w:sz="4" w:space="0" w:color="auto"/>
              <w:bottom w:val="single" w:sz="4" w:space="0" w:color="auto"/>
            </w:tcBorders>
          </w:tcPr>
          <w:p w14:paraId="1F3A6937" w14:textId="77777777" w:rsidR="001A32DB" w:rsidRDefault="001A32DB" w:rsidP="004741D5">
            <w:pPr>
              <w:jc w:val="center"/>
            </w:pPr>
            <w:r>
              <w:t>Point estimate</w:t>
            </w:r>
          </w:p>
        </w:tc>
        <w:tc>
          <w:tcPr>
            <w:tcW w:w="893" w:type="dxa"/>
            <w:tcBorders>
              <w:top w:val="single" w:sz="4" w:space="0" w:color="auto"/>
              <w:bottom w:val="single" w:sz="4" w:space="0" w:color="auto"/>
            </w:tcBorders>
          </w:tcPr>
          <w:p w14:paraId="1EE3309C" w14:textId="77777777" w:rsidR="001A32DB" w:rsidRDefault="001A32DB" w:rsidP="004741D5">
            <w:pPr>
              <w:jc w:val="center"/>
            </w:pPr>
            <w:r>
              <w:t>SE</w:t>
            </w:r>
          </w:p>
        </w:tc>
        <w:tc>
          <w:tcPr>
            <w:tcW w:w="981" w:type="dxa"/>
            <w:tcBorders>
              <w:top w:val="single" w:sz="4" w:space="0" w:color="auto"/>
              <w:bottom w:val="single" w:sz="4" w:space="0" w:color="auto"/>
            </w:tcBorders>
          </w:tcPr>
          <w:p w14:paraId="0CCC8B0B" w14:textId="77777777" w:rsidR="001A32DB" w:rsidRDefault="001A32DB" w:rsidP="004741D5">
            <w:pPr>
              <w:jc w:val="center"/>
            </w:pPr>
            <w:r>
              <w:t>Lower</w:t>
            </w:r>
          </w:p>
        </w:tc>
        <w:tc>
          <w:tcPr>
            <w:tcW w:w="1630" w:type="dxa"/>
            <w:tcBorders>
              <w:top w:val="single" w:sz="4" w:space="0" w:color="auto"/>
              <w:bottom w:val="single" w:sz="4" w:space="0" w:color="auto"/>
            </w:tcBorders>
          </w:tcPr>
          <w:p w14:paraId="1DFEEB95" w14:textId="77777777" w:rsidR="001A32DB" w:rsidRDefault="001A32DB" w:rsidP="004741D5">
            <w:pPr>
              <w:jc w:val="center"/>
            </w:pPr>
            <w:r>
              <w:t>Upper</w:t>
            </w:r>
          </w:p>
        </w:tc>
        <w:tc>
          <w:tcPr>
            <w:tcW w:w="1495" w:type="dxa"/>
            <w:tcBorders>
              <w:top w:val="nil"/>
              <w:bottom w:val="single" w:sz="4" w:space="0" w:color="auto"/>
            </w:tcBorders>
          </w:tcPr>
          <w:p w14:paraId="57A06AA6" w14:textId="77777777" w:rsidR="001A32DB" w:rsidRDefault="001A32DB" w:rsidP="004741D5">
            <w:pPr>
              <w:jc w:val="center"/>
            </w:pPr>
          </w:p>
        </w:tc>
        <w:tc>
          <w:tcPr>
            <w:tcW w:w="1495" w:type="dxa"/>
            <w:tcBorders>
              <w:top w:val="nil"/>
              <w:bottom w:val="single" w:sz="4" w:space="0" w:color="auto"/>
            </w:tcBorders>
          </w:tcPr>
          <w:p w14:paraId="402852FF" w14:textId="77777777" w:rsidR="001A32DB" w:rsidRDefault="001A32DB" w:rsidP="004741D5">
            <w:pPr>
              <w:jc w:val="center"/>
            </w:pPr>
          </w:p>
        </w:tc>
      </w:tr>
      <w:tr w:rsidR="001A32DB" w14:paraId="379D08AB" w14:textId="77777777" w:rsidTr="008A4017">
        <w:trPr>
          <w:trHeight w:val="280"/>
        </w:trPr>
        <w:tc>
          <w:tcPr>
            <w:tcW w:w="1379" w:type="dxa"/>
            <w:tcBorders>
              <w:top w:val="single" w:sz="4" w:space="0" w:color="auto"/>
            </w:tcBorders>
          </w:tcPr>
          <w:p w14:paraId="64523F93" w14:textId="77777777" w:rsidR="001A32DB" w:rsidRDefault="001A32DB" w:rsidP="004741D5">
            <w:r>
              <w:t>AAQH Total</w:t>
            </w:r>
          </w:p>
        </w:tc>
        <w:tc>
          <w:tcPr>
            <w:tcW w:w="1144" w:type="dxa"/>
            <w:tcBorders>
              <w:top w:val="single" w:sz="4" w:space="0" w:color="auto"/>
            </w:tcBorders>
            <w:vAlign w:val="center"/>
          </w:tcPr>
          <w:p w14:paraId="425DDE2B" w14:textId="77777777" w:rsidR="001A32DB" w:rsidRDefault="001A32DB" w:rsidP="004741D5">
            <w:pPr>
              <w:jc w:val="center"/>
            </w:pPr>
            <w:r>
              <w:t>-0.56*</w:t>
            </w:r>
          </w:p>
        </w:tc>
        <w:tc>
          <w:tcPr>
            <w:tcW w:w="1121" w:type="dxa"/>
            <w:tcBorders>
              <w:top w:val="single" w:sz="4" w:space="0" w:color="auto"/>
            </w:tcBorders>
            <w:vAlign w:val="center"/>
          </w:tcPr>
          <w:p w14:paraId="2620E373" w14:textId="77777777" w:rsidR="001A32DB" w:rsidRDefault="001A32DB" w:rsidP="004741D5">
            <w:pPr>
              <w:jc w:val="center"/>
            </w:pPr>
            <w:r>
              <w:t>0.73***</w:t>
            </w:r>
          </w:p>
        </w:tc>
        <w:tc>
          <w:tcPr>
            <w:tcW w:w="909" w:type="dxa"/>
            <w:tcBorders>
              <w:top w:val="single" w:sz="4" w:space="0" w:color="auto"/>
            </w:tcBorders>
            <w:vAlign w:val="center"/>
          </w:tcPr>
          <w:p w14:paraId="56C285B9" w14:textId="77777777" w:rsidR="001A32DB" w:rsidRDefault="001A32DB" w:rsidP="004741D5">
            <w:pPr>
              <w:jc w:val="center"/>
            </w:pPr>
            <w:r>
              <w:t>-0.62*</w:t>
            </w:r>
          </w:p>
        </w:tc>
        <w:tc>
          <w:tcPr>
            <w:tcW w:w="1059" w:type="dxa"/>
            <w:tcBorders>
              <w:top w:val="single" w:sz="4" w:space="0" w:color="auto"/>
            </w:tcBorders>
            <w:vAlign w:val="center"/>
          </w:tcPr>
          <w:p w14:paraId="7F90E6F7" w14:textId="77777777" w:rsidR="001A32DB" w:rsidRDefault="001A32DB" w:rsidP="004741D5">
            <w:pPr>
              <w:jc w:val="center"/>
            </w:pPr>
            <w:r>
              <w:t>-0.21</w:t>
            </w:r>
          </w:p>
        </w:tc>
        <w:tc>
          <w:tcPr>
            <w:tcW w:w="1070" w:type="dxa"/>
            <w:tcBorders>
              <w:top w:val="single" w:sz="4" w:space="0" w:color="auto"/>
            </w:tcBorders>
            <w:vAlign w:val="center"/>
          </w:tcPr>
          <w:p w14:paraId="74F98CFC" w14:textId="77777777" w:rsidR="001A32DB" w:rsidRDefault="001A32DB" w:rsidP="004741D5">
            <w:pPr>
              <w:jc w:val="center"/>
            </w:pPr>
            <w:r>
              <w:t>-0.41</w:t>
            </w:r>
          </w:p>
        </w:tc>
        <w:tc>
          <w:tcPr>
            <w:tcW w:w="893" w:type="dxa"/>
            <w:tcBorders>
              <w:top w:val="single" w:sz="4" w:space="0" w:color="auto"/>
            </w:tcBorders>
            <w:vAlign w:val="center"/>
          </w:tcPr>
          <w:p w14:paraId="24A2981C" w14:textId="77777777" w:rsidR="001A32DB" w:rsidRDefault="001A32DB" w:rsidP="004741D5">
            <w:pPr>
              <w:jc w:val="center"/>
            </w:pPr>
            <w:r>
              <w:t>0.20</w:t>
            </w:r>
          </w:p>
        </w:tc>
        <w:tc>
          <w:tcPr>
            <w:tcW w:w="981" w:type="dxa"/>
            <w:tcBorders>
              <w:top w:val="single" w:sz="4" w:space="0" w:color="auto"/>
            </w:tcBorders>
            <w:vAlign w:val="center"/>
          </w:tcPr>
          <w:p w14:paraId="0CB227B1" w14:textId="20EEAB65" w:rsidR="001A32DB" w:rsidRDefault="00012956" w:rsidP="004741D5">
            <w:pPr>
              <w:jc w:val="center"/>
            </w:pPr>
            <w:r>
              <w:t>-0.85</w:t>
            </w:r>
          </w:p>
        </w:tc>
        <w:tc>
          <w:tcPr>
            <w:tcW w:w="1630" w:type="dxa"/>
            <w:tcBorders>
              <w:top w:val="single" w:sz="4" w:space="0" w:color="auto"/>
            </w:tcBorders>
            <w:vAlign w:val="center"/>
          </w:tcPr>
          <w:p w14:paraId="29A969A6" w14:textId="750856DD" w:rsidR="001A32DB" w:rsidRDefault="00012956" w:rsidP="004741D5">
            <w:pPr>
              <w:jc w:val="center"/>
            </w:pPr>
            <w:r>
              <w:t>-0.01</w:t>
            </w:r>
          </w:p>
        </w:tc>
        <w:tc>
          <w:tcPr>
            <w:tcW w:w="1495" w:type="dxa"/>
            <w:tcBorders>
              <w:top w:val="single" w:sz="4" w:space="0" w:color="auto"/>
            </w:tcBorders>
            <w:vAlign w:val="center"/>
          </w:tcPr>
          <w:p w14:paraId="6346CF8F" w14:textId="77777777" w:rsidR="001A32DB" w:rsidRDefault="001A32DB" w:rsidP="004741D5">
            <w:pPr>
              <w:jc w:val="center"/>
            </w:pPr>
            <w:r>
              <w:t>0.00</w:t>
            </w:r>
          </w:p>
        </w:tc>
        <w:tc>
          <w:tcPr>
            <w:tcW w:w="1495" w:type="dxa"/>
            <w:tcBorders>
              <w:top w:val="single" w:sz="4" w:space="0" w:color="auto"/>
            </w:tcBorders>
            <w:vAlign w:val="center"/>
          </w:tcPr>
          <w:p w14:paraId="2E957B04" w14:textId="77777777" w:rsidR="001A32DB" w:rsidRDefault="001A32DB" w:rsidP="004741D5">
            <w:pPr>
              <w:jc w:val="center"/>
            </w:pPr>
            <w:r>
              <w:t>0.05</w:t>
            </w:r>
          </w:p>
        </w:tc>
      </w:tr>
      <w:tr w:rsidR="001A32DB" w14:paraId="354AE445" w14:textId="77777777" w:rsidTr="008A4017">
        <w:trPr>
          <w:trHeight w:val="280"/>
        </w:trPr>
        <w:tc>
          <w:tcPr>
            <w:tcW w:w="1379" w:type="dxa"/>
          </w:tcPr>
          <w:p w14:paraId="60216A29" w14:textId="77777777" w:rsidR="001A32DB" w:rsidRDefault="001A32DB" w:rsidP="004741D5">
            <w:r>
              <w:t>FFMQ Acting With Awareness</w:t>
            </w:r>
          </w:p>
        </w:tc>
        <w:tc>
          <w:tcPr>
            <w:tcW w:w="1144" w:type="dxa"/>
            <w:vAlign w:val="center"/>
          </w:tcPr>
          <w:p w14:paraId="7CF27E55" w14:textId="77777777" w:rsidR="001A32DB" w:rsidRDefault="001A32DB" w:rsidP="004741D5">
            <w:pPr>
              <w:jc w:val="center"/>
            </w:pPr>
            <w:r>
              <w:t>0.58*</w:t>
            </w:r>
          </w:p>
        </w:tc>
        <w:tc>
          <w:tcPr>
            <w:tcW w:w="1121" w:type="dxa"/>
            <w:vAlign w:val="center"/>
          </w:tcPr>
          <w:p w14:paraId="7DE5821B" w14:textId="77777777" w:rsidR="001A32DB" w:rsidRDefault="001A32DB" w:rsidP="004741D5">
            <w:pPr>
              <w:jc w:val="center"/>
            </w:pPr>
            <w:r>
              <w:t>-0.30*</w:t>
            </w:r>
          </w:p>
        </w:tc>
        <w:tc>
          <w:tcPr>
            <w:tcW w:w="909" w:type="dxa"/>
            <w:vAlign w:val="center"/>
          </w:tcPr>
          <w:p w14:paraId="68BD3021" w14:textId="77777777" w:rsidR="001A32DB" w:rsidRDefault="001A32DB" w:rsidP="004741D5">
            <w:pPr>
              <w:jc w:val="center"/>
            </w:pPr>
            <w:r>
              <w:t>-0.58</w:t>
            </w:r>
          </w:p>
        </w:tc>
        <w:tc>
          <w:tcPr>
            <w:tcW w:w="1059" w:type="dxa"/>
            <w:vAlign w:val="center"/>
          </w:tcPr>
          <w:p w14:paraId="3CEC589A" w14:textId="77777777" w:rsidR="001A32DB" w:rsidRDefault="001A32DB" w:rsidP="004741D5">
            <w:pPr>
              <w:jc w:val="center"/>
            </w:pPr>
            <w:r>
              <w:t>-0.44</w:t>
            </w:r>
          </w:p>
        </w:tc>
        <w:tc>
          <w:tcPr>
            <w:tcW w:w="1070" w:type="dxa"/>
            <w:vAlign w:val="center"/>
          </w:tcPr>
          <w:p w14:paraId="520FD407" w14:textId="77777777" w:rsidR="001A32DB" w:rsidRDefault="001A32DB" w:rsidP="004741D5">
            <w:pPr>
              <w:jc w:val="center"/>
            </w:pPr>
            <w:r>
              <w:t>-0.18</w:t>
            </w:r>
          </w:p>
        </w:tc>
        <w:tc>
          <w:tcPr>
            <w:tcW w:w="893" w:type="dxa"/>
            <w:vAlign w:val="center"/>
          </w:tcPr>
          <w:p w14:paraId="4445E057" w14:textId="77777777" w:rsidR="001A32DB" w:rsidRDefault="001A32DB" w:rsidP="004741D5">
            <w:pPr>
              <w:jc w:val="center"/>
            </w:pPr>
            <w:r>
              <w:t>0.11</w:t>
            </w:r>
          </w:p>
        </w:tc>
        <w:tc>
          <w:tcPr>
            <w:tcW w:w="981" w:type="dxa"/>
            <w:vAlign w:val="center"/>
          </w:tcPr>
          <w:p w14:paraId="47BC549A" w14:textId="351AE060" w:rsidR="001A32DB" w:rsidRDefault="00012956" w:rsidP="004741D5">
            <w:pPr>
              <w:jc w:val="center"/>
            </w:pPr>
            <w:r>
              <w:t>-0.43</w:t>
            </w:r>
          </w:p>
        </w:tc>
        <w:tc>
          <w:tcPr>
            <w:tcW w:w="1630" w:type="dxa"/>
            <w:vAlign w:val="center"/>
          </w:tcPr>
          <w:p w14:paraId="1F068079" w14:textId="35777790" w:rsidR="001A32DB" w:rsidRDefault="00012956" w:rsidP="004741D5">
            <w:pPr>
              <w:jc w:val="center"/>
            </w:pPr>
            <w:r>
              <w:t>0.002</w:t>
            </w:r>
          </w:p>
        </w:tc>
        <w:tc>
          <w:tcPr>
            <w:tcW w:w="1495" w:type="dxa"/>
            <w:vAlign w:val="center"/>
          </w:tcPr>
          <w:p w14:paraId="577B6458" w14:textId="77777777" w:rsidR="001A32DB" w:rsidRDefault="001A32DB" w:rsidP="004741D5">
            <w:pPr>
              <w:jc w:val="center"/>
            </w:pPr>
            <w:r>
              <w:t>0.04</w:t>
            </w:r>
          </w:p>
        </w:tc>
        <w:tc>
          <w:tcPr>
            <w:tcW w:w="1495" w:type="dxa"/>
            <w:vAlign w:val="center"/>
          </w:tcPr>
          <w:p w14:paraId="33C55B43" w14:textId="77777777" w:rsidR="001A32DB" w:rsidRDefault="001A32DB" w:rsidP="004741D5">
            <w:pPr>
              <w:jc w:val="center"/>
            </w:pPr>
            <w:r>
              <w:t>0.07</w:t>
            </w:r>
          </w:p>
        </w:tc>
      </w:tr>
      <w:tr w:rsidR="001A32DB" w14:paraId="5DE171F8" w14:textId="77777777" w:rsidTr="008A4017">
        <w:trPr>
          <w:trHeight w:val="280"/>
        </w:trPr>
        <w:tc>
          <w:tcPr>
            <w:tcW w:w="1379" w:type="dxa"/>
          </w:tcPr>
          <w:p w14:paraId="1523F71F" w14:textId="77777777" w:rsidR="001A32DB" w:rsidRDefault="001A32DB" w:rsidP="004741D5">
            <w:r>
              <w:t>Difference</w:t>
            </w:r>
          </w:p>
        </w:tc>
        <w:tc>
          <w:tcPr>
            <w:tcW w:w="1144" w:type="dxa"/>
            <w:vAlign w:val="center"/>
          </w:tcPr>
          <w:p w14:paraId="1FCC21C0" w14:textId="77777777" w:rsidR="001A32DB" w:rsidRDefault="001A32DB" w:rsidP="004741D5">
            <w:pPr>
              <w:jc w:val="center"/>
            </w:pPr>
            <w:r>
              <w:t>-0.42</w:t>
            </w:r>
          </w:p>
        </w:tc>
        <w:tc>
          <w:tcPr>
            <w:tcW w:w="1121" w:type="dxa"/>
            <w:vAlign w:val="center"/>
          </w:tcPr>
          <w:p w14:paraId="75379325" w14:textId="77777777" w:rsidR="001A32DB" w:rsidRDefault="001A32DB" w:rsidP="004741D5">
            <w:pPr>
              <w:jc w:val="center"/>
            </w:pPr>
            <w:r>
              <w:t>0.19</w:t>
            </w:r>
          </w:p>
        </w:tc>
        <w:tc>
          <w:tcPr>
            <w:tcW w:w="909" w:type="dxa"/>
            <w:vAlign w:val="center"/>
          </w:tcPr>
          <w:p w14:paraId="7014EED2" w14:textId="77777777" w:rsidR="001A32DB" w:rsidRDefault="001A32DB" w:rsidP="004741D5">
            <w:pPr>
              <w:jc w:val="center"/>
            </w:pPr>
            <w:r>
              <w:t>-0.62*</w:t>
            </w:r>
          </w:p>
        </w:tc>
        <w:tc>
          <w:tcPr>
            <w:tcW w:w="1059" w:type="dxa"/>
            <w:vAlign w:val="center"/>
          </w:tcPr>
          <w:p w14:paraId="6E1ADC35" w14:textId="77777777" w:rsidR="001A32DB" w:rsidRDefault="001A32DB" w:rsidP="004741D5">
            <w:pPr>
              <w:jc w:val="center"/>
            </w:pPr>
            <w:r>
              <w:t>-0.53*</w:t>
            </w:r>
          </w:p>
        </w:tc>
        <w:tc>
          <w:tcPr>
            <w:tcW w:w="1070" w:type="dxa"/>
            <w:vAlign w:val="center"/>
          </w:tcPr>
          <w:p w14:paraId="177EC914" w14:textId="77777777" w:rsidR="001A32DB" w:rsidRDefault="001A32DB" w:rsidP="004741D5">
            <w:pPr>
              <w:jc w:val="center"/>
            </w:pPr>
            <w:r>
              <w:t>-0.08</w:t>
            </w:r>
          </w:p>
        </w:tc>
        <w:tc>
          <w:tcPr>
            <w:tcW w:w="893" w:type="dxa"/>
            <w:vAlign w:val="center"/>
          </w:tcPr>
          <w:p w14:paraId="75F4C66D" w14:textId="77777777" w:rsidR="001A32DB" w:rsidRDefault="001A32DB" w:rsidP="004741D5">
            <w:pPr>
              <w:jc w:val="center"/>
            </w:pPr>
            <w:r>
              <w:t>0.08</w:t>
            </w:r>
          </w:p>
        </w:tc>
        <w:tc>
          <w:tcPr>
            <w:tcW w:w="981" w:type="dxa"/>
            <w:vAlign w:val="center"/>
          </w:tcPr>
          <w:p w14:paraId="4A6D2C59" w14:textId="72221CE3" w:rsidR="001A32DB" w:rsidRDefault="00C02480" w:rsidP="004741D5">
            <w:pPr>
              <w:jc w:val="center"/>
            </w:pPr>
            <w:r>
              <w:t>-0.35</w:t>
            </w:r>
          </w:p>
        </w:tc>
        <w:tc>
          <w:tcPr>
            <w:tcW w:w="1630" w:type="dxa"/>
            <w:vAlign w:val="center"/>
          </w:tcPr>
          <w:p w14:paraId="594B29C6" w14:textId="47107191" w:rsidR="001A32DB" w:rsidRDefault="00C02480" w:rsidP="004741D5">
            <w:pPr>
              <w:jc w:val="center"/>
            </w:pPr>
            <w:r>
              <w:t>0.06</w:t>
            </w:r>
          </w:p>
        </w:tc>
        <w:tc>
          <w:tcPr>
            <w:tcW w:w="1495" w:type="dxa"/>
            <w:vAlign w:val="center"/>
          </w:tcPr>
          <w:p w14:paraId="338E69CC" w14:textId="77777777" w:rsidR="001A32DB" w:rsidRDefault="001A32DB" w:rsidP="004741D5">
            <w:pPr>
              <w:jc w:val="center"/>
            </w:pPr>
            <w:r>
              <w:t>0.33*</w:t>
            </w:r>
          </w:p>
        </w:tc>
        <w:tc>
          <w:tcPr>
            <w:tcW w:w="1495" w:type="dxa"/>
            <w:vAlign w:val="center"/>
          </w:tcPr>
          <w:p w14:paraId="797D7AEB" w14:textId="77777777" w:rsidR="001A32DB" w:rsidRDefault="001A32DB" w:rsidP="004741D5">
            <w:pPr>
              <w:jc w:val="center"/>
            </w:pPr>
            <w:r>
              <w:t>-0.02</w:t>
            </w:r>
          </w:p>
        </w:tc>
      </w:tr>
      <w:tr w:rsidR="001A32DB" w14:paraId="70F43D93" w14:textId="77777777" w:rsidTr="008A4017">
        <w:trPr>
          <w:trHeight w:val="280"/>
        </w:trPr>
        <w:tc>
          <w:tcPr>
            <w:tcW w:w="1379" w:type="dxa"/>
          </w:tcPr>
          <w:p w14:paraId="2CDE26D0" w14:textId="77777777" w:rsidR="001A32DB" w:rsidRDefault="001A32DB" w:rsidP="004741D5">
            <w:r>
              <w:t>Disdain</w:t>
            </w:r>
          </w:p>
        </w:tc>
        <w:tc>
          <w:tcPr>
            <w:tcW w:w="1144" w:type="dxa"/>
            <w:vAlign w:val="center"/>
          </w:tcPr>
          <w:p w14:paraId="6183CCBB" w14:textId="77777777" w:rsidR="001A32DB" w:rsidRDefault="001A32DB" w:rsidP="004741D5">
            <w:pPr>
              <w:jc w:val="center"/>
            </w:pPr>
            <w:r>
              <w:t>-0.83***</w:t>
            </w:r>
          </w:p>
        </w:tc>
        <w:tc>
          <w:tcPr>
            <w:tcW w:w="1121" w:type="dxa"/>
            <w:vAlign w:val="center"/>
          </w:tcPr>
          <w:p w14:paraId="1852139A" w14:textId="77777777" w:rsidR="001A32DB" w:rsidRDefault="001A32DB" w:rsidP="004741D5">
            <w:pPr>
              <w:jc w:val="center"/>
            </w:pPr>
            <w:r>
              <w:t>0.21</w:t>
            </w:r>
          </w:p>
        </w:tc>
        <w:tc>
          <w:tcPr>
            <w:tcW w:w="909" w:type="dxa"/>
            <w:vAlign w:val="center"/>
          </w:tcPr>
          <w:p w14:paraId="1FC6C37A" w14:textId="77777777" w:rsidR="001A32DB" w:rsidRDefault="001A32DB" w:rsidP="004741D5">
            <w:pPr>
              <w:jc w:val="center"/>
            </w:pPr>
            <w:r>
              <w:t>-0.63*</w:t>
            </w:r>
          </w:p>
        </w:tc>
        <w:tc>
          <w:tcPr>
            <w:tcW w:w="1059" w:type="dxa"/>
            <w:vAlign w:val="center"/>
          </w:tcPr>
          <w:p w14:paraId="2745F291" w14:textId="77777777" w:rsidR="001A32DB" w:rsidRDefault="001A32DB" w:rsidP="004741D5">
            <w:pPr>
              <w:jc w:val="center"/>
            </w:pPr>
            <w:r>
              <w:t>-0.45</w:t>
            </w:r>
          </w:p>
        </w:tc>
        <w:tc>
          <w:tcPr>
            <w:tcW w:w="1070" w:type="dxa"/>
            <w:vAlign w:val="center"/>
          </w:tcPr>
          <w:p w14:paraId="417776F3" w14:textId="77777777" w:rsidR="001A32DB" w:rsidRDefault="001A32DB" w:rsidP="004741D5">
            <w:pPr>
              <w:jc w:val="center"/>
            </w:pPr>
            <w:r>
              <w:t>-0.17</w:t>
            </w:r>
          </w:p>
        </w:tc>
        <w:tc>
          <w:tcPr>
            <w:tcW w:w="893" w:type="dxa"/>
            <w:vAlign w:val="center"/>
          </w:tcPr>
          <w:p w14:paraId="1F1B0CB0" w14:textId="77777777" w:rsidR="001A32DB" w:rsidRDefault="001A32DB" w:rsidP="004741D5">
            <w:pPr>
              <w:jc w:val="center"/>
            </w:pPr>
            <w:r>
              <w:t>0.13</w:t>
            </w:r>
          </w:p>
        </w:tc>
        <w:tc>
          <w:tcPr>
            <w:tcW w:w="981" w:type="dxa"/>
            <w:vAlign w:val="center"/>
          </w:tcPr>
          <w:p w14:paraId="6BC28F8E" w14:textId="501F43F8" w:rsidR="001A32DB" w:rsidRDefault="00C02480" w:rsidP="004741D5">
            <w:pPr>
              <w:jc w:val="center"/>
            </w:pPr>
            <w:r>
              <w:t>-0.50</w:t>
            </w:r>
          </w:p>
        </w:tc>
        <w:tc>
          <w:tcPr>
            <w:tcW w:w="1630" w:type="dxa"/>
            <w:vAlign w:val="center"/>
          </w:tcPr>
          <w:p w14:paraId="220A2FB3" w14:textId="27BAE120" w:rsidR="001A32DB" w:rsidRDefault="00C02480" w:rsidP="004741D5">
            <w:pPr>
              <w:jc w:val="center"/>
            </w:pPr>
            <w:r>
              <w:t>0.09</w:t>
            </w:r>
          </w:p>
        </w:tc>
        <w:tc>
          <w:tcPr>
            <w:tcW w:w="1495" w:type="dxa"/>
            <w:vAlign w:val="center"/>
          </w:tcPr>
          <w:p w14:paraId="7BD4BC44" w14:textId="77777777" w:rsidR="001A32DB" w:rsidRDefault="001A32DB" w:rsidP="004741D5">
            <w:pPr>
              <w:jc w:val="center"/>
            </w:pPr>
            <w:r>
              <w:t>0.26*</w:t>
            </w:r>
          </w:p>
        </w:tc>
        <w:tc>
          <w:tcPr>
            <w:tcW w:w="1495" w:type="dxa"/>
            <w:vAlign w:val="center"/>
          </w:tcPr>
          <w:p w14:paraId="2B477F88" w14:textId="77777777" w:rsidR="001A32DB" w:rsidRDefault="001A32DB" w:rsidP="004741D5">
            <w:pPr>
              <w:jc w:val="center"/>
            </w:pPr>
            <w:r>
              <w:t>0.00</w:t>
            </w:r>
          </w:p>
        </w:tc>
      </w:tr>
      <w:tr w:rsidR="001A32DB" w14:paraId="2D636661" w14:textId="77777777" w:rsidTr="008A4017">
        <w:trPr>
          <w:trHeight w:val="280"/>
        </w:trPr>
        <w:tc>
          <w:tcPr>
            <w:tcW w:w="1379" w:type="dxa"/>
          </w:tcPr>
          <w:p w14:paraId="64EB20F1" w14:textId="77777777" w:rsidR="001A32DB" w:rsidRDefault="001A32DB" w:rsidP="004741D5">
            <w:r>
              <w:t>Blame</w:t>
            </w:r>
          </w:p>
        </w:tc>
        <w:tc>
          <w:tcPr>
            <w:tcW w:w="1144" w:type="dxa"/>
            <w:vAlign w:val="center"/>
          </w:tcPr>
          <w:p w14:paraId="2B5BB729" w14:textId="77777777" w:rsidR="001A32DB" w:rsidRDefault="001A32DB" w:rsidP="004741D5">
            <w:pPr>
              <w:jc w:val="center"/>
            </w:pPr>
            <w:r>
              <w:t>-0.85***</w:t>
            </w:r>
          </w:p>
        </w:tc>
        <w:tc>
          <w:tcPr>
            <w:tcW w:w="1121" w:type="dxa"/>
            <w:vAlign w:val="center"/>
          </w:tcPr>
          <w:p w14:paraId="788E722A" w14:textId="77777777" w:rsidR="001A32DB" w:rsidRDefault="001A32DB" w:rsidP="004741D5">
            <w:pPr>
              <w:jc w:val="center"/>
            </w:pPr>
            <w:r>
              <w:t>0.11</w:t>
            </w:r>
          </w:p>
        </w:tc>
        <w:tc>
          <w:tcPr>
            <w:tcW w:w="909" w:type="dxa"/>
            <w:vAlign w:val="center"/>
          </w:tcPr>
          <w:p w14:paraId="0BBEA009" w14:textId="77777777" w:rsidR="001A32DB" w:rsidRDefault="001A32DB" w:rsidP="004741D5">
            <w:pPr>
              <w:jc w:val="center"/>
            </w:pPr>
            <w:r>
              <w:t>-0.62*</w:t>
            </w:r>
          </w:p>
        </w:tc>
        <w:tc>
          <w:tcPr>
            <w:tcW w:w="1059" w:type="dxa"/>
            <w:vAlign w:val="center"/>
          </w:tcPr>
          <w:p w14:paraId="2B0E269A" w14:textId="77777777" w:rsidR="001A32DB" w:rsidRDefault="001A32DB" w:rsidP="004741D5">
            <w:pPr>
              <w:jc w:val="center"/>
            </w:pPr>
            <w:r>
              <w:t>-0.52</w:t>
            </w:r>
          </w:p>
        </w:tc>
        <w:tc>
          <w:tcPr>
            <w:tcW w:w="1070" w:type="dxa"/>
            <w:vAlign w:val="center"/>
          </w:tcPr>
          <w:p w14:paraId="58EBB7A9" w14:textId="77777777" w:rsidR="001A32DB" w:rsidRDefault="001A32DB" w:rsidP="004741D5">
            <w:pPr>
              <w:jc w:val="center"/>
            </w:pPr>
            <w:r>
              <w:t>-0.10</w:t>
            </w:r>
          </w:p>
        </w:tc>
        <w:tc>
          <w:tcPr>
            <w:tcW w:w="893" w:type="dxa"/>
            <w:vAlign w:val="center"/>
          </w:tcPr>
          <w:p w14:paraId="65F1C6CD" w14:textId="77777777" w:rsidR="001A32DB" w:rsidRDefault="001A32DB" w:rsidP="004741D5">
            <w:pPr>
              <w:jc w:val="center"/>
            </w:pPr>
            <w:r>
              <w:t>0.12</w:t>
            </w:r>
          </w:p>
        </w:tc>
        <w:tc>
          <w:tcPr>
            <w:tcW w:w="981" w:type="dxa"/>
            <w:vAlign w:val="center"/>
          </w:tcPr>
          <w:p w14:paraId="0764A2B5" w14:textId="3D3B9EDA" w:rsidR="001A32DB" w:rsidRDefault="009B30BA" w:rsidP="004741D5">
            <w:pPr>
              <w:jc w:val="center"/>
            </w:pPr>
            <w:r>
              <w:t>-0.43</w:t>
            </w:r>
          </w:p>
        </w:tc>
        <w:tc>
          <w:tcPr>
            <w:tcW w:w="1630" w:type="dxa"/>
            <w:vAlign w:val="center"/>
          </w:tcPr>
          <w:p w14:paraId="3AC2B360" w14:textId="1F7AE896" w:rsidR="001A32DB" w:rsidRDefault="009B30BA" w:rsidP="004741D5">
            <w:pPr>
              <w:jc w:val="center"/>
            </w:pPr>
            <w:r>
              <w:t>0.15</w:t>
            </w:r>
          </w:p>
        </w:tc>
        <w:tc>
          <w:tcPr>
            <w:tcW w:w="1495" w:type="dxa"/>
            <w:vAlign w:val="center"/>
          </w:tcPr>
          <w:p w14:paraId="5A683780" w14:textId="77777777" w:rsidR="001A32DB" w:rsidRDefault="001A32DB" w:rsidP="004741D5">
            <w:pPr>
              <w:jc w:val="center"/>
            </w:pPr>
            <w:r>
              <w:t>0.18</w:t>
            </w:r>
          </w:p>
        </w:tc>
        <w:tc>
          <w:tcPr>
            <w:tcW w:w="1495" w:type="dxa"/>
            <w:vAlign w:val="center"/>
          </w:tcPr>
          <w:p w14:paraId="6B260A3B" w14:textId="77777777" w:rsidR="001A32DB" w:rsidRDefault="001A32DB" w:rsidP="004741D5">
            <w:pPr>
              <w:jc w:val="center"/>
            </w:pPr>
            <w:r>
              <w:t>0.04</w:t>
            </w:r>
          </w:p>
        </w:tc>
      </w:tr>
    </w:tbl>
    <w:p w14:paraId="4001FC1D" w14:textId="77777777" w:rsidR="001A32DB" w:rsidRDefault="001A32DB" w:rsidP="001A32DB">
      <w:pPr>
        <w:spacing w:line="480" w:lineRule="auto"/>
        <w:sectPr w:rsidR="001A32DB" w:rsidSect="001A32DB">
          <w:pgSz w:w="15840" w:h="12240" w:orient="landscape"/>
          <w:pgMar w:top="1440" w:right="1440" w:bottom="1440" w:left="1440" w:header="720" w:footer="720" w:gutter="0"/>
          <w:cols w:space="720"/>
          <w:docGrid w:linePitch="360"/>
        </w:sectPr>
      </w:pPr>
      <w:r w:rsidRPr="0002766F">
        <w:rPr>
          <w:i/>
          <w:iCs/>
        </w:rPr>
        <w:t>Note</w:t>
      </w:r>
      <w:r>
        <w:rPr>
          <w:i/>
          <w:iCs/>
        </w:rPr>
        <w:t>s</w:t>
      </w:r>
      <w:r>
        <w:t>.</w:t>
      </w:r>
      <w:r w:rsidRPr="0002766F">
        <w:t xml:space="preserve"> *</w:t>
      </w:r>
      <w:r w:rsidRPr="0002766F">
        <w:rPr>
          <w:i/>
          <w:iCs/>
        </w:rPr>
        <w:t>p</w:t>
      </w:r>
      <w:r w:rsidRPr="0002766F">
        <w:t xml:space="preserve"> &lt; 0.05, **</w:t>
      </w:r>
      <w:r w:rsidRPr="0002766F">
        <w:rPr>
          <w:i/>
          <w:iCs/>
        </w:rPr>
        <w:t>p</w:t>
      </w:r>
      <w:r w:rsidRPr="0002766F">
        <w:t xml:space="preserve"> &lt; 0.01, ***</w:t>
      </w:r>
      <w:r w:rsidRPr="0002766F">
        <w:rPr>
          <w:i/>
          <w:iCs/>
        </w:rPr>
        <w:t>p</w:t>
      </w:r>
      <w:r w:rsidRPr="0002766F">
        <w:t xml:space="preserve"> &lt; 0.001.</w:t>
      </w:r>
      <w:r>
        <w:t xml:space="preserve"> CGI-I </w:t>
      </w:r>
      <w:r w:rsidRPr="007132B1">
        <w:sym w:font="Symbol" w:char="F0AE"/>
      </w:r>
      <w:r>
        <w:t xml:space="preserve"> M refers to the effect of baseline CGI-I on the mediator at follow-up; CGI-I </w:t>
      </w:r>
      <w:r>
        <w:rPr>
          <w:u w:val="single"/>
        </w:rPr>
        <w:sym w:font="Symbol" w:char="F0AE"/>
      </w:r>
      <w:r>
        <w:t xml:space="preserve"> Y refers to the effect of baseline CGI-I on the outcome (hoarding severity at follow-up).</w:t>
      </w:r>
      <w:r w:rsidRPr="0002766F">
        <w:t xml:space="preserve"> </w:t>
      </w:r>
    </w:p>
    <w:p w14:paraId="0D38EDC8" w14:textId="37D797C6" w:rsidR="000B028F" w:rsidRPr="001A32DB" w:rsidRDefault="00105820" w:rsidP="001A32DB">
      <w:pPr>
        <w:spacing w:after="160" w:line="259" w:lineRule="auto"/>
      </w:pPr>
      <w:r w:rsidRPr="004A375A">
        <w:rPr>
          <w:b/>
          <w:bCs/>
        </w:rPr>
        <w:lastRenderedPageBreak/>
        <w:t xml:space="preserve">Figure </w:t>
      </w:r>
      <w:r w:rsidR="000B028F" w:rsidRPr="004A375A">
        <w:rPr>
          <w:b/>
          <w:bCs/>
        </w:rPr>
        <w:t>1</w:t>
      </w:r>
    </w:p>
    <w:p w14:paraId="5A573DEC" w14:textId="4A87DDD6" w:rsidR="00B808CC" w:rsidRDefault="00105820" w:rsidP="007132B1">
      <w:pPr>
        <w:spacing w:line="480" w:lineRule="auto"/>
        <w:rPr>
          <w:color w:val="000000" w:themeColor="text1"/>
        </w:rPr>
      </w:pPr>
      <w:r w:rsidRPr="004A375A">
        <w:rPr>
          <w:i/>
          <w:iCs/>
        </w:rPr>
        <w:t xml:space="preserve">Participant </w:t>
      </w:r>
      <w:r w:rsidR="001850C4">
        <w:rPr>
          <w:i/>
          <w:iCs/>
        </w:rPr>
        <w:t>F</w:t>
      </w:r>
      <w:r w:rsidRPr="004A375A">
        <w:rPr>
          <w:i/>
          <w:iCs/>
        </w:rPr>
        <w:t xml:space="preserve">low </w:t>
      </w:r>
      <w:r w:rsidR="001850C4">
        <w:rPr>
          <w:i/>
          <w:iCs/>
        </w:rPr>
        <w:t>D</w:t>
      </w:r>
      <w:r w:rsidRPr="004A375A">
        <w:rPr>
          <w:i/>
          <w:iCs/>
        </w:rPr>
        <w:t>iagram</w:t>
      </w:r>
    </w:p>
    <w:p w14:paraId="5889BF5A" w14:textId="0BFC41AE" w:rsidR="00105820" w:rsidRDefault="00A81751" w:rsidP="00462A25">
      <w:r>
        <w:rPr>
          <w:noProof/>
        </w:rPr>
        <w:drawing>
          <wp:inline distT="0" distB="0" distL="0" distR="0" wp14:anchorId="403B75A6" wp14:editId="3B7A83A2">
            <wp:extent cx="5675471" cy="7300912"/>
            <wp:effectExtent l="0" t="0" r="1905"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rotWithShape="1">
                    <a:blip r:embed="rId11"/>
                    <a:srcRect b="3520"/>
                    <a:stretch/>
                  </pic:blipFill>
                  <pic:spPr bwMode="auto">
                    <a:xfrm>
                      <a:off x="0" y="0"/>
                      <a:ext cx="5679672" cy="7306317"/>
                    </a:xfrm>
                    <a:prstGeom prst="rect">
                      <a:avLst/>
                    </a:prstGeom>
                    <a:ln>
                      <a:noFill/>
                    </a:ln>
                    <a:extLst>
                      <a:ext uri="{53640926-AAD7-44D8-BBD7-CCE9431645EC}">
                        <a14:shadowObscured xmlns:a14="http://schemas.microsoft.com/office/drawing/2010/main"/>
                      </a:ext>
                    </a:extLst>
                  </pic:spPr>
                </pic:pic>
              </a:graphicData>
            </a:graphic>
          </wp:inline>
        </w:drawing>
      </w:r>
    </w:p>
    <w:p w14:paraId="677077F4" w14:textId="081EB427" w:rsidR="00BA34FF" w:rsidRDefault="00BA34FF" w:rsidP="00462A25"/>
    <w:p w14:paraId="52F772B0" w14:textId="483A44F6" w:rsidR="00BA34FF" w:rsidRPr="001A32DB" w:rsidRDefault="00BA34FF" w:rsidP="00BA34FF">
      <w:pPr>
        <w:spacing w:after="160" w:line="259" w:lineRule="auto"/>
      </w:pPr>
      <w:r w:rsidRPr="004A375A">
        <w:rPr>
          <w:b/>
          <w:bCs/>
        </w:rPr>
        <w:lastRenderedPageBreak/>
        <w:t xml:space="preserve">Figure </w:t>
      </w:r>
      <w:r>
        <w:rPr>
          <w:b/>
          <w:bCs/>
        </w:rPr>
        <w:t>2</w:t>
      </w:r>
    </w:p>
    <w:p w14:paraId="1CF1EBFA" w14:textId="62BD4F8F" w:rsidR="00BA34FF" w:rsidRDefault="00BA34FF" w:rsidP="00BA34FF">
      <w:pPr>
        <w:rPr>
          <w:i/>
          <w:iCs/>
        </w:rPr>
      </w:pPr>
      <w:r>
        <w:rPr>
          <w:i/>
          <w:iCs/>
        </w:rPr>
        <w:t>Path Diagram for Longitudinal Mediation</w:t>
      </w:r>
    </w:p>
    <w:p w14:paraId="13A21970" w14:textId="2CD2D71A" w:rsidR="00BA34FF" w:rsidRDefault="00BA34FF" w:rsidP="00BA34FF">
      <w:pPr>
        <w:rPr>
          <w:i/>
          <w:iCs/>
        </w:rPr>
      </w:pPr>
    </w:p>
    <w:p w14:paraId="17584ECA" w14:textId="5C6EEB7D" w:rsidR="000D34C0" w:rsidRDefault="009214F6">
      <w:pPr>
        <w:spacing w:after="160" w:line="259" w:lineRule="auto"/>
        <w:rPr>
          <w:b/>
          <w:bCs/>
        </w:rPr>
      </w:pPr>
      <w:r>
        <w:rPr>
          <w:noProof/>
        </w:rPr>
        <w:drawing>
          <wp:inline distT="0" distB="0" distL="0" distR="0" wp14:anchorId="264CFE5E" wp14:editId="652882A5">
            <wp:extent cx="4707730" cy="3138487"/>
            <wp:effectExtent l="0" t="0" r="0" b="5080"/>
            <wp:docPr id="16" name="Picture 1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Diagram&#10;&#10;Description automatically generated"/>
                    <pic:cNvPicPr/>
                  </pic:nvPicPr>
                  <pic:blipFill>
                    <a:blip r:embed="rId12"/>
                    <a:stretch>
                      <a:fillRect/>
                    </a:stretch>
                  </pic:blipFill>
                  <pic:spPr>
                    <a:xfrm>
                      <a:off x="0" y="0"/>
                      <a:ext cx="4717736" cy="3145158"/>
                    </a:xfrm>
                    <a:prstGeom prst="rect">
                      <a:avLst/>
                    </a:prstGeom>
                  </pic:spPr>
                </pic:pic>
              </a:graphicData>
            </a:graphic>
          </wp:inline>
        </w:drawing>
      </w:r>
      <w:r w:rsidR="000D34C0">
        <w:rPr>
          <w:b/>
          <w:bCs/>
        </w:rPr>
        <w:br w:type="page"/>
      </w:r>
    </w:p>
    <w:p w14:paraId="4357D05D" w14:textId="64B1E2D7" w:rsidR="00BA34FF" w:rsidRPr="001A32DB" w:rsidRDefault="00BA34FF" w:rsidP="00BA34FF">
      <w:pPr>
        <w:spacing w:after="160" w:line="259" w:lineRule="auto"/>
      </w:pPr>
      <w:r w:rsidRPr="004A375A">
        <w:rPr>
          <w:b/>
          <w:bCs/>
        </w:rPr>
        <w:lastRenderedPageBreak/>
        <w:t xml:space="preserve">Figure </w:t>
      </w:r>
      <w:r>
        <w:rPr>
          <w:b/>
          <w:bCs/>
        </w:rPr>
        <w:t>3</w:t>
      </w:r>
    </w:p>
    <w:p w14:paraId="1AE1604C" w14:textId="39EC6195" w:rsidR="00BA34FF" w:rsidRPr="00462A25" w:rsidRDefault="00BA34FF" w:rsidP="00BA34FF">
      <w:r>
        <w:rPr>
          <w:i/>
          <w:iCs/>
        </w:rPr>
        <w:t>Path Diagram for Cross-Sectional Mediation</w:t>
      </w:r>
    </w:p>
    <w:p w14:paraId="2F92DE08" w14:textId="566441DF" w:rsidR="00BA34FF" w:rsidRDefault="00BA34FF" w:rsidP="00BA34FF"/>
    <w:p w14:paraId="5F3FE273" w14:textId="0DA00D07" w:rsidR="000F58A7" w:rsidRPr="00462A25" w:rsidRDefault="009214F6" w:rsidP="00BA34FF">
      <w:r>
        <w:rPr>
          <w:noProof/>
        </w:rPr>
        <w:drawing>
          <wp:inline distT="0" distB="0" distL="0" distR="0" wp14:anchorId="50208CB9" wp14:editId="0B999C24">
            <wp:extent cx="4709160" cy="2750029"/>
            <wp:effectExtent l="0" t="0" r="0" b="0"/>
            <wp:docPr id="17" name="Picture 1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Diagram&#10;&#10;Description automatically generated"/>
                    <pic:cNvPicPr/>
                  </pic:nvPicPr>
                  <pic:blipFill>
                    <a:blip r:embed="rId13"/>
                    <a:stretch>
                      <a:fillRect/>
                    </a:stretch>
                  </pic:blipFill>
                  <pic:spPr>
                    <a:xfrm>
                      <a:off x="0" y="0"/>
                      <a:ext cx="4709160" cy="2750029"/>
                    </a:xfrm>
                    <a:prstGeom prst="rect">
                      <a:avLst/>
                    </a:prstGeom>
                  </pic:spPr>
                </pic:pic>
              </a:graphicData>
            </a:graphic>
          </wp:inline>
        </w:drawing>
      </w:r>
    </w:p>
    <w:sectPr w:rsidR="000F58A7" w:rsidRPr="00462A25" w:rsidSect="001A32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B6300" w14:textId="77777777" w:rsidR="004A23DC" w:rsidRDefault="004A23DC" w:rsidP="00C57E76">
      <w:r>
        <w:separator/>
      </w:r>
    </w:p>
  </w:endnote>
  <w:endnote w:type="continuationSeparator" w:id="0">
    <w:p w14:paraId="23AEB5C5" w14:textId="77777777" w:rsidR="004A23DC" w:rsidRDefault="004A23DC" w:rsidP="00C57E76">
      <w:r>
        <w:continuationSeparator/>
      </w:r>
    </w:p>
  </w:endnote>
  <w:endnote w:type="continuationNotice" w:id="1">
    <w:p w14:paraId="4C70FE16" w14:textId="77777777" w:rsidR="004A23DC" w:rsidRDefault="004A23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7197B" w14:textId="77777777" w:rsidR="004A23DC" w:rsidRDefault="004A23DC" w:rsidP="00C57E76">
      <w:r>
        <w:separator/>
      </w:r>
    </w:p>
  </w:footnote>
  <w:footnote w:type="continuationSeparator" w:id="0">
    <w:p w14:paraId="6F057349" w14:textId="77777777" w:rsidR="004A23DC" w:rsidRDefault="004A23DC" w:rsidP="00C57E76">
      <w:r>
        <w:continuationSeparator/>
      </w:r>
    </w:p>
  </w:footnote>
  <w:footnote w:type="continuationNotice" w:id="1">
    <w:p w14:paraId="7CD19B29" w14:textId="77777777" w:rsidR="004A23DC" w:rsidRDefault="004A23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EA713" w14:textId="77777777" w:rsidR="00A720AA" w:rsidRPr="007B2132" w:rsidRDefault="00A720AA" w:rsidP="004741D5">
    <w:pPr>
      <w:pStyle w:val="Header"/>
      <w:framePr w:wrap="none" w:vAnchor="text" w:hAnchor="margin" w:xAlign="right" w:y="1"/>
      <w:rPr>
        <w:rStyle w:val="PageNumber"/>
        <w:rFonts w:ascii="Times New Roman" w:hAnsi="Times New Roman" w:cs="Times New Roman"/>
      </w:rPr>
    </w:pPr>
    <w:r w:rsidRPr="007B2132">
      <w:rPr>
        <w:rStyle w:val="PageNumber"/>
        <w:rFonts w:ascii="Times New Roman" w:hAnsi="Times New Roman" w:cs="Times New Roman"/>
      </w:rPr>
      <w:fldChar w:fldCharType="begin"/>
    </w:r>
    <w:r w:rsidRPr="007B2132">
      <w:rPr>
        <w:rStyle w:val="PageNumber"/>
        <w:rFonts w:ascii="Times New Roman" w:hAnsi="Times New Roman" w:cs="Times New Roman"/>
      </w:rPr>
      <w:instrText xml:space="preserve">PAGE  </w:instrText>
    </w:r>
    <w:r w:rsidRPr="007B2132">
      <w:rPr>
        <w:rStyle w:val="PageNumber"/>
        <w:rFonts w:ascii="Times New Roman" w:hAnsi="Times New Roman" w:cs="Times New Roman"/>
      </w:rPr>
      <w:fldChar w:fldCharType="separate"/>
    </w:r>
    <w:r w:rsidRPr="007B2132">
      <w:rPr>
        <w:rStyle w:val="PageNumber"/>
        <w:rFonts w:ascii="Times New Roman" w:hAnsi="Times New Roman" w:cs="Times New Roman"/>
        <w:noProof/>
      </w:rPr>
      <w:t>8</w:t>
    </w:r>
    <w:r w:rsidRPr="007B2132">
      <w:rPr>
        <w:rStyle w:val="PageNumber"/>
        <w:rFonts w:ascii="Times New Roman" w:hAnsi="Times New Roman" w:cs="Times New Roman"/>
      </w:rPr>
      <w:fldChar w:fldCharType="end"/>
    </w:r>
  </w:p>
  <w:p w14:paraId="31EC5C2B" w14:textId="77777777" w:rsidR="00A720AA" w:rsidRPr="00C6360C" w:rsidRDefault="00A720AA" w:rsidP="004741D5">
    <w:pPr>
      <w:pStyle w:val="Header"/>
      <w:ind w:right="360"/>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F6E19" w14:textId="77777777" w:rsidR="0021659D" w:rsidRPr="007B2132" w:rsidRDefault="00A720AA" w:rsidP="0021659D">
    <w:pPr>
      <w:pStyle w:val="Header"/>
      <w:rPr>
        <w:rStyle w:val="PageNumber"/>
        <w:rFonts w:ascii="Times New Roman" w:hAnsi="Times New Roman" w:cs="Times New Roman"/>
      </w:rPr>
    </w:pPr>
    <w:r>
      <w:rPr>
        <w:rFonts w:ascii="Times New Roman" w:hAnsi="Times New Roman" w:cs="Times New Roman"/>
        <w:sz w:val="24"/>
        <w:szCs w:val="24"/>
      </w:rPr>
      <w:t>PROCESS INVESTIGATION OF ACT SELF-HELP FOR HOARDING</w:t>
    </w:r>
    <w:r w:rsidR="0021659D">
      <w:rPr>
        <w:rFonts w:ascii="Times New Roman" w:hAnsi="Times New Roman" w:cs="Times New Roman"/>
        <w:sz w:val="24"/>
        <w:szCs w:val="24"/>
      </w:rPr>
      <w:tab/>
    </w:r>
    <w:r w:rsidR="0021659D" w:rsidRPr="007B2132">
      <w:rPr>
        <w:rStyle w:val="PageNumber"/>
        <w:rFonts w:ascii="Times New Roman" w:hAnsi="Times New Roman" w:cs="Times New Roman"/>
      </w:rPr>
      <w:fldChar w:fldCharType="begin"/>
    </w:r>
    <w:r w:rsidR="0021659D" w:rsidRPr="007B2132">
      <w:rPr>
        <w:rStyle w:val="PageNumber"/>
        <w:rFonts w:ascii="Times New Roman" w:hAnsi="Times New Roman" w:cs="Times New Roman"/>
      </w:rPr>
      <w:instrText xml:space="preserve">PAGE  </w:instrText>
    </w:r>
    <w:r w:rsidR="0021659D" w:rsidRPr="007B2132">
      <w:rPr>
        <w:rStyle w:val="PageNumber"/>
        <w:rFonts w:ascii="Times New Roman" w:hAnsi="Times New Roman" w:cs="Times New Roman"/>
      </w:rPr>
      <w:fldChar w:fldCharType="separate"/>
    </w:r>
    <w:r w:rsidR="0021659D">
      <w:rPr>
        <w:rStyle w:val="PageNumber"/>
        <w:rFonts w:ascii="Times New Roman" w:hAnsi="Times New Roman" w:cs="Times New Roman"/>
      </w:rPr>
      <w:t>28</w:t>
    </w:r>
    <w:r w:rsidR="0021659D" w:rsidRPr="007B2132">
      <w:rPr>
        <w:rStyle w:val="PageNumber"/>
        <w:rFonts w:ascii="Times New Roman" w:hAnsi="Times New Roman" w:cs="Times New Roman"/>
      </w:rPr>
      <w:fldChar w:fldCharType="end"/>
    </w:r>
  </w:p>
  <w:p w14:paraId="7ED1644F" w14:textId="37FF8123" w:rsidR="00A720AA" w:rsidRDefault="00A720AA" w:rsidP="002165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552B9"/>
    <w:multiLevelType w:val="hybridMultilevel"/>
    <w:tmpl w:val="7E12F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6B78C5"/>
    <w:multiLevelType w:val="hybridMultilevel"/>
    <w:tmpl w:val="DCBC9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C84C7D"/>
    <w:multiLevelType w:val="hybridMultilevel"/>
    <w:tmpl w:val="4A4820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21349192">
    <w:abstractNumId w:val="1"/>
  </w:num>
  <w:num w:numId="2" w16cid:durableId="685330436">
    <w:abstractNumId w:val="2"/>
  </w:num>
  <w:num w:numId="3" w16cid:durableId="15259718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FCA"/>
    <w:rsid w:val="000001A5"/>
    <w:rsid w:val="00000451"/>
    <w:rsid w:val="00000EBA"/>
    <w:rsid w:val="000031CD"/>
    <w:rsid w:val="00005EF8"/>
    <w:rsid w:val="00006A67"/>
    <w:rsid w:val="00007028"/>
    <w:rsid w:val="000128F9"/>
    <w:rsid w:val="00012956"/>
    <w:rsid w:val="00012D1D"/>
    <w:rsid w:val="00013BC7"/>
    <w:rsid w:val="00014461"/>
    <w:rsid w:val="00014C45"/>
    <w:rsid w:val="00016162"/>
    <w:rsid w:val="000173C0"/>
    <w:rsid w:val="00023704"/>
    <w:rsid w:val="00024801"/>
    <w:rsid w:val="00024EB8"/>
    <w:rsid w:val="00026D2A"/>
    <w:rsid w:val="00030B34"/>
    <w:rsid w:val="000320E2"/>
    <w:rsid w:val="000327EA"/>
    <w:rsid w:val="00032AB7"/>
    <w:rsid w:val="00032DBA"/>
    <w:rsid w:val="000350BD"/>
    <w:rsid w:val="00036AB3"/>
    <w:rsid w:val="00037021"/>
    <w:rsid w:val="00040572"/>
    <w:rsid w:val="00046B40"/>
    <w:rsid w:val="000475C7"/>
    <w:rsid w:val="00047A0C"/>
    <w:rsid w:val="00050613"/>
    <w:rsid w:val="00052DB1"/>
    <w:rsid w:val="00053AEB"/>
    <w:rsid w:val="00055AF8"/>
    <w:rsid w:val="00055E3B"/>
    <w:rsid w:val="00061F1C"/>
    <w:rsid w:val="00063254"/>
    <w:rsid w:val="000653CC"/>
    <w:rsid w:val="00066E4A"/>
    <w:rsid w:val="00070460"/>
    <w:rsid w:val="00071B6A"/>
    <w:rsid w:val="00072968"/>
    <w:rsid w:val="00072FFE"/>
    <w:rsid w:val="00074F29"/>
    <w:rsid w:val="0007682B"/>
    <w:rsid w:val="0008032F"/>
    <w:rsid w:val="0008059A"/>
    <w:rsid w:val="000810D8"/>
    <w:rsid w:val="00082DF2"/>
    <w:rsid w:val="0008332E"/>
    <w:rsid w:val="00083728"/>
    <w:rsid w:val="00083B6D"/>
    <w:rsid w:val="00084302"/>
    <w:rsid w:val="00085C11"/>
    <w:rsid w:val="00086DDD"/>
    <w:rsid w:val="00086EB2"/>
    <w:rsid w:val="000A1E2B"/>
    <w:rsid w:val="000A26CD"/>
    <w:rsid w:val="000A4416"/>
    <w:rsid w:val="000A45A0"/>
    <w:rsid w:val="000A7E11"/>
    <w:rsid w:val="000B028F"/>
    <w:rsid w:val="000B213C"/>
    <w:rsid w:val="000B3162"/>
    <w:rsid w:val="000B33F9"/>
    <w:rsid w:val="000B5053"/>
    <w:rsid w:val="000B5324"/>
    <w:rsid w:val="000B5ECB"/>
    <w:rsid w:val="000C033F"/>
    <w:rsid w:val="000C2B03"/>
    <w:rsid w:val="000C373A"/>
    <w:rsid w:val="000D0171"/>
    <w:rsid w:val="000D34C0"/>
    <w:rsid w:val="000D3693"/>
    <w:rsid w:val="000D4E05"/>
    <w:rsid w:val="000E22EF"/>
    <w:rsid w:val="000E3F04"/>
    <w:rsid w:val="000E7B44"/>
    <w:rsid w:val="000F02BE"/>
    <w:rsid w:val="000F0E61"/>
    <w:rsid w:val="000F1C7D"/>
    <w:rsid w:val="000F58A7"/>
    <w:rsid w:val="000F7A70"/>
    <w:rsid w:val="00100ADE"/>
    <w:rsid w:val="00103AB5"/>
    <w:rsid w:val="00105820"/>
    <w:rsid w:val="001066F6"/>
    <w:rsid w:val="00112773"/>
    <w:rsid w:val="001127F5"/>
    <w:rsid w:val="00116C87"/>
    <w:rsid w:val="00117C60"/>
    <w:rsid w:val="001218D7"/>
    <w:rsid w:val="00122FA2"/>
    <w:rsid w:val="00125E01"/>
    <w:rsid w:val="0013128C"/>
    <w:rsid w:val="00131C46"/>
    <w:rsid w:val="00132725"/>
    <w:rsid w:val="001408BD"/>
    <w:rsid w:val="001415C9"/>
    <w:rsid w:val="001419BF"/>
    <w:rsid w:val="001426B0"/>
    <w:rsid w:val="00143C40"/>
    <w:rsid w:val="001535B5"/>
    <w:rsid w:val="00160508"/>
    <w:rsid w:val="00161B00"/>
    <w:rsid w:val="00162E29"/>
    <w:rsid w:val="00163847"/>
    <w:rsid w:val="001670AD"/>
    <w:rsid w:val="00173221"/>
    <w:rsid w:val="00180598"/>
    <w:rsid w:val="00180929"/>
    <w:rsid w:val="00180C08"/>
    <w:rsid w:val="00181CC3"/>
    <w:rsid w:val="001826EE"/>
    <w:rsid w:val="001850C4"/>
    <w:rsid w:val="001859CB"/>
    <w:rsid w:val="001860AA"/>
    <w:rsid w:val="001932CB"/>
    <w:rsid w:val="00196044"/>
    <w:rsid w:val="001A0528"/>
    <w:rsid w:val="001A32DB"/>
    <w:rsid w:val="001A4AB4"/>
    <w:rsid w:val="001A7F13"/>
    <w:rsid w:val="001B06D7"/>
    <w:rsid w:val="001B1B47"/>
    <w:rsid w:val="001B2590"/>
    <w:rsid w:val="001B2FE3"/>
    <w:rsid w:val="001B313F"/>
    <w:rsid w:val="001B3283"/>
    <w:rsid w:val="001B3817"/>
    <w:rsid w:val="001B4B1E"/>
    <w:rsid w:val="001B62A5"/>
    <w:rsid w:val="001C1EC0"/>
    <w:rsid w:val="001C1FEF"/>
    <w:rsid w:val="001D0A94"/>
    <w:rsid w:val="001D0EDA"/>
    <w:rsid w:val="001D1B17"/>
    <w:rsid w:val="001D5437"/>
    <w:rsid w:val="001D603E"/>
    <w:rsid w:val="001D61A4"/>
    <w:rsid w:val="001E6B08"/>
    <w:rsid w:val="001F0645"/>
    <w:rsid w:val="001F1A92"/>
    <w:rsid w:val="001F53C4"/>
    <w:rsid w:val="001F7755"/>
    <w:rsid w:val="00202240"/>
    <w:rsid w:val="00202D8C"/>
    <w:rsid w:val="00205F0C"/>
    <w:rsid w:val="00206B65"/>
    <w:rsid w:val="002072A0"/>
    <w:rsid w:val="002154B8"/>
    <w:rsid w:val="0021659D"/>
    <w:rsid w:val="00216B94"/>
    <w:rsid w:val="00220324"/>
    <w:rsid w:val="00221166"/>
    <w:rsid w:val="00223E6E"/>
    <w:rsid w:val="00227EC2"/>
    <w:rsid w:val="00237E0B"/>
    <w:rsid w:val="00242505"/>
    <w:rsid w:val="0024420C"/>
    <w:rsid w:val="0024447A"/>
    <w:rsid w:val="00250F5C"/>
    <w:rsid w:val="002527D1"/>
    <w:rsid w:val="00252F34"/>
    <w:rsid w:val="002742D6"/>
    <w:rsid w:val="0027445C"/>
    <w:rsid w:val="002753A5"/>
    <w:rsid w:val="002766DB"/>
    <w:rsid w:val="002767FA"/>
    <w:rsid w:val="002818BE"/>
    <w:rsid w:val="00281A0B"/>
    <w:rsid w:val="002863F8"/>
    <w:rsid w:val="00287929"/>
    <w:rsid w:val="00294E0E"/>
    <w:rsid w:val="00297BED"/>
    <w:rsid w:val="002A386A"/>
    <w:rsid w:val="002B3852"/>
    <w:rsid w:val="002B7D58"/>
    <w:rsid w:val="002C2D59"/>
    <w:rsid w:val="002C2FC1"/>
    <w:rsid w:val="002C3A73"/>
    <w:rsid w:val="002D0DC8"/>
    <w:rsid w:val="002D6691"/>
    <w:rsid w:val="002F20C0"/>
    <w:rsid w:val="002F58FA"/>
    <w:rsid w:val="002F61F6"/>
    <w:rsid w:val="002F6633"/>
    <w:rsid w:val="002F67C2"/>
    <w:rsid w:val="00300001"/>
    <w:rsid w:val="003022D0"/>
    <w:rsid w:val="0030294B"/>
    <w:rsid w:val="00306643"/>
    <w:rsid w:val="0030780C"/>
    <w:rsid w:val="003201ED"/>
    <w:rsid w:val="003209F3"/>
    <w:rsid w:val="00323D06"/>
    <w:rsid w:val="00326F08"/>
    <w:rsid w:val="00330FFD"/>
    <w:rsid w:val="003324C5"/>
    <w:rsid w:val="003334EF"/>
    <w:rsid w:val="00333DE1"/>
    <w:rsid w:val="003367D1"/>
    <w:rsid w:val="0034346F"/>
    <w:rsid w:val="0034360F"/>
    <w:rsid w:val="00343727"/>
    <w:rsid w:val="00345A33"/>
    <w:rsid w:val="00346AD2"/>
    <w:rsid w:val="0034751F"/>
    <w:rsid w:val="00350EA7"/>
    <w:rsid w:val="003511C3"/>
    <w:rsid w:val="003512E5"/>
    <w:rsid w:val="0035386C"/>
    <w:rsid w:val="003556A7"/>
    <w:rsid w:val="00357520"/>
    <w:rsid w:val="00360E27"/>
    <w:rsid w:val="0036397D"/>
    <w:rsid w:val="00364BFE"/>
    <w:rsid w:val="00365090"/>
    <w:rsid w:val="00367E87"/>
    <w:rsid w:val="00371846"/>
    <w:rsid w:val="00373A40"/>
    <w:rsid w:val="00375A99"/>
    <w:rsid w:val="003770E2"/>
    <w:rsid w:val="00383A05"/>
    <w:rsid w:val="00392266"/>
    <w:rsid w:val="00393545"/>
    <w:rsid w:val="0039656F"/>
    <w:rsid w:val="003A067B"/>
    <w:rsid w:val="003A7EBC"/>
    <w:rsid w:val="003B2A5D"/>
    <w:rsid w:val="003B5265"/>
    <w:rsid w:val="003B57BE"/>
    <w:rsid w:val="003B5DE3"/>
    <w:rsid w:val="003C0929"/>
    <w:rsid w:val="003C18FC"/>
    <w:rsid w:val="003C45B3"/>
    <w:rsid w:val="003C5C38"/>
    <w:rsid w:val="003C7182"/>
    <w:rsid w:val="003D062C"/>
    <w:rsid w:val="003D0BAC"/>
    <w:rsid w:val="003D2415"/>
    <w:rsid w:val="003E3980"/>
    <w:rsid w:val="003E71D9"/>
    <w:rsid w:val="003F0C23"/>
    <w:rsid w:val="003F1B5A"/>
    <w:rsid w:val="003F4CF4"/>
    <w:rsid w:val="003F5E96"/>
    <w:rsid w:val="00400F09"/>
    <w:rsid w:val="00402E6D"/>
    <w:rsid w:val="00404469"/>
    <w:rsid w:val="004069E3"/>
    <w:rsid w:val="004076BF"/>
    <w:rsid w:val="00412AB5"/>
    <w:rsid w:val="0041340C"/>
    <w:rsid w:val="00417B9D"/>
    <w:rsid w:val="00423984"/>
    <w:rsid w:val="00424189"/>
    <w:rsid w:val="00430167"/>
    <w:rsid w:val="00433D14"/>
    <w:rsid w:val="00434953"/>
    <w:rsid w:val="004355FB"/>
    <w:rsid w:val="00443DF3"/>
    <w:rsid w:val="00446F6B"/>
    <w:rsid w:val="00452649"/>
    <w:rsid w:val="004556A5"/>
    <w:rsid w:val="00456C39"/>
    <w:rsid w:val="00462A25"/>
    <w:rsid w:val="0046502B"/>
    <w:rsid w:val="004668EB"/>
    <w:rsid w:val="00467273"/>
    <w:rsid w:val="00470586"/>
    <w:rsid w:val="004719F7"/>
    <w:rsid w:val="004741D5"/>
    <w:rsid w:val="004771B6"/>
    <w:rsid w:val="0048197C"/>
    <w:rsid w:val="00482658"/>
    <w:rsid w:val="00486CE7"/>
    <w:rsid w:val="00487837"/>
    <w:rsid w:val="004919BD"/>
    <w:rsid w:val="004947EB"/>
    <w:rsid w:val="00495AB1"/>
    <w:rsid w:val="004A11BE"/>
    <w:rsid w:val="004A156B"/>
    <w:rsid w:val="004A1E34"/>
    <w:rsid w:val="004A2101"/>
    <w:rsid w:val="004A23DC"/>
    <w:rsid w:val="004A25F8"/>
    <w:rsid w:val="004A2F9D"/>
    <w:rsid w:val="004A375A"/>
    <w:rsid w:val="004A379B"/>
    <w:rsid w:val="004A44E1"/>
    <w:rsid w:val="004B02A9"/>
    <w:rsid w:val="004B0F4B"/>
    <w:rsid w:val="004B306C"/>
    <w:rsid w:val="004B4E0F"/>
    <w:rsid w:val="004C118F"/>
    <w:rsid w:val="004C224B"/>
    <w:rsid w:val="004C453E"/>
    <w:rsid w:val="004C47CD"/>
    <w:rsid w:val="004C52AF"/>
    <w:rsid w:val="004C5EE8"/>
    <w:rsid w:val="004C6933"/>
    <w:rsid w:val="004D069A"/>
    <w:rsid w:val="004D17DE"/>
    <w:rsid w:val="004D2246"/>
    <w:rsid w:val="004D28B1"/>
    <w:rsid w:val="004D7846"/>
    <w:rsid w:val="004E1272"/>
    <w:rsid w:val="004E4F4C"/>
    <w:rsid w:val="004E5513"/>
    <w:rsid w:val="004E5E32"/>
    <w:rsid w:val="004E72F9"/>
    <w:rsid w:val="004E734D"/>
    <w:rsid w:val="004E740E"/>
    <w:rsid w:val="004F2016"/>
    <w:rsid w:val="004F33C0"/>
    <w:rsid w:val="004F4324"/>
    <w:rsid w:val="004F4536"/>
    <w:rsid w:val="00500D47"/>
    <w:rsid w:val="0050118F"/>
    <w:rsid w:val="00502D72"/>
    <w:rsid w:val="00505B68"/>
    <w:rsid w:val="00506FBE"/>
    <w:rsid w:val="0050711B"/>
    <w:rsid w:val="00507962"/>
    <w:rsid w:val="0051017B"/>
    <w:rsid w:val="00511F38"/>
    <w:rsid w:val="005120BC"/>
    <w:rsid w:val="00512314"/>
    <w:rsid w:val="0051274C"/>
    <w:rsid w:val="005127F4"/>
    <w:rsid w:val="00513734"/>
    <w:rsid w:val="005149D4"/>
    <w:rsid w:val="00517C8D"/>
    <w:rsid w:val="005205EE"/>
    <w:rsid w:val="00521D84"/>
    <w:rsid w:val="00524877"/>
    <w:rsid w:val="00531917"/>
    <w:rsid w:val="00533B87"/>
    <w:rsid w:val="00533EB9"/>
    <w:rsid w:val="00534356"/>
    <w:rsid w:val="0053504F"/>
    <w:rsid w:val="0053525E"/>
    <w:rsid w:val="005363CA"/>
    <w:rsid w:val="005427A1"/>
    <w:rsid w:val="00543AD6"/>
    <w:rsid w:val="00545014"/>
    <w:rsid w:val="00545C11"/>
    <w:rsid w:val="0054611E"/>
    <w:rsid w:val="00552C52"/>
    <w:rsid w:val="00553475"/>
    <w:rsid w:val="005578EA"/>
    <w:rsid w:val="00560047"/>
    <w:rsid w:val="005615B5"/>
    <w:rsid w:val="00564A80"/>
    <w:rsid w:val="00564F62"/>
    <w:rsid w:val="00574F43"/>
    <w:rsid w:val="005834BB"/>
    <w:rsid w:val="00583C12"/>
    <w:rsid w:val="00586FB5"/>
    <w:rsid w:val="005928C2"/>
    <w:rsid w:val="005931AB"/>
    <w:rsid w:val="00593C3C"/>
    <w:rsid w:val="005942F6"/>
    <w:rsid w:val="005A5E7A"/>
    <w:rsid w:val="005B7CD8"/>
    <w:rsid w:val="005D0762"/>
    <w:rsid w:val="005D2D65"/>
    <w:rsid w:val="005D3618"/>
    <w:rsid w:val="005D626D"/>
    <w:rsid w:val="005D6F9C"/>
    <w:rsid w:val="005E2F34"/>
    <w:rsid w:val="005E69A8"/>
    <w:rsid w:val="005E72E5"/>
    <w:rsid w:val="005F1439"/>
    <w:rsid w:val="005F6936"/>
    <w:rsid w:val="005F79F5"/>
    <w:rsid w:val="00601308"/>
    <w:rsid w:val="00606EF8"/>
    <w:rsid w:val="006077EE"/>
    <w:rsid w:val="0061356E"/>
    <w:rsid w:val="00615EA5"/>
    <w:rsid w:val="0061644E"/>
    <w:rsid w:val="00617E9D"/>
    <w:rsid w:val="0062228B"/>
    <w:rsid w:val="0062391C"/>
    <w:rsid w:val="00625C70"/>
    <w:rsid w:val="00632B56"/>
    <w:rsid w:val="00633FEE"/>
    <w:rsid w:val="00635313"/>
    <w:rsid w:val="006420FC"/>
    <w:rsid w:val="006455E2"/>
    <w:rsid w:val="006473C9"/>
    <w:rsid w:val="00650A9A"/>
    <w:rsid w:val="00652C9E"/>
    <w:rsid w:val="0065312E"/>
    <w:rsid w:val="00654282"/>
    <w:rsid w:val="006542F0"/>
    <w:rsid w:val="006569A2"/>
    <w:rsid w:val="006634E5"/>
    <w:rsid w:val="0066664F"/>
    <w:rsid w:val="00672287"/>
    <w:rsid w:val="00672F23"/>
    <w:rsid w:val="00673BCD"/>
    <w:rsid w:val="00674841"/>
    <w:rsid w:val="00680A2D"/>
    <w:rsid w:val="00681105"/>
    <w:rsid w:val="006818A9"/>
    <w:rsid w:val="00683027"/>
    <w:rsid w:val="00683E8D"/>
    <w:rsid w:val="00685305"/>
    <w:rsid w:val="006879FB"/>
    <w:rsid w:val="00691F34"/>
    <w:rsid w:val="006940E0"/>
    <w:rsid w:val="006A27C8"/>
    <w:rsid w:val="006A3AD8"/>
    <w:rsid w:val="006A5EA2"/>
    <w:rsid w:val="006B2B48"/>
    <w:rsid w:val="006C06DB"/>
    <w:rsid w:val="006C1C72"/>
    <w:rsid w:val="006C397E"/>
    <w:rsid w:val="006C3F3B"/>
    <w:rsid w:val="006C4418"/>
    <w:rsid w:val="006C6C3A"/>
    <w:rsid w:val="006C7449"/>
    <w:rsid w:val="006D0347"/>
    <w:rsid w:val="006D2B06"/>
    <w:rsid w:val="006D3873"/>
    <w:rsid w:val="006D74BA"/>
    <w:rsid w:val="006E053E"/>
    <w:rsid w:val="006E2577"/>
    <w:rsid w:val="006E42E0"/>
    <w:rsid w:val="006E69FC"/>
    <w:rsid w:val="006F0D18"/>
    <w:rsid w:val="006F4F58"/>
    <w:rsid w:val="006F6EAB"/>
    <w:rsid w:val="00702F49"/>
    <w:rsid w:val="007132B1"/>
    <w:rsid w:val="007134AC"/>
    <w:rsid w:val="00714802"/>
    <w:rsid w:val="0071589A"/>
    <w:rsid w:val="00720DCB"/>
    <w:rsid w:val="0072669A"/>
    <w:rsid w:val="0073508F"/>
    <w:rsid w:val="00736B51"/>
    <w:rsid w:val="00741CC4"/>
    <w:rsid w:val="00742523"/>
    <w:rsid w:val="00747D0A"/>
    <w:rsid w:val="00747E92"/>
    <w:rsid w:val="007505F9"/>
    <w:rsid w:val="00751C64"/>
    <w:rsid w:val="00752A20"/>
    <w:rsid w:val="00753E97"/>
    <w:rsid w:val="0075458E"/>
    <w:rsid w:val="00761BBD"/>
    <w:rsid w:val="00761BD4"/>
    <w:rsid w:val="00762C9E"/>
    <w:rsid w:val="00765264"/>
    <w:rsid w:val="00766FCA"/>
    <w:rsid w:val="00777639"/>
    <w:rsid w:val="00780197"/>
    <w:rsid w:val="00781342"/>
    <w:rsid w:val="0078737A"/>
    <w:rsid w:val="007906DC"/>
    <w:rsid w:val="00794407"/>
    <w:rsid w:val="007A0B4E"/>
    <w:rsid w:val="007A0EBD"/>
    <w:rsid w:val="007A74C3"/>
    <w:rsid w:val="007A75CB"/>
    <w:rsid w:val="007A77EC"/>
    <w:rsid w:val="007B20E8"/>
    <w:rsid w:val="007B2132"/>
    <w:rsid w:val="007C3882"/>
    <w:rsid w:val="007C4447"/>
    <w:rsid w:val="007C7352"/>
    <w:rsid w:val="007D1F26"/>
    <w:rsid w:val="007D336C"/>
    <w:rsid w:val="007D36D2"/>
    <w:rsid w:val="007D3EF0"/>
    <w:rsid w:val="007D52FC"/>
    <w:rsid w:val="007D7E3F"/>
    <w:rsid w:val="007D7FA1"/>
    <w:rsid w:val="007F083D"/>
    <w:rsid w:val="007F0D41"/>
    <w:rsid w:val="007F66F8"/>
    <w:rsid w:val="007F7DD6"/>
    <w:rsid w:val="007F7DE0"/>
    <w:rsid w:val="00801DF5"/>
    <w:rsid w:val="00802526"/>
    <w:rsid w:val="00810CEB"/>
    <w:rsid w:val="0081119E"/>
    <w:rsid w:val="00811D41"/>
    <w:rsid w:val="00813C08"/>
    <w:rsid w:val="00814A6F"/>
    <w:rsid w:val="00816005"/>
    <w:rsid w:val="00824ACA"/>
    <w:rsid w:val="00832D46"/>
    <w:rsid w:val="00833589"/>
    <w:rsid w:val="00835396"/>
    <w:rsid w:val="00836E82"/>
    <w:rsid w:val="00840B0F"/>
    <w:rsid w:val="00842183"/>
    <w:rsid w:val="00842277"/>
    <w:rsid w:val="008424EF"/>
    <w:rsid w:val="0084263C"/>
    <w:rsid w:val="0084531D"/>
    <w:rsid w:val="00846003"/>
    <w:rsid w:val="00846714"/>
    <w:rsid w:val="00846AF7"/>
    <w:rsid w:val="00847212"/>
    <w:rsid w:val="008518E0"/>
    <w:rsid w:val="00852621"/>
    <w:rsid w:val="00853701"/>
    <w:rsid w:val="00856065"/>
    <w:rsid w:val="00863E59"/>
    <w:rsid w:val="00866385"/>
    <w:rsid w:val="008668D1"/>
    <w:rsid w:val="008735B0"/>
    <w:rsid w:val="00873D42"/>
    <w:rsid w:val="00874182"/>
    <w:rsid w:val="008741F8"/>
    <w:rsid w:val="0087440A"/>
    <w:rsid w:val="0087460F"/>
    <w:rsid w:val="00880730"/>
    <w:rsid w:val="0088424E"/>
    <w:rsid w:val="00884357"/>
    <w:rsid w:val="0088767D"/>
    <w:rsid w:val="00891052"/>
    <w:rsid w:val="00892BF7"/>
    <w:rsid w:val="008943F7"/>
    <w:rsid w:val="0089564F"/>
    <w:rsid w:val="008974E3"/>
    <w:rsid w:val="008A0618"/>
    <w:rsid w:val="008A2869"/>
    <w:rsid w:val="008A2D4C"/>
    <w:rsid w:val="008A4017"/>
    <w:rsid w:val="008A6384"/>
    <w:rsid w:val="008A79F3"/>
    <w:rsid w:val="008C076D"/>
    <w:rsid w:val="008C130B"/>
    <w:rsid w:val="008C1659"/>
    <w:rsid w:val="008C1D6E"/>
    <w:rsid w:val="008C2EB9"/>
    <w:rsid w:val="008C3AF8"/>
    <w:rsid w:val="008C4662"/>
    <w:rsid w:val="008C5724"/>
    <w:rsid w:val="008E345B"/>
    <w:rsid w:val="008E7066"/>
    <w:rsid w:val="008F0292"/>
    <w:rsid w:val="008F2E7F"/>
    <w:rsid w:val="008F352E"/>
    <w:rsid w:val="008F3531"/>
    <w:rsid w:val="008F3B98"/>
    <w:rsid w:val="008F70F3"/>
    <w:rsid w:val="00904846"/>
    <w:rsid w:val="0090619B"/>
    <w:rsid w:val="009064D8"/>
    <w:rsid w:val="009066DC"/>
    <w:rsid w:val="00907462"/>
    <w:rsid w:val="009113A1"/>
    <w:rsid w:val="009132DA"/>
    <w:rsid w:val="00913EEE"/>
    <w:rsid w:val="009157F8"/>
    <w:rsid w:val="00915D3E"/>
    <w:rsid w:val="00920EE0"/>
    <w:rsid w:val="009214F6"/>
    <w:rsid w:val="00921CDE"/>
    <w:rsid w:val="00922023"/>
    <w:rsid w:val="00926FF8"/>
    <w:rsid w:val="00933F05"/>
    <w:rsid w:val="009342E0"/>
    <w:rsid w:val="00940CC4"/>
    <w:rsid w:val="00942EBE"/>
    <w:rsid w:val="00943364"/>
    <w:rsid w:val="00944111"/>
    <w:rsid w:val="00947458"/>
    <w:rsid w:val="009506DB"/>
    <w:rsid w:val="00956C47"/>
    <w:rsid w:val="00960B57"/>
    <w:rsid w:val="00961B04"/>
    <w:rsid w:val="00964B98"/>
    <w:rsid w:val="00966355"/>
    <w:rsid w:val="00966B44"/>
    <w:rsid w:val="00972E62"/>
    <w:rsid w:val="00974C46"/>
    <w:rsid w:val="00981D7B"/>
    <w:rsid w:val="009850A6"/>
    <w:rsid w:val="009865DF"/>
    <w:rsid w:val="00986708"/>
    <w:rsid w:val="00990289"/>
    <w:rsid w:val="00991075"/>
    <w:rsid w:val="00992D9F"/>
    <w:rsid w:val="0099357F"/>
    <w:rsid w:val="00996C26"/>
    <w:rsid w:val="009A21BC"/>
    <w:rsid w:val="009A2A38"/>
    <w:rsid w:val="009A461F"/>
    <w:rsid w:val="009A4C77"/>
    <w:rsid w:val="009A65E6"/>
    <w:rsid w:val="009B1BB8"/>
    <w:rsid w:val="009B1CBD"/>
    <w:rsid w:val="009B30BA"/>
    <w:rsid w:val="009B31A0"/>
    <w:rsid w:val="009B408C"/>
    <w:rsid w:val="009B4636"/>
    <w:rsid w:val="009B5682"/>
    <w:rsid w:val="009B701F"/>
    <w:rsid w:val="009C1589"/>
    <w:rsid w:val="009D3006"/>
    <w:rsid w:val="009D39B7"/>
    <w:rsid w:val="009D4445"/>
    <w:rsid w:val="009D45F3"/>
    <w:rsid w:val="009D48F7"/>
    <w:rsid w:val="009E14EC"/>
    <w:rsid w:val="009E4730"/>
    <w:rsid w:val="009E668B"/>
    <w:rsid w:val="009E77E7"/>
    <w:rsid w:val="009E7856"/>
    <w:rsid w:val="009F52AF"/>
    <w:rsid w:val="009F7E63"/>
    <w:rsid w:val="00A0149C"/>
    <w:rsid w:val="00A07810"/>
    <w:rsid w:val="00A07FE7"/>
    <w:rsid w:val="00A10F22"/>
    <w:rsid w:val="00A1105F"/>
    <w:rsid w:val="00A146C5"/>
    <w:rsid w:val="00A14F2B"/>
    <w:rsid w:val="00A17BA1"/>
    <w:rsid w:val="00A20B5E"/>
    <w:rsid w:val="00A21BB5"/>
    <w:rsid w:val="00A22850"/>
    <w:rsid w:val="00A23533"/>
    <w:rsid w:val="00A239EA"/>
    <w:rsid w:val="00A24084"/>
    <w:rsid w:val="00A24253"/>
    <w:rsid w:val="00A2444D"/>
    <w:rsid w:val="00A25E84"/>
    <w:rsid w:val="00A27A4F"/>
    <w:rsid w:val="00A45857"/>
    <w:rsid w:val="00A45EF4"/>
    <w:rsid w:val="00A5435B"/>
    <w:rsid w:val="00A5631F"/>
    <w:rsid w:val="00A576DD"/>
    <w:rsid w:val="00A6382D"/>
    <w:rsid w:val="00A642DC"/>
    <w:rsid w:val="00A65CA7"/>
    <w:rsid w:val="00A65EDB"/>
    <w:rsid w:val="00A720AA"/>
    <w:rsid w:val="00A72B96"/>
    <w:rsid w:val="00A73874"/>
    <w:rsid w:val="00A74A33"/>
    <w:rsid w:val="00A75B29"/>
    <w:rsid w:val="00A81751"/>
    <w:rsid w:val="00A828B4"/>
    <w:rsid w:val="00A829B3"/>
    <w:rsid w:val="00A82EDD"/>
    <w:rsid w:val="00A83E98"/>
    <w:rsid w:val="00A84747"/>
    <w:rsid w:val="00A85871"/>
    <w:rsid w:val="00A86E89"/>
    <w:rsid w:val="00A93AB7"/>
    <w:rsid w:val="00AA0F7B"/>
    <w:rsid w:val="00AA7B3C"/>
    <w:rsid w:val="00AB2A6B"/>
    <w:rsid w:val="00AB3B8C"/>
    <w:rsid w:val="00AC0AA0"/>
    <w:rsid w:val="00AC0E66"/>
    <w:rsid w:val="00AC17D3"/>
    <w:rsid w:val="00AC24C4"/>
    <w:rsid w:val="00AC676B"/>
    <w:rsid w:val="00AD17C6"/>
    <w:rsid w:val="00AD195D"/>
    <w:rsid w:val="00AD4BD9"/>
    <w:rsid w:val="00AD6C49"/>
    <w:rsid w:val="00AD7737"/>
    <w:rsid w:val="00AD7BC7"/>
    <w:rsid w:val="00AE09EE"/>
    <w:rsid w:val="00AE3020"/>
    <w:rsid w:val="00AE3076"/>
    <w:rsid w:val="00AE4AE8"/>
    <w:rsid w:val="00AE666E"/>
    <w:rsid w:val="00AE6CE8"/>
    <w:rsid w:val="00AE721E"/>
    <w:rsid w:val="00AF0E79"/>
    <w:rsid w:val="00AF2A94"/>
    <w:rsid w:val="00AF7B1F"/>
    <w:rsid w:val="00B1018D"/>
    <w:rsid w:val="00B128FF"/>
    <w:rsid w:val="00B1477B"/>
    <w:rsid w:val="00B14F3A"/>
    <w:rsid w:val="00B1672B"/>
    <w:rsid w:val="00B17665"/>
    <w:rsid w:val="00B2308F"/>
    <w:rsid w:val="00B32A79"/>
    <w:rsid w:val="00B36276"/>
    <w:rsid w:val="00B373BF"/>
    <w:rsid w:val="00B4640A"/>
    <w:rsid w:val="00B4787A"/>
    <w:rsid w:val="00B47B0A"/>
    <w:rsid w:val="00B637AE"/>
    <w:rsid w:val="00B637B6"/>
    <w:rsid w:val="00B7050C"/>
    <w:rsid w:val="00B74147"/>
    <w:rsid w:val="00B74C5A"/>
    <w:rsid w:val="00B808CC"/>
    <w:rsid w:val="00B8445A"/>
    <w:rsid w:val="00B8523A"/>
    <w:rsid w:val="00B854F9"/>
    <w:rsid w:val="00B873DF"/>
    <w:rsid w:val="00B90A64"/>
    <w:rsid w:val="00B91767"/>
    <w:rsid w:val="00B93DD2"/>
    <w:rsid w:val="00B94C16"/>
    <w:rsid w:val="00B977D3"/>
    <w:rsid w:val="00B97FC1"/>
    <w:rsid w:val="00BA34FF"/>
    <w:rsid w:val="00BA3FB6"/>
    <w:rsid w:val="00BB4F55"/>
    <w:rsid w:val="00BB53A5"/>
    <w:rsid w:val="00BB74B8"/>
    <w:rsid w:val="00BD2D22"/>
    <w:rsid w:val="00BD4122"/>
    <w:rsid w:val="00BD4473"/>
    <w:rsid w:val="00BD48E1"/>
    <w:rsid w:val="00BD4BC4"/>
    <w:rsid w:val="00BD4FEB"/>
    <w:rsid w:val="00BE0A68"/>
    <w:rsid w:val="00BE26C8"/>
    <w:rsid w:val="00BE43D9"/>
    <w:rsid w:val="00BF0A39"/>
    <w:rsid w:val="00BF1B19"/>
    <w:rsid w:val="00BF42FC"/>
    <w:rsid w:val="00BF520E"/>
    <w:rsid w:val="00BF5B5F"/>
    <w:rsid w:val="00BF746B"/>
    <w:rsid w:val="00BF76EA"/>
    <w:rsid w:val="00C002A7"/>
    <w:rsid w:val="00C014C6"/>
    <w:rsid w:val="00C02480"/>
    <w:rsid w:val="00C05009"/>
    <w:rsid w:val="00C05E76"/>
    <w:rsid w:val="00C05F71"/>
    <w:rsid w:val="00C07C20"/>
    <w:rsid w:val="00C07E6A"/>
    <w:rsid w:val="00C12786"/>
    <w:rsid w:val="00C14FD7"/>
    <w:rsid w:val="00C21702"/>
    <w:rsid w:val="00C21FB9"/>
    <w:rsid w:val="00C22347"/>
    <w:rsid w:val="00C22642"/>
    <w:rsid w:val="00C22A48"/>
    <w:rsid w:val="00C2307B"/>
    <w:rsid w:val="00C23DDB"/>
    <w:rsid w:val="00C248A2"/>
    <w:rsid w:val="00C301F4"/>
    <w:rsid w:val="00C32039"/>
    <w:rsid w:val="00C32DC1"/>
    <w:rsid w:val="00C41CC1"/>
    <w:rsid w:val="00C42314"/>
    <w:rsid w:val="00C4369C"/>
    <w:rsid w:val="00C44EE7"/>
    <w:rsid w:val="00C45CCC"/>
    <w:rsid w:val="00C51376"/>
    <w:rsid w:val="00C526D5"/>
    <w:rsid w:val="00C53AF4"/>
    <w:rsid w:val="00C540C8"/>
    <w:rsid w:val="00C54AA6"/>
    <w:rsid w:val="00C55FA8"/>
    <w:rsid w:val="00C57E76"/>
    <w:rsid w:val="00C607C1"/>
    <w:rsid w:val="00C62403"/>
    <w:rsid w:val="00C640F3"/>
    <w:rsid w:val="00C64464"/>
    <w:rsid w:val="00C65A92"/>
    <w:rsid w:val="00C7400D"/>
    <w:rsid w:val="00C76800"/>
    <w:rsid w:val="00C77099"/>
    <w:rsid w:val="00C7740F"/>
    <w:rsid w:val="00C7799D"/>
    <w:rsid w:val="00C80A19"/>
    <w:rsid w:val="00C8107B"/>
    <w:rsid w:val="00C846F7"/>
    <w:rsid w:val="00C910D6"/>
    <w:rsid w:val="00C92574"/>
    <w:rsid w:val="00C9262E"/>
    <w:rsid w:val="00C92D7F"/>
    <w:rsid w:val="00C933CC"/>
    <w:rsid w:val="00C94BC5"/>
    <w:rsid w:val="00C9507F"/>
    <w:rsid w:val="00C961EC"/>
    <w:rsid w:val="00CA12D6"/>
    <w:rsid w:val="00CA1CC3"/>
    <w:rsid w:val="00CA28B1"/>
    <w:rsid w:val="00CA37E7"/>
    <w:rsid w:val="00CA3C6F"/>
    <w:rsid w:val="00CB4782"/>
    <w:rsid w:val="00CB4C4B"/>
    <w:rsid w:val="00CB53F5"/>
    <w:rsid w:val="00CB6620"/>
    <w:rsid w:val="00CB6E36"/>
    <w:rsid w:val="00CC2980"/>
    <w:rsid w:val="00CC417C"/>
    <w:rsid w:val="00CC537A"/>
    <w:rsid w:val="00CD2080"/>
    <w:rsid w:val="00CD5D29"/>
    <w:rsid w:val="00CD65B2"/>
    <w:rsid w:val="00CD6682"/>
    <w:rsid w:val="00CF2BD4"/>
    <w:rsid w:val="00CF3AA3"/>
    <w:rsid w:val="00CF3E6A"/>
    <w:rsid w:val="00CF4BF5"/>
    <w:rsid w:val="00CF4F6F"/>
    <w:rsid w:val="00CF5153"/>
    <w:rsid w:val="00CF6A74"/>
    <w:rsid w:val="00D0121C"/>
    <w:rsid w:val="00D05A14"/>
    <w:rsid w:val="00D079B8"/>
    <w:rsid w:val="00D1072C"/>
    <w:rsid w:val="00D107A7"/>
    <w:rsid w:val="00D12CEB"/>
    <w:rsid w:val="00D1638C"/>
    <w:rsid w:val="00D17680"/>
    <w:rsid w:val="00D21AEB"/>
    <w:rsid w:val="00D244ED"/>
    <w:rsid w:val="00D25AAC"/>
    <w:rsid w:val="00D27D0D"/>
    <w:rsid w:val="00D30821"/>
    <w:rsid w:val="00D31837"/>
    <w:rsid w:val="00D40E6F"/>
    <w:rsid w:val="00D41A75"/>
    <w:rsid w:val="00D43309"/>
    <w:rsid w:val="00D44BE7"/>
    <w:rsid w:val="00D45751"/>
    <w:rsid w:val="00D46105"/>
    <w:rsid w:val="00D46E77"/>
    <w:rsid w:val="00D478D5"/>
    <w:rsid w:val="00D50F95"/>
    <w:rsid w:val="00D5324F"/>
    <w:rsid w:val="00D5388A"/>
    <w:rsid w:val="00D60EB9"/>
    <w:rsid w:val="00D63A19"/>
    <w:rsid w:val="00D664D5"/>
    <w:rsid w:val="00D668AF"/>
    <w:rsid w:val="00D70870"/>
    <w:rsid w:val="00D7264B"/>
    <w:rsid w:val="00D72775"/>
    <w:rsid w:val="00D72AEF"/>
    <w:rsid w:val="00D73E67"/>
    <w:rsid w:val="00D76025"/>
    <w:rsid w:val="00D81979"/>
    <w:rsid w:val="00D824E8"/>
    <w:rsid w:val="00D85AD6"/>
    <w:rsid w:val="00D85F34"/>
    <w:rsid w:val="00D86DC0"/>
    <w:rsid w:val="00D87513"/>
    <w:rsid w:val="00D87544"/>
    <w:rsid w:val="00D93E5A"/>
    <w:rsid w:val="00D94DE5"/>
    <w:rsid w:val="00D9680C"/>
    <w:rsid w:val="00DA1CA3"/>
    <w:rsid w:val="00DA454C"/>
    <w:rsid w:val="00DA5A62"/>
    <w:rsid w:val="00DA7B53"/>
    <w:rsid w:val="00DB180A"/>
    <w:rsid w:val="00DB19EC"/>
    <w:rsid w:val="00DB33C1"/>
    <w:rsid w:val="00DB471F"/>
    <w:rsid w:val="00DB7652"/>
    <w:rsid w:val="00DB7AE2"/>
    <w:rsid w:val="00DC7541"/>
    <w:rsid w:val="00DD0E30"/>
    <w:rsid w:val="00DD2870"/>
    <w:rsid w:val="00DD323B"/>
    <w:rsid w:val="00DD49D1"/>
    <w:rsid w:val="00DD5127"/>
    <w:rsid w:val="00DD69F9"/>
    <w:rsid w:val="00DE0F48"/>
    <w:rsid w:val="00DE2561"/>
    <w:rsid w:val="00DE2C2A"/>
    <w:rsid w:val="00DE3C6B"/>
    <w:rsid w:val="00DF055B"/>
    <w:rsid w:val="00DF35D8"/>
    <w:rsid w:val="00DF7E2B"/>
    <w:rsid w:val="00E01C99"/>
    <w:rsid w:val="00E01CD3"/>
    <w:rsid w:val="00E05AAD"/>
    <w:rsid w:val="00E05B85"/>
    <w:rsid w:val="00E10EF1"/>
    <w:rsid w:val="00E139FE"/>
    <w:rsid w:val="00E145E5"/>
    <w:rsid w:val="00E15287"/>
    <w:rsid w:val="00E152DD"/>
    <w:rsid w:val="00E15B75"/>
    <w:rsid w:val="00E169A4"/>
    <w:rsid w:val="00E17FB9"/>
    <w:rsid w:val="00E20498"/>
    <w:rsid w:val="00E20C2D"/>
    <w:rsid w:val="00E26110"/>
    <w:rsid w:val="00E3601F"/>
    <w:rsid w:val="00E40F1A"/>
    <w:rsid w:val="00E4355A"/>
    <w:rsid w:val="00E450AE"/>
    <w:rsid w:val="00E46796"/>
    <w:rsid w:val="00E51788"/>
    <w:rsid w:val="00E546D8"/>
    <w:rsid w:val="00E54DF0"/>
    <w:rsid w:val="00E56099"/>
    <w:rsid w:val="00E56A5D"/>
    <w:rsid w:val="00E56F55"/>
    <w:rsid w:val="00E6022D"/>
    <w:rsid w:val="00E6634D"/>
    <w:rsid w:val="00E70337"/>
    <w:rsid w:val="00E72FCB"/>
    <w:rsid w:val="00E85725"/>
    <w:rsid w:val="00E8771E"/>
    <w:rsid w:val="00E93074"/>
    <w:rsid w:val="00E93BB3"/>
    <w:rsid w:val="00E948B7"/>
    <w:rsid w:val="00EA3240"/>
    <w:rsid w:val="00EA70A5"/>
    <w:rsid w:val="00EA7618"/>
    <w:rsid w:val="00EB3E00"/>
    <w:rsid w:val="00EB3E8E"/>
    <w:rsid w:val="00EB54D9"/>
    <w:rsid w:val="00EB63F1"/>
    <w:rsid w:val="00EB72FA"/>
    <w:rsid w:val="00EC1EFB"/>
    <w:rsid w:val="00EC2FBB"/>
    <w:rsid w:val="00EC4412"/>
    <w:rsid w:val="00EC50B5"/>
    <w:rsid w:val="00ED2559"/>
    <w:rsid w:val="00ED6279"/>
    <w:rsid w:val="00ED6701"/>
    <w:rsid w:val="00ED6A9C"/>
    <w:rsid w:val="00ED6F8E"/>
    <w:rsid w:val="00EE1038"/>
    <w:rsid w:val="00EE2145"/>
    <w:rsid w:val="00EE2DB0"/>
    <w:rsid w:val="00EE47A8"/>
    <w:rsid w:val="00EF1372"/>
    <w:rsid w:val="00EF2E24"/>
    <w:rsid w:val="00EF60BE"/>
    <w:rsid w:val="00EF689A"/>
    <w:rsid w:val="00EF6AD9"/>
    <w:rsid w:val="00F06651"/>
    <w:rsid w:val="00F07804"/>
    <w:rsid w:val="00F07BDF"/>
    <w:rsid w:val="00F156A5"/>
    <w:rsid w:val="00F15D15"/>
    <w:rsid w:val="00F15D88"/>
    <w:rsid w:val="00F16903"/>
    <w:rsid w:val="00F20DE7"/>
    <w:rsid w:val="00F21F0B"/>
    <w:rsid w:val="00F221BA"/>
    <w:rsid w:val="00F24396"/>
    <w:rsid w:val="00F2519C"/>
    <w:rsid w:val="00F26102"/>
    <w:rsid w:val="00F279CD"/>
    <w:rsid w:val="00F324C4"/>
    <w:rsid w:val="00F32616"/>
    <w:rsid w:val="00F329EA"/>
    <w:rsid w:val="00F33540"/>
    <w:rsid w:val="00F421C9"/>
    <w:rsid w:val="00F4310B"/>
    <w:rsid w:val="00F474AB"/>
    <w:rsid w:val="00F50960"/>
    <w:rsid w:val="00F52D86"/>
    <w:rsid w:val="00F54586"/>
    <w:rsid w:val="00F54C6A"/>
    <w:rsid w:val="00F57576"/>
    <w:rsid w:val="00F6317F"/>
    <w:rsid w:val="00F652D5"/>
    <w:rsid w:val="00F75080"/>
    <w:rsid w:val="00F75CAC"/>
    <w:rsid w:val="00F75E95"/>
    <w:rsid w:val="00F8020E"/>
    <w:rsid w:val="00F81964"/>
    <w:rsid w:val="00F824D0"/>
    <w:rsid w:val="00F856D1"/>
    <w:rsid w:val="00F86249"/>
    <w:rsid w:val="00F95606"/>
    <w:rsid w:val="00F961C6"/>
    <w:rsid w:val="00F97B3D"/>
    <w:rsid w:val="00FA6765"/>
    <w:rsid w:val="00FA7587"/>
    <w:rsid w:val="00FB12DF"/>
    <w:rsid w:val="00FB17AF"/>
    <w:rsid w:val="00FB1CD4"/>
    <w:rsid w:val="00FB7478"/>
    <w:rsid w:val="00FC3CE0"/>
    <w:rsid w:val="00FD21C3"/>
    <w:rsid w:val="00FD338B"/>
    <w:rsid w:val="00FD4A2F"/>
    <w:rsid w:val="00FE031B"/>
    <w:rsid w:val="00FE032F"/>
    <w:rsid w:val="00FE181C"/>
    <w:rsid w:val="00FE2522"/>
    <w:rsid w:val="00FE49FE"/>
    <w:rsid w:val="00FF3C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5C33F83"/>
  <w14:defaultImageDpi w14:val="32767"/>
  <w15:chartTrackingRefBased/>
  <w15:docId w15:val="{E7300D92-2571-461D-84FB-2CCB341D3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6EE"/>
    <w:pPr>
      <w:spacing w:after="0" w:line="240" w:lineRule="auto"/>
    </w:pPr>
    <w:rPr>
      <w:rFonts w:ascii="Times New Roman" w:eastAsia="Times New Roman" w:hAnsi="Times New Roman" w:cs="Times New Roman"/>
      <w:sz w:val="24"/>
      <w:szCs w:val="24"/>
      <w:lang w:eastAsia="ja-JP"/>
    </w:rPr>
  </w:style>
  <w:style w:type="paragraph" w:styleId="Heading3">
    <w:name w:val="heading 3"/>
    <w:basedOn w:val="Normal"/>
    <w:link w:val="Heading3Char"/>
    <w:uiPriority w:val="9"/>
    <w:qFormat/>
    <w:rsid w:val="00487837"/>
    <w:pPr>
      <w:spacing w:before="100" w:beforeAutospacing="1" w:after="100" w:afterAutospacing="1"/>
      <w:outlineLvl w:val="2"/>
    </w:pPr>
    <w:rPr>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3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D3EF0"/>
    <w:rPr>
      <w:sz w:val="16"/>
      <w:szCs w:val="16"/>
    </w:rPr>
  </w:style>
  <w:style w:type="paragraph" w:styleId="CommentText">
    <w:name w:val="annotation text"/>
    <w:basedOn w:val="Normal"/>
    <w:link w:val="CommentTextChar"/>
    <w:uiPriority w:val="99"/>
    <w:unhideWhenUsed/>
    <w:rsid w:val="007D3EF0"/>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7D3EF0"/>
    <w:rPr>
      <w:sz w:val="20"/>
      <w:szCs w:val="20"/>
    </w:rPr>
  </w:style>
  <w:style w:type="paragraph" w:styleId="CommentSubject">
    <w:name w:val="annotation subject"/>
    <w:basedOn w:val="CommentText"/>
    <w:next w:val="CommentText"/>
    <w:link w:val="CommentSubjectChar"/>
    <w:uiPriority w:val="99"/>
    <w:semiHidden/>
    <w:unhideWhenUsed/>
    <w:rsid w:val="007D3EF0"/>
    <w:rPr>
      <w:b/>
      <w:bCs/>
    </w:rPr>
  </w:style>
  <w:style w:type="character" w:customStyle="1" w:styleId="CommentSubjectChar">
    <w:name w:val="Comment Subject Char"/>
    <w:basedOn w:val="CommentTextChar"/>
    <w:link w:val="CommentSubject"/>
    <w:uiPriority w:val="99"/>
    <w:semiHidden/>
    <w:rsid w:val="007D3EF0"/>
    <w:rPr>
      <w:b/>
      <w:bCs/>
      <w:sz w:val="20"/>
      <w:szCs w:val="20"/>
    </w:rPr>
  </w:style>
  <w:style w:type="paragraph" w:styleId="BalloonText">
    <w:name w:val="Balloon Text"/>
    <w:basedOn w:val="Normal"/>
    <w:link w:val="BalloonTextChar"/>
    <w:uiPriority w:val="99"/>
    <w:semiHidden/>
    <w:unhideWhenUsed/>
    <w:rsid w:val="007D3EF0"/>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7D3EF0"/>
    <w:rPr>
      <w:rFonts w:ascii="Segoe UI" w:hAnsi="Segoe UI" w:cs="Segoe UI"/>
      <w:sz w:val="18"/>
      <w:szCs w:val="18"/>
    </w:rPr>
  </w:style>
  <w:style w:type="paragraph" w:customStyle="1" w:styleId="EndNoteBibliography">
    <w:name w:val="EndNote Bibliography"/>
    <w:basedOn w:val="Normal"/>
    <w:link w:val="EndNoteBibliographyChar"/>
    <w:rsid w:val="00ED6F8E"/>
    <w:pPr>
      <w:spacing w:after="160"/>
    </w:pPr>
    <w:rPr>
      <w:rFonts w:ascii="Calibri" w:eastAsiaTheme="minorHAnsi" w:hAnsi="Calibri" w:cs="Calibri"/>
      <w:noProof/>
      <w:sz w:val="22"/>
      <w:szCs w:val="22"/>
      <w:lang w:eastAsia="en-US"/>
    </w:rPr>
  </w:style>
  <w:style w:type="character" w:customStyle="1" w:styleId="EndNoteBibliographyChar">
    <w:name w:val="EndNote Bibliography Char"/>
    <w:basedOn w:val="DefaultParagraphFont"/>
    <w:link w:val="EndNoteBibliography"/>
    <w:rsid w:val="00ED6F8E"/>
    <w:rPr>
      <w:rFonts w:ascii="Calibri" w:hAnsi="Calibri" w:cs="Calibri"/>
      <w:noProof/>
    </w:rPr>
  </w:style>
  <w:style w:type="paragraph" w:styleId="Header">
    <w:name w:val="header"/>
    <w:basedOn w:val="Normal"/>
    <w:link w:val="HeaderChar"/>
    <w:unhideWhenUsed/>
    <w:rsid w:val="00C57E76"/>
    <w:pPr>
      <w:tabs>
        <w:tab w:val="center" w:pos="4680"/>
        <w:tab w:val="right" w:pos="9360"/>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rsid w:val="00C57E76"/>
  </w:style>
  <w:style w:type="paragraph" w:styleId="Footer">
    <w:name w:val="footer"/>
    <w:basedOn w:val="Normal"/>
    <w:link w:val="FooterChar"/>
    <w:uiPriority w:val="99"/>
    <w:unhideWhenUsed/>
    <w:rsid w:val="00C57E76"/>
    <w:pPr>
      <w:tabs>
        <w:tab w:val="center" w:pos="4680"/>
        <w:tab w:val="right" w:pos="9360"/>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C57E76"/>
  </w:style>
  <w:style w:type="paragraph" w:styleId="NormalWeb">
    <w:name w:val="Normal (Web)"/>
    <w:basedOn w:val="Normal"/>
    <w:uiPriority w:val="99"/>
    <w:unhideWhenUsed/>
    <w:rsid w:val="003511C3"/>
    <w:pPr>
      <w:spacing w:before="100" w:beforeAutospacing="1" w:after="100" w:afterAutospacing="1"/>
    </w:pPr>
  </w:style>
  <w:style w:type="paragraph" w:styleId="Revision">
    <w:name w:val="Revision"/>
    <w:hidden/>
    <w:uiPriority w:val="99"/>
    <w:semiHidden/>
    <w:rsid w:val="00654282"/>
    <w:pPr>
      <w:spacing w:after="0" w:line="240" w:lineRule="auto"/>
    </w:pPr>
  </w:style>
  <w:style w:type="character" w:styleId="Hyperlink">
    <w:name w:val="Hyperlink"/>
    <w:basedOn w:val="DefaultParagraphFont"/>
    <w:uiPriority w:val="99"/>
    <w:unhideWhenUsed/>
    <w:rsid w:val="00EF689A"/>
    <w:rPr>
      <w:color w:val="0563C1" w:themeColor="hyperlink"/>
      <w:u w:val="single"/>
    </w:rPr>
  </w:style>
  <w:style w:type="character" w:customStyle="1" w:styleId="Heading3Char">
    <w:name w:val="Heading 3 Char"/>
    <w:basedOn w:val="DefaultParagraphFont"/>
    <w:link w:val="Heading3"/>
    <w:uiPriority w:val="9"/>
    <w:rsid w:val="00487837"/>
    <w:rPr>
      <w:rFonts w:ascii="Times New Roman" w:eastAsia="Times New Roman" w:hAnsi="Times New Roman" w:cs="Times New Roman"/>
      <w:b/>
      <w:bCs/>
      <w:sz w:val="27"/>
      <w:szCs w:val="27"/>
    </w:rPr>
  </w:style>
  <w:style w:type="paragraph" w:styleId="ListParagraph">
    <w:name w:val="List Paragraph"/>
    <w:basedOn w:val="Normal"/>
    <w:uiPriority w:val="34"/>
    <w:qFormat/>
    <w:rsid w:val="008C1659"/>
    <w:pPr>
      <w:ind w:left="720"/>
      <w:contextualSpacing/>
    </w:pPr>
  </w:style>
  <w:style w:type="character" w:styleId="Strong">
    <w:name w:val="Strong"/>
    <w:basedOn w:val="DefaultParagraphFont"/>
    <w:uiPriority w:val="22"/>
    <w:qFormat/>
    <w:rsid w:val="007D36D2"/>
    <w:rPr>
      <w:b/>
      <w:bCs/>
    </w:rPr>
  </w:style>
  <w:style w:type="paragraph" w:styleId="PlainText">
    <w:name w:val="Plain Text"/>
    <w:basedOn w:val="Normal"/>
    <w:link w:val="PlainTextChar"/>
    <w:uiPriority w:val="99"/>
    <w:unhideWhenUsed/>
    <w:rsid w:val="00C23DDB"/>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C23DDB"/>
    <w:rPr>
      <w:rFonts w:ascii="Calibri" w:hAnsi="Calibri"/>
      <w:szCs w:val="21"/>
    </w:rPr>
  </w:style>
  <w:style w:type="character" w:styleId="UnresolvedMention">
    <w:name w:val="Unresolved Mention"/>
    <w:basedOn w:val="DefaultParagraphFont"/>
    <w:uiPriority w:val="99"/>
    <w:semiHidden/>
    <w:unhideWhenUsed/>
    <w:rsid w:val="00D31837"/>
    <w:rPr>
      <w:color w:val="605E5C"/>
      <w:shd w:val="clear" w:color="auto" w:fill="E1DFDD"/>
    </w:rPr>
  </w:style>
  <w:style w:type="character" w:styleId="LineNumber">
    <w:name w:val="line number"/>
    <w:basedOn w:val="DefaultParagraphFont"/>
    <w:uiPriority w:val="99"/>
    <w:semiHidden/>
    <w:unhideWhenUsed/>
    <w:rsid w:val="00D93E5A"/>
  </w:style>
  <w:style w:type="character" w:styleId="PageNumber">
    <w:name w:val="page number"/>
    <w:basedOn w:val="DefaultParagraphFont"/>
    <w:semiHidden/>
    <w:unhideWhenUsed/>
    <w:rsid w:val="00D727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25603">
      <w:bodyDiv w:val="1"/>
      <w:marLeft w:val="0"/>
      <w:marRight w:val="0"/>
      <w:marTop w:val="0"/>
      <w:marBottom w:val="0"/>
      <w:divBdr>
        <w:top w:val="none" w:sz="0" w:space="0" w:color="auto"/>
        <w:left w:val="none" w:sz="0" w:space="0" w:color="auto"/>
        <w:bottom w:val="none" w:sz="0" w:space="0" w:color="auto"/>
        <w:right w:val="none" w:sz="0" w:space="0" w:color="auto"/>
      </w:divBdr>
    </w:div>
    <w:div w:id="100228579">
      <w:bodyDiv w:val="1"/>
      <w:marLeft w:val="0"/>
      <w:marRight w:val="0"/>
      <w:marTop w:val="0"/>
      <w:marBottom w:val="0"/>
      <w:divBdr>
        <w:top w:val="none" w:sz="0" w:space="0" w:color="auto"/>
        <w:left w:val="none" w:sz="0" w:space="0" w:color="auto"/>
        <w:bottom w:val="none" w:sz="0" w:space="0" w:color="auto"/>
        <w:right w:val="none" w:sz="0" w:space="0" w:color="auto"/>
      </w:divBdr>
      <w:divsChild>
        <w:div w:id="574631596">
          <w:marLeft w:val="0"/>
          <w:marRight w:val="0"/>
          <w:marTop w:val="0"/>
          <w:marBottom w:val="0"/>
          <w:divBdr>
            <w:top w:val="none" w:sz="0" w:space="0" w:color="auto"/>
            <w:left w:val="none" w:sz="0" w:space="0" w:color="auto"/>
            <w:bottom w:val="none" w:sz="0" w:space="0" w:color="auto"/>
            <w:right w:val="none" w:sz="0" w:space="0" w:color="auto"/>
          </w:divBdr>
        </w:div>
      </w:divsChild>
    </w:div>
    <w:div w:id="183903412">
      <w:bodyDiv w:val="1"/>
      <w:marLeft w:val="0"/>
      <w:marRight w:val="0"/>
      <w:marTop w:val="0"/>
      <w:marBottom w:val="0"/>
      <w:divBdr>
        <w:top w:val="none" w:sz="0" w:space="0" w:color="auto"/>
        <w:left w:val="none" w:sz="0" w:space="0" w:color="auto"/>
        <w:bottom w:val="none" w:sz="0" w:space="0" w:color="auto"/>
        <w:right w:val="none" w:sz="0" w:space="0" w:color="auto"/>
      </w:divBdr>
    </w:div>
    <w:div w:id="235435300">
      <w:bodyDiv w:val="1"/>
      <w:marLeft w:val="0"/>
      <w:marRight w:val="0"/>
      <w:marTop w:val="0"/>
      <w:marBottom w:val="0"/>
      <w:divBdr>
        <w:top w:val="none" w:sz="0" w:space="0" w:color="auto"/>
        <w:left w:val="none" w:sz="0" w:space="0" w:color="auto"/>
        <w:bottom w:val="none" w:sz="0" w:space="0" w:color="auto"/>
        <w:right w:val="none" w:sz="0" w:space="0" w:color="auto"/>
      </w:divBdr>
    </w:div>
    <w:div w:id="284120917">
      <w:bodyDiv w:val="1"/>
      <w:marLeft w:val="0"/>
      <w:marRight w:val="0"/>
      <w:marTop w:val="0"/>
      <w:marBottom w:val="0"/>
      <w:divBdr>
        <w:top w:val="none" w:sz="0" w:space="0" w:color="auto"/>
        <w:left w:val="none" w:sz="0" w:space="0" w:color="auto"/>
        <w:bottom w:val="none" w:sz="0" w:space="0" w:color="auto"/>
        <w:right w:val="none" w:sz="0" w:space="0" w:color="auto"/>
      </w:divBdr>
    </w:div>
    <w:div w:id="449129332">
      <w:bodyDiv w:val="1"/>
      <w:marLeft w:val="0"/>
      <w:marRight w:val="0"/>
      <w:marTop w:val="0"/>
      <w:marBottom w:val="0"/>
      <w:divBdr>
        <w:top w:val="none" w:sz="0" w:space="0" w:color="auto"/>
        <w:left w:val="none" w:sz="0" w:space="0" w:color="auto"/>
        <w:bottom w:val="none" w:sz="0" w:space="0" w:color="auto"/>
        <w:right w:val="none" w:sz="0" w:space="0" w:color="auto"/>
      </w:divBdr>
    </w:div>
    <w:div w:id="748817316">
      <w:bodyDiv w:val="1"/>
      <w:marLeft w:val="0"/>
      <w:marRight w:val="0"/>
      <w:marTop w:val="0"/>
      <w:marBottom w:val="0"/>
      <w:divBdr>
        <w:top w:val="none" w:sz="0" w:space="0" w:color="auto"/>
        <w:left w:val="none" w:sz="0" w:space="0" w:color="auto"/>
        <w:bottom w:val="none" w:sz="0" w:space="0" w:color="auto"/>
        <w:right w:val="none" w:sz="0" w:space="0" w:color="auto"/>
      </w:divBdr>
    </w:div>
    <w:div w:id="771322880">
      <w:bodyDiv w:val="1"/>
      <w:marLeft w:val="0"/>
      <w:marRight w:val="0"/>
      <w:marTop w:val="0"/>
      <w:marBottom w:val="0"/>
      <w:divBdr>
        <w:top w:val="none" w:sz="0" w:space="0" w:color="auto"/>
        <w:left w:val="none" w:sz="0" w:space="0" w:color="auto"/>
        <w:bottom w:val="none" w:sz="0" w:space="0" w:color="auto"/>
        <w:right w:val="none" w:sz="0" w:space="0" w:color="auto"/>
      </w:divBdr>
    </w:div>
    <w:div w:id="823158402">
      <w:bodyDiv w:val="1"/>
      <w:marLeft w:val="0"/>
      <w:marRight w:val="0"/>
      <w:marTop w:val="0"/>
      <w:marBottom w:val="0"/>
      <w:divBdr>
        <w:top w:val="none" w:sz="0" w:space="0" w:color="auto"/>
        <w:left w:val="none" w:sz="0" w:space="0" w:color="auto"/>
        <w:bottom w:val="none" w:sz="0" w:space="0" w:color="auto"/>
        <w:right w:val="none" w:sz="0" w:space="0" w:color="auto"/>
      </w:divBdr>
      <w:divsChild>
        <w:div w:id="1527594613">
          <w:marLeft w:val="0"/>
          <w:marRight w:val="0"/>
          <w:marTop w:val="0"/>
          <w:marBottom w:val="0"/>
          <w:divBdr>
            <w:top w:val="none" w:sz="0" w:space="0" w:color="auto"/>
            <w:left w:val="none" w:sz="0" w:space="0" w:color="auto"/>
            <w:bottom w:val="none" w:sz="0" w:space="0" w:color="auto"/>
            <w:right w:val="none" w:sz="0" w:space="0" w:color="auto"/>
          </w:divBdr>
        </w:div>
      </w:divsChild>
    </w:div>
    <w:div w:id="958217108">
      <w:bodyDiv w:val="1"/>
      <w:marLeft w:val="0"/>
      <w:marRight w:val="0"/>
      <w:marTop w:val="0"/>
      <w:marBottom w:val="0"/>
      <w:divBdr>
        <w:top w:val="none" w:sz="0" w:space="0" w:color="auto"/>
        <w:left w:val="none" w:sz="0" w:space="0" w:color="auto"/>
        <w:bottom w:val="none" w:sz="0" w:space="0" w:color="auto"/>
        <w:right w:val="none" w:sz="0" w:space="0" w:color="auto"/>
      </w:divBdr>
    </w:div>
    <w:div w:id="991254128">
      <w:bodyDiv w:val="1"/>
      <w:marLeft w:val="0"/>
      <w:marRight w:val="0"/>
      <w:marTop w:val="0"/>
      <w:marBottom w:val="0"/>
      <w:divBdr>
        <w:top w:val="none" w:sz="0" w:space="0" w:color="auto"/>
        <w:left w:val="none" w:sz="0" w:space="0" w:color="auto"/>
        <w:bottom w:val="none" w:sz="0" w:space="0" w:color="auto"/>
        <w:right w:val="none" w:sz="0" w:space="0" w:color="auto"/>
      </w:divBdr>
    </w:div>
    <w:div w:id="1025593891">
      <w:bodyDiv w:val="1"/>
      <w:marLeft w:val="0"/>
      <w:marRight w:val="0"/>
      <w:marTop w:val="0"/>
      <w:marBottom w:val="0"/>
      <w:divBdr>
        <w:top w:val="none" w:sz="0" w:space="0" w:color="auto"/>
        <w:left w:val="none" w:sz="0" w:space="0" w:color="auto"/>
        <w:bottom w:val="none" w:sz="0" w:space="0" w:color="auto"/>
        <w:right w:val="none" w:sz="0" w:space="0" w:color="auto"/>
      </w:divBdr>
    </w:div>
    <w:div w:id="1100830165">
      <w:bodyDiv w:val="1"/>
      <w:marLeft w:val="0"/>
      <w:marRight w:val="0"/>
      <w:marTop w:val="0"/>
      <w:marBottom w:val="0"/>
      <w:divBdr>
        <w:top w:val="none" w:sz="0" w:space="0" w:color="auto"/>
        <w:left w:val="none" w:sz="0" w:space="0" w:color="auto"/>
        <w:bottom w:val="none" w:sz="0" w:space="0" w:color="auto"/>
        <w:right w:val="none" w:sz="0" w:space="0" w:color="auto"/>
      </w:divBdr>
    </w:div>
    <w:div w:id="1165434932">
      <w:bodyDiv w:val="1"/>
      <w:marLeft w:val="0"/>
      <w:marRight w:val="0"/>
      <w:marTop w:val="0"/>
      <w:marBottom w:val="0"/>
      <w:divBdr>
        <w:top w:val="none" w:sz="0" w:space="0" w:color="auto"/>
        <w:left w:val="none" w:sz="0" w:space="0" w:color="auto"/>
        <w:bottom w:val="none" w:sz="0" w:space="0" w:color="auto"/>
        <w:right w:val="none" w:sz="0" w:space="0" w:color="auto"/>
      </w:divBdr>
    </w:div>
    <w:div w:id="1244215425">
      <w:bodyDiv w:val="1"/>
      <w:marLeft w:val="0"/>
      <w:marRight w:val="0"/>
      <w:marTop w:val="0"/>
      <w:marBottom w:val="0"/>
      <w:divBdr>
        <w:top w:val="none" w:sz="0" w:space="0" w:color="auto"/>
        <w:left w:val="none" w:sz="0" w:space="0" w:color="auto"/>
        <w:bottom w:val="none" w:sz="0" w:space="0" w:color="auto"/>
        <w:right w:val="none" w:sz="0" w:space="0" w:color="auto"/>
      </w:divBdr>
    </w:div>
    <w:div w:id="1260988052">
      <w:bodyDiv w:val="1"/>
      <w:marLeft w:val="0"/>
      <w:marRight w:val="0"/>
      <w:marTop w:val="0"/>
      <w:marBottom w:val="0"/>
      <w:divBdr>
        <w:top w:val="none" w:sz="0" w:space="0" w:color="auto"/>
        <w:left w:val="none" w:sz="0" w:space="0" w:color="auto"/>
        <w:bottom w:val="none" w:sz="0" w:space="0" w:color="auto"/>
        <w:right w:val="none" w:sz="0" w:space="0" w:color="auto"/>
      </w:divBdr>
    </w:div>
    <w:div w:id="1334449829">
      <w:bodyDiv w:val="1"/>
      <w:marLeft w:val="0"/>
      <w:marRight w:val="0"/>
      <w:marTop w:val="0"/>
      <w:marBottom w:val="0"/>
      <w:divBdr>
        <w:top w:val="none" w:sz="0" w:space="0" w:color="auto"/>
        <w:left w:val="none" w:sz="0" w:space="0" w:color="auto"/>
        <w:bottom w:val="none" w:sz="0" w:space="0" w:color="auto"/>
        <w:right w:val="none" w:sz="0" w:space="0" w:color="auto"/>
      </w:divBdr>
    </w:div>
    <w:div w:id="1445072854">
      <w:bodyDiv w:val="1"/>
      <w:marLeft w:val="0"/>
      <w:marRight w:val="0"/>
      <w:marTop w:val="0"/>
      <w:marBottom w:val="0"/>
      <w:divBdr>
        <w:top w:val="none" w:sz="0" w:space="0" w:color="auto"/>
        <w:left w:val="none" w:sz="0" w:space="0" w:color="auto"/>
        <w:bottom w:val="none" w:sz="0" w:space="0" w:color="auto"/>
        <w:right w:val="none" w:sz="0" w:space="0" w:color="auto"/>
      </w:divBdr>
    </w:div>
    <w:div w:id="1695499514">
      <w:bodyDiv w:val="1"/>
      <w:marLeft w:val="0"/>
      <w:marRight w:val="0"/>
      <w:marTop w:val="0"/>
      <w:marBottom w:val="0"/>
      <w:divBdr>
        <w:top w:val="none" w:sz="0" w:space="0" w:color="auto"/>
        <w:left w:val="none" w:sz="0" w:space="0" w:color="auto"/>
        <w:bottom w:val="none" w:sz="0" w:space="0" w:color="auto"/>
        <w:right w:val="none" w:sz="0" w:space="0" w:color="auto"/>
      </w:divBdr>
    </w:div>
    <w:div w:id="1735011459">
      <w:bodyDiv w:val="1"/>
      <w:marLeft w:val="0"/>
      <w:marRight w:val="0"/>
      <w:marTop w:val="0"/>
      <w:marBottom w:val="0"/>
      <w:divBdr>
        <w:top w:val="none" w:sz="0" w:space="0" w:color="auto"/>
        <w:left w:val="none" w:sz="0" w:space="0" w:color="auto"/>
        <w:bottom w:val="none" w:sz="0" w:space="0" w:color="auto"/>
        <w:right w:val="none" w:sz="0" w:space="0" w:color="auto"/>
      </w:divBdr>
    </w:div>
    <w:div w:id="1740517876">
      <w:bodyDiv w:val="1"/>
      <w:marLeft w:val="0"/>
      <w:marRight w:val="0"/>
      <w:marTop w:val="0"/>
      <w:marBottom w:val="0"/>
      <w:divBdr>
        <w:top w:val="none" w:sz="0" w:space="0" w:color="auto"/>
        <w:left w:val="none" w:sz="0" w:space="0" w:color="auto"/>
        <w:bottom w:val="none" w:sz="0" w:space="0" w:color="auto"/>
        <w:right w:val="none" w:sz="0" w:space="0" w:color="auto"/>
      </w:divBdr>
    </w:div>
    <w:div w:id="1816533473">
      <w:bodyDiv w:val="1"/>
      <w:marLeft w:val="0"/>
      <w:marRight w:val="0"/>
      <w:marTop w:val="0"/>
      <w:marBottom w:val="0"/>
      <w:divBdr>
        <w:top w:val="none" w:sz="0" w:space="0" w:color="auto"/>
        <w:left w:val="none" w:sz="0" w:space="0" w:color="auto"/>
        <w:bottom w:val="none" w:sz="0" w:space="0" w:color="auto"/>
        <w:right w:val="none" w:sz="0" w:space="0" w:color="auto"/>
      </w:divBdr>
    </w:div>
    <w:div w:id="193150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k299@msstate.edu"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EBD4D-CD71-449E-BAB7-A5DAF60FF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35</Pages>
  <Words>24763</Words>
  <Characters>141151</Characters>
  <Application>Microsoft Office Word</Application>
  <DocSecurity>0</DocSecurity>
  <Lines>1176</Lines>
  <Paragraphs>331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Levin</dc:creator>
  <cp:keywords/>
  <dc:description/>
  <cp:lastModifiedBy>Krafft, Jennifer</cp:lastModifiedBy>
  <cp:revision>21</cp:revision>
  <cp:lastPrinted>2022-10-11T16:35:00Z</cp:lastPrinted>
  <dcterms:created xsi:type="dcterms:W3CDTF">2023-03-31T13:26:00Z</dcterms:created>
  <dcterms:modified xsi:type="dcterms:W3CDTF">2023-04-04T16:29:00Z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582b7677-ed7a-37f2-bcdb-9ec4151e8160</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http://www.zotero.org/styles/journal-of-contextual-behavioral-science</vt:lpwstr>
  </property>
  <property fmtid="{D5CDD505-2E9C-101B-9397-08002B2CF9AE}" pid="20" name="Mendeley Recent Style Name 7_1">
    <vt:lpwstr>Journal of Contextual Behavioral Science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8th edition</vt:lpwstr>
  </property>
</Properties>
</file>