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BF" w:rsidRPr="00F57420" w:rsidRDefault="00007B5E" w:rsidP="00007B5E">
      <w:pPr>
        <w:rPr>
          <w:caps/>
        </w:rPr>
      </w:pPr>
      <w:r w:rsidRPr="00F57420">
        <w:t xml:space="preserve">Running head: </w:t>
      </w:r>
      <w:r w:rsidR="001659BF" w:rsidRPr="00F57420">
        <w:t>ACCEPTANCE AND COMMITMENT THERAPY FOR SCRUPULOSITY</w:t>
      </w:r>
      <w:r w:rsidR="001659BF" w:rsidRPr="00F57420">
        <w:br/>
      </w:r>
    </w:p>
    <w:p w:rsidR="00007B5E" w:rsidRPr="00F57420" w:rsidRDefault="00007B5E" w:rsidP="00007B5E">
      <w:pPr>
        <w:rPr>
          <w:caps/>
        </w:rPr>
      </w:pPr>
    </w:p>
    <w:p w:rsidR="00007B5E" w:rsidRPr="00F57420" w:rsidRDefault="00007B5E" w:rsidP="00007B5E">
      <w:pPr>
        <w:rPr>
          <w:caps/>
        </w:rPr>
      </w:pPr>
    </w:p>
    <w:p w:rsidR="001659BF" w:rsidRPr="00F57420" w:rsidRDefault="001659BF" w:rsidP="001659BF">
      <w:pPr>
        <w:ind w:left="2880" w:hanging="2880"/>
        <w:jc w:val="center"/>
      </w:pPr>
    </w:p>
    <w:p w:rsidR="00007B5E" w:rsidRPr="00F57420" w:rsidRDefault="00007B5E" w:rsidP="003F7E7B">
      <w:pPr>
        <w:spacing w:line="480" w:lineRule="auto"/>
        <w:ind w:left="2880" w:hanging="2880"/>
        <w:jc w:val="center"/>
      </w:pPr>
    </w:p>
    <w:p w:rsidR="00007B5E" w:rsidRPr="00F57420" w:rsidRDefault="00007B5E" w:rsidP="003F7E7B">
      <w:pPr>
        <w:spacing w:line="480" w:lineRule="auto"/>
        <w:ind w:left="2880" w:hanging="2880"/>
        <w:jc w:val="center"/>
      </w:pPr>
    </w:p>
    <w:p w:rsidR="001A2D52" w:rsidRDefault="00007B5E" w:rsidP="003F7E7B">
      <w:pPr>
        <w:spacing w:line="480" w:lineRule="auto"/>
        <w:jc w:val="center"/>
      </w:pPr>
      <w:r w:rsidRPr="00F57420">
        <w:t xml:space="preserve">Acceptance and Commitment Therapy </w:t>
      </w:r>
      <w:r w:rsidR="004B4FD6" w:rsidRPr="00F57420">
        <w:t>as a treatment for s</w:t>
      </w:r>
      <w:r w:rsidRPr="00F57420">
        <w:t>crupulosity</w:t>
      </w:r>
      <w:r w:rsidR="001A2D52">
        <w:t xml:space="preserve"> </w:t>
      </w:r>
    </w:p>
    <w:p w:rsidR="00007B5E" w:rsidRPr="00F57420" w:rsidRDefault="001A2D52" w:rsidP="003F7E7B">
      <w:pPr>
        <w:spacing w:line="480" w:lineRule="auto"/>
        <w:jc w:val="center"/>
      </w:pPr>
      <w:proofErr w:type="gramStart"/>
      <w:r>
        <w:t>in</w:t>
      </w:r>
      <w:proofErr w:type="gramEnd"/>
      <w:r>
        <w:t xml:space="preserve"> Obsessive Compulsive Disorder</w:t>
      </w:r>
    </w:p>
    <w:p w:rsidR="001659BF" w:rsidRPr="00F57420" w:rsidRDefault="001659BF" w:rsidP="001659BF">
      <w:pPr>
        <w:ind w:left="2880" w:hanging="2880"/>
        <w:jc w:val="center"/>
      </w:pPr>
    </w:p>
    <w:p w:rsidR="00007B5E" w:rsidRPr="00F57420" w:rsidRDefault="00007B5E" w:rsidP="001659BF">
      <w:pPr>
        <w:ind w:left="2880" w:hanging="2880"/>
        <w:jc w:val="center"/>
      </w:pPr>
    </w:p>
    <w:p w:rsidR="00F32324" w:rsidRPr="00F57420" w:rsidRDefault="001659BF" w:rsidP="00DF2ECA">
      <w:pPr>
        <w:spacing w:line="480" w:lineRule="auto"/>
        <w:ind w:left="2880" w:hanging="2880"/>
        <w:jc w:val="center"/>
      </w:pPr>
      <w:r w:rsidRPr="00F57420">
        <w:t xml:space="preserve">John P. </w:t>
      </w:r>
      <w:proofErr w:type="spellStart"/>
      <w:r w:rsidRPr="00F57420">
        <w:t>Dehlin</w:t>
      </w:r>
      <w:proofErr w:type="spellEnd"/>
    </w:p>
    <w:p w:rsidR="00F32324" w:rsidRPr="00F57420" w:rsidRDefault="00766A96" w:rsidP="00DF2ECA">
      <w:pPr>
        <w:spacing w:line="480" w:lineRule="auto"/>
        <w:ind w:left="2880" w:hanging="2880"/>
        <w:jc w:val="center"/>
      </w:pPr>
      <w:r w:rsidRPr="00F57420">
        <w:t xml:space="preserve">Kate </w:t>
      </w:r>
      <w:r w:rsidR="0029052B" w:rsidRPr="00F57420">
        <w:t>L</w:t>
      </w:r>
      <w:r w:rsidRPr="00F57420">
        <w:t>. Morrison</w:t>
      </w:r>
    </w:p>
    <w:p w:rsidR="00220BFE" w:rsidRPr="00F57420" w:rsidRDefault="00007B5E" w:rsidP="00DF2ECA">
      <w:pPr>
        <w:spacing w:line="480" w:lineRule="auto"/>
        <w:ind w:left="2880" w:hanging="2880"/>
        <w:jc w:val="center"/>
      </w:pPr>
      <w:r w:rsidRPr="00F57420">
        <w:t>Michael P. Twohig</w:t>
      </w:r>
    </w:p>
    <w:p w:rsidR="00F32324" w:rsidRPr="00F57420" w:rsidRDefault="00220BFE" w:rsidP="00DF2ECA">
      <w:pPr>
        <w:spacing w:line="480" w:lineRule="auto"/>
        <w:ind w:left="2880" w:hanging="2880"/>
        <w:jc w:val="center"/>
      </w:pPr>
      <w:r w:rsidRPr="00F57420">
        <w:t>Utah State University</w:t>
      </w:r>
      <w:r w:rsidR="001659BF" w:rsidRPr="00F57420">
        <w:br/>
      </w:r>
    </w:p>
    <w:p w:rsidR="001659BF" w:rsidRPr="00F57420" w:rsidRDefault="001659BF" w:rsidP="001659BF">
      <w:pPr>
        <w:jc w:val="center"/>
      </w:pPr>
    </w:p>
    <w:p w:rsidR="00007B5E" w:rsidRPr="00F57420" w:rsidRDefault="00007B5E" w:rsidP="00007B5E">
      <w:pPr>
        <w:outlineLvl w:val="0"/>
      </w:pPr>
    </w:p>
    <w:p w:rsidR="00007B5E" w:rsidRPr="00F57420" w:rsidRDefault="00007B5E" w:rsidP="00007B5E">
      <w:pPr>
        <w:outlineLvl w:val="0"/>
      </w:pPr>
      <w:r w:rsidRPr="00F57420">
        <w:t>Contact Information:</w:t>
      </w:r>
    </w:p>
    <w:p w:rsidR="00007B5E" w:rsidRPr="00F57420" w:rsidRDefault="00007B5E" w:rsidP="00007B5E">
      <w:pPr>
        <w:outlineLvl w:val="0"/>
      </w:pPr>
    </w:p>
    <w:p w:rsidR="00007B5E" w:rsidRPr="00F57420" w:rsidRDefault="00DF2ECA" w:rsidP="00007B5E">
      <w:pPr>
        <w:outlineLvl w:val="0"/>
      </w:pPr>
      <w:r w:rsidRPr="00F57420">
        <w:t>Michael P. Twohig, Ph.D.</w:t>
      </w:r>
    </w:p>
    <w:p w:rsidR="00007B5E" w:rsidRPr="00F57420" w:rsidRDefault="00007B5E" w:rsidP="00007B5E">
      <w:pPr>
        <w:outlineLvl w:val="0"/>
      </w:pPr>
    </w:p>
    <w:p w:rsidR="00007B5E" w:rsidRPr="00F57420" w:rsidRDefault="003F7E7B" w:rsidP="00007B5E">
      <w:pPr>
        <w:outlineLvl w:val="0"/>
      </w:pPr>
      <w:r>
        <w:t>Associate</w:t>
      </w:r>
      <w:r w:rsidR="00DF2ECA" w:rsidRPr="00F57420">
        <w:t xml:space="preserve"> Professor</w:t>
      </w:r>
    </w:p>
    <w:p w:rsidR="00007B5E" w:rsidRPr="00F57420" w:rsidRDefault="00007B5E" w:rsidP="00007B5E">
      <w:pPr>
        <w:outlineLvl w:val="0"/>
      </w:pPr>
    </w:p>
    <w:p w:rsidR="00007B5E" w:rsidRPr="00F57420" w:rsidRDefault="00007B5E" w:rsidP="00007B5E">
      <w:pPr>
        <w:outlineLvl w:val="0"/>
      </w:pPr>
      <w:r w:rsidRPr="00F57420">
        <w:t>Utah State University, Department of Psychology</w:t>
      </w:r>
    </w:p>
    <w:p w:rsidR="00007B5E" w:rsidRPr="00F57420" w:rsidRDefault="00007B5E" w:rsidP="00007B5E">
      <w:pPr>
        <w:outlineLvl w:val="0"/>
      </w:pPr>
    </w:p>
    <w:p w:rsidR="00007B5E" w:rsidRPr="00F57420" w:rsidRDefault="00007B5E" w:rsidP="00007B5E">
      <w:pPr>
        <w:outlineLvl w:val="0"/>
      </w:pPr>
      <w:r w:rsidRPr="00F57420">
        <w:t>2810 Old Main Hill, Logan, Utah  84322-2810</w:t>
      </w:r>
      <w:r w:rsidRPr="00F57420">
        <w:br/>
      </w:r>
    </w:p>
    <w:p w:rsidR="00007B5E" w:rsidRPr="00F57420" w:rsidRDefault="00007B5E" w:rsidP="00007B5E">
      <w:pPr>
        <w:outlineLvl w:val="0"/>
      </w:pPr>
      <w:r w:rsidRPr="00F57420">
        <w:t xml:space="preserve">Phone: (435) </w:t>
      </w:r>
      <w:r w:rsidR="00BD7DD5" w:rsidRPr="00F57420">
        <w:t>797-1402</w:t>
      </w:r>
    </w:p>
    <w:p w:rsidR="00007B5E" w:rsidRPr="00F57420" w:rsidRDefault="00007B5E" w:rsidP="00007B5E">
      <w:pPr>
        <w:outlineLvl w:val="0"/>
      </w:pPr>
    </w:p>
    <w:p w:rsidR="00007B5E" w:rsidRPr="00F57420" w:rsidRDefault="00007B5E" w:rsidP="00007B5E">
      <w:pPr>
        <w:outlineLvl w:val="0"/>
      </w:pPr>
      <w:r w:rsidRPr="00F57420">
        <w:t>Fax: (435) 797-1448</w:t>
      </w:r>
    </w:p>
    <w:p w:rsidR="00007B5E" w:rsidRPr="00F57420" w:rsidRDefault="00007B5E" w:rsidP="00007B5E">
      <w:pPr>
        <w:outlineLvl w:val="0"/>
      </w:pPr>
    </w:p>
    <w:p w:rsidR="00007B5E" w:rsidRPr="00F57420" w:rsidRDefault="00007B5E" w:rsidP="00007B5E">
      <w:pPr>
        <w:outlineLvl w:val="0"/>
      </w:pPr>
      <w:r w:rsidRPr="00F57420">
        <w:t xml:space="preserve">E-mail: </w:t>
      </w:r>
      <w:r w:rsidR="00BD7DD5" w:rsidRPr="00F57420">
        <w:t>michael.twohig@usu.edu</w:t>
      </w:r>
    </w:p>
    <w:p w:rsidR="001659BF" w:rsidRPr="00F57420" w:rsidRDefault="001659BF" w:rsidP="00007B5E">
      <w:pPr>
        <w:pStyle w:val="Heading1"/>
        <w:rPr>
          <w:b/>
        </w:rPr>
      </w:pPr>
      <w:r w:rsidRPr="00F57420">
        <w:br w:type="page"/>
      </w:r>
      <w:r w:rsidR="00007B5E" w:rsidRPr="00F57420">
        <w:rPr>
          <w:b/>
        </w:rPr>
        <w:lastRenderedPageBreak/>
        <w:t>Abstract</w:t>
      </w:r>
    </w:p>
    <w:p w:rsidR="000E097A" w:rsidRDefault="00AB7899" w:rsidP="00D21931">
      <w:pPr>
        <w:spacing w:line="480" w:lineRule="auto"/>
        <w:outlineLvl w:val="0"/>
      </w:pPr>
      <w:r>
        <w:t xml:space="preserve">This study evaluated </w:t>
      </w:r>
      <w:r w:rsidRPr="00F57420">
        <w:t xml:space="preserve">Acceptance and </w:t>
      </w:r>
      <w:r w:rsidR="00A75601">
        <w:t>C</w:t>
      </w:r>
      <w:r w:rsidRPr="00F57420">
        <w:t xml:space="preserve">ommitment </w:t>
      </w:r>
      <w:r w:rsidR="00A75601">
        <w:t>T</w:t>
      </w:r>
      <w:r w:rsidRPr="00F57420">
        <w:t>herapy (ACT)</w:t>
      </w:r>
      <w:r>
        <w:t xml:space="preserve"> for </w:t>
      </w:r>
      <w:r w:rsidR="001659BF" w:rsidRPr="00F57420">
        <w:t>scrupulosity</w:t>
      </w:r>
      <w:r>
        <w:t xml:space="preserve"> based O</w:t>
      </w:r>
      <w:r w:rsidR="00766A96" w:rsidRPr="00F57420">
        <w:t xml:space="preserve">bsessive </w:t>
      </w:r>
      <w:r w:rsidR="003D719E" w:rsidRPr="00F57420">
        <w:t>Compulsive</w:t>
      </w:r>
      <w:r w:rsidR="00766A96" w:rsidRPr="00F57420">
        <w:t xml:space="preserve"> </w:t>
      </w:r>
      <w:r w:rsidR="001659BF" w:rsidRPr="00F57420">
        <w:t>D</w:t>
      </w:r>
      <w:r w:rsidR="00766A96" w:rsidRPr="00F57420">
        <w:t>isorder (OCD)</w:t>
      </w:r>
      <w:r w:rsidR="001659BF" w:rsidRPr="00F57420">
        <w:t xml:space="preserve">.  </w:t>
      </w:r>
      <w:r>
        <w:t>F</w:t>
      </w:r>
      <w:r w:rsidR="008B506E" w:rsidRPr="00F57420">
        <w:t>ive</w:t>
      </w:r>
      <w:r w:rsidR="001659BF" w:rsidRPr="00F57420">
        <w:t xml:space="preserve"> </w:t>
      </w:r>
      <w:r>
        <w:t xml:space="preserve">adults </w:t>
      </w:r>
      <w:r w:rsidR="001659BF" w:rsidRPr="00F57420">
        <w:t xml:space="preserve">were treated with </w:t>
      </w:r>
      <w:r w:rsidR="00A135C0" w:rsidRPr="00F57420">
        <w:t>eight</w:t>
      </w:r>
      <w:r w:rsidR="001659BF" w:rsidRPr="00F57420">
        <w:t xml:space="preserve"> session</w:t>
      </w:r>
      <w:r w:rsidR="001B6D66" w:rsidRPr="00F57420">
        <w:t>s</w:t>
      </w:r>
      <w:r w:rsidR="001659BF" w:rsidRPr="00F57420">
        <w:t xml:space="preserve"> of ACT</w:t>
      </w:r>
      <w:r w:rsidR="007E4D9C" w:rsidRPr="00F57420">
        <w:t>, without in-session exposure,</w:t>
      </w:r>
      <w:r w:rsidR="001659BF" w:rsidRPr="00F57420">
        <w:t xml:space="preserve"> </w:t>
      </w:r>
      <w:r w:rsidR="003D719E" w:rsidRPr="00F57420">
        <w:t xml:space="preserve">in </w:t>
      </w:r>
      <w:r w:rsidR="001659BF" w:rsidRPr="00F57420">
        <w:t xml:space="preserve">a multiple baseline across participants design.  </w:t>
      </w:r>
      <w:r>
        <w:t xml:space="preserve">Daily monitoring of compulsions and </w:t>
      </w:r>
      <w:r w:rsidR="00EE778F" w:rsidRPr="00F57420">
        <w:t xml:space="preserve">avoided </w:t>
      </w:r>
      <w:r w:rsidR="0091427D" w:rsidRPr="00F57420">
        <w:t xml:space="preserve">valued </w:t>
      </w:r>
      <w:r w:rsidR="00EE778F" w:rsidRPr="00F57420">
        <w:t xml:space="preserve">activities </w:t>
      </w:r>
      <w:r>
        <w:t>were tracked throughout the study.</w:t>
      </w:r>
      <w:r w:rsidR="00EE778F" w:rsidRPr="00F57420">
        <w:t xml:space="preserve"> </w:t>
      </w:r>
      <w:r w:rsidR="007425EE" w:rsidRPr="00F57420">
        <w:t xml:space="preserve"> The</w:t>
      </w:r>
      <w:r w:rsidR="000E097A">
        <w:t xml:space="preserve"> </w:t>
      </w:r>
      <w:r w:rsidR="007425EE" w:rsidRPr="00F57420">
        <w:t xml:space="preserve">Obsessive-Compulsive Inventory – Revised, </w:t>
      </w:r>
      <w:r w:rsidR="00F11913" w:rsidRPr="00F57420">
        <w:t xml:space="preserve">Yale–Brown Obsessive Compulsive Scale, </w:t>
      </w:r>
      <w:r w:rsidR="007425EE" w:rsidRPr="00F57420">
        <w:t>Penn Inventory of Scrupulosity, Beck Depression Inventory–II, Quality of Life Scale, Santa Clara Strength of Religious Faith Questionnaire, and the Acceptance and Action Questionnaire</w:t>
      </w:r>
      <w:r w:rsidR="00B83FF7">
        <w:t>-II</w:t>
      </w:r>
      <w:r w:rsidR="000E097A">
        <w:t xml:space="preserve"> </w:t>
      </w:r>
      <w:r w:rsidR="000E097A" w:rsidRPr="00F57420">
        <w:t>were completed at pretreatment, posttreatment, and 3-month follow-up</w:t>
      </w:r>
      <w:r w:rsidR="007425EE" w:rsidRPr="00F57420">
        <w:t xml:space="preserve">. </w:t>
      </w:r>
      <w:r w:rsidR="00716B6E">
        <w:t xml:space="preserve"> </w:t>
      </w:r>
      <w:r w:rsidR="000E097A">
        <w:t>The T</w:t>
      </w:r>
      <w:r w:rsidR="007425EE" w:rsidRPr="00F57420">
        <w:t xml:space="preserve">reatment Evaluation Inventory was completed at posttreatment. </w:t>
      </w:r>
      <w:r w:rsidR="00EE778F" w:rsidRPr="00F57420">
        <w:t xml:space="preserve"> </w:t>
      </w:r>
      <w:r>
        <w:t>Average d</w:t>
      </w:r>
      <w:r w:rsidR="007425EE" w:rsidRPr="00F57420">
        <w:t>aily compulsions</w:t>
      </w:r>
      <w:r w:rsidR="00D21931" w:rsidRPr="00F57420">
        <w:t xml:space="preserve"> reduced as follows</w:t>
      </w:r>
      <w:r w:rsidR="007425EE" w:rsidRPr="00F57420">
        <w:t>: pretreatment = 25.0, posttreatment = 5.6, follow-up =</w:t>
      </w:r>
      <w:r w:rsidR="00D21931" w:rsidRPr="00F57420">
        <w:t xml:space="preserve"> </w:t>
      </w:r>
      <w:r w:rsidR="007425EE" w:rsidRPr="00F57420">
        <w:t xml:space="preserve">4.3.  Average daily avoided valued activities </w:t>
      </w:r>
      <w:r w:rsidR="00D21931" w:rsidRPr="00F57420">
        <w:t>reduced as follows: pretreatment = 6</w:t>
      </w:r>
      <w:r w:rsidR="007425EE" w:rsidRPr="00F57420">
        <w:t>.0</w:t>
      </w:r>
      <w:r w:rsidR="00D21931" w:rsidRPr="00F57420">
        <w:t xml:space="preserve">, posttreatment </w:t>
      </w:r>
      <w:r w:rsidR="007425EE" w:rsidRPr="00F57420">
        <w:t>=</w:t>
      </w:r>
      <w:r w:rsidR="00D21931" w:rsidRPr="00F57420">
        <w:t xml:space="preserve"> </w:t>
      </w:r>
      <w:r w:rsidR="007425EE" w:rsidRPr="00F57420">
        <w:t>0.7</w:t>
      </w:r>
      <w:r w:rsidR="00D21931" w:rsidRPr="00F57420">
        <w:t xml:space="preserve">, follow-up = 0.5.  </w:t>
      </w:r>
      <w:r w:rsidR="005C6C77" w:rsidRPr="00F57420">
        <w:t>Other measures showed similar patterns.</w:t>
      </w:r>
      <w:r w:rsidR="00D21931" w:rsidRPr="00F57420">
        <w:t xml:space="preserve">  </w:t>
      </w:r>
      <w:r w:rsidR="003D719E" w:rsidRPr="00F57420">
        <w:rPr>
          <w:rFonts w:eastAsia="Calibri"/>
        </w:rPr>
        <w:t>R</w:t>
      </w:r>
      <w:r w:rsidR="007C3A31" w:rsidRPr="00F57420">
        <w:rPr>
          <w:rFonts w:eastAsia="Calibri"/>
        </w:rPr>
        <w:t xml:space="preserve">eligious faith </w:t>
      </w:r>
      <w:r w:rsidR="00944E10">
        <w:rPr>
          <w:rFonts w:eastAsia="Calibri"/>
        </w:rPr>
        <w:t xml:space="preserve">only slightly </w:t>
      </w:r>
      <w:r w:rsidR="007C3A31" w:rsidRPr="00F57420">
        <w:rPr>
          <w:rFonts w:eastAsia="Calibri"/>
        </w:rPr>
        <w:t>declined</w:t>
      </w:r>
      <w:r w:rsidR="00944E10">
        <w:rPr>
          <w:rFonts w:eastAsia="Calibri"/>
        </w:rPr>
        <w:t>:</w:t>
      </w:r>
      <w:r w:rsidR="007C3A31" w:rsidRPr="00F57420">
        <w:rPr>
          <w:rFonts w:eastAsia="Calibri"/>
        </w:rPr>
        <w:t xml:space="preserve"> </w:t>
      </w:r>
      <w:r w:rsidR="00651D86" w:rsidRPr="00F57420">
        <w:rPr>
          <w:rFonts w:eastAsia="Calibri"/>
        </w:rPr>
        <w:t xml:space="preserve">4% </w:t>
      </w:r>
      <w:r w:rsidR="000E097A">
        <w:rPr>
          <w:rFonts w:eastAsia="Calibri"/>
        </w:rPr>
        <w:t xml:space="preserve">at </w:t>
      </w:r>
      <w:r w:rsidR="003D719E" w:rsidRPr="00F57420">
        <w:rPr>
          <w:rFonts w:eastAsia="Calibri"/>
        </w:rPr>
        <w:t>posttreatment and 7%</w:t>
      </w:r>
      <w:r w:rsidR="00A85242" w:rsidRPr="00F57420">
        <w:rPr>
          <w:rFonts w:eastAsia="Calibri"/>
        </w:rPr>
        <w:t xml:space="preserve"> at </w:t>
      </w:r>
      <w:r w:rsidR="007C3A31" w:rsidRPr="00F57420">
        <w:rPr>
          <w:rFonts w:eastAsia="Calibri"/>
        </w:rPr>
        <w:t xml:space="preserve">follow-up.  </w:t>
      </w:r>
      <w:r w:rsidR="000E097A">
        <w:rPr>
          <w:rFonts w:eastAsia="Calibri"/>
        </w:rPr>
        <w:t xml:space="preserve">Treatment </w:t>
      </w:r>
      <w:r w:rsidR="009C4E6B">
        <w:t>acceptability was high</w:t>
      </w:r>
      <w:r w:rsidR="000E097A">
        <w:t>.</w:t>
      </w:r>
      <w:r w:rsidR="000E097A" w:rsidRPr="00F57420">
        <w:t xml:space="preserve"> </w:t>
      </w:r>
    </w:p>
    <w:p w:rsidR="00D437E0" w:rsidRDefault="00D437E0" w:rsidP="00D21931">
      <w:pPr>
        <w:spacing w:line="480" w:lineRule="auto"/>
        <w:outlineLvl w:val="0"/>
      </w:pPr>
    </w:p>
    <w:p w:rsidR="00D437E0" w:rsidRDefault="00D437E0" w:rsidP="00D21931">
      <w:pPr>
        <w:spacing w:line="480" w:lineRule="auto"/>
        <w:outlineLvl w:val="0"/>
      </w:pPr>
    </w:p>
    <w:p w:rsidR="00D437E0" w:rsidRDefault="00D437E0" w:rsidP="00D21931">
      <w:pPr>
        <w:spacing w:line="480" w:lineRule="auto"/>
        <w:outlineLvl w:val="0"/>
      </w:pPr>
    </w:p>
    <w:p w:rsidR="00D437E0" w:rsidRDefault="00D437E0" w:rsidP="00D21931">
      <w:pPr>
        <w:spacing w:line="480" w:lineRule="auto"/>
        <w:outlineLvl w:val="0"/>
      </w:pPr>
    </w:p>
    <w:p w:rsidR="001659BF" w:rsidRPr="00F57420" w:rsidRDefault="00007B5E" w:rsidP="00D21931">
      <w:pPr>
        <w:spacing w:line="480" w:lineRule="auto"/>
        <w:outlineLvl w:val="0"/>
      </w:pPr>
      <w:r w:rsidRPr="00F57420">
        <w:t>Key Words: Scrupulosity; Obsessive Compulsive Disorder; Acceptance and Commitment Therapy</w:t>
      </w:r>
      <w:r w:rsidR="00651D86" w:rsidRPr="00F57420">
        <w:t>;</w:t>
      </w:r>
      <w:r w:rsidRPr="00F57420">
        <w:t xml:space="preserve"> Treatment </w:t>
      </w:r>
      <w:r w:rsidR="001659BF" w:rsidRPr="00F57420">
        <w:br w:type="page"/>
      </w:r>
    </w:p>
    <w:p w:rsidR="004B4FD6" w:rsidRPr="00F57420" w:rsidRDefault="004B4FD6" w:rsidP="0072249B">
      <w:pPr>
        <w:spacing w:line="480" w:lineRule="auto"/>
        <w:jc w:val="center"/>
        <w:rPr>
          <w:b/>
        </w:rPr>
      </w:pPr>
      <w:r w:rsidRPr="00F57420">
        <w:rPr>
          <w:b/>
        </w:rPr>
        <w:lastRenderedPageBreak/>
        <w:t>Acceptance and Commitment Therapy as a treatment for scrupulosity</w:t>
      </w:r>
      <w:r w:rsidR="0072249B">
        <w:rPr>
          <w:b/>
        </w:rPr>
        <w:t xml:space="preserve"> in obsessive compulsive disorder</w:t>
      </w:r>
    </w:p>
    <w:p w:rsidR="005D7DCF" w:rsidRPr="00F57420" w:rsidRDefault="00A616B7" w:rsidP="00D0770D">
      <w:pPr>
        <w:spacing w:line="480" w:lineRule="auto"/>
        <w:ind w:firstLine="720"/>
      </w:pPr>
      <w:r w:rsidRPr="00F57420">
        <w:t>Scrupulosity is a distressing form of O</w:t>
      </w:r>
      <w:r w:rsidR="003D719E" w:rsidRPr="00F57420">
        <w:t xml:space="preserve">bsessive </w:t>
      </w:r>
      <w:r w:rsidRPr="00F57420">
        <w:t>C</w:t>
      </w:r>
      <w:r w:rsidR="003D719E" w:rsidRPr="00F57420">
        <w:t xml:space="preserve">ompulsive </w:t>
      </w:r>
      <w:r w:rsidRPr="00F57420">
        <w:t>D</w:t>
      </w:r>
      <w:r w:rsidR="003D719E" w:rsidRPr="00F57420">
        <w:t xml:space="preserve">isorder </w:t>
      </w:r>
      <w:r w:rsidR="009533D5" w:rsidRPr="00F57420">
        <w:t xml:space="preserve">(OCD) </w:t>
      </w:r>
      <w:r w:rsidRPr="00F57420">
        <w:t xml:space="preserve">characterized by unreasonable, </w:t>
      </w:r>
      <w:proofErr w:type="spellStart"/>
      <w:r w:rsidRPr="00F57420">
        <w:t>egodystonic</w:t>
      </w:r>
      <w:proofErr w:type="spellEnd"/>
      <w:r w:rsidRPr="00F57420">
        <w:t xml:space="preserve">, anxiety-producing intrusive thoughts about religious or moral issues, accompanied by compulsive thoughts or behaviors performed with the intent of neutralizing anxiety (Abramowitz, Huppert, Cohen, </w:t>
      </w:r>
      <w:proofErr w:type="spellStart"/>
      <w:r w:rsidRPr="00F57420">
        <w:t>Tolin</w:t>
      </w:r>
      <w:proofErr w:type="spellEnd"/>
      <w:r w:rsidRPr="00F57420">
        <w:t xml:space="preserve"> &amp; Cahill, 2002; </w:t>
      </w:r>
      <w:proofErr w:type="spellStart"/>
      <w:r w:rsidRPr="00F57420">
        <w:t>Ciarrochi</w:t>
      </w:r>
      <w:proofErr w:type="spellEnd"/>
      <w:r w:rsidRPr="00F57420">
        <w:t xml:space="preserve">, 1995).  </w:t>
      </w:r>
      <w:r w:rsidR="005D7DCF" w:rsidRPr="00F57420">
        <w:t xml:space="preserve">Four of the most common, general manifestations of scrupulosity include: </w:t>
      </w:r>
      <w:r w:rsidR="008623CB">
        <w:t>a</w:t>
      </w:r>
      <w:r w:rsidR="005D7DCF" w:rsidRPr="00F57420">
        <w:t xml:space="preserve">) compulsive behaviors that far exceed religious norms or requirements (e.g. praying for hours a day), </w:t>
      </w:r>
      <w:r w:rsidR="008623CB">
        <w:t>b</w:t>
      </w:r>
      <w:r w:rsidR="005D7DCF" w:rsidRPr="00F57420">
        <w:t>) narrowly focused compulsions (e.g.</w:t>
      </w:r>
      <w:r w:rsidR="00394F21">
        <w:t>,</w:t>
      </w:r>
      <w:r w:rsidR="005D7DCF" w:rsidRPr="00F57420">
        <w:t xml:space="preserve"> avoiding the risk of an inappropriate sexual thought at the expense of fulfilling other religious duties), </w:t>
      </w:r>
      <w:r w:rsidR="008623CB">
        <w:t>c</w:t>
      </w:r>
      <w:r w:rsidR="005D7DCF" w:rsidRPr="00F57420">
        <w:t xml:space="preserve">) excessive focus on religious trivialities (e.g. compulsions to avoid spilling a drop of holy water), and </w:t>
      </w:r>
      <w:r w:rsidR="008623CB">
        <w:t>d</w:t>
      </w:r>
      <w:r w:rsidR="005D7DCF" w:rsidRPr="00F57420">
        <w:t>) a tendency to misconstrue, and/or overly-literalize scriptural passages (</w:t>
      </w:r>
      <w:proofErr w:type="spellStart"/>
      <w:r w:rsidR="005D7DCF" w:rsidRPr="00F57420">
        <w:t>Cefalu</w:t>
      </w:r>
      <w:proofErr w:type="spellEnd"/>
      <w:r w:rsidR="005D7DCF" w:rsidRPr="00F57420">
        <w:t xml:space="preserve">, 2010).  </w:t>
      </w:r>
    </w:p>
    <w:p w:rsidR="00394F21" w:rsidRDefault="001659BF" w:rsidP="00394F21">
      <w:pPr>
        <w:spacing w:line="480" w:lineRule="auto"/>
        <w:ind w:firstLine="720"/>
      </w:pPr>
      <w:r w:rsidRPr="00F57420">
        <w:t>Scrupulosity is estimated to occur in 5% to 33% of OCD patients, or .</w:t>
      </w:r>
      <w:r w:rsidR="008B506E" w:rsidRPr="00F57420">
        <w:t>0</w:t>
      </w:r>
      <w:r w:rsidRPr="00F57420">
        <w:t xml:space="preserve">5% to .33% of the general population (Miller &amp; Hedges, 2008).  </w:t>
      </w:r>
      <w:r w:rsidR="00A616B7" w:rsidRPr="00F57420">
        <w:t>Although scrupulosity has reasonably high levels of prevalence and clinical distress (</w:t>
      </w:r>
      <w:proofErr w:type="spellStart"/>
      <w:r w:rsidR="00394F21" w:rsidRPr="00F57420">
        <w:t>Cefalu</w:t>
      </w:r>
      <w:proofErr w:type="spellEnd"/>
      <w:r w:rsidR="00394F21" w:rsidRPr="00F57420">
        <w:t>, 2010</w:t>
      </w:r>
      <w:r w:rsidR="00394F21">
        <w:t xml:space="preserve">; </w:t>
      </w:r>
      <w:r w:rsidR="00A616B7" w:rsidRPr="00F57420">
        <w:t xml:space="preserve">Fallon, </w:t>
      </w:r>
      <w:proofErr w:type="spellStart"/>
      <w:r w:rsidR="00A616B7" w:rsidRPr="00F57420">
        <w:t>Liebowitz</w:t>
      </w:r>
      <w:proofErr w:type="spellEnd"/>
      <w:r w:rsidR="00A616B7" w:rsidRPr="00F57420">
        <w:t xml:space="preserve">, Hollander, &amp; </w:t>
      </w:r>
      <w:proofErr w:type="spellStart"/>
      <w:r w:rsidR="00A616B7" w:rsidRPr="00F57420">
        <w:t>Schneier</w:t>
      </w:r>
      <w:proofErr w:type="spellEnd"/>
      <w:r w:rsidR="00A616B7" w:rsidRPr="00F57420">
        <w:t>, 1990), it has received min</w:t>
      </w:r>
      <w:r w:rsidR="00F11913" w:rsidRPr="00F57420">
        <w:t xml:space="preserve">imal attention from researchers </w:t>
      </w:r>
      <w:r w:rsidR="003D719E" w:rsidRPr="00F57420">
        <w:t>in terms of its etiology and treatment</w:t>
      </w:r>
      <w:r w:rsidR="00F11913" w:rsidRPr="00F57420">
        <w:t xml:space="preserve"> (Miller &amp; Hedges, 2008)</w:t>
      </w:r>
      <w:r w:rsidR="003D719E" w:rsidRPr="00F57420">
        <w:t>.</w:t>
      </w:r>
      <w:r w:rsidR="00B83FF7">
        <w:t xml:space="preserve">  </w:t>
      </w:r>
      <w:r w:rsidRPr="00F57420">
        <w:t xml:space="preserve">At present, the first-line treatment for </w:t>
      </w:r>
      <w:r w:rsidR="00F03791" w:rsidRPr="00F57420">
        <w:t>OCD</w:t>
      </w:r>
      <w:r w:rsidR="00F11913" w:rsidRPr="00F57420">
        <w:t xml:space="preserve"> </w:t>
      </w:r>
      <w:r w:rsidR="00C9104A">
        <w:t>is</w:t>
      </w:r>
      <w:r w:rsidRPr="00F57420">
        <w:t xml:space="preserve"> </w:t>
      </w:r>
      <w:r w:rsidR="00272ACE" w:rsidRPr="00F57420">
        <w:t xml:space="preserve">cognitive-behavior therapy using exposure and response prevention </w:t>
      </w:r>
      <w:r w:rsidRPr="00F57420">
        <w:t>(</w:t>
      </w:r>
      <w:r w:rsidR="00EC4E04" w:rsidRPr="00F57420">
        <w:t>ERP</w:t>
      </w:r>
      <w:r w:rsidRPr="00F57420">
        <w:t xml:space="preserve">) </w:t>
      </w:r>
      <w:r w:rsidR="00A75601">
        <w:t>or</w:t>
      </w:r>
      <w:r w:rsidR="00272ACE" w:rsidRPr="00F57420">
        <w:t xml:space="preserve"> </w:t>
      </w:r>
      <w:proofErr w:type="spellStart"/>
      <w:r w:rsidR="00272ACE" w:rsidRPr="00F57420">
        <w:t>serotonergenic</w:t>
      </w:r>
      <w:proofErr w:type="spellEnd"/>
      <w:r w:rsidR="00272ACE" w:rsidRPr="00F57420">
        <w:t xml:space="preserve"> medications </w:t>
      </w:r>
      <w:r w:rsidRPr="00F57420">
        <w:t>(</w:t>
      </w:r>
      <w:r w:rsidRPr="00F57420">
        <w:rPr>
          <w:rFonts w:eastAsia="Calibri"/>
        </w:rPr>
        <w:t>Abramowitz</w:t>
      </w:r>
      <w:r w:rsidR="00475B92" w:rsidRPr="00F57420">
        <w:rPr>
          <w:rFonts w:eastAsia="Calibri"/>
        </w:rPr>
        <w:t>, 2008)</w:t>
      </w:r>
      <w:r w:rsidRPr="00F57420">
        <w:t>.</w:t>
      </w:r>
      <w:r w:rsidR="00475B92" w:rsidRPr="00F57420">
        <w:t xml:space="preserve">  </w:t>
      </w:r>
      <w:r w:rsidR="00140CC5">
        <w:t xml:space="preserve">It should be noted that these </w:t>
      </w:r>
      <w:r w:rsidR="00B83FF7">
        <w:t xml:space="preserve">findings are from larger treatment trials for </w:t>
      </w:r>
      <w:proofErr w:type="gramStart"/>
      <w:r w:rsidR="00B83FF7">
        <w:t>OCD</w:t>
      </w:r>
      <w:r w:rsidR="00007C39">
        <w:t>,</w:t>
      </w:r>
      <w:proofErr w:type="gramEnd"/>
      <w:r w:rsidR="00007C39">
        <w:t xml:space="preserve"> and not from </w:t>
      </w:r>
      <w:r w:rsidR="00B83FF7">
        <w:t xml:space="preserve">scrupulosity </w:t>
      </w:r>
      <w:r w:rsidR="00007C39">
        <w:t>trials specifically</w:t>
      </w:r>
      <w:r w:rsidR="00B83FF7">
        <w:t>.</w:t>
      </w:r>
      <w:r w:rsidR="00F03791" w:rsidRPr="00F57420">
        <w:t xml:space="preserve">  </w:t>
      </w:r>
      <w:r w:rsidR="0084155F" w:rsidRPr="00F57420">
        <w:t xml:space="preserve">One small (N=10) study </w:t>
      </w:r>
      <w:r w:rsidR="00007C39">
        <w:t xml:space="preserve">on scrupulosity </w:t>
      </w:r>
      <w:r w:rsidR="0084155F" w:rsidRPr="00F57420">
        <w:t>has been conducted to date (Fallon et al., 1990)</w:t>
      </w:r>
      <w:r w:rsidR="009B0E37">
        <w:t xml:space="preserve">, wherein </w:t>
      </w:r>
      <w:r w:rsidR="009B0E37" w:rsidRPr="009B0E37">
        <w:t xml:space="preserve">five of ten patients were rated as much improved after eight weeks of treatment </w:t>
      </w:r>
      <w:r w:rsidR="00B83FF7">
        <w:t>with fluoxetine, with one additional participant responding to</w:t>
      </w:r>
      <w:r w:rsidR="009B0E37" w:rsidRPr="009B0E37">
        <w:t xml:space="preserve"> adjunctive </w:t>
      </w:r>
      <w:r w:rsidR="00B83FF7">
        <w:t>clomipramine</w:t>
      </w:r>
      <w:r w:rsidR="009B0E37" w:rsidRPr="009B0E37">
        <w:t xml:space="preserve">.  </w:t>
      </w:r>
      <w:r w:rsidR="009B0E37">
        <w:t>A</w:t>
      </w:r>
      <w:r w:rsidR="0084155F" w:rsidRPr="00F57420">
        <w:t xml:space="preserve"> handful of case studies have been published on the </w:t>
      </w:r>
      <w:r w:rsidR="0084155F" w:rsidRPr="00F57420">
        <w:lastRenderedPageBreak/>
        <w:t xml:space="preserve">treatment of scrupulosity with ERP </w:t>
      </w:r>
      <w:r w:rsidR="009B0E37">
        <w:t xml:space="preserve">as well, though few are conclusive </w:t>
      </w:r>
      <w:r w:rsidR="0084155F" w:rsidRPr="00F57420">
        <w:t xml:space="preserve">(Abramowitz, 2001; </w:t>
      </w:r>
      <w:proofErr w:type="spellStart"/>
      <w:r w:rsidR="0084155F" w:rsidRPr="00F57420">
        <w:t>Bonchek</w:t>
      </w:r>
      <w:proofErr w:type="spellEnd"/>
      <w:r w:rsidR="0084155F" w:rsidRPr="00F57420">
        <w:t xml:space="preserve"> &amp; Greenberg, 2009; </w:t>
      </w:r>
      <w:r w:rsidR="00434374" w:rsidRPr="00F57420">
        <w:t xml:space="preserve">Garcia, 2008; </w:t>
      </w:r>
      <w:r w:rsidR="0084155F" w:rsidRPr="00F57420">
        <w:t xml:space="preserve">Greenberg &amp; </w:t>
      </w:r>
      <w:proofErr w:type="spellStart"/>
      <w:r w:rsidR="0084155F" w:rsidRPr="00F57420">
        <w:t>Witztum</w:t>
      </w:r>
      <w:proofErr w:type="spellEnd"/>
      <w:r w:rsidR="0084155F" w:rsidRPr="00F57420">
        <w:t xml:space="preserve">, 2001; Huppert &amp; </w:t>
      </w:r>
      <w:proofErr w:type="spellStart"/>
      <w:r w:rsidR="0084155F" w:rsidRPr="00F57420">
        <w:t>Siev</w:t>
      </w:r>
      <w:proofErr w:type="spellEnd"/>
      <w:r w:rsidR="0084155F" w:rsidRPr="00F57420">
        <w:t>, 2010)</w:t>
      </w:r>
      <w:r w:rsidR="009B0E37">
        <w:t xml:space="preserve">. </w:t>
      </w:r>
      <w:r w:rsidR="00716B6E">
        <w:t xml:space="preserve"> </w:t>
      </w:r>
      <w:r w:rsidR="009B0E37" w:rsidRPr="009B0E37">
        <w:t xml:space="preserve">In one case citing outcome data, Abramowitz (2001) found a </w:t>
      </w:r>
      <w:proofErr w:type="spellStart"/>
      <w:r w:rsidR="009B0E37" w:rsidRPr="009B0E37">
        <w:t>posttreament</w:t>
      </w:r>
      <w:proofErr w:type="spellEnd"/>
      <w:r w:rsidR="009B0E37" w:rsidRPr="009B0E37">
        <w:t xml:space="preserve"> reduction of 65% in </w:t>
      </w:r>
      <w:r w:rsidR="00B83FF7" w:rsidRPr="00F57420">
        <w:rPr>
          <w:rFonts w:eastAsia="Calibri"/>
        </w:rPr>
        <w:t>Yale Brown Obsessive Compulsive Scale (</w:t>
      </w:r>
      <w:r w:rsidR="00B83FF7">
        <w:rPr>
          <w:rFonts w:eastAsia="Calibri"/>
        </w:rPr>
        <w:t xml:space="preserve">Y-BOCS; </w:t>
      </w:r>
      <w:r w:rsidR="00B83FF7" w:rsidRPr="00F57420">
        <w:rPr>
          <w:rFonts w:eastAsia="Calibri"/>
        </w:rPr>
        <w:t xml:space="preserve">Goodman, Price, Rasmussen, &amp; </w:t>
      </w:r>
      <w:proofErr w:type="spellStart"/>
      <w:r w:rsidR="00B83FF7" w:rsidRPr="00F57420">
        <w:rPr>
          <w:rFonts w:eastAsia="Calibri"/>
        </w:rPr>
        <w:t>Mazure</w:t>
      </w:r>
      <w:proofErr w:type="spellEnd"/>
      <w:r w:rsidR="00B83FF7" w:rsidRPr="00F57420">
        <w:rPr>
          <w:rFonts w:eastAsia="Calibri"/>
        </w:rPr>
        <w:t>, 1989a, 1989b)</w:t>
      </w:r>
      <w:r w:rsidR="009B0E37" w:rsidRPr="009B0E37">
        <w:t xml:space="preserve"> score</w:t>
      </w:r>
      <w:r w:rsidR="005F5CF4">
        <w:t>s</w:t>
      </w:r>
      <w:r w:rsidR="009B0E37" w:rsidRPr="009B0E37">
        <w:t xml:space="preserve">, along with </w:t>
      </w:r>
      <w:r w:rsidR="00A3036D">
        <w:t xml:space="preserve">a </w:t>
      </w:r>
      <w:r w:rsidR="009B0E37" w:rsidRPr="009B0E37">
        <w:t>reduction in BDI score</w:t>
      </w:r>
      <w:r w:rsidR="005F5CF4">
        <w:t>s</w:t>
      </w:r>
      <w:r w:rsidR="009B0E37" w:rsidRPr="009B0E37">
        <w:t xml:space="preserve"> from 28 at intake to 10 at posttreatment.</w:t>
      </w:r>
      <w:r w:rsidR="009B0E37">
        <w:t xml:space="preserve"> </w:t>
      </w:r>
      <w:r w:rsidR="009B0E37" w:rsidRPr="009B0E37">
        <w:t xml:space="preserve"> </w:t>
      </w:r>
      <w:r w:rsidR="0084155F" w:rsidRPr="00F57420">
        <w:t>Finally, no known clinical psychology trials for scrupulosity have been conducted to date</w:t>
      </w:r>
      <w:r w:rsidR="00CC056C" w:rsidRPr="00F57420">
        <w:t xml:space="preserve">, suggesting room for additional </w:t>
      </w:r>
      <w:r w:rsidR="007E1BE6" w:rsidRPr="00F57420">
        <w:t xml:space="preserve">scrupulosity </w:t>
      </w:r>
      <w:r w:rsidR="00CC056C" w:rsidRPr="00F57420">
        <w:t>research</w:t>
      </w:r>
      <w:r w:rsidR="009B0E37">
        <w:t>.</w:t>
      </w:r>
    </w:p>
    <w:p w:rsidR="001659BF" w:rsidRPr="00F57420" w:rsidRDefault="001659BF" w:rsidP="00437B24">
      <w:pPr>
        <w:spacing w:line="480" w:lineRule="auto"/>
        <w:ind w:firstLine="720"/>
      </w:pPr>
      <w:r w:rsidRPr="00F57420">
        <w:t xml:space="preserve">Acceptance and </w:t>
      </w:r>
      <w:r w:rsidR="008B506E" w:rsidRPr="00F57420">
        <w:t>c</w:t>
      </w:r>
      <w:r w:rsidRPr="00F57420">
        <w:t xml:space="preserve">ommitment </w:t>
      </w:r>
      <w:r w:rsidR="008B506E" w:rsidRPr="00F57420">
        <w:t>t</w:t>
      </w:r>
      <w:r w:rsidRPr="00F57420">
        <w:t xml:space="preserve">herapy (ACT) for OCD is a form of </w:t>
      </w:r>
      <w:r w:rsidR="00C67FCB">
        <w:t>cognitive behavioral therapy (CBT)</w:t>
      </w:r>
      <w:r w:rsidRPr="00F57420">
        <w:t xml:space="preserve"> that holds promise for scrupulosity </w:t>
      </w:r>
      <w:r w:rsidR="0072249B">
        <w:t xml:space="preserve">based OCD </w:t>
      </w:r>
      <w:r w:rsidRPr="00F57420">
        <w:t>(</w:t>
      </w:r>
      <w:r w:rsidRPr="00F57420">
        <w:rPr>
          <w:rFonts w:eastAsia="Cambria"/>
        </w:rPr>
        <w:t xml:space="preserve">Twohig, 2009). </w:t>
      </w:r>
      <w:r w:rsidRPr="00F57420">
        <w:t xml:space="preserve"> </w:t>
      </w:r>
      <w:r w:rsidR="0072249B">
        <w:t xml:space="preserve">ACT for OCD </w:t>
      </w:r>
      <w:r w:rsidRPr="00F57420">
        <w:t xml:space="preserve">seeks to </w:t>
      </w:r>
      <w:r w:rsidR="00FA4329">
        <w:t xml:space="preserve">address the context </w:t>
      </w:r>
      <w:r w:rsidR="00A74EB7">
        <w:t xml:space="preserve">in which </w:t>
      </w:r>
      <w:r w:rsidRPr="00F57420">
        <w:t>obsessions</w:t>
      </w:r>
      <w:r w:rsidR="00FA4329">
        <w:t xml:space="preserve"> are experienced </w:t>
      </w:r>
      <w:r w:rsidRPr="00F57420">
        <w:t xml:space="preserve">through the teaching and practice of such concepts as: acceptance of thoughts and feelings, learning to disempower thoughts and feelings by not giving them more significance than they merit, mindfulness, and values-based committed action.  </w:t>
      </w:r>
      <w:r w:rsidR="0072249B">
        <w:t xml:space="preserve">These skills are taught through exercises, discussion, and experiential </w:t>
      </w:r>
      <w:r w:rsidR="00D45D47">
        <w:t xml:space="preserve">exercises and </w:t>
      </w:r>
      <w:r w:rsidR="0072249B">
        <w:t>metaphors in the therapy sessions</w:t>
      </w:r>
      <w:r w:rsidR="00FE1855">
        <w:t>.  T</w:t>
      </w:r>
      <w:r w:rsidR="00DC764C">
        <w:t xml:space="preserve">hrough weekly homework assignments, clients are able to further apply the </w:t>
      </w:r>
      <w:r w:rsidR="00DC764C" w:rsidRPr="00DC764C">
        <w:t>techniques learned in session to real life situations and problems.</w:t>
      </w:r>
    </w:p>
    <w:p w:rsidR="00E75648" w:rsidRDefault="00437B24" w:rsidP="00437B24">
      <w:pPr>
        <w:spacing w:line="480" w:lineRule="auto"/>
        <w:ind w:firstLine="720"/>
      </w:pPr>
      <w:r w:rsidRPr="00F57420">
        <w:t>ACT</w:t>
      </w:r>
      <w:r w:rsidR="00F03791" w:rsidRPr="00F57420">
        <w:t xml:space="preserve"> </w:t>
      </w:r>
      <w:r w:rsidRPr="00F57420">
        <w:t xml:space="preserve">has been </w:t>
      </w:r>
      <w:r w:rsidR="00F03791" w:rsidRPr="00F57420">
        <w:t xml:space="preserve">shown </w:t>
      </w:r>
      <w:r w:rsidRPr="00F57420">
        <w:t>to be a viable treatment for OCD in at least two studies</w:t>
      </w:r>
      <w:r w:rsidR="0072249B">
        <w:t xml:space="preserve"> (</w:t>
      </w:r>
      <w:r w:rsidR="0072249B" w:rsidRPr="00F57420">
        <w:rPr>
          <w:rFonts w:eastAsia="Calibri"/>
        </w:rPr>
        <w:t>Twohig et al., 2010</w:t>
      </w:r>
      <w:r w:rsidR="0072249B">
        <w:rPr>
          <w:rFonts w:eastAsia="Calibri"/>
        </w:rPr>
        <w:t xml:space="preserve">; </w:t>
      </w:r>
      <w:r w:rsidR="0072249B" w:rsidRPr="00F57420">
        <w:rPr>
          <w:rFonts w:eastAsia="Calibri"/>
        </w:rPr>
        <w:t>Twohig et al., 2006</w:t>
      </w:r>
      <w:r w:rsidR="0072249B">
        <w:rPr>
          <w:rFonts w:eastAsia="Calibri"/>
        </w:rPr>
        <w:t>)</w:t>
      </w:r>
      <w:r w:rsidRPr="00F57420">
        <w:t xml:space="preserve">.  </w:t>
      </w:r>
      <w:r w:rsidR="0072249B">
        <w:t xml:space="preserve">In these studies, ERP or similar </w:t>
      </w:r>
      <w:r w:rsidR="003264AA">
        <w:t>practices</w:t>
      </w:r>
      <w:r w:rsidR="0072249B">
        <w:t xml:space="preserve"> were not used so that the effects of ACT could be determined without the influence of already supported procedures. </w:t>
      </w:r>
      <w:r w:rsidR="00A74EB7">
        <w:t xml:space="preserve"> </w:t>
      </w:r>
      <w:r w:rsidR="00E75648">
        <w:t>If ACT was first tested with exposure exercises, it would have been difficult to determine what components were producing the outcomes.</w:t>
      </w:r>
      <w:r w:rsidR="00A74EB7">
        <w:t xml:space="preserve"> </w:t>
      </w:r>
      <w:r w:rsidR="00E75648">
        <w:t xml:space="preserve"> Since the effects of ACT alone have been demonstrated, other studies have been testing the effects of combining ACT and traditional exposure exercises </w:t>
      </w:r>
      <w:r w:rsidR="00C8541D">
        <w:t>(</w:t>
      </w:r>
      <w:r w:rsidR="00E75648">
        <w:t xml:space="preserve">e.g., </w:t>
      </w:r>
      <w:proofErr w:type="spellStart"/>
      <w:r w:rsidR="00C8541D">
        <w:t>Meuret</w:t>
      </w:r>
      <w:proofErr w:type="spellEnd"/>
      <w:r w:rsidR="00C8541D">
        <w:t xml:space="preserve">, Twohig, Hayes, </w:t>
      </w:r>
      <w:proofErr w:type="spellStart"/>
      <w:r w:rsidR="00C8541D">
        <w:t>Rosenfield</w:t>
      </w:r>
      <w:proofErr w:type="spellEnd"/>
      <w:r w:rsidR="00C8541D">
        <w:t xml:space="preserve">, &amp; </w:t>
      </w:r>
      <w:proofErr w:type="spellStart"/>
      <w:r w:rsidR="00C8541D">
        <w:t>Craske</w:t>
      </w:r>
      <w:proofErr w:type="spellEnd"/>
      <w:r w:rsidR="00C8541D">
        <w:t>, 2012)</w:t>
      </w:r>
      <w:r w:rsidR="00E75648">
        <w:t>.</w:t>
      </w:r>
      <w:r w:rsidR="0071689A">
        <w:t xml:space="preserve"> </w:t>
      </w:r>
    </w:p>
    <w:p w:rsidR="00437B24" w:rsidRPr="00F57420" w:rsidRDefault="00437B24" w:rsidP="00437B24">
      <w:pPr>
        <w:spacing w:line="480" w:lineRule="auto"/>
        <w:ind w:firstLine="720"/>
        <w:rPr>
          <w:rFonts w:eastAsia="Calibri"/>
        </w:rPr>
      </w:pPr>
      <w:r w:rsidRPr="00F57420">
        <w:lastRenderedPageBreak/>
        <w:t xml:space="preserve">In a </w:t>
      </w:r>
      <w:r w:rsidRPr="00F57420">
        <w:rPr>
          <w:rFonts w:eastAsia="Calibri"/>
        </w:rPr>
        <w:t>multiple baseline across participants design using ACT for OCD (Twohig et al., 2006)</w:t>
      </w:r>
      <w:proofErr w:type="gramStart"/>
      <w:r w:rsidRPr="00F57420">
        <w:rPr>
          <w:rFonts w:eastAsia="Calibri"/>
        </w:rPr>
        <w:t>,</w:t>
      </w:r>
      <w:proofErr w:type="gramEnd"/>
      <w:r w:rsidRPr="00F57420">
        <w:rPr>
          <w:rFonts w:eastAsia="Calibri"/>
        </w:rPr>
        <w:t xml:space="preserve"> significant reductions in compulsions were achieved by all participants with results maintained at 3-month follow-up</w:t>
      </w:r>
      <w:r w:rsidR="00490D31" w:rsidRPr="00F57420">
        <w:rPr>
          <w:rFonts w:eastAsia="Calibri"/>
        </w:rPr>
        <w:t xml:space="preserve">.  OCD symptom severity (as measured by the OCI) improved by 68% from pretreatment to posttreatment, and increased to 81% at follow-up.  </w:t>
      </w:r>
      <w:r w:rsidR="008D5D3E" w:rsidRPr="00F57420">
        <w:rPr>
          <w:rFonts w:eastAsia="Calibri"/>
        </w:rPr>
        <w:t>I</w:t>
      </w:r>
      <w:r w:rsidRPr="00F57420">
        <w:rPr>
          <w:rFonts w:eastAsia="Calibri"/>
        </w:rPr>
        <w:t>n a randomized clinical trial for OCD (</w:t>
      </w:r>
      <w:r w:rsidR="0072249B" w:rsidRPr="00F57420">
        <w:rPr>
          <w:rFonts w:eastAsia="Calibri"/>
        </w:rPr>
        <w:t>Twohig et al., 2010</w:t>
      </w:r>
      <w:r w:rsidRPr="00F57420">
        <w:rPr>
          <w:rFonts w:eastAsia="Calibri"/>
        </w:rPr>
        <w:t>), eight sessions of ACT for OCD were compared to a control treatment of Progressive Relaxation Training (</w:t>
      </w:r>
      <w:r w:rsidR="00394F21">
        <w:rPr>
          <w:rFonts w:eastAsia="Calibri"/>
        </w:rPr>
        <w:t>P</w:t>
      </w:r>
      <w:r w:rsidRPr="00F57420">
        <w:rPr>
          <w:rFonts w:eastAsia="Calibri"/>
        </w:rPr>
        <w:t xml:space="preserve">RT) (N=79). </w:t>
      </w:r>
      <w:r w:rsidR="00490D31" w:rsidRPr="00F57420">
        <w:rPr>
          <w:rFonts w:eastAsia="Calibri"/>
        </w:rPr>
        <w:t xml:space="preserve"> </w:t>
      </w:r>
      <w:r w:rsidRPr="00F57420">
        <w:rPr>
          <w:rFonts w:eastAsia="Calibri"/>
        </w:rPr>
        <w:t xml:space="preserve">ACT demonstrated greater positive change in OCD severity </w:t>
      </w:r>
      <w:r w:rsidR="00490D31" w:rsidRPr="00F57420">
        <w:rPr>
          <w:rFonts w:eastAsia="Calibri"/>
        </w:rPr>
        <w:t xml:space="preserve">as measured by the </w:t>
      </w:r>
      <w:r w:rsidR="00B83FF7">
        <w:rPr>
          <w:rFonts w:eastAsia="Calibri"/>
        </w:rPr>
        <w:t>Y-BOCS</w:t>
      </w:r>
      <w:r w:rsidR="00490D31" w:rsidRPr="00F57420">
        <w:rPr>
          <w:rFonts w:eastAsia="Calibri"/>
        </w:rPr>
        <w:t xml:space="preserve"> (</w:t>
      </w:r>
      <w:r w:rsidRPr="00F57420">
        <w:rPr>
          <w:rFonts w:eastAsia="Calibri"/>
        </w:rPr>
        <w:t>ACT pre=24.22, post=12.76, follow-up=11.79; PRT pre=25.4, post=18.67, follow-up=16.23), and clinical</w:t>
      </w:r>
      <w:r w:rsidR="003264AA">
        <w:rPr>
          <w:rFonts w:eastAsia="Calibri"/>
        </w:rPr>
        <w:t xml:space="preserve">ly significant change </w:t>
      </w:r>
      <w:r w:rsidRPr="00F57420">
        <w:rPr>
          <w:rFonts w:eastAsia="Calibri"/>
        </w:rPr>
        <w:t xml:space="preserve">rates were also significantly in favor of ACT (ACT post=46-56%, follow-up 46-66%; PRT post=13%-18%, follow-up 16-18%).  ACT demonstrated low treatment refusal (ACT=2.4%, PRT=7.8%) and drop-out (ACT=9.8%, PRT=13.2%) rates, and significantly greater treatment acceptability than PRT (ACT=4.38, PRT=3.28 on a 5-point scale).  </w:t>
      </w:r>
    </w:p>
    <w:p w:rsidR="00437B24" w:rsidRPr="00F57420" w:rsidRDefault="003264AA" w:rsidP="003264AA">
      <w:pPr>
        <w:spacing w:line="480" w:lineRule="auto"/>
        <w:ind w:firstLine="720"/>
      </w:pPr>
      <w:r>
        <w:rPr>
          <w:rFonts w:eastAsia="Calibri"/>
        </w:rPr>
        <w:t xml:space="preserve">ACT appears to be an especially good </w:t>
      </w:r>
      <w:r w:rsidR="00CC0570">
        <w:rPr>
          <w:rFonts w:eastAsia="Calibri"/>
        </w:rPr>
        <w:t xml:space="preserve">fit </w:t>
      </w:r>
      <w:r>
        <w:rPr>
          <w:rFonts w:eastAsia="Calibri"/>
        </w:rPr>
        <w:t xml:space="preserve">for the treatment of scrupulosity based OCD. </w:t>
      </w:r>
      <w:r w:rsidR="008A6B9A">
        <w:rPr>
          <w:rFonts w:eastAsia="Calibri"/>
        </w:rPr>
        <w:t xml:space="preserve"> </w:t>
      </w:r>
      <w:r w:rsidR="00112DC4">
        <w:rPr>
          <w:rFonts w:eastAsia="Calibri"/>
        </w:rPr>
        <w:t>Because ACT targets the process of thinking, similar to other metacognitive therapies, ACT for scrupulosity based OCD can be successfully implemented without content knowledge of religious doctrine</w:t>
      </w:r>
      <w:r w:rsidR="00F469E6">
        <w:rPr>
          <w:rFonts w:eastAsia="Calibri"/>
        </w:rPr>
        <w:t xml:space="preserve">, and without excessive attention given to </w:t>
      </w:r>
      <w:r w:rsidR="00241FB9">
        <w:rPr>
          <w:rFonts w:eastAsia="Calibri"/>
        </w:rPr>
        <w:t>“</w:t>
      </w:r>
      <w:r w:rsidR="008A6B9A">
        <w:rPr>
          <w:rFonts w:eastAsia="Calibri"/>
        </w:rPr>
        <w:t>proper</w:t>
      </w:r>
      <w:r w:rsidR="00241FB9">
        <w:rPr>
          <w:rFonts w:eastAsia="Calibri"/>
        </w:rPr>
        <w:t>”</w:t>
      </w:r>
      <w:r w:rsidR="008A6B9A">
        <w:rPr>
          <w:rFonts w:eastAsia="Calibri"/>
        </w:rPr>
        <w:t xml:space="preserve"> religious practice</w:t>
      </w:r>
      <w:r w:rsidR="00112DC4">
        <w:rPr>
          <w:rFonts w:eastAsia="Calibri"/>
        </w:rPr>
        <w:t xml:space="preserve">. </w:t>
      </w:r>
      <w:r w:rsidR="008A6B9A">
        <w:rPr>
          <w:rFonts w:eastAsia="Calibri"/>
        </w:rPr>
        <w:t xml:space="preserve"> </w:t>
      </w:r>
      <w:r w:rsidR="00112DC4">
        <w:rPr>
          <w:rFonts w:eastAsia="Calibri"/>
        </w:rPr>
        <w:t xml:space="preserve">This can be useful because individuals with scrupulosity based OCD are </w:t>
      </w:r>
      <w:r w:rsidR="00F469E6">
        <w:rPr>
          <w:rFonts w:eastAsia="Calibri"/>
        </w:rPr>
        <w:t xml:space="preserve">often </w:t>
      </w:r>
      <w:r w:rsidR="00112DC4">
        <w:rPr>
          <w:rFonts w:eastAsia="Calibri"/>
        </w:rPr>
        <w:t>stuck in the details of religious doctrine</w:t>
      </w:r>
      <w:r w:rsidR="00F469E6">
        <w:rPr>
          <w:rFonts w:eastAsia="Calibri"/>
        </w:rPr>
        <w:t xml:space="preserve"> or practice</w:t>
      </w:r>
      <w:r w:rsidR="00112DC4">
        <w:rPr>
          <w:rFonts w:eastAsia="Calibri"/>
        </w:rPr>
        <w:t xml:space="preserve">, usually to the detriment of </w:t>
      </w:r>
      <w:r w:rsidR="00F469E6">
        <w:rPr>
          <w:rFonts w:eastAsia="Calibri"/>
        </w:rPr>
        <w:t xml:space="preserve">meaningful </w:t>
      </w:r>
      <w:r w:rsidR="00112DC4">
        <w:rPr>
          <w:rFonts w:eastAsia="Calibri"/>
        </w:rPr>
        <w:t xml:space="preserve">religious </w:t>
      </w:r>
      <w:r w:rsidR="00F469E6">
        <w:rPr>
          <w:rFonts w:eastAsia="Calibri"/>
        </w:rPr>
        <w:t>activity</w:t>
      </w:r>
      <w:r w:rsidR="00112DC4">
        <w:rPr>
          <w:rFonts w:eastAsia="Calibri"/>
        </w:rPr>
        <w:t xml:space="preserve">. </w:t>
      </w:r>
      <w:r w:rsidR="008A6B9A">
        <w:rPr>
          <w:rFonts w:eastAsia="Calibri"/>
        </w:rPr>
        <w:t xml:space="preserve"> </w:t>
      </w:r>
      <w:r w:rsidR="00112DC4">
        <w:rPr>
          <w:rFonts w:eastAsia="Calibri"/>
        </w:rPr>
        <w:t xml:space="preserve">ACT helps clients find ways to </w:t>
      </w:r>
      <w:r w:rsidR="00A5415B">
        <w:rPr>
          <w:rFonts w:eastAsia="Calibri"/>
        </w:rPr>
        <w:t>live</w:t>
      </w:r>
      <w:r w:rsidR="00F469E6">
        <w:rPr>
          <w:rFonts w:eastAsia="Calibri"/>
        </w:rPr>
        <w:t xml:space="preserve"> </w:t>
      </w:r>
      <w:r w:rsidR="00112DC4">
        <w:rPr>
          <w:rFonts w:eastAsia="Calibri"/>
        </w:rPr>
        <w:t xml:space="preserve">regardless of </w:t>
      </w:r>
      <w:r w:rsidR="00F469E6">
        <w:rPr>
          <w:rFonts w:eastAsia="Calibri"/>
        </w:rPr>
        <w:t xml:space="preserve">their </w:t>
      </w:r>
      <w:r w:rsidR="00112DC4">
        <w:rPr>
          <w:rFonts w:eastAsia="Calibri"/>
        </w:rPr>
        <w:t>obsessional concerns</w:t>
      </w:r>
      <w:r w:rsidR="00F469E6">
        <w:rPr>
          <w:rFonts w:eastAsia="Calibri"/>
        </w:rPr>
        <w:t xml:space="preserve">, </w:t>
      </w:r>
      <w:r w:rsidR="00112DC4">
        <w:rPr>
          <w:rFonts w:eastAsia="Calibri"/>
        </w:rPr>
        <w:t>and uses th</w:t>
      </w:r>
      <w:r w:rsidR="00241FB9">
        <w:rPr>
          <w:rFonts w:eastAsia="Calibri"/>
        </w:rPr>
        <w:t xml:space="preserve">e </w:t>
      </w:r>
      <w:r w:rsidR="00112DC4">
        <w:rPr>
          <w:rFonts w:eastAsia="Calibri"/>
        </w:rPr>
        <w:t xml:space="preserve">metric </w:t>
      </w:r>
      <w:r w:rsidR="00241FB9">
        <w:rPr>
          <w:rFonts w:eastAsia="Calibri"/>
        </w:rPr>
        <w:t xml:space="preserve">of “meaningful activities” </w:t>
      </w:r>
      <w:r w:rsidR="00112DC4">
        <w:rPr>
          <w:rFonts w:eastAsia="Calibri"/>
        </w:rPr>
        <w:t xml:space="preserve">to track treatment success. </w:t>
      </w:r>
      <w:r w:rsidR="008A6B9A">
        <w:rPr>
          <w:rFonts w:eastAsia="Calibri"/>
        </w:rPr>
        <w:t xml:space="preserve"> Thus, ACT for scrupulosity based OCD </w:t>
      </w:r>
      <w:r w:rsidR="00241FB9">
        <w:rPr>
          <w:rFonts w:eastAsia="Calibri"/>
        </w:rPr>
        <w:t xml:space="preserve">largely </w:t>
      </w:r>
      <w:r w:rsidR="008A6B9A">
        <w:rPr>
          <w:rFonts w:eastAsia="Calibri"/>
        </w:rPr>
        <w:t>sidesteps religious content</w:t>
      </w:r>
      <w:r w:rsidR="00241FB9">
        <w:rPr>
          <w:rFonts w:eastAsia="Calibri"/>
        </w:rPr>
        <w:t xml:space="preserve"> and cognitions</w:t>
      </w:r>
      <w:r w:rsidR="008A6B9A">
        <w:rPr>
          <w:rFonts w:eastAsia="Calibri"/>
        </w:rPr>
        <w:t xml:space="preserve">, and instead focuses </w:t>
      </w:r>
      <w:r w:rsidR="00CC0570">
        <w:rPr>
          <w:rFonts w:eastAsia="Calibri"/>
        </w:rPr>
        <w:t xml:space="preserve">on </w:t>
      </w:r>
      <w:r w:rsidR="008A6B9A">
        <w:rPr>
          <w:rFonts w:eastAsia="Calibri"/>
        </w:rPr>
        <w:t xml:space="preserve">how clients live their lives.  </w:t>
      </w:r>
      <w:r w:rsidR="00980C00">
        <w:rPr>
          <w:rFonts w:eastAsia="Calibri"/>
        </w:rPr>
        <w:t xml:space="preserve">It is through this process that clients may eventually learn ways to align their personal values and religious practices in a way that is personally meaningful.  </w:t>
      </w:r>
      <w:r w:rsidR="00112DC4">
        <w:rPr>
          <w:rFonts w:eastAsia="Calibri"/>
        </w:rPr>
        <w:t xml:space="preserve">Given the supportive </w:t>
      </w:r>
      <w:r w:rsidR="00112DC4">
        <w:rPr>
          <w:rFonts w:eastAsia="Calibri"/>
        </w:rPr>
        <w:lastRenderedPageBreak/>
        <w:t xml:space="preserve">outcomes seen in ACT for OCD generally, </w:t>
      </w:r>
      <w:r w:rsidR="008A6B9A">
        <w:rPr>
          <w:rFonts w:eastAsia="Calibri"/>
        </w:rPr>
        <w:t xml:space="preserve">the seemingly good fit for ACT, and </w:t>
      </w:r>
      <w:r w:rsidR="00112DC4">
        <w:rPr>
          <w:rFonts w:eastAsia="Calibri"/>
        </w:rPr>
        <w:t>the dearth of data on the treatment of scrupulosity based OCD, a preliminary test of ACT for scrupulosity based OCD seems warranted.</w:t>
      </w:r>
    </w:p>
    <w:p w:rsidR="00437B24" w:rsidRPr="00F57420" w:rsidRDefault="001659BF" w:rsidP="00166BAA">
      <w:pPr>
        <w:spacing w:line="480" w:lineRule="auto"/>
      </w:pPr>
      <w:r w:rsidRPr="00F57420">
        <w:tab/>
        <w:t xml:space="preserve">To provide initial data on the suitability of ACT for scrupulosity, this study employed a multiple baseline across participants design with </w:t>
      </w:r>
      <w:r w:rsidR="002712CD" w:rsidRPr="00F57420">
        <w:t>five</w:t>
      </w:r>
      <w:r w:rsidRPr="00F57420">
        <w:t xml:space="preserve"> participants with scrupulosity </w:t>
      </w:r>
      <w:r w:rsidR="00F469E6">
        <w:t>based</w:t>
      </w:r>
      <w:r w:rsidR="00F469E6" w:rsidRPr="00F57420">
        <w:t xml:space="preserve"> </w:t>
      </w:r>
      <w:r w:rsidRPr="00F57420">
        <w:t xml:space="preserve">OCD.  The treatment was based on ACT for OCD (Twohig et al., 2006; Twohig et al., </w:t>
      </w:r>
      <w:r w:rsidR="002D7043" w:rsidRPr="00F57420">
        <w:t>2010</w:t>
      </w:r>
      <w:r w:rsidRPr="00F57420">
        <w:t xml:space="preserve">), and was tailored for scrupulosity </w:t>
      </w:r>
      <w:r w:rsidR="003264AA">
        <w:t xml:space="preserve">based OCD </w:t>
      </w:r>
      <w:r w:rsidRPr="00F57420">
        <w:t xml:space="preserve">specifically.  </w:t>
      </w:r>
      <w:r w:rsidR="00136040">
        <w:t xml:space="preserve">Consistent with ACT’s focus on </w:t>
      </w:r>
      <w:r w:rsidR="00527981">
        <w:t>quality of life, t</w:t>
      </w:r>
      <w:r w:rsidRPr="00F57420">
        <w:t>he primary dependent variable</w:t>
      </w:r>
      <w:r w:rsidR="00B348FD" w:rsidRPr="00F57420">
        <w:t>s</w:t>
      </w:r>
      <w:r w:rsidRPr="00F57420">
        <w:t xml:space="preserve"> for this study </w:t>
      </w:r>
      <w:r w:rsidR="00B348FD" w:rsidRPr="00F57420">
        <w:t>were</w:t>
      </w:r>
      <w:r w:rsidR="00F469E6">
        <w:t>:</w:t>
      </w:r>
      <w:r w:rsidR="00B348FD" w:rsidRPr="00F57420">
        <w:t xml:space="preserve"> </w:t>
      </w:r>
      <w:r w:rsidR="002B285C">
        <w:t>a</w:t>
      </w:r>
      <w:r w:rsidR="00F469E6">
        <w:t xml:space="preserve">) </w:t>
      </w:r>
      <w:r w:rsidRPr="00F57420">
        <w:t>the frequency of daily compulsions</w:t>
      </w:r>
      <w:r w:rsidR="00F469E6">
        <w:t>,</w:t>
      </w:r>
      <w:r w:rsidR="00B348FD" w:rsidRPr="00F57420">
        <w:t xml:space="preserve"> and </w:t>
      </w:r>
      <w:r w:rsidR="002B285C">
        <w:t>b</w:t>
      </w:r>
      <w:r w:rsidR="00F469E6">
        <w:t xml:space="preserve">) </w:t>
      </w:r>
      <w:r w:rsidR="00B348FD" w:rsidRPr="00F57420">
        <w:t>avoided valued activities</w:t>
      </w:r>
      <w:r w:rsidR="002B285C">
        <w:t xml:space="preserve">, </w:t>
      </w:r>
      <w:r w:rsidRPr="00F57420">
        <w:t xml:space="preserve">tracked by each participant throughout the study.  </w:t>
      </w:r>
      <w:r w:rsidR="008D5D3E" w:rsidRPr="00F57420">
        <w:t xml:space="preserve">Self-report data </w:t>
      </w:r>
      <w:r w:rsidR="00FA4329">
        <w:t>were</w:t>
      </w:r>
      <w:r w:rsidR="008D5D3E" w:rsidRPr="00F57420">
        <w:t xml:space="preserve"> supported by standardized measures completed at pretreatment, posttreatment, and three month follow-up.  </w:t>
      </w:r>
      <w:r w:rsidRPr="00F57420">
        <w:t>The primary process (or independent variable) was psychological flexibility.</w:t>
      </w:r>
      <w:r w:rsidR="00DC764C">
        <w:t xml:space="preserve"> </w:t>
      </w:r>
      <w:r w:rsidR="00DC764C" w:rsidRPr="00DC764C">
        <w:t xml:space="preserve"> </w:t>
      </w:r>
      <w:r w:rsidR="00AB4CDE">
        <w:t xml:space="preserve">It is predicted that </w:t>
      </w:r>
      <w:r w:rsidR="008071C3">
        <w:t>that eight sessions of ACT for OCD</w:t>
      </w:r>
      <w:r w:rsidR="00FE1855">
        <w:t xml:space="preserve"> will result in </w:t>
      </w:r>
      <w:r w:rsidR="008071C3">
        <w:t>visibly significant reduction</w:t>
      </w:r>
      <w:r w:rsidR="00AE0C0E">
        <w:t>s</w:t>
      </w:r>
      <w:r w:rsidR="008071C3">
        <w:t xml:space="preserve"> in daily compulsions and avoided valued activities for a majority of participants </w:t>
      </w:r>
      <w:r w:rsidR="00AB4CDE">
        <w:t>and that p</w:t>
      </w:r>
      <w:r w:rsidR="008071C3">
        <w:t>sychological flexibility</w:t>
      </w:r>
      <w:r w:rsidR="00AB4CDE">
        <w:t xml:space="preserve"> will increase</w:t>
      </w:r>
      <w:r w:rsidR="008071C3">
        <w:t xml:space="preserve">.  </w:t>
      </w:r>
      <w:r w:rsidR="00AB4CDE">
        <w:t xml:space="preserve">It is predicted that </w:t>
      </w:r>
      <w:r w:rsidR="00AE0C0E">
        <w:t>ACT for OCD will also result in lower scores on</w:t>
      </w:r>
      <w:r w:rsidR="008071C3">
        <w:t xml:space="preserve"> </w:t>
      </w:r>
      <w:r w:rsidR="00AE0C0E">
        <w:t>OCD</w:t>
      </w:r>
      <w:r w:rsidR="00AB4CDE">
        <w:t xml:space="preserve">, </w:t>
      </w:r>
      <w:r w:rsidR="00AE0C0E">
        <w:t>scrupulosit</w:t>
      </w:r>
      <w:r w:rsidR="00AB4CDE">
        <w:t>y,</w:t>
      </w:r>
      <w:r w:rsidR="00AE0C0E">
        <w:t xml:space="preserve"> and depression measures, higher scores on quality of life measures, and no significant change</w:t>
      </w:r>
      <w:r w:rsidR="00AB4CDE">
        <w:t>s</w:t>
      </w:r>
      <w:r w:rsidR="00AE0C0E">
        <w:t xml:space="preserve"> on religiosity measures. </w:t>
      </w:r>
      <w:r w:rsidR="00AB4CDE">
        <w:t xml:space="preserve">Finally, it is predicted that participants will rate the treatment as acceptable. </w:t>
      </w:r>
    </w:p>
    <w:p w:rsidR="001659BF" w:rsidRPr="00F57420" w:rsidRDefault="001659BF" w:rsidP="001C0944">
      <w:pPr>
        <w:spacing w:line="480" w:lineRule="auto"/>
        <w:jc w:val="center"/>
        <w:rPr>
          <w:rFonts w:eastAsia="Calibri"/>
          <w:b/>
        </w:rPr>
      </w:pPr>
      <w:r w:rsidRPr="00F57420">
        <w:rPr>
          <w:b/>
        </w:rPr>
        <w:t>M</w:t>
      </w:r>
      <w:r w:rsidR="005A5949" w:rsidRPr="00F57420">
        <w:rPr>
          <w:b/>
        </w:rPr>
        <w:t>ethods</w:t>
      </w:r>
    </w:p>
    <w:p w:rsidR="001659BF" w:rsidRPr="00F57420" w:rsidRDefault="00EB0636" w:rsidP="001659BF">
      <w:pPr>
        <w:spacing w:line="480" w:lineRule="auto"/>
        <w:outlineLvl w:val="0"/>
        <w:rPr>
          <w:b/>
        </w:rPr>
      </w:pPr>
      <w:r w:rsidRPr="00F57420">
        <w:rPr>
          <w:b/>
        </w:rPr>
        <w:t>Participants</w:t>
      </w:r>
    </w:p>
    <w:p w:rsidR="00421984" w:rsidRPr="00F57420" w:rsidRDefault="00DC4466" w:rsidP="00F23E37">
      <w:pPr>
        <w:spacing w:line="480" w:lineRule="auto"/>
        <w:ind w:firstLine="720"/>
      </w:pPr>
      <w:r w:rsidRPr="00F57420">
        <w:t xml:space="preserve">Participants for this study were recruited through advertisements in local newspapers, websites, radio, flyers placed around the community, and through announcements made to undergraduate psychology classes at </w:t>
      </w:r>
      <w:r w:rsidR="008D5D3E" w:rsidRPr="00F57420">
        <w:t>a university in the western United States</w:t>
      </w:r>
      <w:r w:rsidRPr="00F57420">
        <w:t xml:space="preserve">.  </w:t>
      </w:r>
      <w:r w:rsidR="00E56903" w:rsidRPr="00F57420">
        <w:t xml:space="preserve">Inclusion criteria for the study </w:t>
      </w:r>
      <w:r w:rsidR="00D45D47">
        <w:t>were</w:t>
      </w:r>
      <w:r w:rsidR="00D45D47" w:rsidRPr="00F57420">
        <w:t xml:space="preserve"> </w:t>
      </w:r>
      <w:r w:rsidR="00E56903" w:rsidRPr="00F57420">
        <w:t xml:space="preserve">as follows: </w:t>
      </w:r>
      <w:r w:rsidR="008E18ED">
        <w:t>a</w:t>
      </w:r>
      <w:r w:rsidR="00E56903" w:rsidRPr="00F57420">
        <w:t xml:space="preserve">) over the age of 18, </w:t>
      </w:r>
      <w:r w:rsidR="008E18ED">
        <w:t>b</w:t>
      </w:r>
      <w:r w:rsidR="00E56903" w:rsidRPr="00F57420">
        <w:t xml:space="preserve">) a diagnosis of OCD based on the </w:t>
      </w:r>
      <w:r w:rsidR="00E56903" w:rsidRPr="00F57420">
        <w:lastRenderedPageBreak/>
        <w:t xml:space="preserve">Structured Clinical Interview for DSM-IV (SCID) (First, Spitzer, Gibbon, &amp; </w:t>
      </w:r>
      <w:proofErr w:type="spellStart"/>
      <w:r w:rsidR="00E56903" w:rsidRPr="00F57420">
        <w:t>Willams</w:t>
      </w:r>
      <w:proofErr w:type="spellEnd"/>
      <w:r w:rsidR="00E56903" w:rsidRPr="00F57420">
        <w:t xml:space="preserve">, 2002), and </w:t>
      </w:r>
      <w:r w:rsidR="008E18ED">
        <w:t>c</w:t>
      </w:r>
      <w:r w:rsidR="00E56903" w:rsidRPr="00F57420">
        <w:t>) an initial Y-BOCS endorsement of scrupulosity</w:t>
      </w:r>
      <w:r w:rsidR="00527981">
        <w:t xml:space="preserve"> based OCD</w:t>
      </w:r>
      <w:r w:rsidR="00E56903" w:rsidRPr="00F57420">
        <w:t xml:space="preserve">.  Exclusion criteria were the following: </w:t>
      </w:r>
      <w:r w:rsidR="008E18ED">
        <w:t>a</w:t>
      </w:r>
      <w:r w:rsidR="00E56903" w:rsidRPr="00F57420">
        <w:t xml:space="preserve">) non-English speaking, </w:t>
      </w:r>
      <w:r w:rsidR="008E18ED">
        <w:t>b</w:t>
      </w:r>
      <w:r w:rsidR="00E56903" w:rsidRPr="00F57420">
        <w:t xml:space="preserve">) a primary DSM diagnosis other than OCD, </w:t>
      </w:r>
      <w:r w:rsidR="008E18ED">
        <w:t>c</w:t>
      </w:r>
      <w:r w:rsidR="00E56903" w:rsidRPr="00F57420">
        <w:t xml:space="preserve">) current participation in psychotherapy elsewhere, or having received treatment within the past 30 days, </w:t>
      </w:r>
      <w:r w:rsidR="008E18ED">
        <w:t>d</w:t>
      </w:r>
      <w:r w:rsidR="00E56903" w:rsidRPr="00F57420">
        <w:t xml:space="preserve">) any change in psychotropic prescription usage over the past 30 days, or a plan to change current prescription levels over the course of treatment, or </w:t>
      </w:r>
      <w:r w:rsidR="008E18ED">
        <w:t>e</w:t>
      </w:r>
      <w:r w:rsidR="00E56903" w:rsidRPr="00F57420">
        <w:t xml:space="preserve">) any type of detectable disability that would severely interfere with participation in the study.  </w:t>
      </w:r>
      <w:r w:rsidR="004532A6" w:rsidRPr="00F57420">
        <w:t>Eighteen participants were formally screened for the study</w:t>
      </w:r>
      <w:r w:rsidR="0078094C" w:rsidRPr="00F57420">
        <w:t>.  N</w:t>
      </w:r>
      <w:r w:rsidR="004532A6" w:rsidRPr="00F57420">
        <w:t>ine did not qualify</w:t>
      </w:r>
      <w:r w:rsidR="00E6381E" w:rsidRPr="00F57420">
        <w:t xml:space="preserve"> either because they did not meet criteria for OCD, or because their obsessions and compulsions were not religious in nature</w:t>
      </w:r>
      <w:r w:rsidR="0078094C" w:rsidRPr="00F57420">
        <w:t xml:space="preserve">.  </w:t>
      </w:r>
      <w:r w:rsidR="00A864D2">
        <w:t xml:space="preserve">Two </w:t>
      </w:r>
      <w:r w:rsidR="00CC6AA5" w:rsidRPr="00F57420">
        <w:t xml:space="preserve">qualified after the </w:t>
      </w:r>
      <w:r w:rsidR="004532A6" w:rsidRPr="00F57420">
        <w:t>initial screening</w:t>
      </w:r>
      <w:r w:rsidR="008D5D3E" w:rsidRPr="00F57420">
        <w:t xml:space="preserve"> </w:t>
      </w:r>
      <w:r w:rsidR="00CC6AA5" w:rsidRPr="00F57420">
        <w:t>but chose not to participate in the study</w:t>
      </w:r>
      <w:r w:rsidR="0078094C" w:rsidRPr="00F57420">
        <w:t xml:space="preserve"> due to either excessive travel requirements, or not wanting to monitor their daily compulsions</w:t>
      </w:r>
      <w:r w:rsidR="004532A6" w:rsidRPr="00F57420">
        <w:t>.  Seven were accepted into the study and began baseline tracking, and two dropped out of the study prior to beginning treatment</w:t>
      </w:r>
      <w:r w:rsidR="00CC6AA5" w:rsidRPr="00F57420">
        <w:t xml:space="preserve"> (</w:t>
      </w:r>
      <w:r w:rsidR="0078094C" w:rsidRPr="00F57420">
        <w:t xml:space="preserve">one due to not wanting to continue tracking his compulsions, and the other because his symptom severity improved </w:t>
      </w:r>
      <w:r w:rsidR="00C4607A" w:rsidRPr="00F57420">
        <w:t xml:space="preserve">to the point of </w:t>
      </w:r>
      <w:r w:rsidR="0078094C" w:rsidRPr="00F57420">
        <w:t>no longer desir</w:t>
      </w:r>
      <w:r w:rsidR="00C4607A" w:rsidRPr="00F57420">
        <w:t>ing</w:t>
      </w:r>
      <w:r w:rsidR="0078094C" w:rsidRPr="00F57420">
        <w:t xml:space="preserve"> treatment</w:t>
      </w:r>
      <w:r w:rsidR="00CC6AA5" w:rsidRPr="00F57420">
        <w:t>)</w:t>
      </w:r>
      <w:r w:rsidR="004532A6" w:rsidRPr="00F57420">
        <w:t xml:space="preserve">.  </w:t>
      </w:r>
      <w:r w:rsidR="001A1EC4" w:rsidRPr="00F57420">
        <w:t xml:space="preserve">Table 1 details the primary participant characteristics of those who </w:t>
      </w:r>
      <w:r w:rsidR="00571E32">
        <w:t>began</w:t>
      </w:r>
      <w:r w:rsidR="001A1EC4" w:rsidRPr="00F57420">
        <w:t xml:space="preserve"> treatment.</w:t>
      </w:r>
      <w:r w:rsidR="00F23E37" w:rsidRPr="00F57420">
        <w:t xml:space="preserve"> </w:t>
      </w:r>
    </w:p>
    <w:p w:rsidR="001659BF" w:rsidRPr="00F57420" w:rsidRDefault="00EB0636" w:rsidP="001659BF">
      <w:pPr>
        <w:spacing w:line="480" w:lineRule="auto"/>
        <w:outlineLvl w:val="0"/>
        <w:rPr>
          <w:b/>
        </w:rPr>
      </w:pPr>
      <w:r w:rsidRPr="00F57420">
        <w:rPr>
          <w:b/>
        </w:rPr>
        <w:t>Measures</w:t>
      </w:r>
    </w:p>
    <w:p w:rsidR="001659BF" w:rsidRPr="00F57420" w:rsidRDefault="00EB0636" w:rsidP="00527981">
      <w:pPr>
        <w:spacing w:line="480" w:lineRule="auto"/>
        <w:ind w:firstLine="720"/>
        <w:outlineLvl w:val="0"/>
        <w:rPr>
          <w:b/>
        </w:rPr>
      </w:pPr>
      <w:r w:rsidRPr="00F57420">
        <w:rPr>
          <w:b/>
        </w:rPr>
        <w:t>Diagnostic Measures</w:t>
      </w:r>
    </w:p>
    <w:p w:rsidR="001659BF" w:rsidRPr="00F57420" w:rsidRDefault="001659BF" w:rsidP="001659BF">
      <w:pPr>
        <w:spacing w:line="480" w:lineRule="auto"/>
      </w:pPr>
      <w:r w:rsidRPr="00F57420">
        <w:rPr>
          <w:i/>
        </w:rPr>
        <w:tab/>
      </w:r>
      <w:proofErr w:type="gramStart"/>
      <w:r w:rsidR="00EB0636" w:rsidRPr="00527981">
        <w:rPr>
          <w:b/>
          <w:i/>
        </w:rPr>
        <w:t>Structured Clinical Interview for DSM-IV (SCID)</w:t>
      </w:r>
      <w:r w:rsidRPr="00F57420">
        <w:t xml:space="preserve"> (First et al., 2002)</w:t>
      </w:r>
      <w:r w:rsidR="00E56903" w:rsidRPr="00F57420">
        <w:t>.</w:t>
      </w:r>
      <w:proofErr w:type="gramEnd"/>
      <w:r w:rsidRPr="00F57420">
        <w:t xml:space="preserve">  The SCID is a semi-structured interview for making DSM-IV Axis I diagnoses.  It is widely held as the gold standard for both psychological and psychiatric diagnosis, and has demonstrated suitable reliability and validity in multiple studies (Segal, </w:t>
      </w:r>
      <w:proofErr w:type="spellStart"/>
      <w:r w:rsidRPr="00F57420">
        <w:t>Hersen</w:t>
      </w:r>
      <w:proofErr w:type="spellEnd"/>
      <w:r w:rsidRPr="00F57420">
        <w:t>, &amp; Van Hasselt, 1994).</w:t>
      </w:r>
    </w:p>
    <w:p w:rsidR="001659BF" w:rsidRPr="00F57420" w:rsidRDefault="00EB0636" w:rsidP="00527981">
      <w:pPr>
        <w:spacing w:line="480" w:lineRule="auto"/>
        <w:ind w:firstLine="720"/>
        <w:outlineLvl w:val="0"/>
        <w:rPr>
          <w:b/>
        </w:rPr>
      </w:pPr>
      <w:r w:rsidRPr="00F57420">
        <w:rPr>
          <w:b/>
        </w:rPr>
        <w:t>Outcome Measures</w:t>
      </w:r>
    </w:p>
    <w:p w:rsidR="001659BF" w:rsidRPr="00F57420" w:rsidRDefault="00EB0636" w:rsidP="001659BF">
      <w:pPr>
        <w:spacing w:line="480" w:lineRule="auto"/>
        <w:ind w:firstLine="720"/>
      </w:pPr>
      <w:proofErr w:type="gramStart"/>
      <w:r w:rsidRPr="008E18ED">
        <w:rPr>
          <w:b/>
          <w:i/>
        </w:rPr>
        <w:lastRenderedPageBreak/>
        <w:t>Self-Monitoring</w:t>
      </w:r>
      <w:r w:rsidRPr="00527981">
        <w:rPr>
          <w:b/>
          <w:i/>
        </w:rPr>
        <w:t>.</w:t>
      </w:r>
      <w:proofErr w:type="gramEnd"/>
      <w:r w:rsidR="001659BF" w:rsidRPr="00F57420">
        <w:t xml:space="preserve">  </w:t>
      </w:r>
      <w:r w:rsidR="002571F3" w:rsidRPr="00F57420">
        <w:t>C</w:t>
      </w:r>
      <w:r w:rsidR="001659BF" w:rsidRPr="00F57420">
        <w:t xml:space="preserve">ompulsions </w:t>
      </w:r>
      <w:r w:rsidR="00515FD8" w:rsidRPr="00F57420">
        <w:t xml:space="preserve">and avoided </w:t>
      </w:r>
      <w:r w:rsidR="00745BD1" w:rsidRPr="00F57420">
        <w:t xml:space="preserve">valued </w:t>
      </w:r>
      <w:r w:rsidR="00515FD8" w:rsidRPr="00F57420">
        <w:t xml:space="preserve">activities </w:t>
      </w:r>
      <w:r w:rsidR="001659BF" w:rsidRPr="00F57420">
        <w:t>were operationally defined for each participant</w:t>
      </w:r>
      <w:r w:rsidR="00E56903" w:rsidRPr="00F57420">
        <w:t xml:space="preserve">, and these </w:t>
      </w:r>
      <w:r w:rsidR="001659BF" w:rsidRPr="00F57420">
        <w:t xml:space="preserve">definitions were used to track the </w:t>
      </w:r>
      <w:r w:rsidR="00E56903" w:rsidRPr="00F57420">
        <w:t>occurrence of these behaviors.</w:t>
      </w:r>
      <w:r w:rsidR="00241FB9">
        <w:t xml:space="preserve">  </w:t>
      </w:r>
      <w:r w:rsidR="00D26443">
        <w:t xml:space="preserve">Compulsions were </w:t>
      </w:r>
      <w:r w:rsidR="00B83FF7">
        <w:t xml:space="preserve">individually </w:t>
      </w:r>
      <w:r w:rsidR="00D26443">
        <w:t>defined, and a</w:t>
      </w:r>
      <w:r w:rsidR="009B0E37">
        <w:t xml:space="preserve">voided valued activities </w:t>
      </w:r>
      <w:r w:rsidR="00D26443">
        <w:t xml:space="preserve">were defined as valued activities that were avoided because of fear that they might trigger the obsessions or compulsions (e.g. praying, going to church or the temple, etc.).  </w:t>
      </w:r>
      <w:r w:rsidR="001659BF" w:rsidRPr="00F57420">
        <w:t xml:space="preserve">At the end of each day, participants were sent an email reminding them to enter their data into a secure online web form.  These data </w:t>
      </w:r>
      <w:r w:rsidR="00E56903" w:rsidRPr="00F57420">
        <w:t>were</w:t>
      </w:r>
      <w:r w:rsidR="001659BF" w:rsidRPr="00F57420">
        <w:t xml:space="preserve"> the primary dependent variables for this study, upon which treatment decisions were based.  </w:t>
      </w:r>
      <w:r w:rsidR="00241FB9">
        <w:t>While specific reliability and validity statistics are not available</w:t>
      </w:r>
      <w:r w:rsidR="00B85C66">
        <w:t xml:space="preserve"> </w:t>
      </w:r>
      <w:r w:rsidR="003E2F2D">
        <w:t>for</w:t>
      </w:r>
      <w:r w:rsidR="00B85C66">
        <w:t xml:space="preserve"> this study, self-monitoring of specific behaviors, after appropriate training, has been found to result in accurate assessment</w:t>
      </w:r>
      <w:r w:rsidR="0015086B">
        <w:t xml:space="preserve"> of</w:t>
      </w:r>
      <w:r w:rsidR="00B85C66">
        <w:t xml:space="preserve"> one’s behavior (</w:t>
      </w:r>
      <w:proofErr w:type="spellStart"/>
      <w:r w:rsidR="00B85C66">
        <w:t>Korotitsch</w:t>
      </w:r>
      <w:proofErr w:type="spellEnd"/>
      <w:r w:rsidR="00B85C66">
        <w:t xml:space="preserve"> &amp; Nelson-Gray, 1999; Jackson, 1999). </w:t>
      </w:r>
    </w:p>
    <w:p w:rsidR="001659BF" w:rsidRPr="00F57420" w:rsidRDefault="001659BF" w:rsidP="001659BF">
      <w:pPr>
        <w:spacing w:line="480" w:lineRule="auto"/>
      </w:pPr>
      <w:r w:rsidRPr="00F57420">
        <w:rPr>
          <w:i/>
        </w:rPr>
        <w:tab/>
      </w:r>
      <w:r w:rsidR="00EB0636" w:rsidRPr="00527981">
        <w:rPr>
          <w:b/>
          <w:i/>
        </w:rPr>
        <w:t>Obsessive-Compulsive Inventory – Revised (OCI-R)</w:t>
      </w:r>
      <w:r w:rsidRPr="00F57420">
        <w:t xml:space="preserve"> (</w:t>
      </w:r>
      <w:proofErr w:type="spellStart"/>
      <w:r w:rsidRPr="00F57420">
        <w:t>Foa</w:t>
      </w:r>
      <w:proofErr w:type="spellEnd"/>
      <w:r w:rsidRPr="00F57420">
        <w:t xml:space="preserve"> et al., 2002). </w:t>
      </w:r>
      <w:r w:rsidR="00716B6E">
        <w:t xml:space="preserve"> </w:t>
      </w:r>
      <w:r w:rsidRPr="00F57420">
        <w:t xml:space="preserve">The OCI-R is an 18-item self-report measure </w:t>
      </w:r>
      <w:r w:rsidR="00D26443">
        <w:t xml:space="preserve">of </w:t>
      </w:r>
      <w:r w:rsidR="00203C29">
        <w:t xml:space="preserve">common OCD </w:t>
      </w:r>
      <w:r w:rsidR="00D26443">
        <w:t xml:space="preserve">symptoms, </w:t>
      </w:r>
      <w:r w:rsidRPr="00F57420">
        <w:t xml:space="preserve">wherein respondents rate bother/distress on a scale of </w:t>
      </w:r>
      <w:r w:rsidR="002712CD" w:rsidRPr="00F57420">
        <w:t xml:space="preserve">zero </w:t>
      </w:r>
      <w:r w:rsidRPr="00F57420">
        <w:t xml:space="preserve">to </w:t>
      </w:r>
      <w:r w:rsidR="002712CD" w:rsidRPr="00F57420">
        <w:t>four</w:t>
      </w:r>
      <w:r w:rsidRPr="00F57420">
        <w:t xml:space="preserve"> (not at all to very much).</w:t>
      </w:r>
      <w:r w:rsidR="00203C29">
        <w:t xml:space="preserve"> </w:t>
      </w:r>
      <w:r w:rsidRPr="00F57420">
        <w:t xml:space="preserve"> The OCI-R assesses six primary sub-domains: 1) washing, 2) obsessing, 3) hoarding, 4) ordering, 5) checking, and 6) neutralizing. </w:t>
      </w:r>
      <w:r w:rsidR="00716B6E">
        <w:t xml:space="preserve"> </w:t>
      </w:r>
      <w:r w:rsidRPr="00F57420">
        <w:t xml:space="preserve">Overall scores on the OCI-R range between 0 and 72, and subscale scores range between zero and 12. </w:t>
      </w:r>
      <w:r w:rsidR="00716B6E">
        <w:t xml:space="preserve"> </w:t>
      </w:r>
      <w:r w:rsidRPr="00F57420">
        <w:t>The OCI-R possesses good psychometric properties (alphas between .81 and .93) and adequate test–retest reliability (.57– .91) (</w:t>
      </w:r>
      <w:proofErr w:type="spellStart"/>
      <w:r w:rsidRPr="00F57420">
        <w:t>Foa</w:t>
      </w:r>
      <w:proofErr w:type="spellEnd"/>
      <w:r w:rsidRPr="00F57420">
        <w:t xml:space="preserve"> et al., 2002).</w:t>
      </w:r>
    </w:p>
    <w:p w:rsidR="001659BF" w:rsidRPr="00F57420" w:rsidRDefault="001659BF" w:rsidP="001659BF">
      <w:pPr>
        <w:spacing w:line="480" w:lineRule="auto"/>
        <w:rPr>
          <w:i/>
        </w:rPr>
      </w:pPr>
      <w:r w:rsidRPr="00F57420">
        <w:rPr>
          <w:i/>
        </w:rPr>
        <w:tab/>
      </w:r>
      <w:proofErr w:type="gramStart"/>
      <w:r w:rsidR="00EB0636" w:rsidRPr="00527981">
        <w:rPr>
          <w:b/>
          <w:i/>
        </w:rPr>
        <w:t>Penn Inventory of Scrupulosity (PIOS)</w:t>
      </w:r>
      <w:r w:rsidR="00EB0636" w:rsidRPr="00F57420">
        <w:rPr>
          <w:b/>
        </w:rPr>
        <w:t xml:space="preserve"> </w:t>
      </w:r>
      <w:r w:rsidRPr="00F57420">
        <w:t>(Abramowitz et al.,</w:t>
      </w:r>
      <w:r w:rsidRPr="00F57420">
        <w:rPr>
          <w:i/>
        </w:rPr>
        <w:t xml:space="preserve"> </w:t>
      </w:r>
      <w:r w:rsidRPr="00F57420">
        <w:t>2002).</w:t>
      </w:r>
      <w:proofErr w:type="gramEnd"/>
      <w:r w:rsidRPr="00F57420">
        <w:t xml:space="preserve"> </w:t>
      </w:r>
      <w:r w:rsidR="00716B6E">
        <w:t xml:space="preserve"> </w:t>
      </w:r>
      <w:r w:rsidRPr="00F57420">
        <w:t>The PIOS is a 19-item self</w:t>
      </w:r>
      <w:r w:rsidR="0078094C" w:rsidRPr="00F57420">
        <w:t>-</w:t>
      </w:r>
      <w:r w:rsidRPr="00F57420">
        <w:t xml:space="preserve">report measure developed to assess scrupulosity in the context of OCD.  The PIOS consists of two subscales: one measuring the fear of having committed sin, and another measuring fear concerning God’s punishment. </w:t>
      </w:r>
      <w:r w:rsidR="00716B6E">
        <w:t xml:space="preserve"> </w:t>
      </w:r>
      <w:r w:rsidRPr="00F57420">
        <w:t xml:space="preserve">Items are rated on a five-point scale ranging from zero (never) to four (constantly). </w:t>
      </w:r>
      <w:r w:rsidR="00716B6E">
        <w:t xml:space="preserve"> </w:t>
      </w:r>
      <w:r w:rsidRPr="00F57420">
        <w:t>The PIOS has strong internal consistency (α = .91) and appropriate convergent and discriminate validity (Abramowitz et al., 2002).</w:t>
      </w:r>
    </w:p>
    <w:p w:rsidR="001659BF" w:rsidRPr="00F57420" w:rsidRDefault="00EB0636" w:rsidP="001659BF">
      <w:pPr>
        <w:spacing w:line="480" w:lineRule="auto"/>
        <w:ind w:firstLine="720"/>
      </w:pPr>
      <w:proofErr w:type="gramStart"/>
      <w:r w:rsidRPr="00527981">
        <w:rPr>
          <w:b/>
          <w:i/>
        </w:rPr>
        <w:lastRenderedPageBreak/>
        <w:t>Yale Brown Obsessive Compulsive Scale (Y-BOCS)</w:t>
      </w:r>
      <w:r w:rsidR="001659BF" w:rsidRPr="00F57420">
        <w:t xml:space="preserve"> (</w:t>
      </w:r>
      <w:r w:rsidR="001659BF" w:rsidRPr="00F57420">
        <w:rPr>
          <w:rFonts w:eastAsia="Cambria"/>
        </w:rPr>
        <w:t xml:space="preserve">Goodman, Price, Rasmussen, &amp; </w:t>
      </w:r>
      <w:proofErr w:type="spellStart"/>
      <w:r w:rsidR="001659BF" w:rsidRPr="00F57420">
        <w:rPr>
          <w:rFonts w:eastAsia="Cambria"/>
        </w:rPr>
        <w:t>Mazure</w:t>
      </w:r>
      <w:proofErr w:type="spellEnd"/>
      <w:r w:rsidR="001659BF" w:rsidRPr="00F57420">
        <w:rPr>
          <w:rFonts w:eastAsia="Cambria"/>
        </w:rPr>
        <w:t>, 1989a, 1989b).</w:t>
      </w:r>
      <w:proofErr w:type="gramEnd"/>
      <w:r w:rsidR="001659BF" w:rsidRPr="00F57420">
        <w:t xml:space="preserve"> </w:t>
      </w:r>
      <w:r w:rsidR="00716B6E">
        <w:t xml:space="preserve"> </w:t>
      </w:r>
      <w:r w:rsidR="001659BF" w:rsidRPr="00F57420">
        <w:t xml:space="preserve">The Y-BOCS is an assessor-rated measure of OCD symptom severity with two subscales: obsession and compulsion.  The score for each subscale ranges from zero to 20, with a total score range from zero to 40. </w:t>
      </w:r>
      <w:r w:rsidR="00716B6E">
        <w:t xml:space="preserve"> </w:t>
      </w:r>
      <w:r w:rsidR="001659BF" w:rsidRPr="00F57420">
        <w:t xml:space="preserve">The Y-BOCS has </w:t>
      </w:r>
      <w:r w:rsidR="00B96CFE" w:rsidRPr="00F57420">
        <w:t>acceptable</w:t>
      </w:r>
      <w:r w:rsidR="001659BF" w:rsidRPr="00F57420">
        <w:t xml:space="preserve"> </w:t>
      </w:r>
      <w:proofErr w:type="spellStart"/>
      <w:r w:rsidR="001659BF" w:rsidRPr="00F57420">
        <w:t>interrater</w:t>
      </w:r>
      <w:proofErr w:type="spellEnd"/>
      <w:r w:rsidR="001659BF" w:rsidRPr="00F57420">
        <w:t xml:space="preserve"> reliability for the total score (between .80 and .97) and a two-week test-retest reliability of between .81 and .97. </w:t>
      </w:r>
    </w:p>
    <w:p w:rsidR="001659BF" w:rsidRPr="00F57420" w:rsidRDefault="001659BF" w:rsidP="001659BF">
      <w:pPr>
        <w:spacing w:line="480" w:lineRule="auto"/>
      </w:pPr>
      <w:r w:rsidRPr="00F57420">
        <w:tab/>
      </w:r>
      <w:proofErr w:type="gramStart"/>
      <w:r w:rsidR="00EB0636" w:rsidRPr="00527981">
        <w:rPr>
          <w:b/>
          <w:i/>
        </w:rPr>
        <w:t>Beck Depression Inventory-II (BDI-II)</w:t>
      </w:r>
      <w:r w:rsidRPr="00F57420">
        <w:t xml:space="preserve"> (Beck, 1996).</w:t>
      </w:r>
      <w:proofErr w:type="gramEnd"/>
      <w:r w:rsidR="00E56903" w:rsidRPr="00F57420" w:rsidDel="00E56903">
        <w:t xml:space="preserve"> </w:t>
      </w:r>
      <w:r w:rsidRPr="00F57420">
        <w:t xml:space="preserve"> The BDI-II is a 21-item measure </w:t>
      </w:r>
      <w:r w:rsidR="00B96CFE" w:rsidRPr="00F57420">
        <w:t xml:space="preserve">of </w:t>
      </w:r>
      <w:r w:rsidRPr="00F57420">
        <w:t xml:space="preserve">depression-related symptoms like sadness, pessimism, loss of pleasure, suicidal thoughts, etc.  It has strong psychometric properties (Beck, Epstein, Brown, &amp; Steer, 1988), showing good internal consistency, high test-retest reliability (r = .93), and </w:t>
      </w:r>
      <w:r w:rsidR="00B96CFE" w:rsidRPr="00F57420">
        <w:t xml:space="preserve">a </w:t>
      </w:r>
      <w:r w:rsidRPr="00F57420">
        <w:t xml:space="preserve">high correlation with the original BDI (r = .93, Beck, 1996). </w:t>
      </w:r>
    </w:p>
    <w:p w:rsidR="001659BF" w:rsidRPr="00F57420" w:rsidRDefault="001659BF" w:rsidP="001659BF">
      <w:pPr>
        <w:spacing w:line="480" w:lineRule="auto"/>
      </w:pPr>
      <w:r w:rsidRPr="00F57420">
        <w:rPr>
          <w:i/>
        </w:rPr>
        <w:tab/>
      </w:r>
      <w:r w:rsidR="00EB0636" w:rsidRPr="00527981">
        <w:rPr>
          <w:b/>
          <w:i/>
        </w:rPr>
        <w:t>Quality of Life Scale (QOLS)</w:t>
      </w:r>
      <w:r w:rsidRPr="00F57420">
        <w:t xml:space="preserve"> (Burckhardt, Woods, Schultz, &amp; </w:t>
      </w:r>
      <w:proofErr w:type="spellStart"/>
      <w:r w:rsidRPr="00F57420">
        <w:t>Ziebarth</w:t>
      </w:r>
      <w:proofErr w:type="spellEnd"/>
      <w:r w:rsidRPr="00F57420">
        <w:t xml:space="preserve">, 1989). </w:t>
      </w:r>
      <w:r w:rsidR="00716B6E">
        <w:t xml:space="preserve"> </w:t>
      </w:r>
      <w:r w:rsidRPr="00F57420">
        <w:t xml:space="preserve">The QOLS is a 16 question assessment that measures overall life satisfaction. </w:t>
      </w:r>
      <w:r w:rsidR="00716B6E">
        <w:t xml:space="preserve"> </w:t>
      </w:r>
      <w:r w:rsidRPr="00F57420">
        <w:t>Items are rated on a seven point scale ranging from Terrible (</w:t>
      </w:r>
      <w:r w:rsidR="00E56903" w:rsidRPr="00F57420">
        <w:t>1</w:t>
      </w:r>
      <w:r w:rsidRPr="00F57420">
        <w:t>) to Delighted (</w:t>
      </w:r>
      <w:r w:rsidR="00E56903" w:rsidRPr="00F57420">
        <w:t>7</w:t>
      </w:r>
      <w:r w:rsidRPr="00F57420">
        <w:t>).  A minimum score for the assessment is 16 and a maximum score is 112</w:t>
      </w:r>
      <w:r w:rsidR="00B96CFE" w:rsidRPr="00F57420">
        <w:t>,</w:t>
      </w:r>
      <w:r w:rsidRPr="00F57420">
        <w:t xml:space="preserve"> </w:t>
      </w:r>
      <w:r w:rsidR="00B96CFE" w:rsidRPr="00F57420">
        <w:t xml:space="preserve">with </w:t>
      </w:r>
      <w:r w:rsidRPr="00F57420">
        <w:t>higher scores indicat</w:t>
      </w:r>
      <w:r w:rsidR="00B96CFE" w:rsidRPr="00F57420">
        <w:t>ing</w:t>
      </w:r>
      <w:r w:rsidRPr="00F57420">
        <w:t xml:space="preserve"> better quality of life. The QOLS has been found to be internally consistent (α between .89 and .92), with </w:t>
      </w:r>
      <w:r w:rsidR="00B96CFE" w:rsidRPr="00F57420">
        <w:t>acceptable</w:t>
      </w:r>
      <w:r w:rsidRPr="00F57420">
        <w:t xml:space="preserve"> temporal stability (r </w:t>
      </w:r>
      <w:proofErr w:type="gramStart"/>
      <w:r w:rsidRPr="00F57420">
        <w:t>between .78 to .84 over a three week period</w:t>
      </w:r>
      <w:proofErr w:type="gramEnd"/>
      <w:r w:rsidRPr="00F57420">
        <w:t xml:space="preserve">) (Burckhardt et al., 1989). </w:t>
      </w:r>
    </w:p>
    <w:p w:rsidR="00243B84" w:rsidRPr="00F57420" w:rsidRDefault="00243B84" w:rsidP="001A1CD5">
      <w:pPr>
        <w:spacing w:line="480" w:lineRule="auto"/>
      </w:pPr>
      <w:r w:rsidRPr="00F57420">
        <w:tab/>
      </w:r>
      <w:proofErr w:type="gramStart"/>
      <w:r w:rsidR="00EB0636" w:rsidRPr="00527981">
        <w:rPr>
          <w:b/>
          <w:i/>
        </w:rPr>
        <w:t>Santa Clara Strength of Religious Faith Questionnaire (SCSORF)</w:t>
      </w:r>
      <w:r w:rsidR="001A1CD5" w:rsidRPr="00F57420">
        <w:t xml:space="preserve"> </w:t>
      </w:r>
      <w:r w:rsidRPr="00F57420">
        <w:t>(</w:t>
      </w:r>
      <w:proofErr w:type="spellStart"/>
      <w:r w:rsidRPr="00F57420">
        <w:t>Plante</w:t>
      </w:r>
      <w:proofErr w:type="spellEnd"/>
      <w:r w:rsidR="00CD1088" w:rsidRPr="00F57420">
        <w:t>,</w:t>
      </w:r>
      <w:r w:rsidRPr="00F57420">
        <w:t xml:space="preserve"> &amp; </w:t>
      </w:r>
      <w:proofErr w:type="spellStart"/>
      <w:r w:rsidRPr="00F57420">
        <w:t>Boccaccini</w:t>
      </w:r>
      <w:proofErr w:type="spellEnd"/>
      <w:r w:rsidRPr="00F57420">
        <w:t>, 1997).</w:t>
      </w:r>
      <w:proofErr w:type="gramEnd"/>
      <w:r w:rsidRPr="00F57420">
        <w:t xml:space="preserve">  The </w:t>
      </w:r>
      <w:r w:rsidR="00B83FF7">
        <w:t>SCSORF</w:t>
      </w:r>
      <w:r w:rsidR="00B667D7">
        <w:t xml:space="preserve"> </w:t>
      </w:r>
      <w:r w:rsidRPr="00F57420">
        <w:t>is</w:t>
      </w:r>
      <w:r w:rsidR="001A1CD5" w:rsidRPr="00F57420">
        <w:t xml:space="preserve"> a 10-item measure scored on a 4-point scale measuring strength of religious faith (e.g., “My religious faith is extremely important to me.”). </w:t>
      </w:r>
      <w:r w:rsidR="00716B6E">
        <w:t xml:space="preserve"> </w:t>
      </w:r>
      <w:r w:rsidR="001A1CD5" w:rsidRPr="00F57420">
        <w:t xml:space="preserve">Answers range from “Strongly Disagree” (1 point) to “Strongly Agree” (4 points).  Research has found coefficient alphas between .94 and .95 and split-half reliability between .90 and .96.  </w:t>
      </w:r>
      <w:r w:rsidR="00FF37C2">
        <w:t xml:space="preserve">Due to </w:t>
      </w:r>
      <w:r w:rsidR="00FF37C2">
        <w:lastRenderedPageBreak/>
        <w:t xml:space="preserve">clerical error, </w:t>
      </w:r>
      <w:r w:rsidR="001A1CD5" w:rsidRPr="00F57420">
        <w:t xml:space="preserve">questions </w:t>
      </w:r>
      <w:r w:rsidR="00291E7F">
        <w:t>9</w:t>
      </w:r>
      <w:r w:rsidR="001A1CD5" w:rsidRPr="00F57420">
        <w:t xml:space="preserve"> and 10</w:t>
      </w:r>
      <w:r w:rsidR="00FF37C2">
        <w:t xml:space="preserve"> were omitted from this measure</w:t>
      </w:r>
      <w:r w:rsidR="001A1CD5" w:rsidRPr="00F57420">
        <w:t>.</w:t>
      </w:r>
      <w:r w:rsidR="0030024D">
        <w:t xml:space="preserve"> Thus, results from this measure should be viewed cautiously in this study. </w:t>
      </w:r>
      <w:r w:rsidR="00FF37C2">
        <w:t xml:space="preserve"> </w:t>
      </w:r>
    </w:p>
    <w:p w:rsidR="001659BF" w:rsidRPr="00F57420" w:rsidRDefault="00EB0636" w:rsidP="00527981">
      <w:pPr>
        <w:spacing w:line="480" w:lineRule="auto"/>
        <w:ind w:firstLine="720"/>
        <w:outlineLvl w:val="0"/>
        <w:rPr>
          <w:b/>
        </w:rPr>
      </w:pPr>
      <w:r w:rsidRPr="00F57420">
        <w:rPr>
          <w:b/>
        </w:rPr>
        <w:t>Psychological Process Measure</w:t>
      </w:r>
    </w:p>
    <w:p w:rsidR="001659BF" w:rsidRPr="00F57420" w:rsidRDefault="00EB0636" w:rsidP="00111360">
      <w:pPr>
        <w:spacing w:line="480" w:lineRule="auto"/>
        <w:ind w:firstLine="720"/>
      </w:pPr>
      <w:proofErr w:type="gramStart"/>
      <w:r w:rsidRPr="00527981">
        <w:rPr>
          <w:b/>
          <w:i/>
        </w:rPr>
        <w:t>Acceptance and Action Questionnaire</w:t>
      </w:r>
      <w:r w:rsidR="00707822" w:rsidRPr="00527981">
        <w:rPr>
          <w:b/>
          <w:i/>
        </w:rPr>
        <w:t>-II</w:t>
      </w:r>
      <w:r w:rsidRPr="00527981">
        <w:rPr>
          <w:b/>
          <w:i/>
        </w:rPr>
        <w:t xml:space="preserve"> (AAQ-</w:t>
      </w:r>
      <w:r w:rsidR="00707822" w:rsidRPr="00527981">
        <w:rPr>
          <w:b/>
          <w:i/>
        </w:rPr>
        <w:t>II</w:t>
      </w:r>
      <w:r w:rsidRPr="00527981">
        <w:rPr>
          <w:b/>
          <w:i/>
        </w:rPr>
        <w:t>)</w:t>
      </w:r>
      <w:r w:rsidR="001659BF" w:rsidRPr="00F57420">
        <w:t xml:space="preserve"> (Bond</w:t>
      </w:r>
      <w:r w:rsidR="00527981">
        <w:t xml:space="preserve"> et al.</w:t>
      </w:r>
      <w:r w:rsidR="00DC4466" w:rsidRPr="00F57420">
        <w:t>, 2011</w:t>
      </w:r>
      <w:r w:rsidR="001659BF" w:rsidRPr="00F57420">
        <w:t>).</w:t>
      </w:r>
      <w:proofErr w:type="gramEnd"/>
      <w:r w:rsidR="001659BF" w:rsidRPr="00F57420">
        <w:t xml:space="preserve">  The AAQ-</w:t>
      </w:r>
      <w:r w:rsidR="00707822">
        <w:t>II</w:t>
      </w:r>
      <w:r w:rsidR="001659BF" w:rsidRPr="00F57420">
        <w:t xml:space="preserve"> is a measure of psychological flexibility.  </w:t>
      </w:r>
      <w:r w:rsidR="00B03FCB">
        <w:t>Seven q</w:t>
      </w:r>
      <w:r w:rsidR="001659BF" w:rsidRPr="00F57420">
        <w:t xml:space="preserve">uestions are rated on a seven point </w:t>
      </w:r>
      <w:proofErr w:type="spellStart"/>
      <w:r w:rsidR="001659BF" w:rsidRPr="00F57420">
        <w:t>Likert</w:t>
      </w:r>
      <w:proofErr w:type="spellEnd"/>
      <w:r w:rsidR="001659BF" w:rsidRPr="00F57420">
        <w:t xml:space="preserve">-type scale, ranging from one (never true) to seven (always true). </w:t>
      </w:r>
      <w:r w:rsidR="00716B6E">
        <w:t xml:space="preserve"> </w:t>
      </w:r>
      <w:r w:rsidR="00315AFC">
        <w:t>High</w:t>
      </w:r>
      <w:r w:rsidR="004E2844">
        <w:t>er</w:t>
      </w:r>
      <w:r w:rsidR="00315AFC">
        <w:t xml:space="preserve"> </w:t>
      </w:r>
      <w:r w:rsidR="001659BF" w:rsidRPr="00F57420">
        <w:t>scores on the AAQ-</w:t>
      </w:r>
      <w:r w:rsidR="00707822">
        <w:t>II</w:t>
      </w:r>
      <w:r w:rsidR="001659BF" w:rsidRPr="00F57420">
        <w:t xml:space="preserve"> are reflective of greater experiential avoidance and immobility, while </w:t>
      </w:r>
      <w:r w:rsidR="00315AFC">
        <w:t xml:space="preserve">lower </w:t>
      </w:r>
      <w:r w:rsidR="001659BF" w:rsidRPr="00F57420">
        <w:t xml:space="preserve">scores reflect greater acceptance and action.  </w:t>
      </w:r>
      <w:r w:rsidR="00111360">
        <w:t>The mean alpha coefficient</w:t>
      </w:r>
      <w:r w:rsidR="008F2996">
        <w:t xml:space="preserve"> for the AAQ-II</w:t>
      </w:r>
      <w:r w:rsidR="00111360">
        <w:t xml:space="preserve"> is .84, and the three- and twelve-month test–retest reliability is .81 and .79, respectively</w:t>
      </w:r>
      <w:r w:rsidR="00FD1278">
        <w:t xml:space="preserve"> </w:t>
      </w:r>
      <w:r w:rsidR="00FD1278" w:rsidRPr="00F57420">
        <w:t>(Bond</w:t>
      </w:r>
      <w:r w:rsidR="00FD1278">
        <w:t xml:space="preserve"> et al.</w:t>
      </w:r>
      <w:r w:rsidR="00FD1278" w:rsidRPr="00F57420">
        <w:t>, 2011)</w:t>
      </w:r>
      <w:r w:rsidR="001659BF" w:rsidRPr="00F57420">
        <w:t>.</w:t>
      </w:r>
    </w:p>
    <w:p w:rsidR="001659BF" w:rsidRPr="00F57420" w:rsidRDefault="00EB0636" w:rsidP="00527981">
      <w:pPr>
        <w:spacing w:line="480" w:lineRule="auto"/>
        <w:ind w:firstLine="720"/>
        <w:outlineLvl w:val="0"/>
        <w:rPr>
          <w:b/>
        </w:rPr>
      </w:pPr>
      <w:r w:rsidRPr="00F57420">
        <w:rPr>
          <w:b/>
        </w:rPr>
        <w:t>Treatment Acceptability Measure</w:t>
      </w:r>
    </w:p>
    <w:p w:rsidR="001659BF" w:rsidRPr="00F57420" w:rsidRDefault="00EB0636" w:rsidP="000D4AF6">
      <w:pPr>
        <w:spacing w:line="480" w:lineRule="auto"/>
        <w:ind w:firstLine="720"/>
      </w:pPr>
      <w:proofErr w:type="gramStart"/>
      <w:r w:rsidRPr="00527981">
        <w:rPr>
          <w:b/>
          <w:i/>
        </w:rPr>
        <w:t>Treatment Evaluation Inventory-Short Form (TEI-SF)</w:t>
      </w:r>
      <w:r w:rsidR="001659BF" w:rsidRPr="00F57420">
        <w:t xml:space="preserve"> (Kelley, </w:t>
      </w:r>
      <w:proofErr w:type="spellStart"/>
      <w:r w:rsidR="001659BF" w:rsidRPr="00F57420">
        <w:t>Heffer</w:t>
      </w:r>
      <w:proofErr w:type="spellEnd"/>
      <w:r w:rsidR="001659BF" w:rsidRPr="00F57420">
        <w:t>, Gresham, &amp; Elliott, 1989).</w:t>
      </w:r>
      <w:proofErr w:type="gramEnd"/>
      <w:r w:rsidR="001659BF" w:rsidRPr="00F57420">
        <w:t xml:space="preserve">  The acceptability of this treatment was measured with the TEI-SF.  </w:t>
      </w:r>
      <w:r w:rsidR="00310BF9" w:rsidRPr="00F57420">
        <w:t xml:space="preserve">Questions are rated on a five-point </w:t>
      </w:r>
      <w:proofErr w:type="spellStart"/>
      <w:r w:rsidR="00310BF9" w:rsidRPr="00F57420">
        <w:t>Likert</w:t>
      </w:r>
      <w:proofErr w:type="spellEnd"/>
      <w:r w:rsidR="00310BF9" w:rsidRPr="00F57420">
        <w:t xml:space="preserve">-type scale ranging from “strongly disagree” to “strongly agree,” with some of the responses requiring reverse-scoring.  </w:t>
      </w:r>
      <w:r w:rsidR="001659BF" w:rsidRPr="00F57420">
        <w:t xml:space="preserve">Two of the questions from the original TEI-SF were omitted, since they dealt specifically with issues surrounding family interventions. </w:t>
      </w:r>
      <w:r w:rsidR="00716B6E">
        <w:t xml:space="preserve"> </w:t>
      </w:r>
      <w:proofErr w:type="gramStart"/>
      <w:r w:rsidR="005017E1" w:rsidRPr="00F57420">
        <w:t>Total scores on this version of the TEI-SF range from a minimum of 5 to a maximum of thirty-five.</w:t>
      </w:r>
      <w:proofErr w:type="gramEnd"/>
      <w:r w:rsidR="005017E1" w:rsidRPr="00F57420">
        <w:t xml:space="preserve">  </w:t>
      </w:r>
      <w:r w:rsidR="001659BF" w:rsidRPr="00F57420">
        <w:t>The TEI-SF has shown to be internally consistent (α=.85).</w:t>
      </w:r>
    </w:p>
    <w:p w:rsidR="003E32C2" w:rsidRPr="00F57420" w:rsidRDefault="00EB0636" w:rsidP="003E32C2">
      <w:pPr>
        <w:spacing w:line="480" w:lineRule="auto"/>
        <w:outlineLvl w:val="0"/>
        <w:rPr>
          <w:b/>
        </w:rPr>
      </w:pPr>
      <w:r w:rsidRPr="00F57420">
        <w:rPr>
          <w:b/>
        </w:rPr>
        <w:t>Procedure</w:t>
      </w:r>
    </w:p>
    <w:p w:rsidR="001659BF" w:rsidRPr="00F57420" w:rsidRDefault="001659BF" w:rsidP="001659BF">
      <w:pPr>
        <w:spacing w:line="480" w:lineRule="auto"/>
        <w:ind w:firstLine="720"/>
      </w:pPr>
      <w:r w:rsidRPr="00F57420">
        <w:t xml:space="preserve">A multiple baseline across participants design was used </w:t>
      </w:r>
      <w:r w:rsidR="005B0856" w:rsidRPr="00F57420">
        <w:t>in</w:t>
      </w:r>
      <w:r w:rsidRPr="00F57420">
        <w:t xml:space="preserve"> this study.  </w:t>
      </w:r>
      <w:r w:rsidR="00DD349E" w:rsidRPr="00F57420">
        <w:t>The primary dependent variables tracked for each participant throughout the entire study (pretreatment, posttreatment</w:t>
      </w:r>
      <w:r w:rsidR="00B83FF7">
        <w:t>,</w:t>
      </w:r>
      <w:r w:rsidR="00DD349E" w:rsidRPr="00F57420">
        <w:t xml:space="preserve"> and follow-up) w</w:t>
      </w:r>
      <w:r w:rsidR="00B96CFE" w:rsidRPr="00F57420">
        <w:t>ere</w:t>
      </w:r>
      <w:r w:rsidR="00DD349E" w:rsidRPr="00F57420">
        <w:t xml:space="preserve"> the frequency of compulsions, along with a measure of avoided valued activities.  These data were collected daily by the participants, and reported via a secure Internet web form</w:t>
      </w:r>
      <w:r w:rsidR="00B96CFE" w:rsidRPr="00F57420">
        <w:t xml:space="preserve"> on a daily basis</w:t>
      </w:r>
      <w:r w:rsidR="00DD349E" w:rsidRPr="00F57420">
        <w:t xml:space="preserve">.  </w:t>
      </w:r>
      <w:r w:rsidRPr="00F57420">
        <w:t xml:space="preserve">To begin, a single participant was selected to start </w:t>
      </w:r>
      <w:r w:rsidRPr="00F57420">
        <w:lastRenderedPageBreak/>
        <w:t xml:space="preserve">tracking </w:t>
      </w:r>
      <w:r w:rsidR="00806AFA" w:rsidRPr="00F57420">
        <w:t xml:space="preserve">daily </w:t>
      </w:r>
      <w:r w:rsidRPr="00F57420">
        <w:t>compulsions</w:t>
      </w:r>
      <w:r w:rsidR="002571F3" w:rsidRPr="00F57420">
        <w:t xml:space="preserve"> </w:t>
      </w:r>
      <w:r w:rsidR="00216534" w:rsidRPr="00F57420">
        <w:t xml:space="preserve">and avoided </w:t>
      </w:r>
      <w:r w:rsidR="002571F3" w:rsidRPr="00F57420">
        <w:t xml:space="preserve">valued </w:t>
      </w:r>
      <w:r w:rsidR="00216534" w:rsidRPr="00F57420">
        <w:t>activities</w:t>
      </w:r>
      <w:r w:rsidR="00B96CFE" w:rsidRPr="00F57420">
        <w:t>.</w:t>
      </w:r>
      <w:r w:rsidRPr="00F57420">
        <w:t xml:space="preserve">  </w:t>
      </w:r>
      <w:r w:rsidR="00806AFA" w:rsidRPr="00F57420">
        <w:t>After baseline was established</w:t>
      </w:r>
      <w:r w:rsidR="005B0856" w:rsidRPr="00F57420">
        <w:t>,</w:t>
      </w:r>
      <w:r w:rsidR="00806AFA" w:rsidRPr="00F57420">
        <w:t xml:space="preserve"> treatment commence</w:t>
      </w:r>
      <w:r w:rsidR="00B96CFE" w:rsidRPr="00F57420">
        <w:t>d</w:t>
      </w:r>
      <w:r w:rsidR="0041564D" w:rsidRPr="00F57420">
        <w:t>.</w:t>
      </w:r>
      <w:r w:rsidR="00806AFA" w:rsidRPr="00F57420">
        <w:t xml:space="preserve">  </w:t>
      </w:r>
      <w:r w:rsidR="000E097A">
        <w:t>The following four participants started treatment after baseline durations that were longer than the previous participant. Thus, in this particular study, participant</w:t>
      </w:r>
      <w:r w:rsidR="0037375C">
        <w:t>s</w:t>
      </w:r>
      <w:r w:rsidR="000E097A">
        <w:t xml:space="preserve"> 4 and 5 are serving as controls for participants 1-3. The staggered baseline durations show that the effects are not </w:t>
      </w:r>
      <w:r w:rsidR="0037375C">
        <w:t xml:space="preserve">merely due to </w:t>
      </w:r>
      <w:r w:rsidR="000E097A">
        <w:t>participating in baselines of certain duration</w:t>
      </w:r>
      <w:r w:rsidR="00DB436A">
        <w:t>s</w:t>
      </w:r>
      <w:r w:rsidR="000E097A">
        <w:t>. Also, all treatments were initiated at different real times</w:t>
      </w:r>
      <w:r w:rsidR="00B86439">
        <w:t>,</w:t>
      </w:r>
      <w:r w:rsidR="000E097A">
        <w:t xml:space="preserve"> so the results should not be due to </w:t>
      </w:r>
      <w:r w:rsidR="0037375C">
        <w:t xml:space="preserve">a single </w:t>
      </w:r>
      <w:r w:rsidR="000E097A">
        <w:t xml:space="preserve">environmental event. Finally, the treatment </w:t>
      </w:r>
      <w:r w:rsidR="0037375C">
        <w:t>was</w:t>
      </w:r>
      <w:r w:rsidR="000E097A">
        <w:t xml:space="preserve"> tested within each participant</w:t>
      </w:r>
      <w:r w:rsidR="0037375C">
        <w:t xml:space="preserve">, </w:t>
      </w:r>
      <w:r w:rsidR="000E097A">
        <w:t>thus showing replication across participants.</w:t>
      </w:r>
      <w:r w:rsidR="00716B6E">
        <w:t xml:space="preserve">  </w:t>
      </w:r>
      <w:r w:rsidRPr="00F57420">
        <w:t>A final advantage to this design was that it afforded a scientifically sound way to measure treatment impact with a relatively small sample size, and allowed all participants to receive the active treatment without the need for control</w:t>
      </w:r>
      <w:r w:rsidR="00B96CFE" w:rsidRPr="00F57420">
        <w:t xml:space="preserve"> conditions</w:t>
      </w:r>
      <w:r w:rsidRPr="00F57420">
        <w:t>.</w:t>
      </w:r>
    </w:p>
    <w:p w:rsidR="003E32C2" w:rsidRPr="00F57420" w:rsidRDefault="00DD349E" w:rsidP="003E32C2">
      <w:pPr>
        <w:spacing w:line="480" w:lineRule="auto"/>
        <w:ind w:firstLine="720"/>
      </w:pPr>
      <w:r w:rsidRPr="00F57420">
        <w:t xml:space="preserve">The secondary dependent variables were collected from the Y-BOCS, OCI-R, BDI-II, </w:t>
      </w:r>
      <w:r w:rsidR="00961A57">
        <w:t xml:space="preserve">SCSORF, </w:t>
      </w:r>
      <w:r w:rsidRPr="00F57420">
        <w:t xml:space="preserve">and QOLS, to support and verify findings from the self-monitoring.  </w:t>
      </w:r>
      <w:r w:rsidR="001659BF" w:rsidRPr="00F57420">
        <w:t xml:space="preserve">Formal pretreatment, posttreatment, and three month follow-up assessment sessions occurred for each participant. </w:t>
      </w:r>
      <w:r w:rsidR="00716B6E">
        <w:t xml:space="preserve"> </w:t>
      </w:r>
      <w:r w:rsidR="001659BF" w:rsidRPr="00F57420">
        <w:t xml:space="preserve">All measures previously listed were completed at all assessment points with the exception of the SCID which was only completed at </w:t>
      </w:r>
      <w:r w:rsidR="00C3482E" w:rsidRPr="00F57420">
        <w:t>pretreatment</w:t>
      </w:r>
      <w:r w:rsidR="001659BF" w:rsidRPr="00F57420">
        <w:t>, and the TEI-SF which was only completed at post</w:t>
      </w:r>
      <w:r w:rsidR="00902528" w:rsidRPr="00F57420">
        <w:t>treatment</w:t>
      </w:r>
      <w:r w:rsidR="001659BF" w:rsidRPr="00F57420">
        <w:t xml:space="preserve">. </w:t>
      </w:r>
      <w:r w:rsidRPr="00F57420">
        <w:t xml:space="preserve"> To monitor weekly progress of the main ACT process (psychological flexibility), the AAQ-II was </w:t>
      </w:r>
      <w:r w:rsidR="00C4607A" w:rsidRPr="00F57420">
        <w:t>administered</w:t>
      </w:r>
      <w:r w:rsidRPr="00F57420">
        <w:t xml:space="preserve"> </w:t>
      </w:r>
      <w:r w:rsidR="00707822">
        <w:t xml:space="preserve">multiple times </w:t>
      </w:r>
      <w:r w:rsidR="00ED0B4C" w:rsidRPr="00F57420">
        <w:t>during pretreatment (whe</w:t>
      </w:r>
      <w:r w:rsidR="00707822">
        <w:t>n</w:t>
      </w:r>
      <w:r w:rsidR="00ED0B4C" w:rsidRPr="00F57420">
        <w:t xml:space="preserve"> possible), </w:t>
      </w:r>
      <w:r w:rsidRPr="00F57420">
        <w:t>on a weekly basis</w:t>
      </w:r>
      <w:r w:rsidR="00ED0B4C" w:rsidRPr="00F57420">
        <w:t xml:space="preserve"> from pretreatment to posttreatment, and at follow-up.  Collection of these data </w:t>
      </w:r>
      <w:r w:rsidR="00A32B3D">
        <w:t xml:space="preserve">helps to provide some information regarding </w:t>
      </w:r>
      <w:r w:rsidR="00ED0B4C" w:rsidRPr="00F57420">
        <w:t xml:space="preserve">the degree and timing of reductions in psychological inflexibility in comparison to compulsion frequency. </w:t>
      </w:r>
      <w:r w:rsidR="00716B6E">
        <w:t xml:space="preserve"> </w:t>
      </w:r>
      <w:r w:rsidR="00712A15">
        <w:t xml:space="preserve">For example, the model of change would not be supported if reductions in symptoms were seen prior to any reductions in psychological flexibility. Whereas, it is more supportive of the model if </w:t>
      </w:r>
      <w:r w:rsidR="00712A15">
        <w:lastRenderedPageBreak/>
        <w:t xml:space="preserve">psychological flexibility and compulsions decrease together or psychological flexibility decreases prior to compulsions. </w:t>
      </w:r>
    </w:p>
    <w:p w:rsidR="001659BF" w:rsidRPr="00F57420" w:rsidRDefault="00EB0636" w:rsidP="008E18ED">
      <w:pPr>
        <w:spacing w:line="480" w:lineRule="auto"/>
        <w:rPr>
          <w:b/>
        </w:rPr>
      </w:pPr>
      <w:r w:rsidRPr="00F57420">
        <w:rPr>
          <w:b/>
        </w:rPr>
        <w:t>Treatment</w:t>
      </w:r>
    </w:p>
    <w:p w:rsidR="001659BF" w:rsidRPr="00F57420" w:rsidRDefault="001659BF" w:rsidP="001659BF">
      <w:pPr>
        <w:spacing w:line="480" w:lineRule="auto"/>
      </w:pPr>
      <w:r w:rsidRPr="00F57420">
        <w:tab/>
        <w:t xml:space="preserve">ACT for OCD (Twohig, 2009; Twohig et al., 2006; Twohig et al., </w:t>
      </w:r>
      <w:r w:rsidR="002D7043" w:rsidRPr="00F57420">
        <w:t>2010</w:t>
      </w:r>
      <w:r w:rsidRPr="00F57420">
        <w:t xml:space="preserve">) was utilized in this study.  The underlying model of ACT centers around facilitating the following six core processes: </w:t>
      </w:r>
      <w:r w:rsidR="00B96449">
        <w:t>a</w:t>
      </w:r>
      <w:r w:rsidRPr="00F57420">
        <w:t xml:space="preserve">) learning to accept (vs. fight against) the presence of unwanted intrusive thoughts, </w:t>
      </w:r>
      <w:r w:rsidR="006F55F1">
        <w:t>b</w:t>
      </w:r>
      <w:r w:rsidRPr="00F57420">
        <w:t xml:space="preserve">) learning to defuse from, or dis-empower language in </w:t>
      </w:r>
      <w:r w:rsidR="00707822">
        <w:t xml:space="preserve">certain situations </w:t>
      </w:r>
      <w:r w:rsidRPr="00F57420">
        <w:t xml:space="preserve">including </w:t>
      </w:r>
      <w:r w:rsidR="00707822">
        <w:t xml:space="preserve">when </w:t>
      </w:r>
      <w:r w:rsidRPr="00F57420">
        <w:t>obsessions</w:t>
      </w:r>
      <w:r w:rsidR="00707822">
        <w:t xml:space="preserve"> are occurring</w:t>
      </w:r>
      <w:r w:rsidRPr="00F57420">
        <w:t xml:space="preserve">, </w:t>
      </w:r>
      <w:r w:rsidR="006F55F1">
        <w:t>c</w:t>
      </w:r>
      <w:r w:rsidRPr="00F57420">
        <w:t xml:space="preserve">) coming to view the self as the </w:t>
      </w:r>
      <w:r w:rsidRPr="00F57420">
        <w:rPr>
          <w:i/>
        </w:rPr>
        <w:t>context</w:t>
      </w:r>
      <w:r w:rsidRPr="00F57420">
        <w:t xml:space="preserve"> within which thoughts and feelings occur, vs. viewing one’s self as synonymous with the </w:t>
      </w:r>
      <w:r w:rsidRPr="00F57420">
        <w:rPr>
          <w:i/>
        </w:rPr>
        <w:t>content</w:t>
      </w:r>
      <w:r w:rsidRPr="00F57420">
        <w:t xml:space="preserve"> of thoughts, </w:t>
      </w:r>
      <w:r w:rsidR="006F55F1">
        <w:t>d</w:t>
      </w:r>
      <w:r w:rsidRPr="00F57420">
        <w:t xml:space="preserve">) an emphasis on contact with the present moment or mindfulness, </w:t>
      </w:r>
      <w:r w:rsidR="006F55F1">
        <w:t>e</w:t>
      </w:r>
      <w:r w:rsidRPr="00F57420">
        <w:t>) the identification and/or cultivation of core life values, thereby increasing motivation to engage in treatment</w:t>
      </w:r>
      <w:r w:rsidR="0041564D" w:rsidRPr="00F57420">
        <w:t xml:space="preserve"> and life</w:t>
      </w:r>
      <w:r w:rsidRPr="00F57420">
        <w:t xml:space="preserve">, and </w:t>
      </w:r>
      <w:r w:rsidR="006F55F1">
        <w:t>f</w:t>
      </w:r>
      <w:r w:rsidRPr="00F57420">
        <w:t xml:space="preserve">) the fostering of committed action in alignment with these values.  ACT for OCD </w:t>
      </w:r>
      <w:r w:rsidR="006F55F1">
        <w:t>was implemented in</w:t>
      </w:r>
      <w:r w:rsidRPr="00F57420">
        <w:t xml:space="preserve"> eight, weekly, 1-1.5 hour sessions. </w:t>
      </w:r>
    </w:p>
    <w:p w:rsidR="001659BF" w:rsidRPr="00F57420" w:rsidRDefault="001659BF" w:rsidP="001659BF">
      <w:pPr>
        <w:spacing w:line="480" w:lineRule="auto"/>
        <w:ind w:firstLine="720"/>
      </w:pPr>
      <w:r w:rsidRPr="00F57420">
        <w:t>ACT relies heavily on the use of metaphor and exercises as a</w:t>
      </w:r>
      <w:r w:rsidR="00A0099F" w:rsidRPr="00F57420">
        <w:t>n interactive</w:t>
      </w:r>
      <w:r w:rsidRPr="00F57420">
        <w:t xml:space="preserve"> pedagogical device to help foster a deeper incorporation of these core processes, along with weekly, behavior-based homework assignments to allow greater incorporation of learned skills.  All sessions following session one had the following components (and thus are not </w:t>
      </w:r>
      <w:r w:rsidR="00B86439">
        <w:t xml:space="preserve">necessarily </w:t>
      </w:r>
      <w:r w:rsidRPr="00F57420">
        <w:t xml:space="preserve">listed in Table </w:t>
      </w:r>
      <w:r w:rsidR="00087EF6" w:rsidRPr="00F57420">
        <w:t>2</w:t>
      </w:r>
      <w:r w:rsidRPr="00F57420">
        <w:t>): assessment of functioning, review of components, and homework assignments.</w:t>
      </w:r>
      <w:r w:rsidR="0041564D" w:rsidRPr="00F57420">
        <w:t xml:space="preserve"> </w:t>
      </w:r>
      <w:r w:rsidR="00716B6E">
        <w:t xml:space="preserve"> </w:t>
      </w:r>
      <w:r w:rsidR="00A04630">
        <w:t>The third author</w:t>
      </w:r>
      <w:r w:rsidR="0041564D" w:rsidRPr="00F57420">
        <w:t xml:space="preserve"> served as the therapist for Participant 1 and </w:t>
      </w:r>
      <w:r w:rsidR="00A04630">
        <w:t>the first author</w:t>
      </w:r>
      <w:r w:rsidR="0041564D" w:rsidRPr="00F57420">
        <w:t xml:space="preserve"> served as the therapist for all remaining participants.</w:t>
      </w:r>
      <w:r w:rsidRPr="00F57420">
        <w:t xml:space="preserve">  </w:t>
      </w:r>
      <w:r w:rsidR="00A04630">
        <w:t>The first author</w:t>
      </w:r>
      <w:r w:rsidRPr="00F57420">
        <w:t xml:space="preserve"> was trained and supervised by </w:t>
      </w:r>
      <w:r w:rsidR="00A04630">
        <w:t>the third author</w:t>
      </w:r>
      <w:r w:rsidRPr="00F57420">
        <w:t>.</w:t>
      </w:r>
      <w:r w:rsidR="00AC793E">
        <w:t xml:space="preserve">  The</w:t>
      </w:r>
      <w:r w:rsidR="006F55F1">
        <w:t xml:space="preserve">re were no notable differences as a result of therapist. </w:t>
      </w:r>
    </w:p>
    <w:p w:rsidR="00F32324" w:rsidRPr="00F57420" w:rsidRDefault="00EB0636" w:rsidP="008E18ED">
      <w:pPr>
        <w:spacing w:line="480" w:lineRule="auto"/>
        <w:rPr>
          <w:b/>
        </w:rPr>
      </w:pPr>
      <w:r w:rsidRPr="00F57420">
        <w:rPr>
          <w:b/>
        </w:rPr>
        <w:t>Integrity of Treatment Administration</w:t>
      </w:r>
    </w:p>
    <w:p w:rsidR="00F92E21" w:rsidRPr="00F57420" w:rsidRDefault="00707822" w:rsidP="00974410">
      <w:pPr>
        <w:spacing w:line="480" w:lineRule="auto"/>
        <w:ind w:firstLine="720"/>
      </w:pPr>
      <w:r>
        <w:lastRenderedPageBreak/>
        <w:t xml:space="preserve">All sessions were </w:t>
      </w:r>
      <w:r w:rsidR="00A04630">
        <w:t xml:space="preserve">video </w:t>
      </w:r>
      <w:r>
        <w:t>recorded</w:t>
      </w:r>
      <w:r w:rsidR="00000DEB">
        <w:t xml:space="preserve">. </w:t>
      </w:r>
      <w:r>
        <w:t xml:space="preserve"> </w:t>
      </w:r>
      <w:r w:rsidR="00000DEB">
        <w:t>The third author reviewed intake material, confirmed the OCD diagnoses, and supervised Y-BOCS scores for accuracy.  T</w:t>
      </w:r>
      <w:r w:rsidR="00087EF6" w:rsidRPr="00F57420">
        <w:t>wenty-five percent</w:t>
      </w:r>
      <w:r w:rsidR="001659BF" w:rsidRPr="00F57420">
        <w:t xml:space="preserve"> of all therapy sessions </w:t>
      </w:r>
      <w:r w:rsidR="00CB2780" w:rsidRPr="00F57420">
        <w:t xml:space="preserve">(10 out of 40) </w:t>
      </w:r>
      <w:r w:rsidR="001659BF" w:rsidRPr="00F57420">
        <w:t xml:space="preserve">were rated for treatment integrity by </w:t>
      </w:r>
      <w:r w:rsidR="00000DEB">
        <w:t xml:space="preserve">the second author, </w:t>
      </w:r>
      <w:r w:rsidR="001659BF" w:rsidRPr="00F57420">
        <w:t xml:space="preserve">a senior graduate assistant </w:t>
      </w:r>
      <w:r w:rsidR="0041564D" w:rsidRPr="00F57420">
        <w:t>who has been trained to competency in treatment integrity of ACT for OCD (Twohig et al., 2010)</w:t>
      </w:r>
      <w:r w:rsidR="001659BF" w:rsidRPr="00F57420">
        <w:t xml:space="preserve">.  The coding system for the rating was based on </w:t>
      </w:r>
      <w:r w:rsidR="0041564D" w:rsidRPr="00F57420">
        <w:t>a previously utilized scoring system</w:t>
      </w:r>
      <w:r w:rsidR="007105A9" w:rsidRPr="00F57420">
        <w:t xml:space="preserve"> </w:t>
      </w:r>
      <w:r w:rsidR="001659BF" w:rsidRPr="00F57420">
        <w:t xml:space="preserve">(Twohig et al., 2006).  </w:t>
      </w:r>
      <w:r w:rsidR="009C7B4F">
        <w:t>O</w:t>
      </w:r>
      <w:r w:rsidR="00380643">
        <w:t>verall therapist competency</w:t>
      </w:r>
      <w:r w:rsidR="009C7B4F">
        <w:t xml:space="preserve"> and </w:t>
      </w:r>
      <w:r w:rsidR="00380643">
        <w:t>overall adherence to the ACT model</w:t>
      </w:r>
      <w:r w:rsidR="009C7B4F">
        <w:t xml:space="preserve"> were rated with the following scale: 1 = “not at all adherent/competent” to 5 = “extremely adherent/competent”).  I</w:t>
      </w:r>
      <w:r w:rsidR="00380643">
        <w:t>ndividual assessment of t</w:t>
      </w:r>
      <w:r w:rsidR="001659BF" w:rsidRPr="00F57420">
        <w:t xml:space="preserve">he </w:t>
      </w:r>
      <w:r w:rsidR="00B85A16" w:rsidRPr="00F57420">
        <w:t xml:space="preserve">six </w:t>
      </w:r>
      <w:proofErr w:type="gramStart"/>
      <w:r w:rsidR="00B85A16" w:rsidRPr="00F57420">
        <w:t>core</w:t>
      </w:r>
      <w:proofErr w:type="gramEnd"/>
      <w:r w:rsidR="00B85A16" w:rsidRPr="00F57420">
        <w:t xml:space="preserve"> ACT processes</w:t>
      </w:r>
      <w:r w:rsidR="009C7B4F">
        <w:t xml:space="preserve">, along with </w:t>
      </w:r>
      <w:r w:rsidR="00380643">
        <w:t xml:space="preserve">individual assessment of </w:t>
      </w:r>
      <w:r w:rsidR="00157918" w:rsidRPr="00F57420">
        <w:t xml:space="preserve">therapy actions that are </w:t>
      </w:r>
      <w:r w:rsidR="00755676" w:rsidRPr="00F57420">
        <w:t xml:space="preserve">less consistent or </w:t>
      </w:r>
      <w:r w:rsidR="00157918" w:rsidRPr="00F57420">
        <w:t>inconsistent with ACT</w:t>
      </w:r>
      <w:r w:rsidR="00DB436A">
        <w:t>,</w:t>
      </w:r>
      <w:r w:rsidR="00084E45">
        <w:t xml:space="preserve"> </w:t>
      </w:r>
      <w:r w:rsidR="009E4B15">
        <w:t xml:space="preserve">were also rated.  Therapy actions deemed to be less consistent or inconsistent with ACT </w:t>
      </w:r>
      <w:r w:rsidR="00084E45">
        <w:t>includ</w:t>
      </w:r>
      <w:r w:rsidR="009E4B15">
        <w:t xml:space="preserve">ed: </w:t>
      </w:r>
      <w:r w:rsidR="00755676" w:rsidRPr="00F57420">
        <w:t>discussion of cognitive content</w:t>
      </w:r>
      <w:r w:rsidR="00157918" w:rsidRPr="00F57420">
        <w:t>, indicati</w:t>
      </w:r>
      <w:r w:rsidR="00755676" w:rsidRPr="00F57420">
        <w:t>ons</w:t>
      </w:r>
      <w:r w:rsidR="00157918" w:rsidRPr="00F57420">
        <w:t xml:space="preserve"> that thoughts and feelings cause behaviors, </w:t>
      </w:r>
      <w:r w:rsidR="00BC5792" w:rsidRPr="00F57420">
        <w:t xml:space="preserve">behavior management to regulate thoughts/feelings, </w:t>
      </w:r>
      <w:r w:rsidR="00157918" w:rsidRPr="00F57420">
        <w:t xml:space="preserve">and </w:t>
      </w:r>
      <w:r w:rsidR="00DB436A">
        <w:t>ERP procedures (</w:t>
      </w:r>
      <w:r w:rsidR="00043F53">
        <w:t xml:space="preserve">intentionally invoking </w:t>
      </w:r>
      <w:r w:rsidR="00084E45">
        <w:t>o</w:t>
      </w:r>
      <w:r w:rsidR="00043F53">
        <w:t xml:space="preserve">bsessions in-session, </w:t>
      </w:r>
      <w:r w:rsidR="00084E45">
        <w:t xml:space="preserve">collecting </w:t>
      </w:r>
      <w:r w:rsidR="00043F53">
        <w:t xml:space="preserve">SUDS ratings, </w:t>
      </w:r>
      <w:r w:rsidR="00084E45">
        <w:t>teaching response prevention</w:t>
      </w:r>
      <w:r w:rsidR="009E4B15">
        <w:t>, etc.</w:t>
      </w:r>
      <w:r w:rsidR="00157918" w:rsidRPr="00F57420">
        <w:t>)</w:t>
      </w:r>
      <w:r w:rsidR="00084E45">
        <w:t xml:space="preserve">. Values of ratings were as </w:t>
      </w:r>
      <w:r w:rsidR="00B85A16" w:rsidRPr="00F57420">
        <w:t>follows: 5 = “occurred with high frequency and was covered in a very in-depth manner,” 4 = “occurred with relatively high frequency and was addressed in a moderately in</w:t>
      </w:r>
      <w:r w:rsidR="00DB436A">
        <w:t>-</w:t>
      </w:r>
      <w:r w:rsidR="00B85A16" w:rsidRPr="00F57420">
        <w:t xml:space="preserve">depth manner,” 3 = “occurred several times and was covered at least once in a moderately in-depth manner,” 2 = “occurred at least once and not in an in-depth manner,” and 1= “the variable was never explicitly covered.”  </w:t>
      </w:r>
      <w:r w:rsidR="00974410">
        <w:t>Overall adherence to the manual and overall therapist competence were highly rated (</w:t>
      </w:r>
      <w:r w:rsidR="00974410" w:rsidRPr="00C8729A">
        <w:rPr>
          <w:i/>
        </w:rPr>
        <w:t>M=</w:t>
      </w:r>
      <w:r w:rsidR="00974410">
        <w:t xml:space="preserve">4.0, </w:t>
      </w:r>
      <w:r w:rsidR="00974410" w:rsidRPr="00C8729A">
        <w:rPr>
          <w:i/>
        </w:rPr>
        <w:t>SD=</w:t>
      </w:r>
      <w:r w:rsidR="00974410">
        <w:t xml:space="preserve">0.8, and </w:t>
      </w:r>
      <w:r w:rsidR="00974410" w:rsidRPr="00C8729A">
        <w:rPr>
          <w:i/>
        </w:rPr>
        <w:t>M=</w:t>
      </w:r>
      <w:r w:rsidR="00974410">
        <w:t xml:space="preserve">4.3, </w:t>
      </w:r>
      <w:r w:rsidR="00974410" w:rsidRPr="00C8729A">
        <w:rPr>
          <w:i/>
        </w:rPr>
        <w:t>SD</w:t>
      </w:r>
      <w:r w:rsidR="00C8729A" w:rsidRPr="00C8729A">
        <w:rPr>
          <w:i/>
        </w:rPr>
        <w:t>=</w:t>
      </w:r>
      <w:r w:rsidR="00974410">
        <w:t>0.7, respectively).</w:t>
      </w:r>
      <w:r w:rsidR="00380643">
        <w:t xml:space="preserve">  Means for the various ACT components over the </w:t>
      </w:r>
      <w:r w:rsidR="009E4B15">
        <w:t xml:space="preserve">eight </w:t>
      </w:r>
      <w:r w:rsidR="00380643">
        <w:t xml:space="preserve">sessions were as follows: acceptance, </w:t>
      </w:r>
      <w:r w:rsidR="00007C39" w:rsidRPr="00007C39">
        <w:rPr>
          <w:i/>
        </w:rPr>
        <w:t>M=</w:t>
      </w:r>
      <w:r w:rsidR="00380643">
        <w:t>3.3 (</w:t>
      </w:r>
      <w:r w:rsidR="00716B6E" w:rsidRPr="00716B6E">
        <w:rPr>
          <w:i/>
        </w:rPr>
        <w:t>SD=</w:t>
      </w:r>
      <w:r w:rsidR="00380643">
        <w:t xml:space="preserve">1.4); </w:t>
      </w:r>
      <w:proofErr w:type="spellStart"/>
      <w:r w:rsidR="00380643">
        <w:t>defusion</w:t>
      </w:r>
      <w:proofErr w:type="spellEnd"/>
      <w:r w:rsidR="00380643">
        <w:t xml:space="preserve">, </w:t>
      </w:r>
      <w:r w:rsidR="00007C39" w:rsidRPr="00007C39">
        <w:rPr>
          <w:i/>
        </w:rPr>
        <w:t>M=</w:t>
      </w:r>
      <w:r w:rsidR="00380643">
        <w:t>2.2 (</w:t>
      </w:r>
      <w:r w:rsidR="00716B6E" w:rsidRPr="00716B6E">
        <w:rPr>
          <w:i/>
        </w:rPr>
        <w:t>SD=</w:t>
      </w:r>
      <w:r w:rsidR="00380643">
        <w:t xml:space="preserve">1.1); self as context, </w:t>
      </w:r>
      <w:r w:rsidR="00007C39" w:rsidRPr="00007C39">
        <w:rPr>
          <w:i/>
        </w:rPr>
        <w:t>M=</w:t>
      </w:r>
      <w:r w:rsidR="00380643">
        <w:t>1.4 (</w:t>
      </w:r>
      <w:r w:rsidR="00716B6E" w:rsidRPr="00716B6E">
        <w:rPr>
          <w:i/>
        </w:rPr>
        <w:t>SD=</w:t>
      </w:r>
      <w:r w:rsidR="00380643">
        <w:t xml:space="preserve">0.7); present moment, </w:t>
      </w:r>
      <w:r w:rsidR="00007C39" w:rsidRPr="00007C39">
        <w:rPr>
          <w:i/>
        </w:rPr>
        <w:t>M=</w:t>
      </w:r>
      <w:r w:rsidR="00380643">
        <w:t>1.5 (</w:t>
      </w:r>
      <w:r w:rsidR="00716B6E" w:rsidRPr="00716B6E">
        <w:rPr>
          <w:i/>
        </w:rPr>
        <w:t>SD=</w:t>
      </w:r>
      <w:r w:rsidR="00380643">
        <w:t xml:space="preserve">0.7); values, </w:t>
      </w:r>
      <w:r w:rsidR="00007C39" w:rsidRPr="00007C39">
        <w:rPr>
          <w:i/>
        </w:rPr>
        <w:t>M=</w:t>
      </w:r>
      <w:r w:rsidR="00380643">
        <w:t>2.9 (</w:t>
      </w:r>
      <w:r w:rsidR="00716B6E" w:rsidRPr="00716B6E">
        <w:rPr>
          <w:i/>
        </w:rPr>
        <w:t>SD=</w:t>
      </w:r>
      <w:r w:rsidR="00380643">
        <w:t xml:space="preserve">1.6); and committed action, </w:t>
      </w:r>
      <w:r w:rsidR="00007C39" w:rsidRPr="00007C39">
        <w:rPr>
          <w:i/>
        </w:rPr>
        <w:t>M=</w:t>
      </w:r>
      <w:r w:rsidR="00380643">
        <w:t>2.7 (</w:t>
      </w:r>
      <w:r w:rsidR="00716B6E" w:rsidRPr="00716B6E">
        <w:rPr>
          <w:i/>
        </w:rPr>
        <w:t>SD=</w:t>
      </w:r>
      <w:r w:rsidR="00380643">
        <w:t>1.2).</w:t>
      </w:r>
      <w:r w:rsidR="009C7B4F">
        <w:t xml:space="preserve">  Means for </w:t>
      </w:r>
      <w:r w:rsidR="009C7B4F" w:rsidRPr="00F57420">
        <w:t>therapy actions that are less consistent or inconsistent with ACT</w:t>
      </w:r>
      <w:r w:rsidR="009C7B4F">
        <w:t xml:space="preserve"> were as follows: </w:t>
      </w:r>
      <w:r>
        <w:t xml:space="preserve">discussion of </w:t>
      </w:r>
      <w:r w:rsidR="00B86439">
        <w:t xml:space="preserve">content </w:t>
      </w:r>
      <w:r>
        <w:lastRenderedPageBreak/>
        <w:t>of obsessions</w:t>
      </w:r>
      <w:r w:rsidR="00B86439">
        <w:t>,</w:t>
      </w:r>
      <w:r>
        <w:t xml:space="preserve"> </w:t>
      </w:r>
      <w:r w:rsidR="00C8729A" w:rsidRPr="00C8729A">
        <w:rPr>
          <w:i/>
        </w:rPr>
        <w:t>M=</w:t>
      </w:r>
      <w:r>
        <w:t>2.0 (</w:t>
      </w:r>
      <w:r w:rsidR="00716B6E" w:rsidRPr="00716B6E">
        <w:rPr>
          <w:i/>
        </w:rPr>
        <w:t>SD=</w:t>
      </w:r>
      <w:r>
        <w:t>1.1)</w:t>
      </w:r>
      <w:r w:rsidR="00B86439">
        <w:t>;</w:t>
      </w:r>
      <w:r>
        <w:t xml:space="preserve"> </w:t>
      </w:r>
      <w:r w:rsidR="009C7B4F">
        <w:t xml:space="preserve">cognitive model, </w:t>
      </w:r>
      <w:r w:rsidR="00007C39" w:rsidRPr="00007C39">
        <w:rPr>
          <w:i/>
        </w:rPr>
        <w:t>M=</w:t>
      </w:r>
      <w:r w:rsidR="009C7B4F">
        <w:t>1.0 (</w:t>
      </w:r>
      <w:r w:rsidR="00716B6E" w:rsidRPr="00716B6E">
        <w:rPr>
          <w:i/>
        </w:rPr>
        <w:t>SD=</w:t>
      </w:r>
      <w:r w:rsidR="009C7B4F">
        <w:t xml:space="preserve">0); behavior management, </w:t>
      </w:r>
      <w:r w:rsidR="00007C39" w:rsidRPr="00007C39">
        <w:rPr>
          <w:i/>
        </w:rPr>
        <w:t>M=</w:t>
      </w:r>
      <w:r w:rsidR="009C7B4F">
        <w:t>1.0 (</w:t>
      </w:r>
      <w:r w:rsidR="00716B6E" w:rsidRPr="00716B6E">
        <w:rPr>
          <w:i/>
        </w:rPr>
        <w:t>SD=</w:t>
      </w:r>
      <w:r w:rsidR="009C7B4F">
        <w:t xml:space="preserve">0); and in-session exposure, </w:t>
      </w:r>
      <w:r w:rsidR="00007C39" w:rsidRPr="00007C39">
        <w:rPr>
          <w:i/>
        </w:rPr>
        <w:t>M=</w:t>
      </w:r>
      <w:r w:rsidR="009C7B4F">
        <w:t>1.0 (</w:t>
      </w:r>
      <w:r w:rsidR="00716B6E" w:rsidRPr="00716B6E">
        <w:rPr>
          <w:i/>
        </w:rPr>
        <w:t>SD=</w:t>
      </w:r>
      <w:r w:rsidR="009C7B4F">
        <w:t>0).</w:t>
      </w:r>
    </w:p>
    <w:p w:rsidR="009C7B4F" w:rsidRPr="00F57420" w:rsidRDefault="00DB436A" w:rsidP="003C60A2">
      <w:pPr>
        <w:spacing w:line="480" w:lineRule="auto"/>
        <w:ind w:firstLine="720"/>
      </w:pPr>
      <w:r>
        <w:t>A</w:t>
      </w:r>
      <w:r w:rsidR="004236FC">
        <w:t xml:space="preserve">n additional </w:t>
      </w:r>
      <w:r w:rsidR="00056246" w:rsidRPr="00F57420">
        <w:t xml:space="preserve">scoring system was also used for this study, </w:t>
      </w:r>
      <w:r w:rsidR="00BC5792" w:rsidRPr="00F57420">
        <w:t xml:space="preserve">in an attempt to </w:t>
      </w:r>
      <w:r w:rsidR="00056246" w:rsidRPr="00F57420">
        <w:t>measure treatment content on a per-minute basis.</w:t>
      </w:r>
      <w:r w:rsidR="005017E1" w:rsidRPr="00F57420">
        <w:t xml:space="preserve"> </w:t>
      </w:r>
      <w:r w:rsidR="00716B6E">
        <w:t xml:space="preserve"> </w:t>
      </w:r>
      <w:r w:rsidR="003F1A9F">
        <w:t xml:space="preserve">The same senior graduate student administered this scoring system.  </w:t>
      </w:r>
      <w:r w:rsidR="00974410">
        <w:t xml:space="preserve">Out of a total of 845 minutes of assessed therapy over </w:t>
      </w:r>
      <w:r w:rsidR="004236FC">
        <w:t>8</w:t>
      </w:r>
      <w:r w:rsidR="00974410">
        <w:t xml:space="preserve"> sessions, </w:t>
      </w:r>
      <w:r w:rsidR="009C7B4F">
        <w:t xml:space="preserve">therapy </w:t>
      </w:r>
      <w:r w:rsidR="00974410">
        <w:t xml:space="preserve">time was </w:t>
      </w:r>
      <w:r w:rsidR="009C7B4F">
        <w:t xml:space="preserve">generally distributed </w:t>
      </w:r>
      <w:r w:rsidR="00974410">
        <w:t>as follows</w:t>
      </w:r>
      <w:r w:rsidR="009C7B4F">
        <w:t xml:space="preserve"> (note some overlap)</w:t>
      </w:r>
      <w:r w:rsidR="00974410">
        <w:t xml:space="preserve">: general assessment: 380 minutes (45% of total), acceptance: 212 minutes (25% of total), </w:t>
      </w:r>
      <w:r w:rsidR="005017E1" w:rsidRPr="00F57420">
        <w:t xml:space="preserve"> </w:t>
      </w:r>
      <w:r w:rsidR="00974410">
        <w:t xml:space="preserve">values: 158 minutes (19% of total), committed action: 93 minutes (11% of total), </w:t>
      </w:r>
      <w:proofErr w:type="spellStart"/>
      <w:r w:rsidR="00974410">
        <w:t>defusion</w:t>
      </w:r>
      <w:proofErr w:type="spellEnd"/>
      <w:r w:rsidR="00974410">
        <w:t>: 70 minutes (8% of total), self-as-context: 17 minutes (2% of total), present moment: 14 minutes (2% of total)</w:t>
      </w:r>
      <w:r w:rsidR="00380643">
        <w:t xml:space="preserve">, </w:t>
      </w:r>
      <w:r w:rsidR="00707822">
        <w:t xml:space="preserve">discussion </w:t>
      </w:r>
      <w:r w:rsidR="00C8729A">
        <w:t xml:space="preserve">of </w:t>
      </w:r>
      <w:r w:rsidR="00707822">
        <w:t>obsessions</w:t>
      </w:r>
      <w:r w:rsidR="00C8729A">
        <w:t xml:space="preserve"> content:</w:t>
      </w:r>
      <w:r w:rsidR="00707822">
        <w:t xml:space="preserve"> 53 minutes (6%)</w:t>
      </w:r>
      <w:r w:rsidR="00C8729A">
        <w:t>,</w:t>
      </w:r>
      <w:r w:rsidR="00707822">
        <w:t xml:space="preserve"> and </w:t>
      </w:r>
      <w:r w:rsidR="00380643">
        <w:t>in-session exposure: 0 minutes (0% of total).</w:t>
      </w:r>
    </w:p>
    <w:p w:rsidR="001659BF" w:rsidRPr="00F57420" w:rsidRDefault="00A53BCC" w:rsidP="003E32C2">
      <w:pPr>
        <w:spacing w:line="480" w:lineRule="auto"/>
        <w:jc w:val="center"/>
        <w:rPr>
          <w:b/>
        </w:rPr>
      </w:pPr>
      <w:r w:rsidRPr="00F57420">
        <w:rPr>
          <w:b/>
        </w:rPr>
        <w:t>Results</w:t>
      </w:r>
    </w:p>
    <w:p w:rsidR="00192CF0" w:rsidRPr="00F57420" w:rsidRDefault="00192CF0" w:rsidP="001659BF">
      <w:pPr>
        <w:spacing w:line="480" w:lineRule="auto"/>
        <w:rPr>
          <w:rFonts w:eastAsia="Calibri"/>
        </w:rPr>
      </w:pPr>
      <w:r w:rsidRPr="00F57420">
        <w:rPr>
          <w:rFonts w:eastAsia="Calibri"/>
          <w:b/>
        </w:rPr>
        <w:tab/>
      </w:r>
      <w:r w:rsidRPr="00F57420">
        <w:rPr>
          <w:rFonts w:eastAsia="Calibri"/>
        </w:rPr>
        <w:t>Individual rates of self-monitored compulsions and avoided valued activities are presented for each participant</w:t>
      </w:r>
      <w:r w:rsidR="00707822">
        <w:rPr>
          <w:rFonts w:eastAsia="Calibri"/>
        </w:rPr>
        <w:t xml:space="preserve"> (Figures 1 &amp; 2)</w:t>
      </w:r>
      <w:r w:rsidRPr="00F57420">
        <w:rPr>
          <w:rFonts w:eastAsia="Calibri"/>
        </w:rPr>
        <w:t xml:space="preserve">. </w:t>
      </w:r>
      <w:r w:rsidR="00716B6E">
        <w:rPr>
          <w:rFonts w:eastAsia="Calibri"/>
        </w:rPr>
        <w:t xml:space="preserve"> </w:t>
      </w:r>
      <w:r w:rsidRPr="00F57420">
        <w:rPr>
          <w:rFonts w:eastAsia="Calibri"/>
        </w:rPr>
        <w:t xml:space="preserve">Individual scores at pretreatment, posttreatment, and three month follow-up are in table 3. </w:t>
      </w:r>
      <w:r w:rsidR="00716B6E">
        <w:rPr>
          <w:rFonts w:eastAsia="Calibri"/>
        </w:rPr>
        <w:t xml:space="preserve"> </w:t>
      </w:r>
      <w:r w:rsidRPr="00F57420">
        <w:rPr>
          <w:rFonts w:eastAsia="Calibri"/>
        </w:rPr>
        <w:t>Group averages across all measures are presented in the text.</w:t>
      </w:r>
    </w:p>
    <w:p w:rsidR="001659BF" w:rsidRPr="00F57420" w:rsidRDefault="00EB0636" w:rsidP="001659BF">
      <w:pPr>
        <w:spacing w:line="480" w:lineRule="auto"/>
        <w:rPr>
          <w:rFonts w:eastAsia="Calibri"/>
          <w:b/>
        </w:rPr>
      </w:pPr>
      <w:r w:rsidRPr="00F57420">
        <w:rPr>
          <w:rFonts w:eastAsia="Calibri"/>
          <w:b/>
        </w:rPr>
        <w:t xml:space="preserve">Compulsions and Avoided Valued Activities Frequency </w:t>
      </w:r>
    </w:p>
    <w:p w:rsidR="001659BF" w:rsidRPr="00F57420" w:rsidRDefault="00EB0636" w:rsidP="001659BF">
      <w:pPr>
        <w:spacing w:line="480" w:lineRule="auto"/>
        <w:ind w:firstLine="720"/>
        <w:rPr>
          <w:rFonts w:eastAsia="Calibri"/>
        </w:rPr>
      </w:pPr>
      <w:proofErr w:type="gramStart"/>
      <w:r w:rsidRPr="00F57420">
        <w:rPr>
          <w:rFonts w:eastAsia="Calibri"/>
          <w:b/>
        </w:rPr>
        <w:t>Participant 1.</w:t>
      </w:r>
      <w:proofErr w:type="gramEnd"/>
      <w:r w:rsidR="001659BF" w:rsidRPr="00F57420">
        <w:rPr>
          <w:rFonts w:eastAsia="Calibri"/>
        </w:rPr>
        <w:t xml:space="preserve">  The pretreatment average for Participant 1’s daily compulsions was </w:t>
      </w:r>
      <w:r w:rsidR="00007C39" w:rsidRPr="00007C39">
        <w:rPr>
          <w:rFonts w:eastAsia="Calibri"/>
          <w:i/>
        </w:rPr>
        <w:t>M=</w:t>
      </w:r>
      <w:r w:rsidR="001659BF" w:rsidRPr="00F57420">
        <w:rPr>
          <w:rFonts w:eastAsia="Calibri"/>
        </w:rPr>
        <w:t>10.0 (</w:t>
      </w:r>
      <w:r w:rsidR="00716B6E" w:rsidRPr="00716B6E">
        <w:rPr>
          <w:rFonts w:eastAsia="Calibri"/>
          <w:i/>
        </w:rPr>
        <w:t>SD=</w:t>
      </w:r>
      <w:r w:rsidR="001659BF" w:rsidRPr="00F57420">
        <w:rPr>
          <w:rFonts w:eastAsia="Calibri"/>
        </w:rPr>
        <w:t xml:space="preserve">2.3).  Her compulsions reduced by 50% by </w:t>
      </w:r>
      <w:r w:rsidR="00624CFF" w:rsidRPr="00F57420">
        <w:rPr>
          <w:rFonts w:eastAsia="Calibri"/>
        </w:rPr>
        <w:t>day 36 of treatment</w:t>
      </w:r>
      <w:r w:rsidR="001659BF" w:rsidRPr="00F57420">
        <w:rPr>
          <w:rFonts w:eastAsia="Calibri"/>
        </w:rPr>
        <w:t xml:space="preserve">, </w:t>
      </w:r>
      <w:r w:rsidR="007E4AA3">
        <w:rPr>
          <w:rFonts w:eastAsia="Calibri"/>
        </w:rPr>
        <w:t xml:space="preserve">further </w:t>
      </w:r>
      <w:r w:rsidR="001659BF" w:rsidRPr="00F57420">
        <w:rPr>
          <w:rFonts w:eastAsia="Calibri"/>
        </w:rPr>
        <w:t xml:space="preserve">reduced to </w:t>
      </w:r>
      <w:r w:rsidR="00007C39" w:rsidRPr="00007C39">
        <w:rPr>
          <w:rFonts w:eastAsia="Calibri"/>
          <w:i/>
        </w:rPr>
        <w:t>M=</w:t>
      </w:r>
      <w:r w:rsidR="001659BF" w:rsidRPr="00F57420">
        <w:rPr>
          <w:rFonts w:eastAsia="Calibri"/>
        </w:rPr>
        <w:t>1.8 (</w:t>
      </w:r>
      <w:r w:rsidR="00716B6E" w:rsidRPr="00716B6E">
        <w:rPr>
          <w:rFonts w:eastAsia="Calibri"/>
          <w:i/>
        </w:rPr>
        <w:t>SD=</w:t>
      </w:r>
      <w:r w:rsidR="001659BF" w:rsidRPr="00F57420">
        <w:rPr>
          <w:rFonts w:eastAsia="Calibri"/>
        </w:rPr>
        <w:t>1.3) by posttreatment</w:t>
      </w:r>
      <w:r w:rsidR="007E4AA3">
        <w:rPr>
          <w:rFonts w:eastAsia="Calibri"/>
        </w:rPr>
        <w:t>,</w:t>
      </w:r>
      <w:r w:rsidR="001659BF" w:rsidRPr="00F57420">
        <w:rPr>
          <w:rFonts w:eastAsia="Calibri"/>
        </w:rPr>
        <w:t xml:space="preserve"> and to </w:t>
      </w:r>
      <w:r w:rsidR="00007C39" w:rsidRPr="00007C39">
        <w:rPr>
          <w:rFonts w:eastAsia="Calibri"/>
          <w:i/>
        </w:rPr>
        <w:t>M=</w:t>
      </w:r>
      <w:r w:rsidR="00D15AD1" w:rsidRPr="00F57420">
        <w:rPr>
          <w:rFonts w:eastAsia="Calibri"/>
        </w:rPr>
        <w:t>1.6</w:t>
      </w:r>
      <w:r w:rsidR="001659BF" w:rsidRPr="00F57420">
        <w:rPr>
          <w:rFonts w:eastAsia="Calibri"/>
        </w:rPr>
        <w:t xml:space="preserve"> (</w:t>
      </w:r>
      <w:r w:rsidR="00716B6E" w:rsidRPr="00716B6E">
        <w:rPr>
          <w:rFonts w:eastAsia="Calibri"/>
          <w:i/>
        </w:rPr>
        <w:t>SD=</w:t>
      </w:r>
      <w:r w:rsidR="00D15AD1" w:rsidRPr="00F57420">
        <w:rPr>
          <w:rFonts w:eastAsia="Calibri"/>
        </w:rPr>
        <w:t>0.8</w:t>
      </w:r>
      <w:r w:rsidR="001659BF" w:rsidRPr="00F57420">
        <w:rPr>
          <w:rFonts w:eastAsia="Calibri"/>
        </w:rPr>
        <w:t xml:space="preserve">) by follow-up.  The pretreatment average for Participant 1’s daily </w:t>
      </w:r>
      <w:r w:rsidR="00216534" w:rsidRPr="00F57420">
        <w:rPr>
          <w:rFonts w:eastAsia="Calibri"/>
        </w:rPr>
        <w:t xml:space="preserve">avoided </w:t>
      </w:r>
      <w:r w:rsidR="00383E8A" w:rsidRPr="00F57420">
        <w:rPr>
          <w:rFonts w:eastAsia="Calibri"/>
        </w:rPr>
        <w:t xml:space="preserve">valued </w:t>
      </w:r>
      <w:r w:rsidR="00216534" w:rsidRPr="00F57420">
        <w:rPr>
          <w:rFonts w:eastAsia="Calibri"/>
        </w:rPr>
        <w:t xml:space="preserve">activities </w:t>
      </w:r>
      <w:r w:rsidR="001659BF" w:rsidRPr="00F57420">
        <w:rPr>
          <w:rFonts w:eastAsia="Calibri"/>
        </w:rPr>
        <w:t xml:space="preserve">was </w:t>
      </w:r>
      <w:r w:rsidR="00007C39" w:rsidRPr="00007C39">
        <w:rPr>
          <w:rFonts w:eastAsia="Calibri"/>
          <w:i/>
        </w:rPr>
        <w:t>M=</w:t>
      </w:r>
      <w:r w:rsidR="001659BF" w:rsidRPr="00F57420">
        <w:rPr>
          <w:rFonts w:eastAsia="Calibri"/>
        </w:rPr>
        <w:t>0.8 (</w:t>
      </w:r>
      <w:r w:rsidR="00716B6E" w:rsidRPr="00716B6E">
        <w:rPr>
          <w:rFonts w:eastAsia="Calibri"/>
          <w:i/>
        </w:rPr>
        <w:t>SD=</w:t>
      </w:r>
      <w:r w:rsidR="001659BF" w:rsidRPr="00F57420">
        <w:rPr>
          <w:rFonts w:eastAsia="Calibri"/>
        </w:rPr>
        <w:t xml:space="preserve">0.8).  Her </w:t>
      </w:r>
      <w:r w:rsidR="004B389D" w:rsidRPr="00F57420">
        <w:rPr>
          <w:rFonts w:eastAsia="Calibri"/>
        </w:rPr>
        <w:t xml:space="preserve">reported </w:t>
      </w:r>
      <w:r w:rsidR="00216534" w:rsidRPr="00F57420">
        <w:rPr>
          <w:rFonts w:eastAsia="Calibri"/>
        </w:rPr>
        <w:t xml:space="preserve">avoided activities </w:t>
      </w:r>
      <w:r w:rsidR="001659BF" w:rsidRPr="00F57420">
        <w:rPr>
          <w:rFonts w:eastAsia="Calibri"/>
        </w:rPr>
        <w:t xml:space="preserve">were reduced to zero by </w:t>
      </w:r>
      <w:r w:rsidR="00BE199C" w:rsidRPr="00F57420">
        <w:rPr>
          <w:rFonts w:eastAsia="Calibri"/>
        </w:rPr>
        <w:t>day 36 of treatment</w:t>
      </w:r>
      <w:r w:rsidR="001659BF" w:rsidRPr="00F57420">
        <w:rPr>
          <w:rFonts w:eastAsia="Calibri"/>
        </w:rPr>
        <w:t>, and this rate was maintained through posttreatment (</w:t>
      </w:r>
      <w:r w:rsidR="00007C39" w:rsidRPr="00007C39">
        <w:rPr>
          <w:rFonts w:eastAsia="Calibri"/>
          <w:i/>
        </w:rPr>
        <w:t>M=</w:t>
      </w:r>
      <w:r w:rsidR="001659BF" w:rsidRPr="00F57420">
        <w:rPr>
          <w:rFonts w:eastAsia="Calibri"/>
        </w:rPr>
        <w:t xml:space="preserve">0.0, </w:t>
      </w:r>
      <w:r w:rsidR="00716B6E" w:rsidRPr="00716B6E">
        <w:rPr>
          <w:rFonts w:eastAsia="Calibri"/>
          <w:i/>
        </w:rPr>
        <w:t>SD=</w:t>
      </w:r>
      <w:r w:rsidR="001659BF" w:rsidRPr="00F57420">
        <w:rPr>
          <w:rFonts w:eastAsia="Calibri"/>
        </w:rPr>
        <w:t xml:space="preserve">0.0), rising slightly at follow-up to </w:t>
      </w:r>
      <w:r w:rsidR="00007C39" w:rsidRPr="00007C39">
        <w:rPr>
          <w:rFonts w:eastAsia="Calibri"/>
          <w:i/>
        </w:rPr>
        <w:t>M=</w:t>
      </w:r>
      <w:r w:rsidR="001659BF" w:rsidRPr="00F57420">
        <w:rPr>
          <w:rFonts w:eastAsia="Calibri"/>
        </w:rPr>
        <w:t>0.1 (</w:t>
      </w:r>
      <w:r w:rsidR="00716B6E" w:rsidRPr="00716B6E">
        <w:rPr>
          <w:rFonts w:eastAsia="Calibri"/>
          <w:i/>
        </w:rPr>
        <w:t>SD=</w:t>
      </w:r>
      <w:r w:rsidR="001659BF" w:rsidRPr="00F57420">
        <w:rPr>
          <w:rFonts w:eastAsia="Calibri"/>
        </w:rPr>
        <w:t>0.</w:t>
      </w:r>
      <w:r w:rsidR="00D15AD1" w:rsidRPr="00F57420">
        <w:rPr>
          <w:rFonts w:eastAsia="Calibri"/>
        </w:rPr>
        <w:t>4</w:t>
      </w:r>
      <w:r w:rsidR="001659BF" w:rsidRPr="00F57420">
        <w:rPr>
          <w:rFonts w:eastAsia="Calibri"/>
        </w:rPr>
        <w:t xml:space="preserve">).  </w:t>
      </w:r>
    </w:p>
    <w:p w:rsidR="00C744CF" w:rsidRPr="00F57420" w:rsidRDefault="00EB0636" w:rsidP="00E5516F">
      <w:pPr>
        <w:spacing w:line="480" w:lineRule="auto"/>
        <w:ind w:firstLine="720"/>
        <w:rPr>
          <w:rFonts w:eastAsia="Calibri"/>
        </w:rPr>
      </w:pPr>
      <w:proofErr w:type="gramStart"/>
      <w:r w:rsidRPr="00F57420">
        <w:rPr>
          <w:rFonts w:eastAsia="Calibri"/>
          <w:b/>
        </w:rPr>
        <w:lastRenderedPageBreak/>
        <w:t>Participant 2.</w:t>
      </w:r>
      <w:proofErr w:type="gramEnd"/>
      <w:r w:rsidRPr="00F57420">
        <w:rPr>
          <w:rFonts w:eastAsia="Calibri"/>
          <w:b/>
        </w:rPr>
        <w:t xml:space="preserve"> </w:t>
      </w:r>
      <w:r w:rsidR="001659BF" w:rsidRPr="00F57420">
        <w:rPr>
          <w:rFonts w:eastAsia="Calibri"/>
        </w:rPr>
        <w:t xml:space="preserve"> The pretreatment average for Participant </w:t>
      </w:r>
      <w:r w:rsidR="00DA20F9" w:rsidRPr="00F57420">
        <w:rPr>
          <w:rFonts w:eastAsia="Calibri"/>
        </w:rPr>
        <w:t>2</w:t>
      </w:r>
      <w:r w:rsidR="001659BF" w:rsidRPr="00F57420">
        <w:rPr>
          <w:rFonts w:eastAsia="Calibri"/>
        </w:rPr>
        <w:t>’s daily compulsions</w:t>
      </w:r>
      <w:r w:rsidR="00216534" w:rsidRPr="00F57420">
        <w:rPr>
          <w:rFonts w:eastAsia="Calibri"/>
        </w:rPr>
        <w:t xml:space="preserve"> </w:t>
      </w:r>
      <w:r w:rsidR="001659BF" w:rsidRPr="00F57420">
        <w:rPr>
          <w:rFonts w:eastAsia="Calibri"/>
        </w:rPr>
        <w:t xml:space="preserve">was </w:t>
      </w:r>
      <w:r w:rsidR="00007C39" w:rsidRPr="00007C39">
        <w:rPr>
          <w:rFonts w:eastAsia="Calibri"/>
          <w:i/>
        </w:rPr>
        <w:t>M=</w:t>
      </w:r>
      <w:r w:rsidR="001659BF" w:rsidRPr="00F57420">
        <w:rPr>
          <w:rFonts w:eastAsia="Calibri"/>
        </w:rPr>
        <w:t>52.1 (</w:t>
      </w:r>
      <w:r w:rsidR="00716B6E" w:rsidRPr="00716B6E">
        <w:rPr>
          <w:rFonts w:eastAsia="Calibri"/>
          <w:i/>
        </w:rPr>
        <w:t>SD=</w:t>
      </w:r>
      <w:r w:rsidR="001659BF" w:rsidRPr="00F57420">
        <w:rPr>
          <w:rFonts w:eastAsia="Calibri"/>
        </w:rPr>
        <w:t xml:space="preserve">23.0).  His compulsions </w:t>
      </w:r>
      <w:r w:rsidR="00AD78E4" w:rsidRPr="00F57420">
        <w:rPr>
          <w:rFonts w:eastAsia="Calibri"/>
        </w:rPr>
        <w:t xml:space="preserve">reduced by </w:t>
      </w:r>
      <w:r w:rsidR="007C7639" w:rsidRPr="00F57420">
        <w:rPr>
          <w:rFonts w:eastAsia="Calibri"/>
        </w:rPr>
        <w:t>52</w:t>
      </w:r>
      <w:r w:rsidR="00AD78E4" w:rsidRPr="00F57420">
        <w:rPr>
          <w:rFonts w:eastAsia="Calibri"/>
        </w:rPr>
        <w:t xml:space="preserve">% </w:t>
      </w:r>
      <w:r w:rsidR="001659BF" w:rsidRPr="00F57420">
        <w:rPr>
          <w:rFonts w:eastAsia="Calibri"/>
        </w:rPr>
        <w:t xml:space="preserve">by </w:t>
      </w:r>
      <w:r w:rsidR="007C7639" w:rsidRPr="00F57420">
        <w:rPr>
          <w:rFonts w:eastAsia="Calibri"/>
        </w:rPr>
        <w:t>day 66 of treatment</w:t>
      </w:r>
      <w:r w:rsidR="001659BF" w:rsidRPr="00F57420">
        <w:rPr>
          <w:rFonts w:eastAsia="Calibri"/>
        </w:rPr>
        <w:t xml:space="preserve">, and reduced to </w:t>
      </w:r>
      <w:r w:rsidR="00007C39" w:rsidRPr="00007C39">
        <w:rPr>
          <w:rFonts w:eastAsia="Calibri"/>
          <w:i/>
        </w:rPr>
        <w:t>M=</w:t>
      </w:r>
      <w:r w:rsidR="001659BF" w:rsidRPr="00F57420">
        <w:rPr>
          <w:rFonts w:eastAsia="Calibri"/>
        </w:rPr>
        <w:t>13.5 (</w:t>
      </w:r>
      <w:r w:rsidR="00716B6E" w:rsidRPr="00716B6E">
        <w:rPr>
          <w:rFonts w:eastAsia="Calibri"/>
          <w:i/>
        </w:rPr>
        <w:t>SD=</w:t>
      </w:r>
      <w:r w:rsidR="001659BF" w:rsidRPr="00F57420">
        <w:rPr>
          <w:rFonts w:eastAsia="Calibri"/>
        </w:rPr>
        <w:t>4.3) by posttreatment</w:t>
      </w:r>
      <w:r w:rsidR="00735CB5">
        <w:rPr>
          <w:rFonts w:eastAsia="Calibri"/>
        </w:rPr>
        <w:t>,</w:t>
      </w:r>
      <w:r w:rsidR="001659BF" w:rsidRPr="00F57420">
        <w:rPr>
          <w:rFonts w:eastAsia="Calibri"/>
        </w:rPr>
        <w:t xml:space="preserve"> and </w:t>
      </w:r>
      <w:r w:rsidR="00007C39" w:rsidRPr="00007C39">
        <w:rPr>
          <w:rFonts w:eastAsia="Calibri"/>
          <w:i/>
        </w:rPr>
        <w:t>M=</w:t>
      </w:r>
      <w:r w:rsidR="001659BF" w:rsidRPr="00F57420">
        <w:rPr>
          <w:rFonts w:eastAsia="Calibri"/>
          <w:i/>
        </w:rPr>
        <w:t>8.</w:t>
      </w:r>
      <w:r w:rsidR="00D75639" w:rsidRPr="00F57420">
        <w:rPr>
          <w:rFonts w:eastAsia="Calibri"/>
          <w:i/>
        </w:rPr>
        <w:t>7</w:t>
      </w:r>
      <w:r w:rsidR="001659BF" w:rsidRPr="00F57420">
        <w:rPr>
          <w:rFonts w:eastAsia="Calibri"/>
        </w:rPr>
        <w:t xml:space="preserve"> (</w:t>
      </w:r>
      <w:r w:rsidR="00716B6E" w:rsidRPr="00716B6E">
        <w:rPr>
          <w:rFonts w:eastAsia="Calibri"/>
          <w:i/>
        </w:rPr>
        <w:t>SD=</w:t>
      </w:r>
      <w:r w:rsidR="001659BF" w:rsidRPr="00F57420">
        <w:rPr>
          <w:rFonts w:eastAsia="Calibri"/>
        </w:rPr>
        <w:t>4.</w:t>
      </w:r>
      <w:r w:rsidR="00D75639" w:rsidRPr="00F57420">
        <w:rPr>
          <w:rFonts w:eastAsia="Calibri"/>
        </w:rPr>
        <w:t>4</w:t>
      </w:r>
      <w:r w:rsidR="001659BF" w:rsidRPr="00F57420">
        <w:rPr>
          <w:rFonts w:eastAsia="Calibri"/>
        </w:rPr>
        <w:t xml:space="preserve">) by follow-up.  The pretreatment average for </w:t>
      </w:r>
      <w:r w:rsidR="00B05EC7" w:rsidRPr="00F57420">
        <w:rPr>
          <w:rFonts w:eastAsia="Calibri"/>
        </w:rPr>
        <w:t>Participant 2</w:t>
      </w:r>
      <w:r w:rsidR="001659BF" w:rsidRPr="00F57420">
        <w:rPr>
          <w:rFonts w:eastAsia="Calibri"/>
        </w:rPr>
        <w:t>’s daily avoid</w:t>
      </w:r>
      <w:r w:rsidR="00216534" w:rsidRPr="00F57420">
        <w:rPr>
          <w:rFonts w:eastAsia="Calibri"/>
        </w:rPr>
        <w:t xml:space="preserve">ed </w:t>
      </w:r>
      <w:r w:rsidR="00383E8A" w:rsidRPr="00F57420">
        <w:rPr>
          <w:rFonts w:eastAsia="Calibri"/>
        </w:rPr>
        <w:t xml:space="preserve">valued </w:t>
      </w:r>
      <w:r w:rsidR="00216534" w:rsidRPr="00F57420">
        <w:rPr>
          <w:rFonts w:eastAsia="Calibri"/>
        </w:rPr>
        <w:t xml:space="preserve">activities </w:t>
      </w:r>
      <w:r w:rsidR="001659BF" w:rsidRPr="00F57420">
        <w:rPr>
          <w:rFonts w:eastAsia="Calibri"/>
        </w:rPr>
        <w:t xml:space="preserve">was </w:t>
      </w:r>
      <w:r w:rsidR="00007C39" w:rsidRPr="00007C39">
        <w:rPr>
          <w:rFonts w:eastAsia="Calibri"/>
          <w:i/>
        </w:rPr>
        <w:t>M=</w:t>
      </w:r>
      <w:r w:rsidR="001659BF" w:rsidRPr="00F57420">
        <w:rPr>
          <w:rFonts w:eastAsia="Calibri"/>
        </w:rPr>
        <w:t>3.0 (</w:t>
      </w:r>
      <w:r w:rsidR="00716B6E" w:rsidRPr="00716B6E">
        <w:rPr>
          <w:rFonts w:eastAsia="Calibri"/>
          <w:i/>
        </w:rPr>
        <w:t>SD=</w:t>
      </w:r>
      <w:r w:rsidR="001659BF" w:rsidRPr="00F57420">
        <w:rPr>
          <w:rFonts w:eastAsia="Calibri"/>
        </w:rPr>
        <w:t>3.2).  His avoid</w:t>
      </w:r>
      <w:r w:rsidR="00216534" w:rsidRPr="00F57420">
        <w:rPr>
          <w:rFonts w:eastAsia="Calibri"/>
        </w:rPr>
        <w:t xml:space="preserve">ed activities </w:t>
      </w:r>
      <w:r w:rsidR="001659BF" w:rsidRPr="00F57420">
        <w:rPr>
          <w:rFonts w:eastAsia="Calibri"/>
        </w:rPr>
        <w:t xml:space="preserve">were reduced to zero by </w:t>
      </w:r>
      <w:r w:rsidR="00BE199C" w:rsidRPr="00F57420">
        <w:rPr>
          <w:rFonts w:eastAsia="Calibri"/>
        </w:rPr>
        <w:t>day 66 of treatment</w:t>
      </w:r>
      <w:r w:rsidR="001659BF" w:rsidRPr="00F57420">
        <w:rPr>
          <w:rFonts w:eastAsia="Calibri"/>
        </w:rPr>
        <w:t>, and this rate was maintained through posttreatment (</w:t>
      </w:r>
      <w:r w:rsidR="00007C39" w:rsidRPr="00007C39">
        <w:rPr>
          <w:rFonts w:eastAsia="Calibri"/>
          <w:i/>
        </w:rPr>
        <w:t>M=</w:t>
      </w:r>
      <w:r w:rsidR="001659BF" w:rsidRPr="00F57420">
        <w:rPr>
          <w:rFonts w:eastAsia="Calibri"/>
        </w:rPr>
        <w:t xml:space="preserve">0.0, </w:t>
      </w:r>
      <w:r w:rsidR="00716B6E" w:rsidRPr="00716B6E">
        <w:rPr>
          <w:rFonts w:eastAsia="Calibri"/>
          <w:i/>
        </w:rPr>
        <w:t>SD=</w:t>
      </w:r>
      <w:r w:rsidR="001659BF" w:rsidRPr="00F57420">
        <w:rPr>
          <w:rFonts w:eastAsia="Calibri"/>
        </w:rPr>
        <w:t>0.0) and at follow-up (</w:t>
      </w:r>
      <w:r w:rsidR="00007C39" w:rsidRPr="00007C39">
        <w:rPr>
          <w:rFonts w:eastAsia="Calibri"/>
          <w:i/>
        </w:rPr>
        <w:t>M=</w:t>
      </w:r>
      <w:r w:rsidR="001659BF" w:rsidRPr="00F57420">
        <w:rPr>
          <w:rFonts w:eastAsia="Calibri"/>
        </w:rPr>
        <w:t xml:space="preserve">0.0, </w:t>
      </w:r>
      <w:r w:rsidR="00716B6E" w:rsidRPr="00716B6E">
        <w:rPr>
          <w:rFonts w:eastAsia="Calibri"/>
          <w:i/>
        </w:rPr>
        <w:t>SD=</w:t>
      </w:r>
      <w:r w:rsidR="001659BF" w:rsidRPr="00F57420">
        <w:rPr>
          <w:rFonts w:eastAsia="Calibri"/>
        </w:rPr>
        <w:t xml:space="preserve">0.0).  </w:t>
      </w:r>
    </w:p>
    <w:p w:rsidR="00C744CF" w:rsidRPr="00F57420" w:rsidRDefault="00EB0636" w:rsidP="00E5516F">
      <w:pPr>
        <w:spacing w:line="480" w:lineRule="auto"/>
        <w:ind w:firstLine="720"/>
        <w:rPr>
          <w:rFonts w:eastAsia="Calibri"/>
        </w:rPr>
      </w:pPr>
      <w:proofErr w:type="gramStart"/>
      <w:r w:rsidRPr="00F57420">
        <w:rPr>
          <w:rFonts w:eastAsia="Calibri"/>
          <w:b/>
        </w:rPr>
        <w:t>Participant 3.</w:t>
      </w:r>
      <w:proofErr w:type="gramEnd"/>
      <w:r w:rsidR="001659BF" w:rsidRPr="00F57420">
        <w:rPr>
          <w:rFonts w:eastAsia="Calibri"/>
        </w:rPr>
        <w:t xml:space="preserve">  The pretreatment average for </w:t>
      </w:r>
      <w:r w:rsidR="00B05EC7" w:rsidRPr="00F57420">
        <w:rPr>
          <w:rFonts w:eastAsia="Calibri"/>
        </w:rPr>
        <w:t>Participant 3</w:t>
      </w:r>
      <w:r w:rsidR="001659BF" w:rsidRPr="00F57420">
        <w:rPr>
          <w:rFonts w:eastAsia="Calibri"/>
        </w:rPr>
        <w:t xml:space="preserve">’s daily compulsions was </w:t>
      </w:r>
      <w:r w:rsidR="00007C39" w:rsidRPr="00007C39">
        <w:rPr>
          <w:rFonts w:eastAsia="Calibri"/>
          <w:i/>
        </w:rPr>
        <w:t>M=</w:t>
      </w:r>
      <w:r w:rsidR="001659BF" w:rsidRPr="00F57420">
        <w:rPr>
          <w:rFonts w:eastAsia="Calibri"/>
        </w:rPr>
        <w:t>5.3 (</w:t>
      </w:r>
      <w:r w:rsidR="00716B6E" w:rsidRPr="00716B6E">
        <w:rPr>
          <w:rFonts w:eastAsia="Calibri"/>
          <w:i/>
        </w:rPr>
        <w:t>SD=</w:t>
      </w:r>
      <w:r w:rsidR="001659BF" w:rsidRPr="00F57420">
        <w:rPr>
          <w:rFonts w:eastAsia="Calibri"/>
        </w:rPr>
        <w:t xml:space="preserve">1.4).  His compulsions were </w:t>
      </w:r>
      <w:r w:rsidR="007C7639" w:rsidRPr="00F57420">
        <w:rPr>
          <w:rFonts w:eastAsia="Calibri"/>
        </w:rPr>
        <w:t xml:space="preserve">reduced by 62% </w:t>
      </w:r>
      <w:r w:rsidR="001659BF" w:rsidRPr="00F57420">
        <w:rPr>
          <w:rFonts w:eastAsia="Calibri"/>
        </w:rPr>
        <w:t xml:space="preserve">by </w:t>
      </w:r>
      <w:r w:rsidR="007C7639" w:rsidRPr="00F57420">
        <w:rPr>
          <w:rFonts w:eastAsia="Calibri"/>
        </w:rPr>
        <w:t>day 41</w:t>
      </w:r>
      <w:r w:rsidR="001659BF" w:rsidRPr="00F57420">
        <w:rPr>
          <w:rFonts w:eastAsia="Calibri"/>
        </w:rPr>
        <w:t xml:space="preserve">, reduced to </w:t>
      </w:r>
      <w:r w:rsidR="00007C39" w:rsidRPr="00007C39">
        <w:rPr>
          <w:rFonts w:eastAsia="Calibri"/>
          <w:i/>
        </w:rPr>
        <w:t>M=</w:t>
      </w:r>
      <w:r w:rsidR="001659BF" w:rsidRPr="00F57420">
        <w:rPr>
          <w:rFonts w:eastAsia="Calibri"/>
        </w:rPr>
        <w:t>2.4 (</w:t>
      </w:r>
      <w:r w:rsidR="00716B6E" w:rsidRPr="00716B6E">
        <w:rPr>
          <w:rFonts w:eastAsia="Calibri"/>
          <w:i/>
        </w:rPr>
        <w:t>SD=</w:t>
      </w:r>
      <w:r w:rsidR="001659BF" w:rsidRPr="00F57420">
        <w:rPr>
          <w:rFonts w:eastAsia="Calibri"/>
        </w:rPr>
        <w:t xml:space="preserve">0.5) by posttreatment, and to </w:t>
      </w:r>
      <w:r w:rsidR="00007C39" w:rsidRPr="00007C39">
        <w:rPr>
          <w:rFonts w:eastAsia="Calibri"/>
          <w:i/>
        </w:rPr>
        <w:t>M=</w:t>
      </w:r>
      <w:r w:rsidR="001659BF" w:rsidRPr="00F57420">
        <w:rPr>
          <w:rFonts w:eastAsia="Calibri"/>
        </w:rPr>
        <w:t>0.5 (</w:t>
      </w:r>
      <w:r w:rsidR="00716B6E" w:rsidRPr="00716B6E">
        <w:rPr>
          <w:rFonts w:eastAsia="Calibri"/>
          <w:i/>
        </w:rPr>
        <w:t>SD=</w:t>
      </w:r>
      <w:r w:rsidR="001659BF" w:rsidRPr="00F57420">
        <w:rPr>
          <w:rFonts w:eastAsia="Calibri"/>
        </w:rPr>
        <w:t xml:space="preserve">0.8) by follow-up.  The pretreatment average for </w:t>
      </w:r>
      <w:r w:rsidR="00B05EC7" w:rsidRPr="00F57420">
        <w:rPr>
          <w:rFonts w:eastAsia="Calibri"/>
        </w:rPr>
        <w:t>Participant 3</w:t>
      </w:r>
      <w:r w:rsidR="001659BF" w:rsidRPr="00F57420">
        <w:rPr>
          <w:rFonts w:eastAsia="Calibri"/>
        </w:rPr>
        <w:t xml:space="preserve">’s daily </w:t>
      </w:r>
      <w:r w:rsidR="00383E8A" w:rsidRPr="00F57420">
        <w:rPr>
          <w:rFonts w:eastAsia="Calibri"/>
        </w:rPr>
        <w:t xml:space="preserve">avoided valued activities </w:t>
      </w:r>
      <w:r w:rsidR="001659BF" w:rsidRPr="00F57420">
        <w:rPr>
          <w:rFonts w:eastAsia="Calibri"/>
        </w:rPr>
        <w:t xml:space="preserve">was </w:t>
      </w:r>
      <w:r w:rsidR="00007C39" w:rsidRPr="00007C39">
        <w:rPr>
          <w:rFonts w:eastAsia="Calibri"/>
          <w:i/>
        </w:rPr>
        <w:t>M=</w:t>
      </w:r>
      <w:r w:rsidR="001659BF" w:rsidRPr="00F57420">
        <w:rPr>
          <w:rFonts w:eastAsia="Calibri"/>
        </w:rPr>
        <w:t>2.2 (</w:t>
      </w:r>
      <w:r w:rsidR="00716B6E" w:rsidRPr="00716B6E">
        <w:rPr>
          <w:rFonts w:eastAsia="Calibri"/>
          <w:i/>
        </w:rPr>
        <w:t>SD=</w:t>
      </w:r>
      <w:r w:rsidR="001659BF" w:rsidRPr="00F57420">
        <w:rPr>
          <w:rFonts w:eastAsia="Calibri"/>
        </w:rPr>
        <w:t xml:space="preserve">0.6).  His </w:t>
      </w:r>
      <w:r w:rsidR="00383E8A" w:rsidRPr="00F57420">
        <w:rPr>
          <w:rFonts w:eastAsia="Calibri"/>
        </w:rPr>
        <w:t xml:space="preserve">avoided activities </w:t>
      </w:r>
      <w:r w:rsidR="001659BF" w:rsidRPr="00F57420">
        <w:rPr>
          <w:rFonts w:eastAsia="Calibri"/>
        </w:rPr>
        <w:t xml:space="preserve">were reduced </w:t>
      </w:r>
      <w:r w:rsidR="00BE199C" w:rsidRPr="00F57420">
        <w:rPr>
          <w:rFonts w:eastAsia="Calibri"/>
        </w:rPr>
        <w:t xml:space="preserve">by 54% </w:t>
      </w:r>
      <w:r w:rsidR="001659BF" w:rsidRPr="00F57420">
        <w:rPr>
          <w:rFonts w:eastAsia="Calibri"/>
        </w:rPr>
        <w:t xml:space="preserve">by </w:t>
      </w:r>
      <w:r w:rsidR="00BE199C" w:rsidRPr="00F57420">
        <w:rPr>
          <w:rFonts w:eastAsia="Calibri"/>
        </w:rPr>
        <w:t>day 56 of treatment</w:t>
      </w:r>
      <w:r w:rsidR="001659BF" w:rsidRPr="00F57420">
        <w:rPr>
          <w:rFonts w:eastAsia="Calibri"/>
        </w:rPr>
        <w:t xml:space="preserve">, </w:t>
      </w:r>
      <w:r w:rsidR="00BE199C" w:rsidRPr="00F57420">
        <w:rPr>
          <w:rFonts w:eastAsia="Calibri"/>
        </w:rPr>
        <w:t xml:space="preserve">reduced to </w:t>
      </w:r>
      <w:r w:rsidR="00007C39" w:rsidRPr="00007C39">
        <w:rPr>
          <w:rFonts w:eastAsia="Calibri"/>
          <w:i/>
        </w:rPr>
        <w:t>M=</w:t>
      </w:r>
      <w:r w:rsidR="001659BF" w:rsidRPr="00F57420">
        <w:rPr>
          <w:rFonts w:eastAsia="Calibri"/>
        </w:rPr>
        <w:t>0.9</w:t>
      </w:r>
      <w:r w:rsidR="00BE199C" w:rsidRPr="00F57420">
        <w:rPr>
          <w:rFonts w:eastAsia="Calibri"/>
        </w:rPr>
        <w:t xml:space="preserve"> (</w:t>
      </w:r>
      <w:r w:rsidR="00716B6E" w:rsidRPr="00716B6E">
        <w:rPr>
          <w:rFonts w:eastAsia="Calibri"/>
          <w:i/>
        </w:rPr>
        <w:t>SD=</w:t>
      </w:r>
      <w:r w:rsidR="001659BF" w:rsidRPr="00F57420">
        <w:rPr>
          <w:rFonts w:eastAsia="Calibri"/>
        </w:rPr>
        <w:t xml:space="preserve">0.4) </w:t>
      </w:r>
      <w:r w:rsidR="00BE199C" w:rsidRPr="00F57420">
        <w:rPr>
          <w:rFonts w:eastAsia="Calibri"/>
        </w:rPr>
        <w:t xml:space="preserve">by posttreatment, </w:t>
      </w:r>
      <w:r w:rsidR="001659BF" w:rsidRPr="00F57420">
        <w:rPr>
          <w:rFonts w:eastAsia="Calibri"/>
        </w:rPr>
        <w:t xml:space="preserve">and then </w:t>
      </w:r>
      <w:r w:rsidR="00B7234A" w:rsidRPr="00F57420">
        <w:rPr>
          <w:rFonts w:eastAsia="Calibri"/>
        </w:rPr>
        <w:t>decreased</w:t>
      </w:r>
      <w:r w:rsidR="001659BF" w:rsidRPr="00F57420">
        <w:rPr>
          <w:rFonts w:eastAsia="Calibri"/>
        </w:rPr>
        <w:t xml:space="preserve"> to zero at follow-up.  </w:t>
      </w:r>
    </w:p>
    <w:p w:rsidR="001659BF" w:rsidRPr="00F57420" w:rsidRDefault="00EB0636" w:rsidP="00E5516F">
      <w:pPr>
        <w:spacing w:line="480" w:lineRule="auto"/>
        <w:ind w:firstLine="720"/>
        <w:rPr>
          <w:rFonts w:eastAsia="Calibri"/>
        </w:rPr>
      </w:pPr>
      <w:proofErr w:type="gramStart"/>
      <w:r w:rsidRPr="00F57420">
        <w:rPr>
          <w:rFonts w:eastAsia="Calibri"/>
          <w:b/>
        </w:rPr>
        <w:t>Participant 4.</w:t>
      </w:r>
      <w:proofErr w:type="gramEnd"/>
      <w:r w:rsidRPr="00F57420">
        <w:rPr>
          <w:rFonts w:eastAsia="Calibri"/>
          <w:b/>
        </w:rPr>
        <w:t xml:space="preserve"> </w:t>
      </w:r>
      <w:r w:rsidR="001659BF" w:rsidRPr="00F57420">
        <w:rPr>
          <w:rFonts w:eastAsia="Calibri"/>
        </w:rPr>
        <w:t xml:space="preserve"> The pretreatment average for </w:t>
      </w:r>
      <w:r w:rsidR="00B05EC7" w:rsidRPr="00F57420">
        <w:rPr>
          <w:rFonts w:eastAsia="Calibri"/>
        </w:rPr>
        <w:t>Participant 4</w:t>
      </w:r>
      <w:r w:rsidR="001659BF" w:rsidRPr="00F57420">
        <w:rPr>
          <w:rFonts w:eastAsia="Calibri"/>
        </w:rPr>
        <w:t xml:space="preserve">’s daily compulsions was </w:t>
      </w:r>
      <w:r w:rsidR="00007C39" w:rsidRPr="00007C39">
        <w:rPr>
          <w:rFonts w:eastAsia="Calibri"/>
          <w:i/>
        </w:rPr>
        <w:t>M=</w:t>
      </w:r>
      <w:r w:rsidR="001659BF" w:rsidRPr="00F57420">
        <w:rPr>
          <w:rFonts w:eastAsia="Calibri"/>
        </w:rPr>
        <w:t>42.1 (</w:t>
      </w:r>
      <w:r w:rsidR="00716B6E" w:rsidRPr="00716B6E">
        <w:rPr>
          <w:rFonts w:eastAsia="Calibri"/>
          <w:i/>
        </w:rPr>
        <w:t>SD=</w:t>
      </w:r>
      <w:r w:rsidR="001659BF" w:rsidRPr="00F57420">
        <w:rPr>
          <w:rFonts w:eastAsia="Calibri"/>
        </w:rPr>
        <w:t xml:space="preserve">14.2).  Her compulsions were </w:t>
      </w:r>
      <w:r w:rsidR="00BE199C" w:rsidRPr="00F57420">
        <w:rPr>
          <w:rFonts w:eastAsia="Calibri"/>
        </w:rPr>
        <w:t xml:space="preserve">reduced by 64% </w:t>
      </w:r>
      <w:r w:rsidR="001659BF" w:rsidRPr="00F57420">
        <w:rPr>
          <w:rFonts w:eastAsia="Calibri"/>
        </w:rPr>
        <w:t xml:space="preserve">by </w:t>
      </w:r>
      <w:r w:rsidR="00BE199C" w:rsidRPr="00F57420">
        <w:rPr>
          <w:rFonts w:eastAsia="Calibri"/>
        </w:rPr>
        <w:t>day 78 of treatment</w:t>
      </w:r>
      <w:r w:rsidR="001659BF" w:rsidRPr="00F57420">
        <w:rPr>
          <w:rFonts w:eastAsia="Calibri"/>
        </w:rPr>
        <w:t xml:space="preserve">, and reduced to </w:t>
      </w:r>
      <w:r w:rsidR="00007C39" w:rsidRPr="00007C39">
        <w:rPr>
          <w:rFonts w:eastAsia="Calibri"/>
          <w:i/>
        </w:rPr>
        <w:t>M=</w:t>
      </w:r>
      <w:r w:rsidR="001659BF" w:rsidRPr="00F57420">
        <w:rPr>
          <w:rFonts w:eastAsia="Calibri"/>
        </w:rPr>
        <w:t>6.6 (</w:t>
      </w:r>
      <w:r w:rsidR="00716B6E" w:rsidRPr="00716B6E">
        <w:rPr>
          <w:rFonts w:eastAsia="Calibri"/>
          <w:i/>
        </w:rPr>
        <w:t>SD=</w:t>
      </w:r>
      <w:r w:rsidR="001659BF" w:rsidRPr="00F57420">
        <w:rPr>
          <w:rFonts w:eastAsia="Calibri"/>
        </w:rPr>
        <w:t>4.4) by posttreatment</w:t>
      </w:r>
      <w:r w:rsidR="007E4AA3">
        <w:rPr>
          <w:rFonts w:eastAsia="Calibri"/>
        </w:rPr>
        <w:t>,</w:t>
      </w:r>
      <w:r w:rsidR="001659BF" w:rsidRPr="00F57420">
        <w:rPr>
          <w:rFonts w:eastAsia="Calibri"/>
        </w:rPr>
        <w:t xml:space="preserve"> and </w:t>
      </w:r>
      <w:r w:rsidR="00007C39" w:rsidRPr="00007C39">
        <w:rPr>
          <w:rFonts w:eastAsia="Calibri"/>
          <w:i/>
        </w:rPr>
        <w:t>M=</w:t>
      </w:r>
      <w:r w:rsidR="001659BF" w:rsidRPr="00F57420">
        <w:rPr>
          <w:rFonts w:eastAsia="Calibri"/>
        </w:rPr>
        <w:t>2.</w:t>
      </w:r>
      <w:r w:rsidR="00D75639" w:rsidRPr="00F57420">
        <w:rPr>
          <w:rFonts w:eastAsia="Calibri"/>
        </w:rPr>
        <w:t>9</w:t>
      </w:r>
      <w:r w:rsidR="001659BF" w:rsidRPr="00F57420">
        <w:rPr>
          <w:rFonts w:eastAsia="Calibri"/>
        </w:rPr>
        <w:t xml:space="preserve"> (</w:t>
      </w:r>
      <w:r w:rsidR="00716B6E" w:rsidRPr="00716B6E">
        <w:rPr>
          <w:rFonts w:eastAsia="Calibri"/>
          <w:i/>
        </w:rPr>
        <w:t>SD=</w:t>
      </w:r>
      <w:r w:rsidR="001659BF" w:rsidRPr="00F57420">
        <w:rPr>
          <w:rFonts w:eastAsia="Calibri"/>
        </w:rPr>
        <w:t xml:space="preserve">0.9) by follow-up.  The pretreatment average for </w:t>
      </w:r>
      <w:r w:rsidR="00B05EC7" w:rsidRPr="00F57420">
        <w:rPr>
          <w:rFonts w:eastAsia="Calibri"/>
        </w:rPr>
        <w:t>Participant 4</w:t>
      </w:r>
      <w:r w:rsidR="001659BF" w:rsidRPr="00F57420">
        <w:rPr>
          <w:rFonts w:eastAsia="Calibri"/>
        </w:rPr>
        <w:t xml:space="preserve">’s daily </w:t>
      </w:r>
      <w:r w:rsidR="00383E8A" w:rsidRPr="00F57420">
        <w:rPr>
          <w:rFonts w:eastAsia="Calibri"/>
        </w:rPr>
        <w:t xml:space="preserve">avoided valued activities </w:t>
      </w:r>
      <w:r w:rsidR="001659BF" w:rsidRPr="00F57420">
        <w:rPr>
          <w:rFonts w:eastAsia="Calibri"/>
        </w:rPr>
        <w:t xml:space="preserve">was </w:t>
      </w:r>
      <w:r w:rsidR="00007C39" w:rsidRPr="00007C39">
        <w:rPr>
          <w:rFonts w:eastAsia="Calibri"/>
          <w:i/>
        </w:rPr>
        <w:t>M=</w:t>
      </w:r>
      <w:r w:rsidR="001659BF" w:rsidRPr="00F57420">
        <w:rPr>
          <w:rFonts w:eastAsia="Calibri"/>
        </w:rPr>
        <w:t>21.8 (</w:t>
      </w:r>
      <w:r w:rsidR="00716B6E" w:rsidRPr="00716B6E">
        <w:rPr>
          <w:rFonts w:eastAsia="Calibri"/>
          <w:i/>
        </w:rPr>
        <w:t>SD=</w:t>
      </w:r>
      <w:r w:rsidR="001659BF" w:rsidRPr="00F57420">
        <w:rPr>
          <w:rFonts w:eastAsia="Calibri"/>
        </w:rPr>
        <w:t xml:space="preserve">7.3).  Her </w:t>
      </w:r>
      <w:r w:rsidR="00383E8A" w:rsidRPr="00F57420">
        <w:rPr>
          <w:rFonts w:eastAsia="Calibri"/>
        </w:rPr>
        <w:t xml:space="preserve">avoided activities </w:t>
      </w:r>
      <w:r w:rsidR="00AD78E4" w:rsidRPr="00F57420">
        <w:rPr>
          <w:rFonts w:eastAsia="Calibri"/>
        </w:rPr>
        <w:t xml:space="preserve">reduced by </w:t>
      </w:r>
      <w:r w:rsidR="00BE199C" w:rsidRPr="00F57420">
        <w:rPr>
          <w:rFonts w:eastAsia="Calibri"/>
        </w:rPr>
        <w:t>77</w:t>
      </w:r>
      <w:r w:rsidR="00AD78E4" w:rsidRPr="00F57420">
        <w:rPr>
          <w:rFonts w:eastAsia="Calibri"/>
        </w:rPr>
        <w:t>% by</w:t>
      </w:r>
      <w:r w:rsidR="001659BF" w:rsidRPr="00F57420">
        <w:rPr>
          <w:rFonts w:eastAsia="Calibri"/>
        </w:rPr>
        <w:t xml:space="preserve"> </w:t>
      </w:r>
      <w:r w:rsidR="00BE199C" w:rsidRPr="00F57420">
        <w:rPr>
          <w:rFonts w:eastAsia="Calibri"/>
        </w:rPr>
        <w:t>day 78 of treatment</w:t>
      </w:r>
      <w:r w:rsidR="001659BF" w:rsidRPr="00F57420">
        <w:rPr>
          <w:rFonts w:eastAsia="Calibri"/>
        </w:rPr>
        <w:t xml:space="preserve">, and reduced to </w:t>
      </w:r>
      <w:r w:rsidR="00007C39" w:rsidRPr="00007C39">
        <w:rPr>
          <w:rFonts w:eastAsia="Calibri"/>
          <w:i/>
        </w:rPr>
        <w:t>M=</w:t>
      </w:r>
      <w:r w:rsidR="001659BF" w:rsidRPr="00F57420">
        <w:rPr>
          <w:rFonts w:eastAsia="Calibri"/>
        </w:rPr>
        <w:t>1.7 (</w:t>
      </w:r>
      <w:r w:rsidR="00716B6E" w:rsidRPr="00716B6E">
        <w:rPr>
          <w:rFonts w:eastAsia="Calibri"/>
          <w:i/>
        </w:rPr>
        <w:t>SD=</w:t>
      </w:r>
      <w:r w:rsidR="001659BF" w:rsidRPr="00F57420">
        <w:rPr>
          <w:rFonts w:eastAsia="Calibri"/>
        </w:rPr>
        <w:t xml:space="preserve">1.3) by posttreatment and to </w:t>
      </w:r>
      <w:r w:rsidR="00007C39" w:rsidRPr="00007C39">
        <w:rPr>
          <w:rFonts w:eastAsia="Calibri"/>
          <w:i/>
        </w:rPr>
        <w:t>M=</w:t>
      </w:r>
      <w:r w:rsidR="001659BF" w:rsidRPr="00F57420">
        <w:rPr>
          <w:rFonts w:eastAsia="Calibri"/>
        </w:rPr>
        <w:t>1.6 (</w:t>
      </w:r>
      <w:r w:rsidR="00716B6E" w:rsidRPr="00716B6E">
        <w:rPr>
          <w:rFonts w:eastAsia="Calibri"/>
          <w:i/>
        </w:rPr>
        <w:t>SD=</w:t>
      </w:r>
      <w:r w:rsidR="001659BF" w:rsidRPr="00F57420">
        <w:rPr>
          <w:rFonts w:eastAsia="Calibri"/>
        </w:rPr>
        <w:t xml:space="preserve">1.1) by follow-up.  </w:t>
      </w:r>
    </w:p>
    <w:p w:rsidR="00C744CF" w:rsidRPr="00F57420" w:rsidRDefault="00EB0636" w:rsidP="00CD2A21">
      <w:pPr>
        <w:spacing w:line="480" w:lineRule="auto"/>
        <w:ind w:firstLine="720"/>
        <w:rPr>
          <w:rFonts w:eastAsia="Calibri"/>
        </w:rPr>
      </w:pPr>
      <w:proofErr w:type="gramStart"/>
      <w:r w:rsidRPr="00F57420">
        <w:rPr>
          <w:rFonts w:eastAsia="Calibri"/>
          <w:b/>
        </w:rPr>
        <w:t>Participant 5.</w:t>
      </w:r>
      <w:proofErr w:type="gramEnd"/>
      <w:r w:rsidRPr="00F57420">
        <w:rPr>
          <w:rFonts w:eastAsia="Calibri"/>
          <w:b/>
        </w:rPr>
        <w:t xml:space="preserve"> </w:t>
      </w:r>
      <w:r w:rsidR="001659BF" w:rsidRPr="00F57420">
        <w:rPr>
          <w:rFonts w:eastAsia="Calibri"/>
        </w:rPr>
        <w:t xml:space="preserve"> The pretreatment average for Participant </w:t>
      </w:r>
      <w:r w:rsidR="00B05EC7" w:rsidRPr="00F57420">
        <w:rPr>
          <w:rFonts w:eastAsia="Calibri"/>
        </w:rPr>
        <w:t>5</w:t>
      </w:r>
      <w:r w:rsidR="001659BF" w:rsidRPr="00F57420">
        <w:rPr>
          <w:rFonts w:eastAsia="Calibri"/>
        </w:rPr>
        <w:t xml:space="preserve">’s daily compulsions was </w:t>
      </w:r>
      <w:r w:rsidR="00007C39" w:rsidRPr="00007C39">
        <w:rPr>
          <w:rFonts w:eastAsia="Calibri"/>
          <w:i/>
        </w:rPr>
        <w:t>M=</w:t>
      </w:r>
      <w:r w:rsidR="001659BF" w:rsidRPr="00F57420">
        <w:rPr>
          <w:rFonts w:eastAsia="Calibri"/>
        </w:rPr>
        <w:t>15.6 (</w:t>
      </w:r>
      <w:r w:rsidR="00716B6E" w:rsidRPr="00716B6E">
        <w:rPr>
          <w:rFonts w:eastAsia="Calibri"/>
          <w:i/>
        </w:rPr>
        <w:t>SD=</w:t>
      </w:r>
      <w:r w:rsidR="001659BF" w:rsidRPr="00F57420">
        <w:rPr>
          <w:rFonts w:eastAsia="Calibri"/>
        </w:rPr>
        <w:t xml:space="preserve">8.1).  Her compulsions </w:t>
      </w:r>
      <w:r w:rsidR="000306AF" w:rsidRPr="00F57420">
        <w:rPr>
          <w:rFonts w:eastAsia="Calibri"/>
        </w:rPr>
        <w:t xml:space="preserve">reduced by </w:t>
      </w:r>
      <w:r w:rsidR="005A5DE3" w:rsidRPr="00F57420">
        <w:rPr>
          <w:rFonts w:eastAsia="Calibri"/>
        </w:rPr>
        <w:t>55</w:t>
      </w:r>
      <w:r w:rsidR="000306AF" w:rsidRPr="00F57420">
        <w:rPr>
          <w:rFonts w:eastAsia="Calibri"/>
        </w:rPr>
        <w:t>%</w:t>
      </w:r>
      <w:r w:rsidR="001659BF" w:rsidRPr="00F57420">
        <w:rPr>
          <w:rFonts w:eastAsia="Calibri"/>
        </w:rPr>
        <w:t xml:space="preserve"> by </w:t>
      </w:r>
      <w:r w:rsidR="005A5DE3" w:rsidRPr="00F57420">
        <w:rPr>
          <w:rFonts w:eastAsia="Calibri"/>
        </w:rPr>
        <w:t>day 66 of treatment</w:t>
      </w:r>
      <w:r w:rsidR="001659BF" w:rsidRPr="00F57420">
        <w:rPr>
          <w:rFonts w:eastAsia="Calibri"/>
        </w:rPr>
        <w:t xml:space="preserve">, and reduced to </w:t>
      </w:r>
      <w:r w:rsidR="00007C39" w:rsidRPr="00007C39">
        <w:rPr>
          <w:rFonts w:eastAsia="Calibri"/>
          <w:i/>
        </w:rPr>
        <w:t>M=</w:t>
      </w:r>
      <w:r w:rsidR="001659BF" w:rsidRPr="00F57420">
        <w:rPr>
          <w:rFonts w:eastAsia="Calibri"/>
        </w:rPr>
        <w:t>3.9 (</w:t>
      </w:r>
      <w:r w:rsidR="00716B6E" w:rsidRPr="00716B6E">
        <w:rPr>
          <w:rFonts w:eastAsia="Calibri"/>
          <w:i/>
        </w:rPr>
        <w:t>SD=</w:t>
      </w:r>
      <w:r w:rsidR="001659BF" w:rsidRPr="00F57420">
        <w:rPr>
          <w:rFonts w:eastAsia="Calibri"/>
        </w:rPr>
        <w:t>1.2) by posttreatment</w:t>
      </w:r>
      <w:r w:rsidR="007E4AA3">
        <w:rPr>
          <w:rFonts w:eastAsia="Calibri"/>
        </w:rPr>
        <w:t>, but</w:t>
      </w:r>
      <w:r w:rsidR="001659BF" w:rsidRPr="00F57420">
        <w:rPr>
          <w:rFonts w:eastAsia="Calibri"/>
        </w:rPr>
        <w:t xml:space="preserve"> </w:t>
      </w:r>
      <w:r w:rsidR="00D15AD1" w:rsidRPr="00F57420">
        <w:rPr>
          <w:rFonts w:eastAsia="Calibri"/>
        </w:rPr>
        <w:t xml:space="preserve">increased </w:t>
      </w:r>
      <w:r w:rsidR="001659BF" w:rsidRPr="00F57420">
        <w:rPr>
          <w:rFonts w:eastAsia="Calibri"/>
        </w:rPr>
        <w:t xml:space="preserve">to </w:t>
      </w:r>
      <w:r w:rsidR="00007C39" w:rsidRPr="00007C39">
        <w:rPr>
          <w:rFonts w:eastAsia="Calibri"/>
          <w:i/>
        </w:rPr>
        <w:t>M=</w:t>
      </w:r>
      <w:r w:rsidR="00D15AD1" w:rsidRPr="00F57420">
        <w:rPr>
          <w:rFonts w:eastAsia="Calibri"/>
          <w:i/>
        </w:rPr>
        <w:t>8</w:t>
      </w:r>
      <w:r w:rsidR="001659BF" w:rsidRPr="00F57420">
        <w:rPr>
          <w:rFonts w:eastAsia="Calibri"/>
        </w:rPr>
        <w:t>.</w:t>
      </w:r>
      <w:r w:rsidR="00D15AD1" w:rsidRPr="00F57420">
        <w:rPr>
          <w:rFonts w:eastAsia="Calibri"/>
        </w:rPr>
        <w:t>0</w:t>
      </w:r>
      <w:r w:rsidR="001659BF" w:rsidRPr="00F57420">
        <w:rPr>
          <w:rFonts w:eastAsia="Calibri"/>
        </w:rPr>
        <w:t xml:space="preserve"> (</w:t>
      </w:r>
      <w:r w:rsidR="00716B6E" w:rsidRPr="00716B6E">
        <w:rPr>
          <w:rFonts w:eastAsia="Calibri"/>
          <w:i/>
        </w:rPr>
        <w:t>SD=</w:t>
      </w:r>
      <w:r w:rsidR="00D75639" w:rsidRPr="00F57420">
        <w:rPr>
          <w:rFonts w:eastAsia="Calibri"/>
        </w:rPr>
        <w:t>1.6</w:t>
      </w:r>
      <w:r w:rsidR="001659BF" w:rsidRPr="00F57420">
        <w:rPr>
          <w:rFonts w:eastAsia="Calibri"/>
        </w:rPr>
        <w:t xml:space="preserve">) by follow-up.  The pretreatment average for Participant </w:t>
      </w:r>
      <w:r w:rsidR="00B05EC7" w:rsidRPr="00F57420">
        <w:rPr>
          <w:rFonts w:eastAsia="Calibri"/>
        </w:rPr>
        <w:t>5</w:t>
      </w:r>
      <w:r w:rsidR="001659BF" w:rsidRPr="00F57420">
        <w:rPr>
          <w:rFonts w:eastAsia="Calibri"/>
        </w:rPr>
        <w:t xml:space="preserve">’s daily </w:t>
      </w:r>
      <w:r w:rsidR="00136A0D" w:rsidRPr="00F57420">
        <w:rPr>
          <w:rFonts w:eastAsia="Calibri"/>
        </w:rPr>
        <w:t xml:space="preserve">avoided valued activities </w:t>
      </w:r>
      <w:r w:rsidR="001659BF" w:rsidRPr="00F57420">
        <w:rPr>
          <w:rFonts w:eastAsia="Calibri"/>
        </w:rPr>
        <w:t xml:space="preserve">was </w:t>
      </w:r>
      <w:r w:rsidR="00007C39" w:rsidRPr="00007C39">
        <w:rPr>
          <w:rFonts w:eastAsia="Calibri"/>
          <w:i/>
        </w:rPr>
        <w:t>M=</w:t>
      </w:r>
      <w:r w:rsidR="001659BF" w:rsidRPr="00F57420">
        <w:rPr>
          <w:rFonts w:eastAsia="Calibri"/>
        </w:rPr>
        <w:t>2.0 (</w:t>
      </w:r>
      <w:r w:rsidR="00716B6E" w:rsidRPr="00716B6E">
        <w:rPr>
          <w:rFonts w:eastAsia="Calibri"/>
          <w:i/>
        </w:rPr>
        <w:t>SD=</w:t>
      </w:r>
      <w:r w:rsidR="001659BF" w:rsidRPr="00F57420">
        <w:rPr>
          <w:rFonts w:eastAsia="Calibri"/>
        </w:rPr>
        <w:t xml:space="preserve">1.6).  </w:t>
      </w:r>
      <w:r w:rsidR="001659BF" w:rsidRPr="00F57420">
        <w:rPr>
          <w:rFonts w:eastAsia="Calibri"/>
        </w:rPr>
        <w:lastRenderedPageBreak/>
        <w:t xml:space="preserve">Her </w:t>
      </w:r>
      <w:r w:rsidR="00136A0D" w:rsidRPr="00F57420">
        <w:rPr>
          <w:rFonts w:eastAsia="Calibri"/>
        </w:rPr>
        <w:t xml:space="preserve">avoided activities </w:t>
      </w:r>
      <w:r w:rsidR="000306AF" w:rsidRPr="00F57420">
        <w:rPr>
          <w:rFonts w:eastAsia="Calibri"/>
        </w:rPr>
        <w:t>reduced by</w:t>
      </w:r>
      <w:r w:rsidR="005A5DE3" w:rsidRPr="00F57420">
        <w:rPr>
          <w:rFonts w:eastAsia="Calibri"/>
        </w:rPr>
        <w:t xml:space="preserve"> 51</w:t>
      </w:r>
      <w:r w:rsidR="000306AF" w:rsidRPr="00F57420">
        <w:rPr>
          <w:rFonts w:eastAsia="Calibri"/>
        </w:rPr>
        <w:t>%</w:t>
      </w:r>
      <w:r w:rsidR="001659BF" w:rsidRPr="00F57420">
        <w:rPr>
          <w:rFonts w:eastAsia="Calibri"/>
        </w:rPr>
        <w:t xml:space="preserve"> by </w:t>
      </w:r>
      <w:r w:rsidR="005A5DE3" w:rsidRPr="00F57420">
        <w:rPr>
          <w:rFonts w:eastAsia="Calibri"/>
        </w:rPr>
        <w:t>day 58 of treatment</w:t>
      </w:r>
      <w:r w:rsidR="001659BF" w:rsidRPr="00F57420">
        <w:rPr>
          <w:rFonts w:eastAsia="Calibri"/>
        </w:rPr>
        <w:t xml:space="preserve">, and reduced to </w:t>
      </w:r>
      <w:r w:rsidR="00007C39" w:rsidRPr="00007C39">
        <w:rPr>
          <w:rFonts w:eastAsia="Calibri"/>
          <w:i/>
        </w:rPr>
        <w:t>M=</w:t>
      </w:r>
      <w:r w:rsidR="001659BF" w:rsidRPr="00F57420">
        <w:rPr>
          <w:rFonts w:eastAsia="Calibri"/>
        </w:rPr>
        <w:t>1.1 (</w:t>
      </w:r>
      <w:r w:rsidR="00716B6E" w:rsidRPr="00716B6E">
        <w:rPr>
          <w:rFonts w:eastAsia="Calibri"/>
          <w:i/>
        </w:rPr>
        <w:t>SD=</w:t>
      </w:r>
      <w:r w:rsidR="001659BF" w:rsidRPr="00F57420">
        <w:rPr>
          <w:rFonts w:eastAsia="Calibri"/>
        </w:rPr>
        <w:t>1.1) by posttreatment</w:t>
      </w:r>
      <w:r w:rsidR="007E4AA3">
        <w:rPr>
          <w:rFonts w:eastAsia="Calibri"/>
        </w:rPr>
        <w:t>,</w:t>
      </w:r>
      <w:r w:rsidR="001659BF" w:rsidRPr="00F57420">
        <w:rPr>
          <w:rFonts w:eastAsia="Calibri"/>
        </w:rPr>
        <w:t xml:space="preserve"> and to </w:t>
      </w:r>
      <w:r w:rsidR="00007C39" w:rsidRPr="00007C39">
        <w:rPr>
          <w:rFonts w:eastAsia="Calibri"/>
          <w:i/>
        </w:rPr>
        <w:t>M=</w:t>
      </w:r>
      <w:r w:rsidR="00D75639" w:rsidRPr="00F57420">
        <w:rPr>
          <w:rFonts w:eastAsia="Calibri"/>
        </w:rPr>
        <w:t>0</w:t>
      </w:r>
      <w:r w:rsidR="001659BF" w:rsidRPr="00F57420">
        <w:rPr>
          <w:rFonts w:eastAsia="Calibri"/>
        </w:rPr>
        <w:t>.</w:t>
      </w:r>
      <w:r w:rsidR="00D75639" w:rsidRPr="00F57420">
        <w:rPr>
          <w:rFonts w:eastAsia="Calibri"/>
        </w:rPr>
        <w:t>9</w:t>
      </w:r>
      <w:r w:rsidR="001659BF" w:rsidRPr="00F57420">
        <w:rPr>
          <w:rFonts w:eastAsia="Calibri"/>
        </w:rPr>
        <w:t xml:space="preserve"> (</w:t>
      </w:r>
      <w:r w:rsidR="00716B6E" w:rsidRPr="00716B6E">
        <w:rPr>
          <w:rFonts w:eastAsia="Calibri"/>
          <w:i/>
        </w:rPr>
        <w:t>SD=</w:t>
      </w:r>
      <w:r w:rsidR="00D75639" w:rsidRPr="00F57420">
        <w:rPr>
          <w:rFonts w:eastAsia="Calibri"/>
        </w:rPr>
        <w:t>0</w:t>
      </w:r>
      <w:r w:rsidR="001659BF" w:rsidRPr="00F57420">
        <w:rPr>
          <w:rFonts w:eastAsia="Calibri"/>
        </w:rPr>
        <w:t>.</w:t>
      </w:r>
      <w:r w:rsidR="00D75639" w:rsidRPr="00F57420">
        <w:rPr>
          <w:rFonts w:eastAsia="Calibri"/>
        </w:rPr>
        <w:t>4</w:t>
      </w:r>
      <w:r w:rsidR="001659BF" w:rsidRPr="00F57420">
        <w:rPr>
          <w:rFonts w:eastAsia="Calibri"/>
        </w:rPr>
        <w:t xml:space="preserve">) by follow-up.  </w:t>
      </w:r>
    </w:p>
    <w:p w:rsidR="00C744CF" w:rsidRPr="00F57420" w:rsidRDefault="005E2F74" w:rsidP="00CD2A21">
      <w:pPr>
        <w:spacing w:line="480" w:lineRule="auto"/>
        <w:rPr>
          <w:rFonts w:eastAsia="Calibri"/>
        </w:rPr>
      </w:pPr>
      <w:r w:rsidRPr="00F57420">
        <w:rPr>
          <w:rFonts w:eastAsia="Calibri"/>
        </w:rPr>
        <w:tab/>
      </w:r>
      <w:proofErr w:type="gramStart"/>
      <w:r w:rsidR="00EB0636" w:rsidRPr="00F57420">
        <w:rPr>
          <w:rFonts w:eastAsia="Calibri"/>
          <w:b/>
        </w:rPr>
        <w:t>Overall.</w:t>
      </w:r>
      <w:proofErr w:type="gramEnd"/>
      <w:r w:rsidR="00C744CF" w:rsidRPr="00F57420">
        <w:rPr>
          <w:rFonts w:eastAsia="Calibri"/>
        </w:rPr>
        <w:t xml:space="preserve">  </w:t>
      </w:r>
      <w:r w:rsidR="00163484" w:rsidRPr="00F57420">
        <w:rPr>
          <w:rFonts w:eastAsia="Calibri"/>
        </w:rPr>
        <w:t>A</w:t>
      </w:r>
      <w:r w:rsidR="00871B99" w:rsidRPr="00F57420">
        <w:rPr>
          <w:rFonts w:eastAsia="Calibri"/>
        </w:rPr>
        <w:t>ggregat</w:t>
      </w:r>
      <w:r w:rsidR="00163484" w:rsidRPr="00F57420">
        <w:rPr>
          <w:rFonts w:eastAsia="Calibri"/>
        </w:rPr>
        <w:t>ing</w:t>
      </w:r>
      <w:r w:rsidR="00871B99" w:rsidRPr="00F57420">
        <w:rPr>
          <w:rFonts w:eastAsia="Calibri"/>
        </w:rPr>
        <w:t xml:space="preserve"> across all five participants, average daily compulsions were </w:t>
      </w:r>
      <w:r w:rsidR="00007C39" w:rsidRPr="00007C39">
        <w:rPr>
          <w:rFonts w:eastAsia="Calibri"/>
          <w:i/>
        </w:rPr>
        <w:t>M=</w:t>
      </w:r>
      <w:r w:rsidR="00871B99" w:rsidRPr="00F57420">
        <w:rPr>
          <w:rFonts w:eastAsia="Calibri"/>
        </w:rPr>
        <w:t>25.0 (</w:t>
      </w:r>
      <w:r w:rsidR="00716B6E" w:rsidRPr="00716B6E">
        <w:rPr>
          <w:rFonts w:eastAsia="Calibri"/>
          <w:i/>
        </w:rPr>
        <w:t>SD=</w:t>
      </w:r>
      <w:r w:rsidR="00871B99" w:rsidRPr="00F57420">
        <w:rPr>
          <w:rFonts w:eastAsia="Calibri"/>
        </w:rPr>
        <w:t xml:space="preserve">20.8) at pretreatment, and then </w:t>
      </w:r>
      <w:r w:rsidR="00443B41" w:rsidRPr="00F57420">
        <w:rPr>
          <w:rFonts w:eastAsia="Calibri"/>
        </w:rPr>
        <w:t xml:space="preserve">decreased </w:t>
      </w:r>
      <w:r w:rsidR="00AF3553" w:rsidRPr="00F57420">
        <w:rPr>
          <w:rFonts w:eastAsia="Calibri"/>
        </w:rPr>
        <w:t>by 7</w:t>
      </w:r>
      <w:r w:rsidR="00665543" w:rsidRPr="00F57420">
        <w:rPr>
          <w:rFonts w:eastAsia="Calibri"/>
        </w:rPr>
        <w:t>4</w:t>
      </w:r>
      <w:r w:rsidR="00AF3553" w:rsidRPr="00F57420">
        <w:rPr>
          <w:rFonts w:eastAsia="Calibri"/>
        </w:rPr>
        <w:t xml:space="preserve">% </w:t>
      </w:r>
      <w:r w:rsidR="00871B99" w:rsidRPr="00F57420">
        <w:rPr>
          <w:rFonts w:eastAsia="Calibri"/>
        </w:rPr>
        <w:t xml:space="preserve">to </w:t>
      </w:r>
      <w:r w:rsidR="00007C39" w:rsidRPr="00007C39">
        <w:rPr>
          <w:rFonts w:eastAsia="Calibri"/>
          <w:i/>
        </w:rPr>
        <w:t>M=</w:t>
      </w:r>
      <w:r w:rsidR="00871B99" w:rsidRPr="00F57420">
        <w:rPr>
          <w:rFonts w:eastAsia="Calibri"/>
        </w:rPr>
        <w:t>5.6 (</w:t>
      </w:r>
      <w:r w:rsidR="00716B6E" w:rsidRPr="00716B6E">
        <w:rPr>
          <w:rFonts w:eastAsia="Calibri"/>
          <w:i/>
        </w:rPr>
        <w:t>SD=</w:t>
      </w:r>
      <w:r w:rsidR="00871B99" w:rsidRPr="00F57420">
        <w:rPr>
          <w:rFonts w:eastAsia="Calibri"/>
        </w:rPr>
        <w:t>4.</w:t>
      </w:r>
      <w:r w:rsidR="004E2844">
        <w:rPr>
          <w:rFonts w:eastAsia="Calibri"/>
        </w:rPr>
        <w:t>8</w:t>
      </w:r>
      <w:r w:rsidR="00871B99" w:rsidRPr="00F57420">
        <w:rPr>
          <w:rFonts w:eastAsia="Calibri"/>
        </w:rPr>
        <w:t>) at posttreatment</w:t>
      </w:r>
      <w:r w:rsidR="007E4AA3">
        <w:rPr>
          <w:rFonts w:eastAsia="Calibri"/>
        </w:rPr>
        <w:t>,</w:t>
      </w:r>
      <w:r w:rsidR="00871B99" w:rsidRPr="00F57420">
        <w:rPr>
          <w:rFonts w:eastAsia="Calibri"/>
        </w:rPr>
        <w:t xml:space="preserve"> and </w:t>
      </w:r>
      <w:r w:rsidR="00AF3553" w:rsidRPr="00F57420">
        <w:rPr>
          <w:rFonts w:eastAsia="Calibri"/>
        </w:rPr>
        <w:t>by 8</w:t>
      </w:r>
      <w:r w:rsidR="00C162FC" w:rsidRPr="00F57420">
        <w:rPr>
          <w:rFonts w:eastAsia="Calibri"/>
        </w:rPr>
        <w:t>0</w:t>
      </w:r>
      <w:r w:rsidR="00AF3553" w:rsidRPr="00F57420">
        <w:rPr>
          <w:rFonts w:eastAsia="Calibri"/>
        </w:rPr>
        <w:t xml:space="preserve">% </w:t>
      </w:r>
      <w:r w:rsidR="00871B99" w:rsidRPr="00F57420">
        <w:rPr>
          <w:rFonts w:eastAsia="Calibri"/>
        </w:rPr>
        <w:t xml:space="preserve">to </w:t>
      </w:r>
      <w:r w:rsidR="00007C39" w:rsidRPr="00007C39">
        <w:rPr>
          <w:rFonts w:eastAsia="Calibri"/>
          <w:i/>
        </w:rPr>
        <w:t>M=</w:t>
      </w:r>
      <w:r w:rsidR="00871B99" w:rsidRPr="00F57420">
        <w:rPr>
          <w:rFonts w:eastAsia="Calibri"/>
        </w:rPr>
        <w:t>4.3 (</w:t>
      </w:r>
      <w:r w:rsidR="00716B6E" w:rsidRPr="00716B6E">
        <w:rPr>
          <w:rFonts w:eastAsia="Calibri"/>
          <w:i/>
        </w:rPr>
        <w:t>SD=</w:t>
      </w:r>
      <w:r w:rsidR="00871B99" w:rsidRPr="00F57420">
        <w:rPr>
          <w:rFonts w:eastAsia="Calibri"/>
        </w:rPr>
        <w:t xml:space="preserve">3.8) at follow-up.  Average daily </w:t>
      </w:r>
      <w:r w:rsidR="00136A0D" w:rsidRPr="00F57420">
        <w:rPr>
          <w:rFonts w:eastAsia="Calibri"/>
        </w:rPr>
        <w:t xml:space="preserve">avoided valued activities </w:t>
      </w:r>
      <w:r w:rsidR="00871B99" w:rsidRPr="00F57420">
        <w:rPr>
          <w:rFonts w:eastAsia="Calibri"/>
        </w:rPr>
        <w:t xml:space="preserve">were </w:t>
      </w:r>
      <w:r w:rsidR="00007C39" w:rsidRPr="00007C39">
        <w:rPr>
          <w:rFonts w:eastAsia="Calibri"/>
          <w:i/>
        </w:rPr>
        <w:t>M=</w:t>
      </w:r>
      <w:r w:rsidR="00871B99" w:rsidRPr="00F57420">
        <w:rPr>
          <w:rFonts w:eastAsia="Calibri"/>
        </w:rPr>
        <w:t>6.0 (</w:t>
      </w:r>
      <w:r w:rsidR="00716B6E" w:rsidRPr="00716B6E">
        <w:rPr>
          <w:rFonts w:eastAsia="Calibri"/>
          <w:i/>
        </w:rPr>
        <w:t>SD=</w:t>
      </w:r>
      <w:r w:rsidR="00871B99" w:rsidRPr="00F57420">
        <w:rPr>
          <w:rFonts w:eastAsia="Calibri"/>
        </w:rPr>
        <w:t xml:space="preserve">8.9) at pretreatment, and then </w:t>
      </w:r>
      <w:r w:rsidR="00B7234A" w:rsidRPr="00F57420">
        <w:rPr>
          <w:rFonts w:eastAsia="Calibri"/>
        </w:rPr>
        <w:t>decreased</w:t>
      </w:r>
      <w:r w:rsidR="00871B99" w:rsidRPr="00F57420">
        <w:rPr>
          <w:rFonts w:eastAsia="Calibri"/>
        </w:rPr>
        <w:t xml:space="preserve"> </w:t>
      </w:r>
      <w:r w:rsidR="00AF3553" w:rsidRPr="00F57420">
        <w:rPr>
          <w:rFonts w:eastAsia="Calibri"/>
        </w:rPr>
        <w:t xml:space="preserve">by </w:t>
      </w:r>
      <w:r w:rsidR="00C162FC" w:rsidRPr="00F57420">
        <w:rPr>
          <w:rFonts w:eastAsia="Calibri"/>
        </w:rPr>
        <w:t>79</w:t>
      </w:r>
      <w:r w:rsidR="00AF3553" w:rsidRPr="00F57420">
        <w:rPr>
          <w:rFonts w:eastAsia="Calibri"/>
        </w:rPr>
        <w:t xml:space="preserve">% </w:t>
      </w:r>
      <w:r w:rsidR="00871B99" w:rsidRPr="00F57420">
        <w:rPr>
          <w:rFonts w:eastAsia="Calibri"/>
        </w:rPr>
        <w:t xml:space="preserve">to </w:t>
      </w:r>
      <w:r w:rsidR="00007C39" w:rsidRPr="00007C39">
        <w:rPr>
          <w:rFonts w:eastAsia="Calibri"/>
          <w:i/>
        </w:rPr>
        <w:t>M=</w:t>
      </w:r>
      <w:r w:rsidR="00871B99" w:rsidRPr="00F57420">
        <w:rPr>
          <w:rFonts w:eastAsia="Calibri"/>
        </w:rPr>
        <w:t>0.7 (</w:t>
      </w:r>
      <w:r w:rsidR="00716B6E" w:rsidRPr="00716B6E">
        <w:rPr>
          <w:rFonts w:eastAsia="Calibri"/>
          <w:i/>
        </w:rPr>
        <w:t>SD=</w:t>
      </w:r>
      <w:r w:rsidR="00871B99" w:rsidRPr="00F57420">
        <w:rPr>
          <w:rFonts w:eastAsia="Calibri"/>
        </w:rPr>
        <w:t>0.7) at posttreatment</w:t>
      </w:r>
      <w:r w:rsidR="007E4AA3">
        <w:rPr>
          <w:rFonts w:eastAsia="Calibri"/>
        </w:rPr>
        <w:t>,</w:t>
      </w:r>
      <w:r w:rsidR="00871B99" w:rsidRPr="00F57420">
        <w:rPr>
          <w:rFonts w:eastAsia="Calibri"/>
        </w:rPr>
        <w:t xml:space="preserve"> and </w:t>
      </w:r>
      <w:r w:rsidR="00AF3553" w:rsidRPr="00F57420">
        <w:rPr>
          <w:rFonts w:eastAsia="Calibri"/>
        </w:rPr>
        <w:t xml:space="preserve">by </w:t>
      </w:r>
      <w:r w:rsidR="00C162FC" w:rsidRPr="00F57420">
        <w:rPr>
          <w:rFonts w:eastAsia="Calibri"/>
        </w:rPr>
        <w:t>87</w:t>
      </w:r>
      <w:r w:rsidR="00AF3553" w:rsidRPr="00F57420">
        <w:rPr>
          <w:rFonts w:eastAsia="Calibri"/>
        </w:rPr>
        <w:t xml:space="preserve">% </w:t>
      </w:r>
      <w:r w:rsidR="00871B99" w:rsidRPr="00F57420">
        <w:rPr>
          <w:rFonts w:eastAsia="Calibri"/>
        </w:rPr>
        <w:t xml:space="preserve">to </w:t>
      </w:r>
      <w:r w:rsidR="00007C39" w:rsidRPr="00007C39">
        <w:rPr>
          <w:rFonts w:eastAsia="Calibri"/>
          <w:i/>
        </w:rPr>
        <w:t>M=</w:t>
      </w:r>
      <w:r w:rsidR="00871B99" w:rsidRPr="00F57420">
        <w:rPr>
          <w:rFonts w:eastAsia="Calibri"/>
        </w:rPr>
        <w:t>0.5 (</w:t>
      </w:r>
      <w:r w:rsidR="00716B6E" w:rsidRPr="00716B6E">
        <w:rPr>
          <w:rFonts w:eastAsia="Calibri"/>
          <w:i/>
        </w:rPr>
        <w:t>SD=</w:t>
      </w:r>
      <w:r w:rsidR="00871B99" w:rsidRPr="00F57420">
        <w:rPr>
          <w:rFonts w:eastAsia="Calibri"/>
        </w:rPr>
        <w:t xml:space="preserve">0.7) at follow-up.  </w:t>
      </w:r>
    </w:p>
    <w:p w:rsidR="008E18ED" w:rsidRDefault="00EB0636" w:rsidP="00FF37C2">
      <w:pPr>
        <w:spacing w:line="480" w:lineRule="auto"/>
        <w:rPr>
          <w:rFonts w:eastAsia="Calibri"/>
          <w:b/>
        </w:rPr>
      </w:pPr>
      <w:r w:rsidRPr="00F57420">
        <w:rPr>
          <w:rFonts w:eastAsia="Calibri"/>
          <w:b/>
        </w:rPr>
        <w:t>OCD Measures</w:t>
      </w:r>
    </w:p>
    <w:p w:rsidR="00C744CF" w:rsidRPr="00F57420" w:rsidRDefault="008E18ED" w:rsidP="00FF37C2">
      <w:pPr>
        <w:spacing w:line="480" w:lineRule="auto"/>
        <w:rPr>
          <w:rFonts w:eastAsia="Calibri"/>
        </w:rPr>
      </w:pPr>
      <w:r>
        <w:rPr>
          <w:rFonts w:eastAsia="Calibri"/>
        </w:rPr>
        <w:tab/>
      </w:r>
      <w:r w:rsidR="00192CF0" w:rsidRPr="00F57420">
        <w:rPr>
          <w:rFonts w:eastAsia="Calibri"/>
        </w:rPr>
        <w:t>A</w:t>
      </w:r>
      <w:r w:rsidR="00AF3553" w:rsidRPr="00F57420">
        <w:rPr>
          <w:rFonts w:eastAsia="Calibri"/>
        </w:rPr>
        <w:t xml:space="preserve">verage Y-BOCS scores were </w:t>
      </w:r>
      <w:r w:rsidR="00007C39" w:rsidRPr="00007C39">
        <w:rPr>
          <w:rFonts w:eastAsia="Calibri"/>
          <w:i/>
        </w:rPr>
        <w:t>M=</w:t>
      </w:r>
      <w:r w:rsidR="00AF3553" w:rsidRPr="00F57420">
        <w:rPr>
          <w:rFonts w:eastAsia="Calibri"/>
        </w:rPr>
        <w:t>25.4 (</w:t>
      </w:r>
      <w:r w:rsidR="00716B6E" w:rsidRPr="00716B6E">
        <w:rPr>
          <w:rFonts w:eastAsia="Calibri"/>
          <w:i/>
        </w:rPr>
        <w:t>SD=</w:t>
      </w:r>
      <w:r w:rsidR="00AF3553" w:rsidRPr="00F57420">
        <w:rPr>
          <w:rFonts w:eastAsia="Calibri"/>
        </w:rPr>
        <w:t xml:space="preserve">5.6) at pretreatment, and </w:t>
      </w:r>
      <w:r w:rsidR="00443B41" w:rsidRPr="00F57420">
        <w:rPr>
          <w:rFonts w:eastAsia="Calibri"/>
        </w:rPr>
        <w:t xml:space="preserve">decreased </w:t>
      </w:r>
      <w:r w:rsidR="00AF3553" w:rsidRPr="00F57420">
        <w:rPr>
          <w:rFonts w:eastAsia="Calibri"/>
        </w:rPr>
        <w:t xml:space="preserve">by 51% to </w:t>
      </w:r>
      <w:r w:rsidR="00007C39" w:rsidRPr="00007C39">
        <w:rPr>
          <w:rFonts w:eastAsia="Calibri"/>
          <w:i/>
        </w:rPr>
        <w:t>M=</w:t>
      </w:r>
      <w:r w:rsidR="00AF3553" w:rsidRPr="00F57420">
        <w:rPr>
          <w:rFonts w:eastAsia="Calibri"/>
        </w:rPr>
        <w:t>12.4 (</w:t>
      </w:r>
      <w:r w:rsidR="00716B6E" w:rsidRPr="00716B6E">
        <w:rPr>
          <w:rFonts w:eastAsia="Calibri"/>
          <w:i/>
        </w:rPr>
        <w:t>SD=</w:t>
      </w:r>
      <w:r w:rsidR="00AF3553" w:rsidRPr="00F57420">
        <w:rPr>
          <w:rFonts w:eastAsia="Calibri"/>
        </w:rPr>
        <w:t>5.1) at posttreatment</w:t>
      </w:r>
      <w:r w:rsidR="0071543A">
        <w:rPr>
          <w:rFonts w:eastAsia="Calibri"/>
        </w:rPr>
        <w:t>,</w:t>
      </w:r>
      <w:r w:rsidR="00AF3553" w:rsidRPr="00F57420">
        <w:rPr>
          <w:rFonts w:eastAsia="Calibri"/>
        </w:rPr>
        <w:t xml:space="preserve"> and by 54% to </w:t>
      </w:r>
      <w:r w:rsidR="00007C39" w:rsidRPr="00007C39">
        <w:rPr>
          <w:rFonts w:eastAsia="Calibri"/>
          <w:i/>
        </w:rPr>
        <w:t>M=</w:t>
      </w:r>
      <w:r w:rsidR="00AF3553" w:rsidRPr="00F57420">
        <w:rPr>
          <w:rFonts w:eastAsia="Calibri"/>
        </w:rPr>
        <w:t>11.8 (</w:t>
      </w:r>
      <w:r w:rsidR="00716B6E" w:rsidRPr="00716B6E">
        <w:rPr>
          <w:rFonts w:eastAsia="Calibri"/>
          <w:i/>
        </w:rPr>
        <w:t>SD=</w:t>
      </w:r>
      <w:r w:rsidR="00AF3553" w:rsidRPr="00F57420">
        <w:rPr>
          <w:rFonts w:eastAsia="Calibri"/>
        </w:rPr>
        <w:t xml:space="preserve">2.9) at follow-up.  OCI-R scores followed a similar trend, measuring </w:t>
      </w:r>
      <w:r w:rsidR="00007C39" w:rsidRPr="00007C39">
        <w:rPr>
          <w:rFonts w:eastAsia="Calibri"/>
          <w:i/>
        </w:rPr>
        <w:t>M=</w:t>
      </w:r>
      <w:r w:rsidR="00AF3553" w:rsidRPr="00F57420">
        <w:rPr>
          <w:rFonts w:eastAsia="Calibri"/>
        </w:rPr>
        <w:t>31.8 (</w:t>
      </w:r>
      <w:r w:rsidR="00716B6E" w:rsidRPr="00716B6E">
        <w:rPr>
          <w:rFonts w:eastAsia="Calibri"/>
          <w:i/>
        </w:rPr>
        <w:t>SD=</w:t>
      </w:r>
      <w:r w:rsidR="00AF3553" w:rsidRPr="00F57420">
        <w:rPr>
          <w:rFonts w:eastAsia="Calibri"/>
        </w:rPr>
        <w:t xml:space="preserve">12.3) at pretreatment, </w:t>
      </w:r>
      <w:r w:rsidR="00B7234A" w:rsidRPr="00F57420">
        <w:rPr>
          <w:rFonts w:eastAsia="Calibri"/>
        </w:rPr>
        <w:t>decreas</w:t>
      </w:r>
      <w:r w:rsidR="00C4607A" w:rsidRPr="00F57420">
        <w:rPr>
          <w:rFonts w:eastAsia="Calibri"/>
        </w:rPr>
        <w:t>ing</w:t>
      </w:r>
      <w:r w:rsidR="00AF3553" w:rsidRPr="00F57420">
        <w:rPr>
          <w:rFonts w:eastAsia="Calibri"/>
        </w:rPr>
        <w:t xml:space="preserve"> by 55% to </w:t>
      </w:r>
      <w:r w:rsidR="00007C39" w:rsidRPr="00007C39">
        <w:rPr>
          <w:rFonts w:eastAsia="Calibri"/>
          <w:i/>
        </w:rPr>
        <w:t>M=</w:t>
      </w:r>
      <w:r w:rsidR="00AF3553" w:rsidRPr="00F57420">
        <w:rPr>
          <w:rFonts w:eastAsia="Calibri"/>
        </w:rPr>
        <w:t>14.4 (</w:t>
      </w:r>
      <w:r w:rsidR="00716B6E" w:rsidRPr="00716B6E">
        <w:rPr>
          <w:rFonts w:eastAsia="Calibri"/>
          <w:i/>
        </w:rPr>
        <w:t>SD=</w:t>
      </w:r>
      <w:r w:rsidR="00AF3553" w:rsidRPr="00F57420">
        <w:rPr>
          <w:rFonts w:eastAsia="Calibri"/>
        </w:rPr>
        <w:t>4.7) at posttreatment</w:t>
      </w:r>
      <w:r w:rsidR="00B04289" w:rsidRPr="00F57420">
        <w:rPr>
          <w:rFonts w:eastAsia="Calibri"/>
        </w:rPr>
        <w:t xml:space="preserve">, </w:t>
      </w:r>
      <w:r w:rsidR="00C4607A" w:rsidRPr="00F57420">
        <w:rPr>
          <w:rFonts w:eastAsia="Calibri"/>
        </w:rPr>
        <w:t xml:space="preserve">and </w:t>
      </w:r>
      <w:r w:rsidR="00AF3553" w:rsidRPr="00F57420">
        <w:rPr>
          <w:rFonts w:eastAsia="Calibri"/>
        </w:rPr>
        <w:t xml:space="preserve">rising slightly to </w:t>
      </w:r>
      <w:r w:rsidR="00007C39" w:rsidRPr="00007C39">
        <w:rPr>
          <w:rFonts w:eastAsia="Calibri"/>
          <w:i/>
        </w:rPr>
        <w:t>M=</w:t>
      </w:r>
      <w:r w:rsidR="00AF3553" w:rsidRPr="00F57420">
        <w:rPr>
          <w:rFonts w:eastAsia="Calibri"/>
        </w:rPr>
        <w:t>16.4 (</w:t>
      </w:r>
      <w:r w:rsidR="00716B6E" w:rsidRPr="00716B6E">
        <w:rPr>
          <w:rFonts w:eastAsia="Calibri"/>
          <w:i/>
        </w:rPr>
        <w:t>SD=</w:t>
      </w:r>
      <w:r w:rsidR="00AF3553" w:rsidRPr="00F57420">
        <w:rPr>
          <w:rFonts w:eastAsia="Calibri"/>
        </w:rPr>
        <w:t xml:space="preserve">7.5) at follow-up, for a pre- to follow-up reduction of 48%.  </w:t>
      </w:r>
      <w:r w:rsidR="00B04289" w:rsidRPr="003D2668">
        <w:rPr>
          <w:rFonts w:eastAsia="Calibri"/>
        </w:rPr>
        <w:t>Scrupulosity symptom severity mean</w:t>
      </w:r>
      <w:r w:rsidR="00163484" w:rsidRPr="003D2668">
        <w:rPr>
          <w:rFonts w:eastAsia="Calibri"/>
        </w:rPr>
        <w:t xml:space="preserve"> scores</w:t>
      </w:r>
      <w:r w:rsidR="00B04289" w:rsidRPr="003D2668">
        <w:rPr>
          <w:rFonts w:eastAsia="Calibri"/>
        </w:rPr>
        <w:t xml:space="preserve"> (as </w:t>
      </w:r>
      <w:r w:rsidR="00163484" w:rsidRPr="003D2668">
        <w:rPr>
          <w:rFonts w:eastAsia="Calibri"/>
        </w:rPr>
        <w:t xml:space="preserve">measured </w:t>
      </w:r>
      <w:r w:rsidR="00B04289" w:rsidRPr="003D2668">
        <w:rPr>
          <w:rFonts w:eastAsia="Calibri"/>
        </w:rPr>
        <w:t xml:space="preserve">by the PIOS) began at </w:t>
      </w:r>
      <w:r w:rsidR="00007C39" w:rsidRPr="003D2668">
        <w:rPr>
          <w:rFonts w:eastAsia="Calibri"/>
          <w:i/>
        </w:rPr>
        <w:t>M=</w:t>
      </w:r>
      <w:r w:rsidR="003D2668">
        <w:rPr>
          <w:rFonts w:eastAsia="Calibri"/>
        </w:rPr>
        <w:t>54.6</w:t>
      </w:r>
      <w:r w:rsidR="00B04289" w:rsidRPr="003D2668">
        <w:rPr>
          <w:rFonts w:eastAsia="Calibri"/>
        </w:rPr>
        <w:t xml:space="preserve"> (</w:t>
      </w:r>
      <w:r w:rsidR="00716B6E" w:rsidRPr="003D2668">
        <w:rPr>
          <w:rFonts w:eastAsia="Calibri"/>
          <w:i/>
        </w:rPr>
        <w:t>SD=</w:t>
      </w:r>
      <w:r w:rsidR="003D2668">
        <w:rPr>
          <w:rFonts w:eastAsia="Calibri"/>
        </w:rPr>
        <w:t>10.7</w:t>
      </w:r>
      <w:r w:rsidR="00B04289" w:rsidRPr="003D2668">
        <w:rPr>
          <w:rFonts w:eastAsia="Calibri"/>
        </w:rPr>
        <w:t xml:space="preserve">) at pretreatment, </w:t>
      </w:r>
      <w:r w:rsidR="00C4607A" w:rsidRPr="003D2668">
        <w:rPr>
          <w:rFonts w:eastAsia="Calibri"/>
        </w:rPr>
        <w:t xml:space="preserve">decreasing </w:t>
      </w:r>
      <w:r w:rsidR="00B04289" w:rsidRPr="003D2668">
        <w:rPr>
          <w:rFonts w:eastAsia="Calibri"/>
        </w:rPr>
        <w:t xml:space="preserve">by 50% to </w:t>
      </w:r>
      <w:r w:rsidR="00007C39" w:rsidRPr="003D2668">
        <w:rPr>
          <w:rFonts w:eastAsia="Calibri"/>
          <w:i/>
        </w:rPr>
        <w:t>M=</w:t>
      </w:r>
      <w:r w:rsidR="003D2668">
        <w:rPr>
          <w:rFonts w:eastAsia="Calibri"/>
        </w:rPr>
        <w:t>27.2</w:t>
      </w:r>
      <w:r w:rsidR="00B04289" w:rsidRPr="003D2668">
        <w:rPr>
          <w:rFonts w:eastAsia="Calibri"/>
        </w:rPr>
        <w:t xml:space="preserve"> (</w:t>
      </w:r>
      <w:r w:rsidR="00716B6E" w:rsidRPr="003D2668">
        <w:rPr>
          <w:rFonts w:eastAsia="Calibri"/>
          <w:i/>
        </w:rPr>
        <w:t>SD=</w:t>
      </w:r>
      <w:r w:rsidR="003D2668">
        <w:rPr>
          <w:rFonts w:eastAsia="Calibri"/>
        </w:rPr>
        <w:t>3.8</w:t>
      </w:r>
      <w:r w:rsidR="00B04289" w:rsidRPr="003D2668">
        <w:rPr>
          <w:rFonts w:eastAsia="Calibri"/>
        </w:rPr>
        <w:t xml:space="preserve">) at posttreatment, staying </w:t>
      </w:r>
      <w:r w:rsidR="004E2844">
        <w:rPr>
          <w:rFonts w:eastAsia="Calibri"/>
        </w:rPr>
        <w:t xml:space="preserve">relatively </w:t>
      </w:r>
      <w:r w:rsidR="00B04289" w:rsidRPr="003D2668">
        <w:rPr>
          <w:rFonts w:eastAsia="Calibri"/>
        </w:rPr>
        <w:t xml:space="preserve">constant at </w:t>
      </w:r>
      <w:r w:rsidR="00007C39" w:rsidRPr="003D2668">
        <w:rPr>
          <w:rFonts w:eastAsia="Calibri"/>
          <w:i/>
        </w:rPr>
        <w:t>M=</w:t>
      </w:r>
      <w:r w:rsidR="003D2668">
        <w:rPr>
          <w:rFonts w:eastAsia="Calibri"/>
        </w:rPr>
        <w:t>26.8</w:t>
      </w:r>
      <w:r w:rsidR="00B04289" w:rsidRPr="003D2668">
        <w:rPr>
          <w:rFonts w:eastAsia="Calibri"/>
        </w:rPr>
        <w:t xml:space="preserve"> (</w:t>
      </w:r>
      <w:r w:rsidR="00716B6E" w:rsidRPr="003D2668">
        <w:rPr>
          <w:rFonts w:eastAsia="Calibri"/>
          <w:i/>
        </w:rPr>
        <w:t>SD=</w:t>
      </w:r>
      <w:r w:rsidR="003D2668">
        <w:rPr>
          <w:rFonts w:eastAsia="Calibri"/>
        </w:rPr>
        <w:t>8.4</w:t>
      </w:r>
      <w:r w:rsidR="00B04289" w:rsidRPr="003D2668">
        <w:rPr>
          <w:rFonts w:eastAsia="Calibri"/>
        </w:rPr>
        <w:t>) during follow-up.</w:t>
      </w:r>
      <w:r w:rsidR="00B04289" w:rsidRPr="00F57420">
        <w:rPr>
          <w:rFonts w:eastAsia="Calibri"/>
        </w:rPr>
        <w:t xml:space="preserve">  </w:t>
      </w:r>
      <w:r w:rsidR="0069316B">
        <w:rPr>
          <w:rFonts w:eastAsia="Calibri"/>
        </w:rPr>
        <w:t xml:space="preserve">OCD measure </w:t>
      </w:r>
      <w:proofErr w:type="spellStart"/>
      <w:r w:rsidR="0069316B">
        <w:rPr>
          <w:rFonts w:eastAsia="Calibri"/>
        </w:rPr>
        <w:t>s</w:t>
      </w:r>
      <w:r w:rsidR="0069316B">
        <w:t>ubscores</w:t>
      </w:r>
      <w:proofErr w:type="spellEnd"/>
      <w:r w:rsidR="0069316B">
        <w:t xml:space="preserve"> were consistent with total scores, and are available from corresponding authors.</w:t>
      </w:r>
    </w:p>
    <w:p w:rsidR="008E18ED" w:rsidRDefault="00EB0636" w:rsidP="00FF37C2">
      <w:pPr>
        <w:spacing w:line="480" w:lineRule="auto"/>
        <w:rPr>
          <w:rFonts w:eastAsia="Calibri"/>
        </w:rPr>
      </w:pPr>
      <w:r w:rsidRPr="00F57420">
        <w:rPr>
          <w:rFonts w:eastAsia="Calibri"/>
          <w:b/>
        </w:rPr>
        <w:t>Religious Faith</w:t>
      </w:r>
    </w:p>
    <w:p w:rsidR="00C744CF" w:rsidRPr="00F57420" w:rsidRDefault="00231B98" w:rsidP="008E18ED">
      <w:pPr>
        <w:spacing w:line="480" w:lineRule="auto"/>
        <w:ind w:firstLine="720"/>
        <w:rPr>
          <w:rFonts w:eastAsia="Calibri"/>
        </w:rPr>
      </w:pPr>
      <w:r w:rsidRPr="00F57420">
        <w:rPr>
          <w:rFonts w:eastAsia="Calibri"/>
        </w:rPr>
        <w:t xml:space="preserve">Notably, while </w:t>
      </w:r>
      <w:r w:rsidR="00FF37C2">
        <w:rPr>
          <w:rFonts w:eastAsia="Calibri"/>
        </w:rPr>
        <w:t>scrupulosity based OCD</w:t>
      </w:r>
      <w:r w:rsidRPr="00F57420">
        <w:rPr>
          <w:rFonts w:eastAsia="Calibri"/>
        </w:rPr>
        <w:t xml:space="preserve"> declined, religious faith (as measured by the </w:t>
      </w:r>
      <w:r w:rsidRPr="00F57420">
        <w:t>SCSORF</w:t>
      </w:r>
      <w:r w:rsidRPr="00F57420">
        <w:rPr>
          <w:rFonts w:eastAsia="Calibri"/>
        </w:rPr>
        <w:t xml:space="preserve">) declined only 4% </w:t>
      </w:r>
      <w:r w:rsidR="00725001" w:rsidRPr="00F57420">
        <w:rPr>
          <w:rFonts w:eastAsia="Calibri"/>
        </w:rPr>
        <w:t>from pretreatment (</w:t>
      </w:r>
      <w:r w:rsidR="00007C39" w:rsidRPr="00007C39">
        <w:rPr>
          <w:rFonts w:eastAsia="Calibri"/>
          <w:i/>
        </w:rPr>
        <w:t>M=</w:t>
      </w:r>
      <w:r w:rsidR="00381A1B" w:rsidRPr="00B667D7">
        <w:rPr>
          <w:rFonts w:eastAsia="Calibri"/>
        </w:rPr>
        <w:t>29.2,</w:t>
      </w:r>
      <w:r w:rsidRPr="00F57420">
        <w:rPr>
          <w:rFonts w:eastAsia="Calibri"/>
          <w:i/>
        </w:rPr>
        <w:t xml:space="preserve"> </w:t>
      </w:r>
      <w:r w:rsidR="00716B6E" w:rsidRPr="00716B6E">
        <w:rPr>
          <w:rFonts w:eastAsia="Calibri"/>
          <w:i/>
        </w:rPr>
        <w:t>SD=</w:t>
      </w:r>
      <w:r w:rsidR="00381A1B" w:rsidRPr="00B667D7">
        <w:rPr>
          <w:rFonts w:eastAsia="Calibri"/>
        </w:rPr>
        <w:t>2.7</w:t>
      </w:r>
      <w:r w:rsidRPr="00F57420">
        <w:rPr>
          <w:rFonts w:eastAsia="Calibri"/>
        </w:rPr>
        <w:t xml:space="preserve">) </w:t>
      </w:r>
      <w:r w:rsidR="00725001" w:rsidRPr="00F57420">
        <w:rPr>
          <w:rFonts w:eastAsia="Calibri"/>
        </w:rPr>
        <w:t xml:space="preserve">to </w:t>
      </w:r>
      <w:r w:rsidR="00122834" w:rsidRPr="00F57420">
        <w:rPr>
          <w:rFonts w:eastAsia="Calibri"/>
        </w:rPr>
        <w:t>posttreatment</w:t>
      </w:r>
      <w:r w:rsidR="00725001" w:rsidRPr="00F57420">
        <w:rPr>
          <w:rFonts w:eastAsia="Calibri"/>
        </w:rPr>
        <w:t xml:space="preserve"> (</w:t>
      </w:r>
      <w:r w:rsidR="00007C39" w:rsidRPr="00007C39">
        <w:rPr>
          <w:rFonts w:eastAsia="Calibri"/>
          <w:i/>
        </w:rPr>
        <w:t>M=</w:t>
      </w:r>
      <w:r w:rsidR="00381A1B" w:rsidRPr="00B667D7">
        <w:rPr>
          <w:rFonts w:eastAsia="Calibri"/>
        </w:rPr>
        <w:t>28.0,</w:t>
      </w:r>
      <w:r w:rsidR="00725001" w:rsidRPr="00F57420">
        <w:rPr>
          <w:rFonts w:eastAsia="Calibri"/>
          <w:i/>
        </w:rPr>
        <w:t xml:space="preserve"> </w:t>
      </w:r>
      <w:r w:rsidR="00716B6E" w:rsidRPr="00716B6E">
        <w:rPr>
          <w:rFonts w:eastAsia="Calibri"/>
          <w:i/>
        </w:rPr>
        <w:t>SD=</w:t>
      </w:r>
      <w:r w:rsidR="00381A1B" w:rsidRPr="00B667D7">
        <w:rPr>
          <w:rFonts w:eastAsia="Calibri"/>
        </w:rPr>
        <w:t>4.6</w:t>
      </w:r>
      <w:r w:rsidRPr="00F57420">
        <w:rPr>
          <w:rFonts w:eastAsia="Calibri"/>
        </w:rPr>
        <w:t>)</w:t>
      </w:r>
      <w:r w:rsidR="0071543A">
        <w:rPr>
          <w:rFonts w:eastAsia="Calibri"/>
        </w:rPr>
        <w:t>,</w:t>
      </w:r>
      <w:r w:rsidRPr="00F57420">
        <w:rPr>
          <w:rFonts w:eastAsia="Calibri"/>
        </w:rPr>
        <w:t xml:space="preserve"> </w:t>
      </w:r>
      <w:r w:rsidR="00725001" w:rsidRPr="00F57420">
        <w:rPr>
          <w:rFonts w:eastAsia="Calibri"/>
        </w:rPr>
        <w:t xml:space="preserve">and </w:t>
      </w:r>
      <w:r w:rsidRPr="00F57420">
        <w:rPr>
          <w:rFonts w:eastAsia="Calibri"/>
        </w:rPr>
        <w:t xml:space="preserve">7% </w:t>
      </w:r>
      <w:r w:rsidR="00725001" w:rsidRPr="00F57420">
        <w:rPr>
          <w:rFonts w:eastAsia="Calibri"/>
        </w:rPr>
        <w:t>from pretreatment to follow-up (</w:t>
      </w:r>
      <w:r w:rsidR="00007C39" w:rsidRPr="00007C39">
        <w:rPr>
          <w:rFonts w:eastAsia="Calibri"/>
          <w:i/>
        </w:rPr>
        <w:t>M=</w:t>
      </w:r>
      <w:r w:rsidR="00381A1B" w:rsidRPr="00B667D7">
        <w:rPr>
          <w:rFonts w:eastAsia="Calibri"/>
        </w:rPr>
        <w:t>27.3,</w:t>
      </w:r>
      <w:r w:rsidR="00725001" w:rsidRPr="00F57420">
        <w:rPr>
          <w:rFonts w:eastAsia="Calibri"/>
          <w:i/>
        </w:rPr>
        <w:t xml:space="preserve"> </w:t>
      </w:r>
      <w:r w:rsidR="00716B6E" w:rsidRPr="00716B6E">
        <w:rPr>
          <w:rFonts w:eastAsia="Calibri"/>
          <w:i/>
        </w:rPr>
        <w:t>SD=</w:t>
      </w:r>
      <w:r w:rsidR="00381A1B" w:rsidRPr="00B667D7">
        <w:rPr>
          <w:rFonts w:eastAsia="Calibri"/>
        </w:rPr>
        <w:t>4.5</w:t>
      </w:r>
      <w:r w:rsidR="00725001" w:rsidRPr="00F57420">
        <w:rPr>
          <w:rFonts w:eastAsia="Calibri"/>
        </w:rPr>
        <w:t>)</w:t>
      </w:r>
      <w:r w:rsidRPr="00F57420">
        <w:rPr>
          <w:rFonts w:eastAsia="Calibri"/>
        </w:rPr>
        <w:t>.</w:t>
      </w:r>
      <w:r w:rsidR="00725001" w:rsidRPr="00F57420">
        <w:rPr>
          <w:rFonts w:eastAsia="Calibri"/>
        </w:rPr>
        <w:t xml:space="preserve">  </w:t>
      </w:r>
    </w:p>
    <w:p w:rsidR="008E18ED" w:rsidRDefault="00EB0636" w:rsidP="00FF37C2">
      <w:pPr>
        <w:spacing w:line="480" w:lineRule="auto"/>
        <w:rPr>
          <w:rFonts w:eastAsia="Calibri"/>
        </w:rPr>
      </w:pPr>
      <w:r w:rsidRPr="00F57420">
        <w:rPr>
          <w:rFonts w:eastAsia="Calibri"/>
          <w:b/>
        </w:rPr>
        <w:t>Depression</w:t>
      </w:r>
    </w:p>
    <w:p w:rsidR="00C744CF" w:rsidRPr="00F57420" w:rsidRDefault="00B04289" w:rsidP="008E18ED">
      <w:pPr>
        <w:spacing w:line="480" w:lineRule="auto"/>
        <w:ind w:firstLine="720"/>
        <w:rPr>
          <w:rFonts w:eastAsia="Calibri"/>
        </w:rPr>
      </w:pPr>
      <w:r w:rsidRPr="00F57420">
        <w:rPr>
          <w:rFonts w:eastAsia="Calibri"/>
        </w:rPr>
        <w:lastRenderedPageBreak/>
        <w:t>Depression symptom severity as measured by the BDI</w:t>
      </w:r>
      <w:r w:rsidR="004E2844">
        <w:rPr>
          <w:rFonts w:eastAsia="Calibri"/>
        </w:rPr>
        <w:t>-II</w:t>
      </w:r>
      <w:r w:rsidRPr="00F57420">
        <w:rPr>
          <w:rFonts w:eastAsia="Calibri"/>
        </w:rPr>
        <w:t xml:space="preserve"> was </w:t>
      </w:r>
      <w:r w:rsidR="00007C39" w:rsidRPr="00007C39">
        <w:rPr>
          <w:rFonts w:eastAsia="Calibri"/>
          <w:i/>
        </w:rPr>
        <w:t>M=</w:t>
      </w:r>
      <w:r w:rsidR="00351C13">
        <w:rPr>
          <w:rFonts w:eastAsia="Calibri"/>
        </w:rPr>
        <w:t>30.6</w:t>
      </w:r>
      <w:r w:rsidRPr="00F57420">
        <w:rPr>
          <w:rFonts w:eastAsia="Calibri"/>
        </w:rPr>
        <w:t xml:space="preserve"> (</w:t>
      </w:r>
      <w:r w:rsidR="00716B6E" w:rsidRPr="00716B6E">
        <w:rPr>
          <w:rFonts w:eastAsia="Calibri"/>
          <w:i/>
        </w:rPr>
        <w:t>SD=</w:t>
      </w:r>
      <w:r w:rsidRPr="00F57420">
        <w:rPr>
          <w:rFonts w:eastAsia="Calibri"/>
        </w:rPr>
        <w:t xml:space="preserve">15.2) at pretreatment, </w:t>
      </w:r>
      <w:r w:rsidR="00C4607A" w:rsidRPr="00F57420">
        <w:rPr>
          <w:rFonts w:eastAsia="Calibri"/>
        </w:rPr>
        <w:t xml:space="preserve">decreasing </w:t>
      </w:r>
      <w:r w:rsidRPr="00F57420">
        <w:rPr>
          <w:rFonts w:eastAsia="Calibri"/>
        </w:rPr>
        <w:t xml:space="preserve">by </w:t>
      </w:r>
      <w:r w:rsidR="00351C13">
        <w:rPr>
          <w:rFonts w:eastAsia="Calibri"/>
        </w:rPr>
        <w:t>73</w:t>
      </w:r>
      <w:r w:rsidRPr="00F57420">
        <w:rPr>
          <w:rFonts w:eastAsia="Calibri"/>
        </w:rPr>
        <w:t xml:space="preserve">% to </w:t>
      </w:r>
      <w:r w:rsidR="00007C39" w:rsidRPr="00007C39">
        <w:rPr>
          <w:rFonts w:eastAsia="Calibri"/>
          <w:i/>
        </w:rPr>
        <w:t>M=</w:t>
      </w:r>
      <w:r w:rsidR="00351C13">
        <w:rPr>
          <w:rFonts w:eastAsia="Calibri"/>
        </w:rPr>
        <w:t>8.4</w:t>
      </w:r>
      <w:r w:rsidRPr="00F57420">
        <w:rPr>
          <w:rFonts w:eastAsia="Calibri"/>
        </w:rPr>
        <w:t xml:space="preserve"> (</w:t>
      </w:r>
      <w:r w:rsidR="00716B6E" w:rsidRPr="00716B6E">
        <w:rPr>
          <w:rFonts w:eastAsia="Calibri"/>
          <w:i/>
        </w:rPr>
        <w:t>SD=</w:t>
      </w:r>
      <w:r w:rsidR="00351C13">
        <w:rPr>
          <w:rFonts w:eastAsia="Calibri"/>
        </w:rPr>
        <w:t>3.2</w:t>
      </w:r>
      <w:r w:rsidRPr="00F57420">
        <w:rPr>
          <w:rFonts w:eastAsia="Calibri"/>
        </w:rPr>
        <w:t xml:space="preserve">) at posttreatment, rising slightly to </w:t>
      </w:r>
      <w:r w:rsidR="00007C39" w:rsidRPr="00007C39">
        <w:rPr>
          <w:rFonts w:eastAsia="Calibri"/>
          <w:i/>
        </w:rPr>
        <w:t>M=</w:t>
      </w:r>
      <w:r w:rsidR="00351C13">
        <w:rPr>
          <w:rFonts w:eastAsia="Calibri"/>
        </w:rPr>
        <w:t>10.2</w:t>
      </w:r>
      <w:r w:rsidRPr="00F57420">
        <w:rPr>
          <w:rFonts w:eastAsia="Calibri"/>
        </w:rPr>
        <w:t xml:space="preserve"> (</w:t>
      </w:r>
      <w:r w:rsidR="00716B6E" w:rsidRPr="00716B6E">
        <w:rPr>
          <w:rFonts w:eastAsia="Calibri"/>
          <w:i/>
        </w:rPr>
        <w:t>SD=</w:t>
      </w:r>
      <w:r w:rsidRPr="00F57420">
        <w:rPr>
          <w:rFonts w:eastAsia="Calibri"/>
        </w:rPr>
        <w:t xml:space="preserve">4.7) at follow-up for a final pre- to follow-up reduction of </w:t>
      </w:r>
      <w:r w:rsidR="00351C13">
        <w:rPr>
          <w:rFonts w:eastAsia="Calibri"/>
        </w:rPr>
        <w:t>67</w:t>
      </w:r>
      <w:r w:rsidRPr="00F57420">
        <w:rPr>
          <w:rFonts w:eastAsia="Calibri"/>
        </w:rPr>
        <w:t xml:space="preserve">%.   </w:t>
      </w:r>
    </w:p>
    <w:p w:rsidR="008E18ED" w:rsidRDefault="00EB0636" w:rsidP="00FF37C2">
      <w:pPr>
        <w:spacing w:line="480" w:lineRule="auto"/>
        <w:rPr>
          <w:rFonts w:eastAsia="Calibri"/>
        </w:rPr>
      </w:pPr>
      <w:r w:rsidRPr="00F57420">
        <w:rPr>
          <w:rFonts w:eastAsia="Calibri"/>
          <w:b/>
        </w:rPr>
        <w:t>Quality of Life</w:t>
      </w:r>
    </w:p>
    <w:p w:rsidR="00CD2A21" w:rsidRPr="00F57420" w:rsidRDefault="00C744CF" w:rsidP="00C744CF">
      <w:pPr>
        <w:spacing w:line="480" w:lineRule="auto"/>
        <w:ind w:firstLine="720"/>
      </w:pPr>
      <w:r w:rsidRPr="00F57420">
        <w:rPr>
          <w:rFonts w:eastAsia="Calibri"/>
        </w:rPr>
        <w:t>Q</w:t>
      </w:r>
      <w:r w:rsidR="00B04289" w:rsidRPr="00F57420">
        <w:rPr>
          <w:rFonts w:eastAsia="Calibri"/>
        </w:rPr>
        <w:t xml:space="preserve">uality of life scores (as measured by the QOLS) began at </w:t>
      </w:r>
      <w:r w:rsidR="00007C39" w:rsidRPr="00007C39">
        <w:rPr>
          <w:rFonts w:eastAsia="Calibri"/>
          <w:i/>
        </w:rPr>
        <w:t>M=</w:t>
      </w:r>
      <w:r w:rsidR="00B04289" w:rsidRPr="00F57420">
        <w:rPr>
          <w:rFonts w:eastAsia="Calibri"/>
        </w:rPr>
        <w:t>60.6 (</w:t>
      </w:r>
      <w:r w:rsidR="00716B6E" w:rsidRPr="00716B6E">
        <w:rPr>
          <w:rFonts w:eastAsia="Calibri"/>
          <w:i/>
        </w:rPr>
        <w:t>SD=</w:t>
      </w:r>
      <w:r w:rsidR="00B04289" w:rsidRPr="00F57420">
        <w:rPr>
          <w:rFonts w:eastAsia="Calibri"/>
        </w:rPr>
        <w:t xml:space="preserve">15.7) at pretreatment, rising by 26% to </w:t>
      </w:r>
      <w:r w:rsidR="00007C39" w:rsidRPr="00007C39">
        <w:rPr>
          <w:rFonts w:eastAsia="Calibri"/>
          <w:i/>
        </w:rPr>
        <w:t>M=</w:t>
      </w:r>
      <w:r w:rsidR="00B04289" w:rsidRPr="00F57420">
        <w:rPr>
          <w:rFonts w:eastAsia="Calibri"/>
        </w:rPr>
        <w:t>76.6 (</w:t>
      </w:r>
      <w:r w:rsidR="00716B6E" w:rsidRPr="00716B6E">
        <w:rPr>
          <w:rFonts w:eastAsia="Calibri"/>
          <w:i/>
        </w:rPr>
        <w:t>SD=</w:t>
      </w:r>
      <w:r w:rsidR="0030346B" w:rsidRPr="00F57420">
        <w:rPr>
          <w:rFonts w:eastAsia="Calibri"/>
        </w:rPr>
        <w:t>7.7</w:t>
      </w:r>
      <w:r w:rsidR="00B04289" w:rsidRPr="00F57420">
        <w:rPr>
          <w:rFonts w:eastAsia="Calibri"/>
        </w:rPr>
        <w:t xml:space="preserve">) at posttreatment, </w:t>
      </w:r>
      <w:r w:rsidR="0030346B" w:rsidRPr="00F57420">
        <w:rPr>
          <w:rFonts w:eastAsia="Calibri"/>
        </w:rPr>
        <w:t xml:space="preserve">rising slightly again to </w:t>
      </w:r>
      <w:r w:rsidR="00007C39" w:rsidRPr="00007C39">
        <w:rPr>
          <w:rFonts w:eastAsia="Calibri"/>
          <w:i/>
        </w:rPr>
        <w:t>M=</w:t>
      </w:r>
      <w:r w:rsidR="0030346B" w:rsidRPr="00F57420">
        <w:rPr>
          <w:rFonts w:eastAsia="Calibri"/>
        </w:rPr>
        <w:t>77.8</w:t>
      </w:r>
      <w:r w:rsidR="00B04289" w:rsidRPr="00F57420">
        <w:rPr>
          <w:rFonts w:eastAsia="Calibri"/>
        </w:rPr>
        <w:t xml:space="preserve"> (</w:t>
      </w:r>
      <w:r w:rsidR="00716B6E" w:rsidRPr="00716B6E">
        <w:rPr>
          <w:rFonts w:eastAsia="Calibri"/>
          <w:i/>
        </w:rPr>
        <w:t>SD=</w:t>
      </w:r>
      <w:r w:rsidR="0030346B" w:rsidRPr="00F57420">
        <w:rPr>
          <w:rFonts w:eastAsia="Calibri"/>
        </w:rPr>
        <w:t>10.5</w:t>
      </w:r>
      <w:r w:rsidR="00B04289" w:rsidRPr="00F57420">
        <w:rPr>
          <w:rFonts w:eastAsia="Calibri"/>
        </w:rPr>
        <w:t>) during</w:t>
      </w:r>
      <w:r w:rsidR="0030346B" w:rsidRPr="00F57420">
        <w:rPr>
          <w:rFonts w:eastAsia="Calibri"/>
        </w:rPr>
        <w:t xml:space="preserve"> follow-up for a final pre- to follow-up increase of 28%.</w:t>
      </w:r>
    </w:p>
    <w:p w:rsidR="001659BF" w:rsidRPr="00F57420" w:rsidRDefault="00EB0636" w:rsidP="001659BF">
      <w:pPr>
        <w:spacing w:line="480" w:lineRule="auto"/>
        <w:outlineLvl w:val="0"/>
        <w:rPr>
          <w:b/>
        </w:rPr>
      </w:pPr>
      <w:r w:rsidRPr="00F57420">
        <w:rPr>
          <w:b/>
        </w:rPr>
        <w:t>Psychological Processes of Change</w:t>
      </w:r>
    </w:p>
    <w:p w:rsidR="001659BF" w:rsidRPr="00F57420" w:rsidRDefault="00163484" w:rsidP="00BE1B06">
      <w:pPr>
        <w:spacing w:line="480" w:lineRule="auto"/>
        <w:rPr>
          <w:rFonts w:eastAsia="Calibri"/>
        </w:rPr>
      </w:pPr>
      <w:r w:rsidRPr="00F57420">
        <w:tab/>
        <w:t>Psychological process change as measured by the AAQ-</w:t>
      </w:r>
      <w:r w:rsidR="00707822">
        <w:t>II</w:t>
      </w:r>
      <w:r w:rsidRPr="00F57420">
        <w:t xml:space="preserve"> seemed to occur across the </w:t>
      </w:r>
      <w:r w:rsidR="003D378F" w:rsidRPr="00F57420">
        <w:t>participants</w:t>
      </w:r>
      <w:r w:rsidRPr="00F57420">
        <w:t xml:space="preserve"> as expected</w:t>
      </w:r>
      <w:r w:rsidR="0071543A">
        <w:t xml:space="preserve"> </w:t>
      </w:r>
      <w:r w:rsidR="0071543A">
        <w:rPr>
          <w:rFonts w:eastAsia="Calibri"/>
        </w:rPr>
        <w:t>(Figures 1 &amp; 2)</w:t>
      </w:r>
      <w:r w:rsidRPr="00F57420">
        <w:t>.  The mean score on the AAQ-</w:t>
      </w:r>
      <w:r w:rsidR="00707822">
        <w:t>II</w:t>
      </w:r>
      <w:r w:rsidRPr="00F57420">
        <w:t xml:space="preserve"> across all </w:t>
      </w:r>
      <w:r w:rsidR="003D378F" w:rsidRPr="00F57420">
        <w:t>participants</w:t>
      </w:r>
      <w:r w:rsidRPr="00F57420">
        <w:t xml:space="preserve"> was </w:t>
      </w:r>
      <w:r w:rsidR="00007C39" w:rsidRPr="00007C39">
        <w:rPr>
          <w:rFonts w:eastAsia="Calibri"/>
          <w:i/>
        </w:rPr>
        <w:t>M=</w:t>
      </w:r>
      <w:r w:rsidRPr="00F57420">
        <w:rPr>
          <w:rFonts w:eastAsia="Calibri"/>
        </w:rPr>
        <w:t>36.2 (</w:t>
      </w:r>
      <w:r w:rsidR="00716B6E" w:rsidRPr="00716B6E">
        <w:rPr>
          <w:rFonts w:eastAsia="Calibri"/>
          <w:i/>
        </w:rPr>
        <w:t>SD=</w:t>
      </w:r>
      <w:r w:rsidRPr="00F57420">
        <w:rPr>
          <w:rFonts w:eastAsia="Calibri"/>
        </w:rPr>
        <w:t xml:space="preserve">5.2) at pretreatment, declining by 40% to </w:t>
      </w:r>
      <w:r w:rsidR="00007C39" w:rsidRPr="00007C39">
        <w:rPr>
          <w:rFonts w:eastAsia="Calibri"/>
          <w:i/>
        </w:rPr>
        <w:t>M=</w:t>
      </w:r>
      <w:r w:rsidRPr="00F57420">
        <w:rPr>
          <w:rFonts w:eastAsia="Calibri"/>
        </w:rPr>
        <w:t>21.6 (</w:t>
      </w:r>
      <w:r w:rsidR="00716B6E" w:rsidRPr="00716B6E">
        <w:rPr>
          <w:rFonts w:eastAsia="Calibri"/>
          <w:i/>
        </w:rPr>
        <w:t>SD=</w:t>
      </w:r>
      <w:r w:rsidRPr="00F57420">
        <w:rPr>
          <w:rFonts w:eastAsia="Calibri"/>
        </w:rPr>
        <w:t xml:space="preserve">4.8) at posttreatment, declining further to </w:t>
      </w:r>
      <w:r w:rsidR="00007C39" w:rsidRPr="00007C39">
        <w:rPr>
          <w:rFonts w:eastAsia="Calibri"/>
          <w:i/>
        </w:rPr>
        <w:t>M=</w:t>
      </w:r>
      <w:r w:rsidRPr="00F57420">
        <w:rPr>
          <w:rFonts w:eastAsia="Calibri"/>
        </w:rPr>
        <w:t>20.6 (</w:t>
      </w:r>
      <w:r w:rsidR="00716B6E" w:rsidRPr="00716B6E">
        <w:rPr>
          <w:rFonts w:eastAsia="Calibri"/>
          <w:i/>
        </w:rPr>
        <w:t>SD=</w:t>
      </w:r>
      <w:r w:rsidRPr="00F57420">
        <w:rPr>
          <w:rFonts w:eastAsia="Calibri"/>
        </w:rPr>
        <w:t xml:space="preserve">8.4) at follow-up for a final pre- to follow-up decrease of 43%.  </w:t>
      </w:r>
      <w:r w:rsidR="00ED2D7B">
        <w:rPr>
          <w:rFonts w:eastAsia="Calibri"/>
        </w:rPr>
        <w:t xml:space="preserve">When graphed, declining </w:t>
      </w:r>
      <w:r w:rsidR="00B80EE4">
        <w:rPr>
          <w:rFonts w:eastAsia="Calibri"/>
        </w:rPr>
        <w:t>AAQ</w:t>
      </w:r>
      <w:r w:rsidR="00ED2D7B">
        <w:rPr>
          <w:rFonts w:eastAsia="Calibri"/>
        </w:rPr>
        <w:t>-</w:t>
      </w:r>
      <w:r w:rsidR="00707822">
        <w:rPr>
          <w:rFonts w:eastAsia="Calibri"/>
        </w:rPr>
        <w:t>II</w:t>
      </w:r>
      <w:r w:rsidR="00B80EE4">
        <w:rPr>
          <w:rFonts w:eastAsia="Calibri"/>
        </w:rPr>
        <w:t xml:space="preserve"> slopes appear </w:t>
      </w:r>
      <w:r w:rsidR="00ED2D7B">
        <w:rPr>
          <w:rFonts w:eastAsia="Calibri"/>
        </w:rPr>
        <w:t>to generally co-occur with declines in both compulsions and avoided valued activities.</w:t>
      </w:r>
    </w:p>
    <w:p w:rsidR="00BE4B46" w:rsidRPr="00F57420" w:rsidRDefault="00EB0636" w:rsidP="00BE1B06">
      <w:pPr>
        <w:spacing w:line="480" w:lineRule="auto"/>
        <w:rPr>
          <w:rFonts w:eastAsia="Calibri"/>
          <w:b/>
        </w:rPr>
      </w:pPr>
      <w:r w:rsidRPr="00F57420">
        <w:rPr>
          <w:rFonts w:eastAsia="Calibri"/>
          <w:b/>
        </w:rPr>
        <w:t>Treatment Acceptability</w:t>
      </w:r>
    </w:p>
    <w:p w:rsidR="00BE4B46" w:rsidRPr="00F57420" w:rsidRDefault="00ED0B4C" w:rsidP="00BE1B06">
      <w:pPr>
        <w:spacing w:line="480" w:lineRule="auto"/>
      </w:pPr>
      <w:r w:rsidRPr="00F57420">
        <w:rPr>
          <w:rFonts w:eastAsia="Calibri"/>
        </w:rPr>
        <w:tab/>
        <w:t xml:space="preserve">ACT was found to be highly acceptable by all participants, </w:t>
      </w:r>
      <w:r w:rsidR="00E54889" w:rsidRPr="00F57420">
        <w:rPr>
          <w:rFonts w:eastAsia="Calibri"/>
        </w:rPr>
        <w:t>with</w:t>
      </w:r>
      <w:r w:rsidRPr="00F57420">
        <w:rPr>
          <w:rFonts w:eastAsia="Calibri"/>
        </w:rPr>
        <w:t xml:space="preserve"> a mean score of 30 on the TEI at posttreatment, only five points below the maximum score of 35 (or 86%</w:t>
      </w:r>
      <w:r w:rsidR="00707822">
        <w:rPr>
          <w:rFonts w:eastAsia="Calibri"/>
        </w:rPr>
        <w:t xml:space="preserve"> of the maximum score</w:t>
      </w:r>
      <w:r w:rsidRPr="00F57420">
        <w:rPr>
          <w:rFonts w:eastAsia="Calibri"/>
        </w:rPr>
        <w:t>).</w:t>
      </w:r>
    </w:p>
    <w:p w:rsidR="00986A72" w:rsidRPr="00F57420" w:rsidRDefault="00986A72" w:rsidP="00986A72">
      <w:pPr>
        <w:spacing w:line="480" w:lineRule="auto"/>
        <w:jc w:val="center"/>
        <w:outlineLvl w:val="0"/>
        <w:rPr>
          <w:b/>
        </w:rPr>
      </w:pPr>
      <w:r w:rsidRPr="00F57420">
        <w:rPr>
          <w:b/>
        </w:rPr>
        <w:t>Discussion</w:t>
      </w:r>
    </w:p>
    <w:p w:rsidR="006B6794" w:rsidRPr="00F57420" w:rsidRDefault="00986A72" w:rsidP="00986A72">
      <w:pPr>
        <w:spacing w:line="480" w:lineRule="auto"/>
        <w:ind w:firstLine="720"/>
        <w:outlineLvl w:val="0"/>
      </w:pPr>
      <w:r w:rsidRPr="00F57420">
        <w:t>I</w:t>
      </w:r>
      <w:r w:rsidR="002471BF" w:rsidRPr="00F57420">
        <w:t xml:space="preserve">n this study, five participants diagnosed with </w:t>
      </w:r>
      <w:r w:rsidR="00292B91">
        <w:t xml:space="preserve">scrupulosity </w:t>
      </w:r>
      <w:r w:rsidR="002471BF" w:rsidRPr="00F57420">
        <w:t xml:space="preserve">based OCD received eight sessions of </w:t>
      </w:r>
      <w:r w:rsidR="00707822">
        <w:t>ACT</w:t>
      </w:r>
      <w:r w:rsidR="002471BF" w:rsidRPr="00F57420">
        <w:t xml:space="preserve"> in a multiple baseline across participants design.  </w:t>
      </w:r>
      <w:r w:rsidR="00A51538" w:rsidRPr="00F57420">
        <w:t>At posttreatment</w:t>
      </w:r>
      <w:r w:rsidR="00556233">
        <w:t>,</w:t>
      </w:r>
      <w:r w:rsidR="00A51538" w:rsidRPr="00F57420">
        <w:t xml:space="preserve"> participants reported a 7</w:t>
      </w:r>
      <w:r w:rsidR="00C162FC" w:rsidRPr="00F57420">
        <w:t>4</w:t>
      </w:r>
      <w:r w:rsidR="00A51538" w:rsidRPr="00F57420">
        <w:t xml:space="preserve">% reduction in </w:t>
      </w:r>
      <w:r w:rsidR="001752C8" w:rsidRPr="00F57420">
        <w:t xml:space="preserve">self-reported </w:t>
      </w:r>
      <w:r w:rsidR="00A51538" w:rsidRPr="00F57420">
        <w:t>compulsions and a</w:t>
      </w:r>
      <w:r w:rsidR="00C162FC" w:rsidRPr="00F57420">
        <w:t xml:space="preserve"> 79</w:t>
      </w:r>
      <w:r w:rsidR="00A51538" w:rsidRPr="00F57420">
        <w:t>% reduction in avoid</w:t>
      </w:r>
      <w:r w:rsidR="00136A0D" w:rsidRPr="00F57420">
        <w:t xml:space="preserve">ed valued </w:t>
      </w:r>
      <w:proofErr w:type="gramStart"/>
      <w:r w:rsidR="002A50EE" w:rsidRPr="00F57420">
        <w:t>behaviors</w:t>
      </w:r>
      <w:r w:rsidR="0076151E">
        <w:t>,</w:t>
      </w:r>
      <w:proofErr w:type="gramEnd"/>
      <w:r w:rsidR="008641BD" w:rsidRPr="00F57420">
        <w:t xml:space="preserve"> and a</w:t>
      </w:r>
      <w:r w:rsidR="00A51538" w:rsidRPr="00F57420">
        <w:t>t 3 month follow-up participants reported an 8</w:t>
      </w:r>
      <w:r w:rsidR="00C162FC" w:rsidRPr="00F57420">
        <w:t>0</w:t>
      </w:r>
      <w:r w:rsidR="00A51538" w:rsidRPr="00F57420">
        <w:t xml:space="preserve">% reduction in compulsions and </w:t>
      </w:r>
      <w:r w:rsidR="00A51538" w:rsidRPr="00F57420">
        <w:lastRenderedPageBreak/>
        <w:t>a</w:t>
      </w:r>
      <w:r w:rsidR="00C162FC" w:rsidRPr="00F57420">
        <w:t>n 87</w:t>
      </w:r>
      <w:r w:rsidR="00A51538" w:rsidRPr="00F57420">
        <w:t>% reduction in avoid</w:t>
      </w:r>
      <w:r w:rsidR="00136A0D" w:rsidRPr="00F57420">
        <w:t xml:space="preserve">ed valued </w:t>
      </w:r>
      <w:r w:rsidR="0037511B" w:rsidRPr="00F57420">
        <w:t>behavior</w:t>
      </w:r>
      <w:r w:rsidR="00A51538" w:rsidRPr="00F57420">
        <w:t xml:space="preserve">s.  </w:t>
      </w:r>
      <w:r w:rsidR="008641BD" w:rsidRPr="00F57420">
        <w:t>A</w:t>
      </w:r>
      <w:r w:rsidR="009C7032" w:rsidRPr="00F57420">
        <w:t>t posttreatment participants averaged notable decreases in Y-BOCS (51%), OCI-R (55%), PIOS (50%), and BDI-</w:t>
      </w:r>
      <w:r w:rsidR="004E2844">
        <w:t>II</w:t>
      </w:r>
      <w:r w:rsidR="004E2844" w:rsidRPr="00F57420">
        <w:t xml:space="preserve"> </w:t>
      </w:r>
      <w:r w:rsidR="009C7032" w:rsidRPr="00F57420">
        <w:t>(</w:t>
      </w:r>
      <w:r w:rsidR="00351C13">
        <w:t>73</w:t>
      </w:r>
      <w:r w:rsidR="009C7032" w:rsidRPr="00F57420">
        <w:t>%) scores, and an increase in QOLS (26%) scores.  These results were generally maintained at 3 month follow-up.</w:t>
      </w:r>
      <w:r w:rsidR="00725001" w:rsidRPr="00F57420">
        <w:t xml:space="preserve">  </w:t>
      </w:r>
      <w:r w:rsidR="00725001" w:rsidRPr="00F57420">
        <w:rPr>
          <w:rFonts w:eastAsia="Calibri"/>
        </w:rPr>
        <w:t xml:space="preserve">Finally, while scrupulous symptom severity declined considerably, religious faith (as measured by the </w:t>
      </w:r>
      <w:r w:rsidR="00725001" w:rsidRPr="00F57420">
        <w:t>SCSORF</w:t>
      </w:r>
      <w:r w:rsidR="00725001" w:rsidRPr="00F57420">
        <w:rPr>
          <w:rFonts w:eastAsia="Calibri"/>
        </w:rPr>
        <w:t xml:space="preserve">) declined only 4% from pretreatment to </w:t>
      </w:r>
      <w:r w:rsidR="00122834" w:rsidRPr="00F57420">
        <w:rPr>
          <w:rFonts w:eastAsia="Calibri"/>
        </w:rPr>
        <w:t>posttreatment</w:t>
      </w:r>
      <w:r w:rsidR="00725001" w:rsidRPr="00F57420">
        <w:rPr>
          <w:rFonts w:eastAsia="Calibri"/>
        </w:rPr>
        <w:t xml:space="preserve"> and 7% from pretreatment to follow-up</w:t>
      </w:r>
      <w:r w:rsidR="001752C8" w:rsidRPr="00F57420">
        <w:rPr>
          <w:rFonts w:eastAsia="Calibri"/>
        </w:rPr>
        <w:t>, indicating that the reduction in compulsive religious behavior was not associated with notable changes in faith</w:t>
      </w:r>
      <w:r w:rsidR="00725001" w:rsidRPr="00F57420">
        <w:rPr>
          <w:rFonts w:eastAsia="Calibri"/>
        </w:rPr>
        <w:t>.</w:t>
      </w:r>
      <w:r w:rsidR="001752C8" w:rsidRPr="00F57420">
        <w:rPr>
          <w:rFonts w:eastAsia="Calibri"/>
        </w:rPr>
        <w:t xml:space="preserve"> </w:t>
      </w:r>
      <w:r w:rsidR="00716B6E">
        <w:rPr>
          <w:rFonts w:eastAsia="Calibri"/>
        </w:rPr>
        <w:t xml:space="preserve"> </w:t>
      </w:r>
      <w:r w:rsidR="001752C8" w:rsidRPr="00F57420">
        <w:rPr>
          <w:rFonts w:eastAsia="Calibri"/>
        </w:rPr>
        <w:t xml:space="preserve">Arguably, the reductions seen on the SCSORF could be associated with reductions in </w:t>
      </w:r>
      <w:r w:rsidR="007D38E0">
        <w:rPr>
          <w:rFonts w:eastAsia="Calibri"/>
        </w:rPr>
        <w:t xml:space="preserve">compulsive </w:t>
      </w:r>
      <w:r w:rsidR="00707822">
        <w:rPr>
          <w:rFonts w:eastAsia="Calibri"/>
        </w:rPr>
        <w:t xml:space="preserve">religious or moral </w:t>
      </w:r>
      <w:r w:rsidR="007D38E0">
        <w:rPr>
          <w:rFonts w:eastAsia="Calibri"/>
        </w:rPr>
        <w:t>b</w:t>
      </w:r>
      <w:r w:rsidR="001752C8" w:rsidRPr="00F57420">
        <w:rPr>
          <w:rFonts w:eastAsia="Calibri"/>
        </w:rPr>
        <w:t>ehavior.</w:t>
      </w:r>
    </w:p>
    <w:p w:rsidR="007906ED" w:rsidRPr="00F57420" w:rsidRDefault="009C7032" w:rsidP="00BE1B06">
      <w:pPr>
        <w:spacing w:line="480" w:lineRule="auto"/>
        <w:outlineLvl w:val="0"/>
      </w:pPr>
      <w:r w:rsidRPr="00F57420">
        <w:tab/>
        <w:t xml:space="preserve">The primary process </w:t>
      </w:r>
      <w:r w:rsidR="004236FC">
        <w:t xml:space="preserve">of change </w:t>
      </w:r>
      <w:r w:rsidRPr="00F57420">
        <w:t>measure for this study was the AAQ-</w:t>
      </w:r>
      <w:r w:rsidR="00556233">
        <w:t>II</w:t>
      </w:r>
      <w:r w:rsidR="00A85A82" w:rsidRPr="00F57420">
        <w:t xml:space="preserve"> (self-report)</w:t>
      </w:r>
      <w:r w:rsidRPr="00F57420">
        <w:t xml:space="preserve">, which measures the </w:t>
      </w:r>
      <w:r w:rsidR="00B56730" w:rsidRPr="00F57420">
        <w:t xml:space="preserve">main psychological </w:t>
      </w:r>
      <w:r w:rsidRPr="00F57420">
        <w:t xml:space="preserve">processes </w:t>
      </w:r>
      <w:r w:rsidR="00B56730" w:rsidRPr="00F57420">
        <w:t>t</w:t>
      </w:r>
      <w:r w:rsidR="00D474C4" w:rsidRPr="00F57420">
        <w:t>a</w:t>
      </w:r>
      <w:r w:rsidR="00B56730" w:rsidRPr="00F57420">
        <w:t xml:space="preserve">rgeted </w:t>
      </w:r>
      <w:r w:rsidRPr="00F57420">
        <w:t xml:space="preserve">in ACT such as acceptance, </w:t>
      </w:r>
      <w:proofErr w:type="spellStart"/>
      <w:r w:rsidRPr="00F57420">
        <w:t>defusion</w:t>
      </w:r>
      <w:proofErr w:type="spellEnd"/>
      <w:r w:rsidRPr="00F57420">
        <w:t xml:space="preserve">, values, etc.  </w:t>
      </w:r>
      <w:proofErr w:type="gramStart"/>
      <w:r w:rsidR="00B56730" w:rsidRPr="00F57420">
        <w:t>From pretreatment to posttreatment AAQ-</w:t>
      </w:r>
      <w:r w:rsidR="00556233">
        <w:t>II</w:t>
      </w:r>
      <w:r w:rsidR="00B56730" w:rsidRPr="00F57420">
        <w:t xml:space="preserve"> scores </w:t>
      </w:r>
      <w:r w:rsidR="00B7234A" w:rsidRPr="00F57420">
        <w:t>decreased</w:t>
      </w:r>
      <w:r w:rsidR="00B56730" w:rsidRPr="00F57420">
        <w:t xml:space="preserve"> by 40%, which was maintained at follow-up (43%).</w:t>
      </w:r>
      <w:proofErr w:type="gramEnd"/>
      <w:r w:rsidR="00B56730" w:rsidRPr="00F57420">
        <w:t xml:space="preserve">  </w:t>
      </w:r>
      <w:r w:rsidR="00A85A82" w:rsidRPr="00F57420">
        <w:t>B</w:t>
      </w:r>
      <w:r w:rsidR="00B56730" w:rsidRPr="00F57420">
        <w:t>ased on a visual assessment of outcome and process data</w:t>
      </w:r>
      <w:r w:rsidR="00A85A82" w:rsidRPr="00F57420">
        <w:t xml:space="preserve"> graphed together</w:t>
      </w:r>
      <w:r w:rsidR="00B56730" w:rsidRPr="00F57420">
        <w:t xml:space="preserve">, it appears as though </w:t>
      </w:r>
      <w:r w:rsidR="00A85A82" w:rsidRPr="00F57420">
        <w:t xml:space="preserve">process change correlated consistently </w:t>
      </w:r>
      <w:r w:rsidR="00024C6E" w:rsidRPr="00F57420">
        <w:t xml:space="preserve">with </w:t>
      </w:r>
      <w:r w:rsidR="00A85A82" w:rsidRPr="00F57420">
        <w:t xml:space="preserve">compulsion and </w:t>
      </w:r>
      <w:r w:rsidR="00136A0D" w:rsidRPr="00F57420">
        <w:t>avoided activities</w:t>
      </w:r>
      <w:r w:rsidR="00024C6E" w:rsidRPr="00F57420">
        <w:t xml:space="preserve"> </w:t>
      </w:r>
      <w:r w:rsidR="0037511B" w:rsidRPr="00F57420">
        <w:t xml:space="preserve">behavior </w:t>
      </w:r>
      <w:r w:rsidR="002C2FDB" w:rsidRPr="00F57420">
        <w:t xml:space="preserve">change </w:t>
      </w:r>
      <w:r w:rsidR="00A85A82" w:rsidRPr="00F57420">
        <w:t xml:space="preserve">across </w:t>
      </w:r>
      <w:r w:rsidR="00B7234A" w:rsidRPr="00F57420">
        <w:t xml:space="preserve">four out of </w:t>
      </w:r>
      <w:r w:rsidR="00A85A82" w:rsidRPr="00F57420">
        <w:t>five participants</w:t>
      </w:r>
      <w:r w:rsidR="00B7234A" w:rsidRPr="00F57420">
        <w:t xml:space="preserve"> (Participant 5 being a possible exception)</w:t>
      </w:r>
      <w:r w:rsidR="00A85A82" w:rsidRPr="00F57420">
        <w:t xml:space="preserve">.  </w:t>
      </w:r>
      <w:r w:rsidR="00795E3B">
        <w:t xml:space="preserve">It is theorized that Participant 5’s lack of process change correlation might be due to a set of uncharacteristically disruptive life events that occurred towards the end of her course of treatment. </w:t>
      </w:r>
      <w:r w:rsidR="008641BD" w:rsidRPr="00F57420">
        <w:t>In terms of treatment acceptability, ACT was found to be highly acceptable by all five participants, averaging a mean score of 30 on the TEI at posttreatment</w:t>
      </w:r>
      <w:r w:rsidR="00A269F8" w:rsidRPr="00F57420">
        <w:t>, which is only five points below the maximum score of 35 (or 86%)</w:t>
      </w:r>
      <w:r w:rsidR="008641BD" w:rsidRPr="00F57420">
        <w:t>.</w:t>
      </w:r>
    </w:p>
    <w:p w:rsidR="004E074A" w:rsidRPr="00F57420" w:rsidRDefault="005445FB" w:rsidP="001659BF">
      <w:pPr>
        <w:spacing w:line="480" w:lineRule="auto"/>
        <w:outlineLvl w:val="0"/>
      </w:pPr>
      <w:r w:rsidRPr="00F57420">
        <w:tab/>
      </w:r>
      <w:r w:rsidR="0061644E" w:rsidRPr="00F57420">
        <w:t>T</w:t>
      </w:r>
      <w:r w:rsidRPr="00F57420">
        <w:t xml:space="preserve">he </w:t>
      </w:r>
      <w:r w:rsidR="0008081D" w:rsidRPr="00F57420">
        <w:t>bulk</w:t>
      </w:r>
      <w:r w:rsidRPr="00F57420">
        <w:t xml:space="preserve"> of </w:t>
      </w:r>
      <w:r w:rsidR="002C2FDB" w:rsidRPr="00F57420">
        <w:t xml:space="preserve">current </w:t>
      </w:r>
      <w:r w:rsidRPr="00F57420">
        <w:t xml:space="preserve">OCD research </w:t>
      </w:r>
      <w:r w:rsidR="002C2FDB" w:rsidRPr="00F57420">
        <w:t xml:space="preserve">continues to </w:t>
      </w:r>
      <w:r w:rsidRPr="00F57420">
        <w:t xml:space="preserve">center on either pharmaceutical interventions or ERP.  </w:t>
      </w:r>
      <w:r w:rsidR="0061644E" w:rsidRPr="00F57420">
        <w:t xml:space="preserve">While the past few years have produced a slight uptick in research </w:t>
      </w:r>
      <w:r w:rsidR="0008081D" w:rsidRPr="00F57420">
        <w:t xml:space="preserve">around </w:t>
      </w:r>
      <w:r w:rsidR="0061644E" w:rsidRPr="00F57420">
        <w:t>ACT</w:t>
      </w:r>
      <w:r w:rsidR="0008081D" w:rsidRPr="00F57420">
        <w:t xml:space="preserve"> for OCD</w:t>
      </w:r>
      <w:r w:rsidR="0061644E" w:rsidRPr="00F57420">
        <w:t xml:space="preserve">, a considerable amount of work remains for ACT </w:t>
      </w:r>
      <w:r w:rsidR="002F619A" w:rsidRPr="00F57420">
        <w:t>and its role in the treatment of</w:t>
      </w:r>
      <w:r w:rsidR="00316838" w:rsidRPr="00F57420">
        <w:t xml:space="preserve"> OCD (</w:t>
      </w:r>
      <w:proofErr w:type="spellStart"/>
      <w:r w:rsidR="002F619A" w:rsidRPr="00F57420">
        <w:t>Tolin</w:t>
      </w:r>
      <w:proofErr w:type="spellEnd"/>
      <w:r w:rsidR="002F619A" w:rsidRPr="00F57420">
        <w:t>, 2009</w:t>
      </w:r>
      <w:r w:rsidR="00316838" w:rsidRPr="00F57420">
        <w:t xml:space="preserve">).  This study lends further </w:t>
      </w:r>
      <w:r w:rsidR="0008081D" w:rsidRPr="00F57420">
        <w:t xml:space="preserve">credence </w:t>
      </w:r>
      <w:r w:rsidR="00316838" w:rsidRPr="00F57420">
        <w:t xml:space="preserve">to </w:t>
      </w:r>
      <w:r w:rsidR="004E2844">
        <w:t xml:space="preserve">the </w:t>
      </w:r>
      <w:r w:rsidR="00707822">
        <w:t xml:space="preserve">utility of ACT as a treatment option </w:t>
      </w:r>
      <w:r w:rsidR="00707822">
        <w:lastRenderedPageBreak/>
        <w:t>for OCD</w:t>
      </w:r>
      <w:r w:rsidR="00A53CF6">
        <w:t xml:space="preserve">.  </w:t>
      </w:r>
      <w:r w:rsidR="0092708E" w:rsidRPr="00F57420">
        <w:t xml:space="preserve">With regard to scrupulosity </w:t>
      </w:r>
      <w:r w:rsidR="00292B91">
        <w:t xml:space="preserve">based OCD </w:t>
      </w:r>
      <w:r w:rsidR="0092708E" w:rsidRPr="00F57420">
        <w:t>specifically, this study represents the only known psychological treatment outcome study to be conducted exclusively for religious or moral-based OCD</w:t>
      </w:r>
      <w:r w:rsidR="0008081D" w:rsidRPr="00F57420">
        <w:t xml:space="preserve">.  Given the favorable results of the study, </w:t>
      </w:r>
      <w:r w:rsidR="0092708E" w:rsidRPr="00F57420">
        <w:t xml:space="preserve">additional </w:t>
      </w:r>
      <w:r w:rsidR="0008081D" w:rsidRPr="00F57420">
        <w:t>ACT for scrupulosity</w:t>
      </w:r>
      <w:r w:rsidR="006E12B4">
        <w:t xml:space="preserve"> </w:t>
      </w:r>
      <w:r w:rsidR="004E2844">
        <w:t>based OCD</w:t>
      </w:r>
      <w:r w:rsidR="0008081D" w:rsidRPr="00F57420">
        <w:t xml:space="preserve"> research is </w:t>
      </w:r>
      <w:r w:rsidR="0092708E" w:rsidRPr="00F57420">
        <w:t xml:space="preserve">warranted.  </w:t>
      </w:r>
      <w:r w:rsidR="00292B91">
        <w:t>On the one hand, ACT for OCD work can continue as a stand-alone treatment.  On the other hand, exposure exercises can fit nicely in</w:t>
      </w:r>
      <w:r w:rsidR="004E2844">
        <w:t>to</w:t>
      </w:r>
      <w:r w:rsidR="00292B91">
        <w:t xml:space="preserve"> the ACT model and can provide great opportunities to practice ACT techniques in session.  Research will show the utility of ACT alone</w:t>
      </w:r>
      <w:r w:rsidR="000745DC">
        <w:t>,</w:t>
      </w:r>
      <w:r w:rsidR="00292B91">
        <w:t xml:space="preserve"> or </w:t>
      </w:r>
      <w:r w:rsidR="00977724">
        <w:t xml:space="preserve">ACT and exposure exercises </w:t>
      </w:r>
      <w:r w:rsidR="000745DC">
        <w:t xml:space="preserve">together, </w:t>
      </w:r>
      <w:r w:rsidR="00977724">
        <w:t xml:space="preserve">for the treatment of OCD generally </w:t>
      </w:r>
      <w:r w:rsidR="004E2844">
        <w:t xml:space="preserve">and </w:t>
      </w:r>
      <w:r w:rsidR="00977724">
        <w:t>scrupulosity based OCD</w:t>
      </w:r>
      <w:r w:rsidR="004E2844">
        <w:t xml:space="preserve"> specifically</w:t>
      </w:r>
      <w:r w:rsidR="00977724">
        <w:t xml:space="preserve">. </w:t>
      </w:r>
    </w:p>
    <w:p w:rsidR="0061644E" w:rsidRPr="00F57420" w:rsidRDefault="007D69FA" w:rsidP="000E16AF">
      <w:pPr>
        <w:spacing w:line="480" w:lineRule="auto"/>
        <w:ind w:firstLine="720"/>
        <w:outlineLvl w:val="0"/>
      </w:pPr>
      <w:r w:rsidRPr="00F57420">
        <w:t xml:space="preserve">The results of this study show </w:t>
      </w:r>
      <w:r w:rsidR="000E16AF" w:rsidRPr="00F57420">
        <w:t xml:space="preserve">promise </w:t>
      </w:r>
      <w:r w:rsidRPr="00F57420">
        <w:t>that the use of ACT in the treatment of scrupulosity</w:t>
      </w:r>
      <w:r w:rsidR="006E12B4">
        <w:t xml:space="preserve"> </w:t>
      </w:r>
      <w:r w:rsidR="004E2844">
        <w:t>based OCD</w:t>
      </w:r>
      <w:r w:rsidRPr="00F57420">
        <w:t xml:space="preserve"> </w:t>
      </w:r>
      <w:r w:rsidR="00C65A5D" w:rsidRPr="00F57420">
        <w:t>might</w:t>
      </w:r>
      <w:r w:rsidR="00434374" w:rsidRPr="00F57420">
        <w:t xml:space="preserve"> be of particu</w:t>
      </w:r>
      <w:r w:rsidR="00447315" w:rsidRPr="00F57420">
        <w:t>l</w:t>
      </w:r>
      <w:r w:rsidR="00434374" w:rsidRPr="00F57420">
        <w:t>a</w:t>
      </w:r>
      <w:r w:rsidR="00447315" w:rsidRPr="00F57420">
        <w:t>r utility because</w:t>
      </w:r>
      <w:r w:rsidRPr="00F57420">
        <w:t xml:space="preserve">: 1) </w:t>
      </w:r>
      <w:r w:rsidR="000E16AF" w:rsidRPr="00F57420">
        <w:t xml:space="preserve">ACT appears to be </w:t>
      </w:r>
      <w:r w:rsidRPr="00F57420">
        <w:t>rated as highly acceptable to scrupulosity clients</w:t>
      </w:r>
      <w:r w:rsidR="00C65A5D" w:rsidRPr="00F57420">
        <w:t>, potentially leading to low refusal, drop-out and non-response rates</w:t>
      </w:r>
      <w:r w:rsidR="000E16AF" w:rsidRPr="00F57420">
        <w:t xml:space="preserve"> </w:t>
      </w:r>
      <w:r w:rsidR="00071324" w:rsidRPr="00F57420">
        <w:t>(Twohig et al., 2010</w:t>
      </w:r>
      <w:r w:rsidR="00A53CF6">
        <w:t>)</w:t>
      </w:r>
      <w:r w:rsidRPr="00F57420">
        <w:t xml:space="preserve">, 2) </w:t>
      </w:r>
      <w:r w:rsidR="000E16AF" w:rsidRPr="00F57420">
        <w:t xml:space="preserve">ACT </w:t>
      </w:r>
      <w:r w:rsidR="00977724">
        <w:t>is metacognitive and does not need to address religious content</w:t>
      </w:r>
      <w:r w:rsidRPr="00F57420">
        <w:t xml:space="preserve">, thus potentially avoiding </w:t>
      </w:r>
      <w:r w:rsidR="000E16AF" w:rsidRPr="00F57420">
        <w:t xml:space="preserve">therapist </w:t>
      </w:r>
      <w:r w:rsidRPr="00F57420">
        <w:t xml:space="preserve">need to </w:t>
      </w:r>
      <w:r w:rsidR="000E16AF" w:rsidRPr="00F57420">
        <w:t xml:space="preserve">navigate </w:t>
      </w:r>
      <w:r w:rsidRPr="00F57420">
        <w:t xml:space="preserve">specific religious </w:t>
      </w:r>
      <w:r w:rsidR="00C65A5D" w:rsidRPr="00F57420">
        <w:t>doctrines or to interact with the client’s ecclesiastical leaders</w:t>
      </w:r>
      <w:r w:rsidR="000E16AF" w:rsidRPr="00F57420">
        <w:t xml:space="preserve"> to ensure ethical or effective treatment</w:t>
      </w:r>
      <w:r w:rsidR="00C65A5D" w:rsidRPr="00F57420">
        <w:t xml:space="preserve">, </w:t>
      </w:r>
      <w:r w:rsidR="000E16AF" w:rsidRPr="00F57420">
        <w:t xml:space="preserve">and </w:t>
      </w:r>
      <w:r w:rsidR="00C65A5D" w:rsidRPr="00F57420">
        <w:t>3</w:t>
      </w:r>
      <w:r w:rsidRPr="00F57420">
        <w:t xml:space="preserve">) </w:t>
      </w:r>
      <w:r w:rsidR="000E16AF" w:rsidRPr="00F57420">
        <w:t xml:space="preserve">ACT </w:t>
      </w:r>
      <w:r w:rsidR="000745DC">
        <w:t>appears to</w:t>
      </w:r>
      <w:r w:rsidR="000745DC" w:rsidRPr="00F57420">
        <w:t xml:space="preserve"> </w:t>
      </w:r>
      <w:r w:rsidR="00C65A5D" w:rsidRPr="00F57420">
        <w:t xml:space="preserve">achieve favorable results </w:t>
      </w:r>
      <w:r w:rsidR="000E16AF" w:rsidRPr="00F57420">
        <w:t xml:space="preserve">with scrupulosity </w:t>
      </w:r>
      <w:r w:rsidR="00C65A5D" w:rsidRPr="00F57420">
        <w:t xml:space="preserve">in </w:t>
      </w:r>
      <w:r w:rsidR="00447315" w:rsidRPr="00F57420">
        <w:t xml:space="preserve">a very short period of time </w:t>
      </w:r>
      <w:r w:rsidR="00C65A5D" w:rsidRPr="00F57420">
        <w:t xml:space="preserve">(12 </w:t>
      </w:r>
      <w:r w:rsidR="000E16AF" w:rsidRPr="00F57420">
        <w:t xml:space="preserve">therapy </w:t>
      </w:r>
      <w:r w:rsidR="00C65A5D" w:rsidRPr="00F57420">
        <w:t xml:space="preserve">hours </w:t>
      </w:r>
      <w:r w:rsidR="000E16AF" w:rsidRPr="00F57420">
        <w:t xml:space="preserve">per client </w:t>
      </w:r>
      <w:r w:rsidR="00C65A5D" w:rsidRPr="00F57420">
        <w:t>in this study).</w:t>
      </w:r>
    </w:p>
    <w:p w:rsidR="000745DC" w:rsidRDefault="00D626B9" w:rsidP="00951833">
      <w:pPr>
        <w:spacing w:line="480" w:lineRule="auto"/>
        <w:outlineLvl w:val="0"/>
      </w:pPr>
      <w:r w:rsidRPr="00F57420">
        <w:tab/>
        <w:t xml:space="preserve">There are several limitations to this study.  As a preliminary study, </w:t>
      </w:r>
      <w:r w:rsidR="00071324" w:rsidRPr="00F57420">
        <w:t xml:space="preserve">it utilized a </w:t>
      </w:r>
      <w:r w:rsidRPr="00F57420">
        <w:t>small number of participants (five)</w:t>
      </w:r>
      <w:r w:rsidR="00977724">
        <w:t>. Additionally, t</w:t>
      </w:r>
      <w:r w:rsidRPr="00F57420">
        <w:t xml:space="preserve">he SCID and Y-BOCS assessments were conducted by the </w:t>
      </w:r>
      <w:r w:rsidR="00977724">
        <w:t xml:space="preserve">same individual who served as the primary </w:t>
      </w:r>
      <w:r w:rsidRPr="00F57420">
        <w:t>therapist (under supervision)</w:t>
      </w:r>
      <w:proofErr w:type="gramStart"/>
      <w:r w:rsidRPr="00F57420">
        <w:t>,</w:t>
      </w:r>
      <w:proofErr w:type="gramEnd"/>
      <w:r w:rsidRPr="00F57420">
        <w:t xml:space="preserve"> </w:t>
      </w:r>
      <w:r w:rsidR="00977724">
        <w:t xml:space="preserve">although </w:t>
      </w:r>
      <w:r w:rsidR="006B03F7" w:rsidRPr="00F57420">
        <w:t>other measures relied on self-report</w:t>
      </w:r>
      <w:r w:rsidR="006B03F7">
        <w:t>.  Though suboptimal, t</w:t>
      </w:r>
      <w:r w:rsidR="006B03F7" w:rsidRPr="00F57420">
        <w:t xml:space="preserve">his combination of </w:t>
      </w:r>
      <w:r w:rsidR="004E2844">
        <w:t xml:space="preserve">a </w:t>
      </w:r>
      <w:r w:rsidR="00C13071">
        <w:t xml:space="preserve">small-N, </w:t>
      </w:r>
      <w:r w:rsidR="006B03F7" w:rsidRPr="00F57420">
        <w:t>assessor-administered</w:t>
      </w:r>
      <w:r w:rsidR="00C13071">
        <w:t>,</w:t>
      </w:r>
      <w:r w:rsidR="006B03F7" w:rsidRPr="00F57420">
        <w:t xml:space="preserve"> and self-report</w:t>
      </w:r>
      <w:r w:rsidR="00DB601C">
        <w:t xml:space="preserve"> design</w:t>
      </w:r>
      <w:r w:rsidR="006B03F7" w:rsidRPr="00F57420">
        <w:t xml:space="preserve"> is a broad</w:t>
      </w:r>
      <w:r w:rsidR="006B03F7">
        <w:t>, standardly employed,</w:t>
      </w:r>
      <w:r w:rsidR="006B03F7" w:rsidRPr="00F57420">
        <w:t xml:space="preserve"> and useful combination of outcome assessment procedures</w:t>
      </w:r>
      <w:r w:rsidR="006B03F7">
        <w:t xml:space="preserve"> (</w:t>
      </w:r>
      <w:r w:rsidR="00C53C88">
        <w:t xml:space="preserve">Twohig &amp; Crosby, 2010; </w:t>
      </w:r>
      <w:r w:rsidR="006B03F7">
        <w:t>Twohig</w:t>
      </w:r>
      <w:r w:rsidR="00977724">
        <w:t xml:space="preserve"> et al., 2006</w:t>
      </w:r>
      <w:r w:rsidR="00C53C88">
        <w:t>)</w:t>
      </w:r>
      <w:r w:rsidR="006B03F7" w:rsidRPr="00F57420">
        <w:t xml:space="preserve">.  </w:t>
      </w:r>
      <w:r w:rsidR="001D124F">
        <w:t>S</w:t>
      </w:r>
      <w:r w:rsidR="00C13071">
        <w:t xml:space="preserve">elf-monitoring is </w:t>
      </w:r>
      <w:r w:rsidR="001D124F">
        <w:t xml:space="preserve">relied upon for both of the </w:t>
      </w:r>
      <w:r w:rsidR="009E2CB3">
        <w:t>primary</w:t>
      </w:r>
      <w:r w:rsidR="001D124F">
        <w:t xml:space="preserve"> dependent variables in this study, and while considered to </w:t>
      </w:r>
      <w:r w:rsidR="001D124F">
        <w:lastRenderedPageBreak/>
        <w:t>be a valuable tool for treatment monitoring</w:t>
      </w:r>
      <w:r w:rsidR="009E2CB3">
        <w:t xml:space="preserve">, self-monitoring can </w:t>
      </w:r>
      <w:r w:rsidR="00DB601C">
        <w:t>also have modest reactive effects, often in the therapeutically desired direction (</w:t>
      </w:r>
      <w:proofErr w:type="spellStart"/>
      <w:r w:rsidR="00DB601C">
        <w:t>Korotitsch</w:t>
      </w:r>
      <w:proofErr w:type="spellEnd"/>
      <w:r w:rsidR="00DB601C">
        <w:t xml:space="preserve"> &amp; Nelson-Gray, 1999).  While such reactive effects are certainly plausible, it should be noted that </w:t>
      </w:r>
      <w:r w:rsidR="006B03F7">
        <w:t>the findings for the main dependent variables were supported by multiple additional standardized measures</w:t>
      </w:r>
      <w:r w:rsidR="00DB601C">
        <w:t xml:space="preserve"> (OCI-R, PIOS) </w:t>
      </w:r>
      <w:r w:rsidR="006B03F7">
        <w:t>as well as by a therapist-administered measure (Y-BOCS)</w:t>
      </w:r>
      <w:r w:rsidR="006B03F7" w:rsidRPr="00F57420">
        <w:t xml:space="preserve">. </w:t>
      </w:r>
      <w:r w:rsidR="006B03F7">
        <w:t xml:space="preserve"> </w:t>
      </w:r>
    </w:p>
    <w:p w:rsidR="00DA2AB2" w:rsidRPr="00F57420" w:rsidRDefault="00AD73ED" w:rsidP="00556233">
      <w:pPr>
        <w:spacing w:line="480" w:lineRule="auto"/>
        <w:ind w:firstLine="360"/>
        <w:outlineLvl w:val="0"/>
      </w:pPr>
      <w:r w:rsidRPr="00F57420">
        <w:t>B</w:t>
      </w:r>
      <w:r w:rsidR="00951833" w:rsidRPr="00F57420">
        <w:t xml:space="preserve">ecause most of the compulsions reported in this study were covert or </w:t>
      </w:r>
      <w:r w:rsidR="00556233">
        <w:t>private</w:t>
      </w:r>
      <w:r w:rsidR="00951833" w:rsidRPr="00F57420">
        <w:t xml:space="preserve">, all of the participants reported difficulty quantifying their daily compulsions.  This led to considerable anxiety </w:t>
      </w:r>
      <w:r w:rsidRPr="00F57420">
        <w:t xml:space="preserve">(and potentially increased levels of compulsions) for many of the participants, and was particularly burdensome for scrupulous clients, given their frequent drives for moral integrity/honesty.  To illustrate, </w:t>
      </w:r>
      <w:r w:rsidR="007D38E0">
        <w:t>one</w:t>
      </w:r>
      <w:r w:rsidRPr="00F57420">
        <w:t xml:space="preserve"> participant withdrew from the study prior to treatment, citing the excessive burden of counting compulsions as the main concern.  Interestingly, another participant withdrew from the study prior to treatment noting that the act of tracking compulsions made him more aware of his behavior, leading to a decrease in his perceived symptom severity.</w:t>
      </w:r>
    </w:p>
    <w:p w:rsidR="00C47759" w:rsidRDefault="007B3B6D" w:rsidP="000745DC">
      <w:pPr>
        <w:spacing w:line="480" w:lineRule="auto"/>
        <w:ind w:firstLine="360"/>
        <w:outlineLvl w:val="0"/>
        <w:rPr>
          <w:rFonts w:eastAsia="Calibri"/>
        </w:rPr>
      </w:pPr>
      <w:r w:rsidRPr="00F57420">
        <w:t xml:space="preserve">Regarding </w:t>
      </w:r>
      <w:r w:rsidR="00951833" w:rsidRPr="00F57420">
        <w:t xml:space="preserve">treatment, only </w:t>
      </w:r>
      <w:r w:rsidR="00AD73ED" w:rsidRPr="00F57420">
        <w:t>eight</w:t>
      </w:r>
      <w:r w:rsidR="00DA2AB2" w:rsidRPr="00F57420">
        <w:t xml:space="preserve"> sessions </w:t>
      </w:r>
      <w:r w:rsidR="00951833" w:rsidRPr="00F57420">
        <w:t xml:space="preserve">were administered per </w:t>
      </w:r>
      <w:r w:rsidR="00F95955" w:rsidRPr="00F57420">
        <w:t>participant</w:t>
      </w:r>
      <w:r w:rsidR="00951833" w:rsidRPr="00F57420">
        <w:t xml:space="preserve">.  It is </w:t>
      </w:r>
      <w:r w:rsidR="008A6880" w:rsidRPr="00F57420">
        <w:t>possible that</w:t>
      </w:r>
      <w:r w:rsidR="00951833" w:rsidRPr="00F57420">
        <w:t xml:space="preserve"> the </w:t>
      </w:r>
      <w:r w:rsidR="00F95955" w:rsidRPr="00F57420">
        <w:t>participants</w:t>
      </w:r>
      <w:r w:rsidR="00951833" w:rsidRPr="00F57420">
        <w:t xml:space="preserve"> would have achieved </w:t>
      </w:r>
      <w:r w:rsidR="00DA2AB2" w:rsidRPr="00F57420">
        <w:t>additional gains</w:t>
      </w:r>
      <w:r w:rsidR="00951833" w:rsidRPr="00F57420">
        <w:t xml:space="preserve"> if </w:t>
      </w:r>
      <w:r w:rsidR="008B340B" w:rsidRPr="00F57420">
        <w:t>more</w:t>
      </w:r>
      <w:r w:rsidR="00951833" w:rsidRPr="00F57420">
        <w:t xml:space="preserve"> sessions were offered.  </w:t>
      </w:r>
      <w:r w:rsidR="008B340B" w:rsidRPr="00F57420">
        <w:t>Also, a</w:t>
      </w:r>
      <w:r w:rsidR="00951833" w:rsidRPr="00F57420">
        <w:t xml:space="preserve">s noted through the treatment integrity scoring, while </w:t>
      </w:r>
      <w:r w:rsidR="00AD73ED" w:rsidRPr="00F57420">
        <w:t xml:space="preserve">the therapists </w:t>
      </w:r>
      <w:r w:rsidR="002A50EE">
        <w:t xml:space="preserve">were </w:t>
      </w:r>
      <w:r w:rsidR="00AD73ED" w:rsidRPr="00F57420">
        <w:t xml:space="preserve">rated </w:t>
      </w:r>
      <w:r w:rsidR="000745DC">
        <w:t xml:space="preserve">a </w:t>
      </w:r>
      <w:r w:rsidR="00AD73ED" w:rsidRPr="00F57420">
        <w:t xml:space="preserve">4 out of 5 on ACT compliance, </w:t>
      </w:r>
      <w:r w:rsidRPr="00F57420">
        <w:t xml:space="preserve">the therapists occasionally engaged in </w:t>
      </w:r>
      <w:r w:rsidR="00755676" w:rsidRPr="00F57420">
        <w:t>discussion</w:t>
      </w:r>
      <w:r w:rsidR="002A50EE">
        <w:t>s</w:t>
      </w:r>
      <w:r w:rsidR="00755676" w:rsidRPr="00F57420">
        <w:t xml:space="preserve"> regarding cognitive (e.g. religious) content</w:t>
      </w:r>
      <w:r w:rsidRPr="00F57420">
        <w:t xml:space="preserve">, which </w:t>
      </w:r>
      <w:r w:rsidR="00556233">
        <w:t>is of questionable compliance with the ACT model</w:t>
      </w:r>
      <w:r w:rsidRPr="00F57420">
        <w:t xml:space="preserve">.  </w:t>
      </w:r>
      <w:r w:rsidR="00951833" w:rsidRPr="00F57420">
        <w:t xml:space="preserve">All five of the participants were Caucasian members of the </w:t>
      </w:r>
      <w:r w:rsidR="00A53CF6">
        <w:t>Church of Jesus Christ of Latter-</w:t>
      </w:r>
      <w:r w:rsidR="00B667D7">
        <w:t>d</w:t>
      </w:r>
      <w:r w:rsidR="00A53CF6">
        <w:t>ay Saints</w:t>
      </w:r>
      <w:r w:rsidR="00D544C3">
        <w:t xml:space="preserve"> with relatively high education levels</w:t>
      </w:r>
      <w:r w:rsidR="00951833" w:rsidRPr="00F57420">
        <w:t xml:space="preserve">, </w:t>
      </w:r>
      <w:r w:rsidR="00D544C3">
        <w:t xml:space="preserve">all of </w:t>
      </w:r>
      <w:r w:rsidR="00951833" w:rsidRPr="00F57420">
        <w:t>which could feasibly impact generalizability.</w:t>
      </w:r>
      <w:r w:rsidRPr="00F57420">
        <w:t xml:space="preserve">  Finally, a more </w:t>
      </w:r>
      <w:r w:rsidR="00DA2AB2" w:rsidRPr="00F57420">
        <w:t>extended follow-up</w:t>
      </w:r>
      <w:r w:rsidRPr="00F57420">
        <w:t xml:space="preserve"> (six or twelve month</w:t>
      </w:r>
      <w:r w:rsidR="00556233">
        <w:t>s</w:t>
      </w:r>
      <w:r w:rsidRPr="00F57420">
        <w:t xml:space="preserve">) would likely provide </w:t>
      </w:r>
      <w:r w:rsidR="00556233">
        <w:t>more useful</w:t>
      </w:r>
      <w:r w:rsidRPr="00F57420">
        <w:t xml:space="preserve"> outcome data than three-months.</w:t>
      </w:r>
      <w:r w:rsidR="00AC793E">
        <w:t xml:space="preserve">  In conclusion, it appears as though ACT shows considerable promise as a treatment for scrupulosity</w:t>
      </w:r>
      <w:r w:rsidR="00977724">
        <w:t xml:space="preserve"> based OCD</w:t>
      </w:r>
      <w:r w:rsidR="00AC793E">
        <w:t>, and that further research is warranted.</w:t>
      </w:r>
    </w:p>
    <w:p w:rsidR="00F600E9" w:rsidRPr="00F600E9" w:rsidRDefault="00BF7955" w:rsidP="00E85486">
      <w:pPr>
        <w:jc w:val="center"/>
        <w:rPr>
          <w:rFonts w:eastAsia="Calibri"/>
          <w:b/>
        </w:rPr>
      </w:pPr>
      <w:r>
        <w:rPr>
          <w:rFonts w:eastAsia="Calibri"/>
          <w:b/>
        </w:rPr>
        <w:br w:type="page"/>
      </w:r>
      <w:r w:rsidR="00F600E9" w:rsidRPr="00F600E9">
        <w:rPr>
          <w:rFonts w:eastAsia="Calibri"/>
          <w:b/>
        </w:rPr>
        <w:lastRenderedPageBreak/>
        <w:t>References</w:t>
      </w:r>
    </w:p>
    <w:p w:rsidR="00F600E9" w:rsidRPr="00F600E9" w:rsidRDefault="00F600E9" w:rsidP="00F600E9">
      <w:pPr>
        <w:rPr>
          <w:rFonts w:eastAsia="Calibri"/>
        </w:rPr>
      </w:pPr>
    </w:p>
    <w:p w:rsidR="00F600E9" w:rsidRPr="00724E40" w:rsidRDefault="00F600E9" w:rsidP="00F600E9">
      <w:pPr>
        <w:spacing w:line="480" w:lineRule="auto"/>
        <w:rPr>
          <w:rFonts w:eastAsia="Calibri"/>
        </w:rPr>
      </w:pPr>
      <w:r w:rsidRPr="00724E40">
        <w:rPr>
          <w:rFonts w:eastAsia="Calibri"/>
        </w:rPr>
        <w:t xml:space="preserve">Abramowitz, J. S. (2001). Treatment of scrupulous obsessions and compulsions using exposure </w:t>
      </w:r>
    </w:p>
    <w:p w:rsidR="00FE0446" w:rsidRPr="00724E40" w:rsidRDefault="00F600E9" w:rsidP="00B667D7">
      <w:pPr>
        <w:spacing w:line="480" w:lineRule="auto"/>
        <w:ind w:left="720"/>
        <w:rPr>
          <w:rFonts w:eastAsia="Calibri"/>
        </w:rPr>
      </w:pPr>
      <w:proofErr w:type="gramStart"/>
      <w:r w:rsidRPr="00724E40">
        <w:rPr>
          <w:rFonts w:eastAsia="Calibri"/>
        </w:rPr>
        <w:t>and</w:t>
      </w:r>
      <w:proofErr w:type="gramEnd"/>
      <w:r w:rsidRPr="00724E40">
        <w:rPr>
          <w:rFonts w:eastAsia="Calibri"/>
        </w:rPr>
        <w:t xml:space="preserve"> response prevention: A case report. </w:t>
      </w:r>
      <w:r w:rsidRPr="00724E40">
        <w:rPr>
          <w:rFonts w:eastAsia="Calibri"/>
          <w:i/>
        </w:rPr>
        <w:t>Cognitive and Behavioral Practice</w:t>
      </w:r>
      <w:r w:rsidRPr="00724E40">
        <w:rPr>
          <w:rFonts w:eastAsia="Calibri"/>
        </w:rPr>
        <w:t xml:space="preserve">, </w:t>
      </w:r>
      <w:r w:rsidR="00381A1B" w:rsidRPr="00724E40">
        <w:rPr>
          <w:rFonts w:eastAsia="Calibri"/>
          <w:i/>
        </w:rPr>
        <w:t>8(1)</w:t>
      </w:r>
      <w:r w:rsidRPr="00724E40">
        <w:rPr>
          <w:rFonts w:eastAsia="Calibri"/>
        </w:rPr>
        <w:t>, 79-85.doi:10.1016/S1077-</w:t>
      </w:r>
      <w:proofErr w:type="gramStart"/>
      <w:r w:rsidRPr="00724E40">
        <w:rPr>
          <w:rFonts w:eastAsia="Calibri"/>
        </w:rPr>
        <w:t>7229(</w:t>
      </w:r>
      <w:proofErr w:type="gramEnd"/>
      <w:r w:rsidRPr="00724E40">
        <w:rPr>
          <w:rFonts w:eastAsia="Calibri"/>
        </w:rPr>
        <w:t xml:space="preserve">01)80046-8 </w:t>
      </w:r>
    </w:p>
    <w:p w:rsidR="00F600E9" w:rsidRPr="00724E40" w:rsidRDefault="00F600E9" w:rsidP="00F600E9">
      <w:pPr>
        <w:spacing w:line="480" w:lineRule="auto"/>
        <w:rPr>
          <w:rFonts w:eastAsia="Calibri"/>
        </w:rPr>
      </w:pPr>
      <w:r w:rsidRPr="00724E40">
        <w:rPr>
          <w:rFonts w:eastAsia="Calibri"/>
        </w:rPr>
        <w:t xml:space="preserve">Abramowitz, J. S. (2008). </w:t>
      </w:r>
      <w:proofErr w:type="gramStart"/>
      <w:r w:rsidRPr="00724E40">
        <w:rPr>
          <w:rFonts w:eastAsia="Calibri"/>
        </w:rPr>
        <w:t>Scrupulosity.</w:t>
      </w:r>
      <w:proofErr w:type="gramEnd"/>
      <w:r w:rsidRPr="00724E40">
        <w:rPr>
          <w:rFonts w:eastAsia="Calibri"/>
        </w:rPr>
        <w:t xml:space="preserve"> In Jonathan S. Abramowitz, Dean McKay, and Steven </w:t>
      </w:r>
    </w:p>
    <w:p w:rsidR="00F600E9" w:rsidRPr="00724E40" w:rsidRDefault="00F600E9" w:rsidP="00F600E9">
      <w:pPr>
        <w:spacing w:line="480" w:lineRule="auto"/>
        <w:ind w:left="720"/>
        <w:rPr>
          <w:rFonts w:eastAsia="Calibri"/>
        </w:rPr>
      </w:pPr>
      <w:r w:rsidRPr="00724E40">
        <w:rPr>
          <w:rFonts w:eastAsia="Calibri"/>
        </w:rPr>
        <w:t xml:space="preserve">Taylor (Eds.), </w:t>
      </w:r>
      <w:r w:rsidR="00381A1B" w:rsidRPr="00724E40">
        <w:rPr>
          <w:rFonts w:eastAsia="Calibri"/>
          <w:i/>
        </w:rPr>
        <w:t>Clinical Handbook of Obsessive-Compulsive Disorder and Related Problems</w:t>
      </w:r>
      <w:r w:rsidRPr="00724E40">
        <w:rPr>
          <w:rFonts w:eastAsia="Calibri"/>
        </w:rPr>
        <w:t xml:space="preserve"> (pp. 157-172). Baltimore, MD: Johns Hopkins University Press.</w:t>
      </w:r>
    </w:p>
    <w:p w:rsidR="00F600E9" w:rsidRPr="00724E40" w:rsidRDefault="00F600E9" w:rsidP="00F600E9">
      <w:pPr>
        <w:spacing w:line="480" w:lineRule="auto"/>
        <w:rPr>
          <w:rFonts w:eastAsia="Calibri"/>
        </w:rPr>
      </w:pPr>
      <w:proofErr w:type="gramStart"/>
      <w:r w:rsidRPr="00724E40">
        <w:rPr>
          <w:rFonts w:eastAsia="Calibri"/>
        </w:rPr>
        <w:t xml:space="preserve">Abramowitz, J. S., Huppert, J. D., Cohen, A. B., </w:t>
      </w:r>
      <w:proofErr w:type="spellStart"/>
      <w:r w:rsidRPr="00724E40">
        <w:rPr>
          <w:rFonts w:eastAsia="Calibri"/>
        </w:rPr>
        <w:t>Tolin</w:t>
      </w:r>
      <w:proofErr w:type="spellEnd"/>
      <w:r w:rsidRPr="00724E40">
        <w:rPr>
          <w:rFonts w:eastAsia="Calibri"/>
        </w:rPr>
        <w:t>, D. F., &amp; Cahill, S. P. (2002).</w:t>
      </w:r>
      <w:proofErr w:type="gramEnd"/>
      <w:r w:rsidRPr="00724E40">
        <w:rPr>
          <w:rFonts w:eastAsia="Calibri"/>
        </w:rPr>
        <w:t xml:space="preserve"> Religious </w:t>
      </w:r>
    </w:p>
    <w:p w:rsidR="00F600E9" w:rsidRPr="00724E40" w:rsidRDefault="00F600E9" w:rsidP="00F600E9">
      <w:pPr>
        <w:spacing w:line="480" w:lineRule="auto"/>
        <w:ind w:left="720"/>
        <w:rPr>
          <w:rFonts w:eastAsia="Calibri"/>
        </w:rPr>
      </w:pPr>
      <w:proofErr w:type="gramStart"/>
      <w:r w:rsidRPr="00724E40">
        <w:rPr>
          <w:rFonts w:eastAsia="Calibri"/>
        </w:rPr>
        <w:t>obsessions</w:t>
      </w:r>
      <w:proofErr w:type="gramEnd"/>
      <w:r w:rsidRPr="00724E40">
        <w:rPr>
          <w:rFonts w:eastAsia="Calibri"/>
        </w:rPr>
        <w:t xml:space="preserve"> and compulsions in a non-clinical sample: The Penn Inventory of Scrupulosity (PIOS). </w:t>
      </w:r>
      <w:proofErr w:type="spellStart"/>
      <w:r w:rsidRPr="00724E40">
        <w:rPr>
          <w:rFonts w:eastAsia="Calibri"/>
          <w:i/>
        </w:rPr>
        <w:t>Behaviour</w:t>
      </w:r>
      <w:proofErr w:type="spellEnd"/>
      <w:r w:rsidRPr="00724E40">
        <w:rPr>
          <w:rFonts w:eastAsia="Calibri"/>
          <w:i/>
        </w:rPr>
        <w:t xml:space="preserve"> Research and Therapy</w:t>
      </w:r>
      <w:r w:rsidRPr="00724E40">
        <w:rPr>
          <w:rFonts w:eastAsia="Calibri"/>
        </w:rPr>
        <w:t xml:space="preserve">, </w:t>
      </w:r>
      <w:r w:rsidR="00381A1B" w:rsidRPr="00724E40">
        <w:rPr>
          <w:rFonts w:eastAsia="Calibri"/>
          <w:i/>
        </w:rPr>
        <w:t>40(7)</w:t>
      </w:r>
      <w:r w:rsidRPr="00724E40">
        <w:rPr>
          <w:rFonts w:eastAsia="Calibri"/>
        </w:rPr>
        <w:t xml:space="preserve">, 824-838. </w:t>
      </w:r>
      <w:proofErr w:type="gramStart"/>
      <w:r w:rsidRPr="00724E40">
        <w:rPr>
          <w:rFonts w:eastAsia="Calibri"/>
        </w:rPr>
        <w:t>doi:</w:t>
      </w:r>
      <w:proofErr w:type="gramEnd"/>
      <w:r w:rsidRPr="00724E40">
        <w:rPr>
          <w:rFonts w:eastAsia="Calibri"/>
        </w:rPr>
        <w:t>10.1016/S0005-7967(01)00070-5</w:t>
      </w:r>
    </w:p>
    <w:p w:rsidR="00F600E9" w:rsidRPr="00724E40" w:rsidRDefault="00F600E9" w:rsidP="00F600E9">
      <w:pPr>
        <w:spacing w:line="480" w:lineRule="auto"/>
        <w:rPr>
          <w:rFonts w:eastAsia="Calibri"/>
        </w:rPr>
      </w:pPr>
      <w:proofErr w:type="gramStart"/>
      <w:r w:rsidRPr="00724E40">
        <w:rPr>
          <w:rFonts w:eastAsia="Calibri"/>
        </w:rPr>
        <w:t>Beck, A. T. (1996).</w:t>
      </w:r>
      <w:proofErr w:type="gramEnd"/>
      <w:r w:rsidRPr="00724E40">
        <w:rPr>
          <w:rFonts w:eastAsia="Calibri"/>
        </w:rPr>
        <w:t xml:space="preserve"> </w:t>
      </w:r>
      <w:r w:rsidRPr="00724E40">
        <w:rPr>
          <w:rFonts w:eastAsia="Calibri"/>
          <w:i/>
        </w:rPr>
        <w:t xml:space="preserve">Beck Depression Inventory (2nd </w:t>
      </w:r>
      <w:proofErr w:type="gramStart"/>
      <w:r w:rsidRPr="00724E40">
        <w:rPr>
          <w:rFonts w:eastAsia="Calibri"/>
          <w:i/>
        </w:rPr>
        <w:t>ed</w:t>
      </w:r>
      <w:proofErr w:type="gramEnd"/>
      <w:r w:rsidRPr="00724E40">
        <w:rPr>
          <w:rFonts w:eastAsia="Calibri"/>
          <w:i/>
        </w:rPr>
        <w:t>.)</w:t>
      </w:r>
      <w:r w:rsidRPr="00724E40">
        <w:rPr>
          <w:rFonts w:eastAsia="Calibri"/>
        </w:rPr>
        <w:t xml:space="preserve">. San Antonio, TX: The Psychological </w:t>
      </w:r>
    </w:p>
    <w:p w:rsidR="00F600E9" w:rsidRPr="00724E40" w:rsidRDefault="00F600E9" w:rsidP="00F600E9">
      <w:pPr>
        <w:spacing w:line="480" w:lineRule="auto"/>
        <w:ind w:firstLine="720"/>
        <w:rPr>
          <w:rFonts w:eastAsia="Calibri"/>
        </w:rPr>
      </w:pPr>
      <w:proofErr w:type="gramStart"/>
      <w:r w:rsidRPr="00724E40">
        <w:rPr>
          <w:rFonts w:eastAsia="Calibri"/>
        </w:rPr>
        <w:t>Corporation.</w:t>
      </w:r>
      <w:proofErr w:type="gramEnd"/>
    </w:p>
    <w:p w:rsidR="00F600E9" w:rsidRPr="00724E40" w:rsidRDefault="00F600E9" w:rsidP="00F600E9">
      <w:pPr>
        <w:spacing w:line="480" w:lineRule="auto"/>
        <w:rPr>
          <w:rFonts w:eastAsia="Calibri"/>
        </w:rPr>
      </w:pPr>
      <w:proofErr w:type="gramStart"/>
      <w:r w:rsidRPr="00724E40">
        <w:rPr>
          <w:rFonts w:eastAsia="Calibri"/>
        </w:rPr>
        <w:t>Beck, A. T., Epstein, N., Brown, G., &amp; Steer, R. A. (1988).</w:t>
      </w:r>
      <w:proofErr w:type="gramEnd"/>
      <w:r w:rsidRPr="00724E40">
        <w:rPr>
          <w:rFonts w:eastAsia="Calibri"/>
        </w:rPr>
        <w:t xml:space="preserve"> An inventory for measuring clinical </w:t>
      </w:r>
    </w:p>
    <w:p w:rsidR="00F600E9" w:rsidRPr="00724E40" w:rsidRDefault="00F600E9" w:rsidP="00F600E9">
      <w:pPr>
        <w:spacing w:line="480" w:lineRule="auto"/>
        <w:ind w:left="720"/>
        <w:rPr>
          <w:rFonts w:eastAsia="Calibri"/>
        </w:rPr>
      </w:pPr>
      <w:proofErr w:type="gramStart"/>
      <w:r w:rsidRPr="00724E40">
        <w:rPr>
          <w:rFonts w:eastAsia="Calibri"/>
        </w:rPr>
        <w:t>anxiety</w:t>
      </w:r>
      <w:proofErr w:type="gramEnd"/>
      <w:r w:rsidRPr="00724E40">
        <w:rPr>
          <w:rFonts w:eastAsia="Calibri"/>
        </w:rPr>
        <w:t xml:space="preserve">: Psychometric properties. </w:t>
      </w:r>
      <w:r w:rsidRPr="00724E40">
        <w:rPr>
          <w:rFonts w:eastAsia="Calibri"/>
          <w:i/>
        </w:rPr>
        <w:t>Journal of Consulting and Clinical Psychology</w:t>
      </w:r>
      <w:r w:rsidRPr="00724E40">
        <w:rPr>
          <w:rFonts w:eastAsia="Calibri"/>
        </w:rPr>
        <w:t xml:space="preserve">, </w:t>
      </w:r>
      <w:r w:rsidR="00381A1B" w:rsidRPr="00724E40">
        <w:rPr>
          <w:rFonts w:eastAsia="Calibri"/>
          <w:i/>
        </w:rPr>
        <w:t>56(6)</w:t>
      </w:r>
      <w:r w:rsidRPr="00724E40">
        <w:rPr>
          <w:rFonts w:eastAsia="Calibri"/>
        </w:rPr>
        <w:t>, 893-897. doi:10.1037/0022-006X.56.6.893</w:t>
      </w:r>
    </w:p>
    <w:p w:rsidR="00F600E9" w:rsidRPr="00724E40" w:rsidRDefault="00F600E9" w:rsidP="00F600E9">
      <w:pPr>
        <w:spacing w:line="480" w:lineRule="auto"/>
        <w:rPr>
          <w:rFonts w:eastAsia="Calibri"/>
          <w:i/>
        </w:rPr>
      </w:pPr>
      <w:proofErr w:type="spellStart"/>
      <w:proofErr w:type="gramStart"/>
      <w:r w:rsidRPr="00724E40">
        <w:rPr>
          <w:rFonts w:eastAsia="Calibri"/>
        </w:rPr>
        <w:t>Bonchek</w:t>
      </w:r>
      <w:proofErr w:type="spellEnd"/>
      <w:r w:rsidRPr="00724E40">
        <w:rPr>
          <w:rFonts w:eastAsia="Calibri"/>
        </w:rPr>
        <w:t>, A., &amp; Greenberg, D. (2009).</w:t>
      </w:r>
      <w:proofErr w:type="gramEnd"/>
      <w:r w:rsidRPr="00724E40">
        <w:rPr>
          <w:rFonts w:eastAsia="Calibri"/>
        </w:rPr>
        <w:t xml:space="preserve"> </w:t>
      </w:r>
      <w:proofErr w:type="gramStart"/>
      <w:r w:rsidRPr="00724E40">
        <w:rPr>
          <w:rFonts w:eastAsia="Calibri"/>
        </w:rPr>
        <w:t>Compulsive prayer and its management.</w:t>
      </w:r>
      <w:proofErr w:type="gramEnd"/>
      <w:r w:rsidRPr="00724E40">
        <w:rPr>
          <w:rFonts w:eastAsia="Calibri"/>
        </w:rPr>
        <w:t xml:space="preserve"> </w:t>
      </w:r>
      <w:r w:rsidRPr="00724E40">
        <w:rPr>
          <w:rFonts w:eastAsia="Calibri"/>
          <w:i/>
        </w:rPr>
        <w:t xml:space="preserve">Journal of </w:t>
      </w:r>
    </w:p>
    <w:p w:rsidR="00F600E9" w:rsidRPr="00724E40" w:rsidRDefault="00F600E9" w:rsidP="00F600E9">
      <w:pPr>
        <w:spacing w:line="480" w:lineRule="auto"/>
        <w:rPr>
          <w:rFonts w:eastAsia="Calibri"/>
        </w:rPr>
      </w:pPr>
      <w:r w:rsidRPr="00724E40">
        <w:rPr>
          <w:rFonts w:eastAsia="Calibri"/>
          <w:i/>
        </w:rPr>
        <w:tab/>
        <w:t>Clinical Psychology</w:t>
      </w:r>
      <w:r w:rsidRPr="00724E40">
        <w:rPr>
          <w:rFonts w:eastAsia="Calibri"/>
        </w:rPr>
        <w:t xml:space="preserve">, </w:t>
      </w:r>
      <w:r w:rsidR="00381A1B" w:rsidRPr="00724E40">
        <w:rPr>
          <w:rFonts w:eastAsia="Calibri"/>
          <w:i/>
        </w:rPr>
        <w:t>65(4)</w:t>
      </w:r>
      <w:r w:rsidRPr="00724E40">
        <w:rPr>
          <w:rFonts w:eastAsia="Calibri"/>
        </w:rPr>
        <w:t>, 396-405. doi:10.1002/jclp.20558</w:t>
      </w:r>
    </w:p>
    <w:p w:rsidR="00FE0446" w:rsidRPr="00724E40" w:rsidRDefault="00F600E9" w:rsidP="00B667D7">
      <w:pPr>
        <w:spacing w:line="480" w:lineRule="auto"/>
        <w:ind w:left="720" w:hanging="720"/>
        <w:rPr>
          <w:rFonts w:eastAsia="Calibri"/>
        </w:rPr>
      </w:pPr>
      <w:r w:rsidRPr="00724E40">
        <w:rPr>
          <w:rFonts w:eastAsia="Calibri"/>
        </w:rPr>
        <w:t xml:space="preserve">Bond, F. W., Hayes, S. C., Baer, R. A., Carpenter, K. M., </w:t>
      </w:r>
      <w:proofErr w:type="spellStart"/>
      <w:r w:rsidRPr="00724E40">
        <w:rPr>
          <w:rFonts w:eastAsia="Calibri"/>
        </w:rPr>
        <w:t>Guenole</w:t>
      </w:r>
      <w:proofErr w:type="spellEnd"/>
      <w:r w:rsidRPr="00724E40">
        <w:rPr>
          <w:rFonts w:eastAsia="Calibri"/>
        </w:rPr>
        <w:t xml:space="preserve">, N., </w:t>
      </w:r>
      <w:proofErr w:type="spellStart"/>
      <w:r w:rsidRPr="00724E40">
        <w:rPr>
          <w:rFonts w:eastAsia="Calibri"/>
        </w:rPr>
        <w:t>Orcutt</w:t>
      </w:r>
      <w:proofErr w:type="spellEnd"/>
      <w:r w:rsidRPr="00724E40">
        <w:rPr>
          <w:rFonts w:eastAsia="Calibri"/>
        </w:rPr>
        <w:t xml:space="preserve">, H. K., </w:t>
      </w:r>
      <w:r w:rsidR="00A53CF6" w:rsidRPr="00724E40">
        <w:rPr>
          <w:rFonts w:eastAsia="Calibri"/>
        </w:rPr>
        <w:t xml:space="preserve">. . . </w:t>
      </w:r>
      <w:r w:rsidRPr="00724E40">
        <w:rPr>
          <w:rFonts w:eastAsia="Calibri"/>
        </w:rPr>
        <w:t xml:space="preserve">&amp; </w:t>
      </w:r>
      <w:proofErr w:type="spellStart"/>
      <w:r w:rsidRPr="00724E40">
        <w:rPr>
          <w:rFonts w:eastAsia="Calibri"/>
        </w:rPr>
        <w:t>Zettle</w:t>
      </w:r>
      <w:proofErr w:type="spellEnd"/>
      <w:r w:rsidRPr="00724E40">
        <w:rPr>
          <w:rFonts w:eastAsia="Calibri"/>
        </w:rPr>
        <w:t xml:space="preserve">, R. D. (2011). Preliminary psychometric properties of the Acceptance and </w:t>
      </w:r>
    </w:p>
    <w:p w:rsidR="00F600E9" w:rsidRPr="00724E40" w:rsidRDefault="00F600E9" w:rsidP="00F600E9">
      <w:pPr>
        <w:spacing w:line="480" w:lineRule="auto"/>
        <w:rPr>
          <w:rFonts w:eastAsia="Calibri"/>
        </w:rPr>
      </w:pPr>
      <w:r w:rsidRPr="00724E40">
        <w:rPr>
          <w:rFonts w:eastAsia="Calibri"/>
        </w:rPr>
        <w:tab/>
        <w:t xml:space="preserve">Action </w:t>
      </w:r>
      <w:proofErr w:type="spellStart"/>
      <w:r w:rsidRPr="00724E40">
        <w:rPr>
          <w:rFonts w:eastAsia="Calibri"/>
        </w:rPr>
        <w:t>Questionniare</w:t>
      </w:r>
      <w:proofErr w:type="spellEnd"/>
      <w:r w:rsidRPr="00724E40">
        <w:rPr>
          <w:rFonts w:eastAsia="Calibri"/>
        </w:rPr>
        <w:t xml:space="preserve"> - II: A revised measure of psychological flexibility and experiential </w:t>
      </w:r>
    </w:p>
    <w:p w:rsidR="00F600E9" w:rsidRPr="00724E40" w:rsidRDefault="00F600E9" w:rsidP="00F600E9">
      <w:pPr>
        <w:spacing w:line="480" w:lineRule="auto"/>
        <w:rPr>
          <w:rFonts w:eastAsia="Calibri"/>
        </w:rPr>
      </w:pPr>
      <w:r w:rsidRPr="00724E40">
        <w:rPr>
          <w:rFonts w:eastAsia="Calibri"/>
        </w:rPr>
        <w:tab/>
      </w:r>
      <w:proofErr w:type="gramStart"/>
      <w:r w:rsidRPr="00724E40">
        <w:rPr>
          <w:rFonts w:eastAsia="Calibri"/>
        </w:rPr>
        <w:t>avoidance</w:t>
      </w:r>
      <w:proofErr w:type="gramEnd"/>
      <w:r w:rsidRPr="00724E40">
        <w:rPr>
          <w:rFonts w:eastAsia="Calibri"/>
        </w:rPr>
        <w:t xml:space="preserve">. </w:t>
      </w:r>
      <w:proofErr w:type="gramStart"/>
      <w:r w:rsidRPr="00724E40">
        <w:rPr>
          <w:rFonts w:eastAsia="Calibri"/>
          <w:i/>
        </w:rPr>
        <w:t>Behavior Therapy</w:t>
      </w:r>
      <w:r w:rsidRPr="00724E40">
        <w:rPr>
          <w:rFonts w:eastAsia="Calibri"/>
        </w:rPr>
        <w:t>.</w:t>
      </w:r>
      <w:proofErr w:type="gramEnd"/>
    </w:p>
    <w:p w:rsidR="00F600E9" w:rsidRPr="00724E40" w:rsidRDefault="00F600E9" w:rsidP="00F600E9">
      <w:pPr>
        <w:spacing w:line="480" w:lineRule="auto"/>
        <w:rPr>
          <w:rFonts w:eastAsia="Calibri"/>
        </w:rPr>
      </w:pPr>
      <w:proofErr w:type="gramStart"/>
      <w:r w:rsidRPr="00724E40">
        <w:rPr>
          <w:rFonts w:eastAsia="Calibri"/>
        </w:rPr>
        <w:t xml:space="preserve">Burckhardt, C. S., Woods, S. L., Schultz, A. A., &amp; </w:t>
      </w:r>
      <w:proofErr w:type="spellStart"/>
      <w:r w:rsidRPr="00724E40">
        <w:rPr>
          <w:rFonts w:eastAsia="Calibri"/>
        </w:rPr>
        <w:t>Ziebarth</w:t>
      </w:r>
      <w:proofErr w:type="spellEnd"/>
      <w:r w:rsidRPr="00724E40">
        <w:rPr>
          <w:rFonts w:eastAsia="Calibri"/>
        </w:rPr>
        <w:t>, D. M. (1989).</w:t>
      </w:r>
      <w:proofErr w:type="gramEnd"/>
      <w:r w:rsidRPr="00724E40">
        <w:rPr>
          <w:rFonts w:eastAsia="Calibri"/>
        </w:rPr>
        <w:t xml:space="preserve"> Quality of life of</w:t>
      </w:r>
    </w:p>
    <w:p w:rsidR="00F600E9" w:rsidRPr="00724E40" w:rsidRDefault="00F600E9" w:rsidP="00F600E9">
      <w:pPr>
        <w:spacing w:line="480" w:lineRule="auto"/>
        <w:ind w:left="720"/>
        <w:rPr>
          <w:rFonts w:eastAsia="Calibri"/>
        </w:rPr>
      </w:pPr>
      <w:proofErr w:type="gramStart"/>
      <w:r w:rsidRPr="00724E40">
        <w:rPr>
          <w:rFonts w:eastAsia="Calibri"/>
        </w:rPr>
        <w:lastRenderedPageBreak/>
        <w:t>adults</w:t>
      </w:r>
      <w:proofErr w:type="gramEnd"/>
      <w:r w:rsidRPr="00724E40">
        <w:rPr>
          <w:rFonts w:eastAsia="Calibri"/>
        </w:rPr>
        <w:t xml:space="preserve"> with chronic illness: A psychometric study. </w:t>
      </w:r>
      <w:r w:rsidRPr="00724E40">
        <w:rPr>
          <w:rFonts w:eastAsia="Calibri"/>
          <w:i/>
        </w:rPr>
        <w:t>Research in Nursing &amp; Health</w:t>
      </w:r>
      <w:r w:rsidRPr="00724E40">
        <w:rPr>
          <w:rFonts w:eastAsia="Calibri"/>
        </w:rPr>
        <w:t xml:space="preserve">, </w:t>
      </w:r>
      <w:r w:rsidR="00381A1B" w:rsidRPr="00724E40">
        <w:rPr>
          <w:rFonts w:eastAsia="Calibri"/>
          <w:i/>
        </w:rPr>
        <w:t>12(6)</w:t>
      </w:r>
      <w:r w:rsidRPr="00724E40">
        <w:rPr>
          <w:rFonts w:eastAsia="Calibri"/>
        </w:rPr>
        <w:t>, 347-354. doi:10.1002/nur.4770120604</w:t>
      </w:r>
    </w:p>
    <w:p w:rsidR="00880040" w:rsidRPr="00724E40" w:rsidRDefault="00880040" w:rsidP="00F600E9">
      <w:pPr>
        <w:spacing w:line="480" w:lineRule="auto"/>
        <w:rPr>
          <w:rFonts w:eastAsia="Calibri"/>
        </w:rPr>
      </w:pPr>
      <w:proofErr w:type="spellStart"/>
      <w:r w:rsidRPr="00724E40">
        <w:rPr>
          <w:rFonts w:eastAsia="Calibri"/>
        </w:rPr>
        <w:t>Cefalu</w:t>
      </w:r>
      <w:proofErr w:type="spellEnd"/>
      <w:r w:rsidRPr="00724E40">
        <w:rPr>
          <w:rFonts w:eastAsia="Calibri"/>
        </w:rPr>
        <w:t xml:space="preserve">, P. (2010). The doubting disease: Religious scrupulosity and obsessive-compulsive </w:t>
      </w:r>
    </w:p>
    <w:p w:rsidR="00880040" w:rsidRPr="00724E40" w:rsidRDefault="00880040" w:rsidP="00880040">
      <w:pPr>
        <w:spacing w:line="480" w:lineRule="auto"/>
        <w:ind w:left="720"/>
        <w:rPr>
          <w:rFonts w:eastAsia="Calibri"/>
        </w:rPr>
      </w:pPr>
      <w:proofErr w:type="gramStart"/>
      <w:r w:rsidRPr="00724E40">
        <w:rPr>
          <w:rFonts w:eastAsia="Calibri"/>
        </w:rPr>
        <w:t>disorder</w:t>
      </w:r>
      <w:proofErr w:type="gramEnd"/>
      <w:r w:rsidRPr="00724E40">
        <w:rPr>
          <w:rFonts w:eastAsia="Calibri"/>
        </w:rPr>
        <w:t xml:space="preserve"> in historical context. </w:t>
      </w:r>
      <w:r w:rsidRPr="00724E40">
        <w:rPr>
          <w:rFonts w:eastAsia="Calibri"/>
          <w:i/>
        </w:rPr>
        <w:t xml:space="preserve">Journal </w:t>
      </w:r>
      <w:proofErr w:type="gramStart"/>
      <w:r w:rsidRPr="00724E40">
        <w:rPr>
          <w:rFonts w:eastAsia="Calibri"/>
          <w:i/>
        </w:rPr>
        <w:t>Of</w:t>
      </w:r>
      <w:proofErr w:type="gramEnd"/>
      <w:r w:rsidRPr="00724E40">
        <w:rPr>
          <w:rFonts w:eastAsia="Calibri"/>
          <w:i/>
        </w:rPr>
        <w:t xml:space="preserve"> Medical Humanities, 31(2)</w:t>
      </w:r>
      <w:r w:rsidRPr="00724E40">
        <w:rPr>
          <w:rFonts w:eastAsia="Calibri"/>
        </w:rPr>
        <w:t xml:space="preserve">, 111-125. </w:t>
      </w:r>
      <w:proofErr w:type="gramStart"/>
      <w:r w:rsidRPr="00724E40">
        <w:rPr>
          <w:rFonts w:eastAsia="Calibri"/>
        </w:rPr>
        <w:t>doi:</w:t>
      </w:r>
      <w:proofErr w:type="gramEnd"/>
      <w:r w:rsidRPr="00724E40">
        <w:rPr>
          <w:rFonts w:eastAsia="Calibri"/>
        </w:rPr>
        <w:t xml:space="preserve">10.1007/s10912-010-9107-3 </w:t>
      </w:r>
    </w:p>
    <w:p w:rsidR="00F600E9" w:rsidRPr="00724E40" w:rsidRDefault="00F600E9" w:rsidP="00880040">
      <w:pPr>
        <w:spacing w:line="480" w:lineRule="auto"/>
        <w:rPr>
          <w:rFonts w:eastAsia="Calibri"/>
        </w:rPr>
      </w:pPr>
      <w:proofErr w:type="spellStart"/>
      <w:r w:rsidRPr="00724E40">
        <w:rPr>
          <w:rFonts w:eastAsia="Calibri"/>
        </w:rPr>
        <w:t>Ciarrocchi</w:t>
      </w:r>
      <w:proofErr w:type="spellEnd"/>
      <w:r w:rsidRPr="00724E40">
        <w:rPr>
          <w:rFonts w:eastAsia="Calibri"/>
        </w:rPr>
        <w:t xml:space="preserve">, J. W. (1995). </w:t>
      </w:r>
      <w:r w:rsidRPr="00724E40">
        <w:rPr>
          <w:rFonts w:eastAsia="Calibri"/>
          <w:i/>
        </w:rPr>
        <w:t>The doubting disease: help for scrupulosity and religious compulsions</w:t>
      </w:r>
      <w:r w:rsidRPr="00724E40">
        <w:rPr>
          <w:rFonts w:eastAsia="Calibri"/>
        </w:rPr>
        <w:t xml:space="preserve">. </w:t>
      </w:r>
    </w:p>
    <w:p w:rsidR="00F600E9" w:rsidRPr="00724E40" w:rsidRDefault="00F600E9" w:rsidP="00F600E9">
      <w:pPr>
        <w:spacing w:line="480" w:lineRule="auto"/>
        <w:ind w:firstLine="720"/>
        <w:rPr>
          <w:rFonts w:eastAsia="Calibri"/>
        </w:rPr>
      </w:pPr>
      <w:r w:rsidRPr="00724E40">
        <w:rPr>
          <w:rFonts w:eastAsia="Calibri"/>
        </w:rPr>
        <w:t xml:space="preserve">New York: </w:t>
      </w:r>
      <w:proofErr w:type="spellStart"/>
      <w:r w:rsidRPr="00724E40">
        <w:rPr>
          <w:rFonts w:eastAsia="Calibri"/>
        </w:rPr>
        <w:t>Paulist</w:t>
      </w:r>
      <w:proofErr w:type="spellEnd"/>
      <w:r w:rsidRPr="00724E40">
        <w:rPr>
          <w:rFonts w:eastAsia="Calibri"/>
        </w:rPr>
        <w:t xml:space="preserve"> Press.</w:t>
      </w:r>
    </w:p>
    <w:p w:rsidR="00F600E9" w:rsidRPr="00724E40" w:rsidRDefault="00F600E9" w:rsidP="00F600E9">
      <w:pPr>
        <w:spacing w:line="480" w:lineRule="auto"/>
        <w:rPr>
          <w:rFonts w:eastAsia="Calibri"/>
        </w:rPr>
      </w:pPr>
      <w:proofErr w:type="gramStart"/>
      <w:r w:rsidRPr="00724E40">
        <w:rPr>
          <w:rFonts w:eastAsia="Calibri"/>
        </w:rPr>
        <w:t xml:space="preserve">Fallon, B. A., </w:t>
      </w:r>
      <w:proofErr w:type="spellStart"/>
      <w:r w:rsidRPr="00724E40">
        <w:rPr>
          <w:rFonts w:eastAsia="Calibri"/>
        </w:rPr>
        <w:t>Liebowitz</w:t>
      </w:r>
      <w:proofErr w:type="spellEnd"/>
      <w:r w:rsidRPr="00724E40">
        <w:rPr>
          <w:rFonts w:eastAsia="Calibri"/>
        </w:rPr>
        <w:t xml:space="preserve">, M. R., Hollander, E., &amp; </w:t>
      </w:r>
      <w:proofErr w:type="spellStart"/>
      <w:r w:rsidRPr="00724E40">
        <w:rPr>
          <w:rFonts w:eastAsia="Calibri"/>
        </w:rPr>
        <w:t>Schneier</w:t>
      </w:r>
      <w:proofErr w:type="spellEnd"/>
      <w:r w:rsidRPr="00724E40">
        <w:rPr>
          <w:rFonts w:eastAsia="Calibri"/>
        </w:rPr>
        <w:t>, F. R. (1990).</w:t>
      </w:r>
      <w:proofErr w:type="gramEnd"/>
      <w:r w:rsidRPr="00724E40">
        <w:rPr>
          <w:rFonts w:eastAsia="Calibri"/>
        </w:rPr>
        <w:t xml:space="preserve"> The pharmacotherapy</w:t>
      </w:r>
    </w:p>
    <w:p w:rsidR="00F600E9" w:rsidRPr="00724E40" w:rsidRDefault="00F600E9" w:rsidP="00F600E9">
      <w:pPr>
        <w:spacing w:line="480" w:lineRule="auto"/>
        <w:ind w:firstLine="720"/>
        <w:rPr>
          <w:rFonts w:eastAsia="Calibri"/>
        </w:rPr>
      </w:pPr>
      <w:r w:rsidRPr="00724E40">
        <w:rPr>
          <w:rFonts w:eastAsia="Calibri"/>
        </w:rPr>
        <w:t xml:space="preserve"> </w:t>
      </w:r>
      <w:proofErr w:type="gramStart"/>
      <w:r w:rsidRPr="00724E40">
        <w:rPr>
          <w:rFonts w:eastAsia="Calibri"/>
        </w:rPr>
        <w:t>of</w:t>
      </w:r>
      <w:proofErr w:type="gramEnd"/>
      <w:r w:rsidRPr="00724E40">
        <w:rPr>
          <w:rFonts w:eastAsia="Calibri"/>
        </w:rPr>
        <w:t xml:space="preserve"> moral or religious scrupulosity. </w:t>
      </w:r>
      <w:r w:rsidRPr="00724E40">
        <w:rPr>
          <w:rFonts w:eastAsia="Calibri"/>
          <w:i/>
        </w:rPr>
        <w:t>Journal of Clinical Psychiatry</w:t>
      </w:r>
      <w:r w:rsidRPr="00724E40">
        <w:rPr>
          <w:rFonts w:eastAsia="Calibri"/>
        </w:rPr>
        <w:t xml:space="preserve">, </w:t>
      </w:r>
      <w:r w:rsidR="00381A1B" w:rsidRPr="00724E40">
        <w:rPr>
          <w:rFonts w:eastAsia="Calibri"/>
          <w:i/>
        </w:rPr>
        <w:t>51(12)</w:t>
      </w:r>
      <w:r w:rsidRPr="00724E40">
        <w:rPr>
          <w:rFonts w:eastAsia="Calibri"/>
        </w:rPr>
        <w:t>, 517-521.</w:t>
      </w:r>
    </w:p>
    <w:p w:rsidR="00F600E9" w:rsidRPr="00724E40" w:rsidRDefault="00F600E9" w:rsidP="00F600E9">
      <w:pPr>
        <w:spacing w:line="480" w:lineRule="auto"/>
        <w:rPr>
          <w:rFonts w:eastAsia="Calibri"/>
          <w:i/>
        </w:rPr>
      </w:pPr>
      <w:proofErr w:type="gramStart"/>
      <w:r w:rsidRPr="00724E40">
        <w:rPr>
          <w:rFonts w:eastAsia="Calibri"/>
        </w:rPr>
        <w:t>First, M. B., Spitzer, R. L., Gibbon M., &amp; Williams, J. B. W. (2002).</w:t>
      </w:r>
      <w:proofErr w:type="gramEnd"/>
      <w:r w:rsidRPr="00724E40">
        <w:rPr>
          <w:rFonts w:eastAsia="Calibri"/>
        </w:rPr>
        <w:t xml:space="preserve"> </w:t>
      </w:r>
      <w:r w:rsidRPr="00724E40">
        <w:rPr>
          <w:rFonts w:eastAsia="Calibri"/>
          <w:i/>
        </w:rPr>
        <w:t>Structured Clinical</w:t>
      </w:r>
    </w:p>
    <w:p w:rsidR="00F600E9" w:rsidRPr="00724E40" w:rsidRDefault="00F600E9" w:rsidP="00F600E9">
      <w:pPr>
        <w:spacing w:line="480" w:lineRule="auto"/>
        <w:ind w:firstLine="720"/>
        <w:rPr>
          <w:rFonts w:eastAsia="Calibri"/>
          <w:i/>
        </w:rPr>
      </w:pPr>
      <w:r w:rsidRPr="00724E40">
        <w:rPr>
          <w:rFonts w:eastAsia="Calibri"/>
          <w:i/>
        </w:rPr>
        <w:t>Interview for DSM-IV-TR Axis I Disorders, Research Version, Patient Edition. (SCID-</w:t>
      </w:r>
    </w:p>
    <w:p w:rsidR="00F600E9" w:rsidRPr="00724E40" w:rsidRDefault="00F600E9" w:rsidP="00F600E9">
      <w:pPr>
        <w:spacing w:line="480" w:lineRule="auto"/>
        <w:ind w:firstLine="720"/>
        <w:rPr>
          <w:rFonts w:eastAsia="Calibri"/>
          <w:i/>
        </w:rPr>
      </w:pPr>
      <w:proofErr w:type="gramStart"/>
      <w:r w:rsidRPr="00724E40">
        <w:rPr>
          <w:rFonts w:eastAsia="Calibri"/>
          <w:i/>
        </w:rPr>
        <w:t>I/P)</w:t>
      </w:r>
      <w:r w:rsidRPr="00724E40">
        <w:rPr>
          <w:rFonts w:eastAsia="Calibri"/>
        </w:rPr>
        <w:t>.</w:t>
      </w:r>
      <w:proofErr w:type="gramEnd"/>
      <w:r w:rsidRPr="00724E40">
        <w:rPr>
          <w:rFonts w:eastAsia="Calibri"/>
        </w:rPr>
        <w:t xml:space="preserve"> New York: Biometrics Research, New York State Psychiatric Institute.</w:t>
      </w:r>
    </w:p>
    <w:p w:rsidR="00F600E9" w:rsidRPr="00724E40" w:rsidRDefault="00F600E9" w:rsidP="00F600E9">
      <w:pPr>
        <w:spacing w:line="480" w:lineRule="auto"/>
        <w:rPr>
          <w:rFonts w:eastAsia="Calibri"/>
        </w:rPr>
      </w:pPr>
      <w:proofErr w:type="spellStart"/>
      <w:r w:rsidRPr="00724E40">
        <w:rPr>
          <w:rFonts w:eastAsia="Calibri"/>
        </w:rPr>
        <w:t>Foa</w:t>
      </w:r>
      <w:proofErr w:type="spellEnd"/>
      <w:r w:rsidRPr="00724E40">
        <w:rPr>
          <w:rFonts w:eastAsia="Calibri"/>
        </w:rPr>
        <w:t xml:space="preserve">, E. B., Huppert, J. D., </w:t>
      </w:r>
      <w:proofErr w:type="spellStart"/>
      <w:r w:rsidRPr="00724E40">
        <w:rPr>
          <w:rFonts w:eastAsia="Calibri"/>
        </w:rPr>
        <w:t>Leiberg</w:t>
      </w:r>
      <w:proofErr w:type="spellEnd"/>
      <w:r w:rsidRPr="00724E40">
        <w:rPr>
          <w:rFonts w:eastAsia="Calibri"/>
        </w:rPr>
        <w:t xml:space="preserve">, S., </w:t>
      </w:r>
      <w:proofErr w:type="spellStart"/>
      <w:r w:rsidRPr="00724E40">
        <w:rPr>
          <w:rFonts w:eastAsia="Calibri"/>
        </w:rPr>
        <w:t>Langner</w:t>
      </w:r>
      <w:proofErr w:type="spellEnd"/>
      <w:r w:rsidRPr="00724E40">
        <w:rPr>
          <w:rFonts w:eastAsia="Calibri"/>
        </w:rPr>
        <w:t xml:space="preserve">, R., </w:t>
      </w:r>
      <w:proofErr w:type="spellStart"/>
      <w:r w:rsidRPr="00724E40">
        <w:rPr>
          <w:rFonts w:eastAsia="Calibri"/>
        </w:rPr>
        <w:t>Kichic</w:t>
      </w:r>
      <w:proofErr w:type="spellEnd"/>
      <w:r w:rsidRPr="00724E40">
        <w:rPr>
          <w:rFonts w:eastAsia="Calibri"/>
        </w:rPr>
        <w:t xml:space="preserve">, R., </w:t>
      </w:r>
      <w:proofErr w:type="spellStart"/>
      <w:r w:rsidRPr="00724E40">
        <w:rPr>
          <w:rFonts w:eastAsia="Calibri"/>
        </w:rPr>
        <w:t>Hajcak</w:t>
      </w:r>
      <w:proofErr w:type="spellEnd"/>
      <w:r w:rsidRPr="00724E40">
        <w:rPr>
          <w:rFonts w:eastAsia="Calibri"/>
        </w:rPr>
        <w:t xml:space="preserve">, G., </w:t>
      </w:r>
      <w:proofErr w:type="spellStart"/>
      <w:r w:rsidRPr="00724E40">
        <w:rPr>
          <w:rFonts w:eastAsia="Calibri"/>
        </w:rPr>
        <w:t>Langner</w:t>
      </w:r>
      <w:proofErr w:type="spellEnd"/>
      <w:r w:rsidRPr="00724E40">
        <w:rPr>
          <w:rFonts w:eastAsia="Calibri"/>
        </w:rPr>
        <w:t xml:space="preserve">, R. (2002). </w:t>
      </w:r>
    </w:p>
    <w:p w:rsidR="00F600E9" w:rsidRPr="00724E40" w:rsidRDefault="00F600E9" w:rsidP="00F600E9">
      <w:pPr>
        <w:spacing w:line="480" w:lineRule="auto"/>
        <w:ind w:firstLine="720"/>
        <w:rPr>
          <w:rFonts w:eastAsia="Calibri"/>
        </w:rPr>
      </w:pPr>
      <w:r w:rsidRPr="00724E40">
        <w:rPr>
          <w:rFonts w:eastAsia="Calibri"/>
        </w:rPr>
        <w:t xml:space="preserve">The Obsessive–Compulsive Inventory: Development and validation of a short version. </w:t>
      </w:r>
      <w:r w:rsidRPr="00724E40">
        <w:rPr>
          <w:rFonts w:eastAsia="Calibri"/>
          <w:i/>
        </w:rPr>
        <w:tab/>
        <w:t>Psychological Assessment</w:t>
      </w:r>
      <w:r w:rsidRPr="00724E40">
        <w:rPr>
          <w:rFonts w:eastAsia="Calibri"/>
        </w:rPr>
        <w:t xml:space="preserve">, </w:t>
      </w:r>
      <w:r w:rsidR="00381A1B" w:rsidRPr="00724E40">
        <w:rPr>
          <w:rFonts w:eastAsia="Calibri"/>
          <w:i/>
        </w:rPr>
        <w:t>14,</w:t>
      </w:r>
      <w:r w:rsidRPr="00724E40">
        <w:rPr>
          <w:rFonts w:eastAsia="Calibri"/>
        </w:rPr>
        <w:t xml:space="preserve"> 485–496. </w:t>
      </w:r>
      <w:proofErr w:type="spellStart"/>
      <w:proofErr w:type="gramStart"/>
      <w:r w:rsidRPr="00724E40">
        <w:rPr>
          <w:rFonts w:eastAsia="Calibri"/>
        </w:rPr>
        <w:t>doi</w:t>
      </w:r>
      <w:proofErr w:type="spellEnd"/>
      <w:proofErr w:type="gramEnd"/>
      <w:r w:rsidRPr="00724E40">
        <w:rPr>
          <w:rFonts w:eastAsia="Calibri"/>
        </w:rPr>
        <w:t>:</w:t>
      </w:r>
      <w:r w:rsidRPr="00724E40">
        <w:t xml:space="preserve"> </w:t>
      </w:r>
      <w:r w:rsidRPr="00724E40">
        <w:rPr>
          <w:rFonts w:eastAsia="Calibri"/>
        </w:rPr>
        <w:t>10.1037/1040-3590.14.4.485</w:t>
      </w:r>
    </w:p>
    <w:p w:rsidR="00F600E9" w:rsidRPr="00724E40" w:rsidRDefault="00F600E9" w:rsidP="00F600E9">
      <w:pPr>
        <w:autoSpaceDE w:val="0"/>
        <w:autoSpaceDN w:val="0"/>
        <w:adjustRightInd w:val="0"/>
        <w:spacing w:line="480" w:lineRule="auto"/>
        <w:ind w:left="720" w:hanging="720"/>
        <w:rPr>
          <w:rFonts w:eastAsia="Cambria"/>
        </w:rPr>
      </w:pPr>
      <w:r w:rsidRPr="00724E40">
        <w:rPr>
          <w:rFonts w:eastAsia="Cambria"/>
        </w:rPr>
        <w:t xml:space="preserve">Garcia, H. A. (2008). Targeting Catholic rituals as symptoms of obsessive compulsive disorder: A cognitive-behavioral and psychodynamic, assimilative integrationist approach. </w:t>
      </w:r>
      <w:r w:rsidRPr="00724E40">
        <w:rPr>
          <w:rFonts w:eastAsia="Cambria"/>
          <w:i/>
        </w:rPr>
        <w:t>Pragmatic Case Studies in Psychotherapy</w:t>
      </w:r>
      <w:r w:rsidRPr="00724E40">
        <w:rPr>
          <w:rFonts w:eastAsia="Cambria"/>
        </w:rPr>
        <w:t xml:space="preserve">, </w:t>
      </w:r>
      <w:r w:rsidR="00381A1B" w:rsidRPr="00724E40">
        <w:rPr>
          <w:rFonts w:eastAsia="Cambria"/>
          <w:i/>
        </w:rPr>
        <w:t>4(2)</w:t>
      </w:r>
      <w:r w:rsidRPr="00724E40">
        <w:rPr>
          <w:rFonts w:eastAsia="Cambria"/>
        </w:rPr>
        <w:t>, 1-38.</w:t>
      </w:r>
    </w:p>
    <w:p w:rsidR="00F600E9" w:rsidRPr="00724E40" w:rsidRDefault="00F600E9" w:rsidP="00F600E9">
      <w:pPr>
        <w:autoSpaceDE w:val="0"/>
        <w:autoSpaceDN w:val="0"/>
        <w:adjustRightInd w:val="0"/>
        <w:spacing w:line="480" w:lineRule="auto"/>
        <w:ind w:left="720" w:hanging="720"/>
        <w:rPr>
          <w:rFonts w:eastAsia="Cambria"/>
        </w:rPr>
      </w:pPr>
      <w:r w:rsidRPr="00724E40">
        <w:rPr>
          <w:rFonts w:eastAsia="Cambria"/>
        </w:rPr>
        <w:t xml:space="preserve">Goodman, W. K., Price, L. H., Rasmussen, S. A., &amp; </w:t>
      </w:r>
      <w:proofErr w:type="spellStart"/>
      <w:r w:rsidRPr="00724E40">
        <w:rPr>
          <w:rFonts w:eastAsia="Cambria"/>
        </w:rPr>
        <w:t>Mazure</w:t>
      </w:r>
      <w:proofErr w:type="spellEnd"/>
      <w:r w:rsidRPr="00724E40">
        <w:rPr>
          <w:rFonts w:eastAsia="Cambria"/>
        </w:rPr>
        <w:t>, C. (1989a). The Yale-Brown</w:t>
      </w:r>
      <w:r w:rsidRPr="00724E40">
        <w:rPr>
          <w:rFonts w:eastAsia="Cambria"/>
        </w:rPr>
        <w:tab/>
        <w:t xml:space="preserve"> Obsessive Compulsive Scale: I. Development, use, and reliability. </w:t>
      </w:r>
      <w:r w:rsidRPr="00724E40">
        <w:rPr>
          <w:rFonts w:eastAsia="Cambria"/>
          <w:i/>
        </w:rPr>
        <w:t>Archives of General Psychiatry</w:t>
      </w:r>
      <w:r w:rsidRPr="00724E40">
        <w:rPr>
          <w:rFonts w:eastAsia="Cambria"/>
        </w:rPr>
        <w:t xml:space="preserve">, </w:t>
      </w:r>
      <w:r w:rsidR="00381A1B" w:rsidRPr="00724E40">
        <w:rPr>
          <w:rFonts w:eastAsia="Cambria"/>
          <w:i/>
        </w:rPr>
        <w:t>46(11)</w:t>
      </w:r>
      <w:r w:rsidRPr="00724E40">
        <w:rPr>
          <w:rFonts w:eastAsia="Cambria"/>
        </w:rPr>
        <w:t xml:space="preserve">, 1006-1011. </w:t>
      </w:r>
      <w:proofErr w:type="spellStart"/>
      <w:proofErr w:type="gramStart"/>
      <w:r w:rsidRPr="00724E40">
        <w:rPr>
          <w:rFonts w:eastAsia="Cambria"/>
        </w:rPr>
        <w:t>doi</w:t>
      </w:r>
      <w:proofErr w:type="spellEnd"/>
      <w:proofErr w:type="gramEnd"/>
      <w:r w:rsidRPr="00724E40">
        <w:rPr>
          <w:rFonts w:eastAsia="Cambria"/>
        </w:rPr>
        <w:t>:</w:t>
      </w:r>
      <w:r w:rsidRPr="00724E40">
        <w:t xml:space="preserve"> </w:t>
      </w:r>
      <w:r w:rsidRPr="00724E40">
        <w:rPr>
          <w:rFonts w:eastAsia="Cambria"/>
        </w:rPr>
        <w:t>10.1001/archpsyc.1989.01810110048007</w:t>
      </w:r>
    </w:p>
    <w:p w:rsidR="00F600E9" w:rsidRPr="00724E40" w:rsidRDefault="00F600E9" w:rsidP="00F600E9">
      <w:pPr>
        <w:autoSpaceDE w:val="0"/>
        <w:autoSpaceDN w:val="0"/>
        <w:adjustRightInd w:val="0"/>
        <w:spacing w:line="480" w:lineRule="auto"/>
        <w:ind w:left="720" w:hanging="720"/>
        <w:rPr>
          <w:rFonts w:eastAsia="Cambria"/>
        </w:rPr>
      </w:pPr>
      <w:r w:rsidRPr="00724E40">
        <w:rPr>
          <w:rFonts w:eastAsia="Cambria"/>
        </w:rPr>
        <w:lastRenderedPageBreak/>
        <w:t xml:space="preserve">Goodman, W. K., Price, L. H., Rasmussen, S. A., &amp; </w:t>
      </w:r>
      <w:proofErr w:type="spellStart"/>
      <w:r w:rsidRPr="00724E40">
        <w:rPr>
          <w:rFonts w:eastAsia="Cambria"/>
        </w:rPr>
        <w:t>Mazure</w:t>
      </w:r>
      <w:proofErr w:type="spellEnd"/>
      <w:r w:rsidRPr="00724E40">
        <w:rPr>
          <w:rFonts w:eastAsia="Cambria"/>
        </w:rPr>
        <w:t xml:space="preserve">, C. (1989b). The Yale-Brown Obsessive Compulsive Scale: II. </w:t>
      </w:r>
      <w:proofErr w:type="gramStart"/>
      <w:r w:rsidRPr="00724E40">
        <w:rPr>
          <w:rFonts w:eastAsia="Cambria"/>
        </w:rPr>
        <w:t>Validity.</w:t>
      </w:r>
      <w:proofErr w:type="gramEnd"/>
      <w:r w:rsidRPr="00724E40">
        <w:rPr>
          <w:rFonts w:eastAsia="Cambria"/>
        </w:rPr>
        <w:t xml:space="preserve"> </w:t>
      </w:r>
      <w:r w:rsidRPr="00724E40">
        <w:rPr>
          <w:rFonts w:eastAsia="Cambria"/>
          <w:i/>
        </w:rPr>
        <w:t>Archives of General Psychiatry</w:t>
      </w:r>
      <w:r w:rsidRPr="00724E40">
        <w:rPr>
          <w:rFonts w:eastAsia="Cambria"/>
        </w:rPr>
        <w:t xml:space="preserve">, </w:t>
      </w:r>
      <w:r w:rsidR="00381A1B" w:rsidRPr="00724E40">
        <w:rPr>
          <w:rFonts w:eastAsia="Cambria"/>
          <w:i/>
        </w:rPr>
        <w:t>46(11)</w:t>
      </w:r>
      <w:r w:rsidRPr="00724E40">
        <w:rPr>
          <w:rFonts w:eastAsia="Cambria"/>
        </w:rPr>
        <w:t>, 1012-1016. doi:10.1001/archpsyc.1989.01810110054008</w:t>
      </w:r>
    </w:p>
    <w:p w:rsidR="00F600E9" w:rsidRPr="00724E40" w:rsidRDefault="00F600E9" w:rsidP="00F600E9">
      <w:pPr>
        <w:autoSpaceDE w:val="0"/>
        <w:autoSpaceDN w:val="0"/>
        <w:adjustRightInd w:val="0"/>
        <w:spacing w:line="480" w:lineRule="auto"/>
        <w:ind w:left="720" w:hanging="720"/>
        <w:rPr>
          <w:rFonts w:eastAsia="Cambria"/>
        </w:rPr>
      </w:pPr>
      <w:proofErr w:type="gramStart"/>
      <w:r w:rsidRPr="00724E40">
        <w:rPr>
          <w:rFonts w:eastAsia="Cambria"/>
        </w:rPr>
        <w:t xml:space="preserve">Greenberg, D., &amp; </w:t>
      </w:r>
      <w:proofErr w:type="spellStart"/>
      <w:r w:rsidRPr="00724E40">
        <w:rPr>
          <w:rFonts w:eastAsia="Cambria"/>
        </w:rPr>
        <w:t>Witztum</w:t>
      </w:r>
      <w:proofErr w:type="spellEnd"/>
      <w:r w:rsidRPr="00724E40">
        <w:rPr>
          <w:rFonts w:eastAsia="Cambria"/>
        </w:rPr>
        <w:t>, E. (2001).</w:t>
      </w:r>
      <w:proofErr w:type="gramEnd"/>
      <w:r w:rsidRPr="00724E40">
        <w:rPr>
          <w:rFonts w:eastAsia="Cambria"/>
        </w:rPr>
        <w:t xml:space="preserve"> </w:t>
      </w:r>
      <w:proofErr w:type="gramStart"/>
      <w:r w:rsidRPr="00724E40">
        <w:rPr>
          <w:rFonts w:eastAsia="Cambria"/>
        </w:rPr>
        <w:t>Treatment of strictly religious patients.</w:t>
      </w:r>
      <w:proofErr w:type="gramEnd"/>
      <w:r w:rsidRPr="00724E40">
        <w:rPr>
          <w:rFonts w:eastAsia="Cambria"/>
        </w:rPr>
        <w:t xml:space="preserve"> In Michele </w:t>
      </w:r>
      <w:proofErr w:type="spellStart"/>
      <w:r w:rsidRPr="00724E40">
        <w:rPr>
          <w:rFonts w:eastAsia="Cambria"/>
        </w:rPr>
        <w:t>Tortora</w:t>
      </w:r>
      <w:proofErr w:type="spellEnd"/>
      <w:r w:rsidRPr="00724E40">
        <w:rPr>
          <w:rFonts w:eastAsia="Cambria"/>
        </w:rPr>
        <w:t xml:space="preserve"> </w:t>
      </w:r>
      <w:proofErr w:type="spellStart"/>
      <w:r w:rsidRPr="00724E40">
        <w:rPr>
          <w:rFonts w:eastAsia="Cambria"/>
        </w:rPr>
        <w:t>Pato</w:t>
      </w:r>
      <w:proofErr w:type="spellEnd"/>
      <w:r w:rsidRPr="00724E40">
        <w:rPr>
          <w:rFonts w:eastAsia="Cambria"/>
        </w:rPr>
        <w:t xml:space="preserve"> &amp; Joseph Zohar (Eds.), </w:t>
      </w:r>
      <w:r w:rsidRPr="00724E40">
        <w:rPr>
          <w:rFonts w:eastAsia="Cambria"/>
          <w:i/>
        </w:rPr>
        <w:t>Current treatments of obsessive-compulsive disorder</w:t>
      </w:r>
      <w:r w:rsidRPr="00724E40">
        <w:rPr>
          <w:rFonts w:eastAsia="Cambria"/>
        </w:rPr>
        <w:t xml:space="preserve"> (2nd ed., pp. 173-191). Washington, DC: American Psychiatric Association.</w:t>
      </w:r>
    </w:p>
    <w:p w:rsidR="00EF66D5" w:rsidRPr="00D06EAB" w:rsidRDefault="00F600E9" w:rsidP="00EF66D5">
      <w:pPr>
        <w:autoSpaceDE w:val="0"/>
        <w:autoSpaceDN w:val="0"/>
        <w:adjustRightInd w:val="0"/>
        <w:spacing w:line="480" w:lineRule="auto"/>
        <w:ind w:left="720" w:hanging="720"/>
        <w:rPr>
          <w:rFonts w:eastAsia="Cambria"/>
        </w:rPr>
      </w:pPr>
      <w:r w:rsidRPr="00D06EAB">
        <w:rPr>
          <w:rFonts w:ascii="Menlo Regular" w:eastAsia="Cambria" w:hAnsi="Menlo Regular" w:cs="Menlo Regular"/>
        </w:rPr>
        <w:t>﻿</w:t>
      </w:r>
      <w:proofErr w:type="gramStart"/>
      <w:r w:rsidR="00EF66D5" w:rsidRPr="00D06EAB">
        <w:rPr>
          <w:rFonts w:eastAsia="Cambria"/>
        </w:rPr>
        <w:t xml:space="preserve">Hayes, S. C., </w:t>
      </w:r>
      <w:proofErr w:type="spellStart"/>
      <w:r w:rsidR="00EF66D5" w:rsidRPr="00D06EAB">
        <w:rPr>
          <w:rFonts w:eastAsia="Cambria"/>
        </w:rPr>
        <w:t>Strosahl</w:t>
      </w:r>
      <w:proofErr w:type="spellEnd"/>
      <w:r w:rsidR="00EF66D5" w:rsidRPr="00D06EAB">
        <w:rPr>
          <w:rFonts w:eastAsia="Cambria"/>
        </w:rPr>
        <w:t>, K. D., &amp; Wilson, K. G. (1999).</w:t>
      </w:r>
      <w:proofErr w:type="gramEnd"/>
      <w:r w:rsidR="00EF66D5" w:rsidRPr="00D06EAB">
        <w:rPr>
          <w:rFonts w:eastAsia="Cambria"/>
        </w:rPr>
        <w:t xml:space="preserve"> </w:t>
      </w:r>
      <w:r w:rsidR="00EF66D5" w:rsidRPr="00D06EAB">
        <w:rPr>
          <w:rFonts w:eastAsia="Cambria"/>
          <w:i/>
        </w:rPr>
        <w:t>Acceptance and commitment therapy: An experiential approach to behavior change</w:t>
      </w:r>
      <w:r w:rsidR="00EF66D5" w:rsidRPr="00D06EAB">
        <w:rPr>
          <w:rFonts w:eastAsia="Cambria"/>
        </w:rPr>
        <w:t>. New York, NY: Guilford Press.</w:t>
      </w:r>
    </w:p>
    <w:p w:rsidR="00F600E9" w:rsidRPr="00724E40" w:rsidRDefault="00F600E9" w:rsidP="00F600E9">
      <w:pPr>
        <w:autoSpaceDE w:val="0"/>
        <w:autoSpaceDN w:val="0"/>
        <w:adjustRightInd w:val="0"/>
        <w:spacing w:line="480" w:lineRule="auto"/>
        <w:ind w:left="720" w:hanging="720"/>
        <w:rPr>
          <w:rFonts w:eastAsia="Calibri"/>
        </w:rPr>
      </w:pPr>
      <w:proofErr w:type="gramStart"/>
      <w:r w:rsidRPr="00724E40">
        <w:rPr>
          <w:rFonts w:eastAsia="Calibri"/>
        </w:rPr>
        <w:t xml:space="preserve">Huppert, J. D., &amp; </w:t>
      </w:r>
      <w:proofErr w:type="spellStart"/>
      <w:r w:rsidRPr="00724E40">
        <w:rPr>
          <w:rFonts w:eastAsia="Calibri"/>
        </w:rPr>
        <w:t>Siev</w:t>
      </w:r>
      <w:proofErr w:type="spellEnd"/>
      <w:r w:rsidRPr="00724E40">
        <w:rPr>
          <w:rFonts w:eastAsia="Calibri"/>
        </w:rPr>
        <w:t>, J. (2010).</w:t>
      </w:r>
      <w:proofErr w:type="gramEnd"/>
      <w:r w:rsidRPr="00724E40">
        <w:rPr>
          <w:rFonts w:eastAsia="Calibri"/>
        </w:rPr>
        <w:t xml:space="preserve"> Treating scrupulosity in religious individuals using cognitive-</w:t>
      </w:r>
    </w:p>
    <w:p w:rsidR="00F600E9" w:rsidRPr="00724E40" w:rsidRDefault="00F600E9" w:rsidP="00880040">
      <w:pPr>
        <w:spacing w:line="480" w:lineRule="auto"/>
        <w:ind w:left="720"/>
        <w:rPr>
          <w:rFonts w:eastAsia="Calibri"/>
        </w:rPr>
      </w:pPr>
      <w:proofErr w:type="gramStart"/>
      <w:r w:rsidRPr="00724E40">
        <w:rPr>
          <w:rFonts w:eastAsia="Calibri"/>
        </w:rPr>
        <w:t>behavioral</w:t>
      </w:r>
      <w:proofErr w:type="gramEnd"/>
      <w:r w:rsidRPr="00724E40">
        <w:rPr>
          <w:rFonts w:eastAsia="Calibri"/>
        </w:rPr>
        <w:t xml:space="preserve"> therapy. </w:t>
      </w:r>
      <w:r w:rsidRPr="00724E40">
        <w:rPr>
          <w:rFonts w:eastAsia="Calibri"/>
          <w:i/>
        </w:rPr>
        <w:t>Cognitive and Behavioral Practice</w:t>
      </w:r>
      <w:r w:rsidR="00880040" w:rsidRPr="00724E40">
        <w:rPr>
          <w:rFonts w:eastAsia="Calibri"/>
          <w:i/>
        </w:rPr>
        <w:t>, 17(4)</w:t>
      </w:r>
      <w:r w:rsidR="00880040" w:rsidRPr="00724E40">
        <w:rPr>
          <w:rFonts w:eastAsia="Calibri"/>
        </w:rPr>
        <w:t xml:space="preserve">, 382-392. </w:t>
      </w:r>
      <w:r w:rsidRPr="00724E40">
        <w:rPr>
          <w:rFonts w:eastAsia="Calibri"/>
        </w:rPr>
        <w:t>doi:10.1016/j.cbpra.2009.07.003</w:t>
      </w:r>
    </w:p>
    <w:p w:rsidR="00241FB9" w:rsidRPr="00241FB9" w:rsidRDefault="00241FB9" w:rsidP="00241FB9">
      <w:pPr>
        <w:spacing w:line="480" w:lineRule="auto"/>
        <w:rPr>
          <w:rFonts w:eastAsia="Calibri"/>
        </w:rPr>
      </w:pPr>
      <w:r>
        <w:rPr>
          <w:rFonts w:eastAsia="Calibri"/>
        </w:rPr>
        <w:t>Jackson, J</w:t>
      </w:r>
      <w:r w:rsidR="00291E7F">
        <w:rPr>
          <w:rFonts w:eastAsia="Calibri"/>
        </w:rPr>
        <w:t>.</w:t>
      </w:r>
      <w:r>
        <w:rPr>
          <w:rFonts w:eastAsia="Calibri"/>
        </w:rPr>
        <w:t xml:space="preserve"> L. (1999). </w:t>
      </w:r>
      <w:proofErr w:type="gramStart"/>
      <w:r w:rsidRPr="00241FB9">
        <w:rPr>
          <w:rFonts w:eastAsia="Calibri"/>
        </w:rPr>
        <w:t>Psychometric considerations in self-monitoring assessment.</w:t>
      </w:r>
      <w:proofErr w:type="gramEnd"/>
    </w:p>
    <w:p w:rsidR="000425AA" w:rsidRDefault="000425AA" w:rsidP="00291E7F">
      <w:pPr>
        <w:spacing w:line="480" w:lineRule="auto"/>
        <w:ind w:left="720"/>
        <w:rPr>
          <w:rFonts w:eastAsia="Calibri"/>
        </w:rPr>
      </w:pPr>
      <w:r w:rsidRPr="00291E7F">
        <w:rPr>
          <w:rFonts w:eastAsia="Calibri"/>
          <w:i/>
        </w:rPr>
        <w:t>Psychological Assessment</w:t>
      </w:r>
      <w:r w:rsidR="00241FB9" w:rsidRPr="00241FB9">
        <w:rPr>
          <w:rFonts w:eastAsia="Calibri"/>
        </w:rPr>
        <w:t xml:space="preserve">, 11(4), 439-447. </w:t>
      </w:r>
      <w:proofErr w:type="spellStart"/>
      <w:proofErr w:type="gramStart"/>
      <w:r w:rsidR="00241FB9" w:rsidRPr="00241FB9">
        <w:rPr>
          <w:rFonts w:eastAsia="Calibri"/>
        </w:rPr>
        <w:t>doi</w:t>
      </w:r>
      <w:proofErr w:type="spellEnd"/>
      <w:proofErr w:type="gramEnd"/>
      <w:r w:rsidR="00241FB9" w:rsidRPr="00241FB9">
        <w:rPr>
          <w:rFonts w:eastAsia="Calibri"/>
        </w:rPr>
        <w:t>: 10.1037/1040-3590.11.4.439</w:t>
      </w:r>
    </w:p>
    <w:p w:rsidR="00F600E9" w:rsidRPr="00724E40" w:rsidRDefault="00F600E9" w:rsidP="00F600E9">
      <w:pPr>
        <w:spacing w:line="480" w:lineRule="auto"/>
        <w:rPr>
          <w:rFonts w:eastAsia="Calibri"/>
        </w:rPr>
      </w:pPr>
      <w:proofErr w:type="gramStart"/>
      <w:r w:rsidRPr="00724E40">
        <w:rPr>
          <w:rFonts w:eastAsia="Calibri"/>
        </w:rPr>
        <w:t xml:space="preserve">Kelley, M. L., </w:t>
      </w:r>
      <w:proofErr w:type="spellStart"/>
      <w:r w:rsidRPr="00724E40">
        <w:rPr>
          <w:rFonts w:eastAsia="Calibri"/>
        </w:rPr>
        <w:t>Heffer</w:t>
      </w:r>
      <w:proofErr w:type="spellEnd"/>
      <w:r w:rsidRPr="00724E40">
        <w:rPr>
          <w:rFonts w:eastAsia="Calibri"/>
        </w:rPr>
        <w:t>, R. W., Gresham, F. M., &amp; Elliott, S. N. (1989).</w:t>
      </w:r>
      <w:proofErr w:type="gramEnd"/>
      <w:r w:rsidRPr="00724E40">
        <w:rPr>
          <w:rFonts w:eastAsia="Calibri"/>
        </w:rPr>
        <w:t xml:space="preserve"> Development of a </w:t>
      </w:r>
    </w:p>
    <w:p w:rsidR="00F600E9" w:rsidRDefault="00F600E9" w:rsidP="00F600E9">
      <w:pPr>
        <w:spacing w:line="480" w:lineRule="auto"/>
        <w:ind w:left="720"/>
        <w:rPr>
          <w:rFonts w:eastAsia="Calibri"/>
        </w:rPr>
      </w:pPr>
      <w:proofErr w:type="gramStart"/>
      <w:r w:rsidRPr="00724E40">
        <w:rPr>
          <w:rFonts w:eastAsia="Calibri"/>
        </w:rPr>
        <w:t>Modified Treatment Evaluation Inventory.</w:t>
      </w:r>
      <w:proofErr w:type="gramEnd"/>
      <w:r w:rsidRPr="00724E40">
        <w:rPr>
          <w:rFonts w:eastAsia="Calibri"/>
        </w:rPr>
        <w:t xml:space="preserve"> </w:t>
      </w:r>
      <w:r w:rsidRPr="00724E40">
        <w:rPr>
          <w:rFonts w:eastAsia="Calibri"/>
          <w:i/>
        </w:rPr>
        <w:t>Journal of Psychopathology and Behavioral Assessment</w:t>
      </w:r>
      <w:r w:rsidRPr="00724E40">
        <w:rPr>
          <w:rFonts w:eastAsia="Calibri"/>
        </w:rPr>
        <w:t xml:space="preserve">, </w:t>
      </w:r>
      <w:r w:rsidR="00381A1B" w:rsidRPr="00724E40">
        <w:rPr>
          <w:rFonts w:eastAsia="Calibri"/>
          <w:i/>
        </w:rPr>
        <w:t>11</w:t>
      </w:r>
      <w:r w:rsidRPr="00724E40">
        <w:rPr>
          <w:rFonts w:eastAsia="Calibri"/>
        </w:rPr>
        <w:t xml:space="preserve">, 235-247. </w:t>
      </w:r>
      <w:proofErr w:type="gramStart"/>
      <w:r w:rsidRPr="00724E40">
        <w:rPr>
          <w:rFonts w:eastAsia="Calibri"/>
        </w:rPr>
        <w:t>doi:</w:t>
      </w:r>
      <w:proofErr w:type="gramEnd"/>
      <w:r w:rsidRPr="00724E40">
        <w:rPr>
          <w:rFonts w:eastAsia="Calibri"/>
        </w:rPr>
        <w:t>10.1007/BF00960495</w:t>
      </w:r>
    </w:p>
    <w:p w:rsidR="00C13071" w:rsidRPr="00C13071" w:rsidRDefault="00C13071" w:rsidP="00C13071">
      <w:pPr>
        <w:spacing w:line="480" w:lineRule="auto"/>
        <w:rPr>
          <w:rFonts w:eastAsia="Calibri"/>
        </w:rPr>
      </w:pPr>
      <w:proofErr w:type="spellStart"/>
      <w:proofErr w:type="gramStart"/>
      <w:r w:rsidRPr="00C13071">
        <w:rPr>
          <w:rFonts w:eastAsia="Calibri"/>
        </w:rPr>
        <w:t>Korotitsch</w:t>
      </w:r>
      <w:proofErr w:type="spellEnd"/>
      <w:r w:rsidRPr="00C13071">
        <w:rPr>
          <w:rFonts w:eastAsia="Calibri"/>
        </w:rPr>
        <w:t>, W. J., &amp; Nelson-Gray, R. O. (1999).</w:t>
      </w:r>
      <w:proofErr w:type="gramEnd"/>
      <w:r w:rsidRPr="00C13071">
        <w:rPr>
          <w:rFonts w:eastAsia="Calibri"/>
        </w:rPr>
        <w:t xml:space="preserve"> An overview of self-monitoring research in </w:t>
      </w:r>
    </w:p>
    <w:p w:rsidR="00C13071" w:rsidRPr="00724E40" w:rsidRDefault="00C13071" w:rsidP="00977724">
      <w:pPr>
        <w:spacing w:line="480" w:lineRule="auto"/>
        <w:ind w:firstLine="720"/>
        <w:rPr>
          <w:rFonts w:eastAsia="Calibri"/>
        </w:rPr>
      </w:pPr>
      <w:proofErr w:type="gramStart"/>
      <w:r w:rsidRPr="00C13071">
        <w:rPr>
          <w:rFonts w:eastAsia="Calibri"/>
        </w:rPr>
        <w:t>assessment</w:t>
      </w:r>
      <w:proofErr w:type="gramEnd"/>
      <w:r w:rsidRPr="00C13071">
        <w:rPr>
          <w:rFonts w:eastAsia="Calibri"/>
        </w:rPr>
        <w:t xml:space="preserve"> and treatment. </w:t>
      </w:r>
      <w:r w:rsidRPr="00977724">
        <w:rPr>
          <w:rFonts w:eastAsia="Calibri"/>
          <w:i/>
        </w:rPr>
        <w:t>Psychological Assessment</w:t>
      </w:r>
      <w:r w:rsidRPr="00C13071">
        <w:rPr>
          <w:rFonts w:eastAsia="Calibri"/>
        </w:rPr>
        <w:t>, 11, 415-425.</w:t>
      </w:r>
    </w:p>
    <w:p w:rsidR="00C8541D" w:rsidRPr="00C8541D" w:rsidRDefault="00C8541D" w:rsidP="00C8541D">
      <w:pPr>
        <w:spacing w:line="480" w:lineRule="auto"/>
        <w:ind w:left="720" w:hanging="720"/>
      </w:pPr>
      <w:proofErr w:type="spellStart"/>
      <w:proofErr w:type="gramStart"/>
      <w:r>
        <w:t>Meuret</w:t>
      </w:r>
      <w:proofErr w:type="spellEnd"/>
      <w:r>
        <w:t xml:space="preserve">, A. E., </w:t>
      </w:r>
      <w:r w:rsidRPr="00C8541D">
        <w:t>Twohig, M. P.,</w:t>
      </w:r>
      <w:r>
        <w:rPr>
          <w:b/>
        </w:rPr>
        <w:t xml:space="preserve"> </w:t>
      </w:r>
      <w:r>
        <w:t xml:space="preserve">Hayes, S. C., </w:t>
      </w:r>
      <w:proofErr w:type="spellStart"/>
      <w:r>
        <w:t>Rosenfield</w:t>
      </w:r>
      <w:proofErr w:type="spellEnd"/>
      <w:r>
        <w:t xml:space="preserve">, D. &amp; </w:t>
      </w:r>
      <w:proofErr w:type="spellStart"/>
      <w:r>
        <w:t>Craske</w:t>
      </w:r>
      <w:proofErr w:type="spellEnd"/>
      <w:r>
        <w:t xml:space="preserve">, M. G. </w:t>
      </w:r>
      <w:r w:rsidRPr="00473E06">
        <w:t>(</w:t>
      </w:r>
      <w:r>
        <w:t>2012</w:t>
      </w:r>
      <w:r w:rsidRPr="00473E06">
        <w:t>)</w:t>
      </w:r>
      <w:r>
        <w:t>.</w:t>
      </w:r>
      <w:proofErr w:type="gramEnd"/>
      <w:r>
        <w:t xml:space="preserve"> Brief acceptance and commitment therapy and exposure for panic disorder: A pilot study. </w:t>
      </w:r>
      <w:r>
        <w:rPr>
          <w:i/>
        </w:rPr>
        <w:t xml:space="preserve">Cognitive and Behavioral Practice, 19, </w:t>
      </w:r>
      <w:r>
        <w:t>606-618</w:t>
      </w:r>
      <w:r>
        <w:rPr>
          <w:i/>
        </w:rPr>
        <w:t xml:space="preserve">. </w:t>
      </w:r>
      <w:proofErr w:type="spellStart"/>
      <w:proofErr w:type="gramStart"/>
      <w:r>
        <w:t>doi</w:t>
      </w:r>
      <w:proofErr w:type="spellEnd"/>
      <w:proofErr w:type="gramEnd"/>
      <w:r>
        <w:t>:</w:t>
      </w:r>
      <w:r w:rsidRPr="00C8541D">
        <w:t xml:space="preserve"> </w:t>
      </w:r>
      <w:r>
        <w:t>10.1016/j.cbpra.2012.05.004</w:t>
      </w:r>
    </w:p>
    <w:p w:rsidR="00F600E9" w:rsidRPr="00724E40" w:rsidRDefault="00F600E9" w:rsidP="00F600E9">
      <w:pPr>
        <w:spacing w:line="480" w:lineRule="auto"/>
        <w:ind w:left="720" w:hanging="720"/>
        <w:rPr>
          <w:rFonts w:eastAsia="Calibri"/>
        </w:rPr>
      </w:pPr>
      <w:r w:rsidRPr="00724E40">
        <w:rPr>
          <w:rFonts w:eastAsia="Calibri"/>
        </w:rPr>
        <w:lastRenderedPageBreak/>
        <w:t xml:space="preserve">Miller, C. H., &amp; Hedges, D. W. (2008). Scrupulosity disorder: an overview and introductory analysis. </w:t>
      </w:r>
      <w:r w:rsidRPr="00724E40">
        <w:rPr>
          <w:rFonts w:eastAsia="Calibri"/>
          <w:i/>
        </w:rPr>
        <w:t>Journal of Anxiety Disorders</w:t>
      </w:r>
      <w:r w:rsidRPr="00724E40">
        <w:rPr>
          <w:rFonts w:eastAsia="Calibri"/>
        </w:rPr>
        <w:t xml:space="preserve">, </w:t>
      </w:r>
      <w:r w:rsidR="00381A1B" w:rsidRPr="00724E40">
        <w:rPr>
          <w:rFonts w:eastAsia="Calibri"/>
          <w:i/>
        </w:rPr>
        <w:t>22(6)</w:t>
      </w:r>
      <w:r w:rsidRPr="00724E40">
        <w:rPr>
          <w:rFonts w:eastAsia="Calibri"/>
        </w:rPr>
        <w:t>, 1042-1058. doi:10.1016/j.janxdis.2007.11.004</w:t>
      </w:r>
    </w:p>
    <w:p w:rsidR="00F600E9" w:rsidRPr="00724E40" w:rsidRDefault="00F600E9" w:rsidP="00F600E9">
      <w:pPr>
        <w:spacing w:line="480" w:lineRule="auto"/>
        <w:rPr>
          <w:rFonts w:eastAsia="Calibri"/>
        </w:rPr>
      </w:pPr>
      <w:proofErr w:type="spellStart"/>
      <w:proofErr w:type="gramStart"/>
      <w:r w:rsidRPr="00724E40">
        <w:rPr>
          <w:rFonts w:eastAsia="Calibri"/>
        </w:rPr>
        <w:t>Plante</w:t>
      </w:r>
      <w:proofErr w:type="spellEnd"/>
      <w:r w:rsidRPr="00724E40">
        <w:rPr>
          <w:rFonts w:eastAsia="Calibri"/>
        </w:rPr>
        <w:t xml:space="preserve">, T. G., &amp; </w:t>
      </w:r>
      <w:proofErr w:type="spellStart"/>
      <w:r w:rsidRPr="00724E40">
        <w:rPr>
          <w:rFonts w:eastAsia="Calibri"/>
        </w:rPr>
        <w:t>Boccaccini</w:t>
      </w:r>
      <w:proofErr w:type="spellEnd"/>
      <w:r w:rsidRPr="00724E40">
        <w:rPr>
          <w:rFonts w:eastAsia="Calibri"/>
        </w:rPr>
        <w:t>, M. T. (1997).</w:t>
      </w:r>
      <w:proofErr w:type="gramEnd"/>
      <w:r w:rsidRPr="00724E40">
        <w:rPr>
          <w:rFonts w:eastAsia="Calibri"/>
        </w:rPr>
        <w:t xml:space="preserve"> The Santa Clara </w:t>
      </w:r>
      <w:r w:rsidR="00A53CF6" w:rsidRPr="00724E40">
        <w:rPr>
          <w:rFonts w:eastAsia="Calibri"/>
        </w:rPr>
        <w:t>S</w:t>
      </w:r>
      <w:r w:rsidRPr="00724E40">
        <w:rPr>
          <w:rFonts w:eastAsia="Calibri"/>
        </w:rPr>
        <w:t xml:space="preserve">trength of </w:t>
      </w:r>
      <w:r w:rsidR="00A53CF6" w:rsidRPr="00724E40">
        <w:rPr>
          <w:rFonts w:eastAsia="Calibri"/>
        </w:rPr>
        <w:t>R</w:t>
      </w:r>
      <w:r w:rsidRPr="00724E40">
        <w:rPr>
          <w:rFonts w:eastAsia="Calibri"/>
        </w:rPr>
        <w:t xml:space="preserve">eligious </w:t>
      </w:r>
      <w:r w:rsidR="00A53CF6" w:rsidRPr="00724E40">
        <w:rPr>
          <w:rFonts w:eastAsia="Calibri"/>
        </w:rPr>
        <w:t>F</w:t>
      </w:r>
      <w:r w:rsidRPr="00724E40">
        <w:rPr>
          <w:rFonts w:eastAsia="Calibri"/>
        </w:rPr>
        <w:t xml:space="preserve">aith </w:t>
      </w:r>
    </w:p>
    <w:p w:rsidR="00F600E9" w:rsidRPr="00724E40" w:rsidRDefault="00A53CF6" w:rsidP="00F600E9">
      <w:pPr>
        <w:spacing w:line="480" w:lineRule="auto"/>
        <w:ind w:firstLine="720"/>
        <w:rPr>
          <w:rFonts w:eastAsia="Calibri"/>
        </w:rPr>
      </w:pPr>
      <w:proofErr w:type="gramStart"/>
      <w:r w:rsidRPr="00724E40">
        <w:rPr>
          <w:rFonts w:eastAsia="Calibri"/>
        </w:rPr>
        <w:t>Q</w:t>
      </w:r>
      <w:r w:rsidR="00F600E9" w:rsidRPr="00724E40">
        <w:rPr>
          <w:rFonts w:eastAsia="Calibri"/>
        </w:rPr>
        <w:t>uestionnaire.</w:t>
      </w:r>
      <w:proofErr w:type="gramEnd"/>
      <w:r w:rsidR="00F600E9" w:rsidRPr="00724E40">
        <w:rPr>
          <w:rFonts w:eastAsia="Calibri"/>
        </w:rPr>
        <w:t xml:space="preserve"> </w:t>
      </w:r>
      <w:r w:rsidR="00381A1B" w:rsidRPr="00724E40">
        <w:rPr>
          <w:rFonts w:eastAsia="Calibri"/>
          <w:i/>
        </w:rPr>
        <w:t>Pastoral Psychology, 45(5)</w:t>
      </w:r>
      <w:r w:rsidR="00F600E9" w:rsidRPr="00724E40">
        <w:rPr>
          <w:rFonts w:eastAsia="Calibri"/>
        </w:rPr>
        <w:t xml:space="preserve">, 375-387. </w:t>
      </w:r>
      <w:proofErr w:type="gramStart"/>
      <w:r w:rsidR="00F600E9" w:rsidRPr="00724E40">
        <w:rPr>
          <w:rFonts w:eastAsia="Calibri"/>
        </w:rPr>
        <w:t>doi:</w:t>
      </w:r>
      <w:proofErr w:type="gramEnd"/>
      <w:r w:rsidR="00F600E9" w:rsidRPr="00724E40">
        <w:t>10.1007/BF02230993</w:t>
      </w:r>
    </w:p>
    <w:p w:rsidR="00F600E9" w:rsidRPr="00D06EAB" w:rsidRDefault="00F600E9" w:rsidP="00F600E9">
      <w:pPr>
        <w:autoSpaceDE w:val="0"/>
        <w:autoSpaceDN w:val="0"/>
        <w:adjustRightInd w:val="0"/>
        <w:spacing w:line="480" w:lineRule="auto"/>
        <w:ind w:left="720" w:hanging="720"/>
        <w:rPr>
          <w:rFonts w:eastAsia="Cambria"/>
        </w:rPr>
      </w:pPr>
      <w:proofErr w:type="gramStart"/>
      <w:r w:rsidRPr="00D06EAB">
        <w:rPr>
          <w:rFonts w:eastAsia="Cambria"/>
        </w:rPr>
        <w:t xml:space="preserve">Segal, D. L., </w:t>
      </w:r>
      <w:proofErr w:type="spellStart"/>
      <w:r w:rsidRPr="00D06EAB">
        <w:rPr>
          <w:rFonts w:eastAsia="Cambria"/>
        </w:rPr>
        <w:t>Hersen</w:t>
      </w:r>
      <w:proofErr w:type="spellEnd"/>
      <w:r w:rsidRPr="00D06EAB">
        <w:rPr>
          <w:rFonts w:eastAsia="Cambria"/>
        </w:rPr>
        <w:t>, M., &amp; Van Hasselt, V. B. (1994).</w:t>
      </w:r>
      <w:proofErr w:type="gramEnd"/>
      <w:r w:rsidRPr="00D06EAB">
        <w:rPr>
          <w:rFonts w:eastAsia="Cambria"/>
        </w:rPr>
        <w:t xml:space="preserve"> Reliability of the Structured Clinical Interview for DSM-III--R: An evaluative review. </w:t>
      </w:r>
      <w:r w:rsidRPr="00D06EAB">
        <w:rPr>
          <w:rFonts w:eastAsia="Cambria"/>
          <w:i/>
        </w:rPr>
        <w:t>Comprehensive Psychiatry</w:t>
      </w:r>
      <w:r w:rsidRPr="00D06EAB">
        <w:rPr>
          <w:rFonts w:eastAsia="Cambria"/>
        </w:rPr>
        <w:t xml:space="preserve">, </w:t>
      </w:r>
      <w:r w:rsidR="00381A1B" w:rsidRPr="00D06EAB">
        <w:rPr>
          <w:rFonts w:eastAsia="Cambria"/>
          <w:i/>
        </w:rPr>
        <w:t>35(4)</w:t>
      </w:r>
      <w:r w:rsidRPr="00D06EAB">
        <w:rPr>
          <w:rFonts w:eastAsia="Cambria"/>
        </w:rPr>
        <w:t xml:space="preserve">, 316-327. </w:t>
      </w:r>
      <w:proofErr w:type="gramStart"/>
      <w:r w:rsidRPr="00D06EAB">
        <w:rPr>
          <w:rFonts w:eastAsia="Cambria"/>
        </w:rPr>
        <w:t>doi:</w:t>
      </w:r>
      <w:proofErr w:type="gramEnd"/>
      <w:r w:rsidRPr="00D06EAB">
        <w:t>10.1016/0010-440X(94)90025-6</w:t>
      </w:r>
    </w:p>
    <w:p w:rsidR="00F600E9" w:rsidRPr="00724E40" w:rsidRDefault="00F600E9" w:rsidP="00F600E9">
      <w:pPr>
        <w:autoSpaceDE w:val="0"/>
        <w:autoSpaceDN w:val="0"/>
        <w:adjustRightInd w:val="0"/>
        <w:spacing w:line="480" w:lineRule="auto"/>
        <w:ind w:left="720" w:hanging="720"/>
        <w:rPr>
          <w:rFonts w:eastAsia="Cambria"/>
        </w:rPr>
      </w:pPr>
      <w:proofErr w:type="spellStart"/>
      <w:proofErr w:type="gramStart"/>
      <w:r w:rsidRPr="00724E40">
        <w:rPr>
          <w:rFonts w:eastAsia="Cambria"/>
        </w:rPr>
        <w:t>Tolin</w:t>
      </w:r>
      <w:proofErr w:type="spellEnd"/>
      <w:r w:rsidRPr="00724E40">
        <w:rPr>
          <w:rFonts w:eastAsia="Cambria"/>
        </w:rPr>
        <w:t>, D. F. (2009).</w:t>
      </w:r>
      <w:proofErr w:type="gramEnd"/>
      <w:r w:rsidRPr="00724E40">
        <w:rPr>
          <w:rFonts w:eastAsia="Cambria"/>
        </w:rPr>
        <w:t xml:space="preserve"> Alphabet Soup: ERP, CT, and ACT for OCD. </w:t>
      </w:r>
      <w:r w:rsidR="00381A1B" w:rsidRPr="00724E40">
        <w:rPr>
          <w:rFonts w:eastAsia="Cambria"/>
          <w:i/>
        </w:rPr>
        <w:t>Cognitive and Behavioral Practice, 16(1)</w:t>
      </w:r>
      <w:r w:rsidRPr="00724E40">
        <w:rPr>
          <w:rFonts w:eastAsia="Cambria"/>
        </w:rPr>
        <w:t>, 40-48. doi:</w:t>
      </w:r>
      <w:r w:rsidRPr="00724E40">
        <w:t>10.1016/j.cbpra.2008.07.001</w:t>
      </w:r>
    </w:p>
    <w:p w:rsidR="00F600E9" w:rsidRPr="00724E40" w:rsidRDefault="00F600E9" w:rsidP="00F600E9">
      <w:pPr>
        <w:autoSpaceDE w:val="0"/>
        <w:autoSpaceDN w:val="0"/>
        <w:adjustRightInd w:val="0"/>
        <w:spacing w:line="480" w:lineRule="auto"/>
        <w:ind w:left="720" w:hanging="720"/>
        <w:rPr>
          <w:rFonts w:eastAsia="Calibri"/>
        </w:rPr>
      </w:pPr>
      <w:r w:rsidRPr="00724E40">
        <w:rPr>
          <w:rFonts w:eastAsia="Calibri"/>
        </w:rPr>
        <w:t xml:space="preserve">Twohig, M. P. (2009). </w:t>
      </w:r>
      <w:proofErr w:type="gramStart"/>
      <w:r w:rsidRPr="00724E40">
        <w:rPr>
          <w:rFonts w:eastAsia="Calibri"/>
        </w:rPr>
        <w:t>The application of acceptance and commitment therapy to obsessive-compulsive disorder.</w:t>
      </w:r>
      <w:proofErr w:type="gramEnd"/>
      <w:r w:rsidRPr="00724E40">
        <w:rPr>
          <w:rFonts w:eastAsia="Calibri"/>
        </w:rPr>
        <w:t xml:space="preserve"> </w:t>
      </w:r>
      <w:r w:rsidRPr="00724E40">
        <w:rPr>
          <w:rFonts w:eastAsia="Calibri"/>
          <w:i/>
          <w:iCs/>
        </w:rPr>
        <w:t>Cognitive and Behavioral Practice, 16</w:t>
      </w:r>
      <w:r w:rsidR="00381A1B" w:rsidRPr="00724E40">
        <w:rPr>
          <w:rFonts w:eastAsia="Calibri"/>
          <w:i/>
        </w:rPr>
        <w:t>(1)</w:t>
      </w:r>
      <w:r w:rsidRPr="00724E40">
        <w:rPr>
          <w:rFonts w:eastAsia="Calibri"/>
        </w:rPr>
        <w:t>, 18-28. doi:</w:t>
      </w:r>
      <w:r w:rsidRPr="00724E40">
        <w:t>10.1016/j.cbpra.2008.02.008</w:t>
      </w:r>
    </w:p>
    <w:p w:rsidR="00C13071" w:rsidRDefault="00C13071" w:rsidP="00F600E9">
      <w:pPr>
        <w:spacing w:line="480" w:lineRule="auto"/>
        <w:ind w:left="720" w:hanging="720"/>
      </w:pPr>
      <w:proofErr w:type="gramStart"/>
      <w:r w:rsidRPr="00C13071">
        <w:t xml:space="preserve">Twohig, M. P., &amp; Crosby, J. M. </w:t>
      </w:r>
      <w:r>
        <w:t>(2010).</w:t>
      </w:r>
      <w:proofErr w:type="gramEnd"/>
      <w:r>
        <w:t xml:space="preserve"> </w:t>
      </w:r>
      <w:proofErr w:type="gramStart"/>
      <w:r w:rsidRPr="00C13071">
        <w:t>Acceptance and Commitment Therapy as a Treatment for Problematic Internet Pornography Viewing.</w:t>
      </w:r>
      <w:proofErr w:type="gramEnd"/>
      <w:r w:rsidRPr="00C13071">
        <w:t xml:space="preserve"> </w:t>
      </w:r>
      <w:r w:rsidRPr="00977724">
        <w:rPr>
          <w:i/>
        </w:rPr>
        <w:t>Behavior Therapy</w:t>
      </w:r>
      <w:r w:rsidRPr="00C13071">
        <w:t>, 41(3), 285-295.</w:t>
      </w:r>
    </w:p>
    <w:p w:rsidR="00F600E9" w:rsidRPr="00724E40" w:rsidRDefault="00F600E9" w:rsidP="00F600E9">
      <w:pPr>
        <w:spacing w:line="480" w:lineRule="auto"/>
        <w:ind w:left="720" w:hanging="720"/>
        <w:rPr>
          <w:lang w:val="sv-SE"/>
        </w:rPr>
      </w:pPr>
      <w:proofErr w:type="gramStart"/>
      <w:r w:rsidRPr="00724E40">
        <w:t>Twohig, M. P., Hayes, S. C., &amp; Masuda, A. (2006).</w:t>
      </w:r>
      <w:proofErr w:type="gramEnd"/>
      <w:r w:rsidRPr="00724E40">
        <w:t xml:space="preserve"> </w:t>
      </w:r>
      <w:proofErr w:type="gramStart"/>
      <w:r w:rsidRPr="00724E40">
        <w:t>Increasing willingness to experience obsessions: Acceptance and commitment therapy as a treatment for obsessive compulsive disorder.</w:t>
      </w:r>
      <w:proofErr w:type="gramEnd"/>
      <w:r w:rsidRPr="00724E40">
        <w:t xml:space="preserve"> </w:t>
      </w:r>
      <w:r w:rsidRPr="00724E40">
        <w:rPr>
          <w:i/>
          <w:iCs/>
          <w:lang w:val="sv-SE"/>
        </w:rPr>
        <w:t xml:space="preserve">Behavior Therapy, 37, </w:t>
      </w:r>
      <w:r w:rsidRPr="00724E40">
        <w:rPr>
          <w:iCs/>
          <w:lang w:val="sv-SE"/>
        </w:rPr>
        <w:t>3-13</w:t>
      </w:r>
      <w:r w:rsidRPr="00724E40">
        <w:rPr>
          <w:i/>
          <w:iCs/>
          <w:lang w:val="sv-SE"/>
        </w:rPr>
        <w:t>.</w:t>
      </w:r>
      <w:r w:rsidRPr="00724E40">
        <w:rPr>
          <w:lang w:val="sv-SE"/>
        </w:rPr>
        <w:t xml:space="preserve"> doi:</w:t>
      </w:r>
      <w:r w:rsidRPr="00724E40">
        <w:t>10.1016/j.beth.2005.02.001</w:t>
      </w:r>
    </w:p>
    <w:p w:rsidR="00F600E9" w:rsidRPr="00724E40" w:rsidRDefault="00F600E9" w:rsidP="00F600E9">
      <w:pPr>
        <w:widowControl w:val="0"/>
        <w:rPr>
          <w:iCs/>
        </w:rPr>
      </w:pPr>
      <w:r w:rsidRPr="00724E40">
        <w:rPr>
          <w:iCs/>
        </w:rPr>
        <w:t xml:space="preserve">Twohig, M. P., Hayes, S. C., Plumb, J. C., Pruitt, L. D., Collins, A. B., </w:t>
      </w:r>
      <w:proofErr w:type="spellStart"/>
      <w:r w:rsidRPr="00724E40">
        <w:rPr>
          <w:iCs/>
        </w:rPr>
        <w:t>Hazlett</w:t>
      </w:r>
      <w:proofErr w:type="spellEnd"/>
      <w:r w:rsidRPr="00724E40">
        <w:rPr>
          <w:iCs/>
        </w:rPr>
        <w:t xml:space="preserve">-Stevens, H., </w:t>
      </w:r>
    </w:p>
    <w:p w:rsidR="00F600E9" w:rsidRPr="00724E40" w:rsidRDefault="00F600E9" w:rsidP="00F600E9">
      <w:pPr>
        <w:widowControl w:val="0"/>
        <w:rPr>
          <w:iCs/>
        </w:rPr>
      </w:pPr>
    </w:p>
    <w:p w:rsidR="00F600E9" w:rsidRPr="00724E40" w:rsidRDefault="00F600E9" w:rsidP="00F600E9">
      <w:pPr>
        <w:widowControl w:val="0"/>
        <w:rPr>
          <w:iCs/>
        </w:rPr>
      </w:pPr>
      <w:r w:rsidRPr="00724E40">
        <w:rPr>
          <w:iCs/>
        </w:rPr>
        <w:tab/>
      </w:r>
      <w:proofErr w:type="spellStart"/>
      <w:r w:rsidRPr="00724E40">
        <w:rPr>
          <w:iCs/>
        </w:rPr>
        <w:t>Woidneck</w:t>
      </w:r>
      <w:proofErr w:type="spellEnd"/>
      <w:r w:rsidRPr="00724E40">
        <w:rPr>
          <w:iCs/>
        </w:rPr>
        <w:t xml:space="preserve">, M. R. (2010). A randomized clinical trial of </w:t>
      </w:r>
      <w:r w:rsidR="00A53CF6" w:rsidRPr="00724E40">
        <w:rPr>
          <w:iCs/>
        </w:rPr>
        <w:t>a</w:t>
      </w:r>
      <w:r w:rsidRPr="00724E40">
        <w:rPr>
          <w:iCs/>
        </w:rPr>
        <w:t xml:space="preserve">cceptance and </w:t>
      </w:r>
      <w:r w:rsidR="00A53CF6" w:rsidRPr="00724E40">
        <w:rPr>
          <w:iCs/>
        </w:rPr>
        <w:t>c</w:t>
      </w:r>
      <w:r w:rsidRPr="00724E40">
        <w:rPr>
          <w:iCs/>
        </w:rPr>
        <w:t xml:space="preserve">ommitment </w:t>
      </w:r>
    </w:p>
    <w:p w:rsidR="00F600E9" w:rsidRPr="00724E40" w:rsidRDefault="00F600E9" w:rsidP="00F600E9">
      <w:pPr>
        <w:widowControl w:val="0"/>
        <w:rPr>
          <w:iCs/>
        </w:rPr>
      </w:pPr>
    </w:p>
    <w:p w:rsidR="00F600E9" w:rsidRPr="00724E40" w:rsidRDefault="00F600E9" w:rsidP="00F600E9">
      <w:pPr>
        <w:widowControl w:val="0"/>
        <w:rPr>
          <w:i/>
          <w:iCs/>
        </w:rPr>
      </w:pPr>
      <w:r w:rsidRPr="00724E40">
        <w:rPr>
          <w:iCs/>
        </w:rPr>
        <w:tab/>
      </w:r>
      <w:proofErr w:type="gramStart"/>
      <w:r w:rsidR="00A53CF6" w:rsidRPr="00724E40">
        <w:rPr>
          <w:iCs/>
        </w:rPr>
        <w:t>t</w:t>
      </w:r>
      <w:r w:rsidRPr="00724E40">
        <w:rPr>
          <w:iCs/>
        </w:rPr>
        <w:t>herapy</w:t>
      </w:r>
      <w:proofErr w:type="gramEnd"/>
      <w:r w:rsidRPr="00724E40">
        <w:rPr>
          <w:iCs/>
        </w:rPr>
        <w:t xml:space="preserve"> vs. </w:t>
      </w:r>
      <w:r w:rsidR="00A53CF6" w:rsidRPr="00724E40">
        <w:rPr>
          <w:iCs/>
        </w:rPr>
        <w:t>p</w:t>
      </w:r>
      <w:r w:rsidRPr="00724E40">
        <w:rPr>
          <w:iCs/>
        </w:rPr>
        <w:t xml:space="preserve">rogressive </w:t>
      </w:r>
      <w:r w:rsidR="00A53CF6" w:rsidRPr="00724E40">
        <w:rPr>
          <w:iCs/>
        </w:rPr>
        <w:t>r</w:t>
      </w:r>
      <w:r w:rsidRPr="00724E40">
        <w:rPr>
          <w:iCs/>
        </w:rPr>
        <w:t xml:space="preserve">elaxation </w:t>
      </w:r>
      <w:r w:rsidR="00A53CF6" w:rsidRPr="00724E40">
        <w:rPr>
          <w:iCs/>
        </w:rPr>
        <w:t>t</w:t>
      </w:r>
      <w:r w:rsidRPr="00724E40">
        <w:rPr>
          <w:iCs/>
        </w:rPr>
        <w:t xml:space="preserve">raining for obsessive compulsive disorder. </w:t>
      </w:r>
      <w:r w:rsidRPr="00724E40">
        <w:rPr>
          <w:i/>
          <w:iCs/>
        </w:rPr>
        <w:t xml:space="preserve">Journal </w:t>
      </w:r>
    </w:p>
    <w:p w:rsidR="00F600E9" w:rsidRPr="00724E40" w:rsidRDefault="00F600E9" w:rsidP="00F600E9">
      <w:pPr>
        <w:widowControl w:val="0"/>
        <w:rPr>
          <w:i/>
          <w:iCs/>
        </w:rPr>
      </w:pPr>
    </w:p>
    <w:p w:rsidR="00F600E9" w:rsidRPr="00F57420" w:rsidRDefault="00F600E9" w:rsidP="006162F5">
      <w:pPr>
        <w:ind w:firstLine="720"/>
      </w:pPr>
      <w:proofErr w:type="gramStart"/>
      <w:r w:rsidRPr="00724E40">
        <w:rPr>
          <w:i/>
          <w:iCs/>
        </w:rPr>
        <w:t>of</w:t>
      </w:r>
      <w:proofErr w:type="gramEnd"/>
      <w:r w:rsidRPr="00724E40">
        <w:rPr>
          <w:i/>
          <w:iCs/>
        </w:rPr>
        <w:t xml:space="preserve"> Consulting and Clinical Psychology</w:t>
      </w:r>
      <w:r w:rsidRPr="00724E40">
        <w:rPr>
          <w:iCs/>
        </w:rPr>
        <w:t xml:space="preserve">, </w:t>
      </w:r>
      <w:r w:rsidR="00381A1B" w:rsidRPr="00724E40">
        <w:rPr>
          <w:i/>
          <w:iCs/>
        </w:rPr>
        <w:t>78(5)</w:t>
      </w:r>
      <w:r w:rsidRPr="00724E40">
        <w:rPr>
          <w:iCs/>
        </w:rPr>
        <w:t xml:space="preserve">, 705-716. </w:t>
      </w:r>
      <w:proofErr w:type="gramStart"/>
      <w:r w:rsidRPr="00724E40">
        <w:rPr>
          <w:iCs/>
        </w:rPr>
        <w:t>doi:</w:t>
      </w:r>
      <w:proofErr w:type="gramEnd"/>
      <w:r w:rsidRPr="00724E40">
        <w:rPr>
          <w:iCs/>
        </w:rPr>
        <w:t>10.1037/a0020508</w:t>
      </w:r>
      <w:r w:rsidRPr="00F57420">
        <w:br w:type="page"/>
      </w:r>
    </w:p>
    <w:p w:rsidR="000C16AE" w:rsidRPr="00F57420" w:rsidRDefault="000C16AE" w:rsidP="000C16AE">
      <w:pPr>
        <w:spacing w:line="480" w:lineRule="auto"/>
        <w:jc w:val="center"/>
      </w:pPr>
      <w:r w:rsidRPr="00F57420">
        <w:lastRenderedPageBreak/>
        <w:t>Author Note</w:t>
      </w:r>
    </w:p>
    <w:p w:rsidR="000C16AE" w:rsidRDefault="00725D0F" w:rsidP="00725D0F">
      <w:pPr>
        <w:spacing w:line="480" w:lineRule="auto"/>
        <w:ind w:firstLine="720"/>
      </w:pPr>
      <w:r w:rsidRPr="00F57420">
        <w:t xml:space="preserve">John P. </w:t>
      </w:r>
      <w:proofErr w:type="spellStart"/>
      <w:r w:rsidRPr="00F57420">
        <w:t>Dehlin</w:t>
      </w:r>
      <w:proofErr w:type="spellEnd"/>
      <w:r w:rsidR="009F1238" w:rsidRPr="00F57420">
        <w:t xml:space="preserve"> (</w:t>
      </w:r>
      <w:hyperlink r:id="rId9" w:history="1">
        <w:r w:rsidR="009F1238" w:rsidRPr="00F57420">
          <w:rPr>
            <w:rStyle w:val="Hyperlink"/>
          </w:rPr>
          <w:t>john.dehlin@aggiemail.usu.edu</w:t>
        </w:r>
      </w:hyperlink>
      <w:r w:rsidR="009F1238" w:rsidRPr="00F57420">
        <w:t>)</w:t>
      </w:r>
      <w:r w:rsidRPr="00F57420">
        <w:t xml:space="preserve">, Kate </w:t>
      </w:r>
      <w:r w:rsidR="00F600E9" w:rsidRPr="00F57420">
        <w:t>L</w:t>
      </w:r>
      <w:r w:rsidRPr="00F57420">
        <w:t xml:space="preserve">. Morrison, </w:t>
      </w:r>
      <w:r w:rsidR="000C16AE" w:rsidRPr="00F57420">
        <w:t xml:space="preserve">and Michael P. Twohig </w:t>
      </w:r>
      <w:r w:rsidR="009F1238" w:rsidRPr="00F57420">
        <w:t>(</w:t>
      </w:r>
      <w:hyperlink r:id="rId10" w:history="1">
        <w:r w:rsidR="009F1238" w:rsidRPr="00F57420">
          <w:rPr>
            <w:rStyle w:val="Hyperlink"/>
          </w:rPr>
          <w:t>michael.twohig@usu.edu</w:t>
        </w:r>
      </w:hyperlink>
      <w:r w:rsidR="009F1238" w:rsidRPr="00F57420">
        <w:t xml:space="preserve">) </w:t>
      </w:r>
      <w:r w:rsidR="000C16AE" w:rsidRPr="00F57420">
        <w:t>are in the Department of Psychology at Utah State University</w:t>
      </w:r>
      <w:r w:rsidR="00556233">
        <w:t>,</w:t>
      </w:r>
      <w:r w:rsidR="000C16AE" w:rsidRPr="00F57420">
        <w:t xml:space="preserve"> 2810 Old Main Hill, </w:t>
      </w:r>
      <w:proofErr w:type="gramStart"/>
      <w:r w:rsidR="000C16AE" w:rsidRPr="00F57420">
        <w:t>Logan</w:t>
      </w:r>
      <w:proofErr w:type="gramEnd"/>
      <w:r w:rsidR="000C16AE" w:rsidRPr="00F57420">
        <w:t>, UT, 84322</w:t>
      </w:r>
      <w:r w:rsidRPr="00F57420">
        <w:t xml:space="preserve">. </w:t>
      </w:r>
      <w:r w:rsidR="00220BFE" w:rsidRPr="00F57420">
        <w:t xml:space="preserve">This study was completed as John </w:t>
      </w:r>
      <w:proofErr w:type="spellStart"/>
      <w:r w:rsidR="00220BFE" w:rsidRPr="00F57420">
        <w:t>Dehlin’s</w:t>
      </w:r>
      <w:proofErr w:type="spellEnd"/>
      <w:r w:rsidR="00220BFE" w:rsidRPr="00F57420">
        <w:t xml:space="preserve"> </w:t>
      </w:r>
      <w:r w:rsidR="007E4D9C" w:rsidRPr="00F57420">
        <w:t>m</w:t>
      </w:r>
      <w:r w:rsidR="00220BFE" w:rsidRPr="00F57420">
        <w:t xml:space="preserve">aster’s </w:t>
      </w:r>
      <w:r w:rsidR="007E4D9C" w:rsidRPr="00F57420">
        <w:t>t</w:t>
      </w:r>
      <w:r w:rsidR="00220BFE" w:rsidRPr="00F57420">
        <w:t xml:space="preserve">hesis equivalent at USU. </w:t>
      </w:r>
      <w:r w:rsidRPr="00F57420">
        <w:t xml:space="preserve">A </w:t>
      </w:r>
      <w:r w:rsidR="00E56903" w:rsidRPr="00F57420">
        <w:t xml:space="preserve">copy of the manual is available from the corresponding author. </w:t>
      </w:r>
    </w:p>
    <w:p w:rsidR="00E85486" w:rsidRDefault="00E85486">
      <w:pPr>
        <w:rPr>
          <w:b/>
        </w:rPr>
      </w:pPr>
      <w:r>
        <w:rPr>
          <w:b/>
        </w:rPr>
        <w:br w:type="page"/>
      </w:r>
    </w:p>
    <w:p w:rsidR="00BF7955" w:rsidRDefault="00BF7955" w:rsidP="00FA4329">
      <w:pPr>
        <w:spacing w:line="480" w:lineRule="auto"/>
        <w:rPr>
          <w:b/>
        </w:rPr>
      </w:pPr>
    </w:p>
    <w:p w:rsidR="00892CC0" w:rsidRDefault="00892CC0" w:rsidP="00FA4329">
      <w:pPr>
        <w:spacing w:line="480" w:lineRule="auto"/>
        <w:rPr>
          <w:b/>
        </w:rPr>
      </w:pPr>
      <w:r w:rsidRPr="00FA4329">
        <w:rPr>
          <w:b/>
        </w:rPr>
        <w:t>Author Bios:</w:t>
      </w:r>
    </w:p>
    <w:p w:rsidR="000E097A" w:rsidRDefault="000E097A" w:rsidP="000E097A">
      <w:pPr>
        <w:spacing w:line="480" w:lineRule="auto"/>
      </w:pPr>
      <w:r>
        <w:t xml:space="preserve">John </w:t>
      </w:r>
      <w:proofErr w:type="spellStart"/>
      <w:r>
        <w:t>Dehlin</w:t>
      </w:r>
      <w:proofErr w:type="spellEnd"/>
      <w:r>
        <w:t>, M.S. is a doctoral student in psychology at Utah State University.  His research focuses on the nexus of religion and mental health.</w:t>
      </w:r>
    </w:p>
    <w:p w:rsidR="00892CC0" w:rsidRDefault="00892CC0" w:rsidP="00FA4329">
      <w:pPr>
        <w:pStyle w:val="Header"/>
        <w:spacing w:line="480" w:lineRule="auto"/>
      </w:pPr>
      <w:r>
        <w:t xml:space="preserve">Kate L. Morrison, B.A. is a doctoral student in psychology at Utah State University. Her research and clinical interests are in acceptance and commitment therapy, delay discounting, and treatment of anxiety disorders. </w:t>
      </w:r>
    </w:p>
    <w:p w:rsidR="000E097A" w:rsidRDefault="000E097A" w:rsidP="000E097A">
      <w:pPr>
        <w:pStyle w:val="Header"/>
        <w:spacing w:line="480" w:lineRule="auto"/>
      </w:pPr>
      <w:r>
        <w:t>Michael Twohig, Ph.D. is an Associate Professor of Psychology at Utah State University. His research focuses on the treatment of anxiety disorders using exposure based therapies and acceptance and commitment therapy.</w:t>
      </w:r>
    </w:p>
    <w:p w:rsidR="000E097A" w:rsidRPr="000E097A" w:rsidRDefault="000E097A" w:rsidP="00FA4329">
      <w:pPr>
        <w:pStyle w:val="Header"/>
        <w:spacing w:line="480" w:lineRule="auto"/>
      </w:pPr>
    </w:p>
    <w:p w:rsidR="00892CC0" w:rsidRPr="00F57420" w:rsidRDefault="00892CC0" w:rsidP="00725D0F">
      <w:pPr>
        <w:spacing w:line="480" w:lineRule="auto"/>
        <w:ind w:firstLine="720"/>
      </w:pPr>
    </w:p>
    <w:p w:rsidR="000C16AE" w:rsidRPr="00F57420" w:rsidRDefault="000C16AE">
      <w:r w:rsidRPr="00F57420">
        <w:br w:type="page"/>
      </w:r>
    </w:p>
    <w:p w:rsidR="00166BAA" w:rsidRPr="00F57420" w:rsidRDefault="00166BAA" w:rsidP="00166BAA">
      <w:pPr>
        <w:widowControl w:val="0"/>
      </w:pPr>
      <w:r w:rsidRPr="00F57420">
        <w:lastRenderedPageBreak/>
        <w:t>Table 1</w:t>
      </w:r>
    </w:p>
    <w:p w:rsidR="00166BAA" w:rsidRPr="00F57420" w:rsidRDefault="00166BAA" w:rsidP="00166BAA">
      <w:pPr>
        <w:widowControl w:val="0"/>
      </w:pPr>
    </w:p>
    <w:p w:rsidR="00166BAA" w:rsidRPr="00F57420" w:rsidRDefault="00166BAA" w:rsidP="00166BAA">
      <w:pPr>
        <w:widowControl w:val="0"/>
        <w:rPr>
          <w:i/>
        </w:rPr>
      </w:pPr>
      <w:r w:rsidRPr="00F57420">
        <w:rPr>
          <w:i/>
        </w:rPr>
        <w:t>Participant Characteristics</w:t>
      </w:r>
    </w:p>
    <w:p w:rsidR="00166BAA" w:rsidRPr="00F57420" w:rsidRDefault="00166BAA" w:rsidP="00166BAA">
      <w:pPr>
        <w:widowControl w:val="0"/>
      </w:pPr>
    </w:p>
    <w:tbl>
      <w:tblPr>
        <w:tblW w:w="9277" w:type="dxa"/>
        <w:tblInd w:w="108" w:type="dxa"/>
        <w:tblBorders>
          <w:top w:val="single" w:sz="4" w:space="0" w:color="000000"/>
          <w:bottom w:val="single" w:sz="4" w:space="0" w:color="000000"/>
        </w:tblBorders>
        <w:tblCellMar>
          <w:top w:w="29" w:type="dxa"/>
          <w:left w:w="115" w:type="dxa"/>
          <w:bottom w:w="43" w:type="dxa"/>
          <w:right w:w="115" w:type="dxa"/>
        </w:tblCellMar>
        <w:tblLook w:val="04A0" w:firstRow="1" w:lastRow="0" w:firstColumn="1" w:lastColumn="0" w:noHBand="0" w:noVBand="1"/>
      </w:tblPr>
      <w:tblGrid>
        <w:gridCol w:w="2523"/>
        <w:gridCol w:w="1169"/>
        <w:gridCol w:w="1271"/>
        <w:gridCol w:w="1438"/>
        <w:gridCol w:w="1528"/>
        <w:gridCol w:w="1348"/>
      </w:tblGrid>
      <w:tr w:rsidR="00166BAA" w:rsidRPr="00F57420">
        <w:trPr>
          <w:tblHeader/>
        </w:trPr>
        <w:tc>
          <w:tcPr>
            <w:tcW w:w="2523" w:type="dxa"/>
            <w:tcBorders>
              <w:top w:val="single" w:sz="4" w:space="0" w:color="000000"/>
              <w:bottom w:val="single" w:sz="4" w:space="0" w:color="000000"/>
            </w:tcBorders>
          </w:tcPr>
          <w:p w:rsidR="00166BAA" w:rsidRPr="00F57420" w:rsidRDefault="00166BAA" w:rsidP="001061DF">
            <w:pPr>
              <w:widowControl w:val="0"/>
            </w:pPr>
            <w:r w:rsidRPr="00F57420">
              <w:t>Variable</w:t>
            </w:r>
          </w:p>
        </w:tc>
        <w:tc>
          <w:tcPr>
            <w:tcW w:w="1169" w:type="dxa"/>
            <w:tcBorders>
              <w:top w:val="single" w:sz="4" w:space="0" w:color="000000"/>
              <w:bottom w:val="single" w:sz="4" w:space="0" w:color="000000"/>
            </w:tcBorders>
          </w:tcPr>
          <w:p w:rsidR="00166BAA" w:rsidRPr="00F57420" w:rsidRDefault="00D474C4" w:rsidP="001061DF">
            <w:pPr>
              <w:widowControl w:val="0"/>
              <w:jc w:val="center"/>
            </w:pPr>
            <w:r w:rsidRPr="00F57420">
              <w:t>P1</w:t>
            </w:r>
          </w:p>
        </w:tc>
        <w:tc>
          <w:tcPr>
            <w:tcW w:w="1271" w:type="dxa"/>
            <w:tcBorders>
              <w:top w:val="single" w:sz="4" w:space="0" w:color="000000"/>
              <w:bottom w:val="single" w:sz="4" w:space="0" w:color="000000"/>
            </w:tcBorders>
          </w:tcPr>
          <w:p w:rsidR="00166BAA" w:rsidRPr="00F57420" w:rsidRDefault="00166BAA" w:rsidP="001061DF">
            <w:pPr>
              <w:widowControl w:val="0"/>
              <w:jc w:val="center"/>
            </w:pPr>
            <w:r w:rsidRPr="00F57420">
              <w:t>P2</w:t>
            </w:r>
          </w:p>
        </w:tc>
        <w:tc>
          <w:tcPr>
            <w:tcW w:w="1438" w:type="dxa"/>
            <w:tcBorders>
              <w:top w:val="single" w:sz="4" w:space="0" w:color="000000"/>
              <w:bottom w:val="single" w:sz="4" w:space="0" w:color="000000"/>
            </w:tcBorders>
          </w:tcPr>
          <w:p w:rsidR="00166BAA" w:rsidRPr="00F57420" w:rsidRDefault="00D474C4" w:rsidP="001061DF">
            <w:pPr>
              <w:widowControl w:val="0"/>
              <w:jc w:val="center"/>
            </w:pPr>
            <w:r w:rsidRPr="00F57420">
              <w:t>P3</w:t>
            </w:r>
          </w:p>
        </w:tc>
        <w:tc>
          <w:tcPr>
            <w:tcW w:w="1528" w:type="dxa"/>
            <w:tcBorders>
              <w:top w:val="single" w:sz="4" w:space="0" w:color="000000"/>
              <w:bottom w:val="single" w:sz="4" w:space="0" w:color="000000"/>
            </w:tcBorders>
          </w:tcPr>
          <w:p w:rsidR="00166BAA" w:rsidRPr="00F57420" w:rsidRDefault="00D474C4" w:rsidP="001061DF">
            <w:pPr>
              <w:widowControl w:val="0"/>
              <w:jc w:val="center"/>
            </w:pPr>
            <w:r w:rsidRPr="00F57420">
              <w:t>P4</w:t>
            </w:r>
          </w:p>
        </w:tc>
        <w:tc>
          <w:tcPr>
            <w:tcW w:w="1348" w:type="dxa"/>
            <w:tcBorders>
              <w:top w:val="single" w:sz="4" w:space="0" w:color="000000"/>
              <w:bottom w:val="single" w:sz="4" w:space="0" w:color="000000"/>
            </w:tcBorders>
          </w:tcPr>
          <w:p w:rsidR="00166BAA" w:rsidRPr="00F57420" w:rsidRDefault="00D474C4" w:rsidP="001061DF">
            <w:pPr>
              <w:widowControl w:val="0"/>
              <w:jc w:val="center"/>
            </w:pPr>
            <w:r w:rsidRPr="00F57420">
              <w:t>P5</w:t>
            </w:r>
          </w:p>
        </w:tc>
      </w:tr>
      <w:tr w:rsidR="00166BAA" w:rsidRPr="00F57420">
        <w:tc>
          <w:tcPr>
            <w:tcW w:w="2523" w:type="dxa"/>
            <w:tcBorders>
              <w:top w:val="single" w:sz="4" w:space="0" w:color="000000"/>
            </w:tcBorders>
          </w:tcPr>
          <w:p w:rsidR="00166BAA" w:rsidRPr="00F57420" w:rsidRDefault="00166BAA" w:rsidP="001061DF">
            <w:pPr>
              <w:widowControl w:val="0"/>
            </w:pPr>
            <w:r w:rsidRPr="00F57420">
              <w:t>Sex</w:t>
            </w:r>
          </w:p>
        </w:tc>
        <w:tc>
          <w:tcPr>
            <w:tcW w:w="1169" w:type="dxa"/>
            <w:tcBorders>
              <w:top w:val="single" w:sz="4" w:space="0" w:color="000000"/>
            </w:tcBorders>
          </w:tcPr>
          <w:p w:rsidR="00166BAA" w:rsidRPr="00F57420" w:rsidRDefault="00166BAA" w:rsidP="001061DF">
            <w:pPr>
              <w:widowControl w:val="0"/>
              <w:tabs>
                <w:tab w:val="decimal" w:pos="335"/>
              </w:tabs>
              <w:jc w:val="center"/>
            </w:pPr>
            <w:r w:rsidRPr="00F57420">
              <w:t>F</w:t>
            </w:r>
          </w:p>
        </w:tc>
        <w:tc>
          <w:tcPr>
            <w:tcW w:w="1271" w:type="dxa"/>
            <w:tcBorders>
              <w:top w:val="single" w:sz="4" w:space="0" w:color="000000"/>
            </w:tcBorders>
          </w:tcPr>
          <w:p w:rsidR="00166BAA" w:rsidRPr="00F57420" w:rsidRDefault="00166BAA" w:rsidP="001061DF">
            <w:pPr>
              <w:widowControl w:val="0"/>
              <w:tabs>
                <w:tab w:val="decimal" w:pos="335"/>
              </w:tabs>
              <w:jc w:val="center"/>
            </w:pPr>
            <w:r w:rsidRPr="00F57420">
              <w:t>M</w:t>
            </w:r>
          </w:p>
        </w:tc>
        <w:tc>
          <w:tcPr>
            <w:tcW w:w="1438" w:type="dxa"/>
            <w:tcBorders>
              <w:top w:val="single" w:sz="4" w:space="0" w:color="000000"/>
            </w:tcBorders>
          </w:tcPr>
          <w:p w:rsidR="00166BAA" w:rsidRPr="00F57420" w:rsidRDefault="00166BAA" w:rsidP="001061DF">
            <w:pPr>
              <w:widowControl w:val="0"/>
              <w:tabs>
                <w:tab w:val="decimal" w:pos="335"/>
              </w:tabs>
              <w:jc w:val="center"/>
            </w:pPr>
            <w:r w:rsidRPr="00F57420">
              <w:t>M</w:t>
            </w:r>
          </w:p>
        </w:tc>
        <w:tc>
          <w:tcPr>
            <w:tcW w:w="1528" w:type="dxa"/>
            <w:tcBorders>
              <w:top w:val="single" w:sz="4" w:space="0" w:color="000000"/>
            </w:tcBorders>
          </w:tcPr>
          <w:p w:rsidR="00166BAA" w:rsidRPr="00F57420" w:rsidRDefault="00166BAA" w:rsidP="001061DF">
            <w:pPr>
              <w:widowControl w:val="0"/>
              <w:tabs>
                <w:tab w:val="decimal" w:pos="335"/>
              </w:tabs>
              <w:jc w:val="center"/>
            </w:pPr>
            <w:r w:rsidRPr="00F57420">
              <w:t>F</w:t>
            </w:r>
          </w:p>
        </w:tc>
        <w:tc>
          <w:tcPr>
            <w:tcW w:w="1348" w:type="dxa"/>
            <w:tcBorders>
              <w:top w:val="single" w:sz="4" w:space="0" w:color="000000"/>
            </w:tcBorders>
          </w:tcPr>
          <w:p w:rsidR="00166BAA" w:rsidRPr="00F57420" w:rsidRDefault="00166BAA" w:rsidP="001061DF">
            <w:pPr>
              <w:widowControl w:val="0"/>
              <w:tabs>
                <w:tab w:val="decimal" w:pos="335"/>
              </w:tabs>
              <w:jc w:val="center"/>
            </w:pPr>
            <w:r w:rsidRPr="00F57420">
              <w:t>F</w:t>
            </w:r>
          </w:p>
        </w:tc>
      </w:tr>
      <w:tr w:rsidR="00166BAA" w:rsidRPr="00F57420">
        <w:tc>
          <w:tcPr>
            <w:tcW w:w="2523" w:type="dxa"/>
          </w:tcPr>
          <w:p w:rsidR="00166BAA" w:rsidRPr="00F57420" w:rsidRDefault="00166BAA" w:rsidP="001061DF">
            <w:pPr>
              <w:widowControl w:val="0"/>
            </w:pPr>
            <w:r w:rsidRPr="00F57420">
              <w:t>Marital status</w:t>
            </w:r>
          </w:p>
        </w:tc>
        <w:tc>
          <w:tcPr>
            <w:tcW w:w="1169" w:type="dxa"/>
          </w:tcPr>
          <w:p w:rsidR="00166BAA" w:rsidRPr="00F57420" w:rsidRDefault="00166BAA" w:rsidP="001061DF">
            <w:pPr>
              <w:widowControl w:val="0"/>
              <w:tabs>
                <w:tab w:val="decimal" w:pos="335"/>
              </w:tabs>
              <w:jc w:val="center"/>
            </w:pPr>
            <w:r w:rsidRPr="00F57420">
              <w:t>S</w:t>
            </w:r>
          </w:p>
        </w:tc>
        <w:tc>
          <w:tcPr>
            <w:tcW w:w="1271" w:type="dxa"/>
          </w:tcPr>
          <w:p w:rsidR="00166BAA" w:rsidRPr="00F57420" w:rsidRDefault="00166BAA" w:rsidP="001061DF">
            <w:pPr>
              <w:widowControl w:val="0"/>
              <w:tabs>
                <w:tab w:val="decimal" w:pos="335"/>
              </w:tabs>
              <w:jc w:val="center"/>
            </w:pPr>
            <w:r w:rsidRPr="00F57420">
              <w:t>M</w:t>
            </w:r>
          </w:p>
        </w:tc>
        <w:tc>
          <w:tcPr>
            <w:tcW w:w="1438" w:type="dxa"/>
          </w:tcPr>
          <w:p w:rsidR="00166BAA" w:rsidRPr="00F57420" w:rsidRDefault="00166BAA" w:rsidP="001061DF">
            <w:pPr>
              <w:widowControl w:val="0"/>
              <w:tabs>
                <w:tab w:val="decimal" w:pos="335"/>
              </w:tabs>
              <w:jc w:val="center"/>
            </w:pPr>
            <w:r w:rsidRPr="00F57420">
              <w:t>M</w:t>
            </w:r>
          </w:p>
        </w:tc>
        <w:tc>
          <w:tcPr>
            <w:tcW w:w="1528" w:type="dxa"/>
          </w:tcPr>
          <w:p w:rsidR="00166BAA" w:rsidRPr="00F57420" w:rsidRDefault="00166BAA" w:rsidP="001061DF">
            <w:pPr>
              <w:widowControl w:val="0"/>
              <w:tabs>
                <w:tab w:val="decimal" w:pos="335"/>
              </w:tabs>
              <w:jc w:val="center"/>
            </w:pPr>
            <w:r w:rsidRPr="00F57420">
              <w:t>D</w:t>
            </w:r>
          </w:p>
        </w:tc>
        <w:tc>
          <w:tcPr>
            <w:tcW w:w="1348" w:type="dxa"/>
          </w:tcPr>
          <w:p w:rsidR="00166BAA" w:rsidRPr="00F57420" w:rsidRDefault="00166BAA" w:rsidP="001061DF">
            <w:pPr>
              <w:widowControl w:val="0"/>
              <w:tabs>
                <w:tab w:val="decimal" w:pos="335"/>
              </w:tabs>
              <w:jc w:val="center"/>
            </w:pPr>
            <w:r w:rsidRPr="00F57420">
              <w:t>S</w:t>
            </w:r>
          </w:p>
        </w:tc>
      </w:tr>
      <w:tr w:rsidR="00166BAA" w:rsidRPr="00F57420">
        <w:tc>
          <w:tcPr>
            <w:tcW w:w="2523" w:type="dxa"/>
          </w:tcPr>
          <w:p w:rsidR="00166BAA" w:rsidRPr="00F57420" w:rsidRDefault="00166BAA" w:rsidP="001061DF">
            <w:pPr>
              <w:widowControl w:val="0"/>
            </w:pPr>
            <w:r w:rsidRPr="00F57420">
              <w:t>Age</w:t>
            </w:r>
          </w:p>
        </w:tc>
        <w:tc>
          <w:tcPr>
            <w:tcW w:w="1169" w:type="dxa"/>
          </w:tcPr>
          <w:p w:rsidR="00166BAA" w:rsidRPr="00F57420" w:rsidRDefault="00166BAA" w:rsidP="001061DF">
            <w:pPr>
              <w:widowControl w:val="0"/>
              <w:tabs>
                <w:tab w:val="decimal" w:pos="335"/>
              </w:tabs>
              <w:jc w:val="center"/>
            </w:pPr>
            <w:r w:rsidRPr="00F57420">
              <w:t>18</w:t>
            </w:r>
          </w:p>
        </w:tc>
        <w:tc>
          <w:tcPr>
            <w:tcW w:w="1271" w:type="dxa"/>
          </w:tcPr>
          <w:p w:rsidR="00166BAA" w:rsidRPr="00F57420" w:rsidRDefault="00166BAA" w:rsidP="001061DF">
            <w:pPr>
              <w:widowControl w:val="0"/>
              <w:tabs>
                <w:tab w:val="decimal" w:pos="335"/>
              </w:tabs>
              <w:jc w:val="center"/>
            </w:pPr>
            <w:r w:rsidRPr="00F57420">
              <w:t>34</w:t>
            </w:r>
          </w:p>
        </w:tc>
        <w:tc>
          <w:tcPr>
            <w:tcW w:w="1438" w:type="dxa"/>
          </w:tcPr>
          <w:p w:rsidR="00166BAA" w:rsidRPr="00F57420" w:rsidRDefault="00166BAA" w:rsidP="001061DF">
            <w:pPr>
              <w:widowControl w:val="0"/>
              <w:tabs>
                <w:tab w:val="decimal" w:pos="335"/>
              </w:tabs>
              <w:jc w:val="center"/>
            </w:pPr>
            <w:r w:rsidRPr="00F57420">
              <w:t>34</w:t>
            </w:r>
          </w:p>
        </w:tc>
        <w:tc>
          <w:tcPr>
            <w:tcW w:w="1528" w:type="dxa"/>
          </w:tcPr>
          <w:p w:rsidR="00166BAA" w:rsidRPr="00F57420" w:rsidRDefault="00166BAA" w:rsidP="001061DF">
            <w:pPr>
              <w:widowControl w:val="0"/>
              <w:tabs>
                <w:tab w:val="decimal" w:pos="335"/>
              </w:tabs>
              <w:jc w:val="center"/>
            </w:pPr>
            <w:r w:rsidRPr="00F57420">
              <w:t>51</w:t>
            </w:r>
          </w:p>
        </w:tc>
        <w:tc>
          <w:tcPr>
            <w:tcW w:w="1348" w:type="dxa"/>
          </w:tcPr>
          <w:p w:rsidR="00166BAA" w:rsidRPr="00F57420" w:rsidRDefault="00166BAA" w:rsidP="001061DF">
            <w:pPr>
              <w:widowControl w:val="0"/>
              <w:tabs>
                <w:tab w:val="decimal" w:pos="335"/>
              </w:tabs>
              <w:jc w:val="center"/>
            </w:pPr>
            <w:r w:rsidRPr="00F57420">
              <w:t>25</w:t>
            </w:r>
          </w:p>
        </w:tc>
      </w:tr>
      <w:tr w:rsidR="00166BAA" w:rsidRPr="00F57420">
        <w:tc>
          <w:tcPr>
            <w:tcW w:w="2523" w:type="dxa"/>
          </w:tcPr>
          <w:p w:rsidR="00166BAA" w:rsidRPr="00F57420" w:rsidRDefault="00166BAA" w:rsidP="001061DF">
            <w:pPr>
              <w:widowControl w:val="0"/>
            </w:pPr>
            <w:r w:rsidRPr="00F57420">
              <w:t>Years of education</w:t>
            </w:r>
          </w:p>
        </w:tc>
        <w:tc>
          <w:tcPr>
            <w:tcW w:w="1169" w:type="dxa"/>
          </w:tcPr>
          <w:p w:rsidR="00166BAA" w:rsidRPr="00F57420" w:rsidRDefault="00166BAA" w:rsidP="001061DF">
            <w:pPr>
              <w:widowControl w:val="0"/>
              <w:tabs>
                <w:tab w:val="decimal" w:pos="335"/>
              </w:tabs>
              <w:jc w:val="center"/>
            </w:pPr>
            <w:r w:rsidRPr="00F57420">
              <w:t>13</w:t>
            </w:r>
          </w:p>
        </w:tc>
        <w:tc>
          <w:tcPr>
            <w:tcW w:w="1271" w:type="dxa"/>
          </w:tcPr>
          <w:p w:rsidR="00166BAA" w:rsidRPr="00F57420" w:rsidRDefault="00166BAA" w:rsidP="001061DF">
            <w:pPr>
              <w:widowControl w:val="0"/>
              <w:tabs>
                <w:tab w:val="decimal" w:pos="335"/>
              </w:tabs>
              <w:jc w:val="center"/>
            </w:pPr>
            <w:r w:rsidRPr="00F57420">
              <w:t>16</w:t>
            </w:r>
          </w:p>
        </w:tc>
        <w:tc>
          <w:tcPr>
            <w:tcW w:w="1438" w:type="dxa"/>
          </w:tcPr>
          <w:p w:rsidR="00166BAA" w:rsidRPr="00F57420" w:rsidRDefault="00166BAA" w:rsidP="001061DF">
            <w:pPr>
              <w:widowControl w:val="0"/>
              <w:tabs>
                <w:tab w:val="decimal" w:pos="335"/>
              </w:tabs>
              <w:jc w:val="center"/>
            </w:pPr>
            <w:r w:rsidRPr="00F57420">
              <w:t>19</w:t>
            </w:r>
          </w:p>
        </w:tc>
        <w:tc>
          <w:tcPr>
            <w:tcW w:w="1528" w:type="dxa"/>
          </w:tcPr>
          <w:p w:rsidR="00166BAA" w:rsidRPr="00F57420" w:rsidRDefault="00166BAA" w:rsidP="001061DF">
            <w:pPr>
              <w:widowControl w:val="0"/>
              <w:tabs>
                <w:tab w:val="decimal" w:pos="335"/>
              </w:tabs>
              <w:jc w:val="center"/>
            </w:pPr>
            <w:r w:rsidRPr="00F57420">
              <w:t>16</w:t>
            </w:r>
          </w:p>
        </w:tc>
        <w:tc>
          <w:tcPr>
            <w:tcW w:w="1348" w:type="dxa"/>
          </w:tcPr>
          <w:p w:rsidR="00166BAA" w:rsidRPr="00F57420" w:rsidRDefault="00166BAA" w:rsidP="001061DF">
            <w:pPr>
              <w:widowControl w:val="0"/>
              <w:tabs>
                <w:tab w:val="decimal" w:pos="335"/>
              </w:tabs>
              <w:jc w:val="center"/>
            </w:pPr>
            <w:r w:rsidRPr="00F57420">
              <w:t>16</w:t>
            </w:r>
          </w:p>
        </w:tc>
      </w:tr>
      <w:tr w:rsidR="00166BAA" w:rsidRPr="00F57420">
        <w:tc>
          <w:tcPr>
            <w:tcW w:w="2523" w:type="dxa"/>
          </w:tcPr>
          <w:p w:rsidR="00166BAA" w:rsidRPr="00F57420" w:rsidRDefault="00166BAA" w:rsidP="001061DF">
            <w:pPr>
              <w:widowControl w:val="0"/>
            </w:pPr>
            <w:r w:rsidRPr="00F57420">
              <w:t>Race</w:t>
            </w:r>
          </w:p>
        </w:tc>
        <w:tc>
          <w:tcPr>
            <w:tcW w:w="1169" w:type="dxa"/>
          </w:tcPr>
          <w:p w:rsidR="00166BAA" w:rsidRPr="00F57420" w:rsidRDefault="00166BAA" w:rsidP="001061DF">
            <w:pPr>
              <w:widowControl w:val="0"/>
              <w:tabs>
                <w:tab w:val="decimal" w:pos="335"/>
              </w:tabs>
              <w:jc w:val="center"/>
            </w:pPr>
            <w:r w:rsidRPr="00F57420">
              <w:t>C</w:t>
            </w:r>
          </w:p>
        </w:tc>
        <w:tc>
          <w:tcPr>
            <w:tcW w:w="1271" w:type="dxa"/>
          </w:tcPr>
          <w:p w:rsidR="00166BAA" w:rsidRPr="00F57420" w:rsidRDefault="00166BAA" w:rsidP="001061DF">
            <w:pPr>
              <w:widowControl w:val="0"/>
              <w:tabs>
                <w:tab w:val="decimal" w:pos="335"/>
              </w:tabs>
              <w:jc w:val="center"/>
            </w:pPr>
            <w:r w:rsidRPr="00F57420">
              <w:t>C</w:t>
            </w:r>
          </w:p>
        </w:tc>
        <w:tc>
          <w:tcPr>
            <w:tcW w:w="1438" w:type="dxa"/>
          </w:tcPr>
          <w:p w:rsidR="00166BAA" w:rsidRPr="00F57420" w:rsidRDefault="00166BAA" w:rsidP="001061DF">
            <w:pPr>
              <w:widowControl w:val="0"/>
              <w:tabs>
                <w:tab w:val="decimal" w:pos="335"/>
              </w:tabs>
              <w:jc w:val="center"/>
            </w:pPr>
            <w:r w:rsidRPr="00F57420">
              <w:t>C</w:t>
            </w:r>
          </w:p>
        </w:tc>
        <w:tc>
          <w:tcPr>
            <w:tcW w:w="1528" w:type="dxa"/>
          </w:tcPr>
          <w:p w:rsidR="00166BAA" w:rsidRPr="00F57420" w:rsidRDefault="00166BAA" w:rsidP="001061DF">
            <w:pPr>
              <w:widowControl w:val="0"/>
              <w:tabs>
                <w:tab w:val="decimal" w:pos="335"/>
              </w:tabs>
              <w:jc w:val="center"/>
            </w:pPr>
            <w:r w:rsidRPr="00F57420">
              <w:t>C</w:t>
            </w:r>
          </w:p>
        </w:tc>
        <w:tc>
          <w:tcPr>
            <w:tcW w:w="1348" w:type="dxa"/>
          </w:tcPr>
          <w:p w:rsidR="00166BAA" w:rsidRPr="00F57420" w:rsidRDefault="00166BAA" w:rsidP="001061DF">
            <w:pPr>
              <w:widowControl w:val="0"/>
              <w:tabs>
                <w:tab w:val="decimal" w:pos="335"/>
              </w:tabs>
              <w:jc w:val="center"/>
            </w:pPr>
            <w:r w:rsidRPr="00F57420">
              <w:t>C</w:t>
            </w:r>
          </w:p>
        </w:tc>
      </w:tr>
      <w:tr w:rsidR="00166BAA" w:rsidRPr="00F57420">
        <w:tc>
          <w:tcPr>
            <w:tcW w:w="2523" w:type="dxa"/>
          </w:tcPr>
          <w:p w:rsidR="00166BAA" w:rsidRPr="00F57420" w:rsidRDefault="00166BAA" w:rsidP="001061DF">
            <w:pPr>
              <w:widowControl w:val="0"/>
            </w:pPr>
            <w:r w:rsidRPr="00F57420">
              <w:t>Religion</w:t>
            </w:r>
          </w:p>
        </w:tc>
        <w:tc>
          <w:tcPr>
            <w:tcW w:w="1169" w:type="dxa"/>
          </w:tcPr>
          <w:p w:rsidR="00166BAA" w:rsidRPr="00F57420" w:rsidRDefault="00166BAA" w:rsidP="001061DF">
            <w:pPr>
              <w:widowControl w:val="0"/>
              <w:tabs>
                <w:tab w:val="decimal" w:pos="335"/>
              </w:tabs>
              <w:jc w:val="center"/>
            </w:pPr>
            <w:r w:rsidRPr="00F57420">
              <w:t>LDS</w:t>
            </w:r>
          </w:p>
        </w:tc>
        <w:tc>
          <w:tcPr>
            <w:tcW w:w="1271" w:type="dxa"/>
          </w:tcPr>
          <w:p w:rsidR="00166BAA" w:rsidRPr="00F57420" w:rsidRDefault="00166BAA" w:rsidP="001061DF">
            <w:pPr>
              <w:widowControl w:val="0"/>
              <w:tabs>
                <w:tab w:val="decimal" w:pos="335"/>
              </w:tabs>
              <w:jc w:val="center"/>
            </w:pPr>
            <w:r w:rsidRPr="00F57420">
              <w:t>LDS</w:t>
            </w:r>
          </w:p>
        </w:tc>
        <w:tc>
          <w:tcPr>
            <w:tcW w:w="1438" w:type="dxa"/>
          </w:tcPr>
          <w:p w:rsidR="00166BAA" w:rsidRPr="00F57420" w:rsidRDefault="00166BAA" w:rsidP="001061DF">
            <w:pPr>
              <w:widowControl w:val="0"/>
              <w:tabs>
                <w:tab w:val="decimal" w:pos="335"/>
              </w:tabs>
              <w:jc w:val="center"/>
            </w:pPr>
            <w:r w:rsidRPr="00F57420">
              <w:t>LDS</w:t>
            </w:r>
          </w:p>
        </w:tc>
        <w:tc>
          <w:tcPr>
            <w:tcW w:w="1528" w:type="dxa"/>
          </w:tcPr>
          <w:p w:rsidR="00166BAA" w:rsidRPr="00F57420" w:rsidRDefault="00166BAA" w:rsidP="001061DF">
            <w:pPr>
              <w:widowControl w:val="0"/>
              <w:tabs>
                <w:tab w:val="decimal" w:pos="335"/>
              </w:tabs>
              <w:jc w:val="center"/>
            </w:pPr>
            <w:r w:rsidRPr="00F57420">
              <w:t>LDS</w:t>
            </w:r>
          </w:p>
        </w:tc>
        <w:tc>
          <w:tcPr>
            <w:tcW w:w="1348" w:type="dxa"/>
          </w:tcPr>
          <w:p w:rsidR="00166BAA" w:rsidRPr="00F57420" w:rsidRDefault="00166BAA" w:rsidP="001061DF">
            <w:pPr>
              <w:widowControl w:val="0"/>
              <w:tabs>
                <w:tab w:val="decimal" w:pos="335"/>
              </w:tabs>
              <w:jc w:val="center"/>
            </w:pPr>
            <w:r w:rsidRPr="00F57420">
              <w:t>LDS</w:t>
            </w:r>
          </w:p>
        </w:tc>
      </w:tr>
      <w:tr w:rsidR="00166BAA" w:rsidRPr="00F57420">
        <w:tc>
          <w:tcPr>
            <w:tcW w:w="2523" w:type="dxa"/>
          </w:tcPr>
          <w:p w:rsidR="00166BAA" w:rsidRPr="00F57420" w:rsidRDefault="00166BAA" w:rsidP="001061DF">
            <w:pPr>
              <w:widowControl w:val="0"/>
            </w:pPr>
            <w:r w:rsidRPr="00F57420">
              <w:t>Sexual orientation</w:t>
            </w:r>
          </w:p>
        </w:tc>
        <w:tc>
          <w:tcPr>
            <w:tcW w:w="1169" w:type="dxa"/>
          </w:tcPr>
          <w:p w:rsidR="00166BAA" w:rsidRPr="00F57420" w:rsidRDefault="00166BAA" w:rsidP="001061DF">
            <w:pPr>
              <w:widowControl w:val="0"/>
              <w:tabs>
                <w:tab w:val="decimal" w:pos="335"/>
              </w:tabs>
              <w:jc w:val="center"/>
            </w:pPr>
            <w:r w:rsidRPr="00F57420">
              <w:t>H</w:t>
            </w:r>
          </w:p>
        </w:tc>
        <w:tc>
          <w:tcPr>
            <w:tcW w:w="1271" w:type="dxa"/>
          </w:tcPr>
          <w:p w:rsidR="00166BAA" w:rsidRPr="00F57420" w:rsidRDefault="00166BAA" w:rsidP="001061DF">
            <w:pPr>
              <w:widowControl w:val="0"/>
              <w:tabs>
                <w:tab w:val="decimal" w:pos="335"/>
              </w:tabs>
              <w:jc w:val="center"/>
            </w:pPr>
            <w:r w:rsidRPr="00F57420">
              <w:t>H</w:t>
            </w:r>
          </w:p>
        </w:tc>
        <w:tc>
          <w:tcPr>
            <w:tcW w:w="1438" w:type="dxa"/>
          </w:tcPr>
          <w:p w:rsidR="00166BAA" w:rsidRPr="00F57420" w:rsidRDefault="00166BAA" w:rsidP="001061DF">
            <w:pPr>
              <w:widowControl w:val="0"/>
              <w:tabs>
                <w:tab w:val="decimal" w:pos="335"/>
              </w:tabs>
              <w:jc w:val="center"/>
            </w:pPr>
            <w:r w:rsidRPr="00F57420">
              <w:t>H</w:t>
            </w:r>
          </w:p>
        </w:tc>
        <w:tc>
          <w:tcPr>
            <w:tcW w:w="1528" w:type="dxa"/>
          </w:tcPr>
          <w:p w:rsidR="00166BAA" w:rsidRPr="00F57420" w:rsidRDefault="00166BAA" w:rsidP="001061DF">
            <w:pPr>
              <w:widowControl w:val="0"/>
              <w:tabs>
                <w:tab w:val="decimal" w:pos="335"/>
              </w:tabs>
              <w:jc w:val="center"/>
            </w:pPr>
            <w:r w:rsidRPr="00F57420">
              <w:t>H</w:t>
            </w:r>
          </w:p>
        </w:tc>
        <w:tc>
          <w:tcPr>
            <w:tcW w:w="1348" w:type="dxa"/>
          </w:tcPr>
          <w:p w:rsidR="00166BAA" w:rsidRPr="00F57420" w:rsidRDefault="00166BAA" w:rsidP="001061DF">
            <w:pPr>
              <w:widowControl w:val="0"/>
              <w:tabs>
                <w:tab w:val="decimal" w:pos="335"/>
              </w:tabs>
              <w:jc w:val="center"/>
            </w:pPr>
            <w:r w:rsidRPr="00F57420">
              <w:t>H</w:t>
            </w:r>
          </w:p>
        </w:tc>
      </w:tr>
      <w:tr w:rsidR="00166BAA" w:rsidRPr="00F57420">
        <w:tc>
          <w:tcPr>
            <w:tcW w:w="2523" w:type="dxa"/>
          </w:tcPr>
          <w:p w:rsidR="00166BAA" w:rsidRPr="00F57420" w:rsidRDefault="00166BAA" w:rsidP="001061DF">
            <w:pPr>
              <w:widowControl w:val="0"/>
            </w:pPr>
            <w:r w:rsidRPr="00F57420">
              <w:t>Previous treatment</w:t>
            </w:r>
          </w:p>
        </w:tc>
        <w:tc>
          <w:tcPr>
            <w:tcW w:w="1169" w:type="dxa"/>
          </w:tcPr>
          <w:p w:rsidR="00166BAA" w:rsidRPr="00F57420" w:rsidRDefault="00166BAA" w:rsidP="001061DF">
            <w:pPr>
              <w:widowControl w:val="0"/>
              <w:tabs>
                <w:tab w:val="decimal" w:pos="335"/>
              </w:tabs>
              <w:jc w:val="center"/>
            </w:pPr>
            <w:r w:rsidRPr="00F57420">
              <w:t>None</w:t>
            </w:r>
          </w:p>
        </w:tc>
        <w:tc>
          <w:tcPr>
            <w:tcW w:w="1271" w:type="dxa"/>
          </w:tcPr>
          <w:p w:rsidR="00166BAA" w:rsidRPr="00F57420" w:rsidRDefault="00166BAA" w:rsidP="001061DF">
            <w:pPr>
              <w:widowControl w:val="0"/>
              <w:tabs>
                <w:tab w:val="decimal" w:pos="335"/>
              </w:tabs>
              <w:jc w:val="center"/>
            </w:pPr>
            <w:r w:rsidRPr="00F57420">
              <w:t>None</w:t>
            </w:r>
          </w:p>
        </w:tc>
        <w:tc>
          <w:tcPr>
            <w:tcW w:w="1438" w:type="dxa"/>
          </w:tcPr>
          <w:p w:rsidR="00166BAA" w:rsidRPr="00F57420" w:rsidRDefault="00166BAA" w:rsidP="001061DF">
            <w:pPr>
              <w:widowControl w:val="0"/>
              <w:tabs>
                <w:tab w:val="decimal" w:pos="335"/>
              </w:tabs>
              <w:jc w:val="center"/>
            </w:pPr>
            <w:r w:rsidRPr="00F57420">
              <w:t>CBT</w:t>
            </w:r>
          </w:p>
        </w:tc>
        <w:tc>
          <w:tcPr>
            <w:tcW w:w="1528" w:type="dxa"/>
          </w:tcPr>
          <w:p w:rsidR="00166BAA" w:rsidRPr="00F57420" w:rsidRDefault="00166BAA" w:rsidP="001061DF">
            <w:pPr>
              <w:widowControl w:val="0"/>
              <w:tabs>
                <w:tab w:val="decimal" w:pos="335"/>
              </w:tabs>
              <w:jc w:val="center"/>
            </w:pPr>
            <w:r w:rsidRPr="00F57420">
              <w:t>None</w:t>
            </w:r>
          </w:p>
        </w:tc>
        <w:tc>
          <w:tcPr>
            <w:tcW w:w="1348" w:type="dxa"/>
          </w:tcPr>
          <w:p w:rsidR="00166BAA" w:rsidRPr="00F57420" w:rsidRDefault="00166BAA" w:rsidP="001061DF">
            <w:pPr>
              <w:widowControl w:val="0"/>
              <w:tabs>
                <w:tab w:val="decimal" w:pos="335"/>
              </w:tabs>
              <w:jc w:val="center"/>
            </w:pPr>
            <w:r w:rsidRPr="00F57420">
              <w:t>CBT</w:t>
            </w:r>
          </w:p>
        </w:tc>
      </w:tr>
      <w:tr w:rsidR="00166BAA" w:rsidRPr="00F57420">
        <w:tc>
          <w:tcPr>
            <w:tcW w:w="2523" w:type="dxa"/>
          </w:tcPr>
          <w:p w:rsidR="00166BAA" w:rsidRPr="00F57420" w:rsidRDefault="00166BAA" w:rsidP="001061DF">
            <w:pPr>
              <w:widowControl w:val="0"/>
            </w:pPr>
            <w:r w:rsidRPr="00F57420">
              <w:t>Comorbid Diagnoses</w:t>
            </w:r>
          </w:p>
        </w:tc>
        <w:tc>
          <w:tcPr>
            <w:tcW w:w="1169" w:type="dxa"/>
          </w:tcPr>
          <w:p w:rsidR="00166BAA" w:rsidRPr="00F57420" w:rsidRDefault="00166BAA" w:rsidP="00725D0F">
            <w:pPr>
              <w:widowControl w:val="0"/>
              <w:tabs>
                <w:tab w:val="decimal" w:pos="335"/>
              </w:tabs>
              <w:jc w:val="center"/>
            </w:pPr>
            <w:r w:rsidRPr="00F57420">
              <w:t>AD-NOS</w:t>
            </w:r>
          </w:p>
        </w:tc>
        <w:tc>
          <w:tcPr>
            <w:tcW w:w="1271" w:type="dxa"/>
          </w:tcPr>
          <w:p w:rsidR="00166BAA" w:rsidRPr="00F57420" w:rsidRDefault="00166BAA" w:rsidP="00725D0F">
            <w:pPr>
              <w:widowControl w:val="0"/>
              <w:tabs>
                <w:tab w:val="decimal" w:pos="335"/>
              </w:tabs>
              <w:jc w:val="center"/>
            </w:pPr>
            <w:r w:rsidRPr="00F57420">
              <w:t>MDD, AD-NOS</w:t>
            </w:r>
          </w:p>
        </w:tc>
        <w:tc>
          <w:tcPr>
            <w:tcW w:w="1438" w:type="dxa"/>
          </w:tcPr>
          <w:p w:rsidR="00166BAA" w:rsidRPr="00F57420" w:rsidRDefault="00166BAA" w:rsidP="00725D0F">
            <w:pPr>
              <w:widowControl w:val="0"/>
              <w:tabs>
                <w:tab w:val="decimal" w:pos="335"/>
              </w:tabs>
              <w:jc w:val="center"/>
            </w:pPr>
            <w:r w:rsidRPr="00F57420">
              <w:t>MDD, PTSD</w:t>
            </w:r>
          </w:p>
        </w:tc>
        <w:tc>
          <w:tcPr>
            <w:tcW w:w="1528" w:type="dxa"/>
          </w:tcPr>
          <w:p w:rsidR="00166BAA" w:rsidRPr="00F57420" w:rsidRDefault="00166BAA" w:rsidP="00725D0F">
            <w:pPr>
              <w:widowControl w:val="0"/>
              <w:tabs>
                <w:tab w:val="decimal" w:pos="335"/>
              </w:tabs>
              <w:jc w:val="center"/>
            </w:pPr>
            <w:r w:rsidRPr="00F57420">
              <w:t>MDD, PTSD, PDA, AD-NOS</w:t>
            </w:r>
          </w:p>
        </w:tc>
        <w:tc>
          <w:tcPr>
            <w:tcW w:w="1348" w:type="dxa"/>
          </w:tcPr>
          <w:p w:rsidR="00166BAA" w:rsidRPr="00F57420" w:rsidRDefault="00166BAA" w:rsidP="00725D0F">
            <w:pPr>
              <w:widowControl w:val="0"/>
              <w:tabs>
                <w:tab w:val="decimal" w:pos="335"/>
              </w:tabs>
              <w:jc w:val="center"/>
            </w:pPr>
            <w:r w:rsidRPr="00F57420">
              <w:t>None</w:t>
            </w:r>
          </w:p>
        </w:tc>
      </w:tr>
      <w:tr w:rsidR="00166BAA" w:rsidRPr="00F57420">
        <w:tc>
          <w:tcPr>
            <w:tcW w:w="2523" w:type="dxa"/>
          </w:tcPr>
          <w:p w:rsidR="00166BAA" w:rsidRPr="00F57420" w:rsidRDefault="00166BAA" w:rsidP="001061DF">
            <w:pPr>
              <w:widowControl w:val="0"/>
            </w:pPr>
            <w:r w:rsidRPr="00F57420">
              <w:t>Medication</w:t>
            </w:r>
          </w:p>
        </w:tc>
        <w:tc>
          <w:tcPr>
            <w:tcW w:w="1169" w:type="dxa"/>
          </w:tcPr>
          <w:p w:rsidR="00166BAA" w:rsidRPr="00F57420" w:rsidRDefault="00166BAA" w:rsidP="00725D0F">
            <w:pPr>
              <w:widowControl w:val="0"/>
              <w:tabs>
                <w:tab w:val="decimal" w:pos="335"/>
              </w:tabs>
              <w:jc w:val="center"/>
            </w:pPr>
            <w:r w:rsidRPr="00F57420">
              <w:t>None</w:t>
            </w:r>
          </w:p>
        </w:tc>
        <w:tc>
          <w:tcPr>
            <w:tcW w:w="1271" w:type="dxa"/>
          </w:tcPr>
          <w:p w:rsidR="00166BAA" w:rsidRPr="00F57420" w:rsidRDefault="00166BAA" w:rsidP="00725D0F">
            <w:pPr>
              <w:widowControl w:val="0"/>
              <w:tabs>
                <w:tab w:val="decimal" w:pos="335"/>
              </w:tabs>
              <w:jc w:val="center"/>
            </w:pPr>
            <w:proofErr w:type="spellStart"/>
            <w:r w:rsidRPr="00F57420">
              <w:t>Fluoxotine</w:t>
            </w:r>
            <w:proofErr w:type="spellEnd"/>
            <w:r w:rsidRPr="00F57420">
              <w:t xml:space="preserve"> (60 mg/d)</w:t>
            </w:r>
          </w:p>
        </w:tc>
        <w:tc>
          <w:tcPr>
            <w:tcW w:w="1438" w:type="dxa"/>
          </w:tcPr>
          <w:p w:rsidR="00166BAA" w:rsidRPr="00F57420" w:rsidRDefault="00166BAA" w:rsidP="00725D0F">
            <w:pPr>
              <w:widowControl w:val="0"/>
              <w:tabs>
                <w:tab w:val="decimal" w:pos="335"/>
              </w:tabs>
              <w:jc w:val="center"/>
            </w:pPr>
            <w:r w:rsidRPr="00F57420">
              <w:t xml:space="preserve">Prozac </w:t>
            </w:r>
            <w:r w:rsidRPr="00F57420">
              <w:br/>
              <w:t>(20 mg/d)</w:t>
            </w:r>
          </w:p>
        </w:tc>
        <w:tc>
          <w:tcPr>
            <w:tcW w:w="1528" w:type="dxa"/>
          </w:tcPr>
          <w:p w:rsidR="00166BAA" w:rsidRPr="00F57420" w:rsidRDefault="00166BAA" w:rsidP="00725D0F">
            <w:pPr>
              <w:widowControl w:val="0"/>
              <w:tabs>
                <w:tab w:val="decimal" w:pos="335"/>
              </w:tabs>
              <w:jc w:val="center"/>
            </w:pPr>
            <w:r w:rsidRPr="00F57420">
              <w:t xml:space="preserve">Lexapro </w:t>
            </w:r>
            <w:r w:rsidRPr="00F57420">
              <w:br/>
              <w:t>(20 mg/d)</w:t>
            </w:r>
          </w:p>
        </w:tc>
        <w:tc>
          <w:tcPr>
            <w:tcW w:w="1348" w:type="dxa"/>
          </w:tcPr>
          <w:p w:rsidR="00166BAA" w:rsidRPr="00F57420" w:rsidRDefault="00166BAA" w:rsidP="00725D0F">
            <w:pPr>
              <w:widowControl w:val="0"/>
              <w:tabs>
                <w:tab w:val="decimal" w:pos="335"/>
              </w:tabs>
              <w:jc w:val="center"/>
            </w:pPr>
            <w:r w:rsidRPr="00F57420">
              <w:t>None</w:t>
            </w:r>
          </w:p>
        </w:tc>
      </w:tr>
    </w:tbl>
    <w:p w:rsidR="00166BAA" w:rsidRPr="00F57420" w:rsidRDefault="00166BAA" w:rsidP="00166BAA">
      <w:pPr>
        <w:widowControl w:val="0"/>
        <w:rPr>
          <w:sz w:val="20"/>
          <w:szCs w:val="20"/>
        </w:rPr>
      </w:pPr>
      <w:r w:rsidRPr="00F57420">
        <w:rPr>
          <w:sz w:val="20"/>
          <w:szCs w:val="20"/>
        </w:rPr>
        <w:t xml:space="preserve">Note. Sex: </w:t>
      </w:r>
      <w:r w:rsidR="00007C39" w:rsidRPr="00007C39">
        <w:rPr>
          <w:i/>
          <w:sz w:val="20"/>
          <w:szCs w:val="20"/>
        </w:rPr>
        <w:t>M=</w:t>
      </w:r>
      <w:r w:rsidRPr="00F57420">
        <w:rPr>
          <w:sz w:val="20"/>
          <w:szCs w:val="20"/>
        </w:rPr>
        <w:t xml:space="preserve">male, F=female; Marital status: </w:t>
      </w:r>
      <w:r w:rsidR="00007C39" w:rsidRPr="00007C39">
        <w:rPr>
          <w:i/>
          <w:sz w:val="20"/>
          <w:szCs w:val="20"/>
        </w:rPr>
        <w:t>M=</w:t>
      </w:r>
      <w:r w:rsidRPr="00F57420">
        <w:rPr>
          <w:sz w:val="20"/>
          <w:szCs w:val="20"/>
        </w:rPr>
        <w:t xml:space="preserve">married, S=single and never married, D=divorced and never remarried; Years of education begin with first grade (e.g., 12=high school; 16=four years of </w:t>
      </w:r>
      <w:proofErr w:type="spellStart"/>
      <w:r w:rsidRPr="00F57420">
        <w:rPr>
          <w:sz w:val="20"/>
          <w:szCs w:val="20"/>
        </w:rPr>
        <w:t>post high</w:t>
      </w:r>
      <w:proofErr w:type="spellEnd"/>
      <w:r w:rsidRPr="00F57420">
        <w:rPr>
          <w:sz w:val="20"/>
          <w:szCs w:val="20"/>
        </w:rPr>
        <w:t xml:space="preserve"> school education); Race: C=Caucasian; Religion: LDS = Church of Jesus Christ of Latter-Day Saints; Sexual orientation: H=heterosexual; Previous treatment: CBT = Cognitive Behavioral Therapy; Comorbid Diagnoses: AD-NOS = Anxiety Disorder - NOS, MDD = Major Depressive Disorder, PTSD = Post-Traumatic Stress Disorder, PDA = Panic Disorder with Agoraphobia.</w:t>
      </w:r>
    </w:p>
    <w:p w:rsidR="00166BAA" w:rsidRPr="00F57420" w:rsidRDefault="00166BAA" w:rsidP="00166BAA">
      <w:pPr>
        <w:spacing w:line="480" w:lineRule="auto"/>
      </w:pPr>
    </w:p>
    <w:p w:rsidR="00261B81" w:rsidRPr="00F57420" w:rsidRDefault="00261B8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CD2A21" w:rsidRPr="00F57420" w:rsidRDefault="00CD2A21" w:rsidP="001659BF">
      <w:pPr>
        <w:spacing w:line="480" w:lineRule="auto"/>
        <w:ind w:left="720"/>
        <w:rPr>
          <w:rFonts w:eastAsia="Calibri"/>
        </w:rPr>
      </w:pPr>
    </w:p>
    <w:p w:rsidR="00F600E9" w:rsidRPr="00F600E9" w:rsidRDefault="00F600E9" w:rsidP="00F600E9">
      <w:r w:rsidRPr="00F600E9">
        <w:lastRenderedPageBreak/>
        <w:t>Table 2</w:t>
      </w:r>
      <w:r w:rsidRPr="00F600E9">
        <w:br/>
      </w:r>
      <w:r w:rsidRPr="00F600E9">
        <w:rPr>
          <w:i/>
        </w:rPr>
        <w:t>ACT for OCD: Abbreviated Treatment Manual (Twohig, 2004)</w:t>
      </w:r>
      <w:r w:rsidRPr="00F600E9">
        <w:br/>
      </w:r>
    </w:p>
    <w:tbl>
      <w:tblPr>
        <w:tblW w:w="0" w:type="auto"/>
        <w:tblLook w:val="04A0" w:firstRow="1" w:lastRow="0" w:firstColumn="1" w:lastColumn="0" w:noHBand="0" w:noVBand="1"/>
      </w:tblPr>
      <w:tblGrid>
        <w:gridCol w:w="1008"/>
        <w:gridCol w:w="3330"/>
        <w:gridCol w:w="5238"/>
      </w:tblGrid>
      <w:tr w:rsidR="00F600E9" w:rsidRPr="00F600E9">
        <w:tc>
          <w:tcPr>
            <w:tcW w:w="1008" w:type="dxa"/>
            <w:tcBorders>
              <w:top w:val="single" w:sz="4" w:space="0" w:color="000000"/>
              <w:bottom w:val="single" w:sz="4" w:space="0" w:color="000000"/>
            </w:tcBorders>
          </w:tcPr>
          <w:p w:rsidR="00F600E9" w:rsidRPr="00F600E9" w:rsidRDefault="00F600E9" w:rsidP="00F600E9">
            <w:r w:rsidRPr="00F600E9">
              <w:t>Session</w:t>
            </w:r>
          </w:p>
        </w:tc>
        <w:tc>
          <w:tcPr>
            <w:tcW w:w="3330" w:type="dxa"/>
            <w:tcBorders>
              <w:top w:val="single" w:sz="4" w:space="0" w:color="000000"/>
              <w:bottom w:val="single" w:sz="4" w:space="0" w:color="000000"/>
            </w:tcBorders>
          </w:tcPr>
          <w:p w:rsidR="00F600E9" w:rsidRPr="00F600E9" w:rsidRDefault="00F600E9" w:rsidP="00F600E9">
            <w:r w:rsidRPr="00F600E9">
              <w:t>Treatment Components</w:t>
            </w:r>
          </w:p>
        </w:tc>
        <w:tc>
          <w:tcPr>
            <w:tcW w:w="5238" w:type="dxa"/>
            <w:tcBorders>
              <w:top w:val="single" w:sz="4" w:space="0" w:color="000000"/>
              <w:bottom w:val="single" w:sz="4" w:space="0" w:color="000000"/>
            </w:tcBorders>
          </w:tcPr>
          <w:p w:rsidR="00F600E9" w:rsidRPr="00F600E9" w:rsidRDefault="00F600E9" w:rsidP="00F600E9">
            <w:r w:rsidRPr="00F600E9">
              <w:t>Exercises/Content</w:t>
            </w:r>
          </w:p>
        </w:tc>
      </w:tr>
      <w:tr w:rsidR="00F600E9" w:rsidRPr="00F600E9">
        <w:tc>
          <w:tcPr>
            <w:tcW w:w="1008" w:type="dxa"/>
            <w:tcBorders>
              <w:top w:val="single" w:sz="4" w:space="0" w:color="000000"/>
            </w:tcBorders>
          </w:tcPr>
          <w:p w:rsidR="00F600E9" w:rsidRPr="00F600E9" w:rsidRDefault="00F600E9" w:rsidP="00F600E9">
            <w:r w:rsidRPr="00F600E9">
              <w:t>1</w:t>
            </w:r>
          </w:p>
        </w:tc>
        <w:tc>
          <w:tcPr>
            <w:tcW w:w="3330" w:type="dxa"/>
            <w:tcBorders>
              <w:top w:val="single" w:sz="4" w:space="0" w:color="000000"/>
            </w:tcBorders>
          </w:tcPr>
          <w:p w:rsidR="00F600E9" w:rsidRPr="00F600E9" w:rsidRDefault="00F600E9" w:rsidP="00F600E9">
            <w:r w:rsidRPr="00F600E9">
              <w:t>Introduction</w:t>
            </w:r>
          </w:p>
        </w:tc>
        <w:tc>
          <w:tcPr>
            <w:tcW w:w="5238" w:type="dxa"/>
            <w:tcBorders>
              <w:top w:val="single" w:sz="4" w:space="0" w:color="000000"/>
            </w:tcBorders>
          </w:tcPr>
          <w:p w:rsidR="00F600E9" w:rsidRPr="00F600E9" w:rsidRDefault="00F600E9" w:rsidP="00F600E9">
            <w:pPr>
              <w:numPr>
                <w:ilvl w:val="0"/>
                <w:numId w:val="11"/>
              </w:numPr>
              <w:contextualSpacing/>
            </w:pPr>
            <w:r w:rsidRPr="00F600E9">
              <w:t>Agreement to participate in 8, weekly 1.5 hour sessions of therapy</w:t>
            </w:r>
          </w:p>
        </w:tc>
      </w:tr>
      <w:tr w:rsidR="00F600E9" w:rsidRPr="00F600E9">
        <w:tc>
          <w:tcPr>
            <w:tcW w:w="1008" w:type="dxa"/>
          </w:tcPr>
          <w:p w:rsidR="00F600E9" w:rsidRPr="00F600E9" w:rsidRDefault="00F600E9" w:rsidP="00F600E9"/>
        </w:tc>
        <w:tc>
          <w:tcPr>
            <w:tcW w:w="3330" w:type="dxa"/>
          </w:tcPr>
          <w:p w:rsidR="00F600E9" w:rsidRPr="00F600E9" w:rsidRDefault="00F600E9" w:rsidP="00F600E9">
            <w:r w:rsidRPr="00F600E9">
              <w:t>Discuss limits to confidentiality</w:t>
            </w:r>
          </w:p>
        </w:tc>
        <w:tc>
          <w:tcPr>
            <w:tcW w:w="5238" w:type="dxa"/>
          </w:tcPr>
          <w:p w:rsidR="00F600E9" w:rsidRPr="00F600E9" w:rsidRDefault="00F600E9" w:rsidP="00F600E9">
            <w:pPr>
              <w:numPr>
                <w:ilvl w:val="0"/>
                <w:numId w:val="11"/>
              </w:numPr>
              <w:contextualSpacing/>
            </w:pPr>
            <w:r w:rsidRPr="00F600E9">
              <w:t>Exceptions to confidentiality will follow APA ethical guidelines</w:t>
            </w:r>
          </w:p>
        </w:tc>
      </w:tr>
      <w:tr w:rsidR="00F600E9" w:rsidRPr="00F600E9">
        <w:tc>
          <w:tcPr>
            <w:tcW w:w="1008" w:type="dxa"/>
          </w:tcPr>
          <w:p w:rsidR="00F600E9" w:rsidRPr="00F600E9" w:rsidRDefault="00F600E9" w:rsidP="00F600E9"/>
        </w:tc>
        <w:tc>
          <w:tcPr>
            <w:tcW w:w="3330" w:type="dxa"/>
          </w:tcPr>
          <w:p w:rsidR="00F600E9" w:rsidRPr="00F600E9" w:rsidRDefault="00F600E9" w:rsidP="00F600E9">
            <w:r w:rsidRPr="00F600E9">
              <w:t>Getting participant on board</w:t>
            </w:r>
          </w:p>
        </w:tc>
        <w:tc>
          <w:tcPr>
            <w:tcW w:w="5238" w:type="dxa"/>
          </w:tcPr>
          <w:p w:rsidR="00F600E9" w:rsidRPr="00F600E9" w:rsidRDefault="00F600E9" w:rsidP="00F600E9">
            <w:pPr>
              <w:numPr>
                <w:ilvl w:val="0"/>
                <w:numId w:val="11"/>
              </w:numPr>
              <w:contextualSpacing/>
            </w:pPr>
            <w:r w:rsidRPr="00F600E9">
              <w:t>Acknowledgment that treatment can be uncomfortable (</w:t>
            </w:r>
            <w:r w:rsidR="00F57420">
              <w:t xml:space="preserve">p. </w:t>
            </w:r>
            <w:r w:rsidRPr="00F600E9">
              <w:t>90)</w:t>
            </w:r>
          </w:p>
          <w:p w:rsidR="00F600E9" w:rsidRPr="00F600E9" w:rsidRDefault="00F600E9" w:rsidP="00F600E9">
            <w:pPr>
              <w:numPr>
                <w:ilvl w:val="0"/>
                <w:numId w:val="11"/>
              </w:numPr>
              <w:contextualSpacing/>
            </w:pPr>
            <w:r w:rsidRPr="00F600E9">
              <w:t>Seeking participant commitment</w:t>
            </w:r>
          </w:p>
          <w:p w:rsidR="00F600E9" w:rsidRPr="00F600E9" w:rsidRDefault="00A53CF6" w:rsidP="00A53CF6">
            <w:pPr>
              <w:numPr>
                <w:ilvl w:val="0"/>
                <w:numId w:val="11"/>
              </w:numPr>
              <w:contextualSpacing/>
            </w:pPr>
            <w:r>
              <w:t xml:space="preserve">Path up the Mountain (p.221-222) </w:t>
            </w:r>
          </w:p>
        </w:tc>
      </w:tr>
      <w:tr w:rsidR="00F600E9" w:rsidRPr="00F600E9">
        <w:tc>
          <w:tcPr>
            <w:tcW w:w="1008" w:type="dxa"/>
          </w:tcPr>
          <w:p w:rsidR="00F600E9" w:rsidRPr="00F600E9" w:rsidRDefault="00F600E9" w:rsidP="00F600E9"/>
        </w:tc>
        <w:tc>
          <w:tcPr>
            <w:tcW w:w="3330" w:type="dxa"/>
          </w:tcPr>
          <w:p w:rsidR="00F600E9" w:rsidRPr="00F600E9" w:rsidRDefault="00F600E9" w:rsidP="00F600E9">
            <w:r w:rsidRPr="00F600E9">
              <w:t>General assessment of OCD</w:t>
            </w:r>
          </w:p>
        </w:tc>
        <w:tc>
          <w:tcPr>
            <w:tcW w:w="5238" w:type="dxa"/>
          </w:tcPr>
          <w:p w:rsidR="00F600E9" w:rsidRPr="00F600E9" w:rsidRDefault="00F600E9" w:rsidP="00F600E9">
            <w:pPr>
              <w:numPr>
                <w:ilvl w:val="0"/>
                <w:numId w:val="12"/>
              </w:numPr>
              <w:contextualSpacing/>
            </w:pPr>
            <w:r w:rsidRPr="00F600E9">
              <w:t>Asking client to describe obsessions and compulsions.  Clearly identify the moral/religious component.</w:t>
            </w:r>
          </w:p>
          <w:p w:rsidR="00F600E9" w:rsidRPr="00F600E9" w:rsidRDefault="00F600E9" w:rsidP="00F600E9">
            <w:pPr>
              <w:numPr>
                <w:ilvl w:val="0"/>
                <w:numId w:val="12"/>
              </w:numPr>
              <w:contextualSpacing/>
            </w:pPr>
            <w:r w:rsidRPr="00F600E9">
              <w:t>Find out why they seek treatment, what they hope and expect</w:t>
            </w:r>
          </w:p>
        </w:tc>
      </w:tr>
      <w:tr w:rsidR="00F600E9" w:rsidRPr="00F600E9">
        <w:tc>
          <w:tcPr>
            <w:tcW w:w="1008" w:type="dxa"/>
          </w:tcPr>
          <w:p w:rsidR="00F600E9" w:rsidRPr="00F600E9" w:rsidRDefault="00F600E9" w:rsidP="00F600E9"/>
        </w:tc>
        <w:tc>
          <w:tcPr>
            <w:tcW w:w="3330" w:type="dxa"/>
          </w:tcPr>
          <w:p w:rsidR="00F600E9" w:rsidRPr="00F600E9" w:rsidRDefault="00F600E9" w:rsidP="00F600E9">
            <w:r w:rsidRPr="00F600E9">
              <w:t>Introduction to Creative Hopelessness</w:t>
            </w:r>
          </w:p>
        </w:tc>
        <w:tc>
          <w:tcPr>
            <w:tcW w:w="5238" w:type="dxa"/>
          </w:tcPr>
          <w:p w:rsidR="00F600E9" w:rsidRPr="00F600E9" w:rsidRDefault="00F600E9" w:rsidP="00F600E9">
            <w:pPr>
              <w:numPr>
                <w:ilvl w:val="0"/>
                <w:numId w:val="13"/>
              </w:numPr>
              <w:contextualSpacing/>
            </w:pPr>
            <w:r w:rsidRPr="00F600E9">
              <w:t>Challenge client’s change agenda (</w:t>
            </w:r>
            <w:r w:rsidR="00F57420">
              <w:t xml:space="preserve">p. </w:t>
            </w:r>
            <w:r w:rsidRPr="00F600E9">
              <w:t>98)</w:t>
            </w:r>
          </w:p>
          <w:p w:rsidR="00F600E9" w:rsidRPr="00F600E9" w:rsidRDefault="00F600E9" w:rsidP="00F600E9">
            <w:pPr>
              <w:numPr>
                <w:ilvl w:val="0"/>
                <w:numId w:val="13"/>
              </w:numPr>
              <w:contextualSpacing/>
            </w:pPr>
            <w:r w:rsidRPr="00F600E9">
              <w:t>Highlight difference between obsession and compulsion</w:t>
            </w:r>
          </w:p>
        </w:tc>
      </w:tr>
      <w:tr w:rsidR="00CF34C2" w:rsidRPr="00F600E9">
        <w:tc>
          <w:tcPr>
            <w:tcW w:w="1008" w:type="dxa"/>
          </w:tcPr>
          <w:p w:rsidR="00CF34C2" w:rsidRPr="00F600E9" w:rsidRDefault="00CF34C2" w:rsidP="00F600E9"/>
        </w:tc>
        <w:tc>
          <w:tcPr>
            <w:tcW w:w="3330" w:type="dxa"/>
          </w:tcPr>
          <w:p w:rsidR="00CF34C2" w:rsidRPr="00F600E9" w:rsidRDefault="00CF34C2" w:rsidP="00F600E9">
            <w:r>
              <w:t>Homework</w:t>
            </w:r>
          </w:p>
        </w:tc>
        <w:tc>
          <w:tcPr>
            <w:tcW w:w="5238" w:type="dxa"/>
          </w:tcPr>
          <w:p w:rsidR="00CF34C2" w:rsidRPr="00F600E9" w:rsidRDefault="00D45D47" w:rsidP="00F600E9">
            <w:pPr>
              <w:numPr>
                <w:ilvl w:val="0"/>
                <w:numId w:val="13"/>
              </w:numPr>
              <w:contextualSpacing/>
            </w:pPr>
            <w:r>
              <w:t>Cost and evaluation of control attempts</w:t>
            </w:r>
          </w:p>
        </w:tc>
      </w:tr>
      <w:tr w:rsidR="00F600E9" w:rsidRPr="00F600E9">
        <w:tc>
          <w:tcPr>
            <w:tcW w:w="1008" w:type="dxa"/>
          </w:tcPr>
          <w:p w:rsidR="00F600E9" w:rsidRPr="00F600E9" w:rsidRDefault="00F600E9" w:rsidP="00F600E9">
            <w:r w:rsidRPr="00F600E9">
              <w:t>2</w:t>
            </w:r>
          </w:p>
        </w:tc>
        <w:tc>
          <w:tcPr>
            <w:tcW w:w="3330" w:type="dxa"/>
          </w:tcPr>
          <w:p w:rsidR="00F600E9" w:rsidRPr="00F600E9" w:rsidRDefault="00F600E9" w:rsidP="00F600E9">
            <w:r w:rsidRPr="00F600E9">
              <w:t>Continue with Creative Hopelessness</w:t>
            </w:r>
          </w:p>
        </w:tc>
        <w:tc>
          <w:tcPr>
            <w:tcW w:w="5238" w:type="dxa"/>
          </w:tcPr>
          <w:p w:rsidR="00F600E9" w:rsidRPr="00F600E9" w:rsidRDefault="00F600E9" w:rsidP="00F600E9">
            <w:pPr>
              <w:numPr>
                <w:ilvl w:val="0"/>
                <w:numId w:val="14"/>
              </w:numPr>
              <w:contextualSpacing/>
            </w:pPr>
            <w:r w:rsidRPr="00F600E9">
              <w:t>Digging hole (</w:t>
            </w:r>
            <w:r w:rsidR="00F57420">
              <w:t xml:space="preserve">p. </w:t>
            </w:r>
            <w:r w:rsidRPr="00F600E9">
              <w:t>101) and tug-of war (</w:t>
            </w:r>
            <w:r w:rsidR="00F57420">
              <w:t xml:space="preserve">p. </w:t>
            </w:r>
            <w:r w:rsidRPr="00F600E9">
              <w:t>109) metaphors</w:t>
            </w:r>
          </w:p>
        </w:tc>
      </w:tr>
      <w:tr w:rsidR="00D45D47" w:rsidRPr="00F600E9">
        <w:tc>
          <w:tcPr>
            <w:tcW w:w="1008" w:type="dxa"/>
          </w:tcPr>
          <w:p w:rsidR="00D45D47" w:rsidRPr="00F600E9" w:rsidRDefault="00D45D47" w:rsidP="00F600E9"/>
        </w:tc>
        <w:tc>
          <w:tcPr>
            <w:tcW w:w="3330" w:type="dxa"/>
          </w:tcPr>
          <w:p w:rsidR="00D45D47" w:rsidRPr="00F600E9" w:rsidRDefault="00D45D47" w:rsidP="00F600E9">
            <w:r>
              <w:t>Homework</w:t>
            </w:r>
          </w:p>
        </w:tc>
        <w:tc>
          <w:tcPr>
            <w:tcW w:w="5238" w:type="dxa"/>
          </w:tcPr>
          <w:p w:rsidR="00D45D47" w:rsidRPr="00F600E9" w:rsidRDefault="00D45D47" w:rsidP="00F600E9">
            <w:pPr>
              <w:numPr>
                <w:ilvl w:val="0"/>
                <w:numId w:val="14"/>
              </w:numPr>
              <w:contextualSpacing/>
            </w:pPr>
            <w:r>
              <w:t>Digging self-assessment</w:t>
            </w:r>
          </w:p>
        </w:tc>
      </w:tr>
      <w:tr w:rsidR="00F600E9" w:rsidRPr="00F600E9">
        <w:tc>
          <w:tcPr>
            <w:tcW w:w="1008" w:type="dxa"/>
          </w:tcPr>
          <w:p w:rsidR="00F600E9" w:rsidRPr="00F600E9" w:rsidRDefault="00F600E9" w:rsidP="00F600E9">
            <w:r w:rsidRPr="00F600E9">
              <w:t>3 &amp; 4</w:t>
            </w:r>
          </w:p>
        </w:tc>
        <w:tc>
          <w:tcPr>
            <w:tcW w:w="3330" w:type="dxa"/>
          </w:tcPr>
          <w:p w:rsidR="00F600E9" w:rsidRPr="00F600E9" w:rsidRDefault="00F600E9" w:rsidP="00F600E9">
            <w:r w:rsidRPr="00F600E9">
              <w:t>Introduce Control as the Problem</w:t>
            </w:r>
          </w:p>
        </w:tc>
        <w:tc>
          <w:tcPr>
            <w:tcW w:w="5238" w:type="dxa"/>
          </w:tcPr>
          <w:p w:rsidR="00F600E9" w:rsidRPr="00F600E9" w:rsidRDefault="00F600E9" w:rsidP="00F600E9">
            <w:pPr>
              <w:numPr>
                <w:ilvl w:val="0"/>
                <w:numId w:val="15"/>
              </w:numPr>
              <w:contextualSpacing/>
            </w:pPr>
            <w:r w:rsidRPr="00F600E9">
              <w:t>Outside vs. inside world (</w:t>
            </w:r>
            <w:r w:rsidR="00F57420">
              <w:t xml:space="preserve">p. </w:t>
            </w:r>
            <w:r w:rsidRPr="00F600E9">
              <w:t>120)</w:t>
            </w:r>
          </w:p>
          <w:p w:rsidR="00F600E9" w:rsidRPr="00F600E9" w:rsidRDefault="00F600E9" w:rsidP="00F600E9">
            <w:pPr>
              <w:numPr>
                <w:ilvl w:val="0"/>
                <w:numId w:val="15"/>
              </w:numPr>
              <w:contextualSpacing/>
            </w:pPr>
            <w:r w:rsidRPr="00F600E9">
              <w:t>If you’re not willing to have it, you’ve got it (</w:t>
            </w:r>
            <w:r w:rsidR="00F57420">
              <w:t xml:space="preserve">p. </w:t>
            </w:r>
            <w:r w:rsidRPr="00F600E9">
              <w:t>121)</w:t>
            </w:r>
          </w:p>
          <w:p w:rsidR="00F600E9" w:rsidRPr="00F600E9" w:rsidRDefault="00F600E9" w:rsidP="00F600E9">
            <w:pPr>
              <w:numPr>
                <w:ilvl w:val="0"/>
                <w:numId w:val="15"/>
              </w:numPr>
              <w:contextualSpacing/>
            </w:pPr>
            <w:r w:rsidRPr="00F600E9">
              <w:t>Polygraph (</w:t>
            </w:r>
            <w:r w:rsidR="00F57420">
              <w:t xml:space="preserve">p. </w:t>
            </w:r>
            <w:r w:rsidRPr="00F600E9">
              <w:t>123), jelly donut metaphors (chocolate cake exercise</w:t>
            </w:r>
            <w:r w:rsidR="00F57420">
              <w:t>,</w:t>
            </w:r>
            <w:r w:rsidRPr="00F600E9">
              <w:t xml:space="preserve"> </w:t>
            </w:r>
            <w:r w:rsidR="00F57420">
              <w:t xml:space="preserve">p. </w:t>
            </w:r>
            <w:r w:rsidRPr="00F600E9">
              <w:t>124)</w:t>
            </w:r>
          </w:p>
          <w:p w:rsidR="00F600E9" w:rsidRPr="00F600E9" w:rsidRDefault="00F600E9" w:rsidP="00F600E9">
            <w:pPr>
              <w:numPr>
                <w:ilvl w:val="0"/>
                <w:numId w:val="15"/>
              </w:numPr>
              <w:contextualSpacing/>
            </w:pPr>
            <w:r w:rsidRPr="00F600E9">
              <w:t>Cost of unwillingness (</w:t>
            </w:r>
            <w:r w:rsidR="00F57420">
              <w:t xml:space="preserve">p. </w:t>
            </w:r>
            <w:r w:rsidRPr="00F600E9">
              <w:t>136)</w:t>
            </w:r>
          </w:p>
        </w:tc>
      </w:tr>
      <w:tr w:rsidR="00F600E9" w:rsidRPr="00F600E9">
        <w:tc>
          <w:tcPr>
            <w:tcW w:w="1008" w:type="dxa"/>
          </w:tcPr>
          <w:p w:rsidR="00F600E9" w:rsidRPr="00F600E9" w:rsidRDefault="00F600E9" w:rsidP="00F600E9"/>
        </w:tc>
        <w:tc>
          <w:tcPr>
            <w:tcW w:w="3330" w:type="dxa"/>
          </w:tcPr>
          <w:p w:rsidR="00F600E9" w:rsidRPr="00F600E9" w:rsidRDefault="00F600E9" w:rsidP="00F600E9">
            <w:r w:rsidRPr="00F600E9">
              <w:t>Acceptance/Willingness</w:t>
            </w:r>
          </w:p>
        </w:tc>
        <w:tc>
          <w:tcPr>
            <w:tcW w:w="5238" w:type="dxa"/>
          </w:tcPr>
          <w:p w:rsidR="00F600E9" w:rsidRPr="00F600E9" w:rsidRDefault="00F600E9" w:rsidP="00F600E9">
            <w:pPr>
              <w:numPr>
                <w:ilvl w:val="0"/>
                <w:numId w:val="15"/>
              </w:numPr>
              <w:contextualSpacing/>
            </w:pPr>
            <w:r w:rsidRPr="00F600E9">
              <w:t>Two scales metaphor (</w:t>
            </w:r>
            <w:r w:rsidR="00F57420">
              <w:t xml:space="preserve">p. </w:t>
            </w:r>
            <w:r w:rsidRPr="00F600E9">
              <w:t>133)</w:t>
            </w:r>
          </w:p>
        </w:tc>
      </w:tr>
      <w:tr w:rsidR="00F600E9" w:rsidRPr="00F600E9">
        <w:tc>
          <w:tcPr>
            <w:tcW w:w="1008" w:type="dxa"/>
          </w:tcPr>
          <w:p w:rsidR="00F600E9" w:rsidRPr="00F600E9" w:rsidRDefault="00F600E9" w:rsidP="00F600E9"/>
        </w:tc>
        <w:tc>
          <w:tcPr>
            <w:tcW w:w="3330" w:type="dxa"/>
          </w:tcPr>
          <w:p w:rsidR="00F600E9" w:rsidRPr="00F600E9" w:rsidRDefault="00F600E9" w:rsidP="00F600E9">
            <w:r w:rsidRPr="00F600E9">
              <w:t>Behavioral commitments</w:t>
            </w:r>
          </w:p>
        </w:tc>
        <w:tc>
          <w:tcPr>
            <w:tcW w:w="5238" w:type="dxa"/>
          </w:tcPr>
          <w:p w:rsidR="00F600E9" w:rsidRPr="00F600E9" w:rsidRDefault="00F600E9" w:rsidP="00F600E9">
            <w:pPr>
              <w:numPr>
                <w:ilvl w:val="0"/>
                <w:numId w:val="15"/>
              </w:numPr>
              <w:contextualSpacing/>
            </w:pPr>
            <w:r w:rsidRPr="00F600E9">
              <w:t xml:space="preserve">Characteristics of a commitment </w:t>
            </w:r>
          </w:p>
        </w:tc>
      </w:tr>
      <w:tr w:rsidR="00D45D47" w:rsidRPr="00F600E9">
        <w:tc>
          <w:tcPr>
            <w:tcW w:w="1008" w:type="dxa"/>
          </w:tcPr>
          <w:p w:rsidR="00D45D47" w:rsidRPr="00F600E9" w:rsidRDefault="00D45D47" w:rsidP="00F600E9"/>
        </w:tc>
        <w:tc>
          <w:tcPr>
            <w:tcW w:w="3330" w:type="dxa"/>
          </w:tcPr>
          <w:p w:rsidR="00D45D47" w:rsidRPr="00F600E9" w:rsidRDefault="00D45D47" w:rsidP="00F600E9">
            <w:r>
              <w:t>Homework</w:t>
            </w:r>
          </w:p>
        </w:tc>
        <w:tc>
          <w:tcPr>
            <w:tcW w:w="5238" w:type="dxa"/>
          </w:tcPr>
          <w:p w:rsidR="00D45D47" w:rsidRPr="00F600E9" w:rsidRDefault="00D45D47" w:rsidP="00F600E9">
            <w:pPr>
              <w:numPr>
                <w:ilvl w:val="0"/>
                <w:numId w:val="15"/>
              </w:numPr>
              <w:contextualSpacing/>
            </w:pPr>
            <w:r>
              <w:t>Willingness and clean/dirty discomfort diaries</w:t>
            </w:r>
          </w:p>
        </w:tc>
      </w:tr>
      <w:tr w:rsidR="00F600E9" w:rsidRPr="00F600E9">
        <w:tc>
          <w:tcPr>
            <w:tcW w:w="1008" w:type="dxa"/>
          </w:tcPr>
          <w:p w:rsidR="00F600E9" w:rsidRPr="00F600E9" w:rsidRDefault="00F600E9" w:rsidP="00F600E9">
            <w:r w:rsidRPr="00F600E9">
              <w:t>5 &amp; 6</w:t>
            </w:r>
          </w:p>
        </w:tc>
        <w:tc>
          <w:tcPr>
            <w:tcW w:w="3330" w:type="dxa"/>
          </w:tcPr>
          <w:p w:rsidR="00F600E9" w:rsidRPr="00F600E9" w:rsidRDefault="00F600E9" w:rsidP="00F600E9">
            <w:r w:rsidRPr="00F600E9">
              <w:t xml:space="preserve">Self as context and </w:t>
            </w:r>
            <w:proofErr w:type="spellStart"/>
            <w:r w:rsidRPr="00F600E9">
              <w:t>defusion</w:t>
            </w:r>
            <w:proofErr w:type="spellEnd"/>
          </w:p>
        </w:tc>
        <w:tc>
          <w:tcPr>
            <w:tcW w:w="5238" w:type="dxa"/>
          </w:tcPr>
          <w:p w:rsidR="00F600E9" w:rsidRPr="00F600E9" w:rsidRDefault="00F600E9" w:rsidP="00F600E9">
            <w:pPr>
              <w:numPr>
                <w:ilvl w:val="0"/>
                <w:numId w:val="15"/>
              </w:numPr>
              <w:contextualSpacing/>
            </w:pPr>
            <w:r w:rsidRPr="00F600E9">
              <w:t>What are the numbers exercise (</w:t>
            </w:r>
            <w:r w:rsidR="00F57420">
              <w:t xml:space="preserve">p. </w:t>
            </w:r>
            <w:r w:rsidRPr="00F600E9">
              <w:t>126)</w:t>
            </w:r>
          </w:p>
        </w:tc>
      </w:tr>
      <w:tr w:rsidR="00F600E9" w:rsidRPr="00F600E9">
        <w:tc>
          <w:tcPr>
            <w:tcW w:w="1008" w:type="dxa"/>
          </w:tcPr>
          <w:p w:rsidR="00F600E9" w:rsidRPr="00F600E9" w:rsidRDefault="00F600E9" w:rsidP="00F600E9"/>
        </w:tc>
        <w:tc>
          <w:tcPr>
            <w:tcW w:w="3330" w:type="dxa"/>
          </w:tcPr>
          <w:p w:rsidR="00F600E9" w:rsidRPr="00F600E9" w:rsidRDefault="00F600E9" w:rsidP="00F600E9"/>
        </w:tc>
        <w:tc>
          <w:tcPr>
            <w:tcW w:w="5238" w:type="dxa"/>
          </w:tcPr>
          <w:p w:rsidR="00F600E9" w:rsidRPr="00F600E9" w:rsidRDefault="00F600E9" w:rsidP="00F600E9">
            <w:pPr>
              <w:numPr>
                <w:ilvl w:val="0"/>
                <w:numId w:val="15"/>
              </w:numPr>
              <w:contextualSpacing/>
            </w:pPr>
            <w:r w:rsidRPr="00F600E9">
              <w:t>Chessboard metaphor (</w:t>
            </w:r>
            <w:r w:rsidR="00F57420">
              <w:t xml:space="preserve">p. </w:t>
            </w:r>
            <w:r w:rsidRPr="00F600E9">
              <w:t>190)</w:t>
            </w:r>
          </w:p>
          <w:p w:rsidR="00F600E9" w:rsidRPr="00F600E9" w:rsidRDefault="00F600E9" w:rsidP="00F600E9">
            <w:pPr>
              <w:numPr>
                <w:ilvl w:val="0"/>
                <w:numId w:val="15"/>
              </w:numPr>
              <w:contextualSpacing/>
            </w:pPr>
            <w:r w:rsidRPr="00F600E9">
              <w:t>Reformulating language conventions</w:t>
            </w:r>
          </w:p>
        </w:tc>
      </w:tr>
      <w:tr w:rsidR="00F600E9" w:rsidRPr="00F600E9">
        <w:tc>
          <w:tcPr>
            <w:tcW w:w="1008" w:type="dxa"/>
          </w:tcPr>
          <w:p w:rsidR="00F600E9" w:rsidRPr="00F600E9" w:rsidRDefault="00F600E9" w:rsidP="00F600E9"/>
        </w:tc>
        <w:tc>
          <w:tcPr>
            <w:tcW w:w="3330" w:type="dxa"/>
          </w:tcPr>
          <w:p w:rsidR="00F600E9" w:rsidRPr="00F600E9" w:rsidRDefault="00F600E9" w:rsidP="00F600E9"/>
        </w:tc>
        <w:tc>
          <w:tcPr>
            <w:tcW w:w="5238" w:type="dxa"/>
          </w:tcPr>
          <w:p w:rsidR="00F600E9" w:rsidRPr="00F600E9" w:rsidRDefault="00F600E9" w:rsidP="00F600E9">
            <w:pPr>
              <w:numPr>
                <w:ilvl w:val="0"/>
                <w:numId w:val="15"/>
              </w:numPr>
              <w:contextualSpacing/>
            </w:pPr>
            <w:r w:rsidRPr="00F600E9">
              <w:t>Passengers on the bus metaphor (</w:t>
            </w:r>
            <w:r w:rsidR="00F57420">
              <w:t xml:space="preserve">p. </w:t>
            </w:r>
            <w:r w:rsidRPr="00F600E9">
              <w:t>157)</w:t>
            </w:r>
          </w:p>
          <w:p w:rsidR="00F600E9" w:rsidRPr="00F600E9" w:rsidRDefault="00F600E9" w:rsidP="00F600E9">
            <w:pPr>
              <w:numPr>
                <w:ilvl w:val="0"/>
                <w:numId w:val="15"/>
              </w:numPr>
              <w:contextualSpacing/>
            </w:pPr>
            <w:proofErr w:type="spellStart"/>
            <w:r w:rsidRPr="00F600E9">
              <w:t>Tichener’s</w:t>
            </w:r>
            <w:proofErr w:type="spellEnd"/>
            <w:r w:rsidRPr="00F600E9">
              <w:t xml:space="preserve"> Milk, Milk, Milk exercise (</w:t>
            </w:r>
            <w:r w:rsidR="00F57420">
              <w:t xml:space="preserve">p. </w:t>
            </w:r>
            <w:r w:rsidRPr="00F600E9">
              <w:t>154)</w:t>
            </w:r>
          </w:p>
        </w:tc>
      </w:tr>
      <w:tr w:rsidR="00F600E9" w:rsidRPr="00F600E9">
        <w:tc>
          <w:tcPr>
            <w:tcW w:w="1008" w:type="dxa"/>
          </w:tcPr>
          <w:p w:rsidR="00F600E9" w:rsidRPr="00F600E9" w:rsidRDefault="00F600E9" w:rsidP="00F600E9"/>
        </w:tc>
        <w:tc>
          <w:tcPr>
            <w:tcW w:w="3330" w:type="dxa"/>
          </w:tcPr>
          <w:p w:rsidR="00F600E9" w:rsidRPr="00F600E9" w:rsidRDefault="00F600E9" w:rsidP="00F600E9">
            <w:r w:rsidRPr="00F600E9">
              <w:t>Homework</w:t>
            </w:r>
          </w:p>
        </w:tc>
        <w:tc>
          <w:tcPr>
            <w:tcW w:w="5238" w:type="dxa"/>
          </w:tcPr>
          <w:p w:rsidR="00F600E9" w:rsidRPr="00F600E9" w:rsidRDefault="00D45D47" w:rsidP="008F2996">
            <w:pPr>
              <w:numPr>
                <w:ilvl w:val="0"/>
                <w:numId w:val="15"/>
              </w:numPr>
              <w:contextualSpacing/>
            </w:pPr>
            <w:r>
              <w:t xml:space="preserve">Behavioral commitment and </w:t>
            </w:r>
            <w:r w:rsidR="008F2996">
              <w:t>o</w:t>
            </w:r>
            <w:r w:rsidR="008F2996" w:rsidRPr="00F600E9">
              <w:t xml:space="preserve">bserver </w:t>
            </w:r>
            <w:r w:rsidR="00F600E9" w:rsidRPr="00F600E9">
              <w:t>exercise</w:t>
            </w:r>
            <w:r>
              <w:t>s</w:t>
            </w:r>
            <w:r w:rsidR="00F600E9" w:rsidRPr="00F600E9">
              <w:t xml:space="preserve"> (</w:t>
            </w:r>
            <w:r w:rsidR="00F57420">
              <w:t xml:space="preserve">p. </w:t>
            </w:r>
            <w:r w:rsidR="00F600E9" w:rsidRPr="00F600E9">
              <w:t>192)</w:t>
            </w:r>
          </w:p>
        </w:tc>
      </w:tr>
      <w:tr w:rsidR="00F600E9" w:rsidRPr="00F600E9">
        <w:tc>
          <w:tcPr>
            <w:tcW w:w="1008" w:type="dxa"/>
          </w:tcPr>
          <w:p w:rsidR="00F600E9" w:rsidRPr="00F600E9" w:rsidRDefault="00F600E9" w:rsidP="00F600E9">
            <w:r w:rsidRPr="00F600E9">
              <w:t>7 &amp; 8</w:t>
            </w:r>
          </w:p>
        </w:tc>
        <w:tc>
          <w:tcPr>
            <w:tcW w:w="3330" w:type="dxa"/>
          </w:tcPr>
          <w:p w:rsidR="00F600E9" w:rsidRPr="00F600E9" w:rsidRDefault="00F600E9" w:rsidP="00F600E9">
            <w:r w:rsidRPr="00F600E9">
              <w:t>Values</w:t>
            </w:r>
          </w:p>
        </w:tc>
        <w:tc>
          <w:tcPr>
            <w:tcW w:w="5238" w:type="dxa"/>
          </w:tcPr>
          <w:p w:rsidR="00F600E9" w:rsidRPr="00F600E9" w:rsidRDefault="00F600E9" w:rsidP="00F600E9">
            <w:pPr>
              <w:numPr>
                <w:ilvl w:val="0"/>
                <w:numId w:val="15"/>
              </w:numPr>
              <w:contextualSpacing/>
            </w:pPr>
            <w:r w:rsidRPr="00F600E9">
              <w:t>Values assessment exercise (</w:t>
            </w:r>
            <w:r w:rsidR="00F57420">
              <w:t xml:space="preserve">p. </w:t>
            </w:r>
            <w:r w:rsidRPr="00F600E9">
              <w:t>222)</w:t>
            </w:r>
          </w:p>
        </w:tc>
      </w:tr>
      <w:tr w:rsidR="00F600E9" w:rsidRPr="00F600E9" w:rsidTr="000A5174">
        <w:tc>
          <w:tcPr>
            <w:tcW w:w="1008" w:type="dxa"/>
          </w:tcPr>
          <w:p w:rsidR="00F600E9" w:rsidRPr="00F600E9" w:rsidRDefault="00F600E9" w:rsidP="00F600E9"/>
        </w:tc>
        <w:tc>
          <w:tcPr>
            <w:tcW w:w="3330" w:type="dxa"/>
          </w:tcPr>
          <w:p w:rsidR="00F600E9" w:rsidRPr="00F600E9" w:rsidRDefault="00F600E9" w:rsidP="00F600E9">
            <w:r w:rsidRPr="00F600E9">
              <w:t>Increase focus on behavioral commitment</w:t>
            </w:r>
          </w:p>
        </w:tc>
        <w:tc>
          <w:tcPr>
            <w:tcW w:w="5238" w:type="dxa"/>
          </w:tcPr>
          <w:p w:rsidR="00F600E9" w:rsidRPr="00F600E9" w:rsidRDefault="00F600E9" w:rsidP="00F600E9">
            <w:pPr>
              <w:numPr>
                <w:ilvl w:val="0"/>
                <w:numId w:val="15"/>
              </w:numPr>
              <w:contextualSpacing/>
            </w:pPr>
            <w:r w:rsidRPr="00F600E9">
              <w:t>Bum at the door (</w:t>
            </w:r>
            <w:r w:rsidR="00F57420">
              <w:t xml:space="preserve">p. </w:t>
            </w:r>
            <w:r w:rsidRPr="00F600E9">
              <w:t>239), moving through a swamp (</w:t>
            </w:r>
            <w:r w:rsidR="00F57420">
              <w:t xml:space="preserve">p. </w:t>
            </w:r>
            <w:r w:rsidRPr="00F600E9">
              <w:t xml:space="preserve">247), </w:t>
            </w:r>
            <w:proofErr w:type="gramStart"/>
            <w:r w:rsidRPr="00F600E9">
              <w:t>coke</w:t>
            </w:r>
            <w:proofErr w:type="gramEnd"/>
            <w:r w:rsidRPr="00F600E9">
              <w:t xml:space="preserve"> vs. 7-up metaphors.</w:t>
            </w:r>
          </w:p>
        </w:tc>
      </w:tr>
      <w:tr w:rsidR="00D45D47" w:rsidRPr="00F600E9">
        <w:tc>
          <w:tcPr>
            <w:tcW w:w="1008" w:type="dxa"/>
            <w:tcBorders>
              <w:bottom w:val="single" w:sz="4" w:space="0" w:color="auto"/>
            </w:tcBorders>
          </w:tcPr>
          <w:p w:rsidR="00D45D47" w:rsidRPr="00F600E9" w:rsidRDefault="00D45D47" w:rsidP="00F600E9"/>
        </w:tc>
        <w:tc>
          <w:tcPr>
            <w:tcW w:w="3330" w:type="dxa"/>
            <w:tcBorders>
              <w:bottom w:val="single" w:sz="4" w:space="0" w:color="auto"/>
            </w:tcBorders>
          </w:tcPr>
          <w:p w:rsidR="00D45D47" w:rsidRPr="00F600E9" w:rsidRDefault="00D45D47" w:rsidP="00F600E9">
            <w:r>
              <w:t>Homework</w:t>
            </w:r>
          </w:p>
        </w:tc>
        <w:tc>
          <w:tcPr>
            <w:tcW w:w="5238" w:type="dxa"/>
            <w:tcBorders>
              <w:bottom w:val="single" w:sz="4" w:space="0" w:color="auto"/>
            </w:tcBorders>
          </w:tcPr>
          <w:p w:rsidR="00D45D47" w:rsidRPr="00F600E9" w:rsidRDefault="00D45D47" w:rsidP="00D45D47">
            <w:pPr>
              <w:numPr>
                <w:ilvl w:val="0"/>
                <w:numId w:val="15"/>
              </w:numPr>
              <w:contextualSpacing/>
            </w:pPr>
            <w:r>
              <w:t>Values-based behavioral commitments</w:t>
            </w:r>
          </w:p>
        </w:tc>
      </w:tr>
    </w:tbl>
    <w:p w:rsidR="00F600E9" w:rsidRPr="00F57420" w:rsidRDefault="00F57420">
      <w:r>
        <w:rPr>
          <w:rFonts w:eastAsia="Cambria"/>
        </w:rPr>
        <w:t xml:space="preserve">Most exercises adapted from </w:t>
      </w:r>
      <w:r w:rsidRPr="00F57420">
        <w:rPr>
          <w:rFonts w:eastAsia="Cambria"/>
        </w:rPr>
        <w:t xml:space="preserve">Hayes, </w:t>
      </w:r>
      <w:proofErr w:type="spellStart"/>
      <w:r w:rsidRPr="00F57420">
        <w:rPr>
          <w:rFonts w:eastAsia="Cambria"/>
        </w:rPr>
        <w:t>Strosahl</w:t>
      </w:r>
      <w:proofErr w:type="spellEnd"/>
      <w:r w:rsidRPr="00F57420">
        <w:rPr>
          <w:rFonts w:eastAsia="Cambria"/>
        </w:rPr>
        <w:t>, &amp; Wilson</w:t>
      </w:r>
      <w:r>
        <w:rPr>
          <w:rFonts w:eastAsia="Cambria"/>
        </w:rPr>
        <w:t>, 1999.</w:t>
      </w:r>
      <w:r w:rsidR="00F600E9" w:rsidRPr="00F57420">
        <w:br w:type="page"/>
      </w:r>
    </w:p>
    <w:p w:rsidR="00CD2A21" w:rsidRPr="00F57420" w:rsidRDefault="00ED2D7B" w:rsidP="00CD2A21">
      <w:pPr>
        <w:spacing w:line="480" w:lineRule="auto"/>
      </w:pPr>
      <w:r>
        <w:lastRenderedPageBreak/>
        <w:t>Table 3</w:t>
      </w:r>
    </w:p>
    <w:p w:rsidR="00CD2A21" w:rsidRPr="00F57420" w:rsidRDefault="00CD2A21" w:rsidP="00CD2A21">
      <w:pPr>
        <w:widowControl w:val="0"/>
        <w:rPr>
          <w:i/>
        </w:rPr>
      </w:pPr>
      <w:r w:rsidRPr="00F57420">
        <w:rPr>
          <w:i/>
        </w:rPr>
        <w:t>Pre-, post-treatment and three month follow-up self-report questionnaire scores</w:t>
      </w:r>
    </w:p>
    <w:p w:rsidR="00CD2A21" w:rsidRPr="00F57420" w:rsidRDefault="00CD2A21" w:rsidP="00CD2A21">
      <w:pPr>
        <w:widowControl w:val="0"/>
      </w:pPr>
    </w:p>
    <w:tbl>
      <w:tblPr>
        <w:tblW w:w="8827" w:type="dxa"/>
        <w:tblInd w:w="108" w:type="dxa"/>
        <w:tblBorders>
          <w:top w:val="single" w:sz="4" w:space="0" w:color="000000"/>
          <w:bottom w:val="single" w:sz="4" w:space="0" w:color="000000"/>
        </w:tblBorders>
        <w:tblLayout w:type="fixed"/>
        <w:tblCellMar>
          <w:top w:w="29" w:type="dxa"/>
          <w:left w:w="115" w:type="dxa"/>
          <w:bottom w:w="43" w:type="dxa"/>
          <w:right w:w="115" w:type="dxa"/>
        </w:tblCellMar>
        <w:tblLook w:val="04A0" w:firstRow="1" w:lastRow="0" w:firstColumn="1" w:lastColumn="0" w:noHBand="0" w:noVBand="1"/>
      </w:tblPr>
      <w:tblGrid>
        <w:gridCol w:w="1373"/>
        <w:gridCol w:w="252"/>
        <w:gridCol w:w="819"/>
        <w:gridCol w:w="729"/>
        <w:gridCol w:w="704"/>
        <w:gridCol w:w="428"/>
        <w:gridCol w:w="652"/>
        <w:gridCol w:w="651"/>
        <w:gridCol w:w="699"/>
        <w:gridCol w:w="478"/>
        <w:gridCol w:w="692"/>
        <w:gridCol w:w="651"/>
        <w:gridCol w:w="699"/>
      </w:tblGrid>
      <w:tr w:rsidR="00CD2A21" w:rsidRPr="00F57420">
        <w:trPr>
          <w:tblHeader/>
        </w:trPr>
        <w:tc>
          <w:tcPr>
            <w:tcW w:w="1373" w:type="dxa"/>
            <w:tcBorders>
              <w:top w:val="single" w:sz="4" w:space="0" w:color="auto"/>
              <w:bottom w:val="nil"/>
            </w:tcBorders>
          </w:tcPr>
          <w:p w:rsidR="00CD2A21" w:rsidRPr="00F57420" w:rsidRDefault="00CD2A21" w:rsidP="001061DF">
            <w:pPr>
              <w:widowControl w:val="0"/>
            </w:pPr>
            <w:r w:rsidRPr="00F57420">
              <w:t>Phase</w:t>
            </w:r>
          </w:p>
        </w:tc>
        <w:tc>
          <w:tcPr>
            <w:tcW w:w="252" w:type="dxa"/>
            <w:tcBorders>
              <w:top w:val="single" w:sz="4" w:space="0" w:color="auto"/>
              <w:bottom w:val="nil"/>
            </w:tcBorders>
          </w:tcPr>
          <w:p w:rsidR="00CD2A21" w:rsidRPr="00F57420" w:rsidRDefault="00CD2A21" w:rsidP="001061DF">
            <w:pPr>
              <w:widowControl w:val="0"/>
              <w:jc w:val="center"/>
            </w:pPr>
          </w:p>
        </w:tc>
        <w:tc>
          <w:tcPr>
            <w:tcW w:w="819" w:type="dxa"/>
            <w:tcBorders>
              <w:top w:val="single" w:sz="4" w:space="0" w:color="auto"/>
              <w:bottom w:val="single" w:sz="4" w:space="0" w:color="auto"/>
            </w:tcBorders>
          </w:tcPr>
          <w:p w:rsidR="00CD2A21" w:rsidRPr="00F57420" w:rsidRDefault="00CD2A21" w:rsidP="001061DF">
            <w:pPr>
              <w:widowControl w:val="0"/>
              <w:jc w:val="center"/>
            </w:pPr>
          </w:p>
        </w:tc>
        <w:tc>
          <w:tcPr>
            <w:tcW w:w="729" w:type="dxa"/>
            <w:tcBorders>
              <w:top w:val="single" w:sz="4" w:space="0" w:color="auto"/>
              <w:bottom w:val="single" w:sz="4" w:space="0" w:color="auto"/>
            </w:tcBorders>
          </w:tcPr>
          <w:p w:rsidR="00CD2A21" w:rsidRPr="00F57420" w:rsidRDefault="00CD2A21" w:rsidP="001061DF">
            <w:pPr>
              <w:widowControl w:val="0"/>
              <w:jc w:val="center"/>
            </w:pPr>
            <w:r w:rsidRPr="00F57420">
              <w:t>P1</w:t>
            </w:r>
          </w:p>
        </w:tc>
        <w:tc>
          <w:tcPr>
            <w:tcW w:w="704" w:type="dxa"/>
            <w:tcBorders>
              <w:top w:val="single" w:sz="4" w:space="0" w:color="auto"/>
              <w:bottom w:val="single" w:sz="4" w:space="0" w:color="auto"/>
            </w:tcBorders>
          </w:tcPr>
          <w:p w:rsidR="00CD2A21" w:rsidRPr="00F57420" w:rsidRDefault="00CD2A21" w:rsidP="001061DF">
            <w:pPr>
              <w:widowControl w:val="0"/>
              <w:jc w:val="center"/>
            </w:pPr>
          </w:p>
        </w:tc>
        <w:tc>
          <w:tcPr>
            <w:tcW w:w="428" w:type="dxa"/>
            <w:tcBorders>
              <w:top w:val="single" w:sz="4" w:space="0" w:color="auto"/>
              <w:bottom w:val="nil"/>
            </w:tcBorders>
          </w:tcPr>
          <w:p w:rsidR="00CD2A21" w:rsidRPr="00F57420" w:rsidRDefault="00CD2A21" w:rsidP="001061DF">
            <w:pPr>
              <w:widowControl w:val="0"/>
              <w:jc w:val="center"/>
            </w:pPr>
          </w:p>
        </w:tc>
        <w:tc>
          <w:tcPr>
            <w:tcW w:w="652" w:type="dxa"/>
            <w:tcBorders>
              <w:top w:val="single" w:sz="4" w:space="0" w:color="auto"/>
              <w:bottom w:val="single" w:sz="4" w:space="0" w:color="auto"/>
            </w:tcBorders>
          </w:tcPr>
          <w:p w:rsidR="00CD2A21" w:rsidRPr="00F57420" w:rsidRDefault="00CD2A21" w:rsidP="001061DF">
            <w:pPr>
              <w:widowControl w:val="0"/>
              <w:jc w:val="center"/>
            </w:pPr>
          </w:p>
        </w:tc>
        <w:tc>
          <w:tcPr>
            <w:tcW w:w="651" w:type="dxa"/>
            <w:tcBorders>
              <w:top w:val="single" w:sz="4" w:space="0" w:color="auto"/>
              <w:bottom w:val="single" w:sz="4" w:space="0" w:color="auto"/>
            </w:tcBorders>
          </w:tcPr>
          <w:p w:rsidR="00CD2A21" w:rsidRPr="00F57420" w:rsidRDefault="00CD2A21" w:rsidP="001061DF">
            <w:pPr>
              <w:widowControl w:val="0"/>
              <w:jc w:val="center"/>
            </w:pPr>
            <w:r w:rsidRPr="00F57420">
              <w:t>P2</w:t>
            </w:r>
          </w:p>
        </w:tc>
        <w:tc>
          <w:tcPr>
            <w:tcW w:w="699" w:type="dxa"/>
            <w:tcBorders>
              <w:top w:val="single" w:sz="4" w:space="0" w:color="auto"/>
              <w:bottom w:val="single" w:sz="4" w:space="0" w:color="auto"/>
            </w:tcBorders>
          </w:tcPr>
          <w:p w:rsidR="00CD2A21" w:rsidRPr="00F57420" w:rsidRDefault="00CD2A21" w:rsidP="001061DF">
            <w:pPr>
              <w:widowControl w:val="0"/>
              <w:jc w:val="center"/>
            </w:pPr>
          </w:p>
        </w:tc>
        <w:tc>
          <w:tcPr>
            <w:tcW w:w="478" w:type="dxa"/>
            <w:tcBorders>
              <w:top w:val="single" w:sz="4" w:space="0" w:color="auto"/>
              <w:bottom w:val="nil"/>
            </w:tcBorders>
          </w:tcPr>
          <w:p w:rsidR="00CD2A21" w:rsidRPr="00F57420" w:rsidRDefault="00CD2A21" w:rsidP="001061DF">
            <w:pPr>
              <w:widowControl w:val="0"/>
              <w:jc w:val="center"/>
            </w:pPr>
          </w:p>
        </w:tc>
        <w:tc>
          <w:tcPr>
            <w:tcW w:w="692" w:type="dxa"/>
            <w:tcBorders>
              <w:top w:val="single" w:sz="4" w:space="0" w:color="auto"/>
              <w:bottom w:val="single" w:sz="4" w:space="0" w:color="auto"/>
            </w:tcBorders>
          </w:tcPr>
          <w:p w:rsidR="00CD2A21" w:rsidRPr="00F57420" w:rsidRDefault="00CD2A21" w:rsidP="001061DF">
            <w:pPr>
              <w:widowControl w:val="0"/>
              <w:jc w:val="center"/>
            </w:pPr>
          </w:p>
        </w:tc>
        <w:tc>
          <w:tcPr>
            <w:tcW w:w="651" w:type="dxa"/>
            <w:tcBorders>
              <w:top w:val="single" w:sz="4" w:space="0" w:color="auto"/>
              <w:bottom w:val="single" w:sz="4" w:space="0" w:color="auto"/>
            </w:tcBorders>
          </w:tcPr>
          <w:p w:rsidR="00CD2A21" w:rsidRPr="00F57420" w:rsidRDefault="00CD2A21" w:rsidP="001061DF">
            <w:pPr>
              <w:widowControl w:val="0"/>
              <w:jc w:val="center"/>
            </w:pPr>
            <w:r w:rsidRPr="00F57420">
              <w:t>P3</w:t>
            </w:r>
          </w:p>
        </w:tc>
        <w:tc>
          <w:tcPr>
            <w:tcW w:w="699" w:type="dxa"/>
            <w:tcBorders>
              <w:top w:val="single" w:sz="4" w:space="0" w:color="auto"/>
              <w:bottom w:val="single" w:sz="4" w:space="0" w:color="auto"/>
            </w:tcBorders>
          </w:tcPr>
          <w:p w:rsidR="00CD2A21" w:rsidRPr="00F57420" w:rsidRDefault="00CD2A21" w:rsidP="001061DF">
            <w:pPr>
              <w:widowControl w:val="0"/>
              <w:jc w:val="center"/>
            </w:pPr>
          </w:p>
        </w:tc>
      </w:tr>
      <w:tr w:rsidR="00CD2A21" w:rsidRPr="00F57420">
        <w:trPr>
          <w:tblHeader/>
        </w:trPr>
        <w:tc>
          <w:tcPr>
            <w:tcW w:w="1373" w:type="dxa"/>
            <w:tcBorders>
              <w:top w:val="nil"/>
              <w:bottom w:val="single" w:sz="4" w:space="0" w:color="000000"/>
            </w:tcBorders>
          </w:tcPr>
          <w:p w:rsidR="00CD2A21" w:rsidRPr="00F57420" w:rsidRDefault="00CD2A21" w:rsidP="001061DF">
            <w:pPr>
              <w:widowControl w:val="0"/>
            </w:pPr>
          </w:p>
        </w:tc>
        <w:tc>
          <w:tcPr>
            <w:tcW w:w="252" w:type="dxa"/>
            <w:tcBorders>
              <w:top w:val="nil"/>
              <w:bottom w:val="single" w:sz="4" w:space="0" w:color="auto"/>
            </w:tcBorders>
          </w:tcPr>
          <w:p w:rsidR="00CD2A21" w:rsidRPr="00F57420" w:rsidRDefault="00CD2A21" w:rsidP="001061DF">
            <w:pPr>
              <w:widowControl w:val="0"/>
              <w:jc w:val="center"/>
            </w:pPr>
          </w:p>
        </w:tc>
        <w:tc>
          <w:tcPr>
            <w:tcW w:w="819" w:type="dxa"/>
            <w:tcBorders>
              <w:top w:val="single" w:sz="4" w:space="0" w:color="auto"/>
              <w:bottom w:val="single" w:sz="4" w:space="0" w:color="000000"/>
            </w:tcBorders>
          </w:tcPr>
          <w:p w:rsidR="00CD2A21" w:rsidRPr="00F57420" w:rsidRDefault="00CD2A21" w:rsidP="001061DF">
            <w:pPr>
              <w:widowControl w:val="0"/>
              <w:jc w:val="center"/>
            </w:pPr>
            <w:r w:rsidRPr="00F57420">
              <w:t>Pre</w:t>
            </w:r>
          </w:p>
        </w:tc>
        <w:tc>
          <w:tcPr>
            <w:tcW w:w="729" w:type="dxa"/>
            <w:tcBorders>
              <w:top w:val="single" w:sz="4" w:space="0" w:color="auto"/>
              <w:bottom w:val="single" w:sz="4" w:space="0" w:color="000000"/>
            </w:tcBorders>
          </w:tcPr>
          <w:p w:rsidR="00CD2A21" w:rsidRPr="00F57420" w:rsidRDefault="00CD2A21" w:rsidP="001061DF">
            <w:pPr>
              <w:widowControl w:val="0"/>
              <w:jc w:val="center"/>
            </w:pPr>
            <w:r w:rsidRPr="00F57420">
              <w:t>Post</w:t>
            </w:r>
          </w:p>
        </w:tc>
        <w:tc>
          <w:tcPr>
            <w:tcW w:w="704" w:type="dxa"/>
            <w:tcBorders>
              <w:top w:val="single" w:sz="4" w:space="0" w:color="auto"/>
              <w:bottom w:val="single" w:sz="4" w:space="0" w:color="000000"/>
            </w:tcBorders>
          </w:tcPr>
          <w:p w:rsidR="00CD2A21" w:rsidRPr="00F57420" w:rsidRDefault="00CD2A21" w:rsidP="001061DF">
            <w:pPr>
              <w:widowControl w:val="0"/>
              <w:jc w:val="center"/>
            </w:pPr>
            <w:r w:rsidRPr="00F57420">
              <w:t>FU</w:t>
            </w:r>
          </w:p>
        </w:tc>
        <w:tc>
          <w:tcPr>
            <w:tcW w:w="428" w:type="dxa"/>
            <w:tcBorders>
              <w:top w:val="nil"/>
              <w:bottom w:val="single" w:sz="4" w:space="0" w:color="000000"/>
            </w:tcBorders>
          </w:tcPr>
          <w:p w:rsidR="00CD2A21" w:rsidRPr="00F57420" w:rsidRDefault="00CD2A21" w:rsidP="001061DF">
            <w:pPr>
              <w:widowControl w:val="0"/>
              <w:jc w:val="center"/>
            </w:pPr>
          </w:p>
        </w:tc>
        <w:tc>
          <w:tcPr>
            <w:tcW w:w="652" w:type="dxa"/>
            <w:tcBorders>
              <w:top w:val="single" w:sz="4" w:space="0" w:color="auto"/>
              <w:bottom w:val="single" w:sz="4" w:space="0" w:color="000000"/>
            </w:tcBorders>
          </w:tcPr>
          <w:p w:rsidR="00CD2A21" w:rsidRPr="00F57420" w:rsidRDefault="00CD2A21" w:rsidP="001061DF">
            <w:pPr>
              <w:widowControl w:val="0"/>
              <w:jc w:val="center"/>
            </w:pPr>
            <w:r w:rsidRPr="00F57420">
              <w:t>Pre</w:t>
            </w:r>
          </w:p>
        </w:tc>
        <w:tc>
          <w:tcPr>
            <w:tcW w:w="651" w:type="dxa"/>
            <w:tcBorders>
              <w:top w:val="single" w:sz="4" w:space="0" w:color="auto"/>
              <w:bottom w:val="single" w:sz="4" w:space="0" w:color="000000"/>
            </w:tcBorders>
          </w:tcPr>
          <w:p w:rsidR="00CD2A21" w:rsidRPr="00F57420" w:rsidRDefault="00CD2A21" w:rsidP="001061DF">
            <w:pPr>
              <w:widowControl w:val="0"/>
              <w:jc w:val="center"/>
            </w:pPr>
            <w:r w:rsidRPr="00F57420">
              <w:t>Post</w:t>
            </w:r>
          </w:p>
        </w:tc>
        <w:tc>
          <w:tcPr>
            <w:tcW w:w="699" w:type="dxa"/>
            <w:tcBorders>
              <w:top w:val="single" w:sz="4" w:space="0" w:color="auto"/>
              <w:bottom w:val="single" w:sz="4" w:space="0" w:color="000000"/>
            </w:tcBorders>
          </w:tcPr>
          <w:p w:rsidR="00CD2A21" w:rsidRPr="00F57420" w:rsidRDefault="00CD2A21" w:rsidP="001061DF">
            <w:pPr>
              <w:widowControl w:val="0"/>
              <w:jc w:val="center"/>
            </w:pPr>
            <w:r w:rsidRPr="00F57420">
              <w:t>FU</w:t>
            </w:r>
          </w:p>
        </w:tc>
        <w:tc>
          <w:tcPr>
            <w:tcW w:w="478" w:type="dxa"/>
            <w:tcBorders>
              <w:top w:val="nil"/>
              <w:bottom w:val="single" w:sz="4" w:space="0" w:color="000000"/>
            </w:tcBorders>
          </w:tcPr>
          <w:p w:rsidR="00CD2A21" w:rsidRPr="00F57420" w:rsidRDefault="00CD2A21" w:rsidP="001061DF">
            <w:pPr>
              <w:widowControl w:val="0"/>
              <w:jc w:val="center"/>
            </w:pPr>
          </w:p>
        </w:tc>
        <w:tc>
          <w:tcPr>
            <w:tcW w:w="692" w:type="dxa"/>
            <w:tcBorders>
              <w:top w:val="single" w:sz="4" w:space="0" w:color="auto"/>
              <w:bottom w:val="single" w:sz="4" w:space="0" w:color="000000"/>
            </w:tcBorders>
          </w:tcPr>
          <w:p w:rsidR="00CD2A21" w:rsidRPr="00F57420" w:rsidRDefault="00CD2A21" w:rsidP="001061DF">
            <w:pPr>
              <w:widowControl w:val="0"/>
              <w:jc w:val="center"/>
            </w:pPr>
            <w:r w:rsidRPr="00F57420">
              <w:t>Pre</w:t>
            </w:r>
          </w:p>
        </w:tc>
        <w:tc>
          <w:tcPr>
            <w:tcW w:w="651" w:type="dxa"/>
            <w:tcBorders>
              <w:top w:val="single" w:sz="4" w:space="0" w:color="auto"/>
              <w:bottom w:val="single" w:sz="4" w:space="0" w:color="000000"/>
            </w:tcBorders>
          </w:tcPr>
          <w:p w:rsidR="00CD2A21" w:rsidRPr="00F57420" w:rsidRDefault="00CD2A21" w:rsidP="001061DF">
            <w:pPr>
              <w:widowControl w:val="0"/>
              <w:jc w:val="center"/>
            </w:pPr>
            <w:r w:rsidRPr="00F57420">
              <w:t>Post</w:t>
            </w:r>
          </w:p>
        </w:tc>
        <w:tc>
          <w:tcPr>
            <w:tcW w:w="699" w:type="dxa"/>
            <w:tcBorders>
              <w:top w:val="single" w:sz="4" w:space="0" w:color="auto"/>
              <w:bottom w:val="single" w:sz="4" w:space="0" w:color="000000"/>
            </w:tcBorders>
          </w:tcPr>
          <w:p w:rsidR="00CD2A21" w:rsidRPr="00F57420" w:rsidRDefault="00CD2A21" w:rsidP="001061DF">
            <w:pPr>
              <w:widowControl w:val="0"/>
              <w:jc w:val="center"/>
            </w:pPr>
            <w:r w:rsidRPr="00F57420">
              <w:t>FU</w:t>
            </w:r>
          </w:p>
        </w:tc>
      </w:tr>
      <w:tr w:rsidR="00CD2A21" w:rsidRPr="00F57420">
        <w:tc>
          <w:tcPr>
            <w:tcW w:w="1373" w:type="dxa"/>
            <w:tcBorders>
              <w:top w:val="single" w:sz="4" w:space="0" w:color="000000"/>
            </w:tcBorders>
          </w:tcPr>
          <w:p w:rsidR="00CD2A21" w:rsidRPr="00F57420" w:rsidRDefault="00CD2A21" w:rsidP="001061DF">
            <w:pPr>
              <w:widowControl w:val="0"/>
              <w:rPr>
                <w:sz w:val="22"/>
                <w:szCs w:val="22"/>
              </w:rPr>
            </w:pPr>
            <w:r w:rsidRPr="00F57420">
              <w:rPr>
                <w:sz w:val="22"/>
                <w:szCs w:val="22"/>
              </w:rPr>
              <w:t>Y-BOCS</w:t>
            </w:r>
          </w:p>
        </w:tc>
        <w:tc>
          <w:tcPr>
            <w:tcW w:w="252" w:type="dxa"/>
            <w:tcBorders>
              <w:top w:val="single" w:sz="4" w:space="0" w:color="auto"/>
              <w:bottom w:val="nil"/>
            </w:tcBorders>
          </w:tcPr>
          <w:p w:rsidR="00CD2A21" w:rsidRPr="00F57420" w:rsidRDefault="00CD2A21" w:rsidP="001061DF">
            <w:pPr>
              <w:widowControl w:val="0"/>
              <w:tabs>
                <w:tab w:val="decimal" w:pos="335"/>
              </w:tabs>
              <w:jc w:val="center"/>
              <w:rPr>
                <w:sz w:val="22"/>
                <w:szCs w:val="22"/>
              </w:rPr>
            </w:pPr>
          </w:p>
        </w:tc>
        <w:tc>
          <w:tcPr>
            <w:tcW w:w="819" w:type="dxa"/>
            <w:tcBorders>
              <w:top w:val="single" w:sz="4" w:space="0" w:color="000000"/>
            </w:tcBorders>
          </w:tcPr>
          <w:p w:rsidR="00CD2A21" w:rsidRPr="00F57420" w:rsidRDefault="00CD2A21" w:rsidP="001061DF">
            <w:pPr>
              <w:widowControl w:val="0"/>
              <w:tabs>
                <w:tab w:val="decimal" w:pos="335"/>
              </w:tabs>
              <w:jc w:val="center"/>
              <w:rPr>
                <w:sz w:val="22"/>
                <w:szCs w:val="22"/>
              </w:rPr>
            </w:pPr>
            <w:r w:rsidRPr="00F57420">
              <w:rPr>
                <w:sz w:val="22"/>
                <w:szCs w:val="22"/>
              </w:rPr>
              <w:t>16</w:t>
            </w:r>
          </w:p>
        </w:tc>
        <w:tc>
          <w:tcPr>
            <w:tcW w:w="729" w:type="dxa"/>
            <w:tcBorders>
              <w:top w:val="single" w:sz="4" w:space="0" w:color="000000"/>
            </w:tcBorders>
          </w:tcPr>
          <w:p w:rsidR="00CD2A21" w:rsidRPr="00F57420" w:rsidRDefault="00CD2A21" w:rsidP="001061DF">
            <w:pPr>
              <w:jc w:val="center"/>
              <w:rPr>
                <w:sz w:val="22"/>
                <w:szCs w:val="22"/>
              </w:rPr>
            </w:pPr>
            <w:r w:rsidRPr="00F57420">
              <w:rPr>
                <w:sz w:val="22"/>
                <w:szCs w:val="22"/>
              </w:rPr>
              <w:t>5</w:t>
            </w:r>
          </w:p>
        </w:tc>
        <w:tc>
          <w:tcPr>
            <w:tcW w:w="704" w:type="dxa"/>
            <w:tcBorders>
              <w:top w:val="single" w:sz="4" w:space="0" w:color="000000"/>
            </w:tcBorders>
          </w:tcPr>
          <w:p w:rsidR="00CD2A21" w:rsidRPr="00F57420" w:rsidRDefault="00CD2A21" w:rsidP="001061DF">
            <w:pPr>
              <w:jc w:val="center"/>
              <w:rPr>
                <w:sz w:val="22"/>
                <w:szCs w:val="22"/>
              </w:rPr>
            </w:pPr>
            <w:r w:rsidRPr="00F57420">
              <w:rPr>
                <w:sz w:val="22"/>
                <w:szCs w:val="22"/>
              </w:rPr>
              <w:t>11</w:t>
            </w:r>
          </w:p>
        </w:tc>
        <w:tc>
          <w:tcPr>
            <w:tcW w:w="428" w:type="dxa"/>
            <w:tcBorders>
              <w:top w:val="single" w:sz="4" w:space="0" w:color="000000"/>
            </w:tcBorders>
          </w:tcPr>
          <w:p w:rsidR="00CD2A21" w:rsidRPr="00F57420" w:rsidRDefault="00CD2A21" w:rsidP="001061DF">
            <w:pPr>
              <w:widowControl w:val="0"/>
              <w:tabs>
                <w:tab w:val="decimal" w:pos="335"/>
              </w:tabs>
              <w:jc w:val="center"/>
              <w:rPr>
                <w:sz w:val="22"/>
                <w:szCs w:val="22"/>
              </w:rPr>
            </w:pPr>
          </w:p>
        </w:tc>
        <w:tc>
          <w:tcPr>
            <w:tcW w:w="652" w:type="dxa"/>
            <w:tcBorders>
              <w:top w:val="single" w:sz="4" w:space="0" w:color="000000"/>
            </w:tcBorders>
          </w:tcPr>
          <w:p w:rsidR="00CD2A21" w:rsidRPr="00F57420" w:rsidRDefault="00CD2A21" w:rsidP="001061DF">
            <w:pPr>
              <w:jc w:val="center"/>
              <w:rPr>
                <w:sz w:val="22"/>
                <w:szCs w:val="22"/>
              </w:rPr>
            </w:pPr>
            <w:r w:rsidRPr="00F57420">
              <w:rPr>
                <w:sz w:val="22"/>
                <w:szCs w:val="22"/>
              </w:rPr>
              <w:t>27</w:t>
            </w:r>
          </w:p>
        </w:tc>
        <w:tc>
          <w:tcPr>
            <w:tcW w:w="651" w:type="dxa"/>
            <w:tcBorders>
              <w:top w:val="single" w:sz="4" w:space="0" w:color="000000"/>
            </w:tcBorders>
          </w:tcPr>
          <w:p w:rsidR="00CD2A21" w:rsidRPr="00F57420" w:rsidRDefault="00CD2A21" w:rsidP="001061DF">
            <w:pPr>
              <w:jc w:val="center"/>
              <w:rPr>
                <w:sz w:val="22"/>
                <w:szCs w:val="22"/>
              </w:rPr>
            </w:pPr>
            <w:r w:rsidRPr="00F57420">
              <w:rPr>
                <w:sz w:val="22"/>
                <w:szCs w:val="22"/>
              </w:rPr>
              <w:t>13</w:t>
            </w:r>
          </w:p>
        </w:tc>
        <w:tc>
          <w:tcPr>
            <w:tcW w:w="699" w:type="dxa"/>
            <w:tcBorders>
              <w:top w:val="single" w:sz="4" w:space="0" w:color="000000"/>
            </w:tcBorders>
          </w:tcPr>
          <w:p w:rsidR="00CD2A21" w:rsidRPr="00F57420" w:rsidRDefault="00CD2A21" w:rsidP="001061DF">
            <w:pPr>
              <w:jc w:val="center"/>
              <w:rPr>
                <w:sz w:val="22"/>
                <w:szCs w:val="22"/>
              </w:rPr>
            </w:pPr>
            <w:r w:rsidRPr="00F57420">
              <w:rPr>
                <w:sz w:val="22"/>
                <w:szCs w:val="22"/>
              </w:rPr>
              <w:t>11</w:t>
            </w:r>
          </w:p>
        </w:tc>
        <w:tc>
          <w:tcPr>
            <w:tcW w:w="478" w:type="dxa"/>
            <w:tcBorders>
              <w:top w:val="single" w:sz="4" w:space="0" w:color="000000"/>
            </w:tcBorders>
          </w:tcPr>
          <w:p w:rsidR="00CD2A21" w:rsidRPr="00F57420" w:rsidRDefault="00CD2A21" w:rsidP="001061DF">
            <w:pPr>
              <w:widowControl w:val="0"/>
              <w:tabs>
                <w:tab w:val="decimal" w:pos="335"/>
              </w:tabs>
              <w:jc w:val="center"/>
              <w:rPr>
                <w:sz w:val="22"/>
                <w:szCs w:val="22"/>
              </w:rPr>
            </w:pPr>
          </w:p>
        </w:tc>
        <w:tc>
          <w:tcPr>
            <w:tcW w:w="692" w:type="dxa"/>
            <w:tcBorders>
              <w:top w:val="single" w:sz="4" w:space="0" w:color="000000"/>
            </w:tcBorders>
          </w:tcPr>
          <w:p w:rsidR="00CD2A21" w:rsidRPr="00F57420" w:rsidRDefault="00CD2A21" w:rsidP="001061DF">
            <w:pPr>
              <w:jc w:val="center"/>
              <w:rPr>
                <w:sz w:val="22"/>
                <w:szCs w:val="22"/>
              </w:rPr>
            </w:pPr>
            <w:r w:rsidRPr="00F57420">
              <w:rPr>
                <w:sz w:val="22"/>
                <w:szCs w:val="22"/>
              </w:rPr>
              <w:t>30</w:t>
            </w:r>
          </w:p>
        </w:tc>
        <w:tc>
          <w:tcPr>
            <w:tcW w:w="651" w:type="dxa"/>
            <w:tcBorders>
              <w:top w:val="single" w:sz="4" w:space="0" w:color="000000"/>
            </w:tcBorders>
          </w:tcPr>
          <w:p w:rsidR="00CD2A21" w:rsidRPr="00F57420" w:rsidRDefault="00CD2A21" w:rsidP="001061DF">
            <w:pPr>
              <w:jc w:val="center"/>
              <w:rPr>
                <w:sz w:val="22"/>
                <w:szCs w:val="22"/>
              </w:rPr>
            </w:pPr>
            <w:r w:rsidRPr="00F57420">
              <w:rPr>
                <w:sz w:val="22"/>
                <w:szCs w:val="22"/>
              </w:rPr>
              <w:t>10</w:t>
            </w:r>
          </w:p>
        </w:tc>
        <w:tc>
          <w:tcPr>
            <w:tcW w:w="699" w:type="dxa"/>
            <w:tcBorders>
              <w:top w:val="single" w:sz="4" w:space="0" w:color="000000"/>
            </w:tcBorders>
          </w:tcPr>
          <w:p w:rsidR="00CD2A21" w:rsidRPr="00F57420" w:rsidRDefault="00CD2A21" w:rsidP="001061DF">
            <w:pPr>
              <w:jc w:val="center"/>
              <w:rPr>
                <w:sz w:val="22"/>
                <w:szCs w:val="22"/>
              </w:rPr>
            </w:pPr>
            <w:r w:rsidRPr="00F57420">
              <w:rPr>
                <w:sz w:val="22"/>
                <w:szCs w:val="22"/>
              </w:rPr>
              <w:t>13</w:t>
            </w:r>
          </w:p>
        </w:tc>
      </w:tr>
      <w:tr w:rsidR="00CD2A21" w:rsidRPr="00F57420">
        <w:tc>
          <w:tcPr>
            <w:tcW w:w="1373" w:type="dxa"/>
          </w:tcPr>
          <w:p w:rsidR="00CD2A21" w:rsidRPr="00F57420" w:rsidRDefault="00CD2A21" w:rsidP="001061DF">
            <w:pPr>
              <w:widowControl w:val="0"/>
              <w:rPr>
                <w:sz w:val="22"/>
                <w:szCs w:val="22"/>
              </w:rPr>
            </w:pPr>
            <w:r w:rsidRPr="00F57420">
              <w:rPr>
                <w:sz w:val="22"/>
                <w:szCs w:val="22"/>
              </w:rPr>
              <w:t>Rel. Faith</w:t>
            </w:r>
          </w:p>
        </w:tc>
        <w:tc>
          <w:tcPr>
            <w:tcW w:w="252" w:type="dxa"/>
            <w:tcBorders>
              <w:top w:val="nil"/>
            </w:tcBorders>
          </w:tcPr>
          <w:p w:rsidR="00CD2A21" w:rsidRPr="00F57420" w:rsidRDefault="00CD2A21" w:rsidP="001061DF">
            <w:pPr>
              <w:widowControl w:val="0"/>
              <w:tabs>
                <w:tab w:val="decimal" w:pos="335"/>
              </w:tabs>
              <w:jc w:val="center"/>
              <w:rPr>
                <w:sz w:val="22"/>
                <w:szCs w:val="22"/>
              </w:rPr>
            </w:pPr>
          </w:p>
        </w:tc>
        <w:tc>
          <w:tcPr>
            <w:tcW w:w="819" w:type="dxa"/>
          </w:tcPr>
          <w:p w:rsidR="00CD2A21" w:rsidRPr="00F57420" w:rsidRDefault="00CD2A21" w:rsidP="001061DF">
            <w:pPr>
              <w:widowControl w:val="0"/>
              <w:tabs>
                <w:tab w:val="decimal" w:pos="335"/>
              </w:tabs>
              <w:jc w:val="center"/>
              <w:rPr>
                <w:sz w:val="22"/>
                <w:szCs w:val="22"/>
              </w:rPr>
            </w:pPr>
            <w:r w:rsidRPr="00F57420">
              <w:rPr>
                <w:sz w:val="22"/>
                <w:szCs w:val="22"/>
              </w:rPr>
              <w:t>32</w:t>
            </w:r>
          </w:p>
        </w:tc>
        <w:tc>
          <w:tcPr>
            <w:tcW w:w="729" w:type="dxa"/>
          </w:tcPr>
          <w:p w:rsidR="00CD2A21" w:rsidRPr="00F57420" w:rsidRDefault="00CD2A21" w:rsidP="001061DF">
            <w:pPr>
              <w:jc w:val="center"/>
              <w:rPr>
                <w:sz w:val="22"/>
                <w:szCs w:val="22"/>
              </w:rPr>
            </w:pPr>
            <w:r w:rsidRPr="00F57420">
              <w:rPr>
                <w:sz w:val="22"/>
                <w:szCs w:val="22"/>
              </w:rPr>
              <w:t>32</w:t>
            </w:r>
          </w:p>
        </w:tc>
        <w:tc>
          <w:tcPr>
            <w:tcW w:w="704" w:type="dxa"/>
          </w:tcPr>
          <w:p w:rsidR="00CD2A21" w:rsidRPr="00F57420" w:rsidRDefault="00CD2A21" w:rsidP="001061DF">
            <w:pPr>
              <w:jc w:val="center"/>
              <w:rPr>
                <w:sz w:val="22"/>
                <w:szCs w:val="22"/>
              </w:rPr>
            </w:pPr>
            <w:r w:rsidRPr="00F57420">
              <w:rPr>
                <w:sz w:val="22"/>
                <w:szCs w:val="22"/>
              </w:rPr>
              <w:t>--</w:t>
            </w:r>
          </w:p>
        </w:tc>
        <w:tc>
          <w:tcPr>
            <w:tcW w:w="428" w:type="dxa"/>
          </w:tcPr>
          <w:p w:rsidR="00CD2A21" w:rsidRPr="00F57420" w:rsidRDefault="00CD2A21" w:rsidP="001061DF">
            <w:pPr>
              <w:widowControl w:val="0"/>
              <w:tabs>
                <w:tab w:val="decimal" w:pos="335"/>
              </w:tabs>
              <w:jc w:val="center"/>
              <w:rPr>
                <w:sz w:val="22"/>
                <w:szCs w:val="22"/>
              </w:rPr>
            </w:pPr>
          </w:p>
        </w:tc>
        <w:tc>
          <w:tcPr>
            <w:tcW w:w="652" w:type="dxa"/>
          </w:tcPr>
          <w:p w:rsidR="00CD2A21" w:rsidRPr="00F57420" w:rsidRDefault="00CD2A21" w:rsidP="001061DF">
            <w:pPr>
              <w:jc w:val="center"/>
              <w:rPr>
                <w:sz w:val="22"/>
                <w:szCs w:val="22"/>
              </w:rPr>
            </w:pPr>
            <w:r w:rsidRPr="00F57420">
              <w:rPr>
                <w:sz w:val="22"/>
                <w:szCs w:val="22"/>
              </w:rPr>
              <w:t>29</w:t>
            </w:r>
          </w:p>
        </w:tc>
        <w:tc>
          <w:tcPr>
            <w:tcW w:w="651" w:type="dxa"/>
          </w:tcPr>
          <w:p w:rsidR="00CD2A21" w:rsidRPr="00F57420" w:rsidRDefault="00CD2A21" w:rsidP="001061DF">
            <w:pPr>
              <w:jc w:val="center"/>
              <w:rPr>
                <w:sz w:val="22"/>
                <w:szCs w:val="22"/>
              </w:rPr>
            </w:pPr>
            <w:r w:rsidRPr="00F57420">
              <w:rPr>
                <w:sz w:val="22"/>
                <w:szCs w:val="22"/>
              </w:rPr>
              <w:t>23</w:t>
            </w:r>
          </w:p>
        </w:tc>
        <w:tc>
          <w:tcPr>
            <w:tcW w:w="699" w:type="dxa"/>
          </w:tcPr>
          <w:p w:rsidR="00CD2A21" w:rsidRPr="00F57420" w:rsidRDefault="00CD2A21" w:rsidP="001061DF">
            <w:pPr>
              <w:jc w:val="center"/>
              <w:rPr>
                <w:sz w:val="22"/>
                <w:szCs w:val="22"/>
              </w:rPr>
            </w:pPr>
            <w:r w:rsidRPr="00F57420">
              <w:rPr>
                <w:sz w:val="22"/>
                <w:szCs w:val="22"/>
              </w:rPr>
              <w:t>25</w:t>
            </w:r>
          </w:p>
        </w:tc>
        <w:tc>
          <w:tcPr>
            <w:tcW w:w="478" w:type="dxa"/>
          </w:tcPr>
          <w:p w:rsidR="00CD2A21" w:rsidRPr="00F57420" w:rsidRDefault="00CD2A21" w:rsidP="001061DF">
            <w:pPr>
              <w:widowControl w:val="0"/>
              <w:tabs>
                <w:tab w:val="decimal" w:pos="335"/>
              </w:tabs>
              <w:jc w:val="center"/>
              <w:rPr>
                <w:sz w:val="22"/>
                <w:szCs w:val="22"/>
              </w:rPr>
            </w:pPr>
          </w:p>
        </w:tc>
        <w:tc>
          <w:tcPr>
            <w:tcW w:w="692" w:type="dxa"/>
          </w:tcPr>
          <w:p w:rsidR="00CD2A21" w:rsidRPr="00F57420" w:rsidRDefault="00CD2A21" w:rsidP="001061DF">
            <w:pPr>
              <w:jc w:val="center"/>
              <w:rPr>
                <w:sz w:val="22"/>
                <w:szCs w:val="22"/>
              </w:rPr>
            </w:pPr>
            <w:r w:rsidRPr="00F57420">
              <w:rPr>
                <w:sz w:val="22"/>
                <w:szCs w:val="22"/>
              </w:rPr>
              <w:t>29</w:t>
            </w:r>
          </w:p>
        </w:tc>
        <w:tc>
          <w:tcPr>
            <w:tcW w:w="651" w:type="dxa"/>
          </w:tcPr>
          <w:p w:rsidR="00CD2A21" w:rsidRPr="00F57420" w:rsidRDefault="00CD2A21" w:rsidP="001061DF">
            <w:pPr>
              <w:jc w:val="center"/>
              <w:rPr>
                <w:sz w:val="22"/>
                <w:szCs w:val="22"/>
              </w:rPr>
            </w:pPr>
            <w:r w:rsidRPr="00F57420">
              <w:rPr>
                <w:sz w:val="22"/>
                <w:szCs w:val="22"/>
              </w:rPr>
              <w:t>31</w:t>
            </w:r>
          </w:p>
        </w:tc>
        <w:tc>
          <w:tcPr>
            <w:tcW w:w="699" w:type="dxa"/>
          </w:tcPr>
          <w:p w:rsidR="00CD2A21" w:rsidRPr="00F57420" w:rsidRDefault="00CD2A21" w:rsidP="001061DF">
            <w:pPr>
              <w:jc w:val="center"/>
              <w:rPr>
                <w:sz w:val="22"/>
                <w:szCs w:val="22"/>
              </w:rPr>
            </w:pPr>
            <w:r w:rsidRPr="00F57420">
              <w:rPr>
                <w:sz w:val="22"/>
                <w:szCs w:val="22"/>
              </w:rPr>
              <w:t>31</w:t>
            </w:r>
          </w:p>
        </w:tc>
      </w:tr>
      <w:tr w:rsidR="00CD2A21" w:rsidRPr="00F57420">
        <w:tc>
          <w:tcPr>
            <w:tcW w:w="1373" w:type="dxa"/>
          </w:tcPr>
          <w:p w:rsidR="00CD2A21" w:rsidRPr="00F57420" w:rsidRDefault="00CD2A21" w:rsidP="001061DF">
            <w:pPr>
              <w:widowControl w:val="0"/>
              <w:rPr>
                <w:sz w:val="22"/>
                <w:szCs w:val="22"/>
              </w:rPr>
            </w:pPr>
            <w:r w:rsidRPr="00F57420">
              <w:rPr>
                <w:sz w:val="22"/>
                <w:szCs w:val="22"/>
              </w:rPr>
              <w:t>OCI-R</w:t>
            </w:r>
          </w:p>
        </w:tc>
        <w:tc>
          <w:tcPr>
            <w:tcW w:w="252" w:type="dxa"/>
          </w:tcPr>
          <w:p w:rsidR="00CD2A21" w:rsidRPr="00F57420" w:rsidRDefault="00CD2A21" w:rsidP="001061DF">
            <w:pPr>
              <w:widowControl w:val="0"/>
              <w:tabs>
                <w:tab w:val="decimal" w:pos="335"/>
              </w:tabs>
              <w:jc w:val="center"/>
              <w:rPr>
                <w:sz w:val="22"/>
                <w:szCs w:val="22"/>
              </w:rPr>
            </w:pPr>
          </w:p>
        </w:tc>
        <w:tc>
          <w:tcPr>
            <w:tcW w:w="819" w:type="dxa"/>
          </w:tcPr>
          <w:p w:rsidR="00CD2A21" w:rsidRPr="00F57420" w:rsidRDefault="00CD2A21" w:rsidP="001061DF">
            <w:pPr>
              <w:widowControl w:val="0"/>
              <w:tabs>
                <w:tab w:val="decimal" w:pos="335"/>
              </w:tabs>
              <w:jc w:val="center"/>
              <w:rPr>
                <w:sz w:val="22"/>
                <w:szCs w:val="22"/>
              </w:rPr>
            </w:pPr>
            <w:r w:rsidRPr="00F57420">
              <w:rPr>
                <w:sz w:val="22"/>
                <w:szCs w:val="22"/>
              </w:rPr>
              <w:t>22</w:t>
            </w:r>
          </w:p>
        </w:tc>
        <w:tc>
          <w:tcPr>
            <w:tcW w:w="729" w:type="dxa"/>
          </w:tcPr>
          <w:p w:rsidR="00CD2A21" w:rsidRPr="00F57420" w:rsidRDefault="00CD2A21" w:rsidP="001061DF">
            <w:pPr>
              <w:jc w:val="center"/>
              <w:rPr>
                <w:sz w:val="22"/>
                <w:szCs w:val="22"/>
              </w:rPr>
            </w:pPr>
            <w:r w:rsidRPr="00F57420">
              <w:rPr>
                <w:sz w:val="22"/>
                <w:szCs w:val="22"/>
              </w:rPr>
              <w:t>8</w:t>
            </w:r>
          </w:p>
        </w:tc>
        <w:tc>
          <w:tcPr>
            <w:tcW w:w="704" w:type="dxa"/>
          </w:tcPr>
          <w:p w:rsidR="00CD2A21" w:rsidRPr="00F57420" w:rsidRDefault="00CD2A21" w:rsidP="001061DF">
            <w:pPr>
              <w:jc w:val="center"/>
              <w:rPr>
                <w:sz w:val="22"/>
                <w:szCs w:val="22"/>
              </w:rPr>
            </w:pPr>
            <w:r w:rsidRPr="00F57420">
              <w:rPr>
                <w:sz w:val="22"/>
                <w:szCs w:val="22"/>
              </w:rPr>
              <w:t>10</w:t>
            </w:r>
          </w:p>
        </w:tc>
        <w:tc>
          <w:tcPr>
            <w:tcW w:w="428" w:type="dxa"/>
          </w:tcPr>
          <w:p w:rsidR="00CD2A21" w:rsidRPr="00F57420" w:rsidRDefault="00CD2A21" w:rsidP="001061DF">
            <w:pPr>
              <w:widowControl w:val="0"/>
              <w:tabs>
                <w:tab w:val="decimal" w:pos="335"/>
              </w:tabs>
              <w:jc w:val="center"/>
              <w:rPr>
                <w:sz w:val="22"/>
                <w:szCs w:val="22"/>
              </w:rPr>
            </w:pPr>
          </w:p>
        </w:tc>
        <w:tc>
          <w:tcPr>
            <w:tcW w:w="652" w:type="dxa"/>
          </w:tcPr>
          <w:p w:rsidR="00CD2A21" w:rsidRPr="00F57420" w:rsidRDefault="00CD2A21" w:rsidP="001061DF">
            <w:pPr>
              <w:jc w:val="center"/>
              <w:rPr>
                <w:sz w:val="22"/>
                <w:szCs w:val="22"/>
              </w:rPr>
            </w:pPr>
            <w:r w:rsidRPr="00F57420">
              <w:rPr>
                <w:sz w:val="22"/>
                <w:szCs w:val="22"/>
              </w:rPr>
              <w:t>36</w:t>
            </w:r>
          </w:p>
        </w:tc>
        <w:tc>
          <w:tcPr>
            <w:tcW w:w="651" w:type="dxa"/>
          </w:tcPr>
          <w:p w:rsidR="00CD2A21" w:rsidRPr="00F57420" w:rsidRDefault="00CD2A21" w:rsidP="001061DF">
            <w:pPr>
              <w:jc w:val="center"/>
              <w:rPr>
                <w:sz w:val="22"/>
                <w:szCs w:val="22"/>
              </w:rPr>
            </w:pPr>
            <w:r w:rsidRPr="00F57420">
              <w:rPr>
                <w:sz w:val="22"/>
                <w:szCs w:val="22"/>
              </w:rPr>
              <w:t>17</w:t>
            </w:r>
          </w:p>
        </w:tc>
        <w:tc>
          <w:tcPr>
            <w:tcW w:w="699" w:type="dxa"/>
          </w:tcPr>
          <w:p w:rsidR="00CD2A21" w:rsidRPr="00F57420" w:rsidRDefault="00CD2A21" w:rsidP="001061DF">
            <w:pPr>
              <w:jc w:val="center"/>
              <w:rPr>
                <w:sz w:val="22"/>
                <w:szCs w:val="22"/>
              </w:rPr>
            </w:pPr>
            <w:r w:rsidRPr="00F57420">
              <w:rPr>
                <w:sz w:val="22"/>
                <w:szCs w:val="22"/>
              </w:rPr>
              <w:t>23</w:t>
            </w:r>
          </w:p>
        </w:tc>
        <w:tc>
          <w:tcPr>
            <w:tcW w:w="478" w:type="dxa"/>
          </w:tcPr>
          <w:p w:rsidR="00CD2A21" w:rsidRPr="00F57420" w:rsidRDefault="00CD2A21" w:rsidP="001061DF">
            <w:pPr>
              <w:widowControl w:val="0"/>
              <w:tabs>
                <w:tab w:val="decimal" w:pos="335"/>
              </w:tabs>
              <w:jc w:val="center"/>
              <w:rPr>
                <w:sz w:val="22"/>
                <w:szCs w:val="22"/>
              </w:rPr>
            </w:pPr>
          </w:p>
        </w:tc>
        <w:tc>
          <w:tcPr>
            <w:tcW w:w="692" w:type="dxa"/>
          </w:tcPr>
          <w:p w:rsidR="00CD2A21" w:rsidRPr="00F57420" w:rsidRDefault="00CD2A21" w:rsidP="001061DF">
            <w:pPr>
              <w:jc w:val="center"/>
              <w:rPr>
                <w:sz w:val="22"/>
                <w:szCs w:val="22"/>
              </w:rPr>
            </w:pPr>
            <w:r w:rsidRPr="00F57420">
              <w:rPr>
                <w:sz w:val="22"/>
                <w:szCs w:val="22"/>
              </w:rPr>
              <w:t>29</w:t>
            </w:r>
          </w:p>
        </w:tc>
        <w:tc>
          <w:tcPr>
            <w:tcW w:w="651" w:type="dxa"/>
          </w:tcPr>
          <w:p w:rsidR="00CD2A21" w:rsidRPr="00F57420" w:rsidRDefault="00CD2A21" w:rsidP="001061DF">
            <w:pPr>
              <w:jc w:val="center"/>
              <w:rPr>
                <w:sz w:val="22"/>
                <w:szCs w:val="22"/>
              </w:rPr>
            </w:pPr>
            <w:r w:rsidRPr="00F57420">
              <w:rPr>
                <w:sz w:val="22"/>
                <w:szCs w:val="22"/>
              </w:rPr>
              <w:t>11</w:t>
            </w:r>
          </w:p>
        </w:tc>
        <w:tc>
          <w:tcPr>
            <w:tcW w:w="699" w:type="dxa"/>
          </w:tcPr>
          <w:p w:rsidR="00CD2A21" w:rsidRPr="00F57420" w:rsidRDefault="00CD2A21" w:rsidP="001061DF">
            <w:pPr>
              <w:jc w:val="center"/>
              <w:rPr>
                <w:sz w:val="22"/>
                <w:szCs w:val="22"/>
              </w:rPr>
            </w:pPr>
            <w:r w:rsidRPr="00F57420">
              <w:rPr>
                <w:sz w:val="22"/>
                <w:szCs w:val="22"/>
              </w:rPr>
              <w:t>12</w:t>
            </w:r>
          </w:p>
        </w:tc>
      </w:tr>
      <w:tr w:rsidR="00CD2A21" w:rsidRPr="00F57420">
        <w:tc>
          <w:tcPr>
            <w:tcW w:w="1373" w:type="dxa"/>
          </w:tcPr>
          <w:p w:rsidR="00CD2A21" w:rsidRPr="00F57420" w:rsidRDefault="00CD2A21" w:rsidP="001061DF">
            <w:pPr>
              <w:widowControl w:val="0"/>
              <w:rPr>
                <w:sz w:val="22"/>
                <w:szCs w:val="22"/>
              </w:rPr>
            </w:pPr>
            <w:r w:rsidRPr="00F57420">
              <w:rPr>
                <w:sz w:val="22"/>
                <w:szCs w:val="22"/>
              </w:rPr>
              <w:t>PIOS</w:t>
            </w:r>
          </w:p>
        </w:tc>
        <w:tc>
          <w:tcPr>
            <w:tcW w:w="252" w:type="dxa"/>
          </w:tcPr>
          <w:p w:rsidR="00CD2A21" w:rsidRPr="00F57420" w:rsidRDefault="00CD2A21" w:rsidP="001061DF">
            <w:pPr>
              <w:widowControl w:val="0"/>
              <w:tabs>
                <w:tab w:val="decimal" w:pos="335"/>
              </w:tabs>
              <w:jc w:val="center"/>
              <w:rPr>
                <w:sz w:val="22"/>
                <w:szCs w:val="22"/>
              </w:rPr>
            </w:pPr>
          </w:p>
        </w:tc>
        <w:tc>
          <w:tcPr>
            <w:tcW w:w="819" w:type="dxa"/>
          </w:tcPr>
          <w:p w:rsidR="00CD2A21" w:rsidRPr="00F57420" w:rsidRDefault="00FB6840" w:rsidP="001061DF">
            <w:pPr>
              <w:widowControl w:val="0"/>
              <w:tabs>
                <w:tab w:val="decimal" w:pos="335"/>
              </w:tabs>
              <w:jc w:val="center"/>
              <w:rPr>
                <w:sz w:val="22"/>
                <w:szCs w:val="22"/>
              </w:rPr>
            </w:pPr>
            <w:r>
              <w:rPr>
                <w:sz w:val="22"/>
                <w:szCs w:val="22"/>
              </w:rPr>
              <w:t>48</w:t>
            </w:r>
          </w:p>
        </w:tc>
        <w:tc>
          <w:tcPr>
            <w:tcW w:w="729" w:type="dxa"/>
          </w:tcPr>
          <w:p w:rsidR="00CD2A21" w:rsidRPr="00F57420" w:rsidRDefault="00FB6840" w:rsidP="001061DF">
            <w:pPr>
              <w:jc w:val="center"/>
              <w:rPr>
                <w:sz w:val="22"/>
                <w:szCs w:val="22"/>
              </w:rPr>
            </w:pPr>
            <w:r>
              <w:rPr>
                <w:sz w:val="22"/>
                <w:szCs w:val="22"/>
              </w:rPr>
              <w:t>25</w:t>
            </w:r>
          </w:p>
        </w:tc>
        <w:tc>
          <w:tcPr>
            <w:tcW w:w="704" w:type="dxa"/>
          </w:tcPr>
          <w:p w:rsidR="00CD2A21" w:rsidRPr="00F57420" w:rsidRDefault="00FB6840" w:rsidP="001061DF">
            <w:pPr>
              <w:jc w:val="center"/>
              <w:rPr>
                <w:sz w:val="22"/>
                <w:szCs w:val="22"/>
              </w:rPr>
            </w:pPr>
            <w:r>
              <w:rPr>
                <w:sz w:val="22"/>
                <w:szCs w:val="22"/>
              </w:rPr>
              <w:t>19</w:t>
            </w:r>
          </w:p>
        </w:tc>
        <w:tc>
          <w:tcPr>
            <w:tcW w:w="428" w:type="dxa"/>
          </w:tcPr>
          <w:p w:rsidR="00CD2A21" w:rsidRPr="00F57420" w:rsidRDefault="00CD2A21" w:rsidP="001061DF">
            <w:pPr>
              <w:widowControl w:val="0"/>
              <w:tabs>
                <w:tab w:val="decimal" w:pos="335"/>
              </w:tabs>
              <w:jc w:val="center"/>
              <w:rPr>
                <w:sz w:val="22"/>
                <w:szCs w:val="22"/>
              </w:rPr>
            </w:pPr>
          </w:p>
        </w:tc>
        <w:tc>
          <w:tcPr>
            <w:tcW w:w="652" w:type="dxa"/>
          </w:tcPr>
          <w:p w:rsidR="00CD2A21" w:rsidRPr="00F57420" w:rsidRDefault="00FB6840" w:rsidP="001061DF">
            <w:pPr>
              <w:jc w:val="center"/>
              <w:rPr>
                <w:sz w:val="22"/>
                <w:szCs w:val="22"/>
              </w:rPr>
            </w:pPr>
            <w:r>
              <w:rPr>
                <w:sz w:val="22"/>
                <w:szCs w:val="22"/>
              </w:rPr>
              <w:t>67</w:t>
            </w:r>
          </w:p>
        </w:tc>
        <w:tc>
          <w:tcPr>
            <w:tcW w:w="651" w:type="dxa"/>
          </w:tcPr>
          <w:p w:rsidR="00CD2A21" w:rsidRPr="00F57420" w:rsidRDefault="00FB6840" w:rsidP="001061DF">
            <w:pPr>
              <w:jc w:val="center"/>
              <w:rPr>
                <w:sz w:val="22"/>
                <w:szCs w:val="22"/>
              </w:rPr>
            </w:pPr>
            <w:r>
              <w:rPr>
                <w:sz w:val="22"/>
                <w:szCs w:val="22"/>
              </w:rPr>
              <w:t>24</w:t>
            </w:r>
          </w:p>
        </w:tc>
        <w:tc>
          <w:tcPr>
            <w:tcW w:w="699" w:type="dxa"/>
          </w:tcPr>
          <w:p w:rsidR="00CD2A21" w:rsidRPr="00F57420" w:rsidRDefault="00FB6840" w:rsidP="00FB6840">
            <w:pPr>
              <w:jc w:val="center"/>
              <w:rPr>
                <w:sz w:val="22"/>
                <w:szCs w:val="22"/>
              </w:rPr>
            </w:pPr>
            <w:r w:rsidRPr="00F57420">
              <w:rPr>
                <w:sz w:val="22"/>
                <w:szCs w:val="22"/>
              </w:rPr>
              <w:t>3</w:t>
            </w:r>
            <w:r>
              <w:rPr>
                <w:sz w:val="22"/>
                <w:szCs w:val="22"/>
              </w:rPr>
              <w:t>2</w:t>
            </w:r>
          </w:p>
        </w:tc>
        <w:tc>
          <w:tcPr>
            <w:tcW w:w="478" w:type="dxa"/>
          </w:tcPr>
          <w:p w:rsidR="00CD2A21" w:rsidRPr="00F57420" w:rsidRDefault="00CD2A21" w:rsidP="001061DF">
            <w:pPr>
              <w:widowControl w:val="0"/>
              <w:tabs>
                <w:tab w:val="decimal" w:pos="335"/>
              </w:tabs>
              <w:jc w:val="center"/>
              <w:rPr>
                <w:sz w:val="22"/>
                <w:szCs w:val="22"/>
              </w:rPr>
            </w:pPr>
          </w:p>
        </w:tc>
        <w:tc>
          <w:tcPr>
            <w:tcW w:w="692" w:type="dxa"/>
          </w:tcPr>
          <w:p w:rsidR="00CD2A21" w:rsidRPr="00F57420" w:rsidRDefault="00FB6840" w:rsidP="00FB6840">
            <w:pPr>
              <w:jc w:val="center"/>
              <w:rPr>
                <w:sz w:val="22"/>
                <w:szCs w:val="22"/>
              </w:rPr>
            </w:pPr>
            <w:r w:rsidRPr="00F57420">
              <w:rPr>
                <w:sz w:val="22"/>
                <w:szCs w:val="22"/>
              </w:rPr>
              <w:t>5</w:t>
            </w:r>
            <w:r>
              <w:rPr>
                <w:sz w:val="22"/>
                <w:szCs w:val="22"/>
              </w:rPr>
              <w:t>7</w:t>
            </w:r>
          </w:p>
        </w:tc>
        <w:tc>
          <w:tcPr>
            <w:tcW w:w="651" w:type="dxa"/>
          </w:tcPr>
          <w:p w:rsidR="00CD2A21" w:rsidRPr="00F57420" w:rsidRDefault="00FB6840" w:rsidP="00FB6840">
            <w:pPr>
              <w:jc w:val="center"/>
              <w:rPr>
                <w:sz w:val="22"/>
                <w:szCs w:val="22"/>
              </w:rPr>
            </w:pPr>
            <w:r w:rsidRPr="00F57420">
              <w:rPr>
                <w:sz w:val="22"/>
                <w:szCs w:val="22"/>
              </w:rPr>
              <w:t>2</w:t>
            </w:r>
            <w:r>
              <w:rPr>
                <w:sz w:val="22"/>
                <w:szCs w:val="22"/>
              </w:rPr>
              <w:t>9</w:t>
            </w:r>
          </w:p>
        </w:tc>
        <w:tc>
          <w:tcPr>
            <w:tcW w:w="699" w:type="dxa"/>
          </w:tcPr>
          <w:p w:rsidR="00CD2A21" w:rsidRPr="00F57420" w:rsidRDefault="00CD2A21" w:rsidP="001061DF">
            <w:pPr>
              <w:jc w:val="center"/>
              <w:rPr>
                <w:sz w:val="22"/>
                <w:szCs w:val="22"/>
              </w:rPr>
            </w:pPr>
            <w:r w:rsidRPr="00F57420">
              <w:rPr>
                <w:sz w:val="22"/>
                <w:szCs w:val="22"/>
              </w:rPr>
              <w:t>22</w:t>
            </w:r>
          </w:p>
        </w:tc>
      </w:tr>
      <w:tr w:rsidR="00CD2A21" w:rsidRPr="00F57420">
        <w:tc>
          <w:tcPr>
            <w:tcW w:w="1373" w:type="dxa"/>
          </w:tcPr>
          <w:p w:rsidR="00CD2A21" w:rsidRPr="00F57420" w:rsidRDefault="00CD2A21" w:rsidP="004E2844">
            <w:pPr>
              <w:widowControl w:val="0"/>
              <w:rPr>
                <w:sz w:val="22"/>
                <w:szCs w:val="22"/>
              </w:rPr>
            </w:pPr>
            <w:r w:rsidRPr="00F57420">
              <w:rPr>
                <w:sz w:val="22"/>
                <w:szCs w:val="22"/>
              </w:rPr>
              <w:t>BDI-</w:t>
            </w:r>
            <w:r w:rsidR="004E2844">
              <w:rPr>
                <w:sz w:val="22"/>
                <w:szCs w:val="22"/>
              </w:rPr>
              <w:t>II</w:t>
            </w:r>
          </w:p>
        </w:tc>
        <w:tc>
          <w:tcPr>
            <w:tcW w:w="252" w:type="dxa"/>
          </w:tcPr>
          <w:p w:rsidR="00CD2A21" w:rsidRPr="00F57420" w:rsidRDefault="00CD2A21" w:rsidP="001061DF">
            <w:pPr>
              <w:widowControl w:val="0"/>
              <w:tabs>
                <w:tab w:val="decimal" w:pos="335"/>
              </w:tabs>
              <w:jc w:val="center"/>
              <w:rPr>
                <w:sz w:val="22"/>
                <w:szCs w:val="22"/>
              </w:rPr>
            </w:pPr>
          </w:p>
        </w:tc>
        <w:tc>
          <w:tcPr>
            <w:tcW w:w="819" w:type="dxa"/>
          </w:tcPr>
          <w:p w:rsidR="00CD2A21" w:rsidRPr="00F57420" w:rsidRDefault="00C00117" w:rsidP="001061DF">
            <w:pPr>
              <w:widowControl w:val="0"/>
              <w:tabs>
                <w:tab w:val="decimal" w:pos="335"/>
              </w:tabs>
              <w:jc w:val="center"/>
              <w:rPr>
                <w:sz w:val="22"/>
                <w:szCs w:val="22"/>
              </w:rPr>
            </w:pPr>
            <w:r>
              <w:rPr>
                <w:sz w:val="22"/>
                <w:szCs w:val="22"/>
              </w:rPr>
              <w:t>21</w:t>
            </w:r>
          </w:p>
        </w:tc>
        <w:tc>
          <w:tcPr>
            <w:tcW w:w="729" w:type="dxa"/>
          </w:tcPr>
          <w:p w:rsidR="00CD2A21" w:rsidRPr="00F57420" w:rsidRDefault="00C00117" w:rsidP="001061DF">
            <w:pPr>
              <w:jc w:val="center"/>
              <w:rPr>
                <w:sz w:val="22"/>
                <w:szCs w:val="22"/>
              </w:rPr>
            </w:pPr>
            <w:r>
              <w:rPr>
                <w:sz w:val="22"/>
                <w:szCs w:val="22"/>
              </w:rPr>
              <w:t>6</w:t>
            </w:r>
          </w:p>
        </w:tc>
        <w:tc>
          <w:tcPr>
            <w:tcW w:w="704" w:type="dxa"/>
          </w:tcPr>
          <w:p w:rsidR="00CD2A21" w:rsidRPr="00F57420" w:rsidRDefault="00C00117" w:rsidP="001061DF">
            <w:pPr>
              <w:jc w:val="center"/>
              <w:rPr>
                <w:sz w:val="22"/>
                <w:szCs w:val="22"/>
              </w:rPr>
            </w:pPr>
            <w:r>
              <w:rPr>
                <w:sz w:val="22"/>
                <w:szCs w:val="22"/>
              </w:rPr>
              <w:t>4</w:t>
            </w:r>
          </w:p>
        </w:tc>
        <w:tc>
          <w:tcPr>
            <w:tcW w:w="428" w:type="dxa"/>
          </w:tcPr>
          <w:p w:rsidR="00CD2A21" w:rsidRPr="00F57420" w:rsidRDefault="00CD2A21" w:rsidP="001061DF">
            <w:pPr>
              <w:widowControl w:val="0"/>
              <w:tabs>
                <w:tab w:val="decimal" w:pos="335"/>
              </w:tabs>
              <w:jc w:val="center"/>
              <w:rPr>
                <w:sz w:val="22"/>
                <w:szCs w:val="22"/>
              </w:rPr>
            </w:pPr>
          </w:p>
        </w:tc>
        <w:tc>
          <w:tcPr>
            <w:tcW w:w="652" w:type="dxa"/>
          </w:tcPr>
          <w:p w:rsidR="00CD2A21" w:rsidRPr="00F57420" w:rsidRDefault="00C00117" w:rsidP="001061DF">
            <w:pPr>
              <w:jc w:val="center"/>
              <w:rPr>
                <w:sz w:val="22"/>
                <w:szCs w:val="22"/>
              </w:rPr>
            </w:pPr>
            <w:r>
              <w:rPr>
                <w:sz w:val="22"/>
                <w:szCs w:val="22"/>
              </w:rPr>
              <w:t>45</w:t>
            </w:r>
          </w:p>
        </w:tc>
        <w:tc>
          <w:tcPr>
            <w:tcW w:w="651" w:type="dxa"/>
          </w:tcPr>
          <w:p w:rsidR="00CD2A21" w:rsidRPr="00F57420" w:rsidRDefault="00C00117" w:rsidP="001061DF">
            <w:pPr>
              <w:jc w:val="center"/>
              <w:rPr>
                <w:sz w:val="22"/>
                <w:szCs w:val="22"/>
              </w:rPr>
            </w:pPr>
            <w:r>
              <w:rPr>
                <w:sz w:val="22"/>
                <w:szCs w:val="22"/>
              </w:rPr>
              <w:t>4</w:t>
            </w:r>
          </w:p>
        </w:tc>
        <w:tc>
          <w:tcPr>
            <w:tcW w:w="699" w:type="dxa"/>
          </w:tcPr>
          <w:p w:rsidR="00CD2A21" w:rsidRPr="00F57420" w:rsidRDefault="00C00117" w:rsidP="001061DF">
            <w:pPr>
              <w:jc w:val="center"/>
              <w:rPr>
                <w:sz w:val="22"/>
                <w:szCs w:val="22"/>
              </w:rPr>
            </w:pPr>
            <w:r>
              <w:rPr>
                <w:sz w:val="22"/>
                <w:szCs w:val="22"/>
              </w:rPr>
              <w:t>9</w:t>
            </w:r>
          </w:p>
        </w:tc>
        <w:tc>
          <w:tcPr>
            <w:tcW w:w="478" w:type="dxa"/>
          </w:tcPr>
          <w:p w:rsidR="00CD2A21" w:rsidRPr="00F57420" w:rsidRDefault="00CD2A21" w:rsidP="001061DF">
            <w:pPr>
              <w:widowControl w:val="0"/>
              <w:tabs>
                <w:tab w:val="decimal" w:pos="335"/>
              </w:tabs>
              <w:jc w:val="center"/>
              <w:rPr>
                <w:sz w:val="22"/>
                <w:szCs w:val="22"/>
              </w:rPr>
            </w:pPr>
          </w:p>
        </w:tc>
        <w:tc>
          <w:tcPr>
            <w:tcW w:w="692" w:type="dxa"/>
          </w:tcPr>
          <w:p w:rsidR="00CD2A21" w:rsidRPr="00F57420" w:rsidRDefault="00351C13" w:rsidP="001061DF">
            <w:pPr>
              <w:jc w:val="center"/>
              <w:rPr>
                <w:sz w:val="22"/>
                <w:szCs w:val="22"/>
              </w:rPr>
            </w:pPr>
            <w:r>
              <w:rPr>
                <w:sz w:val="22"/>
                <w:szCs w:val="22"/>
              </w:rPr>
              <w:t>28</w:t>
            </w:r>
          </w:p>
        </w:tc>
        <w:tc>
          <w:tcPr>
            <w:tcW w:w="651" w:type="dxa"/>
          </w:tcPr>
          <w:p w:rsidR="00CD2A21" w:rsidRPr="00F57420" w:rsidRDefault="00351C13" w:rsidP="001061DF">
            <w:pPr>
              <w:jc w:val="center"/>
              <w:rPr>
                <w:sz w:val="22"/>
                <w:szCs w:val="22"/>
              </w:rPr>
            </w:pPr>
            <w:r>
              <w:rPr>
                <w:sz w:val="22"/>
                <w:szCs w:val="22"/>
              </w:rPr>
              <w:t>11</w:t>
            </w:r>
          </w:p>
        </w:tc>
        <w:tc>
          <w:tcPr>
            <w:tcW w:w="699" w:type="dxa"/>
          </w:tcPr>
          <w:p w:rsidR="00CD2A21" w:rsidRPr="00F57420" w:rsidRDefault="00351C13" w:rsidP="001061DF">
            <w:pPr>
              <w:jc w:val="center"/>
              <w:rPr>
                <w:sz w:val="22"/>
                <w:szCs w:val="22"/>
              </w:rPr>
            </w:pPr>
            <w:r>
              <w:rPr>
                <w:sz w:val="22"/>
                <w:szCs w:val="22"/>
              </w:rPr>
              <w:t>11</w:t>
            </w:r>
          </w:p>
        </w:tc>
      </w:tr>
      <w:tr w:rsidR="00CD2A21" w:rsidRPr="00F57420">
        <w:tc>
          <w:tcPr>
            <w:tcW w:w="1373" w:type="dxa"/>
          </w:tcPr>
          <w:p w:rsidR="00CD2A21" w:rsidRPr="00F57420" w:rsidRDefault="00CD2A21" w:rsidP="001061DF">
            <w:pPr>
              <w:widowControl w:val="0"/>
              <w:rPr>
                <w:sz w:val="22"/>
                <w:szCs w:val="22"/>
              </w:rPr>
            </w:pPr>
            <w:r w:rsidRPr="00F57420">
              <w:rPr>
                <w:sz w:val="22"/>
                <w:szCs w:val="22"/>
              </w:rPr>
              <w:t>QOLS</w:t>
            </w:r>
          </w:p>
        </w:tc>
        <w:tc>
          <w:tcPr>
            <w:tcW w:w="252" w:type="dxa"/>
          </w:tcPr>
          <w:p w:rsidR="00CD2A21" w:rsidRPr="00F57420" w:rsidRDefault="00CD2A21" w:rsidP="001061DF">
            <w:pPr>
              <w:widowControl w:val="0"/>
              <w:tabs>
                <w:tab w:val="decimal" w:pos="335"/>
              </w:tabs>
              <w:jc w:val="center"/>
              <w:rPr>
                <w:sz w:val="22"/>
                <w:szCs w:val="22"/>
              </w:rPr>
            </w:pPr>
          </w:p>
        </w:tc>
        <w:tc>
          <w:tcPr>
            <w:tcW w:w="819" w:type="dxa"/>
          </w:tcPr>
          <w:p w:rsidR="00CD2A21" w:rsidRPr="00F57420" w:rsidRDefault="00CD2A21" w:rsidP="001061DF">
            <w:pPr>
              <w:widowControl w:val="0"/>
              <w:tabs>
                <w:tab w:val="decimal" w:pos="335"/>
              </w:tabs>
              <w:jc w:val="center"/>
              <w:rPr>
                <w:sz w:val="22"/>
                <w:szCs w:val="22"/>
              </w:rPr>
            </w:pPr>
            <w:r w:rsidRPr="00F57420">
              <w:rPr>
                <w:sz w:val="22"/>
                <w:szCs w:val="22"/>
              </w:rPr>
              <w:t>66</w:t>
            </w:r>
          </w:p>
        </w:tc>
        <w:tc>
          <w:tcPr>
            <w:tcW w:w="729" w:type="dxa"/>
          </w:tcPr>
          <w:p w:rsidR="00CD2A21" w:rsidRPr="00F57420" w:rsidRDefault="00CD2A21" w:rsidP="001061DF">
            <w:pPr>
              <w:jc w:val="center"/>
              <w:rPr>
                <w:sz w:val="22"/>
                <w:szCs w:val="22"/>
              </w:rPr>
            </w:pPr>
            <w:r w:rsidRPr="00F57420">
              <w:rPr>
                <w:sz w:val="22"/>
                <w:szCs w:val="22"/>
              </w:rPr>
              <w:t>84</w:t>
            </w:r>
          </w:p>
        </w:tc>
        <w:tc>
          <w:tcPr>
            <w:tcW w:w="704" w:type="dxa"/>
          </w:tcPr>
          <w:p w:rsidR="00CD2A21" w:rsidRPr="00F57420" w:rsidRDefault="00CD2A21" w:rsidP="001061DF">
            <w:pPr>
              <w:jc w:val="center"/>
              <w:rPr>
                <w:sz w:val="22"/>
                <w:szCs w:val="22"/>
              </w:rPr>
            </w:pPr>
            <w:r w:rsidRPr="00F57420">
              <w:rPr>
                <w:sz w:val="22"/>
                <w:szCs w:val="22"/>
              </w:rPr>
              <w:t>85</w:t>
            </w:r>
          </w:p>
        </w:tc>
        <w:tc>
          <w:tcPr>
            <w:tcW w:w="428" w:type="dxa"/>
          </w:tcPr>
          <w:p w:rsidR="00CD2A21" w:rsidRPr="00F57420" w:rsidRDefault="00CD2A21" w:rsidP="001061DF">
            <w:pPr>
              <w:widowControl w:val="0"/>
              <w:tabs>
                <w:tab w:val="decimal" w:pos="335"/>
              </w:tabs>
              <w:jc w:val="center"/>
              <w:rPr>
                <w:sz w:val="22"/>
                <w:szCs w:val="22"/>
              </w:rPr>
            </w:pPr>
          </w:p>
        </w:tc>
        <w:tc>
          <w:tcPr>
            <w:tcW w:w="652" w:type="dxa"/>
          </w:tcPr>
          <w:p w:rsidR="00CD2A21" w:rsidRPr="00F57420" w:rsidRDefault="00CD2A21" w:rsidP="001061DF">
            <w:pPr>
              <w:jc w:val="center"/>
              <w:rPr>
                <w:sz w:val="22"/>
                <w:szCs w:val="22"/>
              </w:rPr>
            </w:pPr>
            <w:r w:rsidRPr="00F57420">
              <w:rPr>
                <w:sz w:val="22"/>
                <w:szCs w:val="22"/>
              </w:rPr>
              <w:t>37</w:t>
            </w:r>
          </w:p>
        </w:tc>
        <w:tc>
          <w:tcPr>
            <w:tcW w:w="651" w:type="dxa"/>
          </w:tcPr>
          <w:p w:rsidR="00CD2A21" w:rsidRPr="00F57420" w:rsidRDefault="00CD2A21" w:rsidP="001061DF">
            <w:pPr>
              <w:jc w:val="center"/>
              <w:rPr>
                <w:sz w:val="22"/>
                <w:szCs w:val="22"/>
              </w:rPr>
            </w:pPr>
            <w:r w:rsidRPr="00F57420">
              <w:rPr>
                <w:sz w:val="22"/>
                <w:szCs w:val="22"/>
              </w:rPr>
              <w:t>70</w:t>
            </w:r>
          </w:p>
        </w:tc>
        <w:tc>
          <w:tcPr>
            <w:tcW w:w="699" w:type="dxa"/>
          </w:tcPr>
          <w:p w:rsidR="00CD2A21" w:rsidRPr="00F57420" w:rsidRDefault="00CD2A21" w:rsidP="001061DF">
            <w:pPr>
              <w:jc w:val="center"/>
              <w:rPr>
                <w:sz w:val="22"/>
                <w:szCs w:val="22"/>
              </w:rPr>
            </w:pPr>
            <w:r w:rsidRPr="00F57420">
              <w:rPr>
                <w:sz w:val="22"/>
                <w:szCs w:val="22"/>
              </w:rPr>
              <w:t>61</w:t>
            </w:r>
          </w:p>
        </w:tc>
        <w:tc>
          <w:tcPr>
            <w:tcW w:w="478" w:type="dxa"/>
          </w:tcPr>
          <w:p w:rsidR="00CD2A21" w:rsidRPr="00F57420" w:rsidRDefault="00CD2A21" w:rsidP="001061DF">
            <w:pPr>
              <w:widowControl w:val="0"/>
              <w:tabs>
                <w:tab w:val="decimal" w:pos="335"/>
              </w:tabs>
              <w:jc w:val="center"/>
              <w:rPr>
                <w:sz w:val="22"/>
                <w:szCs w:val="22"/>
              </w:rPr>
            </w:pPr>
          </w:p>
        </w:tc>
        <w:tc>
          <w:tcPr>
            <w:tcW w:w="692" w:type="dxa"/>
          </w:tcPr>
          <w:p w:rsidR="00CD2A21" w:rsidRPr="00F57420" w:rsidRDefault="00CD2A21" w:rsidP="001061DF">
            <w:pPr>
              <w:jc w:val="center"/>
              <w:rPr>
                <w:sz w:val="22"/>
                <w:szCs w:val="22"/>
              </w:rPr>
            </w:pPr>
            <w:r w:rsidRPr="00F57420">
              <w:rPr>
                <w:sz w:val="22"/>
                <w:szCs w:val="22"/>
              </w:rPr>
              <w:t>78</w:t>
            </w:r>
          </w:p>
        </w:tc>
        <w:tc>
          <w:tcPr>
            <w:tcW w:w="651" w:type="dxa"/>
          </w:tcPr>
          <w:p w:rsidR="00CD2A21" w:rsidRPr="00F57420" w:rsidRDefault="00CD2A21" w:rsidP="001061DF">
            <w:pPr>
              <w:jc w:val="center"/>
              <w:rPr>
                <w:sz w:val="22"/>
                <w:szCs w:val="22"/>
              </w:rPr>
            </w:pPr>
            <w:r w:rsidRPr="00F57420">
              <w:rPr>
                <w:sz w:val="22"/>
                <w:szCs w:val="22"/>
              </w:rPr>
              <w:t>86</w:t>
            </w:r>
          </w:p>
        </w:tc>
        <w:tc>
          <w:tcPr>
            <w:tcW w:w="699" w:type="dxa"/>
          </w:tcPr>
          <w:p w:rsidR="00CD2A21" w:rsidRPr="00F57420" w:rsidRDefault="00CD2A21" w:rsidP="001061DF">
            <w:pPr>
              <w:jc w:val="center"/>
              <w:rPr>
                <w:sz w:val="22"/>
                <w:szCs w:val="22"/>
              </w:rPr>
            </w:pPr>
            <w:r w:rsidRPr="00F57420">
              <w:rPr>
                <w:sz w:val="22"/>
                <w:szCs w:val="22"/>
              </w:rPr>
              <w:t>88</w:t>
            </w:r>
          </w:p>
        </w:tc>
      </w:tr>
      <w:tr w:rsidR="00725D0F" w:rsidRPr="00F57420">
        <w:tc>
          <w:tcPr>
            <w:tcW w:w="1373" w:type="dxa"/>
          </w:tcPr>
          <w:p w:rsidR="00725D0F" w:rsidRPr="00F57420" w:rsidRDefault="00725D0F" w:rsidP="001061DF">
            <w:pPr>
              <w:widowControl w:val="0"/>
              <w:rPr>
                <w:sz w:val="22"/>
                <w:szCs w:val="22"/>
              </w:rPr>
            </w:pPr>
            <w:r w:rsidRPr="00F57420">
              <w:rPr>
                <w:sz w:val="22"/>
                <w:szCs w:val="22"/>
              </w:rPr>
              <w:t>TEI</w:t>
            </w:r>
          </w:p>
        </w:tc>
        <w:tc>
          <w:tcPr>
            <w:tcW w:w="252" w:type="dxa"/>
          </w:tcPr>
          <w:p w:rsidR="00725D0F" w:rsidRPr="00F57420" w:rsidRDefault="00725D0F" w:rsidP="001061DF">
            <w:pPr>
              <w:widowControl w:val="0"/>
              <w:tabs>
                <w:tab w:val="decimal" w:pos="335"/>
              </w:tabs>
              <w:jc w:val="center"/>
              <w:rPr>
                <w:sz w:val="22"/>
                <w:szCs w:val="22"/>
              </w:rPr>
            </w:pPr>
          </w:p>
        </w:tc>
        <w:tc>
          <w:tcPr>
            <w:tcW w:w="819" w:type="dxa"/>
          </w:tcPr>
          <w:p w:rsidR="00725D0F" w:rsidRPr="00F57420" w:rsidRDefault="00725D0F" w:rsidP="001061DF">
            <w:pPr>
              <w:widowControl w:val="0"/>
              <w:tabs>
                <w:tab w:val="decimal" w:pos="335"/>
              </w:tabs>
              <w:jc w:val="center"/>
              <w:rPr>
                <w:sz w:val="22"/>
                <w:szCs w:val="22"/>
              </w:rPr>
            </w:pPr>
          </w:p>
        </w:tc>
        <w:tc>
          <w:tcPr>
            <w:tcW w:w="729" w:type="dxa"/>
          </w:tcPr>
          <w:p w:rsidR="00725D0F" w:rsidRPr="00F57420" w:rsidRDefault="00725D0F" w:rsidP="001061DF">
            <w:pPr>
              <w:jc w:val="center"/>
              <w:rPr>
                <w:sz w:val="22"/>
                <w:szCs w:val="22"/>
              </w:rPr>
            </w:pPr>
            <w:r w:rsidRPr="00F57420">
              <w:rPr>
                <w:sz w:val="22"/>
                <w:szCs w:val="22"/>
              </w:rPr>
              <w:t>26</w:t>
            </w:r>
          </w:p>
        </w:tc>
        <w:tc>
          <w:tcPr>
            <w:tcW w:w="704" w:type="dxa"/>
          </w:tcPr>
          <w:p w:rsidR="00725D0F" w:rsidRPr="00F57420" w:rsidRDefault="00725D0F" w:rsidP="001061DF">
            <w:pPr>
              <w:jc w:val="center"/>
              <w:rPr>
                <w:sz w:val="22"/>
                <w:szCs w:val="22"/>
              </w:rPr>
            </w:pPr>
          </w:p>
        </w:tc>
        <w:tc>
          <w:tcPr>
            <w:tcW w:w="428" w:type="dxa"/>
          </w:tcPr>
          <w:p w:rsidR="00725D0F" w:rsidRPr="00F57420" w:rsidRDefault="00725D0F" w:rsidP="001061DF">
            <w:pPr>
              <w:widowControl w:val="0"/>
              <w:tabs>
                <w:tab w:val="decimal" w:pos="335"/>
              </w:tabs>
              <w:jc w:val="center"/>
              <w:rPr>
                <w:sz w:val="22"/>
                <w:szCs w:val="22"/>
              </w:rPr>
            </w:pPr>
          </w:p>
        </w:tc>
        <w:tc>
          <w:tcPr>
            <w:tcW w:w="652" w:type="dxa"/>
          </w:tcPr>
          <w:p w:rsidR="00725D0F" w:rsidRPr="00F57420" w:rsidRDefault="00725D0F" w:rsidP="001061DF">
            <w:pPr>
              <w:jc w:val="center"/>
              <w:rPr>
                <w:sz w:val="22"/>
                <w:szCs w:val="22"/>
              </w:rPr>
            </w:pPr>
          </w:p>
        </w:tc>
        <w:tc>
          <w:tcPr>
            <w:tcW w:w="651" w:type="dxa"/>
          </w:tcPr>
          <w:p w:rsidR="00725D0F" w:rsidRPr="00F57420" w:rsidRDefault="00725D0F" w:rsidP="001061DF">
            <w:pPr>
              <w:jc w:val="center"/>
              <w:rPr>
                <w:sz w:val="22"/>
                <w:szCs w:val="22"/>
              </w:rPr>
            </w:pPr>
            <w:r w:rsidRPr="00F57420">
              <w:rPr>
                <w:sz w:val="22"/>
                <w:szCs w:val="22"/>
              </w:rPr>
              <w:t>31</w:t>
            </w:r>
          </w:p>
        </w:tc>
        <w:tc>
          <w:tcPr>
            <w:tcW w:w="699" w:type="dxa"/>
          </w:tcPr>
          <w:p w:rsidR="00725D0F" w:rsidRPr="00F57420" w:rsidRDefault="00725D0F" w:rsidP="001061DF">
            <w:pPr>
              <w:jc w:val="center"/>
              <w:rPr>
                <w:sz w:val="22"/>
                <w:szCs w:val="22"/>
              </w:rPr>
            </w:pPr>
          </w:p>
        </w:tc>
        <w:tc>
          <w:tcPr>
            <w:tcW w:w="478" w:type="dxa"/>
          </w:tcPr>
          <w:p w:rsidR="00725D0F" w:rsidRPr="00F57420" w:rsidRDefault="00725D0F" w:rsidP="001061DF">
            <w:pPr>
              <w:widowControl w:val="0"/>
              <w:tabs>
                <w:tab w:val="decimal" w:pos="335"/>
              </w:tabs>
              <w:jc w:val="center"/>
              <w:rPr>
                <w:sz w:val="22"/>
                <w:szCs w:val="22"/>
              </w:rPr>
            </w:pPr>
          </w:p>
        </w:tc>
        <w:tc>
          <w:tcPr>
            <w:tcW w:w="692" w:type="dxa"/>
          </w:tcPr>
          <w:p w:rsidR="00725D0F" w:rsidRPr="00F57420" w:rsidRDefault="00725D0F" w:rsidP="001061DF">
            <w:pPr>
              <w:jc w:val="center"/>
              <w:rPr>
                <w:sz w:val="22"/>
                <w:szCs w:val="22"/>
              </w:rPr>
            </w:pPr>
          </w:p>
        </w:tc>
        <w:tc>
          <w:tcPr>
            <w:tcW w:w="651" w:type="dxa"/>
          </w:tcPr>
          <w:p w:rsidR="00725D0F" w:rsidRPr="00F57420" w:rsidRDefault="00725D0F" w:rsidP="001061DF">
            <w:pPr>
              <w:jc w:val="center"/>
              <w:rPr>
                <w:sz w:val="22"/>
                <w:szCs w:val="22"/>
              </w:rPr>
            </w:pPr>
            <w:r w:rsidRPr="00F57420">
              <w:rPr>
                <w:sz w:val="22"/>
                <w:szCs w:val="22"/>
              </w:rPr>
              <w:t>30</w:t>
            </w:r>
          </w:p>
        </w:tc>
        <w:tc>
          <w:tcPr>
            <w:tcW w:w="699" w:type="dxa"/>
          </w:tcPr>
          <w:p w:rsidR="00725D0F" w:rsidRPr="00F57420" w:rsidRDefault="00725D0F" w:rsidP="001061DF">
            <w:pPr>
              <w:jc w:val="center"/>
              <w:rPr>
                <w:sz w:val="22"/>
                <w:szCs w:val="22"/>
              </w:rPr>
            </w:pPr>
          </w:p>
        </w:tc>
      </w:tr>
      <w:tr w:rsidR="00725D0F" w:rsidRPr="00F57420">
        <w:tc>
          <w:tcPr>
            <w:tcW w:w="1373" w:type="dxa"/>
          </w:tcPr>
          <w:p w:rsidR="00725D0F" w:rsidRPr="00F57420" w:rsidRDefault="00725D0F" w:rsidP="001061DF">
            <w:pPr>
              <w:widowControl w:val="0"/>
              <w:rPr>
                <w:sz w:val="22"/>
                <w:szCs w:val="22"/>
              </w:rPr>
            </w:pPr>
            <w:r w:rsidRPr="00F57420">
              <w:rPr>
                <w:sz w:val="22"/>
                <w:szCs w:val="22"/>
              </w:rPr>
              <w:t>AAQ-2</w:t>
            </w:r>
          </w:p>
        </w:tc>
        <w:tc>
          <w:tcPr>
            <w:tcW w:w="252" w:type="dxa"/>
          </w:tcPr>
          <w:p w:rsidR="00725D0F" w:rsidRPr="00F57420" w:rsidRDefault="00725D0F" w:rsidP="001061DF">
            <w:pPr>
              <w:widowControl w:val="0"/>
              <w:tabs>
                <w:tab w:val="decimal" w:pos="335"/>
              </w:tabs>
              <w:jc w:val="center"/>
              <w:rPr>
                <w:sz w:val="22"/>
                <w:szCs w:val="22"/>
              </w:rPr>
            </w:pPr>
          </w:p>
        </w:tc>
        <w:tc>
          <w:tcPr>
            <w:tcW w:w="819" w:type="dxa"/>
          </w:tcPr>
          <w:p w:rsidR="00725D0F" w:rsidRPr="00F57420" w:rsidRDefault="007425EE" w:rsidP="001061DF">
            <w:pPr>
              <w:widowControl w:val="0"/>
              <w:tabs>
                <w:tab w:val="decimal" w:pos="335"/>
              </w:tabs>
              <w:jc w:val="center"/>
              <w:rPr>
                <w:sz w:val="22"/>
                <w:szCs w:val="22"/>
              </w:rPr>
            </w:pPr>
            <w:r w:rsidRPr="00F57420">
              <w:rPr>
                <w:sz w:val="22"/>
                <w:szCs w:val="22"/>
              </w:rPr>
              <w:t>31</w:t>
            </w:r>
          </w:p>
        </w:tc>
        <w:tc>
          <w:tcPr>
            <w:tcW w:w="729" w:type="dxa"/>
          </w:tcPr>
          <w:p w:rsidR="00725D0F" w:rsidRPr="00F57420" w:rsidRDefault="007425EE" w:rsidP="001061DF">
            <w:pPr>
              <w:jc w:val="center"/>
              <w:rPr>
                <w:sz w:val="22"/>
                <w:szCs w:val="22"/>
              </w:rPr>
            </w:pPr>
            <w:r w:rsidRPr="00F57420">
              <w:rPr>
                <w:sz w:val="22"/>
                <w:szCs w:val="22"/>
              </w:rPr>
              <w:t>15</w:t>
            </w:r>
          </w:p>
        </w:tc>
        <w:tc>
          <w:tcPr>
            <w:tcW w:w="704" w:type="dxa"/>
          </w:tcPr>
          <w:p w:rsidR="00725D0F" w:rsidRPr="00F57420" w:rsidRDefault="007425EE" w:rsidP="001061DF">
            <w:pPr>
              <w:jc w:val="center"/>
              <w:rPr>
                <w:sz w:val="22"/>
                <w:szCs w:val="22"/>
              </w:rPr>
            </w:pPr>
            <w:r w:rsidRPr="00F57420">
              <w:rPr>
                <w:sz w:val="22"/>
                <w:szCs w:val="22"/>
              </w:rPr>
              <w:t>11</w:t>
            </w:r>
          </w:p>
        </w:tc>
        <w:tc>
          <w:tcPr>
            <w:tcW w:w="428" w:type="dxa"/>
          </w:tcPr>
          <w:p w:rsidR="00725D0F" w:rsidRPr="00F57420" w:rsidRDefault="007425EE" w:rsidP="001061DF">
            <w:pPr>
              <w:widowControl w:val="0"/>
              <w:tabs>
                <w:tab w:val="decimal" w:pos="335"/>
              </w:tabs>
              <w:jc w:val="center"/>
              <w:rPr>
                <w:sz w:val="22"/>
                <w:szCs w:val="22"/>
              </w:rPr>
            </w:pPr>
            <w:r w:rsidRPr="00F57420">
              <w:rPr>
                <w:sz w:val="22"/>
                <w:szCs w:val="22"/>
              </w:rPr>
              <w:t xml:space="preserve"> </w:t>
            </w:r>
          </w:p>
        </w:tc>
        <w:tc>
          <w:tcPr>
            <w:tcW w:w="652" w:type="dxa"/>
          </w:tcPr>
          <w:p w:rsidR="00725D0F" w:rsidRPr="00F57420" w:rsidRDefault="007425EE" w:rsidP="001061DF">
            <w:pPr>
              <w:jc w:val="center"/>
              <w:rPr>
                <w:sz w:val="22"/>
                <w:szCs w:val="22"/>
              </w:rPr>
            </w:pPr>
            <w:r w:rsidRPr="00F57420">
              <w:rPr>
                <w:sz w:val="22"/>
                <w:szCs w:val="22"/>
              </w:rPr>
              <w:t>35</w:t>
            </w:r>
          </w:p>
        </w:tc>
        <w:tc>
          <w:tcPr>
            <w:tcW w:w="651" w:type="dxa"/>
          </w:tcPr>
          <w:p w:rsidR="00725D0F" w:rsidRPr="00F57420" w:rsidRDefault="007425EE" w:rsidP="001061DF">
            <w:pPr>
              <w:jc w:val="center"/>
              <w:rPr>
                <w:sz w:val="22"/>
                <w:szCs w:val="22"/>
              </w:rPr>
            </w:pPr>
            <w:r w:rsidRPr="00F57420">
              <w:rPr>
                <w:sz w:val="22"/>
                <w:szCs w:val="22"/>
              </w:rPr>
              <w:t>24</w:t>
            </w:r>
          </w:p>
        </w:tc>
        <w:tc>
          <w:tcPr>
            <w:tcW w:w="699" w:type="dxa"/>
          </w:tcPr>
          <w:p w:rsidR="00725D0F" w:rsidRPr="00F57420" w:rsidRDefault="007425EE" w:rsidP="001061DF">
            <w:pPr>
              <w:jc w:val="center"/>
              <w:rPr>
                <w:sz w:val="22"/>
                <w:szCs w:val="22"/>
              </w:rPr>
            </w:pPr>
            <w:r w:rsidRPr="00F57420">
              <w:rPr>
                <w:sz w:val="22"/>
                <w:szCs w:val="22"/>
              </w:rPr>
              <w:t>29</w:t>
            </w:r>
          </w:p>
        </w:tc>
        <w:tc>
          <w:tcPr>
            <w:tcW w:w="478" w:type="dxa"/>
          </w:tcPr>
          <w:p w:rsidR="00725D0F" w:rsidRPr="00F57420" w:rsidRDefault="00725D0F" w:rsidP="001061DF">
            <w:pPr>
              <w:widowControl w:val="0"/>
              <w:tabs>
                <w:tab w:val="decimal" w:pos="335"/>
              </w:tabs>
              <w:jc w:val="center"/>
              <w:rPr>
                <w:sz w:val="22"/>
                <w:szCs w:val="22"/>
              </w:rPr>
            </w:pPr>
          </w:p>
        </w:tc>
        <w:tc>
          <w:tcPr>
            <w:tcW w:w="692" w:type="dxa"/>
          </w:tcPr>
          <w:p w:rsidR="00725D0F" w:rsidRPr="00F57420" w:rsidRDefault="007425EE" w:rsidP="001061DF">
            <w:pPr>
              <w:jc w:val="center"/>
              <w:rPr>
                <w:sz w:val="22"/>
                <w:szCs w:val="22"/>
              </w:rPr>
            </w:pPr>
            <w:r w:rsidRPr="00F57420">
              <w:rPr>
                <w:sz w:val="22"/>
                <w:szCs w:val="22"/>
              </w:rPr>
              <w:t>40</w:t>
            </w:r>
          </w:p>
        </w:tc>
        <w:tc>
          <w:tcPr>
            <w:tcW w:w="651" w:type="dxa"/>
          </w:tcPr>
          <w:p w:rsidR="00725D0F" w:rsidRPr="00F57420" w:rsidRDefault="007425EE" w:rsidP="001061DF">
            <w:pPr>
              <w:jc w:val="center"/>
              <w:rPr>
                <w:sz w:val="22"/>
                <w:szCs w:val="22"/>
              </w:rPr>
            </w:pPr>
            <w:r w:rsidRPr="00F57420">
              <w:rPr>
                <w:sz w:val="22"/>
                <w:szCs w:val="22"/>
              </w:rPr>
              <w:t>25</w:t>
            </w:r>
          </w:p>
        </w:tc>
        <w:tc>
          <w:tcPr>
            <w:tcW w:w="699" w:type="dxa"/>
          </w:tcPr>
          <w:p w:rsidR="00725D0F" w:rsidRPr="00F57420" w:rsidRDefault="007425EE" w:rsidP="001061DF">
            <w:pPr>
              <w:jc w:val="center"/>
              <w:rPr>
                <w:sz w:val="22"/>
                <w:szCs w:val="22"/>
              </w:rPr>
            </w:pPr>
            <w:r w:rsidRPr="00F57420">
              <w:rPr>
                <w:sz w:val="22"/>
                <w:szCs w:val="22"/>
              </w:rPr>
              <w:t>25</w:t>
            </w:r>
          </w:p>
        </w:tc>
      </w:tr>
      <w:tr w:rsidR="00725D0F" w:rsidRPr="00F57420">
        <w:tc>
          <w:tcPr>
            <w:tcW w:w="1373" w:type="dxa"/>
            <w:tcBorders>
              <w:bottom w:val="single" w:sz="4" w:space="0" w:color="auto"/>
            </w:tcBorders>
          </w:tcPr>
          <w:p w:rsidR="00725D0F" w:rsidRPr="00F57420" w:rsidRDefault="00725D0F" w:rsidP="001061DF">
            <w:pPr>
              <w:widowControl w:val="0"/>
              <w:rPr>
                <w:sz w:val="22"/>
                <w:szCs w:val="22"/>
              </w:rPr>
            </w:pPr>
          </w:p>
        </w:tc>
        <w:tc>
          <w:tcPr>
            <w:tcW w:w="252" w:type="dxa"/>
            <w:tcBorders>
              <w:bottom w:val="single" w:sz="4" w:space="0" w:color="auto"/>
            </w:tcBorders>
          </w:tcPr>
          <w:p w:rsidR="00725D0F" w:rsidRPr="00F57420" w:rsidRDefault="00725D0F" w:rsidP="001061DF">
            <w:pPr>
              <w:widowControl w:val="0"/>
              <w:tabs>
                <w:tab w:val="decimal" w:pos="335"/>
              </w:tabs>
              <w:jc w:val="center"/>
              <w:rPr>
                <w:sz w:val="22"/>
                <w:szCs w:val="22"/>
              </w:rPr>
            </w:pPr>
          </w:p>
        </w:tc>
        <w:tc>
          <w:tcPr>
            <w:tcW w:w="819" w:type="dxa"/>
            <w:tcBorders>
              <w:bottom w:val="single" w:sz="4" w:space="0" w:color="auto"/>
            </w:tcBorders>
          </w:tcPr>
          <w:p w:rsidR="00725D0F" w:rsidRPr="00F57420" w:rsidRDefault="00725D0F" w:rsidP="001061DF">
            <w:pPr>
              <w:widowControl w:val="0"/>
              <w:tabs>
                <w:tab w:val="decimal" w:pos="335"/>
              </w:tabs>
              <w:jc w:val="center"/>
              <w:rPr>
                <w:sz w:val="22"/>
                <w:szCs w:val="22"/>
              </w:rPr>
            </w:pPr>
          </w:p>
        </w:tc>
        <w:tc>
          <w:tcPr>
            <w:tcW w:w="729" w:type="dxa"/>
            <w:tcBorders>
              <w:bottom w:val="single" w:sz="4" w:space="0" w:color="auto"/>
            </w:tcBorders>
          </w:tcPr>
          <w:p w:rsidR="00725D0F" w:rsidRPr="00F57420" w:rsidRDefault="00725D0F" w:rsidP="001061DF">
            <w:pPr>
              <w:jc w:val="center"/>
              <w:rPr>
                <w:sz w:val="22"/>
                <w:szCs w:val="22"/>
              </w:rPr>
            </w:pPr>
          </w:p>
        </w:tc>
        <w:tc>
          <w:tcPr>
            <w:tcW w:w="704" w:type="dxa"/>
            <w:tcBorders>
              <w:bottom w:val="single" w:sz="4" w:space="0" w:color="auto"/>
            </w:tcBorders>
          </w:tcPr>
          <w:p w:rsidR="00725D0F" w:rsidRPr="00F57420" w:rsidRDefault="00725D0F" w:rsidP="001061DF">
            <w:pPr>
              <w:jc w:val="center"/>
              <w:rPr>
                <w:sz w:val="22"/>
                <w:szCs w:val="22"/>
              </w:rPr>
            </w:pPr>
          </w:p>
        </w:tc>
        <w:tc>
          <w:tcPr>
            <w:tcW w:w="428" w:type="dxa"/>
            <w:tcBorders>
              <w:bottom w:val="single" w:sz="4" w:space="0" w:color="auto"/>
            </w:tcBorders>
          </w:tcPr>
          <w:p w:rsidR="00725D0F" w:rsidRPr="00F57420" w:rsidRDefault="00725D0F" w:rsidP="001061DF">
            <w:pPr>
              <w:widowControl w:val="0"/>
              <w:tabs>
                <w:tab w:val="decimal" w:pos="335"/>
              </w:tabs>
              <w:jc w:val="center"/>
              <w:rPr>
                <w:sz w:val="22"/>
                <w:szCs w:val="22"/>
              </w:rPr>
            </w:pPr>
          </w:p>
        </w:tc>
        <w:tc>
          <w:tcPr>
            <w:tcW w:w="652" w:type="dxa"/>
            <w:tcBorders>
              <w:bottom w:val="single" w:sz="4" w:space="0" w:color="auto"/>
            </w:tcBorders>
          </w:tcPr>
          <w:p w:rsidR="00725D0F" w:rsidRPr="00F57420" w:rsidRDefault="00725D0F" w:rsidP="001061DF">
            <w:pPr>
              <w:jc w:val="center"/>
              <w:rPr>
                <w:sz w:val="22"/>
                <w:szCs w:val="22"/>
              </w:rPr>
            </w:pPr>
          </w:p>
        </w:tc>
        <w:tc>
          <w:tcPr>
            <w:tcW w:w="651" w:type="dxa"/>
            <w:tcBorders>
              <w:bottom w:val="single" w:sz="4" w:space="0" w:color="auto"/>
            </w:tcBorders>
          </w:tcPr>
          <w:p w:rsidR="00725D0F" w:rsidRPr="00F57420" w:rsidRDefault="00725D0F" w:rsidP="001061DF">
            <w:pPr>
              <w:jc w:val="center"/>
              <w:rPr>
                <w:sz w:val="22"/>
                <w:szCs w:val="22"/>
              </w:rPr>
            </w:pPr>
          </w:p>
        </w:tc>
        <w:tc>
          <w:tcPr>
            <w:tcW w:w="699" w:type="dxa"/>
            <w:tcBorders>
              <w:bottom w:val="single" w:sz="4" w:space="0" w:color="auto"/>
            </w:tcBorders>
          </w:tcPr>
          <w:p w:rsidR="00725D0F" w:rsidRPr="00F57420" w:rsidRDefault="00725D0F" w:rsidP="001061DF">
            <w:pPr>
              <w:jc w:val="center"/>
              <w:rPr>
                <w:sz w:val="22"/>
                <w:szCs w:val="22"/>
              </w:rPr>
            </w:pPr>
          </w:p>
        </w:tc>
        <w:tc>
          <w:tcPr>
            <w:tcW w:w="478" w:type="dxa"/>
            <w:tcBorders>
              <w:bottom w:val="single" w:sz="4" w:space="0" w:color="auto"/>
            </w:tcBorders>
          </w:tcPr>
          <w:p w:rsidR="00725D0F" w:rsidRPr="00F57420" w:rsidRDefault="00725D0F" w:rsidP="001061DF">
            <w:pPr>
              <w:widowControl w:val="0"/>
              <w:tabs>
                <w:tab w:val="decimal" w:pos="335"/>
              </w:tabs>
              <w:jc w:val="center"/>
              <w:rPr>
                <w:sz w:val="22"/>
                <w:szCs w:val="22"/>
              </w:rPr>
            </w:pPr>
          </w:p>
        </w:tc>
        <w:tc>
          <w:tcPr>
            <w:tcW w:w="692" w:type="dxa"/>
            <w:tcBorders>
              <w:bottom w:val="single" w:sz="4" w:space="0" w:color="auto"/>
            </w:tcBorders>
          </w:tcPr>
          <w:p w:rsidR="00725D0F" w:rsidRPr="00F57420" w:rsidRDefault="00725D0F" w:rsidP="001061DF">
            <w:pPr>
              <w:jc w:val="center"/>
              <w:rPr>
                <w:sz w:val="22"/>
                <w:szCs w:val="22"/>
              </w:rPr>
            </w:pPr>
          </w:p>
        </w:tc>
        <w:tc>
          <w:tcPr>
            <w:tcW w:w="651" w:type="dxa"/>
            <w:tcBorders>
              <w:bottom w:val="single" w:sz="4" w:space="0" w:color="auto"/>
            </w:tcBorders>
          </w:tcPr>
          <w:p w:rsidR="00725D0F" w:rsidRPr="00F57420" w:rsidRDefault="00725D0F" w:rsidP="001061DF">
            <w:pPr>
              <w:jc w:val="center"/>
              <w:rPr>
                <w:sz w:val="22"/>
                <w:szCs w:val="22"/>
              </w:rPr>
            </w:pPr>
          </w:p>
        </w:tc>
        <w:tc>
          <w:tcPr>
            <w:tcW w:w="699" w:type="dxa"/>
            <w:tcBorders>
              <w:bottom w:val="single" w:sz="4" w:space="0" w:color="auto"/>
            </w:tcBorders>
          </w:tcPr>
          <w:p w:rsidR="00725D0F" w:rsidRPr="00F57420" w:rsidRDefault="00725D0F" w:rsidP="001061DF">
            <w:pPr>
              <w:jc w:val="center"/>
              <w:rPr>
                <w:sz w:val="22"/>
                <w:szCs w:val="22"/>
              </w:rPr>
            </w:pPr>
          </w:p>
        </w:tc>
      </w:tr>
      <w:tr w:rsidR="00725D0F" w:rsidRPr="00F57420">
        <w:tc>
          <w:tcPr>
            <w:tcW w:w="1373" w:type="dxa"/>
            <w:tcBorders>
              <w:top w:val="single" w:sz="4" w:space="0" w:color="auto"/>
            </w:tcBorders>
          </w:tcPr>
          <w:p w:rsidR="00725D0F" w:rsidRPr="00F57420" w:rsidRDefault="00725D0F" w:rsidP="001061DF">
            <w:pPr>
              <w:widowControl w:val="0"/>
              <w:rPr>
                <w:sz w:val="22"/>
                <w:szCs w:val="22"/>
              </w:rPr>
            </w:pPr>
            <w:r w:rsidRPr="00F57420">
              <w:t>Phase</w:t>
            </w:r>
          </w:p>
        </w:tc>
        <w:tc>
          <w:tcPr>
            <w:tcW w:w="252" w:type="dxa"/>
            <w:tcBorders>
              <w:top w:val="single" w:sz="4" w:space="0" w:color="auto"/>
            </w:tcBorders>
          </w:tcPr>
          <w:p w:rsidR="00725D0F" w:rsidRPr="00F57420" w:rsidRDefault="00725D0F" w:rsidP="001061DF">
            <w:pPr>
              <w:widowControl w:val="0"/>
              <w:tabs>
                <w:tab w:val="decimal" w:pos="335"/>
              </w:tabs>
              <w:jc w:val="center"/>
              <w:rPr>
                <w:sz w:val="22"/>
                <w:szCs w:val="22"/>
              </w:rPr>
            </w:pPr>
          </w:p>
        </w:tc>
        <w:tc>
          <w:tcPr>
            <w:tcW w:w="819" w:type="dxa"/>
            <w:tcBorders>
              <w:top w:val="single" w:sz="4" w:space="0" w:color="auto"/>
              <w:bottom w:val="single" w:sz="4" w:space="0" w:color="auto"/>
            </w:tcBorders>
          </w:tcPr>
          <w:p w:rsidR="00725D0F" w:rsidRPr="00F57420" w:rsidRDefault="00725D0F" w:rsidP="001061DF">
            <w:pPr>
              <w:widowControl w:val="0"/>
              <w:tabs>
                <w:tab w:val="decimal" w:pos="335"/>
              </w:tabs>
              <w:jc w:val="center"/>
              <w:rPr>
                <w:sz w:val="22"/>
                <w:szCs w:val="22"/>
              </w:rPr>
            </w:pPr>
          </w:p>
        </w:tc>
        <w:tc>
          <w:tcPr>
            <w:tcW w:w="729" w:type="dxa"/>
            <w:tcBorders>
              <w:top w:val="single" w:sz="4" w:space="0" w:color="auto"/>
              <w:bottom w:val="single" w:sz="4" w:space="0" w:color="auto"/>
            </w:tcBorders>
          </w:tcPr>
          <w:p w:rsidR="00725D0F" w:rsidRPr="00F57420" w:rsidRDefault="00725D0F" w:rsidP="001061DF">
            <w:pPr>
              <w:jc w:val="center"/>
              <w:rPr>
                <w:sz w:val="22"/>
                <w:szCs w:val="22"/>
              </w:rPr>
            </w:pPr>
            <w:r w:rsidRPr="00F57420">
              <w:t>P4</w:t>
            </w:r>
          </w:p>
        </w:tc>
        <w:tc>
          <w:tcPr>
            <w:tcW w:w="704" w:type="dxa"/>
            <w:tcBorders>
              <w:top w:val="single" w:sz="4" w:space="0" w:color="auto"/>
              <w:bottom w:val="single" w:sz="4" w:space="0" w:color="auto"/>
            </w:tcBorders>
          </w:tcPr>
          <w:p w:rsidR="00725D0F" w:rsidRPr="00F57420" w:rsidRDefault="00725D0F" w:rsidP="001061DF">
            <w:pPr>
              <w:jc w:val="center"/>
              <w:rPr>
                <w:sz w:val="22"/>
                <w:szCs w:val="22"/>
              </w:rPr>
            </w:pPr>
          </w:p>
        </w:tc>
        <w:tc>
          <w:tcPr>
            <w:tcW w:w="428" w:type="dxa"/>
            <w:tcBorders>
              <w:top w:val="single" w:sz="4" w:space="0" w:color="auto"/>
              <w:bottom w:val="nil"/>
            </w:tcBorders>
          </w:tcPr>
          <w:p w:rsidR="00725D0F" w:rsidRPr="00F57420" w:rsidRDefault="00725D0F" w:rsidP="001061DF">
            <w:pPr>
              <w:widowControl w:val="0"/>
              <w:tabs>
                <w:tab w:val="decimal" w:pos="335"/>
              </w:tabs>
              <w:jc w:val="center"/>
              <w:rPr>
                <w:sz w:val="22"/>
                <w:szCs w:val="22"/>
              </w:rPr>
            </w:pPr>
          </w:p>
        </w:tc>
        <w:tc>
          <w:tcPr>
            <w:tcW w:w="652" w:type="dxa"/>
            <w:tcBorders>
              <w:top w:val="single" w:sz="4" w:space="0" w:color="auto"/>
              <w:bottom w:val="single" w:sz="4" w:space="0" w:color="auto"/>
            </w:tcBorders>
          </w:tcPr>
          <w:p w:rsidR="00725D0F" w:rsidRPr="00F57420" w:rsidRDefault="00725D0F" w:rsidP="001061DF">
            <w:pPr>
              <w:jc w:val="center"/>
              <w:rPr>
                <w:sz w:val="22"/>
                <w:szCs w:val="22"/>
              </w:rPr>
            </w:pPr>
          </w:p>
        </w:tc>
        <w:tc>
          <w:tcPr>
            <w:tcW w:w="651" w:type="dxa"/>
            <w:tcBorders>
              <w:top w:val="single" w:sz="4" w:space="0" w:color="auto"/>
              <w:bottom w:val="single" w:sz="4" w:space="0" w:color="auto"/>
            </w:tcBorders>
          </w:tcPr>
          <w:p w:rsidR="00725D0F" w:rsidRPr="00F57420" w:rsidRDefault="00725D0F" w:rsidP="001061DF">
            <w:pPr>
              <w:jc w:val="center"/>
              <w:rPr>
                <w:sz w:val="22"/>
                <w:szCs w:val="22"/>
              </w:rPr>
            </w:pPr>
            <w:r w:rsidRPr="00F57420">
              <w:t>P5</w:t>
            </w:r>
          </w:p>
        </w:tc>
        <w:tc>
          <w:tcPr>
            <w:tcW w:w="699" w:type="dxa"/>
            <w:tcBorders>
              <w:top w:val="single" w:sz="4" w:space="0" w:color="auto"/>
              <w:bottom w:val="single" w:sz="4" w:space="0" w:color="auto"/>
            </w:tcBorders>
          </w:tcPr>
          <w:p w:rsidR="00725D0F" w:rsidRPr="00F57420" w:rsidRDefault="00725D0F" w:rsidP="001061DF">
            <w:pPr>
              <w:jc w:val="center"/>
              <w:rPr>
                <w:sz w:val="22"/>
                <w:szCs w:val="22"/>
              </w:rPr>
            </w:pPr>
          </w:p>
        </w:tc>
        <w:tc>
          <w:tcPr>
            <w:tcW w:w="478" w:type="dxa"/>
            <w:tcBorders>
              <w:top w:val="single" w:sz="4" w:space="0" w:color="auto"/>
              <w:bottom w:val="nil"/>
            </w:tcBorders>
          </w:tcPr>
          <w:p w:rsidR="00725D0F" w:rsidRPr="00F57420" w:rsidRDefault="00725D0F" w:rsidP="001061DF">
            <w:pPr>
              <w:widowControl w:val="0"/>
              <w:tabs>
                <w:tab w:val="decimal" w:pos="335"/>
              </w:tabs>
              <w:jc w:val="center"/>
              <w:rPr>
                <w:sz w:val="22"/>
                <w:szCs w:val="22"/>
              </w:rPr>
            </w:pPr>
          </w:p>
        </w:tc>
        <w:tc>
          <w:tcPr>
            <w:tcW w:w="692" w:type="dxa"/>
            <w:tcBorders>
              <w:top w:val="single" w:sz="4" w:space="0" w:color="auto"/>
              <w:bottom w:val="nil"/>
            </w:tcBorders>
          </w:tcPr>
          <w:p w:rsidR="00725D0F" w:rsidRPr="00F57420" w:rsidRDefault="00725D0F" w:rsidP="001061DF">
            <w:pPr>
              <w:jc w:val="center"/>
              <w:rPr>
                <w:sz w:val="22"/>
                <w:szCs w:val="22"/>
              </w:rPr>
            </w:pPr>
          </w:p>
        </w:tc>
        <w:tc>
          <w:tcPr>
            <w:tcW w:w="651" w:type="dxa"/>
            <w:tcBorders>
              <w:top w:val="single" w:sz="4" w:space="0" w:color="auto"/>
              <w:bottom w:val="nil"/>
            </w:tcBorders>
          </w:tcPr>
          <w:p w:rsidR="00725D0F" w:rsidRPr="00F57420" w:rsidRDefault="00725D0F" w:rsidP="001061DF">
            <w:pPr>
              <w:jc w:val="center"/>
              <w:rPr>
                <w:sz w:val="22"/>
                <w:szCs w:val="22"/>
              </w:rPr>
            </w:pPr>
          </w:p>
        </w:tc>
        <w:tc>
          <w:tcPr>
            <w:tcW w:w="699" w:type="dxa"/>
            <w:tcBorders>
              <w:top w:val="single" w:sz="4" w:space="0" w:color="auto"/>
              <w:bottom w:val="nil"/>
            </w:tcBorders>
          </w:tcPr>
          <w:p w:rsidR="00725D0F" w:rsidRPr="00F57420" w:rsidRDefault="00725D0F" w:rsidP="001061DF">
            <w:pPr>
              <w:jc w:val="center"/>
              <w:rPr>
                <w:sz w:val="22"/>
                <w:szCs w:val="22"/>
              </w:rPr>
            </w:pPr>
          </w:p>
        </w:tc>
      </w:tr>
      <w:tr w:rsidR="00725D0F" w:rsidRPr="00F57420">
        <w:tc>
          <w:tcPr>
            <w:tcW w:w="1373" w:type="dxa"/>
            <w:tcBorders>
              <w:bottom w:val="single" w:sz="4" w:space="0" w:color="auto"/>
            </w:tcBorders>
          </w:tcPr>
          <w:p w:rsidR="00725D0F" w:rsidRPr="00F57420" w:rsidRDefault="00725D0F" w:rsidP="001061DF">
            <w:pPr>
              <w:widowControl w:val="0"/>
              <w:rPr>
                <w:sz w:val="22"/>
                <w:szCs w:val="22"/>
              </w:rPr>
            </w:pPr>
          </w:p>
        </w:tc>
        <w:tc>
          <w:tcPr>
            <w:tcW w:w="252" w:type="dxa"/>
            <w:tcBorders>
              <w:bottom w:val="single" w:sz="4" w:space="0" w:color="auto"/>
            </w:tcBorders>
          </w:tcPr>
          <w:p w:rsidR="00725D0F" w:rsidRPr="00F57420" w:rsidRDefault="00725D0F" w:rsidP="001061DF">
            <w:pPr>
              <w:widowControl w:val="0"/>
              <w:tabs>
                <w:tab w:val="decimal" w:pos="335"/>
              </w:tabs>
              <w:jc w:val="center"/>
              <w:rPr>
                <w:sz w:val="22"/>
                <w:szCs w:val="22"/>
              </w:rPr>
            </w:pPr>
          </w:p>
        </w:tc>
        <w:tc>
          <w:tcPr>
            <w:tcW w:w="819" w:type="dxa"/>
            <w:tcBorders>
              <w:top w:val="single" w:sz="4" w:space="0" w:color="auto"/>
              <w:bottom w:val="single" w:sz="4" w:space="0" w:color="auto"/>
            </w:tcBorders>
          </w:tcPr>
          <w:p w:rsidR="00725D0F" w:rsidRPr="00F57420" w:rsidRDefault="00725D0F" w:rsidP="001061DF">
            <w:pPr>
              <w:widowControl w:val="0"/>
              <w:tabs>
                <w:tab w:val="decimal" w:pos="335"/>
              </w:tabs>
              <w:jc w:val="center"/>
              <w:rPr>
                <w:sz w:val="22"/>
                <w:szCs w:val="22"/>
              </w:rPr>
            </w:pPr>
            <w:r w:rsidRPr="00F57420">
              <w:t>Pre</w:t>
            </w:r>
          </w:p>
        </w:tc>
        <w:tc>
          <w:tcPr>
            <w:tcW w:w="729" w:type="dxa"/>
            <w:tcBorders>
              <w:top w:val="single" w:sz="4" w:space="0" w:color="auto"/>
              <w:bottom w:val="single" w:sz="4" w:space="0" w:color="auto"/>
            </w:tcBorders>
          </w:tcPr>
          <w:p w:rsidR="00725D0F" w:rsidRPr="00F57420" w:rsidRDefault="00725D0F" w:rsidP="001061DF">
            <w:pPr>
              <w:jc w:val="center"/>
              <w:rPr>
                <w:sz w:val="22"/>
                <w:szCs w:val="22"/>
              </w:rPr>
            </w:pPr>
            <w:r w:rsidRPr="00F57420">
              <w:t>Post</w:t>
            </w:r>
          </w:p>
        </w:tc>
        <w:tc>
          <w:tcPr>
            <w:tcW w:w="704" w:type="dxa"/>
            <w:tcBorders>
              <w:top w:val="single" w:sz="4" w:space="0" w:color="auto"/>
              <w:bottom w:val="single" w:sz="4" w:space="0" w:color="auto"/>
            </w:tcBorders>
          </w:tcPr>
          <w:p w:rsidR="00725D0F" w:rsidRPr="00F57420" w:rsidRDefault="00725D0F" w:rsidP="001061DF">
            <w:pPr>
              <w:jc w:val="center"/>
              <w:rPr>
                <w:sz w:val="22"/>
                <w:szCs w:val="22"/>
              </w:rPr>
            </w:pPr>
            <w:r w:rsidRPr="00F57420">
              <w:t>FU</w:t>
            </w:r>
          </w:p>
        </w:tc>
        <w:tc>
          <w:tcPr>
            <w:tcW w:w="428" w:type="dxa"/>
            <w:tcBorders>
              <w:top w:val="nil"/>
              <w:bottom w:val="single" w:sz="4" w:space="0" w:color="auto"/>
            </w:tcBorders>
          </w:tcPr>
          <w:p w:rsidR="00725D0F" w:rsidRPr="00F57420" w:rsidRDefault="00725D0F" w:rsidP="001061DF">
            <w:pPr>
              <w:widowControl w:val="0"/>
              <w:tabs>
                <w:tab w:val="decimal" w:pos="335"/>
              </w:tabs>
              <w:jc w:val="center"/>
              <w:rPr>
                <w:sz w:val="22"/>
                <w:szCs w:val="22"/>
              </w:rPr>
            </w:pPr>
          </w:p>
        </w:tc>
        <w:tc>
          <w:tcPr>
            <w:tcW w:w="652" w:type="dxa"/>
            <w:tcBorders>
              <w:top w:val="single" w:sz="4" w:space="0" w:color="auto"/>
              <w:bottom w:val="single" w:sz="4" w:space="0" w:color="auto"/>
            </w:tcBorders>
          </w:tcPr>
          <w:p w:rsidR="00725D0F" w:rsidRPr="00F57420" w:rsidRDefault="00725D0F" w:rsidP="001061DF">
            <w:pPr>
              <w:jc w:val="center"/>
              <w:rPr>
                <w:sz w:val="22"/>
                <w:szCs w:val="22"/>
              </w:rPr>
            </w:pPr>
            <w:r w:rsidRPr="00F57420">
              <w:t>Pre</w:t>
            </w:r>
          </w:p>
        </w:tc>
        <w:tc>
          <w:tcPr>
            <w:tcW w:w="651" w:type="dxa"/>
            <w:tcBorders>
              <w:top w:val="single" w:sz="4" w:space="0" w:color="auto"/>
              <w:bottom w:val="single" w:sz="4" w:space="0" w:color="auto"/>
            </w:tcBorders>
          </w:tcPr>
          <w:p w:rsidR="00725D0F" w:rsidRPr="00F57420" w:rsidRDefault="00725D0F" w:rsidP="001061DF">
            <w:pPr>
              <w:jc w:val="center"/>
              <w:rPr>
                <w:sz w:val="22"/>
                <w:szCs w:val="22"/>
              </w:rPr>
            </w:pPr>
            <w:r w:rsidRPr="00F57420">
              <w:t>Post</w:t>
            </w:r>
          </w:p>
        </w:tc>
        <w:tc>
          <w:tcPr>
            <w:tcW w:w="699" w:type="dxa"/>
            <w:tcBorders>
              <w:top w:val="single" w:sz="4" w:space="0" w:color="auto"/>
              <w:bottom w:val="single" w:sz="4" w:space="0" w:color="auto"/>
            </w:tcBorders>
          </w:tcPr>
          <w:p w:rsidR="00725D0F" w:rsidRPr="00F57420" w:rsidRDefault="00725D0F" w:rsidP="001061DF">
            <w:pPr>
              <w:jc w:val="center"/>
              <w:rPr>
                <w:sz w:val="22"/>
                <w:szCs w:val="22"/>
              </w:rPr>
            </w:pPr>
            <w:r w:rsidRPr="00F57420">
              <w:t>FU</w:t>
            </w:r>
          </w:p>
        </w:tc>
        <w:tc>
          <w:tcPr>
            <w:tcW w:w="478" w:type="dxa"/>
            <w:tcBorders>
              <w:top w:val="nil"/>
              <w:bottom w:val="single" w:sz="4" w:space="0" w:color="auto"/>
            </w:tcBorders>
          </w:tcPr>
          <w:p w:rsidR="00725D0F" w:rsidRPr="00F57420" w:rsidRDefault="00725D0F" w:rsidP="001061DF">
            <w:pPr>
              <w:widowControl w:val="0"/>
              <w:tabs>
                <w:tab w:val="decimal" w:pos="335"/>
              </w:tabs>
              <w:jc w:val="center"/>
              <w:rPr>
                <w:sz w:val="22"/>
                <w:szCs w:val="22"/>
              </w:rPr>
            </w:pPr>
          </w:p>
        </w:tc>
        <w:tc>
          <w:tcPr>
            <w:tcW w:w="692" w:type="dxa"/>
            <w:tcBorders>
              <w:top w:val="nil"/>
              <w:bottom w:val="single" w:sz="4" w:space="0" w:color="auto"/>
            </w:tcBorders>
          </w:tcPr>
          <w:p w:rsidR="00725D0F" w:rsidRPr="00F57420" w:rsidRDefault="00725D0F" w:rsidP="001061DF">
            <w:pPr>
              <w:jc w:val="center"/>
              <w:rPr>
                <w:sz w:val="22"/>
                <w:szCs w:val="22"/>
              </w:rPr>
            </w:pPr>
          </w:p>
        </w:tc>
        <w:tc>
          <w:tcPr>
            <w:tcW w:w="651" w:type="dxa"/>
            <w:tcBorders>
              <w:top w:val="nil"/>
              <w:bottom w:val="single" w:sz="4" w:space="0" w:color="auto"/>
            </w:tcBorders>
          </w:tcPr>
          <w:p w:rsidR="00725D0F" w:rsidRPr="00F57420" w:rsidRDefault="00725D0F" w:rsidP="001061DF">
            <w:pPr>
              <w:jc w:val="center"/>
              <w:rPr>
                <w:sz w:val="22"/>
                <w:szCs w:val="22"/>
              </w:rPr>
            </w:pPr>
          </w:p>
        </w:tc>
        <w:tc>
          <w:tcPr>
            <w:tcW w:w="699" w:type="dxa"/>
            <w:tcBorders>
              <w:top w:val="nil"/>
              <w:bottom w:val="single" w:sz="4" w:space="0" w:color="auto"/>
            </w:tcBorders>
          </w:tcPr>
          <w:p w:rsidR="00725D0F" w:rsidRPr="00F57420" w:rsidRDefault="00725D0F" w:rsidP="001061DF">
            <w:pPr>
              <w:jc w:val="center"/>
              <w:rPr>
                <w:sz w:val="22"/>
                <w:szCs w:val="22"/>
              </w:rPr>
            </w:pPr>
          </w:p>
        </w:tc>
      </w:tr>
      <w:tr w:rsidR="00725D0F" w:rsidRPr="00F57420">
        <w:tc>
          <w:tcPr>
            <w:tcW w:w="1373" w:type="dxa"/>
            <w:tcBorders>
              <w:top w:val="single" w:sz="4" w:space="0" w:color="auto"/>
            </w:tcBorders>
          </w:tcPr>
          <w:p w:rsidR="00725D0F" w:rsidRPr="00F57420" w:rsidRDefault="00725D0F" w:rsidP="001061DF">
            <w:pPr>
              <w:widowControl w:val="0"/>
            </w:pPr>
            <w:r w:rsidRPr="00F57420">
              <w:rPr>
                <w:sz w:val="22"/>
                <w:szCs w:val="22"/>
              </w:rPr>
              <w:t>Y-BOCS</w:t>
            </w:r>
          </w:p>
        </w:tc>
        <w:tc>
          <w:tcPr>
            <w:tcW w:w="252" w:type="dxa"/>
            <w:tcBorders>
              <w:top w:val="single" w:sz="4" w:space="0" w:color="auto"/>
            </w:tcBorders>
          </w:tcPr>
          <w:p w:rsidR="00725D0F" w:rsidRPr="00F57420" w:rsidRDefault="00725D0F" w:rsidP="001061DF">
            <w:pPr>
              <w:widowControl w:val="0"/>
              <w:tabs>
                <w:tab w:val="decimal" w:pos="335"/>
              </w:tabs>
            </w:pPr>
          </w:p>
        </w:tc>
        <w:tc>
          <w:tcPr>
            <w:tcW w:w="819" w:type="dxa"/>
            <w:tcBorders>
              <w:top w:val="single" w:sz="4" w:space="0" w:color="auto"/>
            </w:tcBorders>
          </w:tcPr>
          <w:p w:rsidR="00725D0F" w:rsidRPr="00F57420" w:rsidRDefault="00725D0F" w:rsidP="00725D0F">
            <w:pPr>
              <w:widowControl w:val="0"/>
              <w:tabs>
                <w:tab w:val="decimal" w:pos="335"/>
              </w:tabs>
              <w:jc w:val="center"/>
            </w:pPr>
            <w:r w:rsidRPr="00F57420">
              <w:t>29</w:t>
            </w:r>
          </w:p>
        </w:tc>
        <w:tc>
          <w:tcPr>
            <w:tcW w:w="729" w:type="dxa"/>
            <w:tcBorders>
              <w:top w:val="single" w:sz="4" w:space="0" w:color="auto"/>
            </w:tcBorders>
          </w:tcPr>
          <w:p w:rsidR="00725D0F" w:rsidRPr="00F57420" w:rsidRDefault="00725D0F" w:rsidP="00725D0F">
            <w:pPr>
              <w:widowControl w:val="0"/>
              <w:tabs>
                <w:tab w:val="decimal" w:pos="335"/>
              </w:tabs>
              <w:jc w:val="center"/>
            </w:pPr>
            <w:r w:rsidRPr="00F57420">
              <w:t>16</w:t>
            </w:r>
          </w:p>
        </w:tc>
        <w:tc>
          <w:tcPr>
            <w:tcW w:w="704" w:type="dxa"/>
            <w:tcBorders>
              <w:top w:val="single" w:sz="4" w:space="0" w:color="auto"/>
            </w:tcBorders>
          </w:tcPr>
          <w:p w:rsidR="00725D0F" w:rsidRPr="00F57420" w:rsidRDefault="00725D0F" w:rsidP="00725D0F">
            <w:pPr>
              <w:widowControl w:val="0"/>
              <w:tabs>
                <w:tab w:val="decimal" w:pos="335"/>
              </w:tabs>
              <w:jc w:val="center"/>
            </w:pPr>
            <w:r w:rsidRPr="00F57420">
              <w:t>8</w:t>
            </w:r>
          </w:p>
        </w:tc>
        <w:tc>
          <w:tcPr>
            <w:tcW w:w="428" w:type="dxa"/>
            <w:tcBorders>
              <w:top w:val="single" w:sz="4" w:space="0" w:color="auto"/>
            </w:tcBorders>
          </w:tcPr>
          <w:p w:rsidR="00725D0F" w:rsidRPr="00F57420" w:rsidRDefault="00725D0F" w:rsidP="00725D0F">
            <w:pPr>
              <w:widowControl w:val="0"/>
              <w:tabs>
                <w:tab w:val="decimal" w:pos="335"/>
              </w:tabs>
              <w:jc w:val="center"/>
            </w:pPr>
          </w:p>
        </w:tc>
        <w:tc>
          <w:tcPr>
            <w:tcW w:w="652" w:type="dxa"/>
            <w:tcBorders>
              <w:top w:val="single" w:sz="4" w:space="0" w:color="auto"/>
            </w:tcBorders>
          </w:tcPr>
          <w:p w:rsidR="00725D0F" w:rsidRPr="00F57420" w:rsidRDefault="00725D0F" w:rsidP="00725D0F">
            <w:pPr>
              <w:widowControl w:val="0"/>
              <w:tabs>
                <w:tab w:val="decimal" w:pos="335"/>
              </w:tabs>
              <w:jc w:val="center"/>
            </w:pPr>
            <w:r w:rsidRPr="00F57420">
              <w:t>25</w:t>
            </w:r>
          </w:p>
        </w:tc>
        <w:tc>
          <w:tcPr>
            <w:tcW w:w="651" w:type="dxa"/>
            <w:tcBorders>
              <w:top w:val="single" w:sz="4" w:space="0" w:color="auto"/>
            </w:tcBorders>
          </w:tcPr>
          <w:p w:rsidR="00725D0F" w:rsidRPr="00F57420" w:rsidRDefault="00725D0F" w:rsidP="00725D0F">
            <w:pPr>
              <w:widowControl w:val="0"/>
              <w:tabs>
                <w:tab w:val="decimal" w:pos="335"/>
              </w:tabs>
              <w:jc w:val="center"/>
            </w:pPr>
            <w:r w:rsidRPr="00F57420">
              <w:t>18</w:t>
            </w:r>
          </w:p>
        </w:tc>
        <w:tc>
          <w:tcPr>
            <w:tcW w:w="699" w:type="dxa"/>
            <w:tcBorders>
              <w:top w:val="single" w:sz="4" w:space="0" w:color="auto"/>
            </w:tcBorders>
          </w:tcPr>
          <w:p w:rsidR="00725D0F" w:rsidRPr="00F57420" w:rsidRDefault="00725D0F" w:rsidP="00725D0F">
            <w:pPr>
              <w:widowControl w:val="0"/>
              <w:tabs>
                <w:tab w:val="decimal" w:pos="335"/>
              </w:tabs>
              <w:jc w:val="center"/>
            </w:pPr>
            <w:r w:rsidRPr="00F57420">
              <w:t>16</w:t>
            </w:r>
          </w:p>
        </w:tc>
        <w:tc>
          <w:tcPr>
            <w:tcW w:w="478" w:type="dxa"/>
            <w:tcBorders>
              <w:top w:val="single" w:sz="4" w:space="0" w:color="auto"/>
            </w:tcBorders>
          </w:tcPr>
          <w:p w:rsidR="00725D0F" w:rsidRPr="00F57420" w:rsidRDefault="00725D0F" w:rsidP="001061DF">
            <w:pPr>
              <w:widowControl w:val="0"/>
              <w:tabs>
                <w:tab w:val="decimal" w:pos="335"/>
              </w:tabs>
            </w:pPr>
          </w:p>
        </w:tc>
        <w:tc>
          <w:tcPr>
            <w:tcW w:w="692" w:type="dxa"/>
            <w:tcBorders>
              <w:top w:val="single" w:sz="4" w:space="0" w:color="auto"/>
              <w:bottom w:val="nil"/>
            </w:tcBorders>
          </w:tcPr>
          <w:p w:rsidR="00725D0F" w:rsidRPr="00F57420" w:rsidRDefault="00725D0F" w:rsidP="001061DF">
            <w:pPr>
              <w:widowControl w:val="0"/>
              <w:tabs>
                <w:tab w:val="decimal" w:pos="335"/>
              </w:tabs>
            </w:pPr>
          </w:p>
        </w:tc>
        <w:tc>
          <w:tcPr>
            <w:tcW w:w="651" w:type="dxa"/>
            <w:tcBorders>
              <w:top w:val="single" w:sz="4" w:space="0" w:color="auto"/>
              <w:bottom w:val="nil"/>
            </w:tcBorders>
          </w:tcPr>
          <w:p w:rsidR="00725D0F" w:rsidRPr="00F57420" w:rsidRDefault="00725D0F" w:rsidP="001061DF">
            <w:pPr>
              <w:widowControl w:val="0"/>
              <w:tabs>
                <w:tab w:val="decimal" w:pos="335"/>
              </w:tabs>
            </w:pPr>
          </w:p>
        </w:tc>
        <w:tc>
          <w:tcPr>
            <w:tcW w:w="699" w:type="dxa"/>
            <w:tcBorders>
              <w:top w:val="single" w:sz="4" w:space="0" w:color="auto"/>
              <w:bottom w:val="nil"/>
            </w:tcBorders>
          </w:tcPr>
          <w:p w:rsidR="00725D0F" w:rsidRPr="00F57420" w:rsidRDefault="00725D0F" w:rsidP="001061DF">
            <w:pPr>
              <w:widowControl w:val="0"/>
              <w:tabs>
                <w:tab w:val="decimal" w:pos="335"/>
              </w:tabs>
            </w:pPr>
          </w:p>
        </w:tc>
      </w:tr>
      <w:tr w:rsidR="00323874" w:rsidRPr="00F57420">
        <w:tc>
          <w:tcPr>
            <w:tcW w:w="1373" w:type="dxa"/>
          </w:tcPr>
          <w:p w:rsidR="00323874" w:rsidRPr="00F57420" w:rsidRDefault="00323874" w:rsidP="001061DF">
            <w:pPr>
              <w:widowControl w:val="0"/>
            </w:pPr>
            <w:r w:rsidRPr="00F57420">
              <w:rPr>
                <w:sz w:val="22"/>
                <w:szCs w:val="22"/>
              </w:rPr>
              <w:t>Rel. Faith</w:t>
            </w:r>
          </w:p>
        </w:tc>
        <w:tc>
          <w:tcPr>
            <w:tcW w:w="252" w:type="dxa"/>
          </w:tcPr>
          <w:p w:rsidR="00323874" w:rsidRPr="00F57420" w:rsidRDefault="00323874" w:rsidP="001061DF">
            <w:pPr>
              <w:widowControl w:val="0"/>
              <w:jc w:val="center"/>
            </w:pPr>
          </w:p>
        </w:tc>
        <w:tc>
          <w:tcPr>
            <w:tcW w:w="819" w:type="dxa"/>
          </w:tcPr>
          <w:p w:rsidR="00323874" w:rsidRPr="00F57420" w:rsidRDefault="00323874" w:rsidP="00725D0F">
            <w:pPr>
              <w:widowControl w:val="0"/>
              <w:jc w:val="center"/>
            </w:pPr>
            <w:r w:rsidRPr="00F57420">
              <w:t>25</w:t>
            </w:r>
          </w:p>
        </w:tc>
        <w:tc>
          <w:tcPr>
            <w:tcW w:w="729" w:type="dxa"/>
          </w:tcPr>
          <w:p w:rsidR="00323874" w:rsidRPr="00F57420" w:rsidRDefault="00323874" w:rsidP="00725D0F">
            <w:pPr>
              <w:widowControl w:val="0"/>
              <w:jc w:val="center"/>
            </w:pPr>
            <w:r w:rsidRPr="00F57420">
              <w:t>23</w:t>
            </w:r>
          </w:p>
        </w:tc>
        <w:tc>
          <w:tcPr>
            <w:tcW w:w="704" w:type="dxa"/>
          </w:tcPr>
          <w:p w:rsidR="00323874" w:rsidRPr="00F57420" w:rsidRDefault="00323874" w:rsidP="00725D0F">
            <w:pPr>
              <w:widowControl w:val="0"/>
              <w:jc w:val="center"/>
            </w:pPr>
            <w:r w:rsidRPr="00F57420">
              <w:t>22</w:t>
            </w:r>
          </w:p>
        </w:tc>
        <w:tc>
          <w:tcPr>
            <w:tcW w:w="428" w:type="dxa"/>
          </w:tcPr>
          <w:p w:rsidR="00323874" w:rsidRPr="00F57420" w:rsidRDefault="00323874" w:rsidP="00725D0F">
            <w:pPr>
              <w:widowControl w:val="0"/>
              <w:jc w:val="center"/>
            </w:pPr>
          </w:p>
        </w:tc>
        <w:tc>
          <w:tcPr>
            <w:tcW w:w="652" w:type="dxa"/>
          </w:tcPr>
          <w:p w:rsidR="00323874" w:rsidRPr="00F57420" w:rsidRDefault="00323874" w:rsidP="00725D0F">
            <w:pPr>
              <w:widowControl w:val="0"/>
              <w:jc w:val="center"/>
            </w:pPr>
            <w:r w:rsidRPr="00F57420">
              <w:t>31</w:t>
            </w:r>
          </w:p>
        </w:tc>
        <w:tc>
          <w:tcPr>
            <w:tcW w:w="651" w:type="dxa"/>
          </w:tcPr>
          <w:p w:rsidR="00323874" w:rsidRPr="00F57420" w:rsidRDefault="00323874" w:rsidP="00725D0F">
            <w:pPr>
              <w:widowControl w:val="0"/>
              <w:jc w:val="center"/>
            </w:pPr>
            <w:r w:rsidRPr="00F57420">
              <w:t>31</w:t>
            </w:r>
          </w:p>
        </w:tc>
        <w:tc>
          <w:tcPr>
            <w:tcW w:w="699" w:type="dxa"/>
          </w:tcPr>
          <w:p w:rsidR="00323874" w:rsidRPr="00F57420" w:rsidRDefault="00323874" w:rsidP="00725D0F">
            <w:pPr>
              <w:widowControl w:val="0"/>
              <w:jc w:val="center"/>
            </w:pPr>
            <w:r w:rsidRPr="00F57420">
              <w:t>31</w:t>
            </w:r>
          </w:p>
        </w:tc>
        <w:tc>
          <w:tcPr>
            <w:tcW w:w="478" w:type="dxa"/>
          </w:tcPr>
          <w:p w:rsidR="00323874" w:rsidRPr="00F57420" w:rsidRDefault="00323874" w:rsidP="001061DF">
            <w:pPr>
              <w:widowControl w:val="0"/>
              <w:jc w:val="center"/>
            </w:pPr>
          </w:p>
        </w:tc>
        <w:tc>
          <w:tcPr>
            <w:tcW w:w="692" w:type="dxa"/>
            <w:tcBorders>
              <w:top w:val="nil"/>
              <w:bottom w:val="nil"/>
            </w:tcBorders>
          </w:tcPr>
          <w:p w:rsidR="00323874" w:rsidRPr="00F57420" w:rsidRDefault="00323874" w:rsidP="001061DF">
            <w:pPr>
              <w:widowControl w:val="0"/>
              <w:jc w:val="center"/>
            </w:pPr>
          </w:p>
        </w:tc>
        <w:tc>
          <w:tcPr>
            <w:tcW w:w="651" w:type="dxa"/>
            <w:tcBorders>
              <w:top w:val="nil"/>
              <w:bottom w:val="nil"/>
            </w:tcBorders>
          </w:tcPr>
          <w:p w:rsidR="00323874" w:rsidRPr="00F57420" w:rsidRDefault="00323874" w:rsidP="001061DF">
            <w:pPr>
              <w:widowControl w:val="0"/>
              <w:jc w:val="center"/>
            </w:pPr>
          </w:p>
        </w:tc>
        <w:tc>
          <w:tcPr>
            <w:tcW w:w="699" w:type="dxa"/>
            <w:tcBorders>
              <w:top w:val="nil"/>
              <w:bottom w:val="nil"/>
            </w:tcBorders>
          </w:tcPr>
          <w:p w:rsidR="00323874" w:rsidRPr="00F57420" w:rsidRDefault="00323874" w:rsidP="001061DF">
            <w:pPr>
              <w:widowControl w:val="0"/>
              <w:jc w:val="center"/>
            </w:pPr>
          </w:p>
        </w:tc>
      </w:tr>
      <w:tr w:rsidR="00323874" w:rsidRPr="00F57420">
        <w:tc>
          <w:tcPr>
            <w:tcW w:w="1373" w:type="dxa"/>
          </w:tcPr>
          <w:p w:rsidR="00323874" w:rsidRPr="00F57420" w:rsidRDefault="00323874" w:rsidP="001061DF">
            <w:pPr>
              <w:widowControl w:val="0"/>
            </w:pPr>
            <w:r w:rsidRPr="00F57420">
              <w:rPr>
                <w:sz w:val="22"/>
                <w:szCs w:val="22"/>
              </w:rPr>
              <w:t>OCI-R</w:t>
            </w:r>
          </w:p>
        </w:tc>
        <w:tc>
          <w:tcPr>
            <w:tcW w:w="252" w:type="dxa"/>
          </w:tcPr>
          <w:p w:rsidR="00323874" w:rsidRPr="00F57420" w:rsidRDefault="00323874" w:rsidP="001061DF">
            <w:pPr>
              <w:widowControl w:val="0"/>
              <w:jc w:val="center"/>
            </w:pPr>
          </w:p>
        </w:tc>
        <w:tc>
          <w:tcPr>
            <w:tcW w:w="819" w:type="dxa"/>
          </w:tcPr>
          <w:p w:rsidR="00323874" w:rsidRPr="00F57420" w:rsidRDefault="00323874" w:rsidP="00725D0F">
            <w:pPr>
              <w:widowControl w:val="0"/>
              <w:jc w:val="center"/>
            </w:pPr>
            <w:r w:rsidRPr="00F57420">
              <w:t>51</w:t>
            </w:r>
          </w:p>
        </w:tc>
        <w:tc>
          <w:tcPr>
            <w:tcW w:w="729" w:type="dxa"/>
          </w:tcPr>
          <w:p w:rsidR="00323874" w:rsidRPr="00F57420" w:rsidRDefault="00323874" w:rsidP="00725D0F">
            <w:pPr>
              <w:widowControl w:val="0"/>
              <w:jc w:val="center"/>
            </w:pPr>
            <w:r w:rsidRPr="00F57420">
              <w:t>17</w:t>
            </w:r>
          </w:p>
        </w:tc>
        <w:tc>
          <w:tcPr>
            <w:tcW w:w="704" w:type="dxa"/>
          </w:tcPr>
          <w:p w:rsidR="00323874" w:rsidRPr="00F57420" w:rsidRDefault="00323874" w:rsidP="00725D0F">
            <w:pPr>
              <w:widowControl w:val="0"/>
              <w:jc w:val="center"/>
            </w:pPr>
            <w:r w:rsidRPr="00F57420">
              <w:t>11</w:t>
            </w:r>
          </w:p>
        </w:tc>
        <w:tc>
          <w:tcPr>
            <w:tcW w:w="428" w:type="dxa"/>
          </w:tcPr>
          <w:p w:rsidR="00323874" w:rsidRPr="00F57420" w:rsidRDefault="00323874" w:rsidP="00725D0F">
            <w:pPr>
              <w:widowControl w:val="0"/>
              <w:jc w:val="center"/>
            </w:pPr>
          </w:p>
        </w:tc>
        <w:tc>
          <w:tcPr>
            <w:tcW w:w="652" w:type="dxa"/>
          </w:tcPr>
          <w:p w:rsidR="00323874" w:rsidRPr="00F57420" w:rsidRDefault="00323874" w:rsidP="00725D0F">
            <w:pPr>
              <w:widowControl w:val="0"/>
              <w:jc w:val="center"/>
            </w:pPr>
            <w:r w:rsidRPr="00F57420">
              <w:t>21</w:t>
            </w:r>
          </w:p>
        </w:tc>
        <w:tc>
          <w:tcPr>
            <w:tcW w:w="651" w:type="dxa"/>
          </w:tcPr>
          <w:p w:rsidR="00323874" w:rsidRPr="00F57420" w:rsidRDefault="00323874" w:rsidP="00725D0F">
            <w:pPr>
              <w:widowControl w:val="0"/>
              <w:jc w:val="center"/>
            </w:pPr>
            <w:r w:rsidRPr="00F57420">
              <w:t>19</w:t>
            </w:r>
          </w:p>
        </w:tc>
        <w:tc>
          <w:tcPr>
            <w:tcW w:w="699" w:type="dxa"/>
          </w:tcPr>
          <w:p w:rsidR="00323874" w:rsidRPr="00F57420" w:rsidRDefault="00323874" w:rsidP="00725D0F">
            <w:pPr>
              <w:widowControl w:val="0"/>
              <w:jc w:val="center"/>
            </w:pPr>
            <w:r w:rsidRPr="00F57420">
              <w:t>26</w:t>
            </w:r>
          </w:p>
        </w:tc>
        <w:tc>
          <w:tcPr>
            <w:tcW w:w="478" w:type="dxa"/>
          </w:tcPr>
          <w:p w:rsidR="00323874" w:rsidRPr="00F57420" w:rsidRDefault="00323874" w:rsidP="001061DF">
            <w:pPr>
              <w:widowControl w:val="0"/>
              <w:jc w:val="center"/>
            </w:pPr>
          </w:p>
        </w:tc>
        <w:tc>
          <w:tcPr>
            <w:tcW w:w="692" w:type="dxa"/>
            <w:tcBorders>
              <w:top w:val="nil"/>
            </w:tcBorders>
          </w:tcPr>
          <w:p w:rsidR="00323874" w:rsidRPr="00F57420" w:rsidRDefault="00323874" w:rsidP="001061DF">
            <w:pPr>
              <w:widowControl w:val="0"/>
              <w:jc w:val="center"/>
            </w:pPr>
          </w:p>
        </w:tc>
        <w:tc>
          <w:tcPr>
            <w:tcW w:w="651" w:type="dxa"/>
            <w:tcBorders>
              <w:top w:val="nil"/>
            </w:tcBorders>
          </w:tcPr>
          <w:p w:rsidR="00323874" w:rsidRPr="00F57420" w:rsidRDefault="00323874" w:rsidP="001061DF">
            <w:pPr>
              <w:widowControl w:val="0"/>
              <w:jc w:val="center"/>
            </w:pPr>
          </w:p>
        </w:tc>
        <w:tc>
          <w:tcPr>
            <w:tcW w:w="699" w:type="dxa"/>
            <w:tcBorders>
              <w:top w:val="nil"/>
            </w:tcBorders>
          </w:tcPr>
          <w:p w:rsidR="00323874" w:rsidRPr="00F57420" w:rsidRDefault="00323874" w:rsidP="001061DF">
            <w:pPr>
              <w:widowControl w:val="0"/>
              <w:jc w:val="center"/>
            </w:pPr>
          </w:p>
        </w:tc>
      </w:tr>
      <w:tr w:rsidR="00DA10E5" w:rsidRPr="00F57420">
        <w:tc>
          <w:tcPr>
            <w:tcW w:w="1373" w:type="dxa"/>
          </w:tcPr>
          <w:p w:rsidR="00DA10E5" w:rsidRPr="00F57420" w:rsidRDefault="00DA10E5" w:rsidP="001061DF">
            <w:pPr>
              <w:widowControl w:val="0"/>
              <w:rPr>
                <w:sz w:val="22"/>
                <w:szCs w:val="22"/>
              </w:rPr>
            </w:pPr>
            <w:r w:rsidRPr="00F57420">
              <w:rPr>
                <w:sz w:val="22"/>
                <w:szCs w:val="22"/>
              </w:rPr>
              <w:t>PIOS</w:t>
            </w:r>
          </w:p>
        </w:tc>
        <w:tc>
          <w:tcPr>
            <w:tcW w:w="252" w:type="dxa"/>
          </w:tcPr>
          <w:p w:rsidR="00DA10E5" w:rsidRPr="00F57420" w:rsidRDefault="00DA10E5" w:rsidP="001061DF">
            <w:pPr>
              <w:widowControl w:val="0"/>
              <w:tabs>
                <w:tab w:val="decimal" w:pos="335"/>
              </w:tabs>
              <w:jc w:val="center"/>
              <w:rPr>
                <w:sz w:val="22"/>
                <w:szCs w:val="22"/>
              </w:rPr>
            </w:pPr>
          </w:p>
        </w:tc>
        <w:tc>
          <w:tcPr>
            <w:tcW w:w="819" w:type="dxa"/>
          </w:tcPr>
          <w:p w:rsidR="00DA10E5" w:rsidRPr="00F57420" w:rsidRDefault="00FB6840" w:rsidP="00725D0F">
            <w:pPr>
              <w:jc w:val="center"/>
            </w:pPr>
            <w:r>
              <w:t>61</w:t>
            </w:r>
          </w:p>
        </w:tc>
        <w:tc>
          <w:tcPr>
            <w:tcW w:w="729" w:type="dxa"/>
          </w:tcPr>
          <w:p w:rsidR="00DA10E5" w:rsidRPr="00F57420" w:rsidRDefault="00FB6840" w:rsidP="00FB6840">
            <w:pPr>
              <w:jc w:val="center"/>
            </w:pPr>
            <w:r w:rsidRPr="00F57420">
              <w:t>2</w:t>
            </w:r>
            <w:r>
              <w:t>5</w:t>
            </w:r>
          </w:p>
        </w:tc>
        <w:tc>
          <w:tcPr>
            <w:tcW w:w="704" w:type="dxa"/>
          </w:tcPr>
          <w:p w:rsidR="00DA10E5" w:rsidRPr="00F57420" w:rsidRDefault="00DA10E5" w:rsidP="00725D0F">
            <w:pPr>
              <w:jc w:val="center"/>
            </w:pPr>
            <w:r w:rsidRPr="00F57420">
              <w:t>22</w:t>
            </w:r>
          </w:p>
        </w:tc>
        <w:tc>
          <w:tcPr>
            <w:tcW w:w="428" w:type="dxa"/>
          </w:tcPr>
          <w:p w:rsidR="00DA10E5" w:rsidRPr="00F57420" w:rsidRDefault="00DA10E5" w:rsidP="00725D0F">
            <w:pPr>
              <w:widowControl w:val="0"/>
              <w:tabs>
                <w:tab w:val="decimal" w:pos="335"/>
              </w:tabs>
              <w:jc w:val="center"/>
              <w:rPr>
                <w:sz w:val="22"/>
                <w:szCs w:val="22"/>
              </w:rPr>
            </w:pPr>
          </w:p>
        </w:tc>
        <w:tc>
          <w:tcPr>
            <w:tcW w:w="652" w:type="dxa"/>
          </w:tcPr>
          <w:p w:rsidR="00DA10E5" w:rsidRPr="00F57420" w:rsidRDefault="00FB6840" w:rsidP="00725D0F">
            <w:pPr>
              <w:jc w:val="center"/>
            </w:pPr>
            <w:r>
              <w:t>40</w:t>
            </w:r>
          </w:p>
        </w:tc>
        <w:tc>
          <w:tcPr>
            <w:tcW w:w="651" w:type="dxa"/>
          </w:tcPr>
          <w:p w:rsidR="00DA10E5" w:rsidRPr="00F57420" w:rsidRDefault="00FB6840" w:rsidP="00FB6840">
            <w:pPr>
              <w:jc w:val="center"/>
            </w:pPr>
            <w:r w:rsidRPr="00F57420">
              <w:t>3</w:t>
            </w:r>
            <w:r>
              <w:t>3</w:t>
            </w:r>
          </w:p>
        </w:tc>
        <w:tc>
          <w:tcPr>
            <w:tcW w:w="699" w:type="dxa"/>
          </w:tcPr>
          <w:p w:rsidR="00DA10E5" w:rsidRPr="00F57420" w:rsidRDefault="00FB6840" w:rsidP="00FB6840">
            <w:pPr>
              <w:jc w:val="center"/>
            </w:pPr>
            <w:r w:rsidRPr="00F57420">
              <w:t>3</w:t>
            </w:r>
            <w:r>
              <w:t>9</w:t>
            </w:r>
          </w:p>
        </w:tc>
        <w:tc>
          <w:tcPr>
            <w:tcW w:w="478" w:type="dxa"/>
          </w:tcPr>
          <w:p w:rsidR="00DA10E5" w:rsidRPr="00F57420" w:rsidRDefault="00DA10E5" w:rsidP="001061DF">
            <w:pPr>
              <w:widowControl w:val="0"/>
              <w:tabs>
                <w:tab w:val="decimal" w:pos="335"/>
              </w:tabs>
              <w:jc w:val="center"/>
              <w:rPr>
                <w:sz w:val="22"/>
                <w:szCs w:val="22"/>
              </w:rPr>
            </w:pPr>
          </w:p>
        </w:tc>
        <w:tc>
          <w:tcPr>
            <w:tcW w:w="692" w:type="dxa"/>
          </w:tcPr>
          <w:p w:rsidR="00DA10E5" w:rsidRPr="00F57420" w:rsidRDefault="00DA10E5" w:rsidP="001061DF">
            <w:pPr>
              <w:jc w:val="center"/>
              <w:rPr>
                <w:sz w:val="22"/>
                <w:szCs w:val="22"/>
              </w:rPr>
            </w:pPr>
          </w:p>
        </w:tc>
        <w:tc>
          <w:tcPr>
            <w:tcW w:w="651" w:type="dxa"/>
          </w:tcPr>
          <w:p w:rsidR="00DA10E5" w:rsidRPr="00F57420" w:rsidRDefault="00DA10E5" w:rsidP="001061DF">
            <w:pPr>
              <w:jc w:val="center"/>
              <w:rPr>
                <w:sz w:val="22"/>
                <w:szCs w:val="22"/>
              </w:rPr>
            </w:pPr>
          </w:p>
        </w:tc>
        <w:tc>
          <w:tcPr>
            <w:tcW w:w="699" w:type="dxa"/>
          </w:tcPr>
          <w:p w:rsidR="00DA10E5" w:rsidRPr="00F57420" w:rsidRDefault="00DA10E5" w:rsidP="001061DF">
            <w:pPr>
              <w:jc w:val="center"/>
              <w:rPr>
                <w:sz w:val="22"/>
                <w:szCs w:val="22"/>
              </w:rPr>
            </w:pPr>
          </w:p>
        </w:tc>
      </w:tr>
      <w:tr w:rsidR="00DA10E5" w:rsidRPr="00F57420">
        <w:tc>
          <w:tcPr>
            <w:tcW w:w="1373" w:type="dxa"/>
          </w:tcPr>
          <w:p w:rsidR="00DA10E5" w:rsidRPr="00F57420" w:rsidRDefault="00DA10E5" w:rsidP="004E2844">
            <w:pPr>
              <w:widowControl w:val="0"/>
              <w:rPr>
                <w:sz w:val="22"/>
                <w:szCs w:val="22"/>
              </w:rPr>
            </w:pPr>
            <w:r w:rsidRPr="00F57420">
              <w:rPr>
                <w:sz w:val="22"/>
                <w:szCs w:val="22"/>
              </w:rPr>
              <w:t>BDI-</w:t>
            </w:r>
            <w:r w:rsidR="004E2844">
              <w:rPr>
                <w:sz w:val="22"/>
                <w:szCs w:val="22"/>
              </w:rPr>
              <w:t>II</w:t>
            </w:r>
          </w:p>
        </w:tc>
        <w:tc>
          <w:tcPr>
            <w:tcW w:w="252" w:type="dxa"/>
          </w:tcPr>
          <w:p w:rsidR="00DA10E5" w:rsidRPr="00F57420" w:rsidRDefault="00DA10E5" w:rsidP="001061DF">
            <w:pPr>
              <w:widowControl w:val="0"/>
              <w:tabs>
                <w:tab w:val="decimal" w:pos="335"/>
              </w:tabs>
              <w:jc w:val="center"/>
              <w:rPr>
                <w:sz w:val="22"/>
                <w:szCs w:val="22"/>
              </w:rPr>
            </w:pPr>
          </w:p>
        </w:tc>
        <w:tc>
          <w:tcPr>
            <w:tcW w:w="819" w:type="dxa"/>
          </w:tcPr>
          <w:p w:rsidR="00DA10E5" w:rsidRPr="00F57420" w:rsidRDefault="00DA10E5" w:rsidP="00725D0F">
            <w:pPr>
              <w:jc w:val="center"/>
            </w:pPr>
            <w:r>
              <w:t>47</w:t>
            </w:r>
          </w:p>
        </w:tc>
        <w:tc>
          <w:tcPr>
            <w:tcW w:w="729" w:type="dxa"/>
          </w:tcPr>
          <w:p w:rsidR="00DA10E5" w:rsidRPr="00F57420" w:rsidRDefault="00DA10E5" w:rsidP="00725D0F">
            <w:pPr>
              <w:jc w:val="center"/>
            </w:pPr>
            <w:r>
              <w:t>10</w:t>
            </w:r>
          </w:p>
        </w:tc>
        <w:tc>
          <w:tcPr>
            <w:tcW w:w="704" w:type="dxa"/>
          </w:tcPr>
          <w:p w:rsidR="00DA10E5" w:rsidRPr="00F57420" w:rsidRDefault="00DA10E5" w:rsidP="00725D0F">
            <w:pPr>
              <w:jc w:val="center"/>
            </w:pPr>
            <w:r>
              <w:t>17</w:t>
            </w:r>
          </w:p>
        </w:tc>
        <w:tc>
          <w:tcPr>
            <w:tcW w:w="428" w:type="dxa"/>
          </w:tcPr>
          <w:p w:rsidR="00DA10E5" w:rsidRPr="00F57420" w:rsidRDefault="00DA10E5" w:rsidP="00725D0F">
            <w:pPr>
              <w:widowControl w:val="0"/>
              <w:tabs>
                <w:tab w:val="decimal" w:pos="335"/>
              </w:tabs>
              <w:jc w:val="center"/>
              <w:rPr>
                <w:sz w:val="22"/>
                <w:szCs w:val="22"/>
              </w:rPr>
            </w:pPr>
          </w:p>
        </w:tc>
        <w:tc>
          <w:tcPr>
            <w:tcW w:w="652" w:type="dxa"/>
          </w:tcPr>
          <w:p w:rsidR="00DA10E5" w:rsidRPr="00F57420" w:rsidRDefault="00DA10E5" w:rsidP="00725D0F">
            <w:pPr>
              <w:jc w:val="center"/>
            </w:pPr>
            <w:r>
              <w:t>12</w:t>
            </w:r>
          </w:p>
        </w:tc>
        <w:tc>
          <w:tcPr>
            <w:tcW w:w="651" w:type="dxa"/>
          </w:tcPr>
          <w:p w:rsidR="00DA10E5" w:rsidRPr="00F57420" w:rsidRDefault="00DA10E5" w:rsidP="00725D0F">
            <w:pPr>
              <w:jc w:val="center"/>
            </w:pPr>
            <w:r>
              <w:t>11</w:t>
            </w:r>
          </w:p>
        </w:tc>
        <w:tc>
          <w:tcPr>
            <w:tcW w:w="699" w:type="dxa"/>
          </w:tcPr>
          <w:p w:rsidR="00DA10E5" w:rsidRPr="00F57420" w:rsidRDefault="00DA10E5" w:rsidP="00725D0F">
            <w:pPr>
              <w:jc w:val="center"/>
            </w:pPr>
            <w:r>
              <w:t>10</w:t>
            </w:r>
          </w:p>
        </w:tc>
        <w:tc>
          <w:tcPr>
            <w:tcW w:w="478" w:type="dxa"/>
          </w:tcPr>
          <w:p w:rsidR="00DA10E5" w:rsidRPr="00F57420" w:rsidRDefault="00DA10E5" w:rsidP="001061DF">
            <w:pPr>
              <w:widowControl w:val="0"/>
              <w:tabs>
                <w:tab w:val="decimal" w:pos="335"/>
              </w:tabs>
              <w:jc w:val="center"/>
              <w:rPr>
                <w:sz w:val="22"/>
                <w:szCs w:val="22"/>
              </w:rPr>
            </w:pPr>
          </w:p>
        </w:tc>
        <w:tc>
          <w:tcPr>
            <w:tcW w:w="692" w:type="dxa"/>
          </w:tcPr>
          <w:p w:rsidR="00DA10E5" w:rsidRPr="00F57420" w:rsidRDefault="00DA10E5" w:rsidP="001061DF">
            <w:pPr>
              <w:jc w:val="center"/>
              <w:rPr>
                <w:sz w:val="22"/>
                <w:szCs w:val="22"/>
              </w:rPr>
            </w:pPr>
          </w:p>
        </w:tc>
        <w:tc>
          <w:tcPr>
            <w:tcW w:w="651" w:type="dxa"/>
          </w:tcPr>
          <w:p w:rsidR="00DA10E5" w:rsidRPr="00F57420" w:rsidRDefault="00DA10E5" w:rsidP="001061DF">
            <w:pPr>
              <w:jc w:val="center"/>
              <w:rPr>
                <w:sz w:val="22"/>
                <w:szCs w:val="22"/>
              </w:rPr>
            </w:pPr>
          </w:p>
        </w:tc>
        <w:tc>
          <w:tcPr>
            <w:tcW w:w="699" w:type="dxa"/>
          </w:tcPr>
          <w:p w:rsidR="00DA10E5" w:rsidRPr="00F57420" w:rsidRDefault="00DA10E5" w:rsidP="001061DF">
            <w:pPr>
              <w:jc w:val="center"/>
              <w:rPr>
                <w:sz w:val="22"/>
                <w:szCs w:val="22"/>
              </w:rPr>
            </w:pPr>
          </w:p>
        </w:tc>
      </w:tr>
      <w:tr w:rsidR="00DA10E5" w:rsidRPr="00F57420">
        <w:tc>
          <w:tcPr>
            <w:tcW w:w="1373" w:type="dxa"/>
          </w:tcPr>
          <w:p w:rsidR="00DA10E5" w:rsidRPr="00F57420" w:rsidRDefault="00DA10E5" w:rsidP="001061DF">
            <w:pPr>
              <w:widowControl w:val="0"/>
              <w:rPr>
                <w:sz w:val="22"/>
                <w:szCs w:val="22"/>
              </w:rPr>
            </w:pPr>
            <w:r w:rsidRPr="00F57420">
              <w:rPr>
                <w:sz w:val="22"/>
                <w:szCs w:val="22"/>
              </w:rPr>
              <w:t>QOLS</w:t>
            </w:r>
          </w:p>
        </w:tc>
        <w:tc>
          <w:tcPr>
            <w:tcW w:w="252" w:type="dxa"/>
          </w:tcPr>
          <w:p w:rsidR="00DA10E5" w:rsidRPr="00F57420" w:rsidRDefault="00DA10E5" w:rsidP="001061DF">
            <w:pPr>
              <w:widowControl w:val="0"/>
              <w:tabs>
                <w:tab w:val="decimal" w:pos="335"/>
              </w:tabs>
              <w:jc w:val="center"/>
              <w:rPr>
                <w:sz w:val="22"/>
                <w:szCs w:val="22"/>
              </w:rPr>
            </w:pPr>
          </w:p>
        </w:tc>
        <w:tc>
          <w:tcPr>
            <w:tcW w:w="819" w:type="dxa"/>
          </w:tcPr>
          <w:p w:rsidR="00DA10E5" w:rsidRPr="00F57420" w:rsidRDefault="00DA10E5" w:rsidP="00725D0F">
            <w:pPr>
              <w:jc w:val="center"/>
            </w:pPr>
            <w:r w:rsidRPr="00F57420">
              <w:t>54</w:t>
            </w:r>
          </w:p>
        </w:tc>
        <w:tc>
          <w:tcPr>
            <w:tcW w:w="729" w:type="dxa"/>
          </w:tcPr>
          <w:p w:rsidR="00DA10E5" w:rsidRPr="00F57420" w:rsidRDefault="00DA10E5" w:rsidP="00725D0F">
            <w:pPr>
              <w:jc w:val="center"/>
            </w:pPr>
            <w:r w:rsidRPr="00F57420">
              <w:t>72</w:t>
            </w:r>
          </w:p>
        </w:tc>
        <w:tc>
          <w:tcPr>
            <w:tcW w:w="704" w:type="dxa"/>
          </w:tcPr>
          <w:p w:rsidR="00DA10E5" w:rsidRPr="00F57420" w:rsidRDefault="00DA10E5" w:rsidP="00725D0F">
            <w:pPr>
              <w:jc w:val="center"/>
            </w:pPr>
            <w:r w:rsidRPr="00F57420">
              <w:t>76</w:t>
            </w:r>
          </w:p>
        </w:tc>
        <w:tc>
          <w:tcPr>
            <w:tcW w:w="428" w:type="dxa"/>
          </w:tcPr>
          <w:p w:rsidR="00DA10E5" w:rsidRPr="00F57420" w:rsidRDefault="00DA10E5" w:rsidP="00725D0F">
            <w:pPr>
              <w:widowControl w:val="0"/>
              <w:tabs>
                <w:tab w:val="decimal" w:pos="335"/>
              </w:tabs>
              <w:jc w:val="center"/>
              <w:rPr>
                <w:sz w:val="22"/>
                <w:szCs w:val="22"/>
              </w:rPr>
            </w:pPr>
          </w:p>
        </w:tc>
        <w:tc>
          <w:tcPr>
            <w:tcW w:w="652" w:type="dxa"/>
          </w:tcPr>
          <w:p w:rsidR="00DA10E5" w:rsidRPr="00F57420" w:rsidRDefault="00DA10E5" w:rsidP="00725D0F">
            <w:pPr>
              <w:jc w:val="center"/>
            </w:pPr>
            <w:r w:rsidRPr="00F57420">
              <w:t>68</w:t>
            </w:r>
          </w:p>
        </w:tc>
        <w:tc>
          <w:tcPr>
            <w:tcW w:w="651" w:type="dxa"/>
          </w:tcPr>
          <w:p w:rsidR="00DA10E5" w:rsidRPr="00F57420" w:rsidRDefault="00DA10E5" w:rsidP="00725D0F">
            <w:pPr>
              <w:jc w:val="center"/>
            </w:pPr>
            <w:r w:rsidRPr="00F57420">
              <w:t>71</w:t>
            </w:r>
          </w:p>
        </w:tc>
        <w:tc>
          <w:tcPr>
            <w:tcW w:w="699" w:type="dxa"/>
          </w:tcPr>
          <w:p w:rsidR="00DA10E5" w:rsidRPr="00F57420" w:rsidRDefault="00DA10E5" w:rsidP="00725D0F">
            <w:pPr>
              <w:jc w:val="center"/>
            </w:pPr>
            <w:r w:rsidRPr="00F57420">
              <w:t>79</w:t>
            </w:r>
          </w:p>
        </w:tc>
        <w:tc>
          <w:tcPr>
            <w:tcW w:w="478" w:type="dxa"/>
          </w:tcPr>
          <w:p w:rsidR="00DA10E5" w:rsidRPr="00F57420" w:rsidRDefault="00DA10E5" w:rsidP="001061DF">
            <w:pPr>
              <w:widowControl w:val="0"/>
              <w:tabs>
                <w:tab w:val="decimal" w:pos="335"/>
              </w:tabs>
              <w:jc w:val="center"/>
              <w:rPr>
                <w:sz w:val="22"/>
                <w:szCs w:val="22"/>
              </w:rPr>
            </w:pPr>
          </w:p>
        </w:tc>
        <w:tc>
          <w:tcPr>
            <w:tcW w:w="692" w:type="dxa"/>
          </w:tcPr>
          <w:p w:rsidR="00DA10E5" w:rsidRPr="00F57420" w:rsidRDefault="00DA10E5" w:rsidP="001061DF">
            <w:pPr>
              <w:jc w:val="center"/>
              <w:rPr>
                <w:sz w:val="22"/>
                <w:szCs w:val="22"/>
              </w:rPr>
            </w:pPr>
          </w:p>
        </w:tc>
        <w:tc>
          <w:tcPr>
            <w:tcW w:w="651" w:type="dxa"/>
          </w:tcPr>
          <w:p w:rsidR="00DA10E5" w:rsidRPr="00F57420" w:rsidRDefault="00DA10E5" w:rsidP="001061DF">
            <w:pPr>
              <w:jc w:val="center"/>
              <w:rPr>
                <w:sz w:val="22"/>
                <w:szCs w:val="22"/>
              </w:rPr>
            </w:pPr>
          </w:p>
        </w:tc>
        <w:tc>
          <w:tcPr>
            <w:tcW w:w="699" w:type="dxa"/>
          </w:tcPr>
          <w:p w:rsidR="00DA10E5" w:rsidRPr="00F57420" w:rsidRDefault="00DA10E5" w:rsidP="001061DF">
            <w:pPr>
              <w:jc w:val="center"/>
              <w:rPr>
                <w:sz w:val="22"/>
                <w:szCs w:val="22"/>
              </w:rPr>
            </w:pPr>
          </w:p>
        </w:tc>
      </w:tr>
      <w:tr w:rsidR="00DA10E5" w:rsidRPr="00F57420">
        <w:tc>
          <w:tcPr>
            <w:tcW w:w="1373" w:type="dxa"/>
          </w:tcPr>
          <w:p w:rsidR="00DA10E5" w:rsidRPr="00F57420" w:rsidRDefault="00DA10E5" w:rsidP="001061DF">
            <w:pPr>
              <w:widowControl w:val="0"/>
              <w:rPr>
                <w:sz w:val="22"/>
                <w:szCs w:val="22"/>
              </w:rPr>
            </w:pPr>
            <w:r w:rsidRPr="00F57420">
              <w:rPr>
                <w:sz w:val="22"/>
                <w:szCs w:val="22"/>
              </w:rPr>
              <w:t>TEI</w:t>
            </w:r>
          </w:p>
        </w:tc>
        <w:tc>
          <w:tcPr>
            <w:tcW w:w="252" w:type="dxa"/>
          </w:tcPr>
          <w:p w:rsidR="00DA10E5" w:rsidRPr="00F57420" w:rsidRDefault="00DA10E5" w:rsidP="001061DF">
            <w:pPr>
              <w:widowControl w:val="0"/>
              <w:tabs>
                <w:tab w:val="decimal" w:pos="335"/>
              </w:tabs>
              <w:jc w:val="center"/>
              <w:rPr>
                <w:sz w:val="22"/>
                <w:szCs w:val="22"/>
              </w:rPr>
            </w:pPr>
          </w:p>
        </w:tc>
        <w:tc>
          <w:tcPr>
            <w:tcW w:w="819" w:type="dxa"/>
          </w:tcPr>
          <w:p w:rsidR="00DA10E5" w:rsidRPr="00F57420" w:rsidRDefault="00DA10E5" w:rsidP="00725D0F">
            <w:pPr>
              <w:jc w:val="center"/>
            </w:pPr>
          </w:p>
        </w:tc>
        <w:tc>
          <w:tcPr>
            <w:tcW w:w="729" w:type="dxa"/>
          </w:tcPr>
          <w:p w:rsidR="00DA10E5" w:rsidRPr="00F57420" w:rsidRDefault="00DA10E5" w:rsidP="00725D0F">
            <w:pPr>
              <w:jc w:val="center"/>
            </w:pPr>
            <w:r w:rsidRPr="00F57420">
              <w:t>34</w:t>
            </w:r>
          </w:p>
        </w:tc>
        <w:tc>
          <w:tcPr>
            <w:tcW w:w="704" w:type="dxa"/>
          </w:tcPr>
          <w:p w:rsidR="00DA10E5" w:rsidRPr="00F57420" w:rsidRDefault="00DA10E5" w:rsidP="00725D0F">
            <w:pPr>
              <w:jc w:val="center"/>
            </w:pPr>
          </w:p>
        </w:tc>
        <w:tc>
          <w:tcPr>
            <w:tcW w:w="428" w:type="dxa"/>
          </w:tcPr>
          <w:p w:rsidR="00DA10E5" w:rsidRPr="00F57420" w:rsidRDefault="00DA10E5" w:rsidP="00725D0F">
            <w:pPr>
              <w:widowControl w:val="0"/>
              <w:tabs>
                <w:tab w:val="decimal" w:pos="335"/>
              </w:tabs>
              <w:jc w:val="center"/>
              <w:rPr>
                <w:sz w:val="22"/>
                <w:szCs w:val="22"/>
              </w:rPr>
            </w:pPr>
          </w:p>
        </w:tc>
        <w:tc>
          <w:tcPr>
            <w:tcW w:w="652" w:type="dxa"/>
          </w:tcPr>
          <w:p w:rsidR="00DA10E5" w:rsidRPr="00F57420" w:rsidRDefault="00DA10E5" w:rsidP="00725D0F">
            <w:pPr>
              <w:jc w:val="center"/>
            </w:pPr>
          </w:p>
        </w:tc>
        <w:tc>
          <w:tcPr>
            <w:tcW w:w="651" w:type="dxa"/>
          </w:tcPr>
          <w:p w:rsidR="00DA10E5" w:rsidRPr="00F57420" w:rsidRDefault="00DA10E5" w:rsidP="00725D0F">
            <w:pPr>
              <w:jc w:val="center"/>
            </w:pPr>
            <w:r w:rsidRPr="00F57420">
              <w:t>29</w:t>
            </w:r>
          </w:p>
        </w:tc>
        <w:tc>
          <w:tcPr>
            <w:tcW w:w="699" w:type="dxa"/>
          </w:tcPr>
          <w:p w:rsidR="00DA10E5" w:rsidRPr="00F57420" w:rsidRDefault="00DA10E5" w:rsidP="00725D0F">
            <w:pPr>
              <w:jc w:val="center"/>
            </w:pPr>
          </w:p>
        </w:tc>
        <w:tc>
          <w:tcPr>
            <w:tcW w:w="478" w:type="dxa"/>
          </w:tcPr>
          <w:p w:rsidR="00DA10E5" w:rsidRPr="00F57420" w:rsidRDefault="00DA10E5" w:rsidP="001061DF">
            <w:pPr>
              <w:widowControl w:val="0"/>
              <w:tabs>
                <w:tab w:val="decimal" w:pos="335"/>
              </w:tabs>
              <w:jc w:val="center"/>
              <w:rPr>
                <w:sz w:val="22"/>
                <w:szCs w:val="22"/>
              </w:rPr>
            </w:pPr>
          </w:p>
        </w:tc>
        <w:tc>
          <w:tcPr>
            <w:tcW w:w="692" w:type="dxa"/>
          </w:tcPr>
          <w:p w:rsidR="00DA10E5" w:rsidRPr="00F57420" w:rsidRDefault="00DA10E5" w:rsidP="001061DF">
            <w:pPr>
              <w:jc w:val="center"/>
              <w:rPr>
                <w:sz w:val="22"/>
                <w:szCs w:val="22"/>
              </w:rPr>
            </w:pPr>
          </w:p>
        </w:tc>
        <w:tc>
          <w:tcPr>
            <w:tcW w:w="651" w:type="dxa"/>
          </w:tcPr>
          <w:p w:rsidR="00DA10E5" w:rsidRPr="00F57420" w:rsidRDefault="00DA10E5" w:rsidP="001061DF">
            <w:pPr>
              <w:jc w:val="center"/>
              <w:rPr>
                <w:sz w:val="22"/>
                <w:szCs w:val="22"/>
              </w:rPr>
            </w:pPr>
          </w:p>
        </w:tc>
        <w:tc>
          <w:tcPr>
            <w:tcW w:w="699" w:type="dxa"/>
          </w:tcPr>
          <w:p w:rsidR="00DA10E5" w:rsidRPr="00F57420" w:rsidRDefault="00DA10E5" w:rsidP="001061DF">
            <w:pPr>
              <w:jc w:val="center"/>
              <w:rPr>
                <w:sz w:val="22"/>
                <w:szCs w:val="22"/>
              </w:rPr>
            </w:pPr>
          </w:p>
        </w:tc>
      </w:tr>
      <w:tr w:rsidR="00DA10E5" w:rsidRPr="00F57420">
        <w:tc>
          <w:tcPr>
            <w:tcW w:w="1373" w:type="dxa"/>
          </w:tcPr>
          <w:p w:rsidR="00DA10E5" w:rsidRPr="00F57420" w:rsidRDefault="00DA10E5" w:rsidP="001061DF">
            <w:pPr>
              <w:widowControl w:val="0"/>
              <w:rPr>
                <w:sz w:val="22"/>
                <w:szCs w:val="22"/>
              </w:rPr>
            </w:pPr>
            <w:r w:rsidRPr="00F57420">
              <w:rPr>
                <w:sz w:val="22"/>
                <w:szCs w:val="22"/>
              </w:rPr>
              <w:t>AAQ-2</w:t>
            </w:r>
          </w:p>
        </w:tc>
        <w:tc>
          <w:tcPr>
            <w:tcW w:w="252" w:type="dxa"/>
          </w:tcPr>
          <w:p w:rsidR="00DA10E5" w:rsidRPr="00F57420" w:rsidRDefault="00DA10E5" w:rsidP="001061DF">
            <w:pPr>
              <w:widowControl w:val="0"/>
              <w:tabs>
                <w:tab w:val="decimal" w:pos="335"/>
              </w:tabs>
              <w:jc w:val="center"/>
              <w:rPr>
                <w:sz w:val="22"/>
                <w:szCs w:val="22"/>
              </w:rPr>
            </w:pPr>
          </w:p>
        </w:tc>
        <w:tc>
          <w:tcPr>
            <w:tcW w:w="819" w:type="dxa"/>
          </w:tcPr>
          <w:p w:rsidR="00DA10E5" w:rsidRPr="00F57420" w:rsidRDefault="00DA10E5" w:rsidP="00725D0F">
            <w:pPr>
              <w:jc w:val="center"/>
            </w:pPr>
            <w:r w:rsidRPr="00F57420">
              <w:t>43</w:t>
            </w:r>
          </w:p>
        </w:tc>
        <w:tc>
          <w:tcPr>
            <w:tcW w:w="729" w:type="dxa"/>
          </w:tcPr>
          <w:p w:rsidR="00DA10E5" w:rsidRPr="00F57420" w:rsidRDefault="00DA10E5" w:rsidP="00725D0F">
            <w:pPr>
              <w:jc w:val="center"/>
            </w:pPr>
            <w:r w:rsidRPr="00F57420">
              <w:t>18</w:t>
            </w:r>
          </w:p>
        </w:tc>
        <w:tc>
          <w:tcPr>
            <w:tcW w:w="704" w:type="dxa"/>
          </w:tcPr>
          <w:p w:rsidR="00DA10E5" w:rsidRPr="00F57420" w:rsidRDefault="00DA10E5" w:rsidP="00725D0F">
            <w:pPr>
              <w:jc w:val="center"/>
            </w:pPr>
            <w:r w:rsidRPr="00F57420">
              <w:t>12</w:t>
            </w:r>
          </w:p>
        </w:tc>
        <w:tc>
          <w:tcPr>
            <w:tcW w:w="428" w:type="dxa"/>
          </w:tcPr>
          <w:p w:rsidR="00DA10E5" w:rsidRPr="00F57420" w:rsidRDefault="00DA10E5" w:rsidP="00725D0F">
            <w:pPr>
              <w:widowControl w:val="0"/>
              <w:tabs>
                <w:tab w:val="decimal" w:pos="335"/>
              </w:tabs>
              <w:jc w:val="center"/>
              <w:rPr>
                <w:sz w:val="22"/>
                <w:szCs w:val="22"/>
              </w:rPr>
            </w:pPr>
          </w:p>
        </w:tc>
        <w:tc>
          <w:tcPr>
            <w:tcW w:w="652" w:type="dxa"/>
          </w:tcPr>
          <w:p w:rsidR="00DA10E5" w:rsidRPr="00F57420" w:rsidRDefault="00DA10E5" w:rsidP="00725D0F">
            <w:pPr>
              <w:jc w:val="center"/>
            </w:pPr>
            <w:r w:rsidRPr="00F57420">
              <w:t>32</w:t>
            </w:r>
          </w:p>
        </w:tc>
        <w:tc>
          <w:tcPr>
            <w:tcW w:w="651" w:type="dxa"/>
          </w:tcPr>
          <w:p w:rsidR="00DA10E5" w:rsidRPr="00F57420" w:rsidRDefault="00DA10E5" w:rsidP="00725D0F">
            <w:pPr>
              <w:jc w:val="center"/>
            </w:pPr>
            <w:r w:rsidRPr="00F57420">
              <w:t>26</w:t>
            </w:r>
          </w:p>
        </w:tc>
        <w:tc>
          <w:tcPr>
            <w:tcW w:w="699" w:type="dxa"/>
          </w:tcPr>
          <w:p w:rsidR="00DA10E5" w:rsidRPr="00F57420" w:rsidRDefault="00DA10E5" w:rsidP="00725D0F">
            <w:pPr>
              <w:jc w:val="center"/>
            </w:pPr>
            <w:r w:rsidRPr="00F57420">
              <w:t>26</w:t>
            </w:r>
          </w:p>
        </w:tc>
        <w:tc>
          <w:tcPr>
            <w:tcW w:w="478" w:type="dxa"/>
          </w:tcPr>
          <w:p w:rsidR="00DA10E5" w:rsidRPr="00F57420" w:rsidRDefault="00DA10E5" w:rsidP="007425EE">
            <w:pPr>
              <w:widowControl w:val="0"/>
              <w:tabs>
                <w:tab w:val="decimal" w:pos="335"/>
              </w:tabs>
              <w:rPr>
                <w:sz w:val="22"/>
                <w:szCs w:val="22"/>
              </w:rPr>
            </w:pPr>
          </w:p>
        </w:tc>
        <w:tc>
          <w:tcPr>
            <w:tcW w:w="692" w:type="dxa"/>
          </w:tcPr>
          <w:p w:rsidR="00DA10E5" w:rsidRPr="00F57420" w:rsidRDefault="00DA10E5" w:rsidP="001061DF">
            <w:pPr>
              <w:jc w:val="center"/>
              <w:rPr>
                <w:sz w:val="22"/>
                <w:szCs w:val="22"/>
              </w:rPr>
            </w:pPr>
          </w:p>
        </w:tc>
        <w:tc>
          <w:tcPr>
            <w:tcW w:w="651" w:type="dxa"/>
          </w:tcPr>
          <w:p w:rsidR="00DA10E5" w:rsidRPr="00F57420" w:rsidRDefault="00DA10E5" w:rsidP="001061DF">
            <w:pPr>
              <w:jc w:val="center"/>
              <w:rPr>
                <w:sz w:val="22"/>
                <w:szCs w:val="22"/>
              </w:rPr>
            </w:pPr>
          </w:p>
        </w:tc>
        <w:tc>
          <w:tcPr>
            <w:tcW w:w="699" w:type="dxa"/>
          </w:tcPr>
          <w:p w:rsidR="00DA10E5" w:rsidRPr="00F57420" w:rsidRDefault="00DA10E5" w:rsidP="001061DF">
            <w:pPr>
              <w:jc w:val="center"/>
              <w:rPr>
                <w:sz w:val="22"/>
                <w:szCs w:val="22"/>
              </w:rPr>
            </w:pPr>
          </w:p>
        </w:tc>
      </w:tr>
      <w:tr w:rsidR="00DA10E5" w:rsidRPr="00F57420">
        <w:tc>
          <w:tcPr>
            <w:tcW w:w="1373" w:type="dxa"/>
          </w:tcPr>
          <w:p w:rsidR="00DA10E5" w:rsidRPr="00F57420" w:rsidRDefault="00DA10E5" w:rsidP="001061DF">
            <w:pPr>
              <w:widowControl w:val="0"/>
              <w:rPr>
                <w:sz w:val="22"/>
                <w:szCs w:val="22"/>
              </w:rPr>
            </w:pPr>
          </w:p>
        </w:tc>
        <w:tc>
          <w:tcPr>
            <w:tcW w:w="252" w:type="dxa"/>
          </w:tcPr>
          <w:p w:rsidR="00DA10E5" w:rsidRPr="00F57420" w:rsidRDefault="00DA10E5" w:rsidP="001061DF">
            <w:pPr>
              <w:widowControl w:val="0"/>
              <w:tabs>
                <w:tab w:val="decimal" w:pos="335"/>
              </w:tabs>
              <w:jc w:val="center"/>
              <w:rPr>
                <w:sz w:val="22"/>
                <w:szCs w:val="22"/>
              </w:rPr>
            </w:pPr>
          </w:p>
        </w:tc>
        <w:tc>
          <w:tcPr>
            <w:tcW w:w="819" w:type="dxa"/>
          </w:tcPr>
          <w:p w:rsidR="00DA10E5" w:rsidRPr="00F57420" w:rsidRDefault="00DA10E5" w:rsidP="001061DF">
            <w:pPr>
              <w:jc w:val="center"/>
            </w:pPr>
          </w:p>
        </w:tc>
        <w:tc>
          <w:tcPr>
            <w:tcW w:w="729" w:type="dxa"/>
          </w:tcPr>
          <w:p w:rsidR="00DA10E5" w:rsidRPr="00F57420" w:rsidRDefault="00DA10E5" w:rsidP="001061DF">
            <w:pPr>
              <w:jc w:val="center"/>
            </w:pPr>
          </w:p>
        </w:tc>
        <w:tc>
          <w:tcPr>
            <w:tcW w:w="704" w:type="dxa"/>
          </w:tcPr>
          <w:p w:rsidR="00DA10E5" w:rsidRPr="00F57420" w:rsidRDefault="00DA10E5" w:rsidP="001061DF">
            <w:pPr>
              <w:jc w:val="center"/>
            </w:pPr>
          </w:p>
        </w:tc>
        <w:tc>
          <w:tcPr>
            <w:tcW w:w="428" w:type="dxa"/>
          </w:tcPr>
          <w:p w:rsidR="00DA10E5" w:rsidRPr="00F57420" w:rsidRDefault="00DA10E5" w:rsidP="001061DF">
            <w:pPr>
              <w:widowControl w:val="0"/>
              <w:tabs>
                <w:tab w:val="decimal" w:pos="335"/>
              </w:tabs>
              <w:jc w:val="center"/>
              <w:rPr>
                <w:sz w:val="22"/>
                <w:szCs w:val="22"/>
              </w:rPr>
            </w:pPr>
          </w:p>
        </w:tc>
        <w:tc>
          <w:tcPr>
            <w:tcW w:w="652" w:type="dxa"/>
          </w:tcPr>
          <w:p w:rsidR="00DA10E5" w:rsidRPr="00F57420" w:rsidRDefault="00DA10E5" w:rsidP="001061DF">
            <w:pPr>
              <w:jc w:val="center"/>
            </w:pPr>
          </w:p>
        </w:tc>
        <w:tc>
          <w:tcPr>
            <w:tcW w:w="651" w:type="dxa"/>
          </w:tcPr>
          <w:p w:rsidR="00DA10E5" w:rsidRPr="00F57420" w:rsidRDefault="00DA10E5" w:rsidP="001061DF">
            <w:pPr>
              <w:jc w:val="center"/>
            </w:pPr>
          </w:p>
        </w:tc>
        <w:tc>
          <w:tcPr>
            <w:tcW w:w="699" w:type="dxa"/>
          </w:tcPr>
          <w:p w:rsidR="00DA10E5" w:rsidRPr="00F57420" w:rsidRDefault="00DA10E5" w:rsidP="001061DF">
            <w:pPr>
              <w:jc w:val="center"/>
            </w:pPr>
          </w:p>
        </w:tc>
        <w:tc>
          <w:tcPr>
            <w:tcW w:w="478" w:type="dxa"/>
          </w:tcPr>
          <w:p w:rsidR="00DA10E5" w:rsidRPr="00F57420" w:rsidRDefault="00DA10E5" w:rsidP="001061DF">
            <w:pPr>
              <w:widowControl w:val="0"/>
              <w:tabs>
                <w:tab w:val="decimal" w:pos="335"/>
              </w:tabs>
              <w:jc w:val="center"/>
              <w:rPr>
                <w:sz w:val="22"/>
                <w:szCs w:val="22"/>
              </w:rPr>
            </w:pPr>
          </w:p>
        </w:tc>
        <w:tc>
          <w:tcPr>
            <w:tcW w:w="692" w:type="dxa"/>
          </w:tcPr>
          <w:p w:rsidR="00DA10E5" w:rsidRPr="00F57420" w:rsidRDefault="00DA10E5" w:rsidP="001061DF">
            <w:pPr>
              <w:jc w:val="center"/>
              <w:rPr>
                <w:sz w:val="22"/>
                <w:szCs w:val="22"/>
              </w:rPr>
            </w:pPr>
          </w:p>
        </w:tc>
        <w:tc>
          <w:tcPr>
            <w:tcW w:w="651" w:type="dxa"/>
          </w:tcPr>
          <w:p w:rsidR="00DA10E5" w:rsidRPr="00F57420" w:rsidRDefault="00DA10E5" w:rsidP="001061DF">
            <w:pPr>
              <w:jc w:val="center"/>
              <w:rPr>
                <w:sz w:val="22"/>
                <w:szCs w:val="22"/>
              </w:rPr>
            </w:pPr>
          </w:p>
        </w:tc>
        <w:tc>
          <w:tcPr>
            <w:tcW w:w="699" w:type="dxa"/>
          </w:tcPr>
          <w:p w:rsidR="00DA10E5" w:rsidRPr="00F57420" w:rsidRDefault="00DA10E5" w:rsidP="001061DF">
            <w:pPr>
              <w:jc w:val="center"/>
              <w:rPr>
                <w:sz w:val="22"/>
                <w:szCs w:val="22"/>
              </w:rPr>
            </w:pPr>
          </w:p>
        </w:tc>
      </w:tr>
    </w:tbl>
    <w:p w:rsidR="0043721E" w:rsidRDefault="00CD2A21" w:rsidP="007425EE">
      <w:pPr>
        <w:widowControl w:val="0"/>
        <w:rPr>
          <w:sz w:val="20"/>
          <w:szCs w:val="20"/>
        </w:rPr>
      </w:pPr>
      <w:r w:rsidRPr="00F57420">
        <w:rPr>
          <w:sz w:val="20"/>
          <w:szCs w:val="20"/>
        </w:rPr>
        <w:t>Note: Y-BOCS = Yale-Brown Obsessive Compulsive Scale; Rel. Faith = Religious Faith Questionnaire; OCI-R = Obsessive Compulsive Index; DOCS = Dimensional Obsessive Compulsive Scale; PIOS = Penn Inventory of Scrupulosity; BDI-</w:t>
      </w:r>
      <w:r w:rsidR="004E2844">
        <w:rPr>
          <w:sz w:val="20"/>
          <w:szCs w:val="20"/>
        </w:rPr>
        <w:t>II</w:t>
      </w:r>
      <w:r w:rsidR="004E2844" w:rsidRPr="00F57420">
        <w:rPr>
          <w:sz w:val="20"/>
          <w:szCs w:val="20"/>
        </w:rPr>
        <w:t xml:space="preserve"> </w:t>
      </w:r>
      <w:r w:rsidRPr="00F57420">
        <w:rPr>
          <w:sz w:val="20"/>
          <w:szCs w:val="20"/>
        </w:rPr>
        <w:t>= Beck Depression Inventory; QOLS = Quality of Life Survey; TAF = Thought Action Fusion Questionnaire; TAF-M = Thought Action Fusion Morality Subscale; TCQ = Thought Control Questionnaire; TEI = Treatment Evaluation Inventory-Short Form.</w:t>
      </w:r>
    </w:p>
    <w:p w:rsidR="0043721E" w:rsidRDefault="0043721E">
      <w:pPr>
        <w:rPr>
          <w:sz w:val="20"/>
          <w:szCs w:val="20"/>
        </w:rPr>
      </w:pPr>
      <w:r>
        <w:rPr>
          <w:sz w:val="20"/>
          <w:szCs w:val="20"/>
        </w:rPr>
        <w:br w:type="page"/>
      </w:r>
    </w:p>
    <w:p w:rsidR="006B59F8" w:rsidRDefault="006B59F8" w:rsidP="007425EE">
      <w:pPr>
        <w:widowControl w:val="0"/>
        <w:rPr>
          <w:rFonts w:eastAsia="Calibri"/>
        </w:rPr>
      </w:pPr>
      <w:r>
        <w:rPr>
          <w:rFonts w:eastAsia="Calibri"/>
        </w:rPr>
        <w:lastRenderedPageBreak/>
        <w:t>Figure 1</w:t>
      </w:r>
    </w:p>
    <w:p w:rsidR="005A3F2F" w:rsidRDefault="005A3F2F" w:rsidP="007425EE">
      <w:pPr>
        <w:widowControl w:val="0"/>
        <w:rPr>
          <w:rFonts w:eastAsia="Calibri"/>
        </w:rPr>
      </w:pPr>
      <w:r w:rsidRPr="005A3F2F">
        <w:rPr>
          <w:noProof/>
        </w:rPr>
        <w:drawing>
          <wp:inline distT="0" distB="0" distL="0" distR="0" wp14:anchorId="6075EA2A" wp14:editId="26A5241A">
            <wp:extent cx="5943600" cy="680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6809105"/>
                    </a:xfrm>
                    <a:prstGeom prst="rect">
                      <a:avLst/>
                    </a:prstGeom>
                  </pic:spPr>
                </pic:pic>
              </a:graphicData>
            </a:graphic>
          </wp:inline>
        </w:drawing>
      </w:r>
    </w:p>
    <w:p w:rsidR="005A3F2F" w:rsidRDefault="005A3F2F">
      <w:pPr>
        <w:rPr>
          <w:rFonts w:eastAsia="Calibri"/>
        </w:rPr>
      </w:pPr>
      <w:r>
        <w:rPr>
          <w:rFonts w:eastAsia="Calibri"/>
        </w:rPr>
        <w:br w:type="page"/>
      </w:r>
    </w:p>
    <w:p w:rsidR="005A3F2F" w:rsidRDefault="005A3F2F" w:rsidP="007425EE">
      <w:pPr>
        <w:widowControl w:val="0"/>
        <w:rPr>
          <w:rFonts w:eastAsia="Calibri"/>
        </w:rPr>
      </w:pPr>
      <w:r>
        <w:rPr>
          <w:rFonts w:eastAsia="Calibri"/>
        </w:rPr>
        <w:lastRenderedPageBreak/>
        <w:t>Figure 2</w:t>
      </w:r>
    </w:p>
    <w:p w:rsidR="005A3F2F" w:rsidRPr="00F57420" w:rsidRDefault="005A3F2F" w:rsidP="007425EE">
      <w:pPr>
        <w:widowControl w:val="0"/>
        <w:rPr>
          <w:rFonts w:eastAsia="Calibri"/>
        </w:rPr>
      </w:pPr>
      <w:r w:rsidRPr="005A3F2F">
        <w:rPr>
          <w:noProof/>
        </w:rPr>
        <w:drawing>
          <wp:inline distT="0" distB="0" distL="0" distR="0" wp14:anchorId="2866C0EE" wp14:editId="090428E1">
            <wp:extent cx="5943600" cy="6809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6809105"/>
                    </a:xfrm>
                    <a:prstGeom prst="rect">
                      <a:avLst/>
                    </a:prstGeom>
                  </pic:spPr>
                </pic:pic>
              </a:graphicData>
            </a:graphic>
          </wp:inline>
        </w:drawing>
      </w:r>
      <w:bookmarkStart w:id="0" w:name="_GoBack"/>
      <w:bookmarkEnd w:id="0"/>
    </w:p>
    <w:sectPr w:rsidR="005A3F2F" w:rsidRPr="00F57420" w:rsidSect="001659BF">
      <w:head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CC" w:rsidRDefault="00661FCC">
      <w:r>
        <w:separator/>
      </w:r>
    </w:p>
  </w:endnote>
  <w:endnote w:type="continuationSeparator" w:id="0">
    <w:p w:rsidR="00661FCC" w:rsidRDefault="0066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CC" w:rsidRDefault="00661FCC">
      <w:r>
        <w:separator/>
      </w:r>
    </w:p>
  </w:footnote>
  <w:footnote w:type="continuationSeparator" w:id="0">
    <w:p w:rsidR="00661FCC" w:rsidRDefault="0066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F3" w:rsidRPr="009F78C8" w:rsidRDefault="002621F3">
    <w:pPr>
      <w:pStyle w:val="Header"/>
      <w:jc w:val="right"/>
    </w:pPr>
    <w:r>
      <w:t xml:space="preserve">ACT for </w:t>
    </w:r>
    <w:proofErr w:type="gramStart"/>
    <w:r>
      <w:t xml:space="preserve">Scrupulosity  </w:t>
    </w:r>
    <w:proofErr w:type="gramEnd"/>
    <w:r>
      <w:fldChar w:fldCharType="begin"/>
    </w:r>
    <w:r>
      <w:instrText xml:space="preserve"> PAGE   \* MERGEFORMAT </w:instrText>
    </w:r>
    <w:r>
      <w:fldChar w:fldCharType="separate"/>
    </w:r>
    <w:r w:rsidR="00E85486">
      <w:rPr>
        <w:noProof/>
      </w:rPr>
      <w:t>29</w:t>
    </w:r>
    <w:r>
      <w:rPr>
        <w:noProof/>
      </w:rPr>
      <w:fldChar w:fldCharType="end"/>
    </w:r>
  </w:p>
  <w:p w:rsidR="002621F3" w:rsidRDefault="00262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C9220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8"/>
    <w:multiLevelType w:val="multilevel"/>
    <w:tmpl w:val="6AB073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A"/>
    <w:multiLevelType w:val="multilevel"/>
    <w:tmpl w:val="B3E287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E"/>
    <w:multiLevelType w:val="multilevel"/>
    <w:tmpl w:val="B3E287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318F6"/>
    <w:multiLevelType w:val="hybridMultilevel"/>
    <w:tmpl w:val="8B0A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E5A74"/>
    <w:multiLevelType w:val="hybridMultilevel"/>
    <w:tmpl w:val="D0D4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31228"/>
    <w:multiLevelType w:val="multilevel"/>
    <w:tmpl w:val="8DC2F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009F7"/>
    <w:multiLevelType w:val="hybridMultilevel"/>
    <w:tmpl w:val="D49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90351"/>
    <w:multiLevelType w:val="hybridMultilevel"/>
    <w:tmpl w:val="C3AE7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3B0BE4"/>
    <w:multiLevelType w:val="hybridMultilevel"/>
    <w:tmpl w:val="91C82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00CCF"/>
    <w:multiLevelType w:val="hybridMultilevel"/>
    <w:tmpl w:val="3A403124"/>
    <w:lvl w:ilvl="0" w:tplc="48F2B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269AD"/>
    <w:multiLevelType w:val="multilevel"/>
    <w:tmpl w:val="B3E287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80511"/>
    <w:multiLevelType w:val="hybridMultilevel"/>
    <w:tmpl w:val="02F0F494"/>
    <w:lvl w:ilvl="0" w:tplc="CEA40B84">
      <w:start w:val="1"/>
      <w:numFmt w:val="decimal"/>
      <w:lvlText w:val="%1."/>
      <w:lvlJc w:val="left"/>
      <w:pPr>
        <w:tabs>
          <w:tab w:val="num" w:pos="72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9E5477"/>
    <w:multiLevelType w:val="hybridMultilevel"/>
    <w:tmpl w:val="88B04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F81423E"/>
    <w:multiLevelType w:val="hybridMultilevel"/>
    <w:tmpl w:val="1DEEB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C56563"/>
    <w:multiLevelType w:val="hybridMultilevel"/>
    <w:tmpl w:val="F8940912"/>
    <w:lvl w:ilvl="0" w:tplc="48F2B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0024A"/>
    <w:multiLevelType w:val="hybridMultilevel"/>
    <w:tmpl w:val="14E61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E8486A"/>
    <w:multiLevelType w:val="hybridMultilevel"/>
    <w:tmpl w:val="AC2EE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780E12"/>
    <w:multiLevelType w:val="hybridMultilevel"/>
    <w:tmpl w:val="02F26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7E1911"/>
    <w:multiLevelType w:val="hybridMultilevel"/>
    <w:tmpl w:val="047A3CF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3F752487"/>
    <w:multiLevelType w:val="hybridMultilevel"/>
    <w:tmpl w:val="16C600DC"/>
    <w:lvl w:ilvl="0" w:tplc="48F2BD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1D3F"/>
    <w:multiLevelType w:val="hybridMultilevel"/>
    <w:tmpl w:val="53D4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90F30"/>
    <w:multiLevelType w:val="hybridMultilevel"/>
    <w:tmpl w:val="B2CE0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D1C54"/>
    <w:multiLevelType w:val="hybridMultilevel"/>
    <w:tmpl w:val="60C26A66"/>
    <w:lvl w:ilvl="0" w:tplc="AE5E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D0120"/>
    <w:multiLevelType w:val="hybridMultilevel"/>
    <w:tmpl w:val="60C26A66"/>
    <w:lvl w:ilvl="0" w:tplc="AE5E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21791"/>
    <w:multiLevelType w:val="hybridMultilevel"/>
    <w:tmpl w:val="718C6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553F3B"/>
    <w:multiLevelType w:val="hybridMultilevel"/>
    <w:tmpl w:val="F1280D72"/>
    <w:lvl w:ilvl="0" w:tplc="CEA40B84">
      <w:start w:val="1"/>
      <w:numFmt w:val="decimal"/>
      <w:lvlText w:val="%1."/>
      <w:lvlJc w:val="left"/>
      <w:pPr>
        <w:tabs>
          <w:tab w:val="num" w:pos="72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0F22A6"/>
    <w:multiLevelType w:val="hybridMultilevel"/>
    <w:tmpl w:val="C1B0F1EE"/>
    <w:lvl w:ilvl="0" w:tplc="E424F9E0">
      <w:start w:val="1"/>
      <w:numFmt w:val="bullet"/>
      <w:lvlText w:val="–"/>
      <w:lvlJc w:val="left"/>
      <w:pPr>
        <w:tabs>
          <w:tab w:val="num" w:pos="720"/>
        </w:tabs>
        <w:ind w:left="720" w:hanging="360"/>
      </w:pPr>
      <w:rPr>
        <w:rFonts w:ascii="Arial" w:hAnsi="Arial" w:hint="default"/>
      </w:rPr>
    </w:lvl>
    <w:lvl w:ilvl="1" w:tplc="B628A1BA">
      <w:start w:val="1"/>
      <w:numFmt w:val="bullet"/>
      <w:lvlText w:val="–"/>
      <w:lvlJc w:val="left"/>
      <w:pPr>
        <w:tabs>
          <w:tab w:val="num" w:pos="1440"/>
        </w:tabs>
        <w:ind w:left="1440" w:hanging="360"/>
      </w:pPr>
      <w:rPr>
        <w:rFonts w:ascii="Arial" w:hAnsi="Arial" w:hint="default"/>
      </w:rPr>
    </w:lvl>
    <w:lvl w:ilvl="2" w:tplc="C8E4626C" w:tentative="1">
      <w:start w:val="1"/>
      <w:numFmt w:val="bullet"/>
      <w:lvlText w:val="–"/>
      <w:lvlJc w:val="left"/>
      <w:pPr>
        <w:tabs>
          <w:tab w:val="num" w:pos="2160"/>
        </w:tabs>
        <w:ind w:left="2160" w:hanging="360"/>
      </w:pPr>
      <w:rPr>
        <w:rFonts w:ascii="Arial" w:hAnsi="Arial" w:hint="default"/>
      </w:rPr>
    </w:lvl>
    <w:lvl w:ilvl="3" w:tplc="2AD81860" w:tentative="1">
      <w:start w:val="1"/>
      <w:numFmt w:val="bullet"/>
      <w:lvlText w:val="–"/>
      <w:lvlJc w:val="left"/>
      <w:pPr>
        <w:tabs>
          <w:tab w:val="num" w:pos="2880"/>
        </w:tabs>
        <w:ind w:left="2880" w:hanging="360"/>
      </w:pPr>
      <w:rPr>
        <w:rFonts w:ascii="Arial" w:hAnsi="Arial" w:hint="default"/>
      </w:rPr>
    </w:lvl>
    <w:lvl w:ilvl="4" w:tplc="5F86F25E" w:tentative="1">
      <w:start w:val="1"/>
      <w:numFmt w:val="bullet"/>
      <w:lvlText w:val="–"/>
      <w:lvlJc w:val="left"/>
      <w:pPr>
        <w:tabs>
          <w:tab w:val="num" w:pos="3600"/>
        </w:tabs>
        <w:ind w:left="3600" w:hanging="360"/>
      </w:pPr>
      <w:rPr>
        <w:rFonts w:ascii="Arial" w:hAnsi="Arial" w:hint="default"/>
      </w:rPr>
    </w:lvl>
    <w:lvl w:ilvl="5" w:tplc="C50C0B7A" w:tentative="1">
      <w:start w:val="1"/>
      <w:numFmt w:val="bullet"/>
      <w:lvlText w:val="–"/>
      <w:lvlJc w:val="left"/>
      <w:pPr>
        <w:tabs>
          <w:tab w:val="num" w:pos="4320"/>
        </w:tabs>
        <w:ind w:left="4320" w:hanging="360"/>
      </w:pPr>
      <w:rPr>
        <w:rFonts w:ascii="Arial" w:hAnsi="Arial" w:hint="default"/>
      </w:rPr>
    </w:lvl>
    <w:lvl w:ilvl="6" w:tplc="BA804338" w:tentative="1">
      <w:start w:val="1"/>
      <w:numFmt w:val="bullet"/>
      <w:lvlText w:val="–"/>
      <w:lvlJc w:val="left"/>
      <w:pPr>
        <w:tabs>
          <w:tab w:val="num" w:pos="5040"/>
        </w:tabs>
        <w:ind w:left="5040" w:hanging="360"/>
      </w:pPr>
      <w:rPr>
        <w:rFonts w:ascii="Arial" w:hAnsi="Arial" w:hint="default"/>
      </w:rPr>
    </w:lvl>
    <w:lvl w:ilvl="7" w:tplc="4C304F24" w:tentative="1">
      <w:start w:val="1"/>
      <w:numFmt w:val="bullet"/>
      <w:lvlText w:val="–"/>
      <w:lvlJc w:val="left"/>
      <w:pPr>
        <w:tabs>
          <w:tab w:val="num" w:pos="5760"/>
        </w:tabs>
        <w:ind w:left="5760" w:hanging="360"/>
      </w:pPr>
      <w:rPr>
        <w:rFonts w:ascii="Arial" w:hAnsi="Arial" w:hint="default"/>
      </w:rPr>
    </w:lvl>
    <w:lvl w:ilvl="8" w:tplc="6926370E" w:tentative="1">
      <w:start w:val="1"/>
      <w:numFmt w:val="bullet"/>
      <w:lvlText w:val="–"/>
      <w:lvlJc w:val="left"/>
      <w:pPr>
        <w:tabs>
          <w:tab w:val="num" w:pos="6480"/>
        </w:tabs>
        <w:ind w:left="6480" w:hanging="360"/>
      </w:pPr>
      <w:rPr>
        <w:rFonts w:ascii="Arial" w:hAnsi="Arial" w:hint="default"/>
      </w:rPr>
    </w:lvl>
  </w:abstractNum>
  <w:abstractNum w:abstractNumId="28">
    <w:nsid w:val="5FD409A3"/>
    <w:multiLevelType w:val="hybridMultilevel"/>
    <w:tmpl w:val="BF70BC4C"/>
    <w:lvl w:ilvl="0" w:tplc="48F2B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F32C9"/>
    <w:multiLevelType w:val="hybridMultilevel"/>
    <w:tmpl w:val="286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23FEA"/>
    <w:multiLevelType w:val="hybridMultilevel"/>
    <w:tmpl w:val="175C9622"/>
    <w:lvl w:ilvl="0" w:tplc="0854D4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71137"/>
    <w:multiLevelType w:val="hybridMultilevel"/>
    <w:tmpl w:val="3C783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53D55"/>
    <w:multiLevelType w:val="hybridMultilevel"/>
    <w:tmpl w:val="5170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DD6C0C"/>
    <w:multiLevelType w:val="multilevel"/>
    <w:tmpl w:val="2C3A31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C0E7C7A"/>
    <w:multiLevelType w:val="hybridMultilevel"/>
    <w:tmpl w:val="514A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0E3671"/>
    <w:multiLevelType w:val="multilevel"/>
    <w:tmpl w:val="A57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5C3772"/>
    <w:multiLevelType w:val="hybridMultilevel"/>
    <w:tmpl w:val="9810398A"/>
    <w:lvl w:ilvl="0" w:tplc="CF382F5C">
      <w:start w:val="1"/>
      <w:numFmt w:val="bullet"/>
      <w:lvlText w:val="–"/>
      <w:lvlJc w:val="left"/>
      <w:pPr>
        <w:tabs>
          <w:tab w:val="num" w:pos="720"/>
        </w:tabs>
        <w:ind w:left="720" w:hanging="360"/>
      </w:pPr>
      <w:rPr>
        <w:rFonts w:ascii="Arial" w:hAnsi="Arial" w:hint="default"/>
      </w:rPr>
    </w:lvl>
    <w:lvl w:ilvl="1" w:tplc="3B6061B2">
      <w:start w:val="1"/>
      <w:numFmt w:val="bullet"/>
      <w:lvlText w:val="–"/>
      <w:lvlJc w:val="left"/>
      <w:pPr>
        <w:tabs>
          <w:tab w:val="num" w:pos="1440"/>
        </w:tabs>
        <w:ind w:left="1440" w:hanging="360"/>
      </w:pPr>
      <w:rPr>
        <w:rFonts w:ascii="Arial" w:hAnsi="Arial" w:hint="default"/>
      </w:rPr>
    </w:lvl>
    <w:lvl w:ilvl="2" w:tplc="6220E1E6" w:tentative="1">
      <w:start w:val="1"/>
      <w:numFmt w:val="bullet"/>
      <w:lvlText w:val="–"/>
      <w:lvlJc w:val="left"/>
      <w:pPr>
        <w:tabs>
          <w:tab w:val="num" w:pos="2160"/>
        </w:tabs>
        <w:ind w:left="2160" w:hanging="360"/>
      </w:pPr>
      <w:rPr>
        <w:rFonts w:ascii="Arial" w:hAnsi="Arial" w:hint="default"/>
      </w:rPr>
    </w:lvl>
    <w:lvl w:ilvl="3" w:tplc="EB8878D4" w:tentative="1">
      <w:start w:val="1"/>
      <w:numFmt w:val="bullet"/>
      <w:lvlText w:val="–"/>
      <w:lvlJc w:val="left"/>
      <w:pPr>
        <w:tabs>
          <w:tab w:val="num" w:pos="2880"/>
        </w:tabs>
        <w:ind w:left="2880" w:hanging="360"/>
      </w:pPr>
      <w:rPr>
        <w:rFonts w:ascii="Arial" w:hAnsi="Arial" w:hint="default"/>
      </w:rPr>
    </w:lvl>
    <w:lvl w:ilvl="4" w:tplc="C5F4D5AC" w:tentative="1">
      <w:start w:val="1"/>
      <w:numFmt w:val="bullet"/>
      <w:lvlText w:val="–"/>
      <w:lvlJc w:val="left"/>
      <w:pPr>
        <w:tabs>
          <w:tab w:val="num" w:pos="3600"/>
        </w:tabs>
        <w:ind w:left="3600" w:hanging="360"/>
      </w:pPr>
      <w:rPr>
        <w:rFonts w:ascii="Arial" w:hAnsi="Arial" w:hint="default"/>
      </w:rPr>
    </w:lvl>
    <w:lvl w:ilvl="5" w:tplc="E22E7CA8" w:tentative="1">
      <w:start w:val="1"/>
      <w:numFmt w:val="bullet"/>
      <w:lvlText w:val="–"/>
      <w:lvlJc w:val="left"/>
      <w:pPr>
        <w:tabs>
          <w:tab w:val="num" w:pos="4320"/>
        </w:tabs>
        <w:ind w:left="4320" w:hanging="360"/>
      </w:pPr>
      <w:rPr>
        <w:rFonts w:ascii="Arial" w:hAnsi="Arial" w:hint="default"/>
      </w:rPr>
    </w:lvl>
    <w:lvl w:ilvl="6" w:tplc="C7B05D2C" w:tentative="1">
      <w:start w:val="1"/>
      <w:numFmt w:val="bullet"/>
      <w:lvlText w:val="–"/>
      <w:lvlJc w:val="left"/>
      <w:pPr>
        <w:tabs>
          <w:tab w:val="num" w:pos="5040"/>
        </w:tabs>
        <w:ind w:left="5040" w:hanging="360"/>
      </w:pPr>
      <w:rPr>
        <w:rFonts w:ascii="Arial" w:hAnsi="Arial" w:hint="default"/>
      </w:rPr>
    </w:lvl>
    <w:lvl w:ilvl="7" w:tplc="B6CE7AA4" w:tentative="1">
      <w:start w:val="1"/>
      <w:numFmt w:val="bullet"/>
      <w:lvlText w:val="–"/>
      <w:lvlJc w:val="left"/>
      <w:pPr>
        <w:tabs>
          <w:tab w:val="num" w:pos="5760"/>
        </w:tabs>
        <w:ind w:left="5760" w:hanging="360"/>
      </w:pPr>
      <w:rPr>
        <w:rFonts w:ascii="Arial" w:hAnsi="Arial" w:hint="default"/>
      </w:rPr>
    </w:lvl>
    <w:lvl w:ilvl="8" w:tplc="653C29C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3"/>
  </w:num>
  <w:num w:numId="3">
    <w:abstractNumId w:val="19"/>
  </w:num>
  <w:num w:numId="4">
    <w:abstractNumId w:val="5"/>
  </w:num>
  <w:num w:numId="5">
    <w:abstractNumId w:val="8"/>
  </w:num>
  <w:num w:numId="6">
    <w:abstractNumId w:val="6"/>
  </w:num>
  <w:num w:numId="7">
    <w:abstractNumId w:val="35"/>
  </w:num>
  <w:num w:numId="8">
    <w:abstractNumId w:val="7"/>
  </w:num>
  <w:num w:numId="9">
    <w:abstractNumId w:val="4"/>
  </w:num>
  <w:num w:numId="10">
    <w:abstractNumId w:val="30"/>
  </w:num>
  <w:num w:numId="11">
    <w:abstractNumId w:val="32"/>
  </w:num>
  <w:num w:numId="12">
    <w:abstractNumId w:val="18"/>
  </w:num>
  <w:num w:numId="13">
    <w:abstractNumId w:val="17"/>
  </w:num>
  <w:num w:numId="14">
    <w:abstractNumId w:val="34"/>
  </w:num>
  <w:num w:numId="15">
    <w:abstractNumId w:val="25"/>
  </w:num>
  <w:num w:numId="16">
    <w:abstractNumId w:val="36"/>
  </w:num>
  <w:num w:numId="17">
    <w:abstractNumId w:val="27"/>
  </w:num>
  <w:num w:numId="18">
    <w:abstractNumId w:val="12"/>
  </w:num>
  <w:num w:numId="19">
    <w:abstractNumId w:val="26"/>
  </w:num>
  <w:num w:numId="20">
    <w:abstractNumId w:val="0"/>
  </w:num>
  <w:num w:numId="21">
    <w:abstractNumId w:val="1"/>
  </w:num>
  <w:num w:numId="22">
    <w:abstractNumId w:val="2"/>
  </w:num>
  <w:num w:numId="23">
    <w:abstractNumId w:val="3"/>
  </w:num>
  <w:num w:numId="24">
    <w:abstractNumId w:val="29"/>
  </w:num>
  <w:num w:numId="25">
    <w:abstractNumId w:val="11"/>
  </w:num>
  <w:num w:numId="26">
    <w:abstractNumId w:val="16"/>
  </w:num>
  <w:num w:numId="27">
    <w:abstractNumId w:val="22"/>
  </w:num>
  <w:num w:numId="28">
    <w:abstractNumId w:val="15"/>
  </w:num>
  <w:num w:numId="29">
    <w:abstractNumId w:val="28"/>
  </w:num>
  <w:num w:numId="30">
    <w:abstractNumId w:val="10"/>
  </w:num>
  <w:num w:numId="31">
    <w:abstractNumId w:val="20"/>
  </w:num>
  <w:num w:numId="32">
    <w:abstractNumId w:val="31"/>
  </w:num>
  <w:num w:numId="33">
    <w:abstractNumId w:val="9"/>
  </w:num>
  <w:num w:numId="34">
    <w:abstractNumId w:val="14"/>
  </w:num>
  <w:num w:numId="35">
    <w:abstractNumId w:val="21"/>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y EndNote Library.enl&lt;/item&gt;&lt;/Libraries&gt;&lt;/ENLibraries&gt;"/>
  </w:docVars>
  <w:rsids>
    <w:rsidRoot w:val="00C51D85"/>
    <w:rsid w:val="00000385"/>
    <w:rsid w:val="00000DEB"/>
    <w:rsid w:val="000034BD"/>
    <w:rsid w:val="00004F2D"/>
    <w:rsid w:val="000066A6"/>
    <w:rsid w:val="00007B5E"/>
    <w:rsid w:val="00007C39"/>
    <w:rsid w:val="00024C6E"/>
    <w:rsid w:val="00025AFB"/>
    <w:rsid w:val="000306AF"/>
    <w:rsid w:val="00034C92"/>
    <w:rsid w:val="000425AA"/>
    <w:rsid w:val="00043F53"/>
    <w:rsid w:val="00056246"/>
    <w:rsid w:val="0005782B"/>
    <w:rsid w:val="0006596D"/>
    <w:rsid w:val="00071324"/>
    <w:rsid w:val="000745DC"/>
    <w:rsid w:val="0008081D"/>
    <w:rsid w:val="000843F2"/>
    <w:rsid w:val="00084E45"/>
    <w:rsid w:val="00086679"/>
    <w:rsid w:val="00087EF6"/>
    <w:rsid w:val="000A0A1C"/>
    <w:rsid w:val="000A5174"/>
    <w:rsid w:val="000C0910"/>
    <w:rsid w:val="000C16AE"/>
    <w:rsid w:val="000D4AF6"/>
    <w:rsid w:val="000E097A"/>
    <w:rsid w:val="000E16AF"/>
    <w:rsid w:val="00103750"/>
    <w:rsid w:val="001061DF"/>
    <w:rsid w:val="00111360"/>
    <w:rsid w:val="00112DC4"/>
    <w:rsid w:val="00122834"/>
    <w:rsid w:val="00136040"/>
    <w:rsid w:val="00136A0D"/>
    <w:rsid w:val="00140CC5"/>
    <w:rsid w:val="001475FA"/>
    <w:rsid w:val="001476BC"/>
    <w:rsid w:val="0015086B"/>
    <w:rsid w:val="00152204"/>
    <w:rsid w:val="001536F6"/>
    <w:rsid w:val="00153765"/>
    <w:rsid w:val="00155B17"/>
    <w:rsid w:val="00157918"/>
    <w:rsid w:val="00163484"/>
    <w:rsid w:val="00165026"/>
    <w:rsid w:val="001659BF"/>
    <w:rsid w:val="00166BAA"/>
    <w:rsid w:val="00170752"/>
    <w:rsid w:val="00174A75"/>
    <w:rsid w:val="001752C8"/>
    <w:rsid w:val="00176775"/>
    <w:rsid w:val="001909E0"/>
    <w:rsid w:val="00192CF0"/>
    <w:rsid w:val="00193387"/>
    <w:rsid w:val="00194BE0"/>
    <w:rsid w:val="0019527D"/>
    <w:rsid w:val="00196658"/>
    <w:rsid w:val="001A1CD5"/>
    <w:rsid w:val="001A1EC4"/>
    <w:rsid w:val="001A2D52"/>
    <w:rsid w:val="001A5CEE"/>
    <w:rsid w:val="001A7926"/>
    <w:rsid w:val="001B273E"/>
    <w:rsid w:val="001B6D66"/>
    <w:rsid w:val="001C0944"/>
    <w:rsid w:val="001C0A8B"/>
    <w:rsid w:val="001C0E5B"/>
    <w:rsid w:val="001D124F"/>
    <w:rsid w:val="001D355E"/>
    <w:rsid w:val="001D4DAE"/>
    <w:rsid w:val="001E1994"/>
    <w:rsid w:val="001E2FBD"/>
    <w:rsid w:val="001F33A3"/>
    <w:rsid w:val="00203C29"/>
    <w:rsid w:val="002041FB"/>
    <w:rsid w:val="002121E9"/>
    <w:rsid w:val="00213571"/>
    <w:rsid w:val="00216534"/>
    <w:rsid w:val="00220374"/>
    <w:rsid w:val="00220BFE"/>
    <w:rsid w:val="00223BBC"/>
    <w:rsid w:val="002256C4"/>
    <w:rsid w:val="00230CA9"/>
    <w:rsid w:val="00231B98"/>
    <w:rsid w:val="00241FB9"/>
    <w:rsid w:val="00243B84"/>
    <w:rsid w:val="002471BF"/>
    <w:rsid w:val="002571F3"/>
    <w:rsid w:val="00257493"/>
    <w:rsid w:val="00261B81"/>
    <w:rsid w:val="002621F3"/>
    <w:rsid w:val="00263AE2"/>
    <w:rsid w:val="00264959"/>
    <w:rsid w:val="00264B0E"/>
    <w:rsid w:val="002712CD"/>
    <w:rsid w:val="00271565"/>
    <w:rsid w:val="00272ACE"/>
    <w:rsid w:val="00273AB4"/>
    <w:rsid w:val="00276DE8"/>
    <w:rsid w:val="00280675"/>
    <w:rsid w:val="00284FFE"/>
    <w:rsid w:val="0029052B"/>
    <w:rsid w:val="00291E7F"/>
    <w:rsid w:val="00292B91"/>
    <w:rsid w:val="00292D03"/>
    <w:rsid w:val="002A50EE"/>
    <w:rsid w:val="002A5696"/>
    <w:rsid w:val="002B285C"/>
    <w:rsid w:val="002C2FDB"/>
    <w:rsid w:val="002D2253"/>
    <w:rsid w:val="002D5DC7"/>
    <w:rsid w:val="002D7043"/>
    <w:rsid w:val="002E455C"/>
    <w:rsid w:val="002F5AC7"/>
    <w:rsid w:val="002F619A"/>
    <w:rsid w:val="0030024D"/>
    <w:rsid w:val="00300F75"/>
    <w:rsid w:val="00302D25"/>
    <w:rsid w:val="0030346B"/>
    <w:rsid w:val="003044C8"/>
    <w:rsid w:val="00310BF9"/>
    <w:rsid w:val="003120D7"/>
    <w:rsid w:val="003122EB"/>
    <w:rsid w:val="00315AFC"/>
    <w:rsid w:val="003162FC"/>
    <w:rsid w:val="00316838"/>
    <w:rsid w:val="003218C5"/>
    <w:rsid w:val="00323874"/>
    <w:rsid w:val="003254C0"/>
    <w:rsid w:val="003264AA"/>
    <w:rsid w:val="00331521"/>
    <w:rsid w:val="00335C8B"/>
    <w:rsid w:val="00351C13"/>
    <w:rsid w:val="00361DA7"/>
    <w:rsid w:val="00362FCC"/>
    <w:rsid w:val="0037375C"/>
    <w:rsid w:val="0037511B"/>
    <w:rsid w:val="00380643"/>
    <w:rsid w:val="00381A1B"/>
    <w:rsid w:val="00383E8A"/>
    <w:rsid w:val="00385E7C"/>
    <w:rsid w:val="00394F21"/>
    <w:rsid w:val="003A09DA"/>
    <w:rsid w:val="003A1D6A"/>
    <w:rsid w:val="003B40AE"/>
    <w:rsid w:val="003C548D"/>
    <w:rsid w:val="003C60A2"/>
    <w:rsid w:val="003C73AA"/>
    <w:rsid w:val="003D1303"/>
    <w:rsid w:val="003D2668"/>
    <w:rsid w:val="003D378F"/>
    <w:rsid w:val="003D37C5"/>
    <w:rsid w:val="003D719E"/>
    <w:rsid w:val="003D7304"/>
    <w:rsid w:val="003E2F2D"/>
    <w:rsid w:val="003E32C2"/>
    <w:rsid w:val="003F1A9F"/>
    <w:rsid w:val="003F7E7B"/>
    <w:rsid w:val="0040449C"/>
    <w:rsid w:val="0041564D"/>
    <w:rsid w:val="00421984"/>
    <w:rsid w:val="004236FC"/>
    <w:rsid w:val="0042483F"/>
    <w:rsid w:val="00434374"/>
    <w:rsid w:val="00436DEF"/>
    <w:rsid w:val="0043721E"/>
    <w:rsid w:val="00437B24"/>
    <w:rsid w:val="00443B41"/>
    <w:rsid w:val="00447315"/>
    <w:rsid w:val="004532A6"/>
    <w:rsid w:val="00455B04"/>
    <w:rsid w:val="00461D01"/>
    <w:rsid w:val="00463B30"/>
    <w:rsid w:val="00470DF1"/>
    <w:rsid w:val="00473FEF"/>
    <w:rsid w:val="00475B92"/>
    <w:rsid w:val="00477BEC"/>
    <w:rsid w:val="00490D31"/>
    <w:rsid w:val="00493FEF"/>
    <w:rsid w:val="004951B0"/>
    <w:rsid w:val="004A1320"/>
    <w:rsid w:val="004A321E"/>
    <w:rsid w:val="004B110E"/>
    <w:rsid w:val="004B1A83"/>
    <w:rsid w:val="004B389D"/>
    <w:rsid w:val="004B4FD6"/>
    <w:rsid w:val="004C15CC"/>
    <w:rsid w:val="004C1C0D"/>
    <w:rsid w:val="004C2C7D"/>
    <w:rsid w:val="004D252E"/>
    <w:rsid w:val="004E074A"/>
    <w:rsid w:val="004E2844"/>
    <w:rsid w:val="005017E1"/>
    <w:rsid w:val="00511521"/>
    <w:rsid w:val="00515FD8"/>
    <w:rsid w:val="00517896"/>
    <w:rsid w:val="00521771"/>
    <w:rsid w:val="00527981"/>
    <w:rsid w:val="00527D53"/>
    <w:rsid w:val="00541CFC"/>
    <w:rsid w:val="005445FB"/>
    <w:rsid w:val="00544DE4"/>
    <w:rsid w:val="00544E38"/>
    <w:rsid w:val="005538E8"/>
    <w:rsid w:val="00556233"/>
    <w:rsid w:val="00562F29"/>
    <w:rsid w:val="0056576D"/>
    <w:rsid w:val="0057163A"/>
    <w:rsid w:val="0057178A"/>
    <w:rsid w:val="00571E32"/>
    <w:rsid w:val="00575ADA"/>
    <w:rsid w:val="00580066"/>
    <w:rsid w:val="00585962"/>
    <w:rsid w:val="00596CA6"/>
    <w:rsid w:val="005A3F2F"/>
    <w:rsid w:val="005A5949"/>
    <w:rsid w:val="005A5DE3"/>
    <w:rsid w:val="005A6B2B"/>
    <w:rsid w:val="005B0856"/>
    <w:rsid w:val="005C6C77"/>
    <w:rsid w:val="005D0B50"/>
    <w:rsid w:val="005D6895"/>
    <w:rsid w:val="005D68D9"/>
    <w:rsid w:val="005D7DCF"/>
    <w:rsid w:val="005E01C1"/>
    <w:rsid w:val="005E2F74"/>
    <w:rsid w:val="005F5CF4"/>
    <w:rsid w:val="00605BBB"/>
    <w:rsid w:val="00610EC4"/>
    <w:rsid w:val="006162F5"/>
    <w:rsid w:val="0061644E"/>
    <w:rsid w:val="006202FE"/>
    <w:rsid w:val="00624CFF"/>
    <w:rsid w:val="00633ADC"/>
    <w:rsid w:val="00634D1E"/>
    <w:rsid w:val="00651D86"/>
    <w:rsid w:val="00655CA5"/>
    <w:rsid w:val="00655E58"/>
    <w:rsid w:val="00661FCC"/>
    <w:rsid w:val="00665543"/>
    <w:rsid w:val="00666739"/>
    <w:rsid w:val="006851E0"/>
    <w:rsid w:val="00691AEC"/>
    <w:rsid w:val="0069316B"/>
    <w:rsid w:val="00695232"/>
    <w:rsid w:val="006953D8"/>
    <w:rsid w:val="006972D9"/>
    <w:rsid w:val="006A4A29"/>
    <w:rsid w:val="006B03F7"/>
    <w:rsid w:val="006B59F8"/>
    <w:rsid w:val="006B6794"/>
    <w:rsid w:val="006D776A"/>
    <w:rsid w:val="006E12B4"/>
    <w:rsid w:val="006F55F1"/>
    <w:rsid w:val="00707822"/>
    <w:rsid w:val="007105A9"/>
    <w:rsid w:val="00712A15"/>
    <w:rsid w:val="0071543A"/>
    <w:rsid w:val="0071689A"/>
    <w:rsid w:val="00716B6E"/>
    <w:rsid w:val="0072139C"/>
    <w:rsid w:val="0072249B"/>
    <w:rsid w:val="00724E40"/>
    <w:rsid w:val="00725001"/>
    <w:rsid w:val="00725D0F"/>
    <w:rsid w:val="00730608"/>
    <w:rsid w:val="00734217"/>
    <w:rsid w:val="00735CB5"/>
    <w:rsid w:val="00740741"/>
    <w:rsid w:val="007425EE"/>
    <w:rsid w:val="007435C8"/>
    <w:rsid w:val="00745BD1"/>
    <w:rsid w:val="00755676"/>
    <w:rsid w:val="0076151E"/>
    <w:rsid w:val="0076270B"/>
    <w:rsid w:val="00766A96"/>
    <w:rsid w:val="007676D5"/>
    <w:rsid w:val="00772634"/>
    <w:rsid w:val="0078094C"/>
    <w:rsid w:val="0078160D"/>
    <w:rsid w:val="007831D8"/>
    <w:rsid w:val="0078513B"/>
    <w:rsid w:val="007906ED"/>
    <w:rsid w:val="00795E3B"/>
    <w:rsid w:val="007973B8"/>
    <w:rsid w:val="007A64AA"/>
    <w:rsid w:val="007A67C8"/>
    <w:rsid w:val="007B272F"/>
    <w:rsid w:val="007B3B6D"/>
    <w:rsid w:val="007C3A31"/>
    <w:rsid w:val="007C7639"/>
    <w:rsid w:val="007D38E0"/>
    <w:rsid w:val="007D69FA"/>
    <w:rsid w:val="007E1BE6"/>
    <w:rsid w:val="007E2130"/>
    <w:rsid w:val="007E3B5D"/>
    <w:rsid w:val="007E49DE"/>
    <w:rsid w:val="007E4AA3"/>
    <w:rsid w:val="007E4D9C"/>
    <w:rsid w:val="007E5FE6"/>
    <w:rsid w:val="0080211D"/>
    <w:rsid w:val="00806AFA"/>
    <w:rsid w:val="008071C3"/>
    <w:rsid w:val="0083459C"/>
    <w:rsid w:val="00834F44"/>
    <w:rsid w:val="0084155F"/>
    <w:rsid w:val="00844350"/>
    <w:rsid w:val="00847A11"/>
    <w:rsid w:val="00852ACC"/>
    <w:rsid w:val="00853442"/>
    <w:rsid w:val="008623CB"/>
    <w:rsid w:val="008641BD"/>
    <w:rsid w:val="00870A56"/>
    <w:rsid w:val="00871B99"/>
    <w:rsid w:val="00876DE3"/>
    <w:rsid w:val="00880040"/>
    <w:rsid w:val="00887030"/>
    <w:rsid w:val="008916F6"/>
    <w:rsid w:val="00892CC0"/>
    <w:rsid w:val="008939F0"/>
    <w:rsid w:val="008A6880"/>
    <w:rsid w:val="008A6B9A"/>
    <w:rsid w:val="008B340B"/>
    <w:rsid w:val="008B506E"/>
    <w:rsid w:val="008C7924"/>
    <w:rsid w:val="008D1154"/>
    <w:rsid w:val="008D5D3E"/>
    <w:rsid w:val="008E18ED"/>
    <w:rsid w:val="008E5863"/>
    <w:rsid w:val="008F2996"/>
    <w:rsid w:val="00902528"/>
    <w:rsid w:val="00910F49"/>
    <w:rsid w:val="0091427D"/>
    <w:rsid w:val="009264FE"/>
    <w:rsid w:val="0092708E"/>
    <w:rsid w:val="00927B71"/>
    <w:rsid w:val="00941763"/>
    <w:rsid w:val="0094416A"/>
    <w:rsid w:val="00944E10"/>
    <w:rsid w:val="00946BE8"/>
    <w:rsid w:val="00951833"/>
    <w:rsid w:val="009533D5"/>
    <w:rsid w:val="00954844"/>
    <w:rsid w:val="0095745C"/>
    <w:rsid w:val="00961A57"/>
    <w:rsid w:val="009706D7"/>
    <w:rsid w:val="00974410"/>
    <w:rsid w:val="00975782"/>
    <w:rsid w:val="00977724"/>
    <w:rsid w:val="00980C00"/>
    <w:rsid w:val="00982CDB"/>
    <w:rsid w:val="009830C8"/>
    <w:rsid w:val="009835D9"/>
    <w:rsid w:val="00985DB9"/>
    <w:rsid w:val="00986A72"/>
    <w:rsid w:val="009876C4"/>
    <w:rsid w:val="009947AD"/>
    <w:rsid w:val="00997DA6"/>
    <w:rsid w:val="009A4705"/>
    <w:rsid w:val="009B0E37"/>
    <w:rsid w:val="009B47F2"/>
    <w:rsid w:val="009B4F87"/>
    <w:rsid w:val="009C4E6B"/>
    <w:rsid w:val="009C559E"/>
    <w:rsid w:val="009C6FA7"/>
    <w:rsid w:val="009C7032"/>
    <w:rsid w:val="009C7B4F"/>
    <w:rsid w:val="009D5CA1"/>
    <w:rsid w:val="009D764C"/>
    <w:rsid w:val="009E02AC"/>
    <w:rsid w:val="009E2CB3"/>
    <w:rsid w:val="009E3427"/>
    <w:rsid w:val="009E4B15"/>
    <w:rsid w:val="009E59E4"/>
    <w:rsid w:val="009E6F76"/>
    <w:rsid w:val="009F1238"/>
    <w:rsid w:val="009F12F4"/>
    <w:rsid w:val="009F22CD"/>
    <w:rsid w:val="009F41B8"/>
    <w:rsid w:val="009F5E61"/>
    <w:rsid w:val="009F78C8"/>
    <w:rsid w:val="00A0099F"/>
    <w:rsid w:val="00A04630"/>
    <w:rsid w:val="00A135C0"/>
    <w:rsid w:val="00A2422F"/>
    <w:rsid w:val="00A269F8"/>
    <w:rsid w:val="00A3036D"/>
    <w:rsid w:val="00A32B3D"/>
    <w:rsid w:val="00A33478"/>
    <w:rsid w:val="00A33A3C"/>
    <w:rsid w:val="00A35A7D"/>
    <w:rsid w:val="00A372BE"/>
    <w:rsid w:val="00A42059"/>
    <w:rsid w:val="00A51538"/>
    <w:rsid w:val="00A53BCC"/>
    <w:rsid w:val="00A53CF6"/>
    <w:rsid w:val="00A5415B"/>
    <w:rsid w:val="00A54E76"/>
    <w:rsid w:val="00A616B7"/>
    <w:rsid w:val="00A74B10"/>
    <w:rsid w:val="00A74EB7"/>
    <w:rsid w:val="00A75601"/>
    <w:rsid w:val="00A84E88"/>
    <w:rsid w:val="00A85242"/>
    <w:rsid w:val="00A85A82"/>
    <w:rsid w:val="00A864D2"/>
    <w:rsid w:val="00A944FB"/>
    <w:rsid w:val="00A9717F"/>
    <w:rsid w:val="00AA2D58"/>
    <w:rsid w:val="00AB4CDE"/>
    <w:rsid w:val="00AB7899"/>
    <w:rsid w:val="00AC1C4A"/>
    <w:rsid w:val="00AC65EB"/>
    <w:rsid w:val="00AC793E"/>
    <w:rsid w:val="00AD2204"/>
    <w:rsid w:val="00AD5D07"/>
    <w:rsid w:val="00AD73ED"/>
    <w:rsid w:val="00AD78E4"/>
    <w:rsid w:val="00AE0C0E"/>
    <w:rsid w:val="00AF07C8"/>
    <w:rsid w:val="00AF3553"/>
    <w:rsid w:val="00B007AC"/>
    <w:rsid w:val="00B03FCB"/>
    <w:rsid w:val="00B04289"/>
    <w:rsid w:val="00B05EC7"/>
    <w:rsid w:val="00B130C3"/>
    <w:rsid w:val="00B348FD"/>
    <w:rsid w:val="00B5184A"/>
    <w:rsid w:val="00B52063"/>
    <w:rsid w:val="00B55386"/>
    <w:rsid w:val="00B56730"/>
    <w:rsid w:val="00B5702F"/>
    <w:rsid w:val="00B64483"/>
    <w:rsid w:val="00B667D7"/>
    <w:rsid w:val="00B7018E"/>
    <w:rsid w:val="00B7234A"/>
    <w:rsid w:val="00B73AA0"/>
    <w:rsid w:val="00B74B86"/>
    <w:rsid w:val="00B80EE4"/>
    <w:rsid w:val="00B83E6A"/>
    <w:rsid w:val="00B83FF7"/>
    <w:rsid w:val="00B85A16"/>
    <w:rsid w:val="00B85C66"/>
    <w:rsid w:val="00B86439"/>
    <w:rsid w:val="00B868BD"/>
    <w:rsid w:val="00B96449"/>
    <w:rsid w:val="00B96CFE"/>
    <w:rsid w:val="00BA1346"/>
    <w:rsid w:val="00BA2C64"/>
    <w:rsid w:val="00BA32C7"/>
    <w:rsid w:val="00BB1394"/>
    <w:rsid w:val="00BB4326"/>
    <w:rsid w:val="00BB518E"/>
    <w:rsid w:val="00BB6DF6"/>
    <w:rsid w:val="00BB7FBE"/>
    <w:rsid w:val="00BC5792"/>
    <w:rsid w:val="00BD4CE8"/>
    <w:rsid w:val="00BD7DD5"/>
    <w:rsid w:val="00BD7F29"/>
    <w:rsid w:val="00BE199C"/>
    <w:rsid w:val="00BE1B06"/>
    <w:rsid w:val="00BE4B46"/>
    <w:rsid w:val="00BE674E"/>
    <w:rsid w:val="00BF018D"/>
    <w:rsid w:val="00BF6250"/>
    <w:rsid w:val="00BF7955"/>
    <w:rsid w:val="00C00117"/>
    <w:rsid w:val="00C04277"/>
    <w:rsid w:val="00C06CF2"/>
    <w:rsid w:val="00C13071"/>
    <w:rsid w:val="00C1608F"/>
    <w:rsid w:val="00C162FC"/>
    <w:rsid w:val="00C20137"/>
    <w:rsid w:val="00C3482E"/>
    <w:rsid w:val="00C42899"/>
    <w:rsid w:val="00C4607A"/>
    <w:rsid w:val="00C47759"/>
    <w:rsid w:val="00C51D85"/>
    <w:rsid w:val="00C53C88"/>
    <w:rsid w:val="00C60E96"/>
    <w:rsid w:val="00C63F16"/>
    <w:rsid w:val="00C64C88"/>
    <w:rsid w:val="00C65A5D"/>
    <w:rsid w:val="00C67FCB"/>
    <w:rsid w:val="00C744CF"/>
    <w:rsid w:val="00C75D39"/>
    <w:rsid w:val="00C8541D"/>
    <w:rsid w:val="00C8729A"/>
    <w:rsid w:val="00C90956"/>
    <w:rsid w:val="00C9104A"/>
    <w:rsid w:val="00C977FD"/>
    <w:rsid w:val="00CA1E4C"/>
    <w:rsid w:val="00CB2780"/>
    <w:rsid w:val="00CB2F74"/>
    <w:rsid w:val="00CB369A"/>
    <w:rsid w:val="00CB5626"/>
    <w:rsid w:val="00CC056C"/>
    <w:rsid w:val="00CC0570"/>
    <w:rsid w:val="00CC6AA5"/>
    <w:rsid w:val="00CD1088"/>
    <w:rsid w:val="00CD1C73"/>
    <w:rsid w:val="00CD2340"/>
    <w:rsid w:val="00CD2A21"/>
    <w:rsid w:val="00CD3044"/>
    <w:rsid w:val="00CE1A82"/>
    <w:rsid w:val="00CF34C2"/>
    <w:rsid w:val="00CF4EAF"/>
    <w:rsid w:val="00D06EAB"/>
    <w:rsid w:val="00D0770D"/>
    <w:rsid w:val="00D15AD1"/>
    <w:rsid w:val="00D21931"/>
    <w:rsid w:val="00D26443"/>
    <w:rsid w:val="00D304FB"/>
    <w:rsid w:val="00D3117D"/>
    <w:rsid w:val="00D35E05"/>
    <w:rsid w:val="00D437E0"/>
    <w:rsid w:val="00D44661"/>
    <w:rsid w:val="00D45D47"/>
    <w:rsid w:val="00D474C4"/>
    <w:rsid w:val="00D544C3"/>
    <w:rsid w:val="00D57167"/>
    <w:rsid w:val="00D60856"/>
    <w:rsid w:val="00D626B9"/>
    <w:rsid w:val="00D629DE"/>
    <w:rsid w:val="00D70B80"/>
    <w:rsid w:val="00D7372D"/>
    <w:rsid w:val="00D74302"/>
    <w:rsid w:val="00D75639"/>
    <w:rsid w:val="00D8693C"/>
    <w:rsid w:val="00DA10E5"/>
    <w:rsid w:val="00DA20F9"/>
    <w:rsid w:val="00DA2AB2"/>
    <w:rsid w:val="00DA3DE2"/>
    <w:rsid w:val="00DB0AF4"/>
    <w:rsid w:val="00DB32B8"/>
    <w:rsid w:val="00DB436A"/>
    <w:rsid w:val="00DB601C"/>
    <w:rsid w:val="00DC07ED"/>
    <w:rsid w:val="00DC14BD"/>
    <w:rsid w:val="00DC4466"/>
    <w:rsid w:val="00DC764C"/>
    <w:rsid w:val="00DD349E"/>
    <w:rsid w:val="00DD6822"/>
    <w:rsid w:val="00DE041A"/>
    <w:rsid w:val="00DF2ECA"/>
    <w:rsid w:val="00DF5761"/>
    <w:rsid w:val="00DF63E5"/>
    <w:rsid w:val="00E020D1"/>
    <w:rsid w:val="00E02708"/>
    <w:rsid w:val="00E03586"/>
    <w:rsid w:val="00E06B86"/>
    <w:rsid w:val="00E31D03"/>
    <w:rsid w:val="00E41FA6"/>
    <w:rsid w:val="00E54889"/>
    <w:rsid w:val="00E5516F"/>
    <w:rsid w:val="00E56903"/>
    <w:rsid w:val="00E6381E"/>
    <w:rsid w:val="00E73D3A"/>
    <w:rsid w:val="00E75648"/>
    <w:rsid w:val="00E85486"/>
    <w:rsid w:val="00E97089"/>
    <w:rsid w:val="00EA37F6"/>
    <w:rsid w:val="00EA735A"/>
    <w:rsid w:val="00EB0636"/>
    <w:rsid w:val="00EC4E04"/>
    <w:rsid w:val="00EC7B0E"/>
    <w:rsid w:val="00ED0B4C"/>
    <w:rsid w:val="00ED0D32"/>
    <w:rsid w:val="00ED2D7B"/>
    <w:rsid w:val="00ED45DA"/>
    <w:rsid w:val="00ED46F4"/>
    <w:rsid w:val="00EE7245"/>
    <w:rsid w:val="00EE778F"/>
    <w:rsid w:val="00EF66D5"/>
    <w:rsid w:val="00F02CB9"/>
    <w:rsid w:val="00F03791"/>
    <w:rsid w:val="00F07391"/>
    <w:rsid w:val="00F11913"/>
    <w:rsid w:val="00F14C31"/>
    <w:rsid w:val="00F23E37"/>
    <w:rsid w:val="00F32324"/>
    <w:rsid w:val="00F40BFB"/>
    <w:rsid w:val="00F469E6"/>
    <w:rsid w:val="00F57420"/>
    <w:rsid w:val="00F600E9"/>
    <w:rsid w:val="00F67A76"/>
    <w:rsid w:val="00F80FED"/>
    <w:rsid w:val="00F835A0"/>
    <w:rsid w:val="00F8574C"/>
    <w:rsid w:val="00F8695C"/>
    <w:rsid w:val="00F92E21"/>
    <w:rsid w:val="00F95955"/>
    <w:rsid w:val="00FA4329"/>
    <w:rsid w:val="00FB6840"/>
    <w:rsid w:val="00FC304A"/>
    <w:rsid w:val="00FC307D"/>
    <w:rsid w:val="00FD1278"/>
    <w:rsid w:val="00FD6C69"/>
    <w:rsid w:val="00FD6CDD"/>
    <w:rsid w:val="00FE0446"/>
    <w:rsid w:val="00FE0EEE"/>
    <w:rsid w:val="00FE1855"/>
    <w:rsid w:val="00FE2B3E"/>
    <w:rsid w:val="00FE3E17"/>
    <w:rsid w:val="00FE5A81"/>
    <w:rsid w:val="00FE7620"/>
    <w:rsid w:val="00FF37C2"/>
    <w:rsid w:val="00FF6B1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C1C69"/>
    <w:rPr>
      <w:rFonts w:ascii="Times New Roman" w:hAnsi="Times New Roman"/>
    </w:rPr>
  </w:style>
  <w:style w:type="paragraph" w:styleId="Heading1">
    <w:name w:val="heading 1"/>
    <w:basedOn w:val="Normal"/>
    <w:next w:val="APANormal"/>
    <w:link w:val="Heading1Char"/>
    <w:qFormat/>
    <w:rsid w:val="001C1C69"/>
    <w:pPr>
      <w:keepNext/>
      <w:spacing w:line="480" w:lineRule="auto"/>
      <w:jc w:val="center"/>
      <w:outlineLvl w:val="0"/>
    </w:pPr>
    <w:rPr>
      <w:kern w:val="32"/>
    </w:rPr>
  </w:style>
  <w:style w:type="paragraph" w:styleId="Heading2">
    <w:name w:val="heading 2"/>
    <w:basedOn w:val="Normal"/>
    <w:next w:val="Normal"/>
    <w:link w:val="Heading2Char"/>
    <w:uiPriority w:val="9"/>
    <w:qFormat/>
    <w:rsid w:val="005D737A"/>
    <w:pPr>
      <w:keepNext/>
      <w:spacing w:before="240" w:after="60"/>
      <w:jc w:val="center"/>
      <w:outlineLvl w:val="1"/>
    </w:pPr>
    <w:rPr>
      <w:bCs/>
      <w:i/>
      <w:iCs/>
      <w:szCs w:val="28"/>
    </w:rPr>
  </w:style>
  <w:style w:type="paragraph" w:styleId="Heading3">
    <w:name w:val="heading 3"/>
    <w:basedOn w:val="Normal"/>
    <w:next w:val="Normal"/>
    <w:link w:val="Heading3Char"/>
    <w:uiPriority w:val="9"/>
    <w:qFormat/>
    <w:rsid w:val="005D737A"/>
    <w:pPr>
      <w:keepNext/>
      <w:spacing w:before="240" w:after="60"/>
      <w:outlineLvl w:val="2"/>
    </w:pPr>
    <w:rPr>
      <w:bCs/>
      <w:i/>
      <w:szCs w:val="26"/>
    </w:rPr>
  </w:style>
  <w:style w:type="paragraph" w:styleId="Heading4">
    <w:name w:val="heading 4"/>
    <w:basedOn w:val="Normal"/>
    <w:next w:val="Normal"/>
    <w:link w:val="Heading4Char2"/>
    <w:autoRedefine/>
    <w:qFormat/>
    <w:rsid w:val="005D737A"/>
    <w:pPr>
      <w:outlineLvl w:val="3"/>
    </w:pPr>
    <w:rPr>
      <w:i/>
    </w:rPr>
  </w:style>
  <w:style w:type="paragraph" w:styleId="Heading5">
    <w:name w:val="heading 5"/>
    <w:basedOn w:val="Normal"/>
    <w:next w:val="Normal"/>
    <w:link w:val="Heading5Char"/>
    <w:qFormat/>
    <w:rsid w:val="005D73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Normal">
    <w:name w:val="APA Normal"/>
    <w:basedOn w:val="Normal"/>
    <w:rsid w:val="001C1C69"/>
    <w:pPr>
      <w:spacing w:line="480" w:lineRule="auto"/>
      <w:ind w:firstLine="720"/>
    </w:pPr>
  </w:style>
  <w:style w:type="character" w:customStyle="1" w:styleId="Heading1Char">
    <w:name w:val="Heading 1 Char"/>
    <w:link w:val="Heading1"/>
    <w:locked/>
    <w:rsid w:val="001C1C69"/>
    <w:rPr>
      <w:rFonts w:ascii="Times New Roman" w:hAnsi="Times New Roman" w:cs="Times New Roman"/>
      <w:kern w:val="32"/>
      <w:sz w:val="24"/>
      <w:szCs w:val="24"/>
    </w:rPr>
  </w:style>
  <w:style w:type="character" w:customStyle="1" w:styleId="Heading2Char">
    <w:name w:val="Heading 2 Char"/>
    <w:link w:val="Heading2"/>
    <w:uiPriority w:val="9"/>
    <w:rsid w:val="005D737A"/>
    <w:rPr>
      <w:rFonts w:ascii="Times New Roman" w:hAnsi="Times New Roman" w:cs="Arial"/>
      <w:bCs/>
      <w:i/>
      <w:iCs/>
      <w:sz w:val="24"/>
      <w:szCs w:val="28"/>
    </w:rPr>
  </w:style>
  <w:style w:type="character" w:customStyle="1" w:styleId="Heading3Char">
    <w:name w:val="Heading 3 Char"/>
    <w:link w:val="Heading3"/>
    <w:uiPriority w:val="9"/>
    <w:rsid w:val="005D737A"/>
    <w:rPr>
      <w:rFonts w:ascii="Times New Roman" w:hAnsi="Times New Roman" w:cs="Arial"/>
      <w:bCs/>
      <w:i/>
      <w:sz w:val="24"/>
      <w:szCs w:val="26"/>
    </w:rPr>
  </w:style>
  <w:style w:type="character" w:customStyle="1" w:styleId="Heading4Char2">
    <w:name w:val="Heading 4 Char2"/>
    <w:link w:val="Heading4"/>
    <w:rsid w:val="005D737A"/>
    <w:rPr>
      <w:rFonts w:ascii="Times New Roman" w:hAnsi="Times New Roman"/>
      <w:i/>
      <w:sz w:val="24"/>
      <w:szCs w:val="24"/>
    </w:rPr>
  </w:style>
  <w:style w:type="character" w:customStyle="1" w:styleId="Heading5Char">
    <w:name w:val="Heading 5 Char"/>
    <w:link w:val="Heading5"/>
    <w:rsid w:val="005D737A"/>
    <w:rPr>
      <w:rFonts w:ascii="Times New Roman" w:hAnsi="Times New Roman"/>
      <w:b/>
      <w:bCs/>
      <w:i/>
      <w:iCs/>
      <w:sz w:val="26"/>
      <w:szCs w:val="26"/>
    </w:rPr>
  </w:style>
  <w:style w:type="character" w:customStyle="1" w:styleId="CharChar6">
    <w:name w:val="Char Char6"/>
    <w:rsid w:val="001C1C69"/>
    <w:rPr>
      <w:rFonts w:ascii="Times New Roman" w:hAnsi="Times New Roman" w:cs="Times New Roman"/>
      <w:kern w:val="32"/>
      <w:sz w:val="24"/>
      <w:szCs w:val="24"/>
    </w:rPr>
  </w:style>
  <w:style w:type="paragraph" w:styleId="BodyText2">
    <w:name w:val="Body Text 2"/>
    <w:basedOn w:val="Normal"/>
    <w:link w:val="BodyText2Char"/>
    <w:rsid w:val="001C1C69"/>
    <w:pPr>
      <w:ind w:firstLine="720"/>
    </w:pPr>
  </w:style>
  <w:style w:type="character" w:customStyle="1" w:styleId="BodyText2Char">
    <w:name w:val="Body Text 2 Char"/>
    <w:link w:val="BodyText2"/>
    <w:semiHidden/>
    <w:locked/>
    <w:rsid w:val="00C51D85"/>
    <w:rPr>
      <w:rFonts w:ascii="Times New Roman" w:hAnsi="Times New Roman" w:cs="Times New Roman"/>
      <w:sz w:val="24"/>
      <w:szCs w:val="24"/>
    </w:rPr>
  </w:style>
  <w:style w:type="character" w:customStyle="1" w:styleId="CharChar5">
    <w:name w:val="Char Char5"/>
    <w:rsid w:val="001C1C69"/>
    <w:rPr>
      <w:rFonts w:ascii="Times New Roman" w:hAnsi="Times New Roman" w:cs="Times New Roman"/>
      <w:sz w:val="24"/>
      <w:szCs w:val="24"/>
    </w:rPr>
  </w:style>
  <w:style w:type="character" w:styleId="CommentReference">
    <w:name w:val="annotation reference"/>
    <w:uiPriority w:val="99"/>
    <w:semiHidden/>
    <w:rsid w:val="001C1C69"/>
    <w:rPr>
      <w:rFonts w:ascii="Times New Roman" w:hAnsi="Times New Roman" w:cs="Times New Roman"/>
      <w:sz w:val="16"/>
      <w:szCs w:val="16"/>
    </w:rPr>
  </w:style>
  <w:style w:type="paragraph" w:styleId="CommentText">
    <w:name w:val="annotation text"/>
    <w:basedOn w:val="Normal"/>
    <w:next w:val="BalloonText"/>
    <w:link w:val="CommentTextChar"/>
    <w:uiPriority w:val="99"/>
    <w:semiHidden/>
    <w:rsid w:val="00B441B9"/>
    <w:rPr>
      <w:sz w:val="20"/>
      <w:szCs w:val="20"/>
    </w:rPr>
  </w:style>
  <w:style w:type="paragraph" w:styleId="BalloonText">
    <w:name w:val="Balloon Text"/>
    <w:basedOn w:val="Normal"/>
    <w:link w:val="BalloonTextChar"/>
    <w:uiPriority w:val="99"/>
    <w:semiHidden/>
    <w:rsid w:val="00B441B9"/>
    <w:rPr>
      <w:sz w:val="16"/>
      <w:szCs w:val="20"/>
    </w:rPr>
  </w:style>
  <w:style w:type="character" w:customStyle="1" w:styleId="BalloonTextChar">
    <w:name w:val="Balloon Text Char"/>
    <w:link w:val="BalloonText"/>
    <w:uiPriority w:val="99"/>
    <w:semiHidden/>
    <w:locked/>
    <w:rsid w:val="00B441B9"/>
    <w:rPr>
      <w:rFonts w:ascii="Times New Roman" w:hAnsi="Times New Roman"/>
      <w:sz w:val="16"/>
    </w:rPr>
  </w:style>
  <w:style w:type="character" w:customStyle="1" w:styleId="CommentTextChar">
    <w:name w:val="Comment Text Char"/>
    <w:link w:val="CommentText"/>
    <w:uiPriority w:val="99"/>
    <w:semiHidden/>
    <w:locked/>
    <w:rsid w:val="00B441B9"/>
    <w:rPr>
      <w:rFonts w:ascii="Times New Roman" w:hAnsi="Times New Roman"/>
    </w:rPr>
  </w:style>
  <w:style w:type="character" w:customStyle="1" w:styleId="CharChar4">
    <w:name w:val="Char Char4"/>
    <w:rsid w:val="001C1C69"/>
    <w:rPr>
      <w:rFonts w:ascii="Times New Roman" w:hAnsi="Times New Roman" w:cs="Times New Roman"/>
      <w:sz w:val="20"/>
      <w:szCs w:val="20"/>
    </w:rPr>
  </w:style>
  <w:style w:type="paragraph" w:styleId="BodyText">
    <w:name w:val="Body Text"/>
    <w:basedOn w:val="Normal"/>
    <w:link w:val="BodyTextChar"/>
    <w:uiPriority w:val="99"/>
    <w:rsid w:val="001C1C69"/>
    <w:pPr>
      <w:jc w:val="center"/>
    </w:pPr>
  </w:style>
  <w:style w:type="character" w:customStyle="1" w:styleId="BodyTextChar">
    <w:name w:val="Body Text Char"/>
    <w:link w:val="BodyText"/>
    <w:uiPriority w:val="99"/>
    <w:locked/>
    <w:rsid w:val="00C51D85"/>
    <w:rPr>
      <w:rFonts w:ascii="Times New Roman" w:hAnsi="Times New Roman" w:cs="Times New Roman"/>
      <w:sz w:val="24"/>
      <w:szCs w:val="24"/>
    </w:rPr>
  </w:style>
  <w:style w:type="character" w:customStyle="1" w:styleId="CharChar3">
    <w:name w:val="Char Char3"/>
    <w:rsid w:val="001C1C69"/>
    <w:rPr>
      <w:rFonts w:ascii="Times New Roman" w:hAnsi="Times New Roman" w:cs="Times New Roman"/>
      <w:b/>
      <w:bCs/>
      <w:sz w:val="24"/>
      <w:szCs w:val="24"/>
    </w:rPr>
  </w:style>
  <w:style w:type="character" w:customStyle="1" w:styleId="APANormalChar">
    <w:name w:val="APA Normal Char"/>
    <w:rsid w:val="001C1C69"/>
    <w:rPr>
      <w:rFonts w:ascii="Times New Roman" w:hAnsi="Times New Roman" w:cs="Times New Roman"/>
      <w:sz w:val="24"/>
      <w:szCs w:val="24"/>
    </w:rPr>
  </w:style>
  <w:style w:type="paragraph" w:customStyle="1" w:styleId="APAReferences">
    <w:name w:val="APA References"/>
    <w:basedOn w:val="Normal"/>
    <w:rsid w:val="001C1C69"/>
    <w:pPr>
      <w:keepLines/>
      <w:spacing w:after="240"/>
      <w:ind w:left="720" w:hanging="720"/>
    </w:pPr>
  </w:style>
  <w:style w:type="paragraph" w:styleId="Header">
    <w:name w:val="header"/>
    <w:basedOn w:val="Normal"/>
    <w:link w:val="HeaderChar"/>
    <w:uiPriority w:val="99"/>
    <w:rsid w:val="001C1C69"/>
    <w:pPr>
      <w:tabs>
        <w:tab w:val="center" w:pos="4320"/>
        <w:tab w:val="right" w:pos="8640"/>
      </w:tabs>
    </w:pPr>
  </w:style>
  <w:style w:type="character" w:customStyle="1" w:styleId="HeaderChar">
    <w:name w:val="Header Char"/>
    <w:link w:val="Header"/>
    <w:uiPriority w:val="99"/>
    <w:locked/>
    <w:rsid w:val="001C1C69"/>
    <w:rPr>
      <w:rFonts w:ascii="Times New Roman" w:hAnsi="Times New Roman" w:cs="Times New Roman"/>
      <w:sz w:val="24"/>
      <w:szCs w:val="24"/>
    </w:rPr>
  </w:style>
  <w:style w:type="character" w:customStyle="1" w:styleId="CharChar2">
    <w:name w:val="Char Char2"/>
    <w:rsid w:val="001C1C69"/>
    <w:rPr>
      <w:rFonts w:ascii="Times New Roman" w:hAnsi="Times New Roman" w:cs="Times New Roman"/>
      <w:sz w:val="24"/>
      <w:szCs w:val="24"/>
    </w:rPr>
  </w:style>
  <w:style w:type="character" w:styleId="PageNumber">
    <w:name w:val="page number"/>
    <w:rsid w:val="001C1C69"/>
    <w:rPr>
      <w:rFonts w:ascii="Times New Roman" w:hAnsi="Times New Roman" w:cs="Times New Roman"/>
    </w:rPr>
  </w:style>
  <w:style w:type="character" w:customStyle="1" w:styleId="CharChar1">
    <w:name w:val="Char Char1"/>
    <w:rsid w:val="001C1C69"/>
    <w:rPr>
      <w:rFonts w:ascii="Tahoma" w:hAnsi="Tahoma" w:cs="Tahoma"/>
      <w:sz w:val="16"/>
      <w:szCs w:val="16"/>
    </w:rPr>
  </w:style>
  <w:style w:type="paragraph" w:styleId="Footer">
    <w:name w:val="footer"/>
    <w:basedOn w:val="Normal"/>
    <w:link w:val="FooterChar"/>
    <w:uiPriority w:val="99"/>
    <w:rsid w:val="001C1C69"/>
    <w:pPr>
      <w:tabs>
        <w:tab w:val="center" w:pos="4320"/>
        <w:tab w:val="right" w:pos="8640"/>
      </w:tabs>
    </w:pPr>
  </w:style>
  <w:style w:type="character" w:customStyle="1" w:styleId="FooterChar">
    <w:name w:val="Footer Char"/>
    <w:link w:val="Footer"/>
    <w:uiPriority w:val="99"/>
    <w:locked/>
    <w:rsid w:val="00C51D85"/>
    <w:rPr>
      <w:rFonts w:ascii="Times New Roman" w:hAnsi="Times New Roman" w:cs="Times New Roman"/>
      <w:sz w:val="24"/>
      <w:szCs w:val="24"/>
    </w:rPr>
  </w:style>
  <w:style w:type="character" w:customStyle="1" w:styleId="CharChar">
    <w:name w:val="Char Char"/>
    <w:rsid w:val="001C1C6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C1C69"/>
    <w:rPr>
      <w:b/>
      <w:bCs/>
    </w:rPr>
  </w:style>
  <w:style w:type="character" w:customStyle="1" w:styleId="CommentSubjectChar">
    <w:name w:val="Comment Subject Char"/>
    <w:link w:val="CommentSubject"/>
    <w:uiPriority w:val="99"/>
    <w:semiHidden/>
    <w:locked/>
    <w:rsid w:val="00C51D85"/>
    <w:rPr>
      <w:rFonts w:ascii="Times New Roman" w:hAnsi="Times New Roman" w:cs="Times New Roman"/>
      <w:b/>
      <w:bCs/>
      <w:sz w:val="20"/>
      <w:szCs w:val="20"/>
    </w:rPr>
  </w:style>
  <w:style w:type="character" w:customStyle="1" w:styleId="BodyTextIndentChar">
    <w:name w:val="Body Text Indent Char"/>
    <w:link w:val="BodyTextIndent"/>
    <w:rsid w:val="001C1C69"/>
    <w:rPr>
      <w:rFonts w:ascii="Times New Roman" w:hAnsi="Times New Roman" w:cs="Times New Roman"/>
      <w:sz w:val="24"/>
      <w:szCs w:val="24"/>
    </w:rPr>
  </w:style>
  <w:style w:type="paragraph" w:styleId="BodyTextIndent">
    <w:name w:val="Body Text Indent"/>
    <w:basedOn w:val="Normal"/>
    <w:link w:val="BodyTextIndentChar"/>
    <w:rsid w:val="005D737A"/>
    <w:pPr>
      <w:ind w:left="720" w:hanging="720"/>
    </w:pPr>
  </w:style>
  <w:style w:type="character" w:styleId="Hyperlink">
    <w:name w:val="Hyperlink"/>
    <w:uiPriority w:val="99"/>
    <w:rsid w:val="001C1C69"/>
    <w:rPr>
      <w:rFonts w:ascii="Times New Roman" w:hAnsi="Times New Roman" w:cs="Times New Roman"/>
      <w:color w:val="0000FF"/>
      <w:u w:val="single"/>
    </w:rPr>
  </w:style>
  <w:style w:type="paragraph" w:styleId="NormalWeb">
    <w:name w:val="Normal (Web)"/>
    <w:basedOn w:val="Normal"/>
    <w:rsid w:val="001C1C69"/>
    <w:pPr>
      <w:spacing w:before="100" w:beforeAutospacing="1" w:after="100" w:afterAutospacing="1"/>
    </w:pPr>
  </w:style>
  <w:style w:type="character" w:styleId="Emphasis">
    <w:name w:val="Emphasis"/>
    <w:qFormat/>
    <w:rsid w:val="001C1C69"/>
    <w:rPr>
      <w:rFonts w:ascii="Times New Roman" w:hAnsi="Times New Roman" w:cs="Times New Roman"/>
      <w:i/>
      <w:iCs/>
    </w:rPr>
  </w:style>
  <w:style w:type="character" w:customStyle="1" w:styleId="EmailStyle461">
    <w:name w:val="EmailStyle461"/>
    <w:rsid w:val="001C1C69"/>
    <w:rPr>
      <w:rFonts w:ascii="Arial" w:hAnsi="Arial" w:cs="Arial"/>
      <w:color w:val="000000"/>
      <w:sz w:val="24"/>
      <w:szCs w:val="24"/>
      <w:u w:val="none"/>
    </w:rPr>
  </w:style>
  <w:style w:type="table" w:styleId="TableGrid">
    <w:name w:val="Table Grid"/>
    <w:basedOn w:val="TableNormal"/>
    <w:rsid w:val="00D86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rkList-Accent51">
    <w:name w:val="Dark List - Accent 51"/>
    <w:basedOn w:val="Normal"/>
    <w:rsid w:val="00D861B8"/>
    <w:pPr>
      <w:ind w:left="720"/>
      <w:contextualSpacing/>
    </w:pPr>
  </w:style>
  <w:style w:type="paragraph" w:customStyle="1" w:styleId="DarkList-Accent31">
    <w:name w:val="Dark List - Accent 31"/>
    <w:hidden/>
    <w:rsid w:val="00BE4BCD"/>
    <w:rPr>
      <w:rFonts w:ascii="Times New Roman" w:hAnsi="Times New Roman"/>
    </w:rPr>
  </w:style>
  <w:style w:type="character" w:customStyle="1" w:styleId="apple-style-span">
    <w:name w:val="apple-style-span"/>
    <w:basedOn w:val="DefaultParagraphFont"/>
    <w:rsid w:val="008D61F3"/>
  </w:style>
  <w:style w:type="paragraph" w:customStyle="1" w:styleId="MediumGrid3-Accent51">
    <w:name w:val="Medium Grid 3 - Accent 51"/>
    <w:hidden/>
    <w:rsid w:val="0069420D"/>
    <w:rPr>
      <w:rFonts w:ascii="Times New Roman" w:hAnsi="Times New Roman"/>
    </w:rPr>
  </w:style>
  <w:style w:type="paragraph" w:customStyle="1" w:styleId="LightShading-Accent51">
    <w:name w:val="Light Shading - Accent 51"/>
    <w:hidden/>
    <w:rsid w:val="00B47153"/>
    <w:rPr>
      <w:rFonts w:ascii="Times New Roman" w:hAnsi="Times New Roman"/>
    </w:rPr>
  </w:style>
  <w:style w:type="character" w:customStyle="1" w:styleId="citation-abbreviation">
    <w:name w:val="citation-abbreviation"/>
    <w:basedOn w:val="DefaultParagraphFont"/>
    <w:rsid w:val="0029160D"/>
  </w:style>
  <w:style w:type="character" w:customStyle="1" w:styleId="citation-publication-date">
    <w:name w:val="citation-publication-date"/>
    <w:basedOn w:val="DefaultParagraphFont"/>
    <w:rsid w:val="0029160D"/>
  </w:style>
  <w:style w:type="character" w:customStyle="1" w:styleId="citation-volume">
    <w:name w:val="citation-volume"/>
    <w:basedOn w:val="DefaultParagraphFont"/>
    <w:rsid w:val="0029160D"/>
  </w:style>
  <w:style w:type="character" w:customStyle="1" w:styleId="citation-issue">
    <w:name w:val="citation-issue"/>
    <w:basedOn w:val="DefaultParagraphFont"/>
    <w:rsid w:val="0029160D"/>
  </w:style>
  <w:style w:type="character" w:customStyle="1" w:styleId="citation-flpages">
    <w:name w:val="citation-flpages"/>
    <w:basedOn w:val="DefaultParagraphFont"/>
    <w:rsid w:val="0029160D"/>
  </w:style>
  <w:style w:type="character" w:customStyle="1" w:styleId="fm-vol-iss-date">
    <w:name w:val="fm-vol-iss-date"/>
    <w:basedOn w:val="DefaultParagraphFont"/>
    <w:rsid w:val="0029160D"/>
  </w:style>
  <w:style w:type="character" w:customStyle="1" w:styleId="fm-citation-ids-label">
    <w:name w:val="fm-citation-ids-label"/>
    <w:basedOn w:val="DefaultParagraphFont"/>
    <w:rsid w:val="0029160D"/>
  </w:style>
  <w:style w:type="character" w:customStyle="1" w:styleId="eid483526">
    <w:name w:val="e_id483526"/>
    <w:basedOn w:val="DefaultParagraphFont"/>
    <w:rsid w:val="0029160D"/>
  </w:style>
  <w:style w:type="paragraph" w:customStyle="1" w:styleId="MediumList1-Accent41">
    <w:name w:val="Medium List 1 - Accent 41"/>
    <w:hidden/>
    <w:rsid w:val="0029160D"/>
    <w:rPr>
      <w:rFonts w:ascii="Times New Roman" w:hAnsi="Times New Roman"/>
    </w:rPr>
  </w:style>
  <w:style w:type="paragraph" w:customStyle="1" w:styleId="TOCHeading1">
    <w:name w:val="TOC Heading1"/>
    <w:basedOn w:val="Heading1"/>
    <w:next w:val="Normal"/>
    <w:uiPriority w:val="39"/>
    <w:semiHidden/>
    <w:unhideWhenUsed/>
    <w:qFormat/>
    <w:rsid w:val="001E7E10"/>
    <w:pPr>
      <w:keepLines/>
      <w:spacing w:before="480" w:line="276" w:lineRule="auto"/>
      <w:jc w:val="left"/>
      <w:outlineLvl w:val="9"/>
    </w:pPr>
    <w:rPr>
      <w:rFonts w:ascii="Cambria" w:eastAsia="MS Gothic" w:hAnsi="Cambria"/>
      <w:b/>
      <w:bCs/>
      <w:color w:val="365F91"/>
      <w:kern w:val="0"/>
      <w:sz w:val="28"/>
      <w:szCs w:val="28"/>
      <w:lang w:eastAsia="ja-JP"/>
    </w:rPr>
  </w:style>
  <w:style w:type="paragraph" w:styleId="TOC1">
    <w:name w:val="toc 1"/>
    <w:basedOn w:val="Normal"/>
    <w:next w:val="Normal"/>
    <w:autoRedefine/>
    <w:uiPriority w:val="39"/>
    <w:qFormat/>
    <w:rsid w:val="001E7E10"/>
  </w:style>
  <w:style w:type="paragraph" w:customStyle="1" w:styleId="MediumList2-Accent21">
    <w:name w:val="Medium List 2 - Accent 21"/>
    <w:hidden/>
    <w:rsid w:val="00CA30B5"/>
    <w:rPr>
      <w:rFonts w:ascii="Times New Roman" w:hAnsi="Times New Roman"/>
    </w:rPr>
  </w:style>
  <w:style w:type="character" w:customStyle="1" w:styleId="Heading4Char">
    <w:name w:val="Heading 4 Char"/>
    <w:qFormat/>
    <w:rsid w:val="005D737A"/>
    <w:rPr>
      <w:rFonts w:ascii="Cambria" w:eastAsia="Times New Roman" w:hAnsi="Cambria" w:cs="Times New Roman"/>
      <w:b/>
      <w:bCs/>
      <w:sz w:val="28"/>
      <w:szCs w:val="28"/>
    </w:rPr>
  </w:style>
  <w:style w:type="paragraph" w:styleId="TOC4">
    <w:name w:val="toc 4"/>
    <w:basedOn w:val="Normal"/>
    <w:next w:val="Normal"/>
    <w:link w:val="TOC4Char"/>
    <w:autoRedefine/>
    <w:uiPriority w:val="39"/>
    <w:rsid w:val="005D737A"/>
    <w:pPr>
      <w:ind w:left="720"/>
    </w:pPr>
  </w:style>
  <w:style w:type="character" w:customStyle="1" w:styleId="TOC4Char">
    <w:name w:val="TOC 4 Char"/>
    <w:link w:val="TOC4"/>
    <w:uiPriority w:val="39"/>
    <w:rsid w:val="005D737A"/>
    <w:rPr>
      <w:rFonts w:ascii="Times New Roman" w:hAnsi="Times New Roman"/>
      <w:sz w:val="24"/>
      <w:szCs w:val="24"/>
    </w:rPr>
  </w:style>
  <w:style w:type="paragraph" w:styleId="TOC2">
    <w:name w:val="toc 2"/>
    <w:basedOn w:val="Normal"/>
    <w:next w:val="Normal"/>
    <w:autoRedefine/>
    <w:uiPriority w:val="39"/>
    <w:qFormat/>
    <w:rsid w:val="005D737A"/>
    <w:pPr>
      <w:spacing w:line="360" w:lineRule="auto"/>
      <w:ind w:left="240"/>
    </w:pPr>
  </w:style>
  <w:style w:type="paragraph" w:styleId="TOC3">
    <w:name w:val="toc 3"/>
    <w:basedOn w:val="Normal"/>
    <w:next w:val="Normal"/>
    <w:autoRedefine/>
    <w:uiPriority w:val="39"/>
    <w:qFormat/>
    <w:rsid w:val="005D737A"/>
    <w:pPr>
      <w:spacing w:line="360" w:lineRule="auto"/>
      <w:ind w:left="480"/>
    </w:pPr>
  </w:style>
  <w:style w:type="paragraph" w:styleId="TOC5">
    <w:name w:val="toc 5"/>
    <w:basedOn w:val="Normal"/>
    <w:next w:val="Normal"/>
    <w:autoRedefine/>
    <w:rsid w:val="005D737A"/>
    <w:pPr>
      <w:ind w:left="960"/>
    </w:pPr>
  </w:style>
  <w:style w:type="paragraph" w:styleId="TOC6">
    <w:name w:val="toc 6"/>
    <w:basedOn w:val="Normal"/>
    <w:next w:val="Normal"/>
    <w:autoRedefine/>
    <w:rsid w:val="005D737A"/>
    <w:pPr>
      <w:ind w:left="1200"/>
    </w:pPr>
  </w:style>
  <w:style w:type="paragraph" w:styleId="TOC7">
    <w:name w:val="toc 7"/>
    <w:basedOn w:val="Normal"/>
    <w:next w:val="Normal"/>
    <w:autoRedefine/>
    <w:rsid w:val="005D737A"/>
    <w:pPr>
      <w:ind w:left="1440"/>
    </w:pPr>
  </w:style>
  <w:style w:type="paragraph" w:styleId="TOC8">
    <w:name w:val="toc 8"/>
    <w:basedOn w:val="Normal"/>
    <w:next w:val="Normal"/>
    <w:autoRedefine/>
    <w:rsid w:val="005D737A"/>
    <w:pPr>
      <w:ind w:left="1680"/>
    </w:pPr>
  </w:style>
  <w:style w:type="paragraph" w:styleId="TOC9">
    <w:name w:val="toc 9"/>
    <w:basedOn w:val="Normal"/>
    <w:next w:val="Normal"/>
    <w:autoRedefine/>
    <w:rsid w:val="005D737A"/>
    <w:pPr>
      <w:ind w:left="1920"/>
    </w:pPr>
  </w:style>
  <w:style w:type="character" w:customStyle="1" w:styleId="Heading4Char1">
    <w:name w:val="Heading 4 Char1"/>
    <w:basedOn w:val="TOC4Char"/>
    <w:rsid w:val="005D737A"/>
    <w:rPr>
      <w:rFonts w:ascii="Times New Roman" w:hAnsi="Times New Roman"/>
      <w:sz w:val="24"/>
      <w:szCs w:val="24"/>
    </w:rPr>
  </w:style>
  <w:style w:type="character" w:customStyle="1" w:styleId="BodyTextIndentChar1">
    <w:name w:val="Body Text Indent Char1"/>
    <w:rsid w:val="005D737A"/>
    <w:rPr>
      <w:rFonts w:ascii="Times New Roman" w:hAnsi="Times New Roman"/>
      <w:sz w:val="24"/>
      <w:szCs w:val="24"/>
    </w:rPr>
  </w:style>
  <w:style w:type="paragraph" w:customStyle="1" w:styleId="MediumGrid1-Accent21">
    <w:name w:val="Medium Grid 1 - Accent 21"/>
    <w:basedOn w:val="Normal"/>
    <w:uiPriority w:val="34"/>
    <w:qFormat/>
    <w:rsid w:val="005D737A"/>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uiPriority w:val="99"/>
    <w:unhideWhenUsed/>
    <w:rsid w:val="005D737A"/>
    <w:rPr>
      <w:rFonts w:ascii="Tahoma" w:hAnsi="Tahoma"/>
      <w:sz w:val="16"/>
      <w:szCs w:val="16"/>
    </w:rPr>
  </w:style>
  <w:style w:type="character" w:customStyle="1" w:styleId="DocumentMapChar">
    <w:name w:val="Document Map Char"/>
    <w:link w:val="DocumentMap"/>
    <w:uiPriority w:val="99"/>
    <w:rsid w:val="005D737A"/>
    <w:rPr>
      <w:rFonts w:ascii="Tahoma" w:hAnsi="Tahoma" w:cs="Tahoma"/>
      <w:sz w:val="16"/>
      <w:szCs w:val="16"/>
    </w:rPr>
  </w:style>
  <w:style w:type="paragraph" w:styleId="Caption">
    <w:name w:val="caption"/>
    <w:basedOn w:val="Normal"/>
    <w:next w:val="Normal"/>
    <w:uiPriority w:val="35"/>
    <w:qFormat/>
    <w:rsid w:val="005D737A"/>
    <w:rPr>
      <w:b/>
      <w:bCs/>
      <w:sz w:val="20"/>
      <w:szCs w:val="20"/>
    </w:rPr>
  </w:style>
  <w:style w:type="paragraph" w:styleId="Title">
    <w:name w:val="Title"/>
    <w:basedOn w:val="Normal"/>
    <w:link w:val="TitleChar"/>
    <w:qFormat/>
    <w:rsid w:val="005D737A"/>
    <w:pPr>
      <w:widowControl w:val="0"/>
      <w:tabs>
        <w:tab w:val="left" w:pos="-1440"/>
      </w:tabs>
      <w:jc w:val="center"/>
    </w:pPr>
    <w:rPr>
      <w:b/>
      <w:snapToGrid w:val="0"/>
      <w:szCs w:val="20"/>
    </w:rPr>
  </w:style>
  <w:style w:type="character" w:customStyle="1" w:styleId="TitleChar">
    <w:name w:val="Title Char"/>
    <w:link w:val="Title"/>
    <w:rsid w:val="005D737A"/>
    <w:rPr>
      <w:rFonts w:ascii="Times New Roman" w:hAnsi="Times New Roman"/>
      <w:b/>
      <w:snapToGrid w:val="0"/>
      <w:sz w:val="24"/>
    </w:rPr>
  </w:style>
  <w:style w:type="paragraph" w:styleId="BodyTextIndent2">
    <w:name w:val="Body Text Indent 2"/>
    <w:basedOn w:val="Normal"/>
    <w:link w:val="BodyTextIndent2Char"/>
    <w:uiPriority w:val="99"/>
    <w:rsid w:val="005D737A"/>
    <w:pPr>
      <w:spacing w:after="120"/>
      <w:ind w:left="360"/>
    </w:pPr>
  </w:style>
  <w:style w:type="character" w:customStyle="1" w:styleId="BodyTextIndent2Char">
    <w:name w:val="Body Text Indent 2 Char"/>
    <w:link w:val="BodyTextIndent2"/>
    <w:uiPriority w:val="99"/>
    <w:rsid w:val="005D737A"/>
    <w:rPr>
      <w:rFonts w:ascii="Times New Roman" w:hAnsi="Times New Roman"/>
      <w:sz w:val="24"/>
      <w:szCs w:val="24"/>
    </w:rPr>
  </w:style>
  <w:style w:type="paragraph" w:customStyle="1" w:styleId="Default">
    <w:name w:val="Default"/>
    <w:rsid w:val="005D737A"/>
    <w:pPr>
      <w:autoSpaceDE w:val="0"/>
      <w:autoSpaceDN w:val="0"/>
      <w:adjustRightInd w:val="0"/>
    </w:pPr>
    <w:rPr>
      <w:rFonts w:ascii="Times New Roman" w:hAnsi="Times New Roman"/>
      <w:color w:val="000000"/>
    </w:rPr>
  </w:style>
  <w:style w:type="paragraph" w:customStyle="1" w:styleId="TherapistNote">
    <w:name w:val="Therapist Note"/>
    <w:basedOn w:val="BodyText"/>
    <w:rsid w:val="005D73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hanging="720"/>
      <w:jc w:val="left"/>
    </w:pPr>
    <w:rPr>
      <w:rFonts w:ascii="CG Times (WN)" w:hAnsi="CG Times (WN)"/>
      <w:sz w:val="20"/>
    </w:rPr>
  </w:style>
  <w:style w:type="paragraph" w:styleId="BlockText">
    <w:name w:val="Block Text"/>
    <w:basedOn w:val="Normal"/>
    <w:rsid w:val="005D737A"/>
    <w:pPr>
      <w:tabs>
        <w:tab w:val="left" w:pos="720"/>
        <w:tab w:val="left" w:pos="1440"/>
        <w:tab w:val="left" w:pos="2160"/>
        <w:tab w:val="left" w:pos="2880"/>
        <w:tab w:val="left" w:pos="3600"/>
      </w:tabs>
      <w:ind w:left="720" w:right="720"/>
    </w:pPr>
    <w:rPr>
      <w:szCs w:val="20"/>
    </w:rPr>
  </w:style>
  <w:style w:type="paragraph" w:customStyle="1" w:styleId="Para">
    <w:name w:val="Para"/>
    <w:rsid w:val="005D737A"/>
    <w:pPr>
      <w:spacing w:after="120"/>
      <w:ind w:left="720" w:firstLine="720"/>
    </w:pPr>
    <w:rPr>
      <w:rFonts w:ascii="Times New Roman" w:hAnsi="Times New Roman"/>
      <w:snapToGrid w:val="0"/>
      <w:sz w:val="26"/>
    </w:rPr>
  </w:style>
  <w:style w:type="paragraph" w:customStyle="1" w:styleId="ListNumbered">
    <w:name w:val="ListNumbered"/>
    <w:rsid w:val="005D737A"/>
    <w:pPr>
      <w:widowControl w:val="0"/>
      <w:spacing w:before="120" w:after="120"/>
      <w:ind w:left="1800" w:hanging="360"/>
      <w:contextualSpacing/>
    </w:pPr>
    <w:rPr>
      <w:rFonts w:ascii="Times New Roman" w:hAnsi="Times New Roman"/>
      <w:snapToGrid w:val="0"/>
      <w:sz w:val="26"/>
    </w:rPr>
  </w:style>
  <w:style w:type="paragraph" w:customStyle="1" w:styleId="H2">
    <w:name w:val="H2"/>
    <w:next w:val="Para"/>
    <w:rsid w:val="005D737A"/>
    <w:pPr>
      <w:keepNext/>
      <w:widowControl w:val="0"/>
      <w:spacing w:before="360" w:after="240"/>
      <w:outlineLvl w:val="2"/>
    </w:pPr>
    <w:rPr>
      <w:rFonts w:ascii="Arial" w:hAnsi="Arial"/>
      <w:b/>
      <w:snapToGrid w:val="0"/>
      <w:sz w:val="40"/>
      <w:u w:val="single"/>
    </w:rPr>
  </w:style>
  <w:style w:type="paragraph" w:customStyle="1" w:styleId="TableCaption">
    <w:name w:val="TableCaption"/>
    <w:basedOn w:val="Normal"/>
    <w:rsid w:val="005D737A"/>
    <w:pPr>
      <w:keepNext/>
      <w:widowControl w:val="0"/>
      <w:spacing w:before="240" w:after="120" w:line="276" w:lineRule="auto"/>
    </w:pPr>
    <w:rPr>
      <w:rFonts w:ascii="Arial" w:eastAsia="Cambria" w:hAnsi="Arial"/>
      <w:b/>
      <w:snapToGrid w:val="0"/>
      <w:sz w:val="22"/>
      <w:szCs w:val="22"/>
    </w:rPr>
  </w:style>
  <w:style w:type="paragraph" w:customStyle="1" w:styleId="TableEntry">
    <w:name w:val="TableEntry"/>
    <w:rsid w:val="005D737A"/>
    <w:pPr>
      <w:spacing w:after="60"/>
    </w:pPr>
    <w:rPr>
      <w:rFonts w:ascii="Arial" w:hAnsi="Arial"/>
      <w:sz w:val="22"/>
    </w:rPr>
  </w:style>
  <w:style w:type="paragraph" w:customStyle="1" w:styleId="TableHead">
    <w:name w:val="TableHead"/>
    <w:rsid w:val="005D737A"/>
    <w:pPr>
      <w:keepNext/>
    </w:pPr>
    <w:rPr>
      <w:rFonts w:ascii="Arial" w:hAnsi="Arial"/>
      <w:b/>
      <w:smallCaps/>
      <w:sz w:val="22"/>
    </w:rPr>
  </w:style>
  <w:style w:type="paragraph" w:customStyle="1" w:styleId="H1">
    <w:name w:val="H1"/>
    <w:next w:val="Para"/>
    <w:rsid w:val="005D737A"/>
    <w:pPr>
      <w:keepNext/>
      <w:widowControl w:val="0"/>
      <w:pBdr>
        <w:top w:val="single" w:sz="4" w:space="1" w:color="auto"/>
      </w:pBdr>
      <w:spacing w:before="480" w:after="360"/>
      <w:outlineLvl w:val="1"/>
    </w:pPr>
    <w:rPr>
      <w:rFonts w:ascii="Arial" w:hAnsi="Arial"/>
      <w:b/>
      <w:sz w:val="52"/>
    </w:rPr>
  </w:style>
  <w:style w:type="paragraph" w:customStyle="1" w:styleId="ExtractPara">
    <w:name w:val="ExtractPara"/>
    <w:rsid w:val="005D737A"/>
    <w:pPr>
      <w:spacing w:before="120" w:after="120"/>
      <w:ind w:left="2160" w:right="720"/>
    </w:pPr>
    <w:rPr>
      <w:rFonts w:ascii="Times New Roman" w:hAnsi="Times New Roman"/>
      <w:snapToGrid w:val="0"/>
    </w:rPr>
  </w:style>
  <w:style w:type="paragraph" w:styleId="Date">
    <w:name w:val="Date"/>
    <w:basedOn w:val="Normal"/>
    <w:next w:val="Normal"/>
    <w:link w:val="DateChar"/>
    <w:uiPriority w:val="99"/>
    <w:rsid w:val="005D737A"/>
    <w:pPr>
      <w:autoSpaceDE w:val="0"/>
      <w:autoSpaceDN w:val="0"/>
    </w:pPr>
    <w:rPr>
      <w:rFonts w:ascii="Times" w:eastAsia="MS Mincho" w:hAnsi="Times"/>
    </w:rPr>
  </w:style>
  <w:style w:type="character" w:customStyle="1" w:styleId="DateChar">
    <w:name w:val="Date Char"/>
    <w:link w:val="Date"/>
    <w:uiPriority w:val="99"/>
    <w:rsid w:val="005D737A"/>
    <w:rPr>
      <w:rFonts w:ascii="Times" w:eastAsia="MS Mincho" w:hAnsi="Times" w:cs="Times"/>
      <w:sz w:val="24"/>
      <w:szCs w:val="24"/>
    </w:rPr>
  </w:style>
  <w:style w:type="character" w:styleId="Strong">
    <w:name w:val="Strong"/>
    <w:uiPriority w:val="22"/>
    <w:qFormat/>
    <w:rsid w:val="005D737A"/>
    <w:rPr>
      <w:b/>
      <w:bCs/>
    </w:rPr>
  </w:style>
  <w:style w:type="character" w:customStyle="1" w:styleId="medium-font">
    <w:name w:val="medium-font"/>
    <w:basedOn w:val="DefaultParagraphFont"/>
    <w:rsid w:val="005D737A"/>
  </w:style>
  <w:style w:type="character" w:customStyle="1" w:styleId="title-link-wrapper">
    <w:name w:val="title-link-wrapper"/>
    <w:basedOn w:val="DefaultParagraphFont"/>
    <w:rsid w:val="005D737A"/>
  </w:style>
  <w:style w:type="character" w:customStyle="1" w:styleId="LightGrid-Accent11">
    <w:name w:val="Light Grid - Accent 11"/>
    <w:uiPriority w:val="99"/>
    <w:rsid w:val="005D737A"/>
    <w:rPr>
      <w:color w:val="808080"/>
    </w:rPr>
  </w:style>
  <w:style w:type="table" w:customStyle="1" w:styleId="TableGrid1">
    <w:name w:val="Table Grid1"/>
    <w:basedOn w:val="TableNormal"/>
    <w:next w:val="TableGrid"/>
    <w:rsid w:val="000066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066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5D39"/>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B6D66"/>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BodyText3">
    <w:name w:val="Body Text 3"/>
    <w:basedOn w:val="Normal"/>
    <w:link w:val="BodyText3Char"/>
    <w:rsid w:val="00007B5E"/>
    <w:pPr>
      <w:spacing w:after="120"/>
    </w:pPr>
    <w:rPr>
      <w:sz w:val="16"/>
      <w:szCs w:val="16"/>
    </w:rPr>
  </w:style>
  <w:style w:type="character" w:customStyle="1" w:styleId="BodyText3Char">
    <w:name w:val="Body Text 3 Char"/>
    <w:basedOn w:val="DefaultParagraphFont"/>
    <w:link w:val="BodyText3"/>
    <w:rsid w:val="00007B5E"/>
    <w:rPr>
      <w:rFonts w:ascii="Times New Roman" w:hAnsi="Times New Roman"/>
      <w:sz w:val="16"/>
      <w:szCs w:val="16"/>
    </w:rPr>
  </w:style>
  <w:style w:type="paragraph" w:styleId="Revision">
    <w:name w:val="Revision"/>
    <w:hidden/>
    <w:rsid w:val="005F5CF4"/>
    <w:rPr>
      <w:rFonts w:ascii="Times New Roman" w:hAnsi="Times New Roman"/>
    </w:rPr>
  </w:style>
  <w:style w:type="character" w:styleId="LineNumber">
    <w:name w:val="line number"/>
    <w:basedOn w:val="DefaultParagraphFont"/>
    <w:rsid w:val="00190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C1C69"/>
    <w:rPr>
      <w:rFonts w:ascii="Times New Roman" w:hAnsi="Times New Roman"/>
    </w:rPr>
  </w:style>
  <w:style w:type="paragraph" w:styleId="Heading1">
    <w:name w:val="heading 1"/>
    <w:basedOn w:val="Normal"/>
    <w:next w:val="APANormal"/>
    <w:link w:val="Heading1Char"/>
    <w:qFormat/>
    <w:rsid w:val="001C1C69"/>
    <w:pPr>
      <w:keepNext/>
      <w:spacing w:line="480" w:lineRule="auto"/>
      <w:jc w:val="center"/>
      <w:outlineLvl w:val="0"/>
    </w:pPr>
    <w:rPr>
      <w:kern w:val="32"/>
    </w:rPr>
  </w:style>
  <w:style w:type="paragraph" w:styleId="Heading2">
    <w:name w:val="heading 2"/>
    <w:basedOn w:val="Normal"/>
    <w:next w:val="Normal"/>
    <w:link w:val="Heading2Char"/>
    <w:uiPriority w:val="9"/>
    <w:qFormat/>
    <w:rsid w:val="005D737A"/>
    <w:pPr>
      <w:keepNext/>
      <w:spacing w:before="240" w:after="60"/>
      <w:jc w:val="center"/>
      <w:outlineLvl w:val="1"/>
    </w:pPr>
    <w:rPr>
      <w:bCs/>
      <w:i/>
      <w:iCs/>
      <w:szCs w:val="28"/>
    </w:rPr>
  </w:style>
  <w:style w:type="paragraph" w:styleId="Heading3">
    <w:name w:val="heading 3"/>
    <w:basedOn w:val="Normal"/>
    <w:next w:val="Normal"/>
    <w:link w:val="Heading3Char"/>
    <w:uiPriority w:val="9"/>
    <w:qFormat/>
    <w:rsid w:val="005D737A"/>
    <w:pPr>
      <w:keepNext/>
      <w:spacing w:before="240" w:after="60"/>
      <w:outlineLvl w:val="2"/>
    </w:pPr>
    <w:rPr>
      <w:bCs/>
      <w:i/>
      <w:szCs w:val="26"/>
    </w:rPr>
  </w:style>
  <w:style w:type="paragraph" w:styleId="Heading4">
    <w:name w:val="heading 4"/>
    <w:basedOn w:val="Normal"/>
    <w:next w:val="Normal"/>
    <w:link w:val="Heading4Char2"/>
    <w:autoRedefine/>
    <w:qFormat/>
    <w:rsid w:val="005D737A"/>
    <w:pPr>
      <w:outlineLvl w:val="3"/>
    </w:pPr>
    <w:rPr>
      <w:i/>
    </w:rPr>
  </w:style>
  <w:style w:type="paragraph" w:styleId="Heading5">
    <w:name w:val="heading 5"/>
    <w:basedOn w:val="Normal"/>
    <w:next w:val="Normal"/>
    <w:link w:val="Heading5Char"/>
    <w:qFormat/>
    <w:rsid w:val="005D73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Normal">
    <w:name w:val="APA Normal"/>
    <w:basedOn w:val="Normal"/>
    <w:rsid w:val="001C1C69"/>
    <w:pPr>
      <w:spacing w:line="480" w:lineRule="auto"/>
      <w:ind w:firstLine="720"/>
    </w:pPr>
  </w:style>
  <w:style w:type="character" w:customStyle="1" w:styleId="Heading1Char">
    <w:name w:val="Heading 1 Char"/>
    <w:link w:val="Heading1"/>
    <w:locked/>
    <w:rsid w:val="001C1C69"/>
    <w:rPr>
      <w:rFonts w:ascii="Times New Roman" w:hAnsi="Times New Roman" w:cs="Times New Roman"/>
      <w:kern w:val="32"/>
      <w:sz w:val="24"/>
      <w:szCs w:val="24"/>
    </w:rPr>
  </w:style>
  <w:style w:type="character" w:customStyle="1" w:styleId="Heading2Char">
    <w:name w:val="Heading 2 Char"/>
    <w:link w:val="Heading2"/>
    <w:uiPriority w:val="9"/>
    <w:rsid w:val="005D737A"/>
    <w:rPr>
      <w:rFonts w:ascii="Times New Roman" w:hAnsi="Times New Roman" w:cs="Arial"/>
      <w:bCs/>
      <w:i/>
      <w:iCs/>
      <w:sz w:val="24"/>
      <w:szCs w:val="28"/>
    </w:rPr>
  </w:style>
  <w:style w:type="character" w:customStyle="1" w:styleId="Heading3Char">
    <w:name w:val="Heading 3 Char"/>
    <w:link w:val="Heading3"/>
    <w:uiPriority w:val="9"/>
    <w:rsid w:val="005D737A"/>
    <w:rPr>
      <w:rFonts w:ascii="Times New Roman" w:hAnsi="Times New Roman" w:cs="Arial"/>
      <w:bCs/>
      <w:i/>
      <w:sz w:val="24"/>
      <w:szCs w:val="26"/>
    </w:rPr>
  </w:style>
  <w:style w:type="character" w:customStyle="1" w:styleId="Heading4Char2">
    <w:name w:val="Heading 4 Char2"/>
    <w:link w:val="Heading4"/>
    <w:rsid w:val="005D737A"/>
    <w:rPr>
      <w:rFonts w:ascii="Times New Roman" w:hAnsi="Times New Roman"/>
      <w:i/>
      <w:sz w:val="24"/>
      <w:szCs w:val="24"/>
    </w:rPr>
  </w:style>
  <w:style w:type="character" w:customStyle="1" w:styleId="Heading5Char">
    <w:name w:val="Heading 5 Char"/>
    <w:link w:val="Heading5"/>
    <w:rsid w:val="005D737A"/>
    <w:rPr>
      <w:rFonts w:ascii="Times New Roman" w:hAnsi="Times New Roman"/>
      <w:b/>
      <w:bCs/>
      <w:i/>
      <w:iCs/>
      <w:sz w:val="26"/>
      <w:szCs w:val="26"/>
    </w:rPr>
  </w:style>
  <w:style w:type="character" w:customStyle="1" w:styleId="CharChar6">
    <w:name w:val="Char Char6"/>
    <w:rsid w:val="001C1C69"/>
    <w:rPr>
      <w:rFonts w:ascii="Times New Roman" w:hAnsi="Times New Roman" w:cs="Times New Roman"/>
      <w:kern w:val="32"/>
      <w:sz w:val="24"/>
      <w:szCs w:val="24"/>
    </w:rPr>
  </w:style>
  <w:style w:type="paragraph" w:styleId="BodyText2">
    <w:name w:val="Body Text 2"/>
    <w:basedOn w:val="Normal"/>
    <w:link w:val="BodyText2Char"/>
    <w:rsid w:val="001C1C69"/>
    <w:pPr>
      <w:ind w:firstLine="720"/>
    </w:pPr>
  </w:style>
  <w:style w:type="character" w:customStyle="1" w:styleId="BodyText2Char">
    <w:name w:val="Body Text 2 Char"/>
    <w:link w:val="BodyText2"/>
    <w:semiHidden/>
    <w:locked/>
    <w:rsid w:val="00C51D85"/>
    <w:rPr>
      <w:rFonts w:ascii="Times New Roman" w:hAnsi="Times New Roman" w:cs="Times New Roman"/>
      <w:sz w:val="24"/>
      <w:szCs w:val="24"/>
    </w:rPr>
  </w:style>
  <w:style w:type="character" w:customStyle="1" w:styleId="CharChar5">
    <w:name w:val="Char Char5"/>
    <w:rsid w:val="001C1C69"/>
    <w:rPr>
      <w:rFonts w:ascii="Times New Roman" w:hAnsi="Times New Roman" w:cs="Times New Roman"/>
      <w:sz w:val="24"/>
      <w:szCs w:val="24"/>
    </w:rPr>
  </w:style>
  <w:style w:type="character" w:styleId="CommentReference">
    <w:name w:val="annotation reference"/>
    <w:uiPriority w:val="99"/>
    <w:semiHidden/>
    <w:rsid w:val="001C1C69"/>
    <w:rPr>
      <w:rFonts w:ascii="Times New Roman" w:hAnsi="Times New Roman" w:cs="Times New Roman"/>
      <w:sz w:val="16"/>
      <w:szCs w:val="16"/>
    </w:rPr>
  </w:style>
  <w:style w:type="paragraph" w:styleId="CommentText">
    <w:name w:val="annotation text"/>
    <w:basedOn w:val="Normal"/>
    <w:next w:val="BalloonText"/>
    <w:link w:val="CommentTextChar"/>
    <w:uiPriority w:val="99"/>
    <w:semiHidden/>
    <w:rsid w:val="00B441B9"/>
    <w:rPr>
      <w:sz w:val="20"/>
      <w:szCs w:val="20"/>
    </w:rPr>
  </w:style>
  <w:style w:type="paragraph" w:styleId="BalloonText">
    <w:name w:val="Balloon Text"/>
    <w:basedOn w:val="Normal"/>
    <w:link w:val="BalloonTextChar"/>
    <w:uiPriority w:val="99"/>
    <w:semiHidden/>
    <w:rsid w:val="00B441B9"/>
    <w:rPr>
      <w:sz w:val="16"/>
      <w:szCs w:val="20"/>
    </w:rPr>
  </w:style>
  <w:style w:type="character" w:customStyle="1" w:styleId="BalloonTextChar">
    <w:name w:val="Balloon Text Char"/>
    <w:link w:val="BalloonText"/>
    <w:uiPriority w:val="99"/>
    <w:semiHidden/>
    <w:locked/>
    <w:rsid w:val="00B441B9"/>
    <w:rPr>
      <w:rFonts w:ascii="Times New Roman" w:hAnsi="Times New Roman"/>
      <w:sz w:val="16"/>
    </w:rPr>
  </w:style>
  <w:style w:type="character" w:customStyle="1" w:styleId="CommentTextChar">
    <w:name w:val="Comment Text Char"/>
    <w:link w:val="CommentText"/>
    <w:uiPriority w:val="99"/>
    <w:semiHidden/>
    <w:locked/>
    <w:rsid w:val="00B441B9"/>
    <w:rPr>
      <w:rFonts w:ascii="Times New Roman" w:hAnsi="Times New Roman"/>
    </w:rPr>
  </w:style>
  <w:style w:type="character" w:customStyle="1" w:styleId="CharChar4">
    <w:name w:val="Char Char4"/>
    <w:rsid w:val="001C1C69"/>
    <w:rPr>
      <w:rFonts w:ascii="Times New Roman" w:hAnsi="Times New Roman" w:cs="Times New Roman"/>
      <w:sz w:val="20"/>
      <w:szCs w:val="20"/>
    </w:rPr>
  </w:style>
  <w:style w:type="paragraph" w:styleId="BodyText">
    <w:name w:val="Body Text"/>
    <w:basedOn w:val="Normal"/>
    <w:link w:val="BodyTextChar"/>
    <w:uiPriority w:val="99"/>
    <w:rsid w:val="001C1C69"/>
    <w:pPr>
      <w:jc w:val="center"/>
    </w:pPr>
  </w:style>
  <w:style w:type="character" w:customStyle="1" w:styleId="BodyTextChar">
    <w:name w:val="Body Text Char"/>
    <w:link w:val="BodyText"/>
    <w:uiPriority w:val="99"/>
    <w:locked/>
    <w:rsid w:val="00C51D85"/>
    <w:rPr>
      <w:rFonts w:ascii="Times New Roman" w:hAnsi="Times New Roman" w:cs="Times New Roman"/>
      <w:sz w:val="24"/>
      <w:szCs w:val="24"/>
    </w:rPr>
  </w:style>
  <w:style w:type="character" w:customStyle="1" w:styleId="CharChar3">
    <w:name w:val="Char Char3"/>
    <w:rsid w:val="001C1C69"/>
    <w:rPr>
      <w:rFonts w:ascii="Times New Roman" w:hAnsi="Times New Roman" w:cs="Times New Roman"/>
      <w:b/>
      <w:bCs/>
      <w:sz w:val="24"/>
      <w:szCs w:val="24"/>
    </w:rPr>
  </w:style>
  <w:style w:type="character" w:customStyle="1" w:styleId="APANormalChar">
    <w:name w:val="APA Normal Char"/>
    <w:rsid w:val="001C1C69"/>
    <w:rPr>
      <w:rFonts w:ascii="Times New Roman" w:hAnsi="Times New Roman" w:cs="Times New Roman"/>
      <w:sz w:val="24"/>
      <w:szCs w:val="24"/>
    </w:rPr>
  </w:style>
  <w:style w:type="paragraph" w:customStyle="1" w:styleId="APAReferences">
    <w:name w:val="APA References"/>
    <w:basedOn w:val="Normal"/>
    <w:rsid w:val="001C1C69"/>
    <w:pPr>
      <w:keepLines/>
      <w:spacing w:after="240"/>
      <w:ind w:left="720" w:hanging="720"/>
    </w:pPr>
  </w:style>
  <w:style w:type="paragraph" w:styleId="Header">
    <w:name w:val="header"/>
    <w:basedOn w:val="Normal"/>
    <w:link w:val="HeaderChar"/>
    <w:uiPriority w:val="99"/>
    <w:rsid w:val="001C1C69"/>
    <w:pPr>
      <w:tabs>
        <w:tab w:val="center" w:pos="4320"/>
        <w:tab w:val="right" w:pos="8640"/>
      </w:tabs>
    </w:pPr>
  </w:style>
  <w:style w:type="character" w:customStyle="1" w:styleId="HeaderChar">
    <w:name w:val="Header Char"/>
    <w:link w:val="Header"/>
    <w:uiPriority w:val="99"/>
    <w:locked/>
    <w:rsid w:val="001C1C69"/>
    <w:rPr>
      <w:rFonts w:ascii="Times New Roman" w:hAnsi="Times New Roman" w:cs="Times New Roman"/>
      <w:sz w:val="24"/>
      <w:szCs w:val="24"/>
    </w:rPr>
  </w:style>
  <w:style w:type="character" w:customStyle="1" w:styleId="CharChar2">
    <w:name w:val="Char Char2"/>
    <w:rsid w:val="001C1C69"/>
    <w:rPr>
      <w:rFonts w:ascii="Times New Roman" w:hAnsi="Times New Roman" w:cs="Times New Roman"/>
      <w:sz w:val="24"/>
      <w:szCs w:val="24"/>
    </w:rPr>
  </w:style>
  <w:style w:type="character" w:styleId="PageNumber">
    <w:name w:val="page number"/>
    <w:rsid w:val="001C1C69"/>
    <w:rPr>
      <w:rFonts w:ascii="Times New Roman" w:hAnsi="Times New Roman" w:cs="Times New Roman"/>
    </w:rPr>
  </w:style>
  <w:style w:type="character" w:customStyle="1" w:styleId="CharChar1">
    <w:name w:val="Char Char1"/>
    <w:rsid w:val="001C1C69"/>
    <w:rPr>
      <w:rFonts w:ascii="Tahoma" w:hAnsi="Tahoma" w:cs="Tahoma"/>
      <w:sz w:val="16"/>
      <w:szCs w:val="16"/>
    </w:rPr>
  </w:style>
  <w:style w:type="paragraph" w:styleId="Footer">
    <w:name w:val="footer"/>
    <w:basedOn w:val="Normal"/>
    <w:link w:val="FooterChar"/>
    <w:uiPriority w:val="99"/>
    <w:rsid w:val="001C1C69"/>
    <w:pPr>
      <w:tabs>
        <w:tab w:val="center" w:pos="4320"/>
        <w:tab w:val="right" w:pos="8640"/>
      </w:tabs>
    </w:pPr>
  </w:style>
  <w:style w:type="character" w:customStyle="1" w:styleId="FooterChar">
    <w:name w:val="Footer Char"/>
    <w:link w:val="Footer"/>
    <w:uiPriority w:val="99"/>
    <w:locked/>
    <w:rsid w:val="00C51D85"/>
    <w:rPr>
      <w:rFonts w:ascii="Times New Roman" w:hAnsi="Times New Roman" w:cs="Times New Roman"/>
      <w:sz w:val="24"/>
      <w:szCs w:val="24"/>
    </w:rPr>
  </w:style>
  <w:style w:type="character" w:customStyle="1" w:styleId="CharChar">
    <w:name w:val="Char Char"/>
    <w:rsid w:val="001C1C6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C1C69"/>
    <w:rPr>
      <w:b/>
      <w:bCs/>
    </w:rPr>
  </w:style>
  <w:style w:type="character" w:customStyle="1" w:styleId="CommentSubjectChar">
    <w:name w:val="Comment Subject Char"/>
    <w:link w:val="CommentSubject"/>
    <w:uiPriority w:val="99"/>
    <w:semiHidden/>
    <w:locked/>
    <w:rsid w:val="00C51D85"/>
    <w:rPr>
      <w:rFonts w:ascii="Times New Roman" w:hAnsi="Times New Roman" w:cs="Times New Roman"/>
      <w:b/>
      <w:bCs/>
      <w:sz w:val="20"/>
      <w:szCs w:val="20"/>
    </w:rPr>
  </w:style>
  <w:style w:type="character" w:customStyle="1" w:styleId="BodyTextIndentChar">
    <w:name w:val="Body Text Indent Char"/>
    <w:link w:val="BodyTextIndent"/>
    <w:rsid w:val="001C1C69"/>
    <w:rPr>
      <w:rFonts w:ascii="Times New Roman" w:hAnsi="Times New Roman" w:cs="Times New Roman"/>
      <w:sz w:val="24"/>
      <w:szCs w:val="24"/>
    </w:rPr>
  </w:style>
  <w:style w:type="paragraph" w:styleId="BodyTextIndent">
    <w:name w:val="Body Text Indent"/>
    <w:basedOn w:val="Normal"/>
    <w:link w:val="BodyTextIndentChar"/>
    <w:rsid w:val="005D737A"/>
    <w:pPr>
      <w:ind w:left="720" w:hanging="720"/>
    </w:pPr>
  </w:style>
  <w:style w:type="character" w:styleId="Hyperlink">
    <w:name w:val="Hyperlink"/>
    <w:uiPriority w:val="99"/>
    <w:rsid w:val="001C1C69"/>
    <w:rPr>
      <w:rFonts w:ascii="Times New Roman" w:hAnsi="Times New Roman" w:cs="Times New Roman"/>
      <w:color w:val="0000FF"/>
      <w:u w:val="single"/>
    </w:rPr>
  </w:style>
  <w:style w:type="paragraph" w:styleId="NormalWeb">
    <w:name w:val="Normal (Web)"/>
    <w:basedOn w:val="Normal"/>
    <w:rsid w:val="001C1C69"/>
    <w:pPr>
      <w:spacing w:before="100" w:beforeAutospacing="1" w:after="100" w:afterAutospacing="1"/>
    </w:pPr>
  </w:style>
  <w:style w:type="character" w:styleId="Emphasis">
    <w:name w:val="Emphasis"/>
    <w:qFormat/>
    <w:rsid w:val="001C1C69"/>
    <w:rPr>
      <w:rFonts w:ascii="Times New Roman" w:hAnsi="Times New Roman" w:cs="Times New Roman"/>
      <w:i/>
      <w:iCs/>
    </w:rPr>
  </w:style>
  <w:style w:type="character" w:customStyle="1" w:styleId="EmailStyle461">
    <w:name w:val="EmailStyle461"/>
    <w:rsid w:val="001C1C69"/>
    <w:rPr>
      <w:rFonts w:ascii="Arial" w:hAnsi="Arial" w:cs="Arial"/>
      <w:color w:val="000000"/>
      <w:sz w:val="24"/>
      <w:szCs w:val="24"/>
      <w:u w:val="none"/>
    </w:rPr>
  </w:style>
  <w:style w:type="table" w:styleId="TableGrid">
    <w:name w:val="Table Grid"/>
    <w:basedOn w:val="TableNormal"/>
    <w:rsid w:val="00D86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rkList-Accent51">
    <w:name w:val="Dark List - Accent 51"/>
    <w:basedOn w:val="Normal"/>
    <w:rsid w:val="00D861B8"/>
    <w:pPr>
      <w:ind w:left="720"/>
      <w:contextualSpacing/>
    </w:pPr>
  </w:style>
  <w:style w:type="paragraph" w:customStyle="1" w:styleId="DarkList-Accent31">
    <w:name w:val="Dark List - Accent 31"/>
    <w:hidden/>
    <w:rsid w:val="00BE4BCD"/>
    <w:rPr>
      <w:rFonts w:ascii="Times New Roman" w:hAnsi="Times New Roman"/>
    </w:rPr>
  </w:style>
  <w:style w:type="character" w:customStyle="1" w:styleId="apple-style-span">
    <w:name w:val="apple-style-span"/>
    <w:basedOn w:val="DefaultParagraphFont"/>
    <w:rsid w:val="008D61F3"/>
  </w:style>
  <w:style w:type="paragraph" w:customStyle="1" w:styleId="MediumGrid3-Accent51">
    <w:name w:val="Medium Grid 3 - Accent 51"/>
    <w:hidden/>
    <w:rsid w:val="0069420D"/>
    <w:rPr>
      <w:rFonts w:ascii="Times New Roman" w:hAnsi="Times New Roman"/>
    </w:rPr>
  </w:style>
  <w:style w:type="paragraph" w:customStyle="1" w:styleId="LightShading-Accent51">
    <w:name w:val="Light Shading - Accent 51"/>
    <w:hidden/>
    <w:rsid w:val="00B47153"/>
    <w:rPr>
      <w:rFonts w:ascii="Times New Roman" w:hAnsi="Times New Roman"/>
    </w:rPr>
  </w:style>
  <w:style w:type="character" w:customStyle="1" w:styleId="citation-abbreviation">
    <w:name w:val="citation-abbreviation"/>
    <w:basedOn w:val="DefaultParagraphFont"/>
    <w:rsid w:val="0029160D"/>
  </w:style>
  <w:style w:type="character" w:customStyle="1" w:styleId="citation-publication-date">
    <w:name w:val="citation-publication-date"/>
    <w:basedOn w:val="DefaultParagraphFont"/>
    <w:rsid w:val="0029160D"/>
  </w:style>
  <w:style w:type="character" w:customStyle="1" w:styleId="citation-volume">
    <w:name w:val="citation-volume"/>
    <w:basedOn w:val="DefaultParagraphFont"/>
    <w:rsid w:val="0029160D"/>
  </w:style>
  <w:style w:type="character" w:customStyle="1" w:styleId="citation-issue">
    <w:name w:val="citation-issue"/>
    <w:basedOn w:val="DefaultParagraphFont"/>
    <w:rsid w:val="0029160D"/>
  </w:style>
  <w:style w:type="character" w:customStyle="1" w:styleId="citation-flpages">
    <w:name w:val="citation-flpages"/>
    <w:basedOn w:val="DefaultParagraphFont"/>
    <w:rsid w:val="0029160D"/>
  </w:style>
  <w:style w:type="character" w:customStyle="1" w:styleId="fm-vol-iss-date">
    <w:name w:val="fm-vol-iss-date"/>
    <w:basedOn w:val="DefaultParagraphFont"/>
    <w:rsid w:val="0029160D"/>
  </w:style>
  <w:style w:type="character" w:customStyle="1" w:styleId="fm-citation-ids-label">
    <w:name w:val="fm-citation-ids-label"/>
    <w:basedOn w:val="DefaultParagraphFont"/>
    <w:rsid w:val="0029160D"/>
  </w:style>
  <w:style w:type="character" w:customStyle="1" w:styleId="eid483526">
    <w:name w:val="e_id483526"/>
    <w:basedOn w:val="DefaultParagraphFont"/>
    <w:rsid w:val="0029160D"/>
  </w:style>
  <w:style w:type="paragraph" w:customStyle="1" w:styleId="MediumList1-Accent41">
    <w:name w:val="Medium List 1 - Accent 41"/>
    <w:hidden/>
    <w:rsid w:val="0029160D"/>
    <w:rPr>
      <w:rFonts w:ascii="Times New Roman" w:hAnsi="Times New Roman"/>
    </w:rPr>
  </w:style>
  <w:style w:type="paragraph" w:customStyle="1" w:styleId="TOCHeading1">
    <w:name w:val="TOC Heading1"/>
    <w:basedOn w:val="Heading1"/>
    <w:next w:val="Normal"/>
    <w:uiPriority w:val="39"/>
    <w:semiHidden/>
    <w:unhideWhenUsed/>
    <w:qFormat/>
    <w:rsid w:val="001E7E10"/>
    <w:pPr>
      <w:keepLines/>
      <w:spacing w:before="480" w:line="276" w:lineRule="auto"/>
      <w:jc w:val="left"/>
      <w:outlineLvl w:val="9"/>
    </w:pPr>
    <w:rPr>
      <w:rFonts w:ascii="Cambria" w:eastAsia="MS Gothic" w:hAnsi="Cambria"/>
      <w:b/>
      <w:bCs/>
      <w:color w:val="365F91"/>
      <w:kern w:val="0"/>
      <w:sz w:val="28"/>
      <w:szCs w:val="28"/>
      <w:lang w:eastAsia="ja-JP"/>
    </w:rPr>
  </w:style>
  <w:style w:type="paragraph" w:styleId="TOC1">
    <w:name w:val="toc 1"/>
    <w:basedOn w:val="Normal"/>
    <w:next w:val="Normal"/>
    <w:autoRedefine/>
    <w:uiPriority w:val="39"/>
    <w:qFormat/>
    <w:rsid w:val="001E7E10"/>
  </w:style>
  <w:style w:type="paragraph" w:customStyle="1" w:styleId="MediumList2-Accent21">
    <w:name w:val="Medium List 2 - Accent 21"/>
    <w:hidden/>
    <w:rsid w:val="00CA30B5"/>
    <w:rPr>
      <w:rFonts w:ascii="Times New Roman" w:hAnsi="Times New Roman"/>
    </w:rPr>
  </w:style>
  <w:style w:type="character" w:customStyle="1" w:styleId="Heading4Char">
    <w:name w:val="Heading 4 Char"/>
    <w:qFormat/>
    <w:rsid w:val="005D737A"/>
    <w:rPr>
      <w:rFonts w:ascii="Cambria" w:eastAsia="Times New Roman" w:hAnsi="Cambria" w:cs="Times New Roman"/>
      <w:b/>
      <w:bCs/>
      <w:sz w:val="28"/>
      <w:szCs w:val="28"/>
    </w:rPr>
  </w:style>
  <w:style w:type="paragraph" w:styleId="TOC4">
    <w:name w:val="toc 4"/>
    <w:basedOn w:val="Normal"/>
    <w:next w:val="Normal"/>
    <w:link w:val="TOC4Char"/>
    <w:autoRedefine/>
    <w:uiPriority w:val="39"/>
    <w:rsid w:val="005D737A"/>
    <w:pPr>
      <w:ind w:left="720"/>
    </w:pPr>
  </w:style>
  <w:style w:type="character" w:customStyle="1" w:styleId="TOC4Char">
    <w:name w:val="TOC 4 Char"/>
    <w:link w:val="TOC4"/>
    <w:uiPriority w:val="39"/>
    <w:rsid w:val="005D737A"/>
    <w:rPr>
      <w:rFonts w:ascii="Times New Roman" w:hAnsi="Times New Roman"/>
      <w:sz w:val="24"/>
      <w:szCs w:val="24"/>
    </w:rPr>
  </w:style>
  <w:style w:type="paragraph" w:styleId="TOC2">
    <w:name w:val="toc 2"/>
    <w:basedOn w:val="Normal"/>
    <w:next w:val="Normal"/>
    <w:autoRedefine/>
    <w:uiPriority w:val="39"/>
    <w:qFormat/>
    <w:rsid w:val="005D737A"/>
    <w:pPr>
      <w:spacing w:line="360" w:lineRule="auto"/>
      <w:ind w:left="240"/>
    </w:pPr>
  </w:style>
  <w:style w:type="paragraph" w:styleId="TOC3">
    <w:name w:val="toc 3"/>
    <w:basedOn w:val="Normal"/>
    <w:next w:val="Normal"/>
    <w:autoRedefine/>
    <w:uiPriority w:val="39"/>
    <w:qFormat/>
    <w:rsid w:val="005D737A"/>
    <w:pPr>
      <w:spacing w:line="360" w:lineRule="auto"/>
      <w:ind w:left="480"/>
    </w:pPr>
  </w:style>
  <w:style w:type="paragraph" w:styleId="TOC5">
    <w:name w:val="toc 5"/>
    <w:basedOn w:val="Normal"/>
    <w:next w:val="Normal"/>
    <w:autoRedefine/>
    <w:rsid w:val="005D737A"/>
    <w:pPr>
      <w:ind w:left="960"/>
    </w:pPr>
  </w:style>
  <w:style w:type="paragraph" w:styleId="TOC6">
    <w:name w:val="toc 6"/>
    <w:basedOn w:val="Normal"/>
    <w:next w:val="Normal"/>
    <w:autoRedefine/>
    <w:rsid w:val="005D737A"/>
    <w:pPr>
      <w:ind w:left="1200"/>
    </w:pPr>
  </w:style>
  <w:style w:type="paragraph" w:styleId="TOC7">
    <w:name w:val="toc 7"/>
    <w:basedOn w:val="Normal"/>
    <w:next w:val="Normal"/>
    <w:autoRedefine/>
    <w:rsid w:val="005D737A"/>
    <w:pPr>
      <w:ind w:left="1440"/>
    </w:pPr>
  </w:style>
  <w:style w:type="paragraph" w:styleId="TOC8">
    <w:name w:val="toc 8"/>
    <w:basedOn w:val="Normal"/>
    <w:next w:val="Normal"/>
    <w:autoRedefine/>
    <w:rsid w:val="005D737A"/>
    <w:pPr>
      <w:ind w:left="1680"/>
    </w:pPr>
  </w:style>
  <w:style w:type="paragraph" w:styleId="TOC9">
    <w:name w:val="toc 9"/>
    <w:basedOn w:val="Normal"/>
    <w:next w:val="Normal"/>
    <w:autoRedefine/>
    <w:rsid w:val="005D737A"/>
    <w:pPr>
      <w:ind w:left="1920"/>
    </w:pPr>
  </w:style>
  <w:style w:type="character" w:customStyle="1" w:styleId="Heading4Char1">
    <w:name w:val="Heading 4 Char1"/>
    <w:basedOn w:val="TOC4Char"/>
    <w:rsid w:val="005D737A"/>
    <w:rPr>
      <w:rFonts w:ascii="Times New Roman" w:hAnsi="Times New Roman"/>
      <w:sz w:val="24"/>
      <w:szCs w:val="24"/>
    </w:rPr>
  </w:style>
  <w:style w:type="character" w:customStyle="1" w:styleId="BodyTextIndentChar1">
    <w:name w:val="Body Text Indent Char1"/>
    <w:rsid w:val="005D737A"/>
    <w:rPr>
      <w:rFonts w:ascii="Times New Roman" w:hAnsi="Times New Roman"/>
      <w:sz w:val="24"/>
      <w:szCs w:val="24"/>
    </w:rPr>
  </w:style>
  <w:style w:type="paragraph" w:customStyle="1" w:styleId="MediumGrid1-Accent21">
    <w:name w:val="Medium Grid 1 - Accent 21"/>
    <w:basedOn w:val="Normal"/>
    <w:uiPriority w:val="34"/>
    <w:qFormat/>
    <w:rsid w:val="005D737A"/>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uiPriority w:val="99"/>
    <w:unhideWhenUsed/>
    <w:rsid w:val="005D737A"/>
    <w:rPr>
      <w:rFonts w:ascii="Tahoma" w:hAnsi="Tahoma"/>
      <w:sz w:val="16"/>
      <w:szCs w:val="16"/>
    </w:rPr>
  </w:style>
  <w:style w:type="character" w:customStyle="1" w:styleId="DocumentMapChar">
    <w:name w:val="Document Map Char"/>
    <w:link w:val="DocumentMap"/>
    <w:uiPriority w:val="99"/>
    <w:rsid w:val="005D737A"/>
    <w:rPr>
      <w:rFonts w:ascii="Tahoma" w:hAnsi="Tahoma" w:cs="Tahoma"/>
      <w:sz w:val="16"/>
      <w:szCs w:val="16"/>
    </w:rPr>
  </w:style>
  <w:style w:type="paragraph" w:styleId="Caption">
    <w:name w:val="caption"/>
    <w:basedOn w:val="Normal"/>
    <w:next w:val="Normal"/>
    <w:uiPriority w:val="35"/>
    <w:qFormat/>
    <w:rsid w:val="005D737A"/>
    <w:rPr>
      <w:b/>
      <w:bCs/>
      <w:sz w:val="20"/>
      <w:szCs w:val="20"/>
    </w:rPr>
  </w:style>
  <w:style w:type="paragraph" w:styleId="Title">
    <w:name w:val="Title"/>
    <w:basedOn w:val="Normal"/>
    <w:link w:val="TitleChar"/>
    <w:qFormat/>
    <w:rsid w:val="005D737A"/>
    <w:pPr>
      <w:widowControl w:val="0"/>
      <w:tabs>
        <w:tab w:val="left" w:pos="-1440"/>
      </w:tabs>
      <w:jc w:val="center"/>
    </w:pPr>
    <w:rPr>
      <w:b/>
      <w:snapToGrid w:val="0"/>
      <w:szCs w:val="20"/>
    </w:rPr>
  </w:style>
  <w:style w:type="character" w:customStyle="1" w:styleId="TitleChar">
    <w:name w:val="Title Char"/>
    <w:link w:val="Title"/>
    <w:rsid w:val="005D737A"/>
    <w:rPr>
      <w:rFonts w:ascii="Times New Roman" w:hAnsi="Times New Roman"/>
      <w:b/>
      <w:snapToGrid w:val="0"/>
      <w:sz w:val="24"/>
    </w:rPr>
  </w:style>
  <w:style w:type="paragraph" w:styleId="BodyTextIndent2">
    <w:name w:val="Body Text Indent 2"/>
    <w:basedOn w:val="Normal"/>
    <w:link w:val="BodyTextIndent2Char"/>
    <w:uiPriority w:val="99"/>
    <w:rsid w:val="005D737A"/>
    <w:pPr>
      <w:spacing w:after="120"/>
      <w:ind w:left="360"/>
    </w:pPr>
  </w:style>
  <w:style w:type="character" w:customStyle="1" w:styleId="BodyTextIndent2Char">
    <w:name w:val="Body Text Indent 2 Char"/>
    <w:link w:val="BodyTextIndent2"/>
    <w:uiPriority w:val="99"/>
    <w:rsid w:val="005D737A"/>
    <w:rPr>
      <w:rFonts w:ascii="Times New Roman" w:hAnsi="Times New Roman"/>
      <w:sz w:val="24"/>
      <w:szCs w:val="24"/>
    </w:rPr>
  </w:style>
  <w:style w:type="paragraph" w:customStyle="1" w:styleId="Default">
    <w:name w:val="Default"/>
    <w:rsid w:val="005D737A"/>
    <w:pPr>
      <w:autoSpaceDE w:val="0"/>
      <w:autoSpaceDN w:val="0"/>
      <w:adjustRightInd w:val="0"/>
    </w:pPr>
    <w:rPr>
      <w:rFonts w:ascii="Times New Roman" w:hAnsi="Times New Roman"/>
      <w:color w:val="000000"/>
    </w:rPr>
  </w:style>
  <w:style w:type="paragraph" w:customStyle="1" w:styleId="TherapistNote">
    <w:name w:val="Therapist Note"/>
    <w:basedOn w:val="BodyText"/>
    <w:rsid w:val="005D73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hanging="720"/>
      <w:jc w:val="left"/>
    </w:pPr>
    <w:rPr>
      <w:rFonts w:ascii="CG Times (WN)" w:hAnsi="CG Times (WN)"/>
      <w:sz w:val="20"/>
    </w:rPr>
  </w:style>
  <w:style w:type="paragraph" w:styleId="BlockText">
    <w:name w:val="Block Text"/>
    <w:basedOn w:val="Normal"/>
    <w:rsid w:val="005D737A"/>
    <w:pPr>
      <w:tabs>
        <w:tab w:val="left" w:pos="720"/>
        <w:tab w:val="left" w:pos="1440"/>
        <w:tab w:val="left" w:pos="2160"/>
        <w:tab w:val="left" w:pos="2880"/>
        <w:tab w:val="left" w:pos="3600"/>
      </w:tabs>
      <w:ind w:left="720" w:right="720"/>
    </w:pPr>
    <w:rPr>
      <w:szCs w:val="20"/>
    </w:rPr>
  </w:style>
  <w:style w:type="paragraph" w:customStyle="1" w:styleId="Para">
    <w:name w:val="Para"/>
    <w:rsid w:val="005D737A"/>
    <w:pPr>
      <w:spacing w:after="120"/>
      <w:ind w:left="720" w:firstLine="720"/>
    </w:pPr>
    <w:rPr>
      <w:rFonts w:ascii="Times New Roman" w:hAnsi="Times New Roman"/>
      <w:snapToGrid w:val="0"/>
      <w:sz w:val="26"/>
    </w:rPr>
  </w:style>
  <w:style w:type="paragraph" w:customStyle="1" w:styleId="ListNumbered">
    <w:name w:val="ListNumbered"/>
    <w:rsid w:val="005D737A"/>
    <w:pPr>
      <w:widowControl w:val="0"/>
      <w:spacing w:before="120" w:after="120"/>
      <w:ind w:left="1800" w:hanging="360"/>
      <w:contextualSpacing/>
    </w:pPr>
    <w:rPr>
      <w:rFonts w:ascii="Times New Roman" w:hAnsi="Times New Roman"/>
      <w:snapToGrid w:val="0"/>
      <w:sz w:val="26"/>
    </w:rPr>
  </w:style>
  <w:style w:type="paragraph" w:customStyle="1" w:styleId="H2">
    <w:name w:val="H2"/>
    <w:next w:val="Para"/>
    <w:rsid w:val="005D737A"/>
    <w:pPr>
      <w:keepNext/>
      <w:widowControl w:val="0"/>
      <w:spacing w:before="360" w:after="240"/>
      <w:outlineLvl w:val="2"/>
    </w:pPr>
    <w:rPr>
      <w:rFonts w:ascii="Arial" w:hAnsi="Arial"/>
      <w:b/>
      <w:snapToGrid w:val="0"/>
      <w:sz w:val="40"/>
      <w:u w:val="single"/>
    </w:rPr>
  </w:style>
  <w:style w:type="paragraph" w:customStyle="1" w:styleId="TableCaption">
    <w:name w:val="TableCaption"/>
    <w:basedOn w:val="Normal"/>
    <w:rsid w:val="005D737A"/>
    <w:pPr>
      <w:keepNext/>
      <w:widowControl w:val="0"/>
      <w:spacing w:before="240" w:after="120" w:line="276" w:lineRule="auto"/>
    </w:pPr>
    <w:rPr>
      <w:rFonts w:ascii="Arial" w:eastAsia="Cambria" w:hAnsi="Arial"/>
      <w:b/>
      <w:snapToGrid w:val="0"/>
      <w:sz w:val="22"/>
      <w:szCs w:val="22"/>
    </w:rPr>
  </w:style>
  <w:style w:type="paragraph" w:customStyle="1" w:styleId="TableEntry">
    <w:name w:val="TableEntry"/>
    <w:rsid w:val="005D737A"/>
    <w:pPr>
      <w:spacing w:after="60"/>
    </w:pPr>
    <w:rPr>
      <w:rFonts w:ascii="Arial" w:hAnsi="Arial"/>
      <w:sz w:val="22"/>
    </w:rPr>
  </w:style>
  <w:style w:type="paragraph" w:customStyle="1" w:styleId="TableHead">
    <w:name w:val="TableHead"/>
    <w:rsid w:val="005D737A"/>
    <w:pPr>
      <w:keepNext/>
    </w:pPr>
    <w:rPr>
      <w:rFonts w:ascii="Arial" w:hAnsi="Arial"/>
      <w:b/>
      <w:smallCaps/>
      <w:sz w:val="22"/>
    </w:rPr>
  </w:style>
  <w:style w:type="paragraph" w:customStyle="1" w:styleId="H1">
    <w:name w:val="H1"/>
    <w:next w:val="Para"/>
    <w:rsid w:val="005D737A"/>
    <w:pPr>
      <w:keepNext/>
      <w:widowControl w:val="0"/>
      <w:pBdr>
        <w:top w:val="single" w:sz="4" w:space="1" w:color="auto"/>
      </w:pBdr>
      <w:spacing w:before="480" w:after="360"/>
      <w:outlineLvl w:val="1"/>
    </w:pPr>
    <w:rPr>
      <w:rFonts w:ascii="Arial" w:hAnsi="Arial"/>
      <w:b/>
      <w:sz w:val="52"/>
    </w:rPr>
  </w:style>
  <w:style w:type="paragraph" w:customStyle="1" w:styleId="ExtractPara">
    <w:name w:val="ExtractPara"/>
    <w:rsid w:val="005D737A"/>
    <w:pPr>
      <w:spacing w:before="120" w:after="120"/>
      <w:ind w:left="2160" w:right="720"/>
    </w:pPr>
    <w:rPr>
      <w:rFonts w:ascii="Times New Roman" w:hAnsi="Times New Roman"/>
      <w:snapToGrid w:val="0"/>
    </w:rPr>
  </w:style>
  <w:style w:type="paragraph" w:styleId="Date">
    <w:name w:val="Date"/>
    <w:basedOn w:val="Normal"/>
    <w:next w:val="Normal"/>
    <w:link w:val="DateChar"/>
    <w:uiPriority w:val="99"/>
    <w:rsid w:val="005D737A"/>
    <w:pPr>
      <w:autoSpaceDE w:val="0"/>
      <w:autoSpaceDN w:val="0"/>
    </w:pPr>
    <w:rPr>
      <w:rFonts w:ascii="Times" w:eastAsia="MS Mincho" w:hAnsi="Times"/>
    </w:rPr>
  </w:style>
  <w:style w:type="character" w:customStyle="1" w:styleId="DateChar">
    <w:name w:val="Date Char"/>
    <w:link w:val="Date"/>
    <w:uiPriority w:val="99"/>
    <w:rsid w:val="005D737A"/>
    <w:rPr>
      <w:rFonts w:ascii="Times" w:eastAsia="MS Mincho" w:hAnsi="Times" w:cs="Times"/>
      <w:sz w:val="24"/>
      <w:szCs w:val="24"/>
    </w:rPr>
  </w:style>
  <w:style w:type="character" w:styleId="Strong">
    <w:name w:val="Strong"/>
    <w:uiPriority w:val="22"/>
    <w:qFormat/>
    <w:rsid w:val="005D737A"/>
    <w:rPr>
      <w:b/>
      <w:bCs/>
    </w:rPr>
  </w:style>
  <w:style w:type="character" w:customStyle="1" w:styleId="medium-font">
    <w:name w:val="medium-font"/>
    <w:basedOn w:val="DefaultParagraphFont"/>
    <w:rsid w:val="005D737A"/>
  </w:style>
  <w:style w:type="character" w:customStyle="1" w:styleId="title-link-wrapper">
    <w:name w:val="title-link-wrapper"/>
    <w:basedOn w:val="DefaultParagraphFont"/>
    <w:rsid w:val="005D737A"/>
  </w:style>
  <w:style w:type="character" w:customStyle="1" w:styleId="LightGrid-Accent11">
    <w:name w:val="Light Grid - Accent 11"/>
    <w:uiPriority w:val="99"/>
    <w:rsid w:val="005D737A"/>
    <w:rPr>
      <w:color w:val="808080"/>
    </w:rPr>
  </w:style>
  <w:style w:type="table" w:customStyle="1" w:styleId="TableGrid1">
    <w:name w:val="Table Grid1"/>
    <w:basedOn w:val="TableNormal"/>
    <w:next w:val="TableGrid"/>
    <w:rsid w:val="000066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066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5D39"/>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B6D66"/>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BodyText3">
    <w:name w:val="Body Text 3"/>
    <w:basedOn w:val="Normal"/>
    <w:link w:val="BodyText3Char"/>
    <w:rsid w:val="00007B5E"/>
    <w:pPr>
      <w:spacing w:after="120"/>
    </w:pPr>
    <w:rPr>
      <w:sz w:val="16"/>
      <w:szCs w:val="16"/>
    </w:rPr>
  </w:style>
  <w:style w:type="character" w:customStyle="1" w:styleId="BodyText3Char">
    <w:name w:val="Body Text 3 Char"/>
    <w:basedOn w:val="DefaultParagraphFont"/>
    <w:link w:val="BodyText3"/>
    <w:rsid w:val="00007B5E"/>
    <w:rPr>
      <w:rFonts w:ascii="Times New Roman" w:hAnsi="Times New Roman"/>
      <w:sz w:val="16"/>
      <w:szCs w:val="16"/>
    </w:rPr>
  </w:style>
  <w:style w:type="paragraph" w:styleId="Revision">
    <w:name w:val="Revision"/>
    <w:hidden/>
    <w:rsid w:val="005F5CF4"/>
    <w:rPr>
      <w:rFonts w:ascii="Times New Roman" w:hAnsi="Times New Roman"/>
    </w:rPr>
  </w:style>
  <w:style w:type="character" w:styleId="LineNumber">
    <w:name w:val="line number"/>
    <w:basedOn w:val="DefaultParagraphFont"/>
    <w:rsid w:val="0019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728">
      <w:bodyDiv w:val="1"/>
      <w:marLeft w:val="0"/>
      <w:marRight w:val="0"/>
      <w:marTop w:val="0"/>
      <w:marBottom w:val="0"/>
      <w:divBdr>
        <w:top w:val="none" w:sz="0" w:space="0" w:color="auto"/>
        <w:left w:val="none" w:sz="0" w:space="0" w:color="auto"/>
        <w:bottom w:val="none" w:sz="0" w:space="0" w:color="auto"/>
        <w:right w:val="none" w:sz="0" w:space="0" w:color="auto"/>
      </w:divBdr>
    </w:div>
    <w:div w:id="110444767">
      <w:bodyDiv w:val="1"/>
      <w:marLeft w:val="0"/>
      <w:marRight w:val="0"/>
      <w:marTop w:val="0"/>
      <w:marBottom w:val="0"/>
      <w:divBdr>
        <w:top w:val="none" w:sz="0" w:space="0" w:color="auto"/>
        <w:left w:val="none" w:sz="0" w:space="0" w:color="auto"/>
        <w:bottom w:val="none" w:sz="0" w:space="0" w:color="auto"/>
        <w:right w:val="none" w:sz="0" w:space="0" w:color="auto"/>
      </w:divBdr>
    </w:div>
    <w:div w:id="192501445">
      <w:bodyDiv w:val="1"/>
      <w:marLeft w:val="0"/>
      <w:marRight w:val="0"/>
      <w:marTop w:val="0"/>
      <w:marBottom w:val="0"/>
      <w:divBdr>
        <w:top w:val="none" w:sz="0" w:space="0" w:color="auto"/>
        <w:left w:val="none" w:sz="0" w:space="0" w:color="auto"/>
        <w:bottom w:val="none" w:sz="0" w:space="0" w:color="auto"/>
        <w:right w:val="none" w:sz="0" w:space="0" w:color="auto"/>
      </w:divBdr>
    </w:div>
    <w:div w:id="404570445">
      <w:bodyDiv w:val="1"/>
      <w:marLeft w:val="0"/>
      <w:marRight w:val="0"/>
      <w:marTop w:val="0"/>
      <w:marBottom w:val="0"/>
      <w:divBdr>
        <w:top w:val="none" w:sz="0" w:space="0" w:color="auto"/>
        <w:left w:val="none" w:sz="0" w:space="0" w:color="auto"/>
        <w:bottom w:val="none" w:sz="0" w:space="0" w:color="auto"/>
        <w:right w:val="none" w:sz="0" w:space="0" w:color="auto"/>
      </w:divBdr>
    </w:div>
    <w:div w:id="435760221">
      <w:bodyDiv w:val="1"/>
      <w:marLeft w:val="0"/>
      <w:marRight w:val="0"/>
      <w:marTop w:val="0"/>
      <w:marBottom w:val="0"/>
      <w:divBdr>
        <w:top w:val="none" w:sz="0" w:space="0" w:color="auto"/>
        <w:left w:val="none" w:sz="0" w:space="0" w:color="auto"/>
        <w:bottom w:val="none" w:sz="0" w:space="0" w:color="auto"/>
        <w:right w:val="none" w:sz="0" w:space="0" w:color="auto"/>
      </w:divBdr>
    </w:div>
    <w:div w:id="612329016">
      <w:bodyDiv w:val="1"/>
      <w:marLeft w:val="0"/>
      <w:marRight w:val="0"/>
      <w:marTop w:val="0"/>
      <w:marBottom w:val="0"/>
      <w:divBdr>
        <w:top w:val="none" w:sz="0" w:space="0" w:color="auto"/>
        <w:left w:val="none" w:sz="0" w:space="0" w:color="auto"/>
        <w:bottom w:val="none" w:sz="0" w:space="0" w:color="auto"/>
        <w:right w:val="none" w:sz="0" w:space="0" w:color="auto"/>
      </w:divBdr>
      <w:divsChild>
        <w:div w:id="1537738703">
          <w:marLeft w:val="0"/>
          <w:marRight w:val="0"/>
          <w:marTop w:val="0"/>
          <w:marBottom w:val="0"/>
          <w:divBdr>
            <w:top w:val="none" w:sz="0" w:space="0" w:color="auto"/>
            <w:left w:val="none" w:sz="0" w:space="0" w:color="auto"/>
            <w:bottom w:val="none" w:sz="0" w:space="0" w:color="auto"/>
            <w:right w:val="none" w:sz="0" w:space="0" w:color="auto"/>
          </w:divBdr>
          <w:divsChild>
            <w:div w:id="2082555705">
              <w:marLeft w:val="0"/>
              <w:marRight w:val="0"/>
              <w:marTop w:val="0"/>
              <w:marBottom w:val="0"/>
              <w:divBdr>
                <w:top w:val="none" w:sz="0" w:space="0" w:color="auto"/>
                <w:left w:val="none" w:sz="0" w:space="0" w:color="auto"/>
                <w:bottom w:val="none" w:sz="0" w:space="0" w:color="auto"/>
                <w:right w:val="none" w:sz="0" w:space="0" w:color="auto"/>
              </w:divBdr>
            </w:div>
          </w:divsChild>
        </w:div>
        <w:div w:id="1638408992">
          <w:marLeft w:val="0"/>
          <w:marRight w:val="0"/>
          <w:marTop w:val="0"/>
          <w:marBottom w:val="0"/>
          <w:divBdr>
            <w:top w:val="none" w:sz="0" w:space="0" w:color="auto"/>
            <w:left w:val="none" w:sz="0" w:space="0" w:color="auto"/>
            <w:bottom w:val="none" w:sz="0" w:space="0" w:color="auto"/>
            <w:right w:val="none" w:sz="0" w:space="0" w:color="auto"/>
          </w:divBdr>
        </w:div>
      </w:divsChild>
    </w:div>
    <w:div w:id="685642188">
      <w:bodyDiv w:val="1"/>
      <w:marLeft w:val="0"/>
      <w:marRight w:val="0"/>
      <w:marTop w:val="0"/>
      <w:marBottom w:val="0"/>
      <w:divBdr>
        <w:top w:val="none" w:sz="0" w:space="0" w:color="auto"/>
        <w:left w:val="none" w:sz="0" w:space="0" w:color="auto"/>
        <w:bottom w:val="none" w:sz="0" w:space="0" w:color="auto"/>
        <w:right w:val="none" w:sz="0" w:space="0" w:color="auto"/>
      </w:divBdr>
    </w:div>
    <w:div w:id="797917731">
      <w:bodyDiv w:val="1"/>
      <w:marLeft w:val="0"/>
      <w:marRight w:val="0"/>
      <w:marTop w:val="0"/>
      <w:marBottom w:val="0"/>
      <w:divBdr>
        <w:top w:val="none" w:sz="0" w:space="0" w:color="auto"/>
        <w:left w:val="none" w:sz="0" w:space="0" w:color="auto"/>
        <w:bottom w:val="none" w:sz="0" w:space="0" w:color="auto"/>
        <w:right w:val="none" w:sz="0" w:space="0" w:color="auto"/>
      </w:divBdr>
      <w:divsChild>
        <w:div w:id="346831108">
          <w:marLeft w:val="1166"/>
          <w:marRight w:val="0"/>
          <w:marTop w:val="125"/>
          <w:marBottom w:val="0"/>
          <w:divBdr>
            <w:top w:val="none" w:sz="0" w:space="0" w:color="auto"/>
            <w:left w:val="none" w:sz="0" w:space="0" w:color="auto"/>
            <w:bottom w:val="none" w:sz="0" w:space="0" w:color="auto"/>
            <w:right w:val="none" w:sz="0" w:space="0" w:color="auto"/>
          </w:divBdr>
        </w:div>
        <w:div w:id="796753211">
          <w:marLeft w:val="1166"/>
          <w:marRight w:val="0"/>
          <w:marTop w:val="125"/>
          <w:marBottom w:val="0"/>
          <w:divBdr>
            <w:top w:val="none" w:sz="0" w:space="0" w:color="auto"/>
            <w:left w:val="none" w:sz="0" w:space="0" w:color="auto"/>
            <w:bottom w:val="none" w:sz="0" w:space="0" w:color="auto"/>
            <w:right w:val="none" w:sz="0" w:space="0" w:color="auto"/>
          </w:divBdr>
        </w:div>
        <w:div w:id="1096098861">
          <w:marLeft w:val="1166"/>
          <w:marRight w:val="0"/>
          <w:marTop w:val="125"/>
          <w:marBottom w:val="0"/>
          <w:divBdr>
            <w:top w:val="none" w:sz="0" w:space="0" w:color="auto"/>
            <w:left w:val="none" w:sz="0" w:space="0" w:color="auto"/>
            <w:bottom w:val="none" w:sz="0" w:space="0" w:color="auto"/>
            <w:right w:val="none" w:sz="0" w:space="0" w:color="auto"/>
          </w:divBdr>
        </w:div>
        <w:div w:id="1364794572">
          <w:marLeft w:val="1166"/>
          <w:marRight w:val="0"/>
          <w:marTop w:val="125"/>
          <w:marBottom w:val="0"/>
          <w:divBdr>
            <w:top w:val="none" w:sz="0" w:space="0" w:color="auto"/>
            <w:left w:val="none" w:sz="0" w:space="0" w:color="auto"/>
            <w:bottom w:val="none" w:sz="0" w:space="0" w:color="auto"/>
            <w:right w:val="none" w:sz="0" w:space="0" w:color="auto"/>
          </w:divBdr>
        </w:div>
        <w:div w:id="1638803140">
          <w:marLeft w:val="1166"/>
          <w:marRight w:val="0"/>
          <w:marTop w:val="125"/>
          <w:marBottom w:val="0"/>
          <w:divBdr>
            <w:top w:val="none" w:sz="0" w:space="0" w:color="auto"/>
            <w:left w:val="none" w:sz="0" w:space="0" w:color="auto"/>
            <w:bottom w:val="none" w:sz="0" w:space="0" w:color="auto"/>
            <w:right w:val="none" w:sz="0" w:space="0" w:color="auto"/>
          </w:divBdr>
        </w:div>
        <w:div w:id="1878271782">
          <w:marLeft w:val="1166"/>
          <w:marRight w:val="0"/>
          <w:marTop w:val="125"/>
          <w:marBottom w:val="0"/>
          <w:divBdr>
            <w:top w:val="none" w:sz="0" w:space="0" w:color="auto"/>
            <w:left w:val="none" w:sz="0" w:space="0" w:color="auto"/>
            <w:bottom w:val="none" w:sz="0" w:space="0" w:color="auto"/>
            <w:right w:val="none" w:sz="0" w:space="0" w:color="auto"/>
          </w:divBdr>
        </w:div>
        <w:div w:id="1953515102">
          <w:marLeft w:val="1166"/>
          <w:marRight w:val="0"/>
          <w:marTop w:val="125"/>
          <w:marBottom w:val="0"/>
          <w:divBdr>
            <w:top w:val="none" w:sz="0" w:space="0" w:color="auto"/>
            <w:left w:val="none" w:sz="0" w:space="0" w:color="auto"/>
            <w:bottom w:val="none" w:sz="0" w:space="0" w:color="auto"/>
            <w:right w:val="none" w:sz="0" w:space="0" w:color="auto"/>
          </w:divBdr>
        </w:div>
        <w:div w:id="2139638122">
          <w:marLeft w:val="1166"/>
          <w:marRight w:val="0"/>
          <w:marTop w:val="125"/>
          <w:marBottom w:val="0"/>
          <w:divBdr>
            <w:top w:val="none" w:sz="0" w:space="0" w:color="auto"/>
            <w:left w:val="none" w:sz="0" w:space="0" w:color="auto"/>
            <w:bottom w:val="none" w:sz="0" w:space="0" w:color="auto"/>
            <w:right w:val="none" w:sz="0" w:space="0" w:color="auto"/>
          </w:divBdr>
        </w:div>
      </w:divsChild>
    </w:div>
    <w:div w:id="1303924132">
      <w:bodyDiv w:val="1"/>
      <w:marLeft w:val="0"/>
      <w:marRight w:val="0"/>
      <w:marTop w:val="0"/>
      <w:marBottom w:val="0"/>
      <w:divBdr>
        <w:top w:val="none" w:sz="0" w:space="0" w:color="auto"/>
        <w:left w:val="none" w:sz="0" w:space="0" w:color="auto"/>
        <w:bottom w:val="none" w:sz="0" w:space="0" w:color="auto"/>
        <w:right w:val="none" w:sz="0" w:space="0" w:color="auto"/>
      </w:divBdr>
      <w:divsChild>
        <w:div w:id="181434588">
          <w:marLeft w:val="1166"/>
          <w:marRight w:val="0"/>
          <w:marTop w:val="115"/>
          <w:marBottom w:val="0"/>
          <w:divBdr>
            <w:top w:val="none" w:sz="0" w:space="0" w:color="auto"/>
            <w:left w:val="none" w:sz="0" w:space="0" w:color="auto"/>
            <w:bottom w:val="none" w:sz="0" w:space="0" w:color="auto"/>
            <w:right w:val="none" w:sz="0" w:space="0" w:color="auto"/>
          </w:divBdr>
        </w:div>
        <w:div w:id="245916552">
          <w:marLeft w:val="1166"/>
          <w:marRight w:val="0"/>
          <w:marTop w:val="115"/>
          <w:marBottom w:val="0"/>
          <w:divBdr>
            <w:top w:val="none" w:sz="0" w:space="0" w:color="auto"/>
            <w:left w:val="none" w:sz="0" w:space="0" w:color="auto"/>
            <w:bottom w:val="none" w:sz="0" w:space="0" w:color="auto"/>
            <w:right w:val="none" w:sz="0" w:space="0" w:color="auto"/>
          </w:divBdr>
        </w:div>
      </w:divsChild>
    </w:div>
    <w:div w:id="1320307974">
      <w:bodyDiv w:val="1"/>
      <w:marLeft w:val="0"/>
      <w:marRight w:val="0"/>
      <w:marTop w:val="0"/>
      <w:marBottom w:val="0"/>
      <w:divBdr>
        <w:top w:val="none" w:sz="0" w:space="0" w:color="auto"/>
        <w:left w:val="none" w:sz="0" w:space="0" w:color="auto"/>
        <w:bottom w:val="none" w:sz="0" w:space="0" w:color="auto"/>
        <w:right w:val="none" w:sz="0" w:space="0" w:color="auto"/>
      </w:divBdr>
    </w:div>
    <w:div w:id="1419980509">
      <w:bodyDiv w:val="1"/>
      <w:marLeft w:val="0"/>
      <w:marRight w:val="0"/>
      <w:marTop w:val="0"/>
      <w:marBottom w:val="0"/>
      <w:divBdr>
        <w:top w:val="none" w:sz="0" w:space="0" w:color="auto"/>
        <w:left w:val="none" w:sz="0" w:space="0" w:color="auto"/>
        <w:bottom w:val="none" w:sz="0" w:space="0" w:color="auto"/>
        <w:right w:val="none" w:sz="0" w:space="0" w:color="auto"/>
      </w:divBdr>
      <w:divsChild>
        <w:div w:id="1189761052">
          <w:marLeft w:val="0"/>
          <w:marRight w:val="0"/>
          <w:marTop w:val="0"/>
          <w:marBottom w:val="0"/>
          <w:divBdr>
            <w:top w:val="none" w:sz="0" w:space="0" w:color="auto"/>
            <w:left w:val="none" w:sz="0" w:space="0" w:color="auto"/>
            <w:bottom w:val="none" w:sz="0" w:space="0" w:color="auto"/>
            <w:right w:val="none" w:sz="0" w:space="0" w:color="auto"/>
          </w:divBdr>
          <w:divsChild>
            <w:div w:id="175273575">
              <w:marLeft w:val="0"/>
              <w:marRight w:val="0"/>
              <w:marTop w:val="0"/>
              <w:marBottom w:val="0"/>
              <w:divBdr>
                <w:top w:val="none" w:sz="0" w:space="0" w:color="auto"/>
                <w:left w:val="none" w:sz="0" w:space="0" w:color="auto"/>
                <w:bottom w:val="none" w:sz="0" w:space="0" w:color="auto"/>
                <w:right w:val="none" w:sz="0" w:space="0" w:color="auto"/>
              </w:divBdr>
            </w:div>
            <w:div w:id="187721611">
              <w:marLeft w:val="0"/>
              <w:marRight w:val="0"/>
              <w:marTop w:val="0"/>
              <w:marBottom w:val="0"/>
              <w:divBdr>
                <w:top w:val="none" w:sz="0" w:space="0" w:color="auto"/>
                <w:left w:val="none" w:sz="0" w:space="0" w:color="auto"/>
                <w:bottom w:val="none" w:sz="0" w:space="0" w:color="auto"/>
                <w:right w:val="none" w:sz="0" w:space="0" w:color="auto"/>
              </w:divBdr>
              <w:divsChild>
                <w:div w:id="1405685554">
                  <w:marLeft w:val="0"/>
                  <w:marRight w:val="0"/>
                  <w:marTop w:val="0"/>
                  <w:marBottom w:val="0"/>
                  <w:divBdr>
                    <w:top w:val="none" w:sz="0" w:space="0" w:color="auto"/>
                    <w:left w:val="none" w:sz="0" w:space="0" w:color="auto"/>
                    <w:bottom w:val="none" w:sz="0" w:space="0" w:color="auto"/>
                    <w:right w:val="none" w:sz="0" w:space="0" w:color="auto"/>
                  </w:divBdr>
                </w:div>
                <w:div w:id="1884824234">
                  <w:marLeft w:val="0"/>
                  <w:marRight w:val="0"/>
                  <w:marTop w:val="0"/>
                  <w:marBottom w:val="0"/>
                  <w:divBdr>
                    <w:top w:val="none" w:sz="0" w:space="0" w:color="auto"/>
                    <w:left w:val="none" w:sz="0" w:space="0" w:color="auto"/>
                    <w:bottom w:val="none" w:sz="0" w:space="0" w:color="auto"/>
                    <w:right w:val="none" w:sz="0" w:space="0" w:color="auto"/>
                  </w:divBdr>
                </w:div>
              </w:divsChild>
            </w:div>
            <w:div w:id="599141986">
              <w:marLeft w:val="0"/>
              <w:marRight w:val="0"/>
              <w:marTop w:val="0"/>
              <w:marBottom w:val="0"/>
              <w:divBdr>
                <w:top w:val="none" w:sz="0" w:space="0" w:color="auto"/>
                <w:left w:val="none" w:sz="0" w:space="0" w:color="auto"/>
                <w:bottom w:val="none" w:sz="0" w:space="0" w:color="auto"/>
                <w:right w:val="none" w:sz="0" w:space="0" w:color="auto"/>
              </w:divBdr>
            </w:div>
            <w:div w:id="996688075">
              <w:marLeft w:val="0"/>
              <w:marRight w:val="0"/>
              <w:marTop w:val="0"/>
              <w:marBottom w:val="0"/>
              <w:divBdr>
                <w:top w:val="none" w:sz="0" w:space="0" w:color="auto"/>
                <w:left w:val="none" w:sz="0" w:space="0" w:color="auto"/>
                <w:bottom w:val="none" w:sz="0" w:space="0" w:color="auto"/>
                <w:right w:val="none" w:sz="0" w:space="0" w:color="auto"/>
              </w:divBdr>
            </w:div>
            <w:div w:id="1033267979">
              <w:marLeft w:val="0"/>
              <w:marRight w:val="0"/>
              <w:marTop w:val="0"/>
              <w:marBottom w:val="0"/>
              <w:divBdr>
                <w:top w:val="none" w:sz="0" w:space="0" w:color="auto"/>
                <w:left w:val="none" w:sz="0" w:space="0" w:color="auto"/>
                <w:bottom w:val="none" w:sz="0" w:space="0" w:color="auto"/>
                <w:right w:val="none" w:sz="0" w:space="0" w:color="auto"/>
              </w:divBdr>
            </w:div>
            <w:div w:id="1543202529">
              <w:marLeft w:val="0"/>
              <w:marRight w:val="0"/>
              <w:marTop w:val="0"/>
              <w:marBottom w:val="0"/>
              <w:divBdr>
                <w:top w:val="none" w:sz="0" w:space="0" w:color="auto"/>
                <w:left w:val="none" w:sz="0" w:space="0" w:color="auto"/>
                <w:bottom w:val="none" w:sz="0" w:space="0" w:color="auto"/>
                <w:right w:val="none" w:sz="0" w:space="0" w:color="auto"/>
              </w:divBdr>
            </w:div>
            <w:div w:id="1783955731">
              <w:marLeft w:val="0"/>
              <w:marRight w:val="0"/>
              <w:marTop w:val="0"/>
              <w:marBottom w:val="0"/>
              <w:divBdr>
                <w:top w:val="none" w:sz="0" w:space="0" w:color="auto"/>
                <w:left w:val="none" w:sz="0" w:space="0" w:color="auto"/>
                <w:bottom w:val="none" w:sz="0" w:space="0" w:color="auto"/>
                <w:right w:val="none" w:sz="0" w:space="0" w:color="auto"/>
              </w:divBdr>
            </w:div>
            <w:div w:id="1785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364">
      <w:bodyDiv w:val="1"/>
      <w:marLeft w:val="0"/>
      <w:marRight w:val="0"/>
      <w:marTop w:val="0"/>
      <w:marBottom w:val="0"/>
      <w:divBdr>
        <w:top w:val="none" w:sz="0" w:space="0" w:color="auto"/>
        <w:left w:val="none" w:sz="0" w:space="0" w:color="auto"/>
        <w:bottom w:val="none" w:sz="0" w:space="0" w:color="auto"/>
        <w:right w:val="none" w:sz="0" w:space="0" w:color="auto"/>
      </w:divBdr>
    </w:div>
    <w:div w:id="1440372623">
      <w:bodyDiv w:val="1"/>
      <w:marLeft w:val="0"/>
      <w:marRight w:val="0"/>
      <w:marTop w:val="0"/>
      <w:marBottom w:val="0"/>
      <w:divBdr>
        <w:top w:val="none" w:sz="0" w:space="0" w:color="auto"/>
        <w:left w:val="none" w:sz="0" w:space="0" w:color="auto"/>
        <w:bottom w:val="none" w:sz="0" w:space="0" w:color="auto"/>
        <w:right w:val="none" w:sz="0" w:space="0" w:color="auto"/>
      </w:divBdr>
    </w:div>
    <w:div w:id="1455559147">
      <w:bodyDiv w:val="1"/>
      <w:marLeft w:val="0"/>
      <w:marRight w:val="0"/>
      <w:marTop w:val="0"/>
      <w:marBottom w:val="0"/>
      <w:divBdr>
        <w:top w:val="none" w:sz="0" w:space="0" w:color="auto"/>
        <w:left w:val="none" w:sz="0" w:space="0" w:color="auto"/>
        <w:bottom w:val="none" w:sz="0" w:space="0" w:color="auto"/>
        <w:right w:val="none" w:sz="0" w:space="0" w:color="auto"/>
      </w:divBdr>
    </w:div>
    <w:div w:id="1469592598">
      <w:bodyDiv w:val="1"/>
      <w:marLeft w:val="0"/>
      <w:marRight w:val="0"/>
      <w:marTop w:val="0"/>
      <w:marBottom w:val="0"/>
      <w:divBdr>
        <w:top w:val="none" w:sz="0" w:space="0" w:color="auto"/>
        <w:left w:val="none" w:sz="0" w:space="0" w:color="auto"/>
        <w:bottom w:val="none" w:sz="0" w:space="0" w:color="auto"/>
        <w:right w:val="none" w:sz="0" w:space="0" w:color="auto"/>
      </w:divBdr>
    </w:div>
    <w:div w:id="1490246169">
      <w:bodyDiv w:val="1"/>
      <w:marLeft w:val="0"/>
      <w:marRight w:val="0"/>
      <w:marTop w:val="0"/>
      <w:marBottom w:val="0"/>
      <w:divBdr>
        <w:top w:val="none" w:sz="0" w:space="0" w:color="auto"/>
        <w:left w:val="none" w:sz="0" w:space="0" w:color="auto"/>
        <w:bottom w:val="none" w:sz="0" w:space="0" w:color="auto"/>
        <w:right w:val="none" w:sz="0" w:space="0" w:color="auto"/>
      </w:divBdr>
      <w:divsChild>
        <w:div w:id="1028141852">
          <w:marLeft w:val="750"/>
          <w:marRight w:val="0"/>
          <w:marTop w:val="0"/>
          <w:marBottom w:val="375"/>
          <w:divBdr>
            <w:top w:val="none" w:sz="0" w:space="0" w:color="auto"/>
            <w:left w:val="none" w:sz="0" w:space="0" w:color="auto"/>
            <w:bottom w:val="none" w:sz="0" w:space="0" w:color="auto"/>
            <w:right w:val="none" w:sz="0" w:space="0" w:color="auto"/>
          </w:divBdr>
        </w:div>
      </w:divsChild>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
    <w:div w:id="1742946570">
      <w:bodyDiv w:val="1"/>
      <w:marLeft w:val="0"/>
      <w:marRight w:val="0"/>
      <w:marTop w:val="0"/>
      <w:marBottom w:val="0"/>
      <w:divBdr>
        <w:top w:val="none" w:sz="0" w:space="0" w:color="auto"/>
        <w:left w:val="none" w:sz="0" w:space="0" w:color="auto"/>
        <w:bottom w:val="none" w:sz="0" w:space="0" w:color="auto"/>
        <w:right w:val="none" w:sz="0" w:space="0" w:color="auto"/>
      </w:divBdr>
    </w:div>
    <w:div w:id="1844584836">
      <w:bodyDiv w:val="1"/>
      <w:marLeft w:val="0"/>
      <w:marRight w:val="0"/>
      <w:marTop w:val="0"/>
      <w:marBottom w:val="0"/>
      <w:divBdr>
        <w:top w:val="none" w:sz="0" w:space="0" w:color="auto"/>
        <w:left w:val="none" w:sz="0" w:space="0" w:color="auto"/>
        <w:bottom w:val="none" w:sz="0" w:space="0" w:color="auto"/>
        <w:right w:val="none" w:sz="0" w:space="0" w:color="auto"/>
      </w:divBdr>
    </w:div>
    <w:div w:id="1939560268">
      <w:bodyDiv w:val="1"/>
      <w:marLeft w:val="0"/>
      <w:marRight w:val="0"/>
      <w:marTop w:val="0"/>
      <w:marBottom w:val="0"/>
      <w:divBdr>
        <w:top w:val="none" w:sz="0" w:space="0" w:color="auto"/>
        <w:left w:val="none" w:sz="0" w:space="0" w:color="auto"/>
        <w:bottom w:val="none" w:sz="0" w:space="0" w:color="auto"/>
        <w:right w:val="none" w:sz="0" w:space="0" w:color="auto"/>
      </w:divBdr>
    </w:div>
    <w:div w:id="20380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chael.twohig@usu.edu" TargetMode="External"/><Relationship Id="rId4" Type="http://schemas.microsoft.com/office/2007/relationships/stylesWithEffects" Target="stylesWithEffects.xml"/><Relationship Id="rId9" Type="http://schemas.openxmlformats.org/officeDocument/2006/relationships/hyperlink" Target="mailto:john.dehlin@aggiemail.u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E8EE-086B-404C-A23C-F9671650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7157</Words>
  <Characters>40799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Running Head: ACCEPTANCE AND COMMITMENT THERAPY AND HEALTH</vt:lpstr>
    </vt:vector>
  </TitlesOfParts>
  <Company>Workers Compensation Fund</Company>
  <LinksUpToDate>false</LinksUpToDate>
  <CharactersWithSpaces>47861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ACCEPTANCE AND COMMITMENT THERAPY AND HEALTH</dc:title>
  <dc:creator>jgundy</dc:creator>
  <cp:lastModifiedBy>Michael Twohig</cp:lastModifiedBy>
  <cp:revision>2</cp:revision>
  <cp:lastPrinted>2010-08-20T16:53:00Z</cp:lastPrinted>
  <dcterms:created xsi:type="dcterms:W3CDTF">2012-11-06T21:41:00Z</dcterms:created>
  <dcterms:modified xsi:type="dcterms:W3CDTF">2012-11-06T21:41:00Z</dcterms:modified>
</cp:coreProperties>
</file>