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444C3" w14:textId="77777777" w:rsidR="00293A2C" w:rsidRDefault="00293A2C" w:rsidP="00293A2C">
      <w:pPr>
        <w:spacing w:line="480" w:lineRule="auto"/>
        <w:jc w:val="center"/>
      </w:pPr>
    </w:p>
    <w:p w14:paraId="54CEB299" w14:textId="77777777" w:rsidR="00293A2C" w:rsidRDefault="00293A2C" w:rsidP="00293A2C">
      <w:pPr>
        <w:spacing w:line="480" w:lineRule="auto"/>
        <w:jc w:val="center"/>
      </w:pPr>
    </w:p>
    <w:p w14:paraId="18A6758B" w14:textId="77777777" w:rsidR="00293A2C" w:rsidRDefault="00293A2C" w:rsidP="00293A2C">
      <w:pPr>
        <w:spacing w:line="480" w:lineRule="auto"/>
        <w:jc w:val="center"/>
      </w:pPr>
    </w:p>
    <w:p w14:paraId="44F826CB" w14:textId="77777777" w:rsidR="00293A2C" w:rsidRDefault="00293A2C" w:rsidP="00293A2C">
      <w:pPr>
        <w:spacing w:line="480" w:lineRule="auto"/>
        <w:jc w:val="center"/>
      </w:pPr>
    </w:p>
    <w:p w14:paraId="7EF516A7" w14:textId="77777777" w:rsidR="00293A2C" w:rsidRDefault="00293A2C" w:rsidP="00293A2C">
      <w:pPr>
        <w:spacing w:line="480" w:lineRule="auto"/>
        <w:jc w:val="center"/>
      </w:pPr>
    </w:p>
    <w:p w14:paraId="1B730DDD" w14:textId="77777777" w:rsidR="00293A2C" w:rsidRDefault="00293A2C" w:rsidP="00293A2C">
      <w:pPr>
        <w:spacing w:line="480" w:lineRule="auto"/>
        <w:jc w:val="center"/>
      </w:pPr>
    </w:p>
    <w:p w14:paraId="27E7A13E" w14:textId="77777777" w:rsidR="00293A2C" w:rsidRDefault="00293A2C" w:rsidP="00293A2C">
      <w:pPr>
        <w:spacing w:line="480" w:lineRule="auto"/>
        <w:jc w:val="center"/>
      </w:pPr>
    </w:p>
    <w:p w14:paraId="7C2185B6" w14:textId="77777777" w:rsidR="00293A2C" w:rsidRDefault="00293A2C" w:rsidP="00293A2C">
      <w:pPr>
        <w:spacing w:line="480" w:lineRule="auto"/>
        <w:jc w:val="center"/>
      </w:pPr>
    </w:p>
    <w:p w14:paraId="2D138E2E" w14:textId="6ADDA1D0" w:rsidR="00293A2C" w:rsidRPr="00901E93" w:rsidRDefault="006F57E3" w:rsidP="00293A2C">
      <w:pPr>
        <w:spacing w:line="480" w:lineRule="auto"/>
        <w:jc w:val="center"/>
        <w:rPr>
          <w:b/>
          <w:bCs/>
        </w:rPr>
      </w:pPr>
      <w:r w:rsidRPr="00901E93">
        <w:rPr>
          <w:b/>
          <w:bCs/>
        </w:rPr>
        <w:t xml:space="preserve">Effects </w:t>
      </w:r>
      <w:r w:rsidR="00901E93">
        <w:rPr>
          <w:b/>
          <w:bCs/>
        </w:rPr>
        <w:t>o</w:t>
      </w:r>
      <w:r w:rsidR="00901E93" w:rsidRPr="00901E93">
        <w:rPr>
          <w:b/>
          <w:bCs/>
        </w:rPr>
        <w:t xml:space="preserve">f Cognitive Restructuring </w:t>
      </w:r>
      <w:r w:rsidR="00901E93">
        <w:rPr>
          <w:b/>
          <w:bCs/>
        </w:rPr>
        <w:t>a</w:t>
      </w:r>
      <w:r w:rsidR="00901E93" w:rsidRPr="00901E93">
        <w:rPr>
          <w:b/>
          <w:bCs/>
        </w:rPr>
        <w:t xml:space="preserve">nd Defusion </w:t>
      </w:r>
      <w:r w:rsidR="00901E93">
        <w:rPr>
          <w:b/>
          <w:bCs/>
        </w:rPr>
        <w:t>f</w:t>
      </w:r>
      <w:r w:rsidR="00901E93" w:rsidRPr="00901E93">
        <w:rPr>
          <w:b/>
          <w:bCs/>
        </w:rPr>
        <w:t xml:space="preserve">or Coping </w:t>
      </w:r>
      <w:r w:rsidR="00901E93">
        <w:rPr>
          <w:b/>
          <w:bCs/>
        </w:rPr>
        <w:t>w</w:t>
      </w:r>
      <w:r w:rsidR="00901E93" w:rsidRPr="00901E93">
        <w:rPr>
          <w:b/>
          <w:bCs/>
        </w:rPr>
        <w:t xml:space="preserve">ith Difficult Thoughts </w:t>
      </w:r>
      <w:r w:rsidR="00901E93">
        <w:rPr>
          <w:b/>
          <w:bCs/>
        </w:rPr>
        <w:t>i</w:t>
      </w:r>
      <w:r w:rsidR="00901E93" w:rsidRPr="00901E93">
        <w:rPr>
          <w:b/>
          <w:bCs/>
        </w:rPr>
        <w:t xml:space="preserve">n </w:t>
      </w:r>
      <w:r w:rsidR="00C73B39">
        <w:rPr>
          <w:b/>
          <w:bCs/>
        </w:rPr>
        <w:t>a Predominantly White Female College Student Sample</w:t>
      </w:r>
    </w:p>
    <w:p w14:paraId="62424650" w14:textId="77777777" w:rsidR="00293A2C" w:rsidRPr="0002766F" w:rsidRDefault="00293A2C" w:rsidP="00293A2C">
      <w:pPr>
        <w:spacing w:line="480" w:lineRule="auto"/>
        <w:jc w:val="center"/>
      </w:pPr>
    </w:p>
    <w:p w14:paraId="23904F78" w14:textId="1042F647" w:rsidR="00293A2C" w:rsidRPr="0002766F" w:rsidRDefault="00293A2C" w:rsidP="00293A2C">
      <w:pPr>
        <w:spacing w:line="480" w:lineRule="auto"/>
        <w:jc w:val="center"/>
      </w:pPr>
      <w:r w:rsidRPr="0002766F">
        <w:t>Jennifer Krafft</w:t>
      </w:r>
      <w:r w:rsidRPr="00ED6590">
        <w:rPr>
          <w:vertAlign w:val="superscript"/>
        </w:rPr>
        <w:t xml:space="preserve"> </w:t>
      </w:r>
      <w:r w:rsidRPr="009B1E7D">
        <w:rPr>
          <w:vertAlign w:val="superscript"/>
        </w:rPr>
        <w:t>a</w:t>
      </w:r>
      <w:r>
        <w:t>*</w:t>
      </w:r>
      <w:r w:rsidR="00CB66C3">
        <w:t xml:space="preserve">, </w:t>
      </w:r>
      <w:proofErr w:type="spellStart"/>
      <w:r w:rsidR="00CB66C3">
        <w:t>Korena</w:t>
      </w:r>
      <w:proofErr w:type="spellEnd"/>
      <w:r w:rsidR="002D15E5">
        <w:t xml:space="preserve"> S.</w:t>
      </w:r>
      <w:r w:rsidR="00CB66C3">
        <w:t xml:space="preserve"> </w:t>
      </w:r>
      <w:proofErr w:type="spellStart"/>
      <w:r w:rsidR="00CB66C3">
        <w:t>Klimczak</w:t>
      </w:r>
      <w:proofErr w:type="spellEnd"/>
      <w:r w:rsidR="00CB66C3" w:rsidRPr="00CB66C3">
        <w:rPr>
          <w:vertAlign w:val="superscript"/>
        </w:rPr>
        <w:t xml:space="preserve"> </w:t>
      </w:r>
      <w:r w:rsidR="00CB66C3" w:rsidRPr="009B1E7D">
        <w:rPr>
          <w:vertAlign w:val="superscript"/>
        </w:rPr>
        <w:t>a</w:t>
      </w:r>
      <w:r w:rsidR="00CB66C3">
        <w:t>,</w:t>
      </w:r>
      <w:r w:rsidR="006F57E3">
        <w:t xml:space="preserve"> and </w:t>
      </w:r>
      <w:r w:rsidRPr="0002766F">
        <w:t>Michael E. Levin</w:t>
      </w:r>
      <w:r w:rsidRPr="00ED6590">
        <w:rPr>
          <w:vertAlign w:val="superscript"/>
        </w:rPr>
        <w:t xml:space="preserve"> </w:t>
      </w:r>
      <w:r w:rsidRPr="009B1E7D">
        <w:rPr>
          <w:vertAlign w:val="superscript"/>
        </w:rPr>
        <w:t>a</w:t>
      </w:r>
    </w:p>
    <w:p w14:paraId="7245715A" w14:textId="75E1928A" w:rsidR="00293A2C" w:rsidRPr="009B1E7D" w:rsidRDefault="00293A2C" w:rsidP="00293A2C">
      <w:pPr>
        <w:autoSpaceDE w:val="0"/>
        <w:autoSpaceDN w:val="0"/>
        <w:adjustRightInd w:val="0"/>
        <w:spacing w:line="480" w:lineRule="auto"/>
        <w:contextualSpacing/>
        <w:rPr>
          <w:vertAlign w:val="superscript"/>
        </w:rPr>
      </w:pPr>
      <w:r w:rsidRPr="009B1E7D">
        <w:rPr>
          <w:vertAlign w:val="superscript"/>
        </w:rPr>
        <w:t>a</w:t>
      </w:r>
      <w:r w:rsidRPr="009B1E7D">
        <w:t xml:space="preserve"> Utah State University, Department of Psychology, 2810 Old Main Hill, Logan, UT 84322.</w:t>
      </w:r>
    </w:p>
    <w:p w14:paraId="6D1A83D3" w14:textId="47280A31" w:rsidR="00293A2C" w:rsidRDefault="00293A2C" w:rsidP="00293A2C">
      <w:pPr>
        <w:autoSpaceDE w:val="0"/>
        <w:autoSpaceDN w:val="0"/>
        <w:adjustRightInd w:val="0"/>
        <w:spacing w:line="480" w:lineRule="auto"/>
        <w:contextualSpacing/>
      </w:pPr>
      <w:r w:rsidRPr="009B1E7D">
        <w:t>* Corresponding author</w:t>
      </w:r>
    </w:p>
    <w:p w14:paraId="43C0299F" w14:textId="77777777" w:rsidR="00E739B2" w:rsidRPr="008F70F3" w:rsidRDefault="00E739B2" w:rsidP="00E739B2">
      <w:pPr>
        <w:jc w:val="center"/>
        <w:rPr>
          <w:b/>
          <w:bCs/>
        </w:rPr>
      </w:pPr>
      <w:r>
        <w:rPr>
          <w:b/>
          <w:bCs/>
        </w:rPr>
        <w:t>Author Note</w:t>
      </w:r>
    </w:p>
    <w:p w14:paraId="5DBC2197" w14:textId="18310D9C" w:rsidR="00E739B2" w:rsidRDefault="00E739B2" w:rsidP="00E739B2">
      <w:r>
        <w:tab/>
        <w:t>Jennifer Krafft</w:t>
      </w:r>
      <w:r w:rsidR="00BB59C7">
        <w:t xml:space="preserve">, </w:t>
      </w:r>
      <w:proofErr w:type="spellStart"/>
      <w:r w:rsidR="00BB59C7">
        <w:t>ORCiD</w:t>
      </w:r>
      <w:proofErr w:type="spellEnd"/>
      <w:r w:rsidR="00BB59C7">
        <w:t xml:space="preserve">: </w:t>
      </w:r>
      <w:r w:rsidR="00BB59C7" w:rsidRPr="00BB59C7">
        <w:t>https://orcid.org/0000-0002-0943-8477</w:t>
      </w:r>
    </w:p>
    <w:p w14:paraId="79CBD015" w14:textId="5B43928C" w:rsidR="00E739B2" w:rsidRDefault="00E739B2" w:rsidP="00E739B2">
      <w:r>
        <w:tab/>
      </w:r>
      <w:proofErr w:type="spellStart"/>
      <w:r>
        <w:t>Korena</w:t>
      </w:r>
      <w:proofErr w:type="spellEnd"/>
      <w:r>
        <w:t xml:space="preserve"> S. </w:t>
      </w:r>
      <w:proofErr w:type="spellStart"/>
      <w:r>
        <w:t>Klimczak</w:t>
      </w:r>
      <w:proofErr w:type="spellEnd"/>
      <w:r w:rsidR="00BB59C7">
        <w:t xml:space="preserve">, </w:t>
      </w:r>
      <w:proofErr w:type="spellStart"/>
      <w:r w:rsidR="00BB59C7">
        <w:t>ORCiD</w:t>
      </w:r>
      <w:proofErr w:type="spellEnd"/>
      <w:r w:rsidR="00BB59C7">
        <w:t>:</w:t>
      </w:r>
      <w:r w:rsidR="00E6137A">
        <w:t xml:space="preserve"> https://orcid.org/0000-0003-2173-6431</w:t>
      </w:r>
    </w:p>
    <w:p w14:paraId="79BA32D9" w14:textId="4EB2C805" w:rsidR="00E739B2" w:rsidRDefault="00E739B2" w:rsidP="00E739B2">
      <w:r>
        <w:tab/>
      </w:r>
      <w:r w:rsidRPr="0002766F">
        <w:t>Michael E. Levin</w:t>
      </w:r>
      <w:r w:rsidR="00E6137A">
        <w:t xml:space="preserve">, </w:t>
      </w:r>
      <w:proofErr w:type="spellStart"/>
      <w:r w:rsidR="00E6137A">
        <w:t>ORCiD</w:t>
      </w:r>
      <w:proofErr w:type="spellEnd"/>
      <w:r w:rsidR="00E6137A">
        <w:t xml:space="preserve">: </w:t>
      </w:r>
      <w:r w:rsidR="00E6137A" w:rsidRPr="00E6137A">
        <w:t>https://orcid.org/0000-0001-5562-2366</w:t>
      </w:r>
    </w:p>
    <w:p w14:paraId="11EABCDE" w14:textId="56DDAD0A" w:rsidR="00E739B2" w:rsidRPr="00364A0E" w:rsidRDefault="00E739B2" w:rsidP="00E739B2">
      <w:r>
        <w:tab/>
      </w:r>
      <w:r w:rsidR="00DF4108" w:rsidRPr="00DF4108">
        <w:t>The authors declare that they have no conflict of interest.</w:t>
      </w:r>
      <w:r w:rsidR="00DF4108">
        <w:t xml:space="preserve"> </w:t>
      </w:r>
      <w:r w:rsidRPr="00364A0E">
        <w:t xml:space="preserve">Correspondence concerning this article should be addressed to </w:t>
      </w:r>
      <w:r>
        <w:t xml:space="preserve">Jennifer Krafft, Department of Psychology, 2810 Old Main Hill, Logan, UT 84322-2810. Email: </w:t>
      </w:r>
      <w:proofErr w:type="gramStart"/>
      <w:r>
        <w:t>jennifer.krafft@aggiemail.usu.edu .</w:t>
      </w:r>
      <w:proofErr w:type="gramEnd"/>
    </w:p>
    <w:p w14:paraId="2DB096DD" w14:textId="3479B28E" w:rsidR="00B44084" w:rsidRDefault="00B44084" w:rsidP="00293A2C">
      <w:pPr>
        <w:autoSpaceDE w:val="0"/>
        <w:autoSpaceDN w:val="0"/>
        <w:adjustRightInd w:val="0"/>
        <w:spacing w:line="480" w:lineRule="auto"/>
        <w:contextualSpacing/>
      </w:pPr>
    </w:p>
    <w:p w14:paraId="2D4038DA" w14:textId="77777777" w:rsidR="00293A2C" w:rsidRDefault="00293A2C">
      <w:pPr>
        <w:rPr>
          <w:b/>
          <w:bCs/>
        </w:rPr>
      </w:pPr>
      <w:r>
        <w:rPr>
          <w:b/>
          <w:bCs/>
        </w:rPr>
        <w:br w:type="page"/>
      </w:r>
    </w:p>
    <w:p w14:paraId="13D1DF23" w14:textId="77777777" w:rsidR="000D197D" w:rsidRPr="00901E93" w:rsidRDefault="000D197D" w:rsidP="000D197D">
      <w:pPr>
        <w:spacing w:line="480" w:lineRule="auto"/>
        <w:jc w:val="center"/>
        <w:rPr>
          <w:b/>
          <w:bCs/>
        </w:rPr>
      </w:pPr>
      <w:r w:rsidRPr="00901E93">
        <w:rPr>
          <w:b/>
          <w:bCs/>
        </w:rPr>
        <w:lastRenderedPageBreak/>
        <w:t>Abstract</w:t>
      </w:r>
    </w:p>
    <w:p w14:paraId="1C84CFC2" w14:textId="77777777" w:rsidR="00DF4108" w:rsidRDefault="00DF4108" w:rsidP="000D197D">
      <w:pPr>
        <w:spacing w:line="480" w:lineRule="auto"/>
      </w:pPr>
      <w:r>
        <w:rPr>
          <w:b/>
          <w:bCs/>
        </w:rPr>
        <w:t xml:space="preserve">Background: </w:t>
      </w:r>
      <w:r w:rsidR="00F90736">
        <w:t xml:space="preserve">Understanding how cognitive processes are </w:t>
      </w:r>
      <w:r w:rsidR="00FC42D4">
        <w:t xml:space="preserve">naturally </w:t>
      </w:r>
      <w:r w:rsidR="00F90736">
        <w:t>used</w:t>
      </w:r>
      <w:r w:rsidR="00FC42D4">
        <w:t xml:space="preserve"> </w:t>
      </w:r>
      <w:r w:rsidR="000D7944">
        <w:t>by untrained individuals</w:t>
      </w:r>
      <w:r w:rsidR="00F90736">
        <w:t xml:space="preserve"> in the moment to cope with difficult thoughts may help inform effective and efficient interventions. </w:t>
      </w:r>
    </w:p>
    <w:p w14:paraId="0E2B8086" w14:textId="426ED543" w:rsidR="00DF4108" w:rsidRDefault="00DF4108" w:rsidP="000D197D">
      <w:pPr>
        <w:spacing w:line="480" w:lineRule="auto"/>
      </w:pPr>
      <w:r>
        <w:rPr>
          <w:b/>
          <w:bCs/>
        </w:rPr>
        <w:t xml:space="preserve">Methods: </w:t>
      </w:r>
      <w:r w:rsidR="00F90736">
        <w:t xml:space="preserve">This study investigated </w:t>
      </w:r>
      <w:r w:rsidR="00600151">
        <w:t xml:space="preserve">self-reported </w:t>
      </w:r>
      <w:r w:rsidR="00F90736">
        <w:t xml:space="preserve">naturalistic use of two evidence-based processes, cognitive restructuring and cognitive </w:t>
      </w:r>
      <w:proofErr w:type="spellStart"/>
      <w:r w:rsidR="00F90736">
        <w:t>defusion</w:t>
      </w:r>
      <w:proofErr w:type="spellEnd"/>
      <w:r w:rsidR="00F90736">
        <w:t>, in a</w:t>
      </w:r>
      <w:r w:rsidR="00FC42D4">
        <w:t>n</w:t>
      </w:r>
      <w:r w:rsidR="00F90736">
        <w:t xml:space="preserve"> un</w:t>
      </w:r>
      <w:r w:rsidR="00FC42D4">
        <w:t>trai</w:t>
      </w:r>
      <w:r w:rsidR="00F90736">
        <w:t>ned</w:t>
      </w:r>
      <w:r w:rsidR="00C73B39">
        <w:t xml:space="preserve">, predominantly </w:t>
      </w:r>
      <w:r w:rsidR="004136A6">
        <w:t xml:space="preserve">White </w:t>
      </w:r>
      <w:r w:rsidR="00C73B39">
        <w:t xml:space="preserve">female </w:t>
      </w:r>
      <w:r w:rsidR="00F90736">
        <w:t>college student sample (n = 194)</w:t>
      </w:r>
      <w:r w:rsidR="00600151">
        <w:t xml:space="preserve"> through ecological momentary assessment</w:t>
      </w:r>
      <w:r w:rsidR="00FC42D4">
        <w:t>s</w:t>
      </w:r>
      <w:r w:rsidR="00600151">
        <w:t xml:space="preserve"> over seven days</w:t>
      </w:r>
      <w:r w:rsidR="00F90736">
        <w:t xml:space="preserve">. </w:t>
      </w:r>
    </w:p>
    <w:p w14:paraId="4B044959" w14:textId="031D991E" w:rsidR="00DF4108" w:rsidRDefault="00DF4108" w:rsidP="000D197D">
      <w:pPr>
        <w:spacing w:line="480" w:lineRule="auto"/>
      </w:pPr>
      <w:r>
        <w:rPr>
          <w:b/>
          <w:bCs/>
        </w:rPr>
        <w:t xml:space="preserve">Results: </w:t>
      </w:r>
      <w:r w:rsidR="002D5BD7">
        <w:t>Cognitive r</w:t>
      </w:r>
      <w:r w:rsidR="00F90736">
        <w:t xml:space="preserve">estructuring and </w:t>
      </w:r>
      <w:proofErr w:type="spellStart"/>
      <w:r w:rsidR="00F90736">
        <w:t>defusion</w:t>
      </w:r>
      <w:proofErr w:type="spellEnd"/>
      <w:r w:rsidR="00F90736">
        <w:t xml:space="preserve"> had a large positive relationship. </w:t>
      </w:r>
      <w:r w:rsidR="00650060">
        <w:t>B</w:t>
      </w:r>
      <w:r w:rsidR="00F90736">
        <w:t xml:space="preserve">oth processes were also positively associated with increased momentary use of </w:t>
      </w:r>
      <w:r w:rsidR="00FC42D4">
        <w:t>suppression and distraction</w:t>
      </w:r>
      <w:r w:rsidR="00F90736">
        <w:t xml:space="preserve">. Only momentary </w:t>
      </w:r>
      <w:proofErr w:type="spellStart"/>
      <w:r w:rsidR="00F90736">
        <w:t>defusion</w:t>
      </w:r>
      <w:proofErr w:type="spellEnd"/>
      <w:r w:rsidR="00F90736">
        <w:t xml:space="preserve"> was associated with decreased </w:t>
      </w:r>
      <w:r w:rsidR="00952623">
        <w:t xml:space="preserve">rumination and </w:t>
      </w:r>
      <w:r w:rsidR="00F90736">
        <w:t xml:space="preserve">negative affect at the same timepoint, while both </w:t>
      </w:r>
      <w:proofErr w:type="spellStart"/>
      <w:r w:rsidR="00F90736">
        <w:t>defusion</w:t>
      </w:r>
      <w:proofErr w:type="spellEnd"/>
      <w:r w:rsidR="00F90736">
        <w:t xml:space="preserve"> and restructuring were associated with </w:t>
      </w:r>
      <w:r w:rsidR="00892B58">
        <w:t xml:space="preserve">positive affect and </w:t>
      </w:r>
      <w:r w:rsidR="00F90736">
        <w:t xml:space="preserve">increased values progress at the same timepoint. </w:t>
      </w:r>
      <w:r w:rsidR="00892B58">
        <w:t>M</w:t>
      </w:r>
      <w:r w:rsidR="00F90736">
        <w:t xml:space="preserve">omentary </w:t>
      </w:r>
      <w:proofErr w:type="spellStart"/>
      <w:r w:rsidR="00F90736">
        <w:t>defusion</w:t>
      </w:r>
      <w:proofErr w:type="spellEnd"/>
      <w:r w:rsidR="00F90736">
        <w:t xml:space="preserve"> predicted later values progress</w:t>
      </w:r>
      <w:r w:rsidR="00892B58">
        <w:t>, but only among those with low distress.</w:t>
      </w:r>
    </w:p>
    <w:p w14:paraId="6558DDE7" w14:textId="6ED89DA0" w:rsidR="006F57E3" w:rsidRDefault="00DF4108" w:rsidP="000D197D">
      <w:pPr>
        <w:spacing w:line="480" w:lineRule="auto"/>
      </w:pPr>
      <w:r>
        <w:rPr>
          <w:b/>
          <w:bCs/>
        </w:rPr>
        <w:t xml:space="preserve">Conclusions: </w:t>
      </w:r>
      <w:r w:rsidR="00F90736">
        <w:t xml:space="preserve">Overall, results suggest that both cognitive restructuring and cognitive </w:t>
      </w:r>
      <w:proofErr w:type="spellStart"/>
      <w:r w:rsidR="00F90736">
        <w:t>defusion</w:t>
      </w:r>
      <w:proofErr w:type="spellEnd"/>
      <w:r w:rsidR="00F90736">
        <w:t xml:space="preserve"> are used in a nonclinical, untrained population, that both processes are overall beneficial when used in the moment, and that </w:t>
      </w:r>
      <w:proofErr w:type="spellStart"/>
      <w:r w:rsidR="00F90736">
        <w:t>defusion</w:t>
      </w:r>
      <w:proofErr w:type="spellEnd"/>
      <w:r w:rsidR="00F90736">
        <w:t xml:space="preserve"> may be particularly </w:t>
      </w:r>
      <w:r w:rsidR="00952623">
        <w:t>relevant to certain aims such as lower rumination or values progress</w:t>
      </w:r>
      <w:r w:rsidR="002A047B">
        <w:t xml:space="preserve"> across time points</w:t>
      </w:r>
      <w:r w:rsidR="00F90736">
        <w:t xml:space="preserve">. </w:t>
      </w:r>
      <w:r w:rsidR="00C73B39">
        <w:t>Replication among clinical and more diverse populations is needed.</w:t>
      </w:r>
    </w:p>
    <w:p w14:paraId="7C3552E0" w14:textId="139BB3A8" w:rsidR="000D197D" w:rsidRPr="0002766F" w:rsidRDefault="000D197D" w:rsidP="000D197D">
      <w:pPr>
        <w:spacing w:line="480" w:lineRule="auto"/>
      </w:pPr>
      <w:r w:rsidRPr="0002766F">
        <w:t>Keywords</w:t>
      </w:r>
      <w:r>
        <w:t xml:space="preserve">: </w:t>
      </w:r>
      <w:r w:rsidR="006F57E3">
        <w:rPr>
          <w:i/>
          <w:iCs/>
        </w:rPr>
        <w:t xml:space="preserve">ecological momentary assessment, </w:t>
      </w:r>
      <w:r w:rsidR="00CE0E84">
        <w:rPr>
          <w:i/>
          <w:iCs/>
        </w:rPr>
        <w:t xml:space="preserve">experience sampling, cognitive </w:t>
      </w:r>
      <w:r w:rsidR="00D55603">
        <w:rPr>
          <w:i/>
          <w:iCs/>
        </w:rPr>
        <w:t>restructuring</w:t>
      </w:r>
      <w:r w:rsidR="00F90736">
        <w:rPr>
          <w:i/>
          <w:iCs/>
        </w:rPr>
        <w:t xml:space="preserve">, </w:t>
      </w:r>
      <w:r w:rsidR="00D55603">
        <w:rPr>
          <w:i/>
          <w:iCs/>
        </w:rPr>
        <w:t xml:space="preserve">cognitive </w:t>
      </w:r>
      <w:proofErr w:type="spellStart"/>
      <w:r w:rsidR="00D55603">
        <w:rPr>
          <w:i/>
          <w:iCs/>
        </w:rPr>
        <w:t>defusion</w:t>
      </w:r>
      <w:proofErr w:type="spellEnd"/>
      <w:r w:rsidR="00D55603">
        <w:rPr>
          <w:i/>
          <w:iCs/>
        </w:rPr>
        <w:t>, rumination</w:t>
      </w:r>
      <w:r w:rsidRPr="0002766F">
        <w:br w:type="page"/>
      </w:r>
    </w:p>
    <w:p w14:paraId="31038B5A" w14:textId="77777777" w:rsidR="0064321B" w:rsidRPr="00901E93" w:rsidRDefault="0064321B" w:rsidP="0064321B">
      <w:pPr>
        <w:spacing w:line="480" w:lineRule="auto"/>
        <w:jc w:val="center"/>
        <w:rPr>
          <w:b/>
          <w:bCs/>
        </w:rPr>
      </w:pPr>
      <w:r w:rsidRPr="00901E93">
        <w:rPr>
          <w:b/>
          <w:bCs/>
        </w:rPr>
        <w:lastRenderedPageBreak/>
        <w:t xml:space="preserve">Effects </w:t>
      </w:r>
      <w:r>
        <w:rPr>
          <w:b/>
          <w:bCs/>
        </w:rPr>
        <w:t>o</w:t>
      </w:r>
      <w:r w:rsidRPr="00901E93">
        <w:rPr>
          <w:b/>
          <w:bCs/>
        </w:rPr>
        <w:t xml:space="preserve">f Cognitive Restructuring </w:t>
      </w:r>
      <w:r>
        <w:rPr>
          <w:b/>
          <w:bCs/>
        </w:rPr>
        <w:t>a</w:t>
      </w:r>
      <w:r w:rsidRPr="00901E93">
        <w:rPr>
          <w:b/>
          <w:bCs/>
        </w:rPr>
        <w:t xml:space="preserve">nd Defusion </w:t>
      </w:r>
      <w:r>
        <w:rPr>
          <w:b/>
          <w:bCs/>
        </w:rPr>
        <w:t>f</w:t>
      </w:r>
      <w:r w:rsidRPr="00901E93">
        <w:rPr>
          <w:b/>
          <w:bCs/>
        </w:rPr>
        <w:t xml:space="preserve">or Coping </w:t>
      </w:r>
      <w:r>
        <w:rPr>
          <w:b/>
          <w:bCs/>
        </w:rPr>
        <w:t>w</w:t>
      </w:r>
      <w:r w:rsidRPr="00901E93">
        <w:rPr>
          <w:b/>
          <w:bCs/>
        </w:rPr>
        <w:t xml:space="preserve">ith Difficult Thoughts </w:t>
      </w:r>
      <w:r>
        <w:rPr>
          <w:b/>
          <w:bCs/>
        </w:rPr>
        <w:t>i</w:t>
      </w:r>
      <w:r w:rsidRPr="00901E93">
        <w:rPr>
          <w:b/>
          <w:bCs/>
        </w:rPr>
        <w:t xml:space="preserve">n </w:t>
      </w:r>
      <w:r>
        <w:rPr>
          <w:b/>
          <w:bCs/>
        </w:rPr>
        <w:t>a Predominantly White Female College Student Sample</w:t>
      </w:r>
    </w:p>
    <w:p w14:paraId="77D46745" w14:textId="63E09457" w:rsidR="007C3456" w:rsidRDefault="007C3456">
      <w:pPr>
        <w:spacing w:line="480" w:lineRule="auto"/>
      </w:pPr>
      <w:r>
        <w:tab/>
      </w:r>
      <w:r w:rsidR="00891101">
        <w:t xml:space="preserve">Distressing and maladaptive cognitive patterns are a </w:t>
      </w:r>
      <w:r w:rsidR="00F96C53">
        <w:t>major</w:t>
      </w:r>
      <w:r w:rsidR="00891101">
        <w:t xml:space="preserve"> </w:t>
      </w:r>
      <w:r w:rsidR="00F96C53">
        <w:t>feature</w:t>
      </w:r>
      <w:r w:rsidR="00891101">
        <w:t xml:space="preserve"> of many psychological disorders</w:t>
      </w:r>
      <w:r w:rsidR="00B479AC">
        <w:t xml:space="preserve"> </w:t>
      </w:r>
      <w:r w:rsidR="00B5775D">
        <w:fldChar w:fldCharType="begin" w:fldLock="1"/>
      </w:r>
      <w:r w:rsidR="00873D66">
        <w:instrText>ADDIN CSL_CITATION {"citationItems":[{"id":"ITEM-1","itemData":{"author":[{"dropping-particle":"","family":"American Psychiatric Association","given":"","non-dropping-particle":"","parse-names":false,"suffix":""}],"edition":"5th","id":"ITEM-1","issued":{"date-parts":[["2013"]]},"publisher":"American Psychiatric Publishing","publisher-place":"Washington, DC","title":"Diagnostic and statistical manual of mental disorders","type":"book"},"uris":["http://www.mendeley.com/documents/?uuid=f8e5c5af-ea35-430f-8139-4a4a77128f37"]}],"mendeley":{"formattedCitation":"(American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B5775D">
        <w:fldChar w:fldCharType="separate"/>
      </w:r>
      <w:r w:rsidR="00B5775D" w:rsidRPr="00B5775D">
        <w:rPr>
          <w:noProof/>
        </w:rPr>
        <w:t>(American Psychiatric Association, 2013)</w:t>
      </w:r>
      <w:r w:rsidR="00B5775D">
        <w:fldChar w:fldCharType="end"/>
      </w:r>
      <w:r w:rsidR="00F96C53">
        <w:t xml:space="preserve"> </w:t>
      </w:r>
      <w:r w:rsidR="00F96C53">
        <w:rPr>
          <w:noProof/>
        </w:rPr>
        <w:t xml:space="preserve">and are also common in nonclinical populations </w:t>
      </w:r>
      <w:r w:rsidR="00942C03">
        <w:fldChar w:fldCharType="begin" w:fldLock="1"/>
      </w:r>
      <w:r w:rsidR="00B50AE9">
        <w:instrText>ADDIN CSL_CITATION {"citationItems":[{"id":"ITEM-1","itemData":{"DOI":"10.1016/j.bodyim.2004.10.001","ISSN":"17401445","abstract":"Despite numerous measures of facets of the body image construct, no single assessment broadly measures a continuum of body image disturbance. Accordingly, this study developed the Body Image Disturbance Questionnaire (BIDQ), derived from the Body Dysmorphic Disorder Questionnaire. Participants were 220 college women and 75 college men who completed an online survey containing this new assessment and established measures of body image and psychosocial functioning. Results confirmed that the Body Image Disturbance Questionnaire was internally consistent and free of impression-management response bias. For both sexes, the measure converged appropriately with other body image indices (evaluation, affect, investment, and impact), was positively correlated with depression, social anxiety, and eating disturbance. Scores on this assessment also predicted psychosocial functioning above and beyond body dissatisfaction as a predictor. Greater body image disturbance was observed among women than men, among heavier than lighter women, and among White than African American women. Limitations and future research implications are discussed. © 2004 Elsevier B.V. All rights reserved.","author":[{"dropping-particle":"","family":"Cash","given":"Thomas F.","non-dropping-particle":"","parse-names":false,"suffix":""},{"dropping-particle":"","family":"Phillips","given":"Katharine A.","non-dropping-particle":"","parse-names":false,"suffix":""},{"dropping-particle":"","family":"Santos","given":"Melanie T.","non-dropping-particle":"","parse-names":false,"suffix":""},{"dropping-particle":"","family":"Hrabosky","given":"Joshua I.","non-dropping-particle":"","parse-names":false,"suffix":""}],"container-title":"Body Image","id":"ITEM-1","issue":"4","issued":{"date-parts":[["2004"]]},"page":"363-372","title":"Measuring \"negative body image\": Validation of the Body Image Disturbance Questionnaire in a nonclinical population","type":"article-journal","volume":"1"},"uris":["http://www.mendeley.com/documents/?uuid=fdf5fccc-2ee9-470c-ab07-379ccc90630c"]},{"id":"ITEM-2","itemData":{"DOI":"10.1016/S0005-7967(01)00011-0","ISBN":"1418656364","ISSN":"00057967","PMID":"11579992","abstract":"The present study establishes an ecologically-valid point of reference for generalized anxiety disorder (GAD) treatment outcome studies. Although worry is the main diagnostic criterion for GAD, it is also a common and everyday cognition. Few studies have investigated the normal manifestation of worry in a non-clinical population. For this research, time spent worrying and the tendency to worry were measured in a non-clinical sample (n=36), where GAD was screened-out, and results were compared to those obtained from a GAD sample (n=60). Participants recorded the time spent worrying in self-monitoring notebooks for two consecutive weeks and completed the French version of the Penn State Worry Questionnaire (PSWQ). It was found that the non-GAD group reported less time spent worrying on a daily basis as well as a lower tendency to worry than the GAD group. Results are discussed in terms of treatment implications. Copyright © 2001 Elsevier Science Ltd.","author":[{"dropping-particle":"","family":"Dupuy","given":"J. B.","non-dropping-particle":"","parse-names":false,"suffix":""},{"dropping-particle":"","family":"Beaudoin","given":"S.","non-dropping-particle":"","parse-names":false,"suffix":""},{"dropping-particle":"","family":"Rhéaume","given":"J.","non-dropping-particle":"","parse-names":false,"suffix":""},{"dropping-particle":"","family":"Ladouceur","given":"R.","non-dropping-particle":"","parse-names":false,"suffix":""},{"dropping-particle":"","family":"Dugas","given":"M. J.","non-dropping-particle":"","parse-names":false,"suffix":""}],"container-title":"Behaviour Research and Therapy","id":"ITEM-2","issue":"10","issued":{"date-parts":[["2001"]]},"page":"1249-1255","title":"Worry: Daily self-report in clinical and non-clinical populations","type":"article-journal","volume":"39"},"uris":["http://www.mendeley.com/documents/?uuid=0739a741-fd7c-4d83-9b7a-e6141c68a3c6"]}],"mendeley":{"formattedCitation":"(Cash et al., 2004; Dupuy et al., 2001)","manualFormatting":"(e.g., Cash et al., 2004; Dupuy et al., 2001)","plainTextFormattedCitation":"(Cash et al., 2004; Dupuy et al., 2001)","previouslyFormattedCitation":"(Cash et al., 2004; Dupuy et al., 2001)"},"properties":{"noteIndex":0},"schema":"https://github.com/citation-style-language/schema/raw/master/csl-citation.json"}</w:instrText>
      </w:r>
      <w:r w:rsidR="00942C03">
        <w:fldChar w:fldCharType="separate"/>
      </w:r>
      <w:r w:rsidR="00B50AE9" w:rsidRPr="00B50AE9">
        <w:rPr>
          <w:noProof/>
        </w:rPr>
        <w:t>(</w:t>
      </w:r>
      <w:r w:rsidR="00B50AE9">
        <w:rPr>
          <w:noProof/>
        </w:rPr>
        <w:t xml:space="preserve">e.g., </w:t>
      </w:r>
      <w:r w:rsidR="00B50AE9" w:rsidRPr="00B50AE9">
        <w:rPr>
          <w:noProof/>
        </w:rPr>
        <w:t>Cash et al., 2004; Dupuy et al., 2001)</w:t>
      </w:r>
      <w:r w:rsidR="00942C03">
        <w:fldChar w:fldCharType="end"/>
      </w:r>
      <w:r w:rsidR="00942C03">
        <w:t xml:space="preserve">. </w:t>
      </w:r>
      <w:r w:rsidR="00F96C53">
        <w:t>U</w:t>
      </w:r>
      <w:r>
        <w:t xml:space="preserve">nderstanding </w:t>
      </w:r>
      <w:r w:rsidR="00F96C53">
        <w:t xml:space="preserve">and </w:t>
      </w:r>
      <w:r w:rsidR="00B50AE9">
        <w:t>fostering</w:t>
      </w:r>
      <w:r w:rsidR="00F96C53">
        <w:t xml:space="preserve"> </w:t>
      </w:r>
      <w:r>
        <w:t xml:space="preserve">cognitive processes that help individuals to effectively cope with </w:t>
      </w:r>
      <w:r w:rsidR="0013422B">
        <w:t xml:space="preserve">distressing thoughts is </w:t>
      </w:r>
      <w:r w:rsidR="00F96C53">
        <w:t>a defining feature of cognitive behavioral therapies</w:t>
      </w:r>
      <w:r w:rsidR="00942C03">
        <w:t xml:space="preserve">. </w:t>
      </w:r>
      <w:r w:rsidR="00F96C53">
        <w:t>Recently, there has been</w:t>
      </w:r>
      <w:r w:rsidR="00942C03">
        <w:t xml:space="preserve"> growing interest in a </w:t>
      </w:r>
      <w:r w:rsidR="00942C03">
        <w:rPr>
          <w:i/>
          <w:iCs/>
        </w:rPr>
        <w:t>process-based therapy</w:t>
      </w:r>
      <w:r w:rsidR="00942C03">
        <w:t xml:space="preserve"> framework, in which </w:t>
      </w:r>
      <w:r w:rsidR="0013422B">
        <w:t>identifying evidence-based processes</w:t>
      </w:r>
      <w:r w:rsidR="00942C03">
        <w:t xml:space="preserve"> of change, including cognitive processes,</w:t>
      </w:r>
      <w:r w:rsidR="0013422B">
        <w:t xml:space="preserve"> that can </w:t>
      </w:r>
      <w:r w:rsidR="00942C03">
        <w:t xml:space="preserve">reliably be engaged to </w:t>
      </w:r>
      <w:r w:rsidR="0013422B">
        <w:t xml:space="preserve">help alleviate human suffering </w:t>
      </w:r>
      <w:r w:rsidR="00942C03">
        <w:t>is</w:t>
      </w:r>
      <w:r w:rsidR="0013422B">
        <w:t xml:space="preserve"> </w:t>
      </w:r>
      <w:r w:rsidR="00942C03">
        <w:t xml:space="preserve">considered the core question in clinical psychology </w:t>
      </w:r>
      <w:r w:rsidR="00942C03">
        <w:fldChar w:fldCharType="begin" w:fldLock="1"/>
      </w:r>
      <w:r w:rsidR="00044DDB">
        <w:instrText>ADDIN CSL_CITATION {"citationItems":[{"id":"ITEM-1","itemData":{"DOI":"10.1177/2167702618772296","ISSN":"21677034","abstract":"Clinical science seems to have reached a tipping point. It appears that a new paradigm is beginning to emerge that is questioning the validity and utility of the medical illness model, which assumes that latent disease entities are targeted with specific therapy protocols. A new generation of evidence-based care has begun to move toward process-based therapies to target core mediators and moderators based on testable theories. This could represent a paradigm shift in clinical science with far-reaching implications. Clinical science might see a decline of named therapies defined by set technologies, a decline of broad schools, a rise of testable models, a rise of mediation and moderation studies, the emergence of new forms of diagnosis based on functional analysis, a move from nomothetic to idiographic approaches, and a move toward processes that specify modifiable elements. These changes could integrate or bridge different treatment orientations, settings, and even cultures","author":[{"dropping-particle":"","family":"Hofmann","given":"Stefan G.","non-dropping-particle":"","parse-names":false,"suffix":""},{"dropping-particle":"","family":"Hayes","given":"Steven C.","non-dropping-particle":"","parse-names":false,"suffix":""}],"container-title":"Clinical Psychological Science","id":"ITEM-1","issued":{"date-parts":[["2018"]]},"page":"37-50","title":"The future of intervention science: Process-based therapy","type":"article-journal","volume":"7"},"uris":["http://www.mendeley.com/documents/?uuid=bb8f7a5e-7026-4015-ba22-f6e92fecbcee"]}],"mendeley":{"formattedCitation":"(Hofmann &amp; Hayes, 2018)","plainTextFormattedCitation":"(Hofmann &amp; Hayes, 2018)","previouslyFormattedCitation":"(Hofmann &amp; Hayes, 2018)"},"properties":{"noteIndex":0},"schema":"https://github.com/citation-style-language/schema/raw/master/csl-citation.json"}</w:instrText>
      </w:r>
      <w:r w:rsidR="00942C03">
        <w:fldChar w:fldCharType="separate"/>
      </w:r>
      <w:r w:rsidR="00942C03" w:rsidRPr="00942C03">
        <w:rPr>
          <w:noProof/>
        </w:rPr>
        <w:t>(Hofmann &amp; Hayes, 2018)</w:t>
      </w:r>
      <w:r w:rsidR="00942C03">
        <w:fldChar w:fldCharType="end"/>
      </w:r>
      <w:r w:rsidR="00942C03">
        <w:t xml:space="preserve">. If psychological interventions can reliably foster cognitive processes that help individuals to effectively cope with a broad range of distressing thoughts, </w:t>
      </w:r>
      <w:r w:rsidR="007144DE">
        <w:t xml:space="preserve">they </w:t>
      </w:r>
      <w:r w:rsidR="00942C03">
        <w:t>can alleviate suffering and support adaptive functioning.</w:t>
      </w:r>
    </w:p>
    <w:p w14:paraId="360C7CAD" w14:textId="491E058C" w:rsidR="00942C03" w:rsidRDefault="00942C03" w:rsidP="007C3456">
      <w:pPr>
        <w:spacing w:line="480" w:lineRule="auto"/>
      </w:pPr>
      <w:r>
        <w:tab/>
      </w:r>
      <w:r w:rsidR="00044DDB">
        <w:t>Multiple</w:t>
      </w:r>
      <w:r>
        <w:t xml:space="preserve"> cognitive processes have been proposed as important processes of change</w:t>
      </w:r>
      <w:r w:rsidR="00044DDB">
        <w:t xml:space="preserve">, including cognitive restructuring and cognitive </w:t>
      </w:r>
      <w:proofErr w:type="spellStart"/>
      <w:r w:rsidR="00044DDB">
        <w:t>defusion</w:t>
      </w:r>
      <w:proofErr w:type="spellEnd"/>
      <w:r w:rsidR="00044DDB">
        <w:t xml:space="preserve">. Cognitive restructuring is defined as an active process of identifying, evaluating, and altering maladaptive thoughts such that they are more accurate or useful </w:t>
      </w:r>
      <w:r w:rsidR="00044DDB">
        <w:fldChar w:fldCharType="begin" w:fldLock="1"/>
      </w:r>
      <w:r w:rsidR="00C0283F">
        <w:instrText>ADDIN CSL_CITATION {"citationItems":[{"id":"ITEM-1","itemData":{"DOI":"10.1002/9781118528563.wbcbt02","ISBN":"9781118528563","abstract":"(from the chapter) There are a variety of cognitive models that emphasize the role of thinking as a mediation affecting emotion and behavior. We emphasize the cognitive models advanced by Beck and Ellis throughout this chapter, although we recognize the importance of cognition as a mediator in the self-instructional training model advanced by Meichenbaum (1974), the constructivism model advanced by Mahoney (2003), the self-control model advanced by Rehm (1981), and others. The attribution model, advanced by Alloy, Peterson, Abramson, and Seligman (1984), has also had considerable influence on research on cognitive vulnerability and has been an important clinical model for both prevention and treatment of depression. Cognitive restructuring has proven to be an important and effective model for intervention, although other behavioral, mindfulness, and meta-cognitive models also contend for efficacy and effectiveness. Interventions and treatment packages based largely or partly on cognitive restructuring have proven effective in the treatment of major depressive disorder, all of the anxiety disorders, anger disorders, couples therapy, and in other problems. (PsycINFO Database Record (c) 2014 APA, all rights reserved)","author":[{"dropping-particle":"","family":"Clark","given":"David A.","non-dropping-particle":"","parse-names":false,"suffix":""}],"container-title":"The Wiley Handbook of Cognitive Behavioral Therapy","id":"ITEM-1","issued":{"date-parts":[["2013"]]},"page":"1-22","title":"Cognitive restructuring","type":"chapter"},"uris":["http://www.mendeley.com/documents/?uuid=a2b59ade-29ef-4d7a-b80a-1a7ec77f128a"]}],"mendeley":{"formattedCitation":"(Clark, 2013)","plainTextFormattedCitation":"(Clark, 2013)","previouslyFormattedCitation":"(Clark, 2013a)"},"properties":{"noteIndex":0},"schema":"https://github.com/citation-style-language/schema/raw/master/csl-citation.json"}</w:instrText>
      </w:r>
      <w:r w:rsidR="00044DDB">
        <w:fldChar w:fldCharType="separate"/>
      </w:r>
      <w:r w:rsidR="00C0283F" w:rsidRPr="00C0283F">
        <w:rPr>
          <w:noProof/>
        </w:rPr>
        <w:t>(Clark, 2013)</w:t>
      </w:r>
      <w:r w:rsidR="00044DDB">
        <w:fldChar w:fldCharType="end"/>
      </w:r>
      <w:r w:rsidR="00044DDB">
        <w:t xml:space="preserve">. Cognitive </w:t>
      </w:r>
      <w:proofErr w:type="spellStart"/>
      <w:r w:rsidR="00044DDB">
        <w:t>defusion</w:t>
      </w:r>
      <w:proofErr w:type="spellEnd"/>
      <w:r w:rsidR="00044DDB">
        <w:t xml:space="preserve"> is defined as a method of altering the function of thoughts, </w:t>
      </w:r>
      <w:r w:rsidR="007144DE">
        <w:t xml:space="preserve">by </w:t>
      </w:r>
      <w:r w:rsidR="00044DDB">
        <w:t xml:space="preserve">increasing one’s awareness of thoughts as thoughts rather than as representations of reality, such that thoughts have less </w:t>
      </w:r>
      <w:r w:rsidR="007144DE">
        <w:t xml:space="preserve">rigid </w:t>
      </w:r>
      <w:r w:rsidR="00044DDB">
        <w:t>control over one’s behavior</w:t>
      </w:r>
      <w:r w:rsidR="00B50AE9">
        <w:t xml:space="preserve"> </w:t>
      </w:r>
      <w:r w:rsidR="00B50AE9">
        <w:fldChar w:fldCharType="begin" w:fldLock="1"/>
      </w:r>
      <w:r w:rsidR="0064321B">
        <w:instrText>ADDIN CSL_CITATION {"citationItems":[{"id":"ITEM-1","itemData":{"DOI":"10.1016/j.brat.2005.06.006","ISBN":"0005-7967","ISSN":"0005-7967","PMID":"16300724","abstract":"The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promising.","author":[{"dropping-particle":"","family":"Hayes","given":"Steven C","non-dropping-particle":"","parse-names":false,"suffix":""},{"dropping-particle":"","family":"Luoma","given":"Jason B","non-dropping-particle":"","parse-names":false,"suffix":""},{"dropping-particle":"","family":"Bond","given":"Frank W","non-dropping-particle":"","parse-names":false,"suffix":""},{"dropping-particle":"","family":"Masuda","given":"Akihiko","non-dropping-particle":"","parse-names":false,"suffix":""},{"dropping-particle":"","family":"Lillis","given":"Jason","non-dropping-particle":"","parse-names":false,"suffix":""}],"container-title":"Behaviour Research and Therapy","id":"ITEM-1","issued":{"date-parts":[["2006"]]},"page":"1-25","title":"Acceptance and Commitment Therapy: Model, processes and outcomes.","type":"article-journal","volume":"44"},"uris":["http://www.mendeley.com/documents/?uuid=ff47006a-314b-4e8a-9cd4-0f9cb00fd209"]}],"mendeley":{"formattedCitation":"(Hayes et al., 2006)","plainTextFormattedCitation":"(Hayes et al., 2006)","previouslyFormattedCitation":"(Hayes et al., 2006)"},"properties":{"noteIndex":0},"schema":"https://github.com/citation-style-language/schema/raw/master/csl-citation.json"}</w:instrText>
      </w:r>
      <w:r w:rsidR="00B50AE9">
        <w:fldChar w:fldCharType="separate"/>
      </w:r>
      <w:r w:rsidR="00AC68F7" w:rsidRPr="00AC68F7">
        <w:rPr>
          <w:noProof/>
        </w:rPr>
        <w:t>(Hayes et al., 2006)</w:t>
      </w:r>
      <w:r w:rsidR="00B50AE9">
        <w:fldChar w:fldCharType="end"/>
      </w:r>
      <w:r w:rsidR="00044DDB">
        <w:t xml:space="preserve">. </w:t>
      </w:r>
      <w:r w:rsidR="00873D66">
        <w:t xml:space="preserve"> There is some debate about how distinct these two processes are, but generally, cognitive restructuring focuses on altering the content of one’s thoughts, while cognitive </w:t>
      </w:r>
      <w:proofErr w:type="spellStart"/>
      <w:r w:rsidR="00873D66">
        <w:t>defusion</w:t>
      </w:r>
      <w:proofErr w:type="spellEnd"/>
      <w:r w:rsidR="00873D66">
        <w:t xml:space="preserve"> focuses on altering one’s relationship to thoughts </w:t>
      </w:r>
      <w:r w:rsidR="00873D66">
        <w:fldChar w:fldCharType="begin" w:fldLock="1"/>
      </w:r>
      <w:r w:rsidR="000C4911">
        <w:instrText>ADDIN CSL_CITATION {"citationItems":[{"id":"ITEM-1","itemData":{"author":[{"dropping-particle":"","family":"Arch","given":"Joanna J","non-dropping-particle":"","parse-names":false,"suffix":""},{"dropping-particle":"","family":"Craske","given":"Michelle G","non-dropping-particle":"","parse-names":false,"suffix":""}],"container-title":"Clinical Psychology: Science and Practice","id":"ITEM-1","issued":{"date-parts":[["2008"]]},"page":"263-279","title":"Acceptance and commitment therapy and cognitive behavioral therapy for anxiety disorders: Different treatments, similar mechanisms?","type":"article-journal","volume":"15"},"uris":["http://www.mendeley.com/documents/?uuid=0dd00996-22d0-4518-afec-54cafafc38b4"]}],"mendeley":{"formattedCitation":"(Arch &amp; Craske, 2008)","plainTextFormattedCitation":"(Arch &amp; Craske, 2008)","previouslyFormattedCitation":"(Arch &amp; Craske, 2008)"},"properties":{"noteIndex":0},"schema":"https://github.com/citation-style-language/schema/raw/master/csl-citation.json"}</w:instrText>
      </w:r>
      <w:r w:rsidR="00873D66">
        <w:fldChar w:fldCharType="separate"/>
      </w:r>
      <w:r w:rsidR="00873D66" w:rsidRPr="00873D66">
        <w:rPr>
          <w:noProof/>
        </w:rPr>
        <w:t>(Arch &amp; Craske, 2008)</w:t>
      </w:r>
      <w:r w:rsidR="00873D66">
        <w:fldChar w:fldCharType="end"/>
      </w:r>
      <w:r w:rsidR="00873D66">
        <w:t xml:space="preserve">. A person who has the thought “I’m ugly” could respond in the moment by using restructuring (e.g., challenging </w:t>
      </w:r>
      <w:r w:rsidR="00873D66">
        <w:lastRenderedPageBreak/>
        <w:t xml:space="preserve">whether this thought is accurate and generating alternative thoughts such as ‘Actually, I like how my hair looks right now’ instead), </w:t>
      </w:r>
      <w:proofErr w:type="spellStart"/>
      <w:r w:rsidR="00873D66">
        <w:t>defusion</w:t>
      </w:r>
      <w:proofErr w:type="spellEnd"/>
      <w:r w:rsidR="00873D66">
        <w:t xml:space="preserve"> (e.g., acknowledging this thought as a thought, and still choosing to wear the same outfit or do a social activity), or potentially both methods.  </w:t>
      </w:r>
      <w:r w:rsidR="00044DDB">
        <w:t xml:space="preserve">The utility of cognitive restructuring and cognitive </w:t>
      </w:r>
      <w:proofErr w:type="spellStart"/>
      <w:r w:rsidR="00044DDB">
        <w:t>defusion</w:t>
      </w:r>
      <w:proofErr w:type="spellEnd"/>
      <w:r w:rsidR="00044DDB">
        <w:t xml:space="preserve"> </w:t>
      </w:r>
      <w:r w:rsidR="00E04063">
        <w:t>for mental health is</w:t>
      </w:r>
      <w:r w:rsidR="00044DDB">
        <w:t xml:space="preserve"> supported by</w:t>
      </w:r>
      <w:r w:rsidR="00E04063">
        <w:t xml:space="preserve"> global correlations in self-report measures </w:t>
      </w:r>
      <w:r w:rsidR="00E04063">
        <w:fldChar w:fldCharType="begin" w:fldLock="1"/>
      </w:r>
      <w:r w:rsidR="00B5775D">
        <w:instrText>ADDIN CSL_CITATION {"citationItems":[{"id":"ITEM-1","itemData":{"DOI":"10.1016/j.brat.2010.06.002","ISBN":"0005-7967","ISSN":"00057967","PMID":"20591413","abstract":"Despite growing interest in the role of regulatory processes in clinical disorders, it is not clear whether certain cognitive emotion regulation strategies play a more central role in psychopathology than others. Similarly, little is known about whether these strategies have effects transdiagnostically. We examined the relationship between four cognitive emotion regulation strategies (rumination, thought suppression, reappraisal, and problem-solving) and symptoms of three psychopathologies (depression, anxiety, and eating disorders) in an undergraduate sample (N. =252). Maladaptive strategies (rumination, suppression), compared to adaptive strategies (reappraisal, problem-solving), were more strongly associated with psychopathology and loaded more highly on a latent factor of cognitive emotion regulation. In addition, this latent factor of cognitive emotion regulation was significantly associated with symptoms of all three disorders. Overall, these results suggest that the use of maladaptive strategies might play a more central role in psychopathology than the non-use of adaptive strategies and provide support of a transdiagnostic view of cognitive emotion regulation. ?? 2010 Elsevier Ltd.","author":[{"dropping-particle":"","family":"Aldao","given":"Amelia","non-dropping-particle":"","parse-names":false,"suffix":""},{"dropping-particle":"","family":"Nolen-Hoeksema","given":"Susan","non-dropping-particle":"","parse-names":false,"suffix":""}],"container-title":"Behaviour Research and Therapy","id":"ITEM-1","issued":{"date-parts":[["2010"]]},"page":"974-983","title":"Specificity of cognitive emotion regulation strategies: A transdiagnostic examination","type":"article-journal","volume":"48"},"uris":["http://www.mendeley.com/documents/?uuid=acb63e94-523f-40ab-88ce-7fd0da252812"]},{"id":"ITEM-2","itemData":{"DOI":"10.1080/16506073.2018.1513556","ISSN":"16512316","abstract":"© 2018, © 2018 Swedish Association for Behaviour Therapy. Transdiagnostic cognitive behavioral interventions target different cognitive processes to promote mental health, including cognitive fusion and cognitive reappraisal. Determining the relative impact of cognitive fusion and reappraisal on a range of student mental health concerns could help interventions target psychopathological cognitive processes more effectively. Therefore, this study examined the longitudinal impact of cognitive fusion and reappraisal on mental health and functioning outcomes. A series of hierarchical regression models tested the effects of cognitive fusion and reappraisal in a sample of college students (n = 339). When controlling for reappraisal and baseline symptoms, fusion predicted distress, depression, generalized anxiety, social anxiety, hostility, academic distress, and student role problems 1 month later. Reappraisal predicted only student role problems longitudinally when controlling for fusion. These results suggest that cognitive fusion is a stronger predictor than reappraisal for a range of student mental health concerns and may be a particularly important target for improving student mental health.","author":[{"dropping-particle":"","family":"Krafft","given":"J.","non-dropping-particle":"","parse-names":false,"suffix":""},{"dropping-particle":"","family":"Haeger","given":"J.A.","non-dropping-particle":"","parse-names":false,"suffix":""},{"dropping-particle":"","family":"Levin","given":"M.E.","non-dropping-particle":"","parse-names":false,"suffix":""}],"container-title":"Cognitive Behaviour Therapy","id":"ITEM-2","issue":"3","issued":{"date-parts":[["2019"]]},"title":"Comparing cognitive fusion and cognitive reappraisal as predictors of college student mental health","type":"article-journal","volume":"48"},"uris":["http://www.mendeley.com/documents/?uuid=58351451-1bdb-36e2-a7e5-45150565a6f6"]}],"mendeley":{"formattedCitation":"(Aldao &amp; Nolen-Hoeksema, 2010; Krafft et al., 2019)","plainTextFormattedCitation":"(Aldao &amp; Nolen-Hoeksema, 2010; Krafft et al., 2019)","previouslyFormattedCitation":"(Aldao &amp; Nolen-Hoeksema, 2010; Krafft et al., 2019)"},"properties":{"noteIndex":0},"schema":"https://github.com/citation-style-language/schema/raw/master/csl-citation.json"}</w:instrText>
      </w:r>
      <w:r w:rsidR="00E04063">
        <w:fldChar w:fldCharType="separate"/>
      </w:r>
      <w:r w:rsidR="00156FED" w:rsidRPr="00156FED">
        <w:rPr>
          <w:noProof/>
        </w:rPr>
        <w:t>(Aldao &amp; Nolen-Hoeksema, 2010; Krafft et al., 2019)</w:t>
      </w:r>
      <w:r w:rsidR="00E04063">
        <w:fldChar w:fldCharType="end"/>
      </w:r>
      <w:r w:rsidR="00995F8F">
        <w:t>,</w:t>
      </w:r>
      <w:r w:rsidR="00E04063">
        <w:t xml:space="preserve"> </w:t>
      </w:r>
      <w:r w:rsidR="00044DDB">
        <w:t>laboratory studies</w:t>
      </w:r>
      <w:r w:rsidR="00E04063">
        <w:t xml:space="preserve"> </w:t>
      </w:r>
      <w:r w:rsidR="00E04063">
        <w:fldChar w:fldCharType="begin" w:fldLock="1"/>
      </w:r>
      <w:r w:rsidR="00156FED">
        <w:instrText>ADDIN CSL_CITATION {"citationItems":[{"id":"ITEM-1","itemData":{"DOI":"10.1016/j.beth.2012.05.003","ISBN":"0005-7894","ISSN":"00057894","PMID":"23046777","abstract":"An important aspect of psychotherapy research is the examination of the theoretical models underlying intervention approaches. Laboratory-based component research is one useful methodology for this endeavor as it provides an experimental means of testing questions related to intervention components and the change process they engage with a high level of control and precision. A meta-analysis was conducted of 66 laboratory-based component studies evaluating treatment elements and processes that are suggested by the psychological flexibility model that underlies Acceptance and Commitment Therapy (acceptance, defusion, self as context, committed action, values, and present moment), but also touches on a variety of contextual forms of cognitive behavior therapy. Significant positive effect sizes were observed for acceptance, defusion, present moment, values, mixed mindfulness components, and values plus mindfulness component conditions compared to inactive comparison conditions. Additional analyses provided further support for the psychological flexibility model, finding larger effect sizes for theoretically specified outcomes, expected differences between theoretically distinct interventions, and larger effect sizes for component conditions that included experiential methods (e.g., metaphors, exercises) than those with a rationale alone. Effect sizes did not differ between at-risk/distressed and convenience samples. Limitations with the meta-analysis and future directions for laboratory-based component research are discussed. © 2012.","author":[{"dropping-particle":"","family":"Levin","given":"Michael E.","non-dropping-particle":"","parse-names":false,"suffix":""},{"dropping-particle":"","family":"Hildebrandt","given":"Mikaela J.","non-dropping-particle":"","parse-names":false,"suffix":""},{"dropping-particle":"","family":"Lillis","given":"Jason","non-dropping-particle":"","parse-names":false,"suffix":""},{"dropping-particle":"","family":"Hayes","given":"Steven C.","non-dropping-particle":"","parse-names":false,"suffix":""}],"container-title":"Behavior Therapy","id":"ITEM-1","issue":"4","issued":{"date-parts":[["2012"]]},"page":"741-756","publisher":"Elsevier B.V.","title":"The impact of treatment components suggested by the psychological flexibility model: A meta-analysis of laboratory-based component studies","type":"article-journal","volume":"43"},"uris":["http://www.mendeley.com/documents/?uuid=775288dd-5056-4a82-95f3-a77d0da8959f"]},{"id":"ITEM-2","itemData":{"DOI":"10.1891/0889-8391.25.3.218","ISBN":"0889-8391","ISSN":"08898391","abstract":"Leekam, S. R. (2004). Reconstructing children's understanding of mind: Reflections from the study of atypical development. Behavioral and Brain Sciences, 27(1), 113-114. Retrieved from http://search.proquest.com.library.capella.edu/docview/212295114?accountid=27965","author":[{"dropping-particle":"","family":"Deacon","given":"Brett J.","non-dropping-particle":"","parse-names":false,"suffix":""},{"dropping-particle":"","family":"Fawzy","given":"Tamer I.","non-dropping-particle":"","parse-names":false,"suffix":""},{"dropping-particle":"","family":"Lickel","given":"James J.","non-dropping-particle":"","parse-names":false,"suffix":""},{"dropping-particle":"","family":"Wolitzky-Taylor","given":"Kate B.","non-dropping-particle":"","parse-names":false,"suffix":""}],"container-title":"Journal of Cognitive Psychotherapy","id":"ITEM-2","issued":{"date-parts":[["2011"]]},"page":"218-232","title":"Cognitive defusion versus cognitive restructuring in the treatment of negative self-referential thoughts: An investigation of process and outcome","type":"article-journal","volume":"25"},"uris":["http://www.mendeley.com/documents/?uuid=a2f620c7-932b-4de3-8bb1-3a1c9ffd05d4"]}],"mendeley":{"formattedCitation":"(Deacon et al., 2011; Levin et al., 2012)","plainTextFormattedCitation":"(Deacon et al., 2011; Levin et al., 2012)","previouslyFormattedCitation":"(Deacon et al., 2011; Levin et al., 2012)"},"properties":{"noteIndex":0},"schema":"https://github.com/citation-style-language/schema/raw/master/csl-citation.json"}</w:instrText>
      </w:r>
      <w:r w:rsidR="00E04063">
        <w:fldChar w:fldCharType="separate"/>
      </w:r>
      <w:r w:rsidR="00156FED" w:rsidRPr="00156FED">
        <w:rPr>
          <w:noProof/>
        </w:rPr>
        <w:t>(Deacon et al., 2011; Levin et al., 2012)</w:t>
      </w:r>
      <w:r w:rsidR="00E04063">
        <w:fldChar w:fldCharType="end"/>
      </w:r>
      <w:r w:rsidR="00044DDB">
        <w:t>, and clinical trials</w:t>
      </w:r>
      <w:r w:rsidR="004D7B3B">
        <w:t xml:space="preserve"> </w:t>
      </w:r>
      <w:r w:rsidR="004D7B3B">
        <w:fldChar w:fldCharType="begin" w:fldLock="1"/>
      </w:r>
      <w:r w:rsidR="00156FED">
        <w:instrText>ADDIN CSL_CITATION {"citationItems":[{"id":"ITEM-1","itemData":{"DOI":"10.1007/s10608-018-9944-3","ISSN":"15732819","abstract":"There are ongoing questions regarding the similarities and differences in the clinical impact and processes of change for cognitive restructuring and cognitive defusion. This clinical component test compared 87 adults high in self-criticism randomized to a cognitive defusion mobile app, restructuring app, or waitlist condition for 2 weeks. Equivalent improvements were found from the defusion and restructuring apps relative to the waitlist on self-criticism and distress as well as decentering, self-compassion, and dysfunctional attitudes. However, the defusion condition had a more consistent pattern of improvements relative to waitlist. Improvements in cognitive decentering, self-compassion, and dysfunctional attitudes mediated effects for cognitive defusion relative to waitlist. These mediators were inconsistent for cognitive restructuring. Improvements in self-compassion and cognitive decentering correlated with improvements in outcomes in the defusion condition, but not the restructuring condition. Overall, these results suggest mobile apps providing cognitive defusion and cognitive restructuring strategies are equally effective, but work through distinct processes of change.","author":[{"dropping-particle":"","family":"Levin","given":"Michael E.","non-dropping-particle":"","parse-names":false,"suffix":""},{"dropping-particle":"","family":"Haeger","given":"Jack","non-dropping-particle":"","parse-names":false,"suffix":""},{"dropping-particle":"","family":"An","given":"Woolee","non-dropping-particle":"","parse-names":false,"suffix":""},{"dropping-particle":"","family":"Twohig","given":"Michael P.","non-dropping-particle":"","parse-names":false,"suffix":""}],"container-title":"Cognitive Therapy and Research","id":"ITEM-1","issue":"6","issued":{"date-parts":[["2018"]]},"page":"844-855","publisher":"Springer US","title":"Comparing cognitive defusion and cognitive restructuring delivered through a mobile app for individuals high in self-criticism","type":"article-journal","volume":"42"},"uris":["http://www.mendeley.com/documents/?uuid=23947fb4-85a0-4f0f-9010-863e8a88c2db"]},{"id":"ITEM-2","itemData":{"ISSN":"0165-0327","abstract":"BACKGROUND: Cognitive therapy (CT) for depression has been found to be efficacious for the treatment of depression. In comparison to other psychotherapies, CT has been shown to be approximately equal to behavior therapies, but sometimes superior to 'other therapies.' The latter comparison is problematic given that 'other therapies' contain bona fide treatments as well as treatments without therapeutic rationale for depression. METHOD: A meta-analysis was conducted for studies that compared CT to 'other therapies' in an earlier meta-analysis, except that in this meta-analysis 'other therapies' were classified as bona fide and non-bona fide. RESULTS: The benefits of CT were found to be approximately equal to the benefits of bona fide non-CT and behavioral treatments, but superior to non-bona fide treatments. CONCLUSIONS: The results of this study fail to support the superiority of CT for depression. On the contrary, these results support the conclusion that all bona fide psychological treatments for depression are equally efficacious.","author":[{"dropping-particle":"","family":"Wampold","given":"Bruce E.","non-dropping-particle":"","parse-names":false,"suffix":""},{"dropping-particle":"","family":"Minami","given":"Takuya","non-dropping-particle":"","parse-names":false,"suffix":""},{"dropping-particle":"","family":"Baskin","given":"Thomas W.","non-dropping-particle":"","parse-names":false,"suffix":""},{"dropping-particle":"","family":"Tierney","given":"Sandra Callen","non-dropping-particle":"","parse-names":false,"suffix":""}],"container-title":"Journal of Affective Disorders","id":"ITEM-2","issued":{"date-parts":[["2002"]]},"page":"159-165","title":"A meta-(re)analysis of the effects of cognitive therapy versus ‘other therapies’ for depression","type":"article-journal","volume":"68"},"uris":["http://www.mendeley.com/documents/?uuid=7ff1238a-67cd-4fff-9801-dcba0baa416a"]}],"mendeley":{"formattedCitation":"(Levin, Haeger, et al., 2018; Wampold et al., 2002)","plainTextFormattedCitation":"(Levin, Haeger, et al., 2018; Wampold et al., 2002)","previouslyFormattedCitation":"(Levin, Haeger, et al., 2018; Wampold et al., 2002)"},"properties":{"noteIndex":0},"schema":"https://github.com/citation-style-language/schema/raw/master/csl-citation.json"}</w:instrText>
      </w:r>
      <w:r w:rsidR="004D7B3B">
        <w:fldChar w:fldCharType="separate"/>
      </w:r>
      <w:r w:rsidR="00156FED" w:rsidRPr="00156FED">
        <w:rPr>
          <w:noProof/>
        </w:rPr>
        <w:t>(Levin, Haeger, et al., 2018; Wampold et al., 2002)</w:t>
      </w:r>
      <w:r w:rsidR="004D7B3B">
        <w:fldChar w:fldCharType="end"/>
      </w:r>
      <w:r w:rsidR="00995F8F">
        <w:t xml:space="preserve">, and both processes have some initial support as mediators of therapeutic change </w:t>
      </w:r>
      <w:r w:rsidR="00995F8F">
        <w:fldChar w:fldCharType="begin" w:fldLock="1"/>
      </w:r>
      <w:r w:rsidR="00B50AE9">
        <w:instrText>ADDIN CSL_CITATION {"citationItems":[{"id":"ITEM-1","itemData":{"DOI":"10.1037/a0028957.Threat","author":[{"dropping-particle":"","family":"Smits","given":"Jasper A J","non-dropping-particle":"","parse-names":false,"suffix":""},{"dropping-particle":"","family":"Julian","given":"Kristin","non-dropping-particle":"","parse-names":false,"suffix":""},{"dropping-particle":"","family":"Rosenfield","given":"David","non-dropping-particle":"","parse-names":false,"suffix":""},{"dropping-particle":"","family":"Powers","given":"Mark B","non-dropping-particle":"","parse-names":false,"suffix":""}],"container-title":"Journal of Consulting and Clinical Psychology","id":"ITEM-1","issue":"4","issued":{"date-parts":[["2013"]]},"page":"624-635","title":"Threat reappraial as a mediator of symptom change in cognitive-behavioral treatment of anxiety disorders: A systematic review","type":"article-journal","volume":"80"},"uris":["http://www.mendeley.com/documents/?uuid=6cacc1fb-f95e-46f3-a0a4-2ff9aaf7776a"]},{"id":"ITEM-2","itemData":{"DOI":"10.1016/j.brat.2012.04.007","ISBN":"0005-7967","ISSN":"00057967","PMID":"22659156","abstract":"Objective: To assess the relationship between session-by-session putative mediators and treatment outcomes in traditional cognitive behavioral therapy (CBT) and acceptance and commitment therapy (ACT) for mixed anxiety disorders. Method: Session-by-session changes in anxiety sensitivity and cognitive defusion were assessed in 67 adult outpatients randomized to CBT (n = 35) or ACT (n = 32) for a DSM-IV anxiety disorder. Results: Multilevel mediation analyses revealed significant changes in the proposed mediators during both treatments (p &lt; .001, d = .90-1.93), with ACT showing borderline greater improvements than CBT in cognitive defusion (p = .05, d = .82). Anxiety sensitivity and cognitive defusion both significantly mediated post-treatment worry; cognitive defusion more strongly predicted worry reductions in CBT than in ACT. In addition, cognitive defusion significantly mediated quality of life, behavioral avoidance, and (secondary) depression outcomes across both CBT and ACT (p &lt; .05, R 2 change = .06-13), whereas anxiety sensitivity did not significantly mediate other outcomes. Conclusions: Cognitive defusion represents an important source of therapeutic change across both CBT and ACT. The data offered little evidence for substantially distinct treatment-related mediation pathways. ?? 2012 Elsevier Ltd.","author":[{"dropping-particle":"","family":"Arch","given":"Joanna J.","non-dropping-particle":"","parse-names":false,"suffix":""},{"dropping-particle":"","family":"Wolitzky-Taylor","given":"Kate B.","non-dropping-particle":"","parse-names":false,"suffix":""},{"dropping-particle":"","family":"Eifert","given":"Georg H.","non-dropping-particle":"","parse-names":false,"suffix":""},{"dropping-particle":"","family":"Craske","given":"Michelle G.","non-dropping-particle":"","parse-names":false,"suffix":""}],"container-title":"Behaviour Research and Therapy","id":"ITEM-2","issued":{"date-parts":[["2012"]]},"page":"469-478","publisher":"Elsevier Ltd","title":"Longitudinal treatment mediation of traditional cognitive behavioral therapy and acceptance and commitment therapy for anxiety disorders","type":"article-journal","volume":"50"},"uris":["http://www.mendeley.com/documents/?uuid=e9e311ca-d52b-4ec9-bc1c-28d9c7cd22cc"]},{"id":"ITEM-3","itemData":{"DOI":"10.1177/0145445511398344","ISBN":"0145445511398","ISSN":"1552-4167","PMID":"21362745","abstract":"Several articles have recently questioned the distinction between acceptance and commitment therapy (ACT) and traditional cognitive therapy (CT). This study presents a reanalysis of data from Zettle and Rains that compared 12 weeks of group CT with group ACT. For theoretical reasons, Zettle and Rains also included a modified form of CT that did not include distancing, and no intent-to-treat analysis was included. Particularly because that unusual third condition did somewhat better than the full CT package, it contaminated the direct comparison of ACT and CT, which has of late become theoretically interesting. In the present study, data from participants in the ACT and CT conditions were reanalyzed. ACT was shown to produce greater reductions in levels of self-reported depression using an intent-to-treat analysis. Posttreatment levels of cognitive defusion mediated this effect at follow-up. The occurrence of depressogenic thoughts and level of dysfunctional attitudes did not function as mediators. This study adds additional evidence that ACT works through distinct and theoretically specified processes that are not the same as CT.","author":[{"dropping-particle":"","family":"Zettle","given":"Robert D","non-dropping-particle":"","parse-names":false,"suffix":""},{"dropping-particle":"","family":"Rains","given":"Jeanetta C","non-dropping-particle":"","parse-names":false,"suffix":""},{"dropping-particle":"","family":"Hayes","given":"Steven C","non-dropping-particle":"","parse-names":false,"suffix":""}],"container-title":"Behavior modification","id":"ITEM-3","issue":"3","issued":{"date-parts":[["2011"]]},"page":"265-283","title":"Processes of change in acceptance and commitment therapy and cognitive therapy for depression: a mediation reanalysis of Zettle and Rains.","type":"article-journal","volume":"35"},"uris":["http://www.mendeley.com/documents/?uuid=d373ba7c-d027-494d-a078-feaba1dade3b"]}],"mendeley":{"formattedCitation":"(Arch et al., 2012; Smits et al., 2013; Zettle et al., 2011)","plainTextFormattedCitation":"(Arch et al., 2012; Smits et al., 2013; Zettle et al., 2011)","previouslyFormattedCitation":"(Arch et al., 2012; Smits et al., 2013; Zettle et al., 2011)"},"properties":{"noteIndex":0},"schema":"https://github.com/citation-style-language/schema/raw/master/csl-citation.json"}</w:instrText>
      </w:r>
      <w:r w:rsidR="00995F8F">
        <w:fldChar w:fldCharType="separate"/>
      </w:r>
      <w:r w:rsidR="00B50AE9" w:rsidRPr="00B50AE9">
        <w:rPr>
          <w:noProof/>
        </w:rPr>
        <w:t>(Arch et al., 2012; Smits et al., 2013; Zettle et al., 2011)</w:t>
      </w:r>
      <w:r w:rsidR="00995F8F">
        <w:fldChar w:fldCharType="end"/>
      </w:r>
      <w:r w:rsidR="00995F8F">
        <w:t>.</w:t>
      </w:r>
    </w:p>
    <w:p w14:paraId="64D7D1BB" w14:textId="535778FE" w:rsidR="008C2B3D" w:rsidRDefault="00044DDB" w:rsidP="007C3456">
      <w:pPr>
        <w:spacing w:line="480" w:lineRule="auto"/>
      </w:pPr>
      <w:r>
        <w:tab/>
      </w:r>
      <w:r w:rsidR="00AE312A">
        <w:t xml:space="preserve">While both processes have strong research support overall, much less is known about how they are used in ecologically valid contexts (i.e., as people go about their daily lives and experience a range of challenging thoughts across different situations). </w:t>
      </w:r>
      <w:r w:rsidR="007E5945">
        <w:t>Understanding the effects of these processes</w:t>
      </w:r>
      <w:r w:rsidR="00AA3F13">
        <w:t xml:space="preserve"> when spontaneously employed</w:t>
      </w:r>
      <w:r w:rsidR="007E5945">
        <w:t xml:space="preserve"> in real</w:t>
      </w:r>
      <w:r w:rsidR="006F7C5A">
        <w:t xml:space="preserve"> </w:t>
      </w:r>
      <w:r w:rsidR="007E5945">
        <w:t xml:space="preserve">life may help to identify </w:t>
      </w:r>
      <w:r w:rsidR="008D503D">
        <w:t xml:space="preserve">whether and </w:t>
      </w:r>
      <w:r w:rsidR="00060080">
        <w:t xml:space="preserve">for what purposes </w:t>
      </w:r>
      <w:r w:rsidR="007E5945">
        <w:t>these processes are beneficial.</w:t>
      </w:r>
      <w:r w:rsidR="00017076">
        <w:t xml:space="preserve"> Research on cognitive reappraisal in daily life suggests it may lead to greater positive affect </w:t>
      </w:r>
      <w:r w:rsidR="00060080">
        <w:fldChar w:fldCharType="begin" w:fldLock="1"/>
      </w:r>
      <w:r w:rsidR="00060080">
        <w:instrText>ADDIN CSL_CITATION {"citationItems":[{"id":"ITEM-1","itemData":{"DOI":"10.1080/16506073.2016.1218926","author":[{"dropping-particle":"","family":"Brockman","given":"Robert","non-dropping-particle":"","parse-names":false,"suffix":""},{"dropping-particle":"","family":"Ciarrochi","given":"Joseph","non-dropping-particle":"","parse-names":false,"suffix":""},{"dropping-particle":"","family":"Parker","given":"Philip","non-dropping-particle":"","parse-names":false,"suffix":""},{"dropping-particle":"","family":"Kashdan","given":"Todd","non-dropping-particle":"","parse-names":false,"suffix":""}],"container-title":"Cognitive Behaviour Therapy","id":"ITEM-1","issued":{"date-parts":[["2016"]]},"page":"91-113","title":"Emotion regulation strategies in daily life: Mindfulness, cognitive reappraisal and emotion suppression","type":"article-journal","volume":"46"},"uris":["http://www.mendeley.com/documents/?uuid=a23607f5-8a05-47b2-9efb-a9188334ee83"]},{"id":"ITEM-2","itemData":{"DOI":"10.1037/a0032400","ISBN":"1528-3542 1931-1516","ISSN":"1931-1516","PMID":"23731436","abstract":"Emotion regulation has primarily been studied either experimentally or by using retrospective trait questionnaires. Very few studies have investigated emotion regulation in the context in which it is usually deployed, namely, the complexity of everyday life. We address this in the current paper by reporting findings of two experience-sampling studies (Ns = 46 and 95) investigating the use of six emotion-regulation strategies (reflection, reappraisal, rumination, distraction, expressive suppression, and social sharing) and their associations with changes in positive affect (PA) and negative affect (NA) in daily life. Regarding the relative use of emotion-regulation strategies, a highly similar ordering was found across both studies with distraction being used more than sharing and reappraisal. While the use of all six strategies was positively correlated both within- and between-persons, different strategies were associated with distinct affective consequences: Suppression and rumination were associated with increases in NA and decreases in PA, whereas reflection was associated with increases in PA across both studies. Additionally, reappraisal, distraction, and social sharing were related to increases in PA in Study 2. Discussion focuses on how the current findings fit with theoretical models of emotion regulation and with previous evidence from experimental and retrospective studies.","author":[{"dropping-particle":"","family":"Brans","given":"Karen","non-dropping-particle":"","parse-names":false,"suffix":""},{"dropping-particle":"","family":"Koval","given":"Peter","non-dropping-particle":"","parse-names":false,"suffix":""},{"dropping-particle":"","family":"Verduyn","given":"Philippe","non-dropping-particle":"","parse-names":false,"suffix":""},{"dropping-particle":"","family":"Lim","given":"Yan Lin","non-dropping-particle":"","parse-names":false,"suffix":""},{"dropping-particle":"","family":"Kuppens","given":"Peter","non-dropping-particle":"","parse-names":false,"suffix":""}],"container-title":"Emotion","id":"ITEM-2","issued":{"date-parts":[["2013"]]},"page":"926-939","title":"The regulation of negative and positive affect in daily life","type":"article-journal","volume":"13"},"uris":["http://www.mendeley.com/documents/?uuid=c656c233-e99a-4fae-b13e-ed61803fb2e7"]}],"mendeley":{"formattedCitation":"(Brans et al., 2013; Brockman et al., 2016)","plainTextFormattedCitation":"(Brans et al., 2013; Brockman et al., 2016)","previouslyFormattedCitation":"(Brans et al., 2013; Brockman et al., 2016)"},"properties":{"noteIndex":0},"schema":"https://github.com/citation-style-language/schema/raw/master/csl-citation.json"}</w:instrText>
      </w:r>
      <w:r w:rsidR="00060080">
        <w:fldChar w:fldCharType="separate"/>
      </w:r>
      <w:r w:rsidR="00060080" w:rsidRPr="00060080">
        <w:rPr>
          <w:noProof/>
        </w:rPr>
        <w:t>(Brans et al., 2013; Brockman et al., 2016)</w:t>
      </w:r>
      <w:r w:rsidR="00060080">
        <w:fldChar w:fldCharType="end"/>
      </w:r>
      <w:r w:rsidR="00017076">
        <w:t xml:space="preserve"> and help buffer the impact of negative events</w:t>
      </w:r>
      <w:r w:rsidR="00060080">
        <w:t xml:space="preserve"> </w:t>
      </w:r>
      <w:r w:rsidR="00060080">
        <w:fldChar w:fldCharType="begin" w:fldLock="1"/>
      </w:r>
      <w:r w:rsidR="00060080">
        <w:instrText>ADDIN CSL_CITATION {"citationItems":[{"id":"ITEM-1","itemData":{"DOI":"10.1007/s10608-020-10202-4","ISBN":"0123456789","ISSN":"15732819","abstract":"Background: Despite increasing interest in positive psychological states, we know little about how regulatory responses to positive (savoring) compared to negative events (e.g. acceptance, cognitive reappraisal) influence emotional functioning. Savoring may be particularly helpful for athletes who are often trained to attend more to negative (e.g. rectifying weaknesses) compared to positive stimuli (e.g. enjoying progress). Methods: Sixty-seven college athletes completed a two-week daily diary study. Using multi-level modeling, we first explored whether various regulatory responses to daily negative events predicted unique variance in daily emotions (i.e. happy, content, grateful, sad, angry, annoyed). Next, we tested whether savoring positive events strengthened the association between event intensity and positive daily emotions. Finally, we tested whether regulatory responses to positive compared to negative events had stronger moderating (buffering) effects on the association between daily negative event intensity and daily emotions. Results: Based on 836 daily observations, reappraising and accepting negative events were the only strategies that predicted unique variance in daily emotions. Savoring enhanced positive emotions related to positive events. Reappraising negative events buffered associations between negative event intensity and decreased daily gratitude, while savoring positive events buffered associations between negative event intensity and increased anger, annoyance, and average negative emotions. Accepting negative events had similar effects. Conclusions: Savoring positive events may be an underappreciated strategy for helping athletes regulate emotions related to negative events. Since our sample predominantly identified as white and female, further research is needed to understand savoring use and effectiveness among the full, diverse spectrum of college athletes.","author":[{"dropping-particle":"","family":"Doorley","given":"James D.","non-dropping-particle":"","parse-names":false,"suffix":""},{"dropping-particle":"","family":"Kashdan","given":"Todd B.","non-dropping-particle":"","parse-names":false,"suffix":""}],"container-title":"Cognitive Therapy and Research","id":"ITEM-1","issue":"0123456789","issued":{"date-parts":[["2021"]]},"publisher":"Springer US","title":"Positive and Negative Emotion Regulation in College Athletes: A Preliminary Exploration of Daily Savoring, Acceptance, and Cognitive Reappraisal","type":"article-journal"},"uris":["http://www.mendeley.com/documents/?uuid=dc57b161-5319-4ddd-941b-404ee15f9517"]}],"mendeley":{"formattedCitation":"(Doorley &amp; Kashdan, 2021)","plainTextFormattedCitation":"(Doorley &amp; Kashdan, 2021)","previouslyFormattedCitation":"(Doorley &amp; Kashdan, 2021)"},"properties":{"noteIndex":0},"schema":"https://github.com/citation-style-language/schema/raw/master/csl-citation.json"}</w:instrText>
      </w:r>
      <w:r w:rsidR="00060080">
        <w:fldChar w:fldCharType="separate"/>
      </w:r>
      <w:r w:rsidR="00060080" w:rsidRPr="00060080">
        <w:rPr>
          <w:noProof/>
        </w:rPr>
        <w:t>(Doorley &amp; Kashdan, 2021)</w:t>
      </w:r>
      <w:r w:rsidR="00060080">
        <w:fldChar w:fldCharType="end"/>
      </w:r>
      <w:r w:rsidR="00017076">
        <w:t>; however,</w:t>
      </w:r>
      <w:r w:rsidR="00502F09">
        <w:t xml:space="preserve"> </w:t>
      </w:r>
      <w:r w:rsidR="00502F09">
        <w:t xml:space="preserve">the effects of reappraisal are often variable depending on factors such as age </w:t>
      </w:r>
      <w:r w:rsidR="00502F09">
        <w:fldChar w:fldCharType="begin" w:fldLock="1"/>
      </w:r>
      <w:r w:rsidR="00502F09">
        <w:instrText>ADDIN CSL_CITATION {"citationItems":[{"id":"ITEM-1","itemData":{"DOI":"10.1080/16506073.2016.1218926","author":[{"dropping-particle":"","family":"Brockman","given":"Robert","non-dropping-particle":"","parse-names":false,"suffix":""},{"dropping-particle":"","family":"Ciarrochi","given":"Joseph","non-dropping-particle":"","parse-names":false,"suffix":""},{"dropping-particle":"","family":"Parker","given":"Philip","non-dropping-particle":"","parse-names":false,"suffix":""},{"dropping-particle":"","family":"Kashdan","given":"Todd","non-dropping-particle":"","parse-names":false,"suffix":""}],"container-title":"Cognitive Behaviour Therapy","id":"ITEM-1","issued":{"date-parts":[["2016"]]},"page":"91-113","title":"Emotion regulation strategies in daily life: Mindfulness, cognitive reappraisal and emotion suppression","type":"article-journal","volume":"46"},"uris":["http://www.mendeley.com/documents/?uuid=a23607f5-8a05-47b2-9efb-a9188334ee83"]}],"mendeley":{"formattedCitation":"(Brockman et al., 2016)","plainTextFormattedCitation":"(Brockman et al., 2016)","previouslyFormattedCitation":"(Brockman et al., 2016)"},"properties":{"noteIndex":0},"schema":"https://github.com/citation-style-language/schema/raw/master/csl-citation.json"}</w:instrText>
      </w:r>
      <w:r w:rsidR="00502F09">
        <w:fldChar w:fldCharType="separate"/>
      </w:r>
      <w:r w:rsidR="00502F09" w:rsidRPr="00060080">
        <w:rPr>
          <w:noProof/>
        </w:rPr>
        <w:t>(Brockman et al., 2016)</w:t>
      </w:r>
      <w:r w:rsidR="00502F09">
        <w:fldChar w:fldCharType="end"/>
      </w:r>
      <w:r w:rsidR="00502F09">
        <w:t xml:space="preserve">, level of symptoms </w:t>
      </w:r>
      <w:r w:rsidR="00502F09">
        <w:fldChar w:fldCharType="begin" w:fldLock="1"/>
      </w:r>
      <w:r w:rsidR="00502F09">
        <w:instrText>ADDIN CSL_CITATION {"citationItems":[{"id":"ITEM-1","itemData":{"DOI":"10.1080/16506073.2012.666561","ISBN":"1651-2316 (Electronic) 1650-6073 (Linking)","ISSN":"1650-6073","PMID":"22428662","abstract":"To minimize the possibility of scrutiny, people with social anxiety difficulties exert great effort to manage their emotions, particularly during social interactions. We examined how the use of two emotion regulation strategies, emotion suppression and cognitive reappraisal, predict the generation of emotions and social events in daily life. Over 14 consecutive days, 89 participants completed daily diary entries on emotions, positive and negative social events, and their regulation of emotions. Using multilevel modeling, we found that when people high in social anxiety relied more on positive emotion suppression, they reported fewer positive social events and less positive emotion on the subsequent day. In contrast, people low in social anxiety reported fewer negative social events on days subsequent to using cognitive reappraisal to reduce distress; the use of cognitive reappraisal did not influence the daily lives of people high in social anxiety. Our findings support theories of emotion regulation difficulties associated with social anxiety. In particular, for people high in social anxiety, maladaptive strategy use contributed to diminished reward responsiveness.","author":[{"dropping-particle":"","family":"Farmer","given":"Antonina Savostyanova","non-dropping-particle":"","parse-names":false,"suffix":""},{"dropping-particle":"","family":"Kashdan","given":"Todd B.","non-dropping-particle":"","parse-names":false,"suffix":""}],"container-title":"Cognitive Behaviour Therapy","id":"ITEM-1","issue":"2","issued":{"date-parts":[["2012"]]},"page":"152-162","title":"Social Anxiety and Emotion Regulation in Daily Life: Spillover Effects on Positive and Negative Social Events","type":"article-journal","volume":"41"},"uris":["http://www.mendeley.com/documents/?uuid=692353f6-6f7f-4cef-9064-a12087ecd9d6"]}],"mendeley":{"formattedCitation":"(Farmer &amp; Kashdan, 2012)","plainTextFormattedCitation":"(Farmer &amp; Kashdan, 2012)","previouslyFormattedCitation":"(Farmer &amp; Kashdan, 2012)"},"properties":{"noteIndex":0},"schema":"https://github.com/citation-style-language/schema/raw/master/csl-citation.json"}</w:instrText>
      </w:r>
      <w:r w:rsidR="00502F09">
        <w:fldChar w:fldCharType="separate"/>
      </w:r>
      <w:r w:rsidR="00502F09" w:rsidRPr="00060080">
        <w:rPr>
          <w:noProof/>
        </w:rPr>
        <w:t>(Farmer &amp; Kashdan, 2012)</w:t>
      </w:r>
      <w:r w:rsidR="00502F09">
        <w:fldChar w:fldCharType="end"/>
      </w:r>
      <w:r w:rsidR="00502F09">
        <w:t xml:space="preserve">, and type of situation </w:t>
      </w:r>
      <w:r w:rsidR="00502F09">
        <w:fldChar w:fldCharType="begin" w:fldLock="1"/>
      </w:r>
      <w:r w:rsidR="00502F09">
        <w:instrText>ADDIN CSL_CITATION {"citationItems":[{"id":"ITEM-1","itemData":{"DOI":"10.1177/0956797616669086","ISSN":"0956-7976","PMID":"27738099","abstract":"The ability to regulate emotions is central to well-being, but healthy emotion regulation may not merely be about using the “right” strategies. According to the strategy-situation-fit hypothesis, emotion-regulation strategies are conducive to well-being only when used in appropriate contexts. This study is the first to test the strategy-situation-fit hypothesis using ecological momentary assessment of cognitive reappraisal—a putatively adaptive strategy. We expected people who used reappraisal more in uncontrollable situations and less in controllable situations to have greater well-being than people with the opposite pattern of reappraisal use. Healthy participants (n = 74) completed measures of wellbeing in the lab and used a smartphone app to report their use of reappraisal and perceived controllability of their environment 10 times a day for 1 week. Results supported the strategy-situation-fit hypothesis. Participants with relatively high well-being used reappraisal more in situations they perceived as lower in controllability and less in situations they perceived as higher in controllability. In contrast, we found little evidence for an association between greater well-being and greater mean use of reappraisal across situations.","author":[{"dropping-particle":"","family":"Haines","given":"Simon J.","non-dropping-particle":"","parse-names":false,"suffix":""},{"dropping-particle":"","family":"Gleeson","given":"John","non-dropping-particle":"","parse-names":false,"suffix":""},{"dropping-particle":"","family":"Kuppens","given":"Peter","non-dropping-particle":"","parse-names":false,"suffix":""},{"dropping-particle":"","family":"Hollenstein","given":"Tom","non-dropping-particle":"","parse-names":false,"suffix":""},{"dropping-particle":"","family":"Ciarrochi","given":"Joseph","non-dropping-particle":"","parse-names":false,"suffix":""},{"dropping-particle":"","family":"Labuschagne","given":"Izelle","non-dropping-particle":"","parse-names":false,"suffix":""},{"dropping-particle":"","family":"Grace","given":"Caitlin","non-dropping-particle":"","parse-names":false,"suffix":""},{"dropping-particle":"","family":"Koval","given":"Peter","non-dropping-particle":"","parse-names":false,"suffix":""}],"container-title":"Psychological Science","id":"ITEM-1","issue":"12","issued":{"date-parts":[["2016"]]},"page":"1651-1659","title":"The wisdom to know the difference: Strategy-situation fit in emotion regulation in daily life Is associated with well-being","type":"article-journal","volume":"27"},"uris":["http://www.mendeley.com/documents/?uuid=7dcb54ea-af5c-4a62-927d-548c77ebe6a5"]}],"mendeley":{"formattedCitation":"(Haines et al., 2016)","plainTextFormattedCitation":"(Haines et al., 2016)","previouslyFormattedCitation":"(Haines et al., 2016)"},"properties":{"noteIndex":0},"schema":"https://github.com/citation-style-language/schema/raw/master/csl-citation.json"}</w:instrText>
      </w:r>
      <w:r w:rsidR="00502F09">
        <w:fldChar w:fldCharType="separate"/>
      </w:r>
      <w:r w:rsidR="00502F09" w:rsidRPr="00060080">
        <w:rPr>
          <w:noProof/>
        </w:rPr>
        <w:t>(Haines et al., 2016)</w:t>
      </w:r>
      <w:r w:rsidR="00502F09">
        <w:fldChar w:fldCharType="end"/>
      </w:r>
      <w:r w:rsidR="00502F09">
        <w:t>. Moreover,</w:t>
      </w:r>
      <w:r w:rsidR="00017076">
        <w:t xml:space="preserve"> studies have largely assessed</w:t>
      </w:r>
      <w:r w:rsidR="00DD4ECC">
        <w:t xml:space="preserve"> the construct of</w:t>
      </w:r>
      <w:r w:rsidR="00017076">
        <w:t xml:space="preserve"> cognitive reappraisal </w:t>
      </w:r>
      <w:r w:rsidR="00502F09">
        <w:t>(i.e., changing thinking in order to alter mood broadly;</w:t>
      </w:r>
      <w:r w:rsidR="00661610">
        <w:t xml:space="preserve"> </w:t>
      </w:r>
      <w:r w:rsidR="00661610">
        <w:fldChar w:fldCharType="begin" w:fldLock="1"/>
      </w:r>
      <w:r w:rsidR="00661610">
        <w:instrText>ADDIN CSL_CITATION {"citationItems":[{"id":"ITEM-1","itemData":{"DOI":"10.1037/a0026351","ISSN":"19311516","PMID":"22148990","abstract":"Studies of emotion regulation typically contrast two or more strategies (e.g., reappraisal vs. suppression) and ignore variation within each strategy. To address such variation, we focused on cognitive reappraisal and considered the effects of goals (i.e., what people are trying to achieve) and tactics (i.e., what people actually do) on outcomes (i.e., how affective responses change). To examine goals, we randomly assigned participants to either increase positive emotion or decrease negative emotion to a negative stimulus. To examine tactics, we categorized participants' reports of how they reappraised. To examine reappraisal outcomes, we measured experience and electrodermal responding. Findings indicated that (a) the goal of increasing positive emotion led to greater increases in positive affect and smaller decreases in skin conductance than the goal of decreasing negative emotion, and (b) use of the reality challenge tactic was associated with smaller increases in positive affect during reappraisal. These findings suggest that reappraisal can be implemented in the service of different emotion goals, using different tactics. Such differences are associated with different outcomes, and they should be considered in future research and applied attempts to maximize reappraisal success. (PsycINFO Database Record (c) 2012 APA, all rights reserved).","author":[{"dropping-particle":"","family":"McRae","given":"Kateri","non-dropping-particle":"","parse-names":false,"suffix":""},{"dropping-particle":"","family":"Ciesielski","given":"Bethany","non-dropping-particle":"","parse-names":false,"suffix":""},{"dropping-particle":"","family":"Gross","given":"James J.","non-dropping-particle":"","parse-names":false,"suffix":""}],"container-title":"Emotion (Washington, D.C.)","id":"ITEM-1","issue":"2","issued":{"date-parts":[["2012"]]},"page":"250-255","title":"Unpacking cognitive reappraisal: goals, tactics, and outcomes.","type":"article-journal","volume":"12"},"uris":["http://www.mendeley.com/documents/?uuid=200c88d4-2847-45c2-866c-58fa265826a3"]}],"mendeley":{"formattedCitation":"(McRae et al., 2012)","manualFormatting":"McRae et al., 2012)","plainTextFormattedCitation":"(McRae et al., 2012)","previouslyFormattedCitation":"(McRae et al., 2012)"},"properties":{"noteIndex":0},"schema":"https://github.com/citation-style-language/schema/raw/master/csl-citation.json"}</w:instrText>
      </w:r>
      <w:r w:rsidR="00661610">
        <w:fldChar w:fldCharType="separate"/>
      </w:r>
      <w:r w:rsidR="00661610" w:rsidRPr="00661610">
        <w:rPr>
          <w:noProof/>
        </w:rPr>
        <w:t>McRae et al., 2012)</w:t>
      </w:r>
      <w:r w:rsidR="00661610">
        <w:fldChar w:fldCharType="end"/>
      </w:r>
      <w:r w:rsidR="00502F09">
        <w:t xml:space="preserve"> </w:t>
      </w:r>
      <w:r w:rsidR="00017076">
        <w:t>rather than the more specific process of cognitive restructuring</w:t>
      </w:r>
      <w:r w:rsidR="00502F09">
        <w:t xml:space="preserve"> (i.e., evaluating and altering</w:t>
      </w:r>
      <w:r w:rsidR="00A93538">
        <w:t xml:space="preserve"> maladaptive</w:t>
      </w:r>
      <w:r w:rsidR="00502F09">
        <w:t xml:space="preserve"> thoughts to make them more adaptive;</w:t>
      </w:r>
      <w:r w:rsidR="00C0283F">
        <w:t xml:space="preserve"> </w:t>
      </w:r>
      <w:r w:rsidR="00C0283F">
        <w:fldChar w:fldCharType="begin" w:fldLock="1"/>
      </w:r>
      <w:r w:rsidR="00E61EEC">
        <w:instrText>ADDIN CSL_CITATION {"citationItems":[{"id":"ITEM-1","itemData":{"DOI":"10.1002/9781118528563.wbcbt02","ISBN":"9781118528563","abstract":"(from the chapter) There are a variety of cognitive models that emphasize the role of thinking as a mediation affecting emotion and behavior. We emphasize the cognitive models advanced by Beck and Ellis throughout this chapter, although we recognize the importance of cognition as a mediator in the self-instructional training model advanced by Meichenbaum (1974), the constructivism model advanced by Mahoney (2003), the self-control model advanced by Rehm (1981), and others. The attribution model, advanced by Alloy, Peterson, Abramson, and Seligman (1984), has also had considerable influence on research on cognitive vulnerability and has been an important clinical model for both prevention and treatment of depression. Cognitive restructuring has proven to be an important and effective model for intervention, although other behavioral, mindfulness, and meta-cognitive models also contend for efficacy and effectiveness. Interventions and treatment packages based largely or partly on cognitive restructuring have proven effective in the treatment of major depressive disorder, all of the anxiety disorders, anger disorders, couples therapy, and in other problems. (PsycINFO Database Record (c) 2014 APA, all rights reserved)","author":[{"dropping-particle":"","family":"Clark","given":"David A.","non-dropping-particle":"","parse-names":false,"suffix":""}],"container-title":"The Wiley Handbook of Cognitive Behavioral Therapy","id":"ITEM-1","issued":{"date-parts":[["2013"]]},"page":"1-22","title":"Cognitive restructuring","type":"chapter"},"uris":["http://www.mendeley.com/documents/?uuid=a2b59ade-29ef-4d7a-b80a-1a7ec77f128a"]}],"mendeley":{"formattedCitation":"(Clark, 2013)","manualFormatting":"Clark, 2013)"},"properties":{"noteIndex":0},"schema":"https://github.com/citation-style-language/schema/raw/master/csl-citation.json"}</w:instrText>
      </w:r>
      <w:r w:rsidR="00C0283F">
        <w:fldChar w:fldCharType="separate"/>
      </w:r>
      <w:r w:rsidR="00C0283F" w:rsidRPr="00C0283F">
        <w:rPr>
          <w:noProof/>
        </w:rPr>
        <w:t>Clark, 2013)</w:t>
      </w:r>
      <w:r w:rsidR="00C0283F">
        <w:fldChar w:fldCharType="end"/>
      </w:r>
      <w:r w:rsidR="00C0283F">
        <w:t>.</w:t>
      </w:r>
      <w:r w:rsidR="00502F09">
        <w:t xml:space="preserve"> </w:t>
      </w:r>
      <w:r w:rsidR="00017076">
        <w:t xml:space="preserve">There is very little research on cognitive </w:t>
      </w:r>
      <w:proofErr w:type="spellStart"/>
      <w:r w:rsidR="00017076">
        <w:t>defusion</w:t>
      </w:r>
      <w:proofErr w:type="spellEnd"/>
      <w:r w:rsidR="00017076">
        <w:t xml:space="preserve"> in daily life, but one study found it to be related to less avoidant coping and more approach coping</w:t>
      </w:r>
      <w:r w:rsidR="00060080">
        <w:t xml:space="preserve"> </w:t>
      </w:r>
      <w:r w:rsidR="00060080">
        <w:fldChar w:fldCharType="begin" w:fldLock="1"/>
      </w:r>
      <w:r w:rsidR="00AC68F7">
        <w:instrText>ADDIN CSL_CITATION {"citationItems":[{"id":"ITEM-1","itemData":{"DOI":"10.1111/jopy.12279","ISSN":"14676494","PMID":"27517470","abstract":"Objective: Recent evidence suggests that the way in which individuals relate to their aversive thoughts predicts behavioral effectiveness more than the content of such thoughts. This article is among the first to explore whether this is true for coping with stressful events. Method: Three studies with emerging adults (Study 1, N = 202) and adults (Study 2, N = 201; Study 3, N = 141) tested whether changes in how individuals relate to their stress-related thoughts, measured using the individual-difference construct of cognitive defusion, predicted more approach and less avoidance coping behavior, controlling for stress-related appraisals. Results: We found that cognitive defusion predicted more approach coping (Studies 1 and 3) and less avoidance coping (Studies 2 and 3) following laboratory-induced stress (Study 1), naturally occurring monthly stress (Study 2), and daily stress (Study 3). These effects occurred independently of the effects of threat appraisals (Studies 1–3) and self-efficacy appraisals (Study 3) on coping responses. Conclusions: Cognitive defusion may be an important individual-difference predictor of coping behavior, adding to established theories of coping such as Lazarus and Folkman's (1987) transactional theory.","author":[{"dropping-particle":"","family":"Donald","given":"James N.","non-dropping-particle":"","parse-names":false,"suffix":""},{"dropping-particle":"","family":"Atkins","given":"Paul W.B.","non-dropping-particle":"","parse-names":false,"suffix":""},{"dropping-particle":"","family":"Parker","given":"Philip D.","non-dropping-particle":"","parse-names":false,"suffix":""},{"dropping-particle":"","family":"Christie","given":"Alison M.","non-dropping-particle":"","parse-names":false,"suffix":""},{"dropping-particle":"","family":"Guo","given":"Jiesi","non-dropping-particle":"","parse-names":false,"suffix":""}],"container-title":"Journal of Personality","id":"ITEM-1","issue":"5","issued":{"date-parts":[["2017"]]},"page":"716-729","title":"Cognitive defusion predicts more approach and less avoidance coping with stress, independent of threat and self-efficacy appraisals","type":"article-journal","volume":"85"},"uris":["http://www.mendeley.com/documents/?uuid=50afea42-76a9-4f92-8990-165a29c98d19"]}],"mendeley":{"formattedCitation":"(Donald et al., 2017)","plainTextFormattedCitation":"(Donald et al., 2017)","previouslyFormattedCitation":"(Donald et al., 2017)"},"properties":{"noteIndex":0},"schema":"https://github.com/citation-style-language/schema/raw/master/csl-citation.json"}</w:instrText>
      </w:r>
      <w:r w:rsidR="00060080">
        <w:fldChar w:fldCharType="separate"/>
      </w:r>
      <w:r w:rsidR="00060080" w:rsidRPr="00060080">
        <w:rPr>
          <w:noProof/>
        </w:rPr>
        <w:t>(Donald et al., 2017)</w:t>
      </w:r>
      <w:r w:rsidR="00060080">
        <w:fldChar w:fldCharType="end"/>
      </w:r>
      <w:r w:rsidR="00017076">
        <w:t xml:space="preserve">. Assessing the use of these two theoretically distinct coping strategies in combination, and </w:t>
      </w:r>
      <w:r w:rsidR="00017076">
        <w:lastRenderedPageBreak/>
        <w:t xml:space="preserve">across a range of relevant outcomes, can help clarify their utility. </w:t>
      </w:r>
      <w:r w:rsidR="004D1D65">
        <w:t xml:space="preserve">If individuals already use cognitive restructuring and/or cognitive </w:t>
      </w:r>
      <w:proofErr w:type="spellStart"/>
      <w:r w:rsidR="004D1D65">
        <w:t>defusion</w:t>
      </w:r>
      <w:proofErr w:type="spellEnd"/>
      <w:r w:rsidR="004D1D65">
        <w:t xml:space="preserve"> to help address </w:t>
      </w:r>
      <w:r w:rsidR="008C2B3D">
        <w:t xml:space="preserve">unwanted </w:t>
      </w:r>
      <w:r w:rsidR="004D1D65">
        <w:t>thoughts</w:t>
      </w:r>
      <w:r w:rsidR="00B50AE9">
        <w:t xml:space="preserve"> </w:t>
      </w:r>
      <w:r w:rsidR="00017076">
        <w:t xml:space="preserve">effectively </w:t>
      </w:r>
      <w:r w:rsidR="00B50AE9">
        <w:t>prior to intervention</w:t>
      </w:r>
      <w:r w:rsidR="004D1D65">
        <w:t xml:space="preserve">, therapists may be able to leverage and generalize </w:t>
      </w:r>
      <w:r w:rsidR="00017076">
        <w:t xml:space="preserve">these </w:t>
      </w:r>
      <w:r w:rsidR="004D1D65">
        <w:t xml:space="preserve">existing skills to foster therapeutic change. However, if individuals do not use these processes, or use them in a counterproductive </w:t>
      </w:r>
      <w:r w:rsidR="00B50AE9">
        <w:t>way</w:t>
      </w:r>
      <w:r w:rsidR="004D1D65">
        <w:t>, it may be more important to teach these processes in a ground-up manner. In sum, characterizing and evaluating the naturalistic use of cognitive coping processes in the moment may help inform effective and efficient psychological interventions.</w:t>
      </w:r>
    </w:p>
    <w:p w14:paraId="5AD43C4B" w14:textId="35CFFC12" w:rsidR="008C2B3D" w:rsidRDefault="008C2B3D" w:rsidP="007C3456">
      <w:pPr>
        <w:spacing w:line="480" w:lineRule="auto"/>
      </w:pPr>
      <w:r>
        <w:tab/>
        <w:t xml:space="preserve">Several specific aspects of naturalistic use </w:t>
      </w:r>
      <w:r w:rsidR="00F317F4">
        <w:t xml:space="preserve">of cognitive processes </w:t>
      </w:r>
      <w:r>
        <w:t xml:space="preserve">merit investigation. First, it is unclear if cognitive </w:t>
      </w:r>
      <w:proofErr w:type="spellStart"/>
      <w:r>
        <w:t>defusion</w:t>
      </w:r>
      <w:proofErr w:type="spellEnd"/>
      <w:r>
        <w:t xml:space="preserve"> and restructuring are used as </w:t>
      </w:r>
      <w:r w:rsidR="003C75B4">
        <w:t xml:space="preserve">relatively </w:t>
      </w:r>
      <w:r>
        <w:t>unique strategies, or in combination with other coping strategies</w:t>
      </w:r>
      <w:r w:rsidR="003C75B4">
        <w:t>. In particular, individuals may use these strategies as an alternative to, or alongside, strategies that are often considered maladaptive</w:t>
      </w:r>
      <w:r w:rsidR="00A719C3">
        <w:t xml:space="preserve"> or control-oriented</w:t>
      </w:r>
      <w:r w:rsidR="003C75B4">
        <w:t xml:space="preserve"> such as rumination, thought suppression, and distraction. In addition, cognitive coping strategies may have different effects for different outcomes</w:t>
      </w:r>
      <w:r w:rsidR="000C4911">
        <w:t xml:space="preserve">; historically, the literature on cognitive restructuring has focused on altering affect, while the literature on cognitive </w:t>
      </w:r>
      <w:proofErr w:type="spellStart"/>
      <w:r w:rsidR="000C4911">
        <w:t>defusion</w:t>
      </w:r>
      <w:proofErr w:type="spellEnd"/>
      <w:r w:rsidR="000C4911">
        <w:t xml:space="preserve"> has focused on encouraging valued living </w:t>
      </w:r>
      <w:r w:rsidR="000C4911">
        <w:fldChar w:fldCharType="begin" w:fldLock="1"/>
      </w:r>
      <w:r w:rsidR="000C4911">
        <w:instrText>ADDIN CSL_CITATION {"citationItems":[{"id":"ITEM-1","itemData":{"author":[{"dropping-particle":"","family":"Arch","given":"Joanna J","non-dropping-particle":"","parse-names":false,"suffix":""},{"dropping-particle":"","family":"Craske","given":"Michelle G","non-dropping-particle":"","parse-names":false,"suffix":""}],"container-title":"Clinical Psychology: Science and Practice","id":"ITEM-1","issued":{"date-parts":[["2008"]]},"page":"263-279","title":"Acceptance and commitment therapy and cognitive behavioral therapy for anxiety disorders: Different treatments, similar mechanisms?","type":"article-journal","volume":"15"},"uris":["http://www.mendeley.com/documents/?uuid=0dd00996-22d0-4518-afec-54cafafc38b4"]}],"mendeley":{"formattedCitation":"(Arch &amp; Craske, 2008)","plainTextFormattedCitation":"(Arch &amp; Craske, 2008)","previouslyFormattedCitation":"(Arch &amp; Craske, 2008)"},"properties":{"noteIndex":0},"schema":"https://github.com/citation-style-language/schema/raw/master/csl-citation.json"}</w:instrText>
      </w:r>
      <w:r w:rsidR="000C4911">
        <w:fldChar w:fldCharType="separate"/>
      </w:r>
      <w:r w:rsidR="000C4911" w:rsidRPr="000C4911">
        <w:rPr>
          <w:noProof/>
        </w:rPr>
        <w:t>(Arch &amp; Craske, 2008)</w:t>
      </w:r>
      <w:r w:rsidR="000C4911">
        <w:fldChar w:fldCharType="end"/>
      </w:r>
      <w:r w:rsidR="000C4911">
        <w:t xml:space="preserve">, although effects of interventions </w:t>
      </w:r>
      <w:r w:rsidR="003A6CE7">
        <w:t>incorporating</w:t>
      </w:r>
      <w:r w:rsidR="00A719C3">
        <w:t xml:space="preserve"> these processes </w:t>
      </w:r>
      <w:r w:rsidR="000C4911">
        <w:t xml:space="preserve">are often similar </w:t>
      </w:r>
      <w:r w:rsidR="000C4911">
        <w:fldChar w:fldCharType="begin" w:fldLock="1"/>
      </w:r>
      <w:r w:rsidR="002C0D23">
        <w:instrText>ADDIN CSL_CITATION {"citationItems":[{"id":"ITEM-1","itemData":{"author":[{"dropping-particle":"","family":"Twohig","given":"Michael P","non-dropping-particle":"","parse-names":false,"suffix":""},{"dropping-particle":"","family":"Levin","given":"Michael E","non-dropping-particle":"","parse-names":false,"suffix":""}],"container-title":"Psychiatric Clinics","id":"ITEM-1","issue":"4","issued":{"date-parts":[["2017"]]},"page":"751-770","title":"Acceptance and commitment therapy as a treatment for anxiety and depression: A review","type":"article-journal","volume":"40"},"uris":["http://www.mendeley.com/documents/?uuid=5c753f5c-d38b-422a-ab4d-fef03fc69ef2"]}],"mendeley":{"formattedCitation":"(Twohig &amp; Levin, 2017)","plainTextFormattedCitation":"(Twohig &amp; Levin, 2017)","previouslyFormattedCitation":"(Twohig &amp; Levin, 2017)"},"properties":{"noteIndex":0},"schema":"https://github.com/citation-style-language/schema/raw/master/csl-citation.json"}</w:instrText>
      </w:r>
      <w:r w:rsidR="000C4911">
        <w:fldChar w:fldCharType="separate"/>
      </w:r>
      <w:r w:rsidR="000C4911" w:rsidRPr="000C4911">
        <w:rPr>
          <w:noProof/>
        </w:rPr>
        <w:t>(Twohig &amp; Levin, 2017)</w:t>
      </w:r>
      <w:r w:rsidR="000C4911">
        <w:fldChar w:fldCharType="end"/>
      </w:r>
      <w:r w:rsidR="000C4911">
        <w:t>. Examining the effects of these strategies on a range of outcomes may help to clarify whether they are distinct in terms of naturalistic effects.</w:t>
      </w:r>
    </w:p>
    <w:p w14:paraId="1623AFA6" w14:textId="18FE45C5" w:rsidR="00B00021" w:rsidRDefault="004D1D65" w:rsidP="006A1FC9">
      <w:pPr>
        <w:spacing w:line="480" w:lineRule="auto"/>
      </w:pPr>
      <w:r>
        <w:tab/>
        <w:t xml:space="preserve">Therefore, this study investigated the use of two cognitive processes, cognitive restructuring and cognitive </w:t>
      </w:r>
      <w:proofErr w:type="spellStart"/>
      <w:r>
        <w:t>defusion</w:t>
      </w:r>
      <w:proofErr w:type="spellEnd"/>
      <w:r>
        <w:t xml:space="preserve">, in an unscreened, untrained population. Specifically, we sought to evaluate 1) how commonly these processes were </w:t>
      </w:r>
      <w:r w:rsidR="006A1FC9">
        <w:t xml:space="preserve">engaged in dealing with </w:t>
      </w:r>
      <w:r w:rsidR="00017A1A">
        <w:t xml:space="preserve">unwanted </w:t>
      </w:r>
      <w:r w:rsidR="006A1FC9">
        <w:t xml:space="preserve">thoughts, 2) their relationships to putatively maladaptive cognitive processes, and 3) their relationships with psychological outcomes cross-sectionally and </w:t>
      </w:r>
      <w:r w:rsidR="002A047B">
        <w:t>across time points</w:t>
      </w:r>
      <w:r w:rsidR="006A1FC9">
        <w:t>.</w:t>
      </w:r>
    </w:p>
    <w:p w14:paraId="6901DF1A" w14:textId="50D9CCAB" w:rsidR="00D12D8D" w:rsidRDefault="00D12D8D" w:rsidP="00D12D8D">
      <w:pPr>
        <w:jc w:val="center"/>
        <w:rPr>
          <w:b/>
          <w:bCs/>
        </w:rPr>
      </w:pPr>
      <w:r>
        <w:rPr>
          <w:b/>
          <w:bCs/>
        </w:rPr>
        <w:lastRenderedPageBreak/>
        <w:t>Methods</w:t>
      </w:r>
    </w:p>
    <w:p w14:paraId="07D8CE5A" w14:textId="77777777" w:rsidR="004768A9" w:rsidRPr="00901E93" w:rsidRDefault="004768A9" w:rsidP="004768A9">
      <w:pPr>
        <w:spacing w:line="480" w:lineRule="auto"/>
        <w:rPr>
          <w:b/>
          <w:bCs/>
          <w:i/>
          <w:iCs/>
        </w:rPr>
      </w:pPr>
      <w:r w:rsidRPr="00901E93">
        <w:rPr>
          <w:b/>
          <w:bCs/>
          <w:i/>
          <w:iCs/>
        </w:rPr>
        <w:t>Participants</w:t>
      </w:r>
    </w:p>
    <w:p w14:paraId="5E731813" w14:textId="74B2F22B" w:rsidR="00A90399" w:rsidRDefault="00B250EE" w:rsidP="004768A9">
      <w:pPr>
        <w:spacing w:line="480" w:lineRule="auto"/>
        <w:ind w:firstLine="720"/>
      </w:pPr>
      <w:r>
        <w:t xml:space="preserve">This study was approved by the Institutional Review Board </w:t>
      </w:r>
      <w:r w:rsidR="00D36FAA">
        <w:t>at the authors’ institution and all participants gave their informed consent. Participants (n = 19</w:t>
      </w:r>
      <w:r w:rsidR="00B3067D">
        <w:t>4</w:t>
      </w:r>
      <w:r w:rsidR="00D36FAA">
        <w:t xml:space="preserve">) were college students who received research participation credit through undergraduate courses. Inclusion criteria were being a student at the authors’ university, </w:t>
      </w:r>
      <w:r w:rsidR="002B3E83">
        <w:t xml:space="preserve">being </w:t>
      </w:r>
      <w:r w:rsidR="00D36FAA">
        <w:t>18 years of age or older, and owning an iPhone or Android</w:t>
      </w:r>
      <w:r w:rsidR="00D55603">
        <w:t>; there were no additional exclusion criteria</w:t>
      </w:r>
      <w:r w:rsidR="00D36FAA">
        <w:t>. Participants were recruited through the university’s research participation platform</w:t>
      </w:r>
      <w:r w:rsidR="00A90E6A">
        <w:t xml:space="preserve"> and received up to 4 research credits, one each for completing baseline and post surveys, responding to at least 25% of EMA surveys, and responding to at least 75% of EMA surveys.</w:t>
      </w:r>
    </w:p>
    <w:p w14:paraId="5A97B6B9" w14:textId="035DEE7D" w:rsidR="00074A83" w:rsidRDefault="008C41B9" w:rsidP="004768A9">
      <w:pPr>
        <w:spacing w:line="480" w:lineRule="auto"/>
        <w:ind w:firstLine="720"/>
      </w:pPr>
      <w:r>
        <w:t xml:space="preserve">Participants were </w:t>
      </w:r>
      <w:r w:rsidR="00A90399">
        <w:t>largely female (71.13%), White</w:t>
      </w:r>
      <w:r w:rsidR="00684A3D">
        <w:t xml:space="preserve"> (95.88%)</w:t>
      </w:r>
      <w:r w:rsidR="00A90399">
        <w:t xml:space="preserve"> and young (</w:t>
      </w:r>
      <w:r w:rsidR="00A90399">
        <w:rPr>
          <w:i/>
          <w:iCs/>
        </w:rPr>
        <w:t xml:space="preserve">M </w:t>
      </w:r>
      <w:r w:rsidR="00A90399">
        <w:t xml:space="preserve">= 21.81 years, </w:t>
      </w:r>
      <w:r w:rsidR="00A90399" w:rsidRPr="00A90399">
        <w:t>SD</w:t>
      </w:r>
      <w:r w:rsidR="00A90399">
        <w:t xml:space="preserve"> = 14.79</w:t>
      </w:r>
      <w:r w:rsidR="00684A3D">
        <w:t xml:space="preserve">; see Table 1 for full participant demographics). </w:t>
      </w:r>
      <w:r w:rsidR="00C70E09">
        <w:t xml:space="preserve">Aggregating across race and ethnicity, 91.24% of participants were non-Hispanic White. </w:t>
      </w:r>
      <w:r w:rsidR="00EC563F">
        <w:t xml:space="preserve">Although the sample was not screened for psychological symptoms, </w:t>
      </w:r>
      <w:r w:rsidR="00D71527">
        <w:t xml:space="preserve">46.91% exceeded the cutoff of 3+ </w:t>
      </w:r>
      <w:r w:rsidR="00760CD4">
        <w:t xml:space="preserve">on the General Health Questionnaire-12 (GHQ-12) </w:t>
      </w:r>
      <w:r w:rsidR="00D71527">
        <w:t>indicating a possible psychological disorder</w:t>
      </w:r>
      <w:r w:rsidR="00074A83">
        <w:t xml:space="preserve"> </w:t>
      </w:r>
      <w:r w:rsidR="00074A83">
        <w:fldChar w:fldCharType="begin" w:fldLock="1"/>
      </w:r>
      <w:r w:rsidR="00C50E80">
        <w:instrText>ADDIN CSL_CITATION {"citationItems":[{"id":"ITEM-1","itemData":{"DOI":"10.1017/S0033291796004242","ISBN":"0033-2917","ISSN":"00332917","PMID":"9122299","abstract":"BACKGROUND: In recent years the 12-item General Health Questionnaire (GHQ-12) has been extensively used as a short screening instrument, producing results that are comparable to longer versions of the GHQ. METHODS: The validity of the GHQ-12 was compared with the GHQ-28 in a World Health organization study of psychological disorders in general health care. Results are presented for 5438 patients interviewed in 15 centres using the primary care version of the Composite International Diagnostic Instrument, or CIDI-PC. RESULTS: Results were uniformly good, with the average area under the ROC curve 88, range from 83 to 95. Minor variations in the criteria used for defining a case made little difference to the validity of the GHQ, and complex scoring methods offered no advantages over simpler ones. The GHQ was translated into 10 other languages for the purposes of this study, and validity coefficients were almost as high as in the original language. There was no tendency for the GHQ to work less efficiently in developing countries. Finally gender, age and educational level are shown to have no significant effect on the validity of the GHQ. CONCLUSIONS: If investigators wish to use a screening instrument as a case detector, the shorter GHQ is remarkably robust and works as well as the longer instrument. The latter should only be preferred if there is an interest in the scaled scores provided in addition to the total score.","author":[{"dropping-particle":"","family":"Goldberg","given":"D. P.","non-dropping-particle":"","parse-names":false,"suffix":""},{"dropping-particle":"","family":"Gater","given":"R.","non-dropping-particle":"","parse-names":false,"suffix":""},{"dropping-particle":"","family":"Sartorius","given":"N.","non-dropping-particle":"","parse-names":false,"suffix":""},{"dropping-particle":"","family":"Ustun","given":"T. B.","non-dropping-particle":"","parse-names":false,"suffix":""},{"dropping-particle":"","family":"Piccinelli","given":"M.","non-dropping-particle":"","parse-names":false,"suffix":""},{"dropping-particle":"","family":"Gureje","given":"O.","non-dropping-particle":"","parse-names":false,"suffix":""},{"dropping-particle":"","family":"Rutter","given":"C.","non-dropping-particle":"","parse-names":false,"suffix":""}],"container-title":"Psychological Medicine","id":"ITEM-1","issue":"1","issued":{"date-parts":[["1997"]]},"page":"191-197","title":"The validity of two versions of the GHQ in the WHO study of mental illness in general health care","type":"article-journal","volume":"27"},"uris":["http://www.mendeley.com/documents/?uuid=14348f4a-b49e-4d05-9ab9-7cb4f6163219"]}],"mendeley":{"formattedCitation":"(Goldberg et al., 1997)","plainTextFormattedCitation":"(Goldberg et al., 1997)","previouslyFormattedCitation":"(Goldberg et al., 1997)"},"properties":{"noteIndex":0},"schema":"https://github.com/citation-style-language/schema/raw/master/csl-citation.json"}</w:instrText>
      </w:r>
      <w:r w:rsidR="00074A83">
        <w:fldChar w:fldCharType="separate"/>
      </w:r>
      <w:r w:rsidR="00C50E80" w:rsidRPr="00C50E80">
        <w:rPr>
          <w:noProof/>
        </w:rPr>
        <w:t>(Goldberg et al., 1997)</w:t>
      </w:r>
      <w:r w:rsidR="00074A83">
        <w:fldChar w:fldCharType="end"/>
      </w:r>
      <w:r w:rsidR="00074A83">
        <w:t xml:space="preserve">. </w:t>
      </w:r>
    </w:p>
    <w:p w14:paraId="6F5F53EF" w14:textId="7BB566C6" w:rsidR="00074A83" w:rsidRPr="00901E93" w:rsidRDefault="00074A83" w:rsidP="00074A83">
      <w:pPr>
        <w:spacing w:line="480" w:lineRule="auto"/>
        <w:rPr>
          <w:b/>
          <w:bCs/>
          <w:i/>
          <w:iCs/>
        </w:rPr>
      </w:pPr>
      <w:r w:rsidRPr="00901E93">
        <w:rPr>
          <w:b/>
          <w:bCs/>
          <w:i/>
          <w:iCs/>
        </w:rPr>
        <w:t>Procedures</w:t>
      </w:r>
    </w:p>
    <w:p w14:paraId="6EDC7D3B" w14:textId="100146C6" w:rsidR="00B45777" w:rsidRDefault="00BE0423" w:rsidP="004768A9">
      <w:pPr>
        <w:spacing w:line="480" w:lineRule="auto"/>
        <w:ind w:firstLine="720"/>
      </w:pPr>
      <w:r>
        <w:t>All study procedures were completed online. Following an initial screening for eligibility</w:t>
      </w:r>
      <w:r w:rsidR="00A90E6A">
        <w:t xml:space="preserve"> that assessed inclusion criteria</w:t>
      </w:r>
      <w:r>
        <w:t xml:space="preserve">, participants provided consent through an online informed consent form, then completed a baseline survey, both hosted on the Qualtrics survey platform. At the end of this survey, they were given instructions to download </w:t>
      </w:r>
      <w:r w:rsidR="00C22F18">
        <w:t xml:space="preserve">and begin responding to </w:t>
      </w:r>
      <w:r>
        <w:t xml:space="preserve">the </w:t>
      </w:r>
      <w:proofErr w:type="spellStart"/>
      <w:r>
        <w:t>LifeData</w:t>
      </w:r>
      <w:proofErr w:type="spellEnd"/>
      <w:r>
        <w:t xml:space="preserve"> app, used for </w:t>
      </w:r>
      <w:r w:rsidR="00466361">
        <w:t xml:space="preserve">ecological momentary assessment (EMA) </w:t>
      </w:r>
      <w:r>
        <w:t xml:space="preserve">data collection. </w:t>
      </w:r>
      <w:r w:rsidR="00D55603">
        <w:t xml:space="preserve">The </w:t>
      </w:r>
      <w:proofErr w:type="spellStart"/>
      <w:r w:rsidR="00D55603">
        <w:t>LifeData</w:t>
      </w:r>
      <w:proofErr w:type="spellEnd"/>
      <w:r w:rsidR="00D55603">
        <w:t xml:space="preserve"> app is a platform that allows researchers to administer repeated surveys directly to users’ phones (iOS and Android) at specified intervals. The app was free for participants to download; however, researchers paid for a subscription to administer this study using the app. </w:t>
      </w:r>
      <w:r>
        <w:t xml:space="preserve">This app provided </w:t>
      </w:r>
      <w:r w:rsidR="00A90E6A">
        <w:t xml:space="preserve">push </w:t>
      </w:r>
      <w:r>
        <w:lastRenderedPageBreak/>
        <w:t xml:space="preserve">notifications to participants’ phones asking them to respond to </w:t>
      </w:r>
      <w:r w:rsidR="00C22F18">
        <w:t>a</w:t>
      </w:r>
      <w:r>
        <w:t xml:space="preserve"> set of EMA questions, </w:t>
      </w:r>
      <w:r w:rsidR="006418D7">
        <w:t>four</w:t>
      </w:r>
      <w:r>
        <w:t xml:space="preserve"> times per day over seven days</w:t>
      </w:r>
      <w:r w:rsidR="00C22F18">
        <w:t>, between 10am and 10pm. Notifications were sent randomly within 3-hour blocks within those times</w:t>
      </w:r>
      <w:r w:rsidR="00A90E6A">
        <w:t xml:space="preserve"> (10AM-1PM, 1PM-4PM, 4PM-7PM, and 7PM-10PM; and 30 minutes apart at minimum)</w:t>
      </w:r>
      <w:r w:rsidR="00C22F18">
        <w:t xml:space="preserve">. </w:t>
      </w:r>
      <w:r>
        <w:t xml:space="preserve">Participants were allowed 15 minutes to respond to each notification. </w:t>
      </w:r>
      <w:r w:rsidR="0066411C" w:rsidRPr="0091456B">
        <w:t xml:space="preserve">Prior to answering the EMA questions, participants were asked to </w:t>
      </w:r>
      <w:r w:rsidR="00AA3F13">
        <w:t>consider</w:t>
      </w:r>
      <w:r w:rsidR="0066411C" w:rsidRPr="0091456B">
        <w:t xml:space="preserve"> any</w:t>
      </w:r>
      <w:r w:rsidR="0091456B">
        <w:t xml:space="preserve"> recent</w:t>
      </w:r>
      <w:r w:rsidR="00AA3F13">
        <w:t xml:space="preserve"> experiences with</w:t>
      </w:r>
      <w:r w:rsidR="0091456B">
        <w:t xml:space="preserve"> “challenging or negative thoughts”</w:t>
      </w:r>
      <w:r w:rsidR="00A90E6A">
        <w:t xml:space="preserve"> (full instructions are listed below)</w:t>
      </w:r>
      <w:r w:rsidR="00800AD5">
        <w:t>.</w:t>
      </w:r>
      <w:r w:rsidR="0066411C">
        <w:t xml:space="preserve"> </w:t>
      </w:r>
      <w:r w:rsidR="00C22F18">
        <w:t>All participants were sent one reminder email</w:t>
      </w:r>
      <w:r w:rsidR="006418D7">
        <w:t xml:space="preserve"> encouraging continued responding</w:t>
      </w:r>
      <w:r w:rsidR="00C22F18">
        <w:t xml:space="preserve"> two days after downloading the app; additional reminders were sent every two days if their response rate was low.</w:t>
      </w:r>
    </w:p>
    <w:p w14:paraId="51B66DFE" w14:textId="437E705D" w:rsidR="007E62EE" w:rsidRPr="00901E93" w:rsidRDefault="005963BF" w:rsidP="005963BF">
      <w:pPr>
        <w:spacing w:line="480" w:lineRule="auto"/>
        <w:rPr>
          <w:b/>
          <w:bCs/>
          <w:i/>
          <w:iCs/>
        </w:rPr>
      </w:pPr>
      <w:r w:rsidRPr="00901E93">
        <w:rPr>
          <w:b/>
          <w:bCs/>
          <w:i/>
          <w:iCs/>
        </w:rPr>
        <w:t xml:space="preserve">EMA </w:t>
      </w:r>
      <w:r w:rsidR="007E62EE">
        <w:rPr>
          <w:b/>
          <w:bCs/>
          <w:i/>
          <w:iCs/>
        </w:rPr>
        <w:t>M</w:t>
      </w:r>
      <w:r w:rsidRPr="00901E93">
        <w:rPr>
          <w:b/>
          <w:bCs/>
          <w:i/>
          <w:iCs/>
        </w:rPr>
        <w:t>easures</w:t>
      </w:r>
    </w:p>
    <w:p w14:paraId="3F6618F6" w14:textId="0CF2B146" w:rsidR="007E62EE" w:rsidRPr="00901E93" w:rsidRDefault="004054AA" w:rsidP="007E62EE">
      <w:pPr>
        <w:spacing w:line="480" w:lineRule="auto"/>
        <w:rPr>
          <w:i/>
          <w:iCs/>
          <w:color w:val="000000" w:themeColor="text1"/>
        </w:rPr>
      </w:pPr>
      <w:r w:rsidRPr="00901E93">
        <w:rPr>
          <w:i/>
          <w:iCs/>
          <w:color w:val="000000" w:themeColor="text1"/>
        </w:rPr>
        <w:t xml:space="preserve">Positive and </w:t>
      </w:r>
      <w:r w:rsidR="007E62EE">
        <w:rPr>
          <w:i/>
          <w:iCs/>
          <w:color w:val="000000" w:themeColor="text1"/>
        </w:rPr>
        <w:t>N</w:t>
      </w:r>
      <w:r w:rsidRPr="00901E93">
        <w:rPr>
          <w:i/>
          <w:iCs/>
          <w:color w:val="000000" w:themeColor="text1"/>
        </w:rPr>
        <w:t xml:space="preserve">egative </w:t>
      </w:r>
      <w:r w:rsidR="007E62EE">
        <w:rPr>
          <w:i/>
          <w:iCs/>
          <w:color w:val="000000" w:themeColor="text1"/>
        </w:rPr>
        <w:t>A</w:t>
      </w:r>
      <w:r w:rsidRPr="00901E93">
        <w:rPr>
          <w:i/>
          <w:iCs/>
          <w:color w:val="000000" w:themeColor="text1"/>
        </w:rPr>
        <w:t xml:space="preserve">ffect </w:t>
      </w:r>
    </w:p>
    <w:p w14:paraId="075C335F" w14:textId="50C6E64B" w:rsidR="007E62EE" w:rsidRDefault="007E62EE" w:rsidP="00901E93">
      <w:pPr>
        <w:spacing w:line="480" w:lineRule="auto"/>
        <w:rPr>
          <w:color w:val="000000" w:themeColor="text1"/>
        </w:rPr>
      </w:pPr>
      <w:r>
        <w:rPr>
          <w:b/>
          <w:bCs/>
          <w:color w:val="000000" w:themeColor="text1"/>
        </w:rPr>
        <w:tab/>
      </w:r>
      <w:r w:rsidR="004054AA" w:rsidRPr="00FA2D51">
        <w:rPr>
          <w:color w:val="000000" w:themeColor="text1"/>
        </w:rPr>
        <w:t xml:space="preserve">Participants </w:t>
      </w:r>
      <w:r w:rsidR="004054AA">
        <w:rPr>
          <w:color w:val="000000" w:themeColor="text1"/>
        </w:rPr>
        <w:t>were</w:t>
      </w:r>
      <w:r w:rsidR="004054AA" w:rsidRPr="00FA2D51">
        <w:rPr>
          <w:color w:val="000000" w:themeColor="text1"/>
        </w:rPr>
        <w:t xml:space="preserve"> asked to rate 8 emotions</w:t>
      </w:r>
      <w:r w:rsidR="004054AA">
        <w:rPr>
          <w:color w:val="000000" w:themeColor="text1"/>
        </w:rPr>
        <w:t xml:space="preserve">, 4 positive (content, relaxed, enthusiastic, and joyful) and 4 </w:t>
      </w:r>
      <w:proofErr w:type="gramStart"/>
      <w:r w:rsidR="004054AA">
        <w:rPr>
          <w:color w:val="000000" w:themeColor="text1"/>
        </w:rPr>
        <w:t>negative</w:t>
      </w:r>
      <w:proofErr w:type="gramEnd"/>
      <w:r w:rsidR="004054AA">
        <w:rPr>
          <w:color w:val="000000" w:themeColor="text1"/>
        </w:rPr>
        <w:t xml:space="preserve"> (anxious, angry, sad and ashamed)</w:t>
      </w:r>
      <w:r w:rsidR="004054AA" w:rsidRPr="00FA2D51">
        <w:rPr>
          <w:color w:val="000000" w:themeColor="text1"/>
        </w:rPr>
        <w:t xml:space="preserve">. </w:t>
      </w:r>
      <w:r w:rsidR="004054AA">
        <w:rPr>
          <w:color w:val="000000" w:themeColor="text1"/>
        </w:rPr>
        <w:t xml:space="preserve">Participants were asked to rate how much they felt each emotion “right now” from </w:t>
      </w:r>
      <w:r w:rsidR="004054AA" w:rsidRPr="00FA2D51">
        <w:t>1</w:t>
      </w:r>
      <w:r w:rsidR="00002D6B">
        <w:t xml:space="preserve"> </w:t>
      </w:r>
      <w:r w:rsidR="004054AA" w:rsidRPr="00FA2D51">
        <w:t>(very slightly or not at all) to 5 (extremely)</w:t>
      </w:r>
      <w:r w:rsidR="004054AA">
        <w:t>, and positive</w:t>
      </w:r>
      <w:r w:rsidR="00283A15">
        <w:t xml:space="preserve"> affect (PA)</w:t>
      </w:r>
      <w:r w:rsidR="004054AA">
        <w:t xml:space="preserve"> and negative affect</w:t>
      </w:r>
      <w:r w:rsidR="00283A15">
        <w:t xml:space="preserve"> (NA)</w:t>
      </w:r>
      <w:r w:rsidR="004054AA">
        <w:t xml:space="preserve"> scores were calculated as the mean of the four relevant items</w:t>
      </w:r>
      <w:r w:rsidR="004054AA">
        <w:rPr>
          <w:color w:val="000000" w:themeColor="text1"/>
        </w:rPr>
        <w:t>. These items have been used in past research (</w:t>
      </w:r>
      <w:proofErr w:type="spellStart"/>
      <w:r w:rsidR="004054AA">
        <w:rPr>
          <w:color w:val="000000" w:themeColor="text1"/>
        </w:rPr>
        <w:fldChar w:fldCharType="begin" w:fldLock="1"/>
      </w:r>
      <w:r w:rsidR="00650408">
        <w:rPr>
          <w:color w:val="000000" w:themeColor="text1"/>
        </w:rPr>
        <w:instrText>ADDIN CSL_CITATION {"citationItems":[{"id":"ITEM-1","itemData":{"DOI":"10.1037/a0035796","ISSN":"1931-1516","author":[{"dropping-particle":"","family":"Kashdan","given":"Todd B.","non-dropping-particle":"","parse-names":false,"suffix":""},{"dropping-particle":"","family":"Farmer","given":"Antonina S.","non-dropping-particle":"","parse-names":false,"suffix":""}],"container-title":"Emotion","id":"ITEM-1","issue":"3","issued":{"date-parts":[["2014"]]},"page":"629-638","title":"Differentiating emotions across contexts: Comparing adults with and without social anxiety disorder using random, social interaction, and daily experience sampling.","type":"article-journal","volume":"14"},"uris":["http://www.mendeley.com/documents/?uuid=70981f5e-798d-47d0-991a-45412e9620ff"]}],"mendeley":{"formattedCitation":"(Kashdan &amp; Farmer, 2014)","manualFormatting":"Kashdan &amp; Farmer, 2014)","plainTextFormattedCitation":"(Kashdan &amp; Farmer, 2014)","previouslyFormattedCitation":"(Kashdan &amp; Farmer, 2014)"},"properties":{"noteIndex":0},"schema":"https://github.com/citation-style-language/schema/raw/master/csl-citation.json"}</w:instrText>
      </w:r>
      <w:r w:rsidR="004054AA">
        <w:rPr>
          <w:color w:val="000000" w:themeColor="text1"/>
        </w:rPr>
        <w:fldChar w:fldCharType="separate"/>
      </w:r>
      <w:r w:rsidR="004054AA" w:rsidRPr="009D7577">
        <w:rPr>
          <w:noProof/>
          <w:color w:val="000000" w:themeColor="text1"/>
        </w:rPr>
        <w:t>Kashdan</w:t>
      </w:r>
      <w:proofErr w:type="spellEnd"/>
      <w:r w:rsidR="004054AA" w:rsidRPr="009D7577">
        <w:rPr>
          <w:noProof/>
          <w:color w:val="000000" w:themeColor="text1"/>
        </w:rPr>
        <w:t xml:space="preserve"> &amp; Farmer, 2014)</w:t>
      </w:r>
      <w:r w:rsidR="004054AA">
        <w:rPr>
          <w:color w:val="000000" w:themeColor="text1"/>
        </w:rPr>
        <w:fldChar w:fldCharType="end"/>
      </w:r>
      <w:r w:rsidR="004054AA">
        <w:rPr>
          <w:color w:val="000000" w:themeColor="text1"/>
        </w:rPr>
        <w:t xml:space="preserve">, with one </w:t>
      </w:r>
      <w:r w:rsidR="00283A15">
        <w:rPr>
          <w:color w:val="000000" w:themeColor="text1"/>
        </w:rPr>
        <w:t>NA</w:t>
      </w:r>
      <w:r w:rsidR="004054AA">
        <w:rPr>
          <w:color w:val="000000" w:themeColor="text1"/>
        </w:rPr>
        <w:t xml:space="preserve"> item changed from </w:t>
      </w:r>
      <w:r w:rsidR="004054AA">
        <w:rPr>
          <w:i/>
          <w:iCs/>
          <w:color w:val="000000" w:themeColor="text1"/>
        </w:rPr>
        <w:t>sluggish</w:t>
      </w:r>
      <w:r w:rsidR="004054AA">
        <w:rPr>
          <w:color w:val="000000" w:themeColor="text1"/>
        </w:rPr>
        <w:t xml:space="preserve"> to </w:t>
      </w:r>
      <w:r w:rsidR="004054AA">
        <w:rPr>
          <w:i/>
          <w:iCs/>
          <w:color w:val="000000" w:themeColor="text1"/>
        </w:rPr>
        <w:t>ashamed</w:t>
      </w:r>
      <w:r w:rsidR="004054AA">
        <w:rPr>
          <w:color w:val="000000" w:themeColor="text1"/>
        </w:rPr>
        <w:t xml:space="preserve"> to be more relevant to this investigation on the impact of </w:t>
      </w:r>
      <w:r w:rsidR="008C2B3D">
        <w:rPr>
          <w:color w:val="000000" w:themeColor="text1"/>
        </w:rPr>
        <w:t xml:space="preserve">unwanted </w:t>
      </w:r>
      <w:r w:rsidR="004054AA">
        <w:rPr>
          <w:color w:val="000000" w:themeColor="text1"/>
        </w:rPr>
        <w:t>thoughts.</w:t>
      </w:r>
    </w:p>
    <w:p w14:paraId="1937E491" w14:textId="5550C572" w:rsidR="007E62EE" w:rsidRPr="00901E93" w:rsidRDefault="004054AA" w:rsidP="007E62EE">
      <w:pPr>
        <w:spacing w:line="480" w:lineRule="auto"/>
        <w:rPr>
          <w:bCs/>
          <w:i/>
          <w:iCs/>
          <w:color w:val="000000" w:themeColor="text1"/>
        </w:rPr>
      </w:pPr>
      <w:r w:rsidRPr="00901E93">
        <w:rPr>
          <w:bCs/>
          <w:i/>
          <w:iCs/>
          <w:color w:val="000000" w:themeColor="text1"/>
        </w:rPr>
        <w:t xml:space="preserve">Momentary </w:t>
      </w:r>
      <w:r w:rsidR="007E62EE" w:rsidRPr="00901E93">
        <w:rPr>
          <w:bCs/>
          <w:i/>
          <w:iCs/>
          <w:color w:val="000000" w:themeColor="text1"/>
        </w:rPr>
        <w:t>V</w:t>
      </w:r>
      <w:r w:rsidRPr="00901E93">
        <w:rPr>
          <w:bCs/>
          <w:i/>
          <w:iCs/>
          <w:color w:val="000000" w:themeColor="text1"/>
        </w:rPr>
        <w:t xml:space="preserve">alues </w:t>
      </w:r>
      <w:r w:rsidR="007E62EE" w:rsidRPr="00901E93">
        <w:rPr>
          <w:bCs/>
          <w:i/>
          <w:iCs/>
          <w:color w:val="000000" w:themeColor="text1"/>
        </w:rPr>
        <w:t>P</w:t>
      </w:r>
      <w:r w:rsidRPr="00901E93">
        <w:rPr>
          <w:bCs/>
          <w:i/>
          <w:iCs/>
          <w:color w:val="000000" w:themeColor="text1"/>
        </w:rPr>
        <w:t>rogress</w:t>
      </w:r>
    </w:p>
    <w:p w14:paraId="3451E94E" w14:textId="2187C31B" w:rsidR="007E62EE" w:rsidRPr="004054AA" w:rsidRDefault="007E62EE" w:rsidP="00901E93">
      <w:pPr>
        <w:spacing w:line="480" w:lineRule="auto"/>
        <w:rPr>
          <w:color w:val="000000" w:themeColor="text1"/>
        </w:rPr>
      </w:pPr>
      <w:r>
        <w:rPr>
          <w:color w:val="000000" w:themeColor="text1"/>
        </w:rPr>
        <w:tab/>
      </w:r>
      <w:r w:rsidR="004054AA">
        <w:rPr>
          <w:color w:val="000000" w:themeColor="text1"/>
        </w:rPr>
        <w:t>Three</w:t>
      </w:r>
      <w:r w:rsidR="004054AA" w:rsidRPr="00FA2D51">
        <w:rPr>
          <w:color w:val="000000" w:themeColor="text1"/>
        </w:rPr>
        <w:t xml:space="preserve"> items </w:t>
      </w:r>
      <w:r w:rsidR="004054AA">
        <w:rPr>
          <w:color w:val="000000" w:themeColor="text1"/>
        </w:rPr>
        <w:t xml:space="preserve">asked </w:t>
      </w:r>
      <w:r w:rsidR="004054AA" w:rsidRPr="00FA2D51">
        <w:rPr>
          <w:color w:val="000000" w:themeColor="text1"/>
        </w:rPr>
        <w:t>about momentary progress toward values</w:t>
      </w:r>
      <w:r w:rsidR="004054AA">
        <w:rPr>
          <w:color w:val="000000" w:themeColor="text1"/>
        </w:rPr>
        <w:t xml:space="preserve">: “Since the last prompt…1) were you able to do what matters to you? 2) </w:t>
      </w:r>
      <w:r w:rsidR="004054AA" w:rsidRPr="00FA2D51">
        <w:rPr>
          <w:color w:val="000000"/>
        </w:rPr>
        <w:t xml:space="preserve">how content </w:t>
      </w:r>
      <w:proofErr w:type="gramStart"/>
      <w:r w:rsidR="004054AA" w:rsidRPr="00FA2D51">
        <w:rPr>
          <w:color w:val="000000"/>
        </w:rPr>
        <w:t>were</w:t>
      </w:r>
      <w:proofErr w:type="gramEnd"/>
      <w:r w:rsidR="004054AA" w:rsidRPr="00FA2D51">
        <w:rPr>
          <w:color w:val="000000"/>
        </w:rPr>
        <w:t xml:space="preserve"> you with the amount and types of things you did?</w:t>
      </w:r>
      <w:r w:rsidR="004054AA">
        <w:rPr>
          <w:color w:val="000000"/>
        </w:rPr>
        <w:t xml:space="preserve"> 3) </w:t>
      </w:r>
      <w:r w:rsidR="004054AA" w:rsidRPr="00FA2D51">
        <w:rPr>
          <w:color w:val="000000"/>
        </w:rPr>
        <w:t>were your actions in line with the kind of person you want to be?</w:t>
      </w:r>
      <w:r w:rsidR="006418D7">
        <w:rPr>
          <w:color w:val="000000"/>
        </w:rPr>
        <w:t>”</w:t>
      </w:r>
      <w:r w:rsidR="002B4910">
        <w:rPr>
          <w:color w:val="000000"/>
        </w:rPr>
        <w:t xml:space="preserve"> Items were rated from 1 (not at all) to 5 (very much) and a total sum score was computed.</w:t>
      </w:r>
      <w:r w:rsidR="004054AA" w:rsidRPr="00FA2D51">
        <w:rPr>
          <w:color w:val="000000" w:themeColor="text1"/>
        </w:rPr>
        <w:t xml:space="preserve"> These items have </w:t>
      </w:r>
      <w:r w:rsidR="004054AA" w:rsidRPr="00FA2D51">
        <w:rPr>
          <w:color w:val="000000" w:themeColor="text1"/>
        </w:rPr>
        <w:lastRenderedPageBreak/>
        <w:t>been used in previous EMA research</w:t>
      </w:r>
      <w:r w:rsidR="00156FED">
        <w:rPr>
          <w:color w:val="000000" w:themeColor="text1"/>
        </w:rPr>
        <w:t xml:space="preserve"> </w:t>
      </w:r>
      <w:r w:rsidR="00156FED">
        <w:rPr>
          <w:color w:val="000000" w:themeColor="text1"/>
        </w:rPr>
        <w:fldChar w:fldCharType="begin" w:fldLock="1"/>
      </w:r>
      <w:r w:rsidR="00156FED">
        <w:rPr>
          <w:color w:val="000000" w:themeColor="text1"/>
        </w:rPr>
        <w:instrText>ADDIN CSL_CITATION {"citationItems":[{"id":"ITEM-1","itemData":{"DOI":"10.1016/j.jbtep.2018.07.005","author":[{"dropping-particle":"","family":"Levin","given":"Michael E.","non-dropping-particle":"","parse-names":false,"suffix":""},{"dropping-particle":"","family":"Krafft","given":"J.","non-dropping-particle":"","parse-names":false,"suffix":""},{"dropping-particle":"","family":"Pierce","given":"B.","non-dropping-particle":"","parse-names":false,"suffix":""},{"dropping-particle":"","family":"Potts","given":"S.","non-dropping-particle":"","parse-names":false,"suffix":""}],"container-title":"Journal of Behavior Therapy and Experimental Psychiatry","id":"ITEM-1","issued":{"date-parts":[["2018"]]},"page":"158-163","title":"When is experiential avoidance harmful in the moment? Examining global experiential avoidance as a moderator","type":"article-journal","volume":"61"},"uris":["http://www.mendeley.com/documents/?uuid=37d221bf-b01d-4742-8607-1a973309d480"]}],"mendeley":{"formattedCitation":"(Levin, Krafft, et al., 2018)","plainTextFormattedCitation":"(Levin, Krafft, et al., 2018)","previouslyFormattedCitation":"(Levin, Krafft, et al., 2018)"},"properties":{"noteIndex":0},"schema":"https://github.com/citation-style-language/schema/raw/master/csl-citation.json"}</w:instrText>
      </w:r>
      <w:r w:rsidR="00156FED">
        <w:rPr>
          <w:color w:val="000000" w:themeColor="text1"/>
        </w:rPr>
        <w:fldChar w:fldCharType="separate"/>
      </w:r>
      <w:r w:rsidR="00156FED" w:rsidRPr="00156FED">
        <w:rPr>
          <w:noProof/>
          <w:color w:val="000000" w:themeColor="text1"/>
        </w:rPr>
        <w:t>(Levin, Krafft, et al., 2018)</w:t>
      </w:r>
      <w:r w:rsidR="00156FED">
        <w:rPr>
          <w:color w:val="000000" w:themeColor="text1"/>
        </w:rPr>
        <w:fldChar w:fldCharType="end"/>
      </w:r>
      <w:r w:rsidR="009F72F2">
        <w:rPr>
          <w:color w:val="000000" w:themeColor="text1"/>
        </w:rPr>
        <w:t>.</w:t>
      </w:r>
      <w:r w:rsidR="007C6D56">
        <w:rPr>
          <w:color w:val="000000" w:themeColor="text1"/>
        </w:rPr>
        <w:t xml:space="preserve"> Internal consistency was good for these three items (</w:t>
      </w:r>
      <w:r w:rsidR="007C6D56">
        <w:rPr>
          <w:rFonts w:ascii="Symbol" w:hAnsi="Symbol"/>
        </w:rPr>
        <w:t>a</w:t>
      </w:r>
      <w:r w:rsidR="00DC6512">
        <w:rPr>
          <w:rFonts w:ascii="Symbol" w:hAnsi="Symbol"/>
        </w:rPr>
        <w:t xml:space="preserve"> </w:t>
      </w:r>
      <w:r w:rsidR="007C6D56">
        <w:t>= .85).</w:t>
      </w:r>
      <w:r w:rsidR="002B4910">
        <w:t xml:space="preserve"> </w:t>
      </w:r>
    </w:p>
    <w:p w14:paraId="03C0E1EA" w14:textId="77777777" w:rsidR="007E62EE" w:rsidRPr="00901E93" w:rsidRDefault="00670BF6" w:rsidP="007E62EE">
      <w:pPr>
        <w:spacing w:line="480" w:lineRule="auto"/>
        <w:rPr>
          <w:i/>
          <w:iCs/>
        </w:rPr>
      </w:pPr>
      <w:r w:rsidRPr="00901E93">
        <w:rPr>
          <w:i/>
          <w:iCs/>
        </w:rPr>
        <w:t>Instructions</w:t>
      </w:r>
    </w:p>
    <w:p w14:paraId="7937F44D" w14:textId="70CC7BC0" w:rsidR="007E62EE" w:rsidRDefault="007E62EE" w:rsidP="00901E93">
      <w:pPr>
        <w:spacing w:line="480" w:lineRule="auto"/>
        <w:rPr>
          <w:color w:val="000000" w:themeColor="text1"/>
        </w:rPr>
      </w:pPr>
      <w:r>
        <w:rPr>
          <w:b/>
          <w:bCs/>
        </w:rPr>
        <w:tab/>
      </w:r>
      <w:r w:rsidR="00670BF6">
        <w:t>Prior to completing the following measures</w:t>
      </w:r>
      <w:r w:rsidR="006F4FE4">
        <w:t xml:space="preserve"> of cognitive processes</w:t>
      </w:r>
      <w:r w:rsidR="00670BF6">
        <w:t>, participants were given these instructions: “</w:t>
      </w:r>
      <w:r w:rsidR="00670BF6" w:rsidRPr="00FA2D51">
        <w:rPr>
          <w:color w:val="000000" w:themeColor="text1"/>
        </w:rPr>
        <w:t>Take a moment to think about any challenging or negative thoughts that have come up for you since the last prompt. Keep these thoughts in mind while answering the remaining questions.</w:t>
      </w:r>
      <w:r w:rsidR="00670BF6">
        <w:rPr>
          <w:color w:val="000000" w:themeColor="text1"/>
        </w:rPr>
        <w:t>”</w:t>
      </w:r>
    </w:p>
    <w:p w14:paraId="11A209A4" w14:textId="75C72B1D" w:rsidR="007E62EE" w:rsidRPr="00901E93" w:rsidRDefault="00670BF6" w:rsidP="00901E93">
      <w:pPr>
        <w:spacing w:line="480" w:lineRule="auto"/>
        <w:rPr>
          <w:bCs/>
          <w:i/>
          <w:iCs/>
        </w:rPr>
      </w:pPr>
      <w:r w:rsidRPr="00901E93">
        <w:rPr>
          <w:bCs/>
          <w:i/>
          <w:iCs/>
        </w:rPr>
        <w:t>Restructuring</w:t>
      </w:r>
    </w:p>
    <w:p w14:paraId="1ECE8FD7" w14:textId="797DB604" w:rsidR="007E62EE" w:rsidRDefault="00394318" w:rsidP="001F64DB">
      <w:pPr>
        <w:spacing w:line="480" w:lineRule="auto"/>
        <w:ind w:firstLine="720"/>
        <w:rPr>
          <w:color w:val="000000" w:themeColor="text1"/>
        </w:rPr>
      </w:pPr>
      <w:r>
        <w:t>Two</w:t>
      </w:r>
      <w:r w:rsidR="00670BF6" w:rsidRPr="00FA2D51">
        <w:t xml:space="preserve"> novel items ask</w:t>
      </w:r>
      <w:r w:rsidR="00670BF6">
        <w:t>ed</w:t>
      </w:r>
      <w:r w:rsidR="00670BF6" w:rsidRPr="00FA2D51">
        <w:t xml:space="preserve"> about the momentary use of cognitive restructuring</w:t>
      </w:r>
      <w:r w:rsidR="00670BF6">
        <w:t>: “</w:t>
      </w:r>
      <w:r w:rsidR="00670BF6" w:rsidRPr="00FA2D51">
        <w:rPr>
          <w:color w:val="000000"/>
        </w:rPr>
        <w:t>Since the last prompt, how much did you</w:t>
      </w:r>
      <w:r w:rsidR="008C6329">
        <w:rPr>
          <w:color w:val="000000"/>
        </w:rPr>
        <w:t xml:space="preserve">…1) </w:t>
      </w:r>
      <w:r w:rsidR="00670BF6" w:rsidRPr="00FA2D51">
        <w:rPr>
          <w:color w:val="000000"/>
        </w:rPr>
        <w:t>challenge the accuracy of your thoughts?</w:t>
      </w:r>
      <w:r w:rsidR="008C6329">
        <w:rPr>
          <w:color w:val="000000"/>
        </w:rPr>
        <w:t xml:space="preserve"> 2) </w:t>
      </w:r>
      <w:r w:rsidR="00670BF6" w:rsidRPr="00FA2D51">
        <w:rPr>
          <w:color w:val="000000"/>
        </w:rPr>
        <w:t>try to think more realistic or helpful thoughts?</w:t>
      </w:r>
      <w:r w:rsidR="00670BF6">
        <w:rPr>
          <w:color w:val="000000"/>
        </w:rPr>
        <w:t>”</w:t>
      </w:r>
      <w:r w:rsidR="00A07C3E">
        <w:rPr>
          <w:color w:val="000000"/>
        </w:rPr>
        <w:t xml:space="preserve"> Items were developed based on the Reappraisal subscale of the Thought Control Questionnaire </w:t>
      </w:r>
      <w:r w:rsidR="00A07C3E">
        <w:t xml:space="preserve">(TCQ; </w:t>
      </w:r>
      <w:r w:rsidR="00A07C3E">
        <w:fldChar w:fldCharType="begin" w:fldLock="1"/>
      </w:r>
      <w:r w:rsidR="006167F7">
        <w:instrText>ADDIN CSL_CITATION {"citationItems":[{"id":"ITEM-1","itemData":{"DOI":"10.1016/0005-7967(94)90168-6","ISBN":"0005-7967 (Print)\\n0005-7967 (Linking)","ISSN":"00057967","PMID":"7993332","abstract":"Previous research has suggested that unpleasant and unwanted thoughts are a frequent experience in both normal and clinical populations. This paper describes the development and validation of a questionnaire that assesses strategies for controlling such thoughts. Analyses of the Thought Control Questionnaire (TCQ) demonstrated five replicable factors: Distraction; Social Control; Worry; Punishment and Reappraisal. Significant associations were found between the punishment and worry subscales of the TCQ and various measures of emotional vulnerability and perceptions of impaired control over cognition. The implications of these findings are discussed in relation to the literature on thought suppression, worry and mental self-regulation. © 1994.","author":[{"dropping-particle":"","family":"Wells","given":"Adrian","non-dropping-particle":"","parse-names":false,"suffix":""},{"dropping-particle":"","family":"Davies","given":"Mark I.","non-dropping-particle":"","parse-names":false,"suffix":""}],"container-title":"Behaviour Research and Therapy","id":"ITEM-1","issue":"8","issued":{"date-parts":[["1994"]]},"page":"871-878","title":"The thought control questionnaire: A measure of individual differences in the control of unwanted thoughts","type":"article-journal","volume":"32"},"uris":["http://www.mendeley.com/documents/?uuid=6f41c320-ec9e-461f-8abe-e37849485795"]}],"mendeley":{"formattedCitation":"(Wells &amp; Davies, 1994)","manualFormatting":"Wells &amp; Davies, 1994)","plainTextFormattedCitation":"(Wells &amp; Davies, 1994)","previouslyFormattedCitation":"(Wells &amp; Davies, 1994)"},"properties":{"noteIndex":0},"schema":"https://github.com/citation-style-language/schema/raw/master/csl-citation.json"}</w:instrText>
      </w:r>
      <w:r w:rsidR="00A07C3E">
        <w:fldChar w:fldCharType="separate"/>
      </w:r>
      <w:r w:rsidR="00A07C3E" w:rsidRPr="00304EF5">
        <w:rPr>
          <w:noProof/>
        </w:rPr>
        <w:t>Wells &amp; Davies, 1994)</w:t>
      </w:r>
      <w:r w:rsidR="00A07C3E">
        <w:fldChar w:fldCharType="end"/>
      </w:r>
      <w:r w:rsidR="00A07C3E" w:rsidRPr="00FA2D51">
        <w:t>.</w:t>
      </w:r>
      <w:r w:rsidR="00670BF6">
        <w:rPr>
          <w:color w:val="000000"/>
        </w:rPr>
        <w:t xml:space="preserve"> Th</w:t>
      </w:r>
      <w:r>
        <w:rPr>
          <w:color w:val="000000"/>
        </w:rPr>
        <w:t>ese items were</w:t>
      </w:r>
      <w:r w:rsidR="00670BF6">
        <w:rPr>
          <w:color w:val="000000"/>
        </w:rPr>
        <w:t xml:space="preserve"> rated from 1 (not at all) to 5 (very much)</w:t>
      </w:r>
      <w:r>
        <w:rPr>
          <w:color w:val="000000"/>
        </w:rPr>
        <w:t xml:space="preserve"> and </w:t>
      </w:r>
      <w:r w:rsidR="002D5BD7">
        <w:rPr>
          <w:color w:val="000000"/>
        </w:rPr>
        <w:t xml:space="preserve">averaged </w:t>
      </w:r>
      <w:r>
        <w:rPr>
          <w:color w:val="000000"/>
        </w:rPr>
        <w:t>to generate a total momentary restructuring score.</w:t>
      </w:r>
      <w:r w:rsidR="00015A9C">
        <w:rPr>
          <w:color w:val="000000"/>
        </w:rPr>
        <w:t xml:space="preserve"> These items had adequate internal consistency </w:t>
      </w:r>
      <w:r w:rsidR="00C50E80">
        <w:rPr>
          <w:color w:val="000000"/>
        </w:rPr>
        <w:t>(</w:t>
      </w:r>
      <w:r w:rsidR="00015A9C">
        <w:rPr>
          <w:rFonts w:ascii="Symbol" w:hAnsi="Symbol"/>
        </w:rPr>
        <w:t>a</w:t>
      </w:r>
      <w:r w:rsidR="00855F5A">
        <w:rPr>
          <w:rFonts w:ascii="Symbol" w:hAnsi="Symbol"/>
        </w:rPr>
        <w:t xml:space="preserve"> </w:t>
      </w:r>
      <w:proofErr w:type="gramStart"/>
      <w:r w:rsidR="00015A9C">
        <w:t>=</w:t>
      </w:r>
      <w:r w:rsidR="00855F5A">
        <w:t xml:space="preserve"> </w:t>
      </w:r>
      <w:r w:rsidR="00015A9C">
        <w:t xml:space="preserve"> .</w:t>
      </w:r>
      <w:proofErr w:type="gramEnd"/>
      <w:r w:rsidR="00015A9C">
        <w:t>71)</w:t>
      </w:r>
      <w:r w:rsidR="007C6D56">
        <w:t>.</w:t>
      </w:r>
      <w:r w:rsidR="000637E9">
        <w:t xml:space="preserve"> </w:t>
      </w:r>
    </w:p>
    <w:p w14:paraId="58DD45AC" w14:textId="1ACE749E" w:rsidR="007E62EE" w:rsidRPr="000972A0" w:rsidRDefault="00670BF6" w:rsidP="007E62EE">
      <w:pPr>
        <w:spacing w:line="480" w:lineRule="auto"/>
        <w:rPr>
          <w:bCs/>
          <w:i/>
          <w:iCs/>
          <w:color w:val="000000" w:themeColor="text1"/>
        </w:rPr>
      </w:pPr>
      <w:r w:rsidRPr="00CC0CA6">
        <w:rPr>
          <w:bCs/>
          <w:i/>
          <w:iCs/>
          <w:color w:val="000000" w:themeColor="text1"/>
        </w:rPr>
        <w:t>Defusion</w:t>
      </w:r>
      <w:r w:rsidRPr="000972A0">
        <w:rPr>
          <w:bCs/>
          <w:i/>
          <w:iCs/>
          <w:color w:val="000000" w:themeColor="text1"/>
        </w:rPr>
        <w:t xml:space="preserve"> </w:t>
      </w:r>
    </w:p>
    <w:p w14:paraId="796BB0BE" w14:textId="53D1883D" w:rsidR="007E62EE" w:rsidRDefault="00303D6D" w:rsidP="001F64DB">
      <w:pPr>
        <w:spacing w:line="480" w:lineRule="auto"/>
        <w:ind w:firstLine="720"/>
        <w:rPr>
          <w:color w:val="000000" w:themeColor="text1"/>
        </w:rPr>
      </w:pPr>
      <w:r>
        <w:rPr>
          <w:color w:val="000000" w:themeColor="text1"/>
        </w:rPr>
        <w:t>Two</w:t>
      </w:r>
      <w:r w:rsidRPr="00FA2D51">
        <w:rPr>
          <w:color w:val="000000" w:themeColor="text1"/>
        </w:rPr>
        <w:t xml:space="preserve"> </w:t>
      </w:r>
      <w:r w:rsidR="00670BF6" w:rsidRPr="00FA2D51">
        <w:rPr>
          <w:color w:val="000000" w:themeColor="text1"/>
        </w:rPr>
        <w:t xml:space="preserve">items </w:t>
      </w:r>
      <w:r w:rsidR="00394318">
        <w:rPr>
          <w:color w:val="000000" w:themeColor="text1"/>
        </w:rPr>
        <w:t xml:space="preserve">asked </w:t>
      </w:r>
      <w:r w:rsidR="00670BF6" w:rsidRPr="00FA2D51">
        <w:rPr>
          <w:color w:val="000000" w:themeColor="text1"/>
        </w:rPr>
        <w:t>about momentary</w:t>
      </w:r>
      <w:r w:rsidR="00394318">
        <w:rPr>
          <w:color w:val="000000" w:themeColor="text1"/>
        </w:rPr>
        <w:t xml:space="preserve"> cognitive</w:t>
      </w:r>
      <w:r w:rsidR="00670BF6" w:rsidRPr="00FA2D51">
        <w:rPr>
          <w:color w:val="000000" w:themeColor="text1"/>
        </w:rPr>
        <w:t xml:space="preserve"> </w:t>
      </w:r>
      <w:proofErr w:type="spellStart"/>
      <w:r w:rsidR="00670BF6" w:rsidRPr="00FA2D51">
        <w:rPr>
          <w:color w:val="000000" w:themeColor="text1"/>
        </w:rPr>
        <w:t>defusion</w:t>
      </w:r>
      <w:proofErr w:type="spellEnd"/>
      <w:r w:rsidR="008C6329">
        <w:rPr>
          <w:color w:val="000000" w:themeColor="text1"/>
        </w:rPr>
        <w:t>: “</w:t>
      </w:r>
      <w:r w:rsidR="008C6329" w:rsidRPr="00FA2D51">
        <w:rPr>
          <w:color w:val="000000" w:themeColor="text1"/>
        </w:rPr>
        <w:t>Since the last prompt, how much did you</w:t>
      </w:r>
      <w:r w:rsidR="008C6329">
        <w:rPr>
          <w:color w:val="000000" w:themeColor="text1"/>
        </w:rPr>
        <w:t xml:space="preserve">…1) </w:t>
      </w:r>
      <w:r w:rsidR="008C6329" w:rsidRPr="00FA2D51">
        <w:rPr>
          <w:color w:val="000000" w:themeColor="text1"/>
        </w:rPr>
        <w:t>recognize that your thoughts are just thoughts?</w:t>
      </w:r>
      <w:r w:rsidR="008C6329">
        <w:rPr>
          <w:color w:val="000000" w:themeColor="text1"/>
        </w:rPr>
        <w:t xml:space="preserve"> 2) </w:t>
      </w:r>
      <w:r w:rsidR="008C6329" w:rsidRPr="00FA2D51">
        <w:rPr>
          <w:color w:val="000000" w:themeColor="text1"/>
        </w:rPr>
        <w:t>recognize that thoughts aren’t facts?</w:t>
      </w:r>
      <w:r>
        <w:rPr>
          <w:color w:val="000000" w:themeColor="text1"/>
        </w:rPr>
        <w:t xml:space="preserve">” </w:t>
      </w:r>
      <w:r w:rsidR="00670BF6" w:rsidRPr="00FA2D51">
        <w:rPr>
          <w:color w:val="000000" w:themeColor="text1"/>
        </w:rPr>
        <w:t xml:space="preserve">These items </w:t>
      </w:r>
      <w:r w:rsidR="0030067D">
        <w:rPr>
          <w:color w:val="000000" w:themeColor="text1"/>
        </w:rPr>
        <w:t xml:space="preserve">were </w:t>
      </w:r>
      <w:r w:rsidR="00670BF6" w:rsidRPr="00FA2D51">
        <w:rPr>
          <w:color w:val="000000" w:themeColor="text1"/>
        </w:rPr>
        <w:t>newly developed by our lab with reference to</w:t>
      </w:r>
      <w:r w:rsidR="00B124F5">
        <w:rPr>
          <w:color w:val="000000" w:themeColor="text1"/>
        </w:rPr>
        <w:t xml:space="preserve"> </w:t>
      </w:r>
      <w:r w:rsidR="000B7E15">
        <w:rPr>
          <w:color w:val="000000" w:themeColor="text1"/>
        </w:rPr>
        <w:t xml:space="preserve">two </w:t>
      </w:r>
      <w:r w:rsidR="00B124F5">
        <w:rPr>
          <w:color w:val="000000" w:themeColor="text1"/>
        </w:rPr>
        <w:t>validated measure</w:t>
      </w:r>
      <w:r w:rsidR="00BA10A6">
        <w:rPr>
          <w:color w:val="000000" w:themeColor="text1"/>
        </w:rPr>
        <w:t>s</w:t>
      </w:r>
      <w:r w:rsidR="00B124F5">
        <w:rPr>
          <w:color w:val="000000" w:themeColor="text1"/>
        </w:rPr>
        <w:t xml:space="preserve"> of cognitive fusion</w:t>
      </w:r>
      <w:r w:rsidR="006167F7">
        <w:rPr>
          <w:color w:val="000000" w:themeColor="text1"/>
        </w:rPr>
        <w:t xml:space="preserve">, the Cognitive Fusion Questionnaire (CFQ; </w:t>
      </w:r>
      <w:r w:rsidR="006167F7">
        <w:rPr>
          <w:color w:val="000000" w:themeColor="text1"/>
        </w:rPr>
        <w:fldChar w:fldCharType="begin" w:fldLock="1"/>
      </w:r>
      <w:r w:rsidR="00BA10A6">
        <w:rPr>
          <w:color w:val="000000" w:themeColor="text1"/>
        </w:rPr>
        <w:instrText>ADDIN CSL_CITATION {"citationItems":[{"id":"ITEM-1","itemData":{"DOI":"10.1016/j.beth.2013.09.001","ISBN":"0005-7894","ISSN":"00057894","PMID":"24411117","abstract":"Acceptance and Commitment Therapy (ACT) emphasizes the relationship a person has with their thoughts and beliefs as potentially more relevant than belief content in predicting the emotional and behavioral consequences of cognition. In ACT, \"defusion\" interventions aim to \"unhook\" thoughts from actions and to create psychological distance between a person and their thoughts, beliefs, memories, and self-stories. A number of similar concepts have been described in the psychology literature (e.g., decentering, metacognition, mentalization, and mindfulness) suggesting converging evidence that how we relate to mental events may be of critical importance. While there are some good measures of these related processes, none of them provides an adequate operationalization of cognitive fusion. Despite the centrality of cognitive fusion in the ACT model, there is as yet no agreed-upon measure of cognitive fusion. This paper presents the construction and development of a brief, self-report measure of cognitive fusion: The Cognitive Fusion Questionnaire (CFQ). The results of a series of studies involving over 1,800 people across diverse samples show good preliminary evidence of the CFQ's factor structure, reliability, temporal stability, validity, discriminant validity, and sensitivity to treatment effects. The potential uses of the CFQ in research and clinical practice are outlined. © 2013.","author":[{"dropping-particle":"","family":"Gillanders","given":"David T.","non-dropping-particle":"","parse-names":false,"suffix":""},{"dropping-particle":"","family":"Bolderston","given":"Helen","non-dropping-particle":"","parse-names":false,"suffix":""},{"dropping-particle":"","family":"Bond","given":"Frank W.","non-dropping-particle":"","parse-names":false,"suffix":""},{"dropping-particle":"","family":"Dempster","given":"Maria","non-dropping-particle":"","parse-names":false,"suffix":""},{"dropping-particle":"","family":"Flaxman","given":"Paul E.","non-dropping-particle":"","parse-names":false,"suffix":""},{"dropping-particle":"","family":"Campbell","given":"Lindsey","non-dropping-particle":"","parse-names":false,"suffix":""},{"dropping-particle":"","family":"Kerr","given":"Sian","non-dropping-particle":"","parse-names":false,"suffix":""},{"dropping-particle":"","family":"Tansey","given":"Louise","non-dropping-particle":"","parse-names":false,"suffix":""},{"dropping-particle":"","family":"Noel","given":"Penelope","non-dropping-particle":"","parse-names":false,"suffix":""},{"dropping-particle":"","family":"Ferenbach","given":"Clive","non-dropping-particle":"","parse-names":false,"suffix":""},{"dropping-particle":"","family":"Masley","given":"Samantha","non-dropping-particle":"","parse-names":false,"suffix":""},{"dropping-particle":"","family":"Roach","given":"Louise","non-dropping-particle":"","parse-names":false,"suffix":""},{"dropping-particle":"","family":"Lloyd","given":"Joda","non-dropping-particle":"","parse-names":false,"suffix":""},{"dropping-particle":"","family":"May","given":"Lauraine","non-dropping-particle":"","parse-names":false,"suffix":""},{"dropping-particle":"","family":"Clarke","given":"Susan","non-dropping-particle":"","parse-names":false,"suffix":""},{"dropping-particle":"","family":"Remington","given":"Bob","non-dropping-particle":"","parse-names":false,"suffix":""}],"container-title":"Behavior Therapy","id":"ITEM-1","issue":"1","issued":{"date-parts":[["2014"]]},"page":"83-101","publisher":"Elsevier B.V.","title":"The development and initial validation of the Cognitive Fusion Questionnaire","type":"article-journal","volume":"45"},"uris":["http://www.mendeley.com/documents/?uuid=84c45b24-f636-4d6b-acfe-64d990dbba28"]}],"mendeley":{"formattedCitation":"(Gillanders et al., 2014)","manualFormatting":"Gillanders et al., 2014)","plainTextFormattedCitation":"(Gillanders et al., 2014)","previouslyFormattedCitation":"(Gillanders et al., 2014)"},"properties":{"noteIndex":0},"schema":"https://github.com/citation-style-language/schema/raw/master/csl-citation.json"}</w:instrText>
      </w:r>
      <w:r w:rsidR="006167F7">
        <w:rPr>
          <w:color w:val="000000" w:themeColor="text1"/>
        </w:rPr>
        <w:fldChar w:fldCharType="separate"/>
      </w:r>
      <w:r w:rsidR="006167F7" w:rsidRPr="006167F7">
        <w:rPr>
          <w:noProof/>
          <w:color w:val="000000" w:themeColor="text1"/>
        </w:rPr>
        <w:t>Gillanders et al., 2014)</w:t>
      </w:r>
      <w:r w:rsidR="006167F7">
        <w:rPr>
          <w:color w:val="000000" w:themeColor="text1"/>
        </w:rPr>
        <w:fldChar w:fldCharType="end"/>
      </w:r>
      <w:r w:rsidR="00BA10A6">
        <w:rPr>
          <w:color w:val="000000" w:themeColor="text1"/>
        </w:rPr>
        <w:t xml:space="preserve"> and Decentering subscale of the Experiences Questionnaire </w:t>
      </w:r>
      <w:r w:rsidR="00BA10A6">
        <w:rPr>
          <w:color w:val="000000" w:themeColor="text1"/>
        </w:rPr>
        <w:fldChar w:fldCharType="begin" w:fldLock="1"/>
      </w:r>
      <w:r w:rsidR="00650408">
        <w:rPr>
          <w:color w:val="000000" w:themeColor="text1"/>
        </w:rPr>
        <w:instrText>ADDIN CSL_CITATION {"citationItems":[{"id":"ITEM-1","itemData":{"DOI":"10.1016/j.beth.2006.08.003","ISBN":"0005-7894 (Print)\\n0005-7894 (Linking)","ISSN":"00057894","PMID":"17697849","abstract":"Decentering is defined as the ability to observe one's thoughts and feelings as temporary, objective events in the mind, as opposed to reflections of the self that are necessarily true. The Experiences Questionnaire (EQ) was designed to measure both decentering and rumination but has not been empirically validated. The current study investigated the factor structure of the EQ in both undergraduate and clinical populations. A single, unifactorial decentering construct emerged using 2 undergraduate samples. The convergent and discriminant validity of this decentering factor was demonstrated in negative relationships with measures of depression symptoms, depressive rumination, experiential avoidance, and emotion regulation. Finally, the factor structure of the EQ was replicated in a clinical sample of individuals in remission from depression, and the decentering factor evidenced a negative relationship to concurrent levels of depression symptoms. Findings from this series of studies offer initial support for the EQ as a measure of decentering. © 2007.","author":[{"dropping-particle":"","family":"Fresco","given":"David M.","non-dropping-particle":"","parse-names":false,"suffix":""},{"dropping-particle":"","family":"Moore","given":"Michael T.","non-dropping-particle":"","parse-names":false,"suffix":""},{"dropping-particle":"","family":"Dulmen","given":"Manfred H M","non-dropping-particle":"van","parse-names":false,"suffix":""},{"dropping-particle":"V.","family":"Segal","given":"Zindel","non-dropping-particle":"","parse-names":false,"suffix":""},{"dropping-particle":"","family":"Ma","given":"S. Helen","non-dropping-particle":"","parse-names":false,"suffix":""},{"dropping-particle":"","family":"Teasdale","given":"John D.","non-dropping-particle":"","parse-names":false,"suffix":""},{"dropping-particle":"","family":"Williams","given":"J. Mark G","non-dropping-particle":"","parse-names":false,"suffix":""}],"container-title":"Behavior Therapy","id":"ITEM-1","issue":"3","issued":{"date-parts":[["2007"]]},"page":"234-246","title":"Initial Psychometric Properties of the Experiences Questionnaire: Validation of a Self-Report Measure of Decentering","type":"article-journal","volume":"38"},"uris":["http://www.mendeley.com/documents/?uuid=2406b890-a9e1-492f-8c45-032e2f03278a"]}],"mendeley":{"formattedCitation":"(Fresco et al., 2007)","plainTextFormattedCitation":"(Fresco et al., 2007)","previouslyFormattedCitation":"(Fresco et al., 2007)"},"properties":{"noteIndex":0},"schema":"https://github.com/citation-style-language/schema/raw/master/csl-citation.json"}</w:instrText>
      </w:r>
      <w:r w:rsidR="00BA10A6">
        <w:rPr>
          <w:color w:val="000000" w:themeColor="text1"/>
        </w:rPr>
        <w:fldChar w:fldCharType="separate"/>
      </w:r>
      <w:r w:rsidR="00BA10A6" w:rsidRPr="00BA10A6">
        <w:rPr>
          <w:noProof/>
          <w:color w:val="000000" w:themeColor="text1"/>
        </w:rPr>
        <w:t>(Fresco et al., 2007)</w:t>
      </w:r>
      <w:r w:rsidR="00BA10A6">
        <w:rPr>
          <w:color w:val="000000" w:themeColor="text1"/>
        </w:rPr>
        <w:fldChar w:fldCharType="end"/>
      </w:r>
      <w:r w:rsidR="00670BF6" w:rsidRPr="00FA2D51">
        <w:rPr>
          <w:color w:val="000000" w:themeColor="text1"/>
        </w:rPr>
        <w:t>.</w:t>
      </w:r>
      <w:r w:rsidR="00394318">
        <w:rPr>
          <w:color w:val="000000" w:themeColor="text1"/>
        </w:rPr>
        <w:t xml:space="preserve"> </w:t>
      </w:r>
      <w:r w:rsidR="00394318">
        <w:rPr>
          <w:color w:val="000000"/>
        </w:rPr>
        <w:t xml:space="preserve">These items were also rated from 1 (not at all) to 5 (very much) and </w:t>
      </w:r>
      <w:r w:rsidR="002D5BD7">
        <w:rPr>
          <w:color w:val="000000"/>
        </w:rPr>
        <w:t xml:space="preserve">averaged </w:t>
      </w:r>
      <w:r w:rsidR="00394318">
        <w:rPr>
          <w:color w:val="000000"/>
        </w:rPr>
        <w:t xml:space="preserve">to generate a total momentary </w:t>
      </w:r>
      <w:proofErr w:type="spellStart"/>
      <w:r w:rsidR="000B7E15">
        <w:rPr>
          <w:color w:val="000000"/>
        </w:rPr>
        <w:t>defusion</w:t>
      </w:r>
      <w:proofErr w:type="spellEnd"/>
      <w:r w:rsidR="000B7E15">
        <w:rPr>
          <w:color w:val="000000"/>
        </w:rPr>
        <w:t xml:space="preserve"> </w:t>
      </w:r>
      <w:r w:rsidR="00394318">
        <w:rPr>
          <w:color w:val="000000"/>
        </w:rPr>
        <w:t>score.</w:t>
      </w:r>
      <w:r w:rsidR="00855F5A" w:rsidRPr="00855F5A">
        <w:rPr>
          <w:color w:val="000000"/>
        </w:rPr>
        <w:t xml:space="preserve"> </w:t>
      </w:r>
      <w:r w:rsidR="00855F5A">
        <w:rPr>
          <w:color w:val="000000"/>
        </w:rPr>
        <w:t>Internal consistency was adequate for these items (</w:t>
      </w:r>
      <w:r w:rsidR="00855F5A">
        <w:rPr>
          <w:rFonts w:ascii="Symbol" w:hAnsi="Symbol"/>
        </w:rPr>
        <w:t xml:space="preserve">a </w:t>
      </w:r>
      <w:r w:rsidR="00855F5A">
        <w:t>= .</w:t>
      </w:r>
      <w:r w:rsidR="00B861AA">
        <w:t>85</w:t>
      </w:r>
      <w:r w:rsidR="00855F5A">
        <w:t>).</w:t>
      </w:r>
      <w:r w:rsidR="000637E9">
        <w:t xml:space="preserve"> </w:t>
      </w:r>
    </w:p>
    <w:p w14:paraId="01850DFC" w14:textId="49DF25A2" w:rsidR="007E62EE" w:rsidRPr="00901E93" w:rsidRDefault="00670BF6" w:rsidP="007E62EE">
      <w:pPr>
        <w:spacing w:line="480" w:lineRule="auto"/>
        <w:rPr>
          <w:bCs/>
          <w:i/>
          <w:iCs/>
          <w:color w:val="000000" w:themeColor="text1"/>
        </w:rPr>
      </w:pPr>
      <w:r w:rsidRPr="00901E93">
        <w:rPr>
          <w:bCs/>
          <w:i/>
          <w:iCs/>
          <w:color w:val="000000" w:themeColor="text1"/>
        </w:rPr>
        <w:t xml:space="preserve">Thought </w:t>
      </w:r>
      <w:r w:rsidR="007E62EE" w:rsidRPr="00901E93">
        <w:rPr>
          <w:bCs/>
          <w:i/>
          <w:iCs/>
          <w:color w:val="000000" w:themeColor="text1"/>
        </w:rPr>
        <w:t>S</w:t>
      </w:r>
      <w:r w:rsidRPr="00901E93">
        <w:rPr>
          <w:bCs/>
          <w:i/>
          <w:iCs/>
          <w:color w:val="000000" w:themeColor="text1"/>
        </w:rPr>
        <w:t>uppression</w:t>
      </w:r>
      <w:r w:rsidR="008C6329" w:rsidRPr="00901E93">
        <w:rPr>
          <w:bCs/>
          <w:i/>
          <w:iCs/>
          <w:color w:val="000000" w:themeColor="text1"/>
        </w:rPr>
        <w:t xml:space="preserve">, </w:t>
      </w:r>
      <w:r w:rsidR="007E62EE" w:rsidRPr="00901E93">
        <w:rPr>
          <w:bCs/>
          <w:i/>
          <w:iCs/>
          <w:color w:val="000000" w:themeColor="text1"/>
        </w:rPr>
        <w:t>R</w:t>
      </w:r>
      <w:r w:rsidR="008C6329" w:rsidRPr="00901E93">
        <w:rPr>
          <w:bCs/>
          <w:i/>
          <w:iCs/>
          <w:color w:val="000000" w:themeColor="text1"/>
        </w:rPr>
        <w:t xml:space="preserve">umination, and </w:t>
      </w:r>
      <w:r w:rsidR="007E62EE" w:rsidRPr="00901E93">
        <w:rPr>
          <w:bCs/>
          <w:i/>
          <w:iCs/>
          <w:color w:val="000000" w:themeColor="text1"/>
        </w:rPr>
        <w:t>D</w:t>
      </w:r>
      <w:r w:rsidR="008C6329" w:rsidRPr="00901E93">
        <w:rPr>
          <w:bCs/>
          <w:i/>
          <w:iCs/>
          <w:color w:val="000000" w:themeColor="text1"/>
        </w:rPr>
        <w:t>istraction</w:t>
      </w:r>
    </w:p>
    <w:p w14:paraId="648565A7" w14:textId="10B39E6E" w:rsidR="002023A8" w:rsidRDefault="00394318" w:rsidP="002023A8">
      <w:pPr>
        <w:spacing w:line="480" w:lineRule="auto"/>
        <w:ind w:firstLine="720"/>
        <w:rPr>
          <w:color w:val="000000" w:themeColor="text1"/>
        </w:rPr>
      </w:pPr>
      <w:r>
        <w:rPr>
          <w:color w:val="000000" w:themeColor="text1"/>
        </w:rPr>
        <w:lastRenderedPageBreak/>
        <w:t xml:space="preserve">One item </w:t>
      </w:r>
      <w:r w:rsidR="00DE6B47">
        <w:rPr>
          <w:color w:val="000000" w:themeColor="text1"/>
        </w:rPr>
        <w:t xml:space="preserve">each </w:t>
      </w:r>
      <w:r>
        <w:rPr>
          <w:color w:val="000000" w:themeColor="text1"/>
        </w:rPr>
        <w:t>asked</w:t>
      </w:r>
      <w:r w:rsidR="00670BF6" w:rsidRPr="00FA2D51">
        <w:rPr>
          <w:color w:val="000000" w:themeColor="text1"/>
        </w:rPr>
        <w:t xml:space="preserve"> about </w:t>
      </w:r>
      <w:r w:rsidR="001F64DB">
        <w:rPr>
          <w:color w:val="000000" w:themeColor="text1"/>
        </w:rPr>
        <w:t>momentary</w:t>
      </w:r>
      <w:r w:rsidR="00DE6B47">
        <w:rPr>
          <w:color w:val="000000" w:themeColor="text1"/>
        </w:rPr>
        <w:t xml:space="preserve"> thought </w:t>
      </w:r>
      <w:r w:rsidR="00DE6B47" w:rsidRPr="00B63782">
        <w:rPr>
          <w:color w:val="000000" w:themeColor="text1"/>
        </w:rPr>
        <w:t>suppression</w:t>
      </w:r>
      <w:r w:rsidR="001F64DB" w:rsidRPr="00B63782">
        <w:rPr>
          <w:color w:val="000000" w:themeColor="text1"/>
        </w:rPr>
        <w:t xml:space="preserve"> (“</w:t>
      </w:r>
      <w:r w:rsidR="001F64DB" w:rsidRPr="00B63782">
        <w:t>Since the last prompt, how much did you try not to think about certain things?”</w:t>
      </w:r>
      <w:r w:rsidR="00AA3F13">
        <w:t>)</w:t>
      </w:r>
      <w:r w:rsidR="00DE6B47" w:rsidRPr="00B63782">
        <w:rPr>
          <w:color w:val="000000" w:themeColor="text1"/>
        </w:rPr>
        <w:t>, rumination</w:t>
      </w:r>
      <w:r w:rsidR="001F64DB" w:rsidRPr="00B63782">
        <w:rPr>
          <w:color w:val="000000" w:themeColor="text1"/>
        </w:rPr>
        <w:t xml:space="preserve"> (“</w:t>
      </w:r>
      <w:r w:rsidR="001F64DB" w:rsidRPr="00B63782">
        <w:t>Since the last prompt, how much did you think over and over your problems?</w:t>
      </w:r>
      <w:r w:rsidR="001F64DB" w:rsidRPr="00B63782">
        <w:rPr>
          <w:color w:val="000000" w:themeColor="text1"/>
        </w:rPr>
        <w:t>”)</w:t>
      </w:r>
      <w:r w:rsidR="00DE6B47" w:rsidRPr="00B63782">
        <w:rPr>
          <w:color w:val="000000" w:themeColor="text1"/>
        </w:rPr>
        <w:t>, and d</w:t>
      </w:r>
      <w:r w:rsidR="00DE6B47">
        <w:rPr>
          <w:color w:val="000000" w:themeColor="text1"/>
        </w:rPr>
        <w:t>istraction</w:t>
      </w:r>
      <w:r w:rsidR="001F64DB">
        <w:rPr>
          <w:color w:val="000000" w:themeColor="text1"/>
        </w:rPr>
        <w:t xml:space="preserve"> (“</w:t>
      </w:r>
      <w:r w:rsidR="001F64DB" w:rsidRPr="00FA2D51">
        <w:t>Since the last prompt, how much did you do things to distract from negative thoughts and feelings?</w:t>
      </w:r>
      <w:r w:rsidR="001F64DB">
        <w:rPr>
          <w:color w:val="000000" w:themeColor="text1"/>
        </w:rPr>
        <w:t>”)</w:t>
      </w:r>
      <w:r w:rsidR="00DE6B47">
        <w:rPr>
          <w:color w:val="000000" w:themeColor="text1"/>
        </w:rPr>
        <w:t xml:space="preserve">. </w:t>
      </w:r>
      <w:r w:rsidR="00670BF6" w:rsidRPr="00FA2D51">
        <w:rPr>
          <w:color w:val="000000" w:themeColor="text1"/>
        </w:rPr>
        <w:t>These items have been used in previous EMA research</w:t>
      </w:r>
      <w:r w:rsidR="00156FED">
        <w:rPr>
          <w:color w:val="000000" w:themeColor="text1"/>
        </w:rPr>
        <w:t xml:space="preserve"> </w:t>
      </w:r>
      <w:r w:rsidR="00156FED">
        <w:rPr>
          <w:color w:val="000000" w:themeColor="text1"/>
        </w:rPr>
        <w:fldChar w:fldCharType="begin" w:fldLock="1"/>
      </w:r>
      <w:r w:rsidR="00B5775D">
        <w:rPr>
          <w:color w:val="000000" w:themeColor="text1"/>
        </w:rPr>
        <w:instrText>ADDIN CSL_CITATION {"citationItems":[{"id":"ITEM-1","itemData":{"DOI":"10.1016/j.jbtep.2018.07.005","author":[{"dropping-particle":"","family":"Levin","given":"Michael E.","non-dropping-particle":"","parse-names":false,"suffix":""},{"dropping-particle":"","family":"Krafft","given":"J.","non-dropping-particle":"","parse-names":false,"suffix":""},{"dropping-particle":"","family":"Pierce","given":"B.","non-dropping-particle":"","parse-names":false,"suffix":""},{"dropping-particle":"","family":"Potts","given":"S.","non-dropping-particle":"","parse-names":false,"suffix":""}],"container-title":"Journal of Behavior Therapy and Experimental Psychiatry","id":"ITEM-1","issued":{"date-parts":[["2018"]]},"page":"158-163","title":"When is experiential avoidance harmful in the moment? Examining global experiential avoidance as a moderator","type":"article-journal","volume":"61"},"uris":["http://www.mendeley.com/documents/?uuid=37d221bf-b01d-4742-8607-1a973309d480"]}],"mendeley":{"formattedCitation":"(Levin, Krafft, et al., 2018)","plainTextFormattedCitation":"(Levin, Krafft, et al., 2018)","previouslyFormattedCitation":"(Levin, Krafft, et al., 2018)"},"properties":{"noteIndex":0},"schema":"https://github.com/citation-style-language/schema/raw/master/csl-citation.json"}</w:instrText>
      </w:r>
      <w:r w:rsidR="00156FED">
        <w:rPr>
          <w:color w:val="000000" w:themeColor="text1"/>
        </w:rPr>
        <w:fldChar w:fldCharType="separate"/>
      </w:r>
      <w:r w:rsidR="00156FED" w:rsidRPr="00156FED">
        <w:rPr>
          <w:noProof/>
          <w:color w:val="000000" w:themeColor="text1"/>
        </w:rPr>
        <w:t>(Levin, Krafft, et al., 2018)</w:t>
      </w:r>
      <w:r w:rsidR="00156FED">
        <w:rPr>
          <w:color w:val="000000" w:themeColor="text1"/>
        </w:rPr>
        <w:fldChar w:fldCharType="end"/>
      </w:r>
      <w:r w:rsidR="00156FED">
        <w:rPr>
          <w:color w:val="000000" w:themeColor="text1"/>
        </w:rPr>
        <w:t>.</w:t>
      </w:r>
      <w:r w:rsidR="001F64DB">
        <w:rPr>
          <w:color w:val="000000" w:themeColor="text1"/>
        </w:rPr>
        <w:t xml:space="preserve"> Each was rated from 1 (not at all) to 5 (very much</w:t>
      </w:r>
      <w:r w:rsidR="0024743C">
        <w:rPr>
          <w:color w:val="000000" w:themeColor="text1"/>
        </w:rPr>
        <w:t>)</w:t>
      </w:r>
      <w:r w:rsidR="001F64DB">
        <w:rPr>
          <w:color w:val="000000" w:themeColor="text1"/>
        </w:rPr>
        <w:t>.</w:t>
      </w:r>
      <w:r w:rsidR="00CB6C1B">
        <w:rPr>
          <w:color w:val="000000" w:themeColor="text1"/>
        </w:rPr>
        <w:t xml:space="preserve"> </w:t>
      </w:r>
    </w:p>
    <w:p w14:paraId="3232EF9A" w14:textId="55D1AEFC" w:rsidR="002023A8" w:rsidRPr="00901E93" w:rsidRDefault="002023A8" w:rsidP="002023A8">
      <w:pPr>
        <w:spacing w:line="480" w:lineRule="auto"/>
        <w:rPr>
          <w:b/>
          <w:bCs/>
          <w:i/>
          <w:iCs/>
          <w:color w:val="000000" w:themeColor="text1"/>
        </w:rPr>
      </w:pPr>
      <w:r w:rsidRPr="00901E93">
        <w:rPr>
          <w:b/>
          <w:bCs/>
          <w:i/>
          <w:iCs/>
          <w:color w:val="000000" w:themeColor="text1"/>
        </w:rPr>
        <w:t xml:space="preserve">Analysis </w:t>
      </w:r>
      <w:r w:rsidR="007E62EE">
        <w:rPr>
          <w:b/>
          <w:bCs/>
          <w:i/>
          <w:iCs/>
          <w:color w:val="000000" w:themeColor="text1"/>
        </w:rPr>
        <w:t>P</w:t>
      </w:r>
      <w:r w:rsidRPr="00901E93">
        <w:rPr>
          <w:b/>
          <w:bCs/>
          <w:i/>
          <w:iCs/>
          <w:color w:val="000000" w:themeColor="text1"/>
        </w:rPr>
        <w:t>lan</w:t>
      </w:r>
    </w:p>
    <w:p w14:paraId="052DA05C" w14:textId="022D9871" w:rsidR="005D07D9" w:rsidRDefault="009112D0" w:rsidP="002023A8">
      <w:pPr>
        <w:spacing w:line="480" w:lineRule="auto"/>
        <w:rPr>
          <w:color w:val="000000" w:themeColor="text1"/>
        </w:rPr>
      </w:pPr>
      <w:r>
        <w:rPr>
          <w:color w:val="000000" w:themeColor="text1"/>
        </w:rPr>
        <w:tab/>
      </w:r>
      <w:r w:rsidR="005D07D9">
        <w:rPr>
          <w:color w:val="000000" w:themeColor="text1"/>
        </w:rPr>
        <w:t xml:space="preserve">Potential predictors of missing EMA surveys (age, gender, race, ethnicity, and baseline GHQ, CFQ, and TCQ-R scores) were evaluated </w:t>
      </w:r>
      <w:r w:rsidR="00D85EC9">
        <w:rPr>
          <w:color w:val="000000" w:themeColor="text1"/>
        </w:rPr>
        <w:t xml:space="preserve">as to whether they significantly predicted missingness </w:t>
      </w:r>
      <w:r w:rsidR="005D07D9">
        <w:rPr>
          <w:color w:val="000000" w:themeColor="text1"/>
        </w:rPr>
        <w:t xml:space="preserve">in </w:t>
      </w:r>
      <w:r w:rsidR="00D85EC9">
        <w:rPr>
          <w:color w:val="000000" w:themeColor="text1"/>
        </w:rPr>
        <w:t xml:space="preserve">a series of binomial </w:t>
      </w:r>
      <w:r w:rsidR="005D07D9">
        <w:rPr>
          <w:color w:val="000000" w:themeColor="text1"/>
        </w:rPr>
        <w:t xml:space="preserve">generalized </w:t>
      </w:r>
      <w:r w:rsidR="00D85EC9">
        <w:rPr>
          <w:color w:val="000000" w:themeColor="text1"/>
        </w:rPr>
        <w:t>mixed-effects models including random intercepts at the participant level.</w:t>
      </w:r>
      <w:r w:rsidR="008D7281">
        <w:rPr>
          <w:color w:val="000000" w:themeColor="text1"/>
        </w:rPr>
        <w:t xml:space="preserve"> </w:t>
      </w:r>
      <w:r w:rsidR="00D85EC9">
        <w:rPr>
          <w:color w:val="000000" w:themeColor="text1"/>
        </w:rPr>
        <w:t>Any s</w:t>
      </w:r>
      <w:r w:rsidR="008D7281">
        <w:rPr>
          <w:color w:val="000000" w:themeColor="text1"/>
        </w:rPr>
        <w:t>ignificant predictors</w:t>
      </w:r>
      <w:r w:rsidR="007D4A8B">
        <w:rPr>
          <w:color w:val="000000" w:themeColor="text1"/>
        </w:rPr>
        <w:t xml:space="preserve"> identified at this stage</w:t>
      </w:r>
      <w:r w:rsidR="008D7281">
        <w:rPr>
          <w:color w:val="000000" w:themeColor="text1"/>
        </w:rPr>
        <w:t xml:space="preserve"> </w:t>
      </w:r>
      <w:r w:rsidR="00D85EC9">
        <w:rPr>
          <w:color w:val="000000" w:themeColor="text1"/>
        </w:rPr>
        <w:t xml:space="preserve">would be included </w:t>
      </w:r>
      <w:r w:rsidR="008D7281">
        <w:rPr>
          <w:color w:val="000000" w:themeColor="text1"/>
        </w:rPr>
        <w:t>as covariates in subsequent regressions.</w:t>
      </w:r>
    </w:p>
    <w:p w14:paraId="409204C0" w14:textId="2323645E" w:rsidR="00303D6D" w:rsidRDefault="005D07D9" w:rsidP="002023A8">
      <w:pPr>
        <w:spacing w:line="480" w:lineRule="auto"/>
        <w:rPr>
          <w:color w:val="000000" w:themeColor="text1"/>
        </w:rPr>
      </w:pPr>
      <w:r>
        <w:rPr>
          <w:color w:val="000000" w:themeColor="text1"/>
        </w:rPr>
        <w:tab/>
      </w:r>
      <w:r w:rsidR="00303D6D">
        <w:rPr>
          <w:color w:val="000000" w:themeColor="text1"/>
        </w:rPr>
        <w:t xml:space="preserve">The construct validity of the </w:t>
      </w:r>
      <w:proofErr w:type="spellStart"/>
      <w:r w:rsidR="00303D6D">
        <w:rPr>
          <w:color w:val="000000" w:themeColor="text1"/>
        </w:rPr>
        <w:t>defusion</w:t>
      </w:r>
      <w:proofErr w:type="spellEnd"/>
      <w:r w:rsidR="00303D6D">
        <w:rPr>
          <w:color w:val="000000" w:themeColor="text1"/>
        </w:rPr>
        <w:t xml:space="preserve"> and restructuring items was assessed in terms of 1) associations with theoretically related, validated self-report measures and 2) factor loadings in an exploratory factor analysis</w:t>
      </w:r>
      <w:r w:rsidR="000972A0">
        <w:rPr>
          <w:color w:val="000000" w:themeColor="text1"/>
        </w:rPr>
        <w:t xml:space="preserve"> with </w:t>
      </w:r>
      <w:proofErr w:type="spellStart"/>
      <w:r w:rsidR="000972A0">
        <w:rPr>
          <w:color w:val="000000" w:themeColor="text1"/>
        </w:rPr>
        <w:t>oblimin</w:t>
      </w:r>
      <w:proofErr w:type="spellEnd"/>
      <w:r w:rsidR="000972A0">
        <w:rPr>
          <w:color w:val="000000" w:themeColor="text1"/>
        </w:rPr>
        <w:t xml:space="preserve"> rotation allowing factors to correlate</w:t>
      </w:r>
      <w:r w:rsidR="00303D6D">
        <w:rPr>
          <w:color w:val="000000" w:themeColor="text1"/>
        </w:rPr>
        <w:t>.</w:t>
      </w:r>
    </w:p>
    <w:p w14:paraId="38A8D2ED" w14:textId="3CCD1E9B" w:rsidR="00A6673A" w:rsidRDefault="00303D6D" w:rsidP="002023A8">
      <w:pPr>
        <w:spacing w:line="480" w:lineRule="auto"/>
        <w:rPr>
          <w:color w:val="000000" w:themeColor="text1"/>
        </w:rPr>
      </w:pPr>
      <w:r>
        <w:rPr>
          <w:color w:val="000000" w:themeColor="text1"/>
        </w:rPr>
        <w:tab/>
      </w:r>
      <w:r w:rsidR="00A6673A">
        <w:rPr>
          <w:color w:val="000000" w:themeColor="text1"/>
        </w:rPr>
        <w:t xml:space="preserve">The frequency with which participants employed </w:t>
      </w:r>
      <w:r w:rsidR="00B04CAD">
        <w:rPr>
          <w:color w:val="000000" w:themeColor="text1"/>
        </w:rPr>
        <w:t>cognitive coping strategies was evaluated by calculating average values within each participant, then averaging across participants</w:t>
      </w:r>
      <w:r w:rsidR="00582209">
        <w:rPr>
          <w:color w:val="000000" w:themeColor="text1"/>
        </w:rPr>
        <w:t xml:space="preserve">, based on </w:t>
      </w:r>
      <w:r w:rsidR="004C688F">
        <w:rPr>
          <w:color w:val="000000" w:themeColor="text1"/>
        </w:rPr>
        <w:t>available</w:t>
      </w:r>
      <w:r w:rsidR="00582209">
        <w:rPr>
          <w:color w:val="000000" w:themeColor="text1"/>
        </w:rPr>
        <w:t xml:space="preserve"> observations</w:t>
      </w:r>
      <w:r w:rsidR="004C688F">
        <w:rPr>
          <w:color w:val="000000" w:themeColor="text1"/>
        </w:rPr>
        <w:t xml:space="preserve"> (i.e., no imputation was used)</w:t>
      </w:r>
      <w:r w:rsidR="00582209">
        <w:rPr>
          <w:color w:val="000000" w:themeColor="text1"/>
        </w:rPr>
        <w:t>.</w:t>
      </w:r>
    </w:p>
    <w:p w14:paraId="5C78427D" w14:textId="2F3F58F3" w:rsidR="002023A8" w:rsidRDefault="00A6673A" w:rsidP="002023A8">
      <w:pPr>
        <w:spacing w:line="480" w:lineRule="auto"/>
        <w:rPr>
          <w:color w:val="000000" w:themeColor="text1"/>
        </w:rPr>
      </w:pPr>
      <w:r>
        <w:rPr>
          <w:color w:val="000000" w:themeColor="text1"/>
        </w:rPr>
        <w:tab/>
      </w:r>
      <w:r w:rsidR="009112D0">
        <w:rPr>
          <w:color w:val="000000" w:themeColor="text1"/>
        </w:rPr>
        <w:t>Due to the nested nature of the data (i.e., many observations per participant), multilevel models (</w:t>
      </w:r>
      <w:r w:rsidR="00650408">
        <w:rPr>
          <w:color w:val="000000" w:themeColor="text1"/>
        </w:rPr>
        <w:t xml:space="preserve">MLMs; </w:t>
      </w:r>
      <w:r w:rsidR="009112D0">
        <w:rPr>
          <w:color w:val="000000" w:themeColor="text1"/>
        </w:rPr>
        <w:t xml:space="preserve">also called mixed-effects models) were used to evaluate </w:t>
      </w:r>
      <w:r w:rsidR="00650408">
        <w:rPr>
          <w:color w:val="000000" w:themeColor="text1"/>
        </w:rPr>
        <w:t xml:space="preserve">all </w:t>
      </w:r>
      <w:r>
        <w:rPr>
          <w:color w:val="000000" w:themeColor="text1"/>
        </w:rPr>
        <w:t xml:space="preserve">subsequent </w:t>
      </w:r>
      <w:r w:rsidR="009112D0">
        <w:rPr>
          <w:color w:val="000000" w:themeColor="text1"/>
        </w:rPr>
        <w:t xml:space="preserve">study hypotheses. </w:t>
      </w:r>
      <w:r w:rsidR="00650408">
        <w:rPr>
          <w:color w:val="000000" w:themeColor="text1"/>
        </w:rPr>
        <w:t xml:space="preserve">Models employed random intercepts (which model between-participant differences on the outcome) and random slopes (which model between-participant differences in slope of the outcome variable over </w:t>
      </w:r>
      <w:r w:rsidR="002A047B">
        <w:rPr>
          <w:color w:val="000000" w:themeColor="text1"/>
        </w:rPr>
        <w:t>the one-week study period</w:t>
      </w:r>
      <w:r w:rsidR="00650408">
        <w:rPr>
          <w:color w:val="000000" w:themeColor="text1"/>
        </w:rPr>
        <w:t xml:space="preserve">). Models employed the restricted maximum </w:t>
      </w:r>
      <w:r w:rsidR="00650408">
        <w:rPr>
          <w:color w:val="000000" w:themeColor="text1"/>
        </w:rPr>
        <w:lastRenderedPageBreak/>
        <w:t>likelihood approach</w:t>
      </w:r>
      <w:r w:rsidR="000E1F5F">
        <w:rPr>
          <w:color w:val="000000" w:themeColor="text1"/>
        </w:rPr>
        <w:t xml:space="preserve"> to estimation</w:t>
      </w:r>
      <w:r w:rsidR="00650408">
        <w:rPr>
          <w:color w:val="000000" w:themeColor="text1"/>
        </w:rPr>
        <w:t xml:space="preserve">. MLMs use all available information (i.e., no listwise deletion) and allow for accurate estimates of model parameters when data are missing at random </w:t>
      </w:r>
      <w:r w:rsidR="00650408">
        <w:rPr>
          <w:color w:val="000000" w:themeColor="text1"/>
        </w:rPr>
        <w:fldChar w:fldCharType="begin" w:fldLock="1"/>
      </w:r>
      <w:r w:rsidR="00760CD4">
        <w:rPr>
          <w:color w:val="000000" w:themeColor="text1"/>
        </w:rPr>
        <w:instrText>ADDIN CSL_CITATION {"citationItems":[{"id":"ITEM-1","itemData":{"DOI":"10.1037/a0012765","ISSN":"00905550","abstract":"Objective: The use and quality of longitudinal research designs has increased over the past 2 decades, and new approaches for analyzing longitudinal data, including multilevel modeling (MLM) and latent growth modeling (LGM), have been developed. The purpose of this article is to demonstrate the use of MLM and its advantages in analyzing longitudinal data. Research Method: Data from a sample of individuals with intra-articular fractures of the lower extremity from the University of Alabama at Birmingham's Injury Control Research Center are analyzed using both SAS PROC MIXED and SPSS MIXED. Results: The authors begin their presentation with a discussion of data preparation for MLM analyses. The authors then provide example analyses of different growth models, including a simple linear growth model and a model with a time-invariant covariate, with interpretation for all the parameters in the models. Implications: More complicated growth models with different between- and within-individual covariance structures and nonlinear models are discussed. Finally, information related to MLM analysis, such as online resources, is provided at the end of the article. © 2008 American Psychological Association.","author":[{"dropping-particle":"","family":"Kwok","given":"Oi Man","non-dropping-particle":"","parse-names":false,"suffix":""},{"dropping-particle":"","family":"Underhill","given":"Andrea T.","non-dropping-particle":"","parse-names":false,"suffix":""},{"dropping-particle":"","family":"Berry","given":"Jack W.","non-dropping-particle":"","parse-names":false,"suffix":""},{"dropping-particle":"","family":"Luo","given":"Wen","non-dropping-particle":"","parse-names":false,"suffix":""},{"dropping-particle":"","family":"Elliott","given":"Timothy R.","non-dropping-particle":"","parse-names":false,"suffix":""},{"dropping-particle":"","family":"Yoon","given":"Myeongsun","non-dropping-particle":"","parse-names":false,"suffix":""}],"container-title":"Rehabilitation Psychology","id":"ITEM-1","issue":"3","issued":{"date-parts":[["2008"]]},"page":"370-386","title":"Analyzing longitudinal data with multilevel models: An example with individuals living with lower extremity intra-articular fractures","type":"article-journal","volume":"53"},"uris":["http://www.mendeley.com/documents/?uuid=85f34e93-ebd1-4333-ab92-9ec71db064e0"]}],"mendeley":{"formattedCitation":"(Kwok et al., 2008)","plainTextFormattedCitation":"(Kwok et al., 2008)","previouslyFormattedCitation":"(Kwok et al., 2008)"},"properties":{"noteIndex":0},"schema":"https://github.com/citation-style-language/schema/raw/master/csl-citation.json"}</w:instrText>
      </w:r>
      <w:r w:rsidR="00650408">
        <w:rPr>
          <w:color w:val="000000" w:themeColor="text1"/>
        </w:rPr>
        <w:fldChar w:fldCharType="separate"/>
      </w:r>
      <w:r w:rsidR="00650408" w:rsidRPr="00650408">
        <w:rPr>
          <w:noProof/>
          <w:color w:val="000000" w:themeColor="text1"/>
        </w:rPr>
        <w:t>(Kwok et al., 2008)</w:t>
      </w:r>
      <w:r w:rsidR="00650408">
        <w:rPr>
          <w:color w:val="000000" w:themeColor="text1"/>
        </w:rPr>
        <w:fldChar w:fldCharType="end"/>
      </w:r>
      <w:r w:rsidR="00650408">
        <w:rPr>
          <w:color w:val="000000" w:themeColor="text1"/>
        </w:rPr>
        <w:t>.</w:t>
      </w:r>
      <w:r w:rsidR="000E1F5F">
        <w:rPr>
          <w:color w:val="000000" w:themeColor="text1"/>
        </w:rPr>
        <w:t xml:space="preserve"> MLM regression coefficients were standardized in order to provide an estimate of effect size</w:t>
      </w:r>
      <w:r w:rsidR="00C50E80">
        <w:rPr>
          <w:color w:val="000000" w:themeColor="text1"/>
        </w:rPr>
        <w:t xml:space="preserve"> </w:t>
      </w:r>
      <w:r w:rsidR="00C50E80">
        <w:rPr>
          <w:color w:val="000000" w:themeColor="text1"/>
        </w:rPr>
        <w:fldChar w:fldCharType="begin" w:fldLock="1"/>
      </w:r>
      <w:r w:rsidR="00C50E80">
        <w:rPr>
          <w:color w:val="000000" w:themeColor="text1"/>
        </w:rPr>
        <w:instrText>ADDIN CSL_CITATION {"citationItems":[{"id":"ITEM-1","itemData":{"DOI":"10.1186/s40536-018-0061-2","ISBN":"4053601800612","ISSN":"21960739","abstract":"Effect size reporting is crucial for interpretation of applied research results and for conducting meta-analysis. However, clear guidelines for reporting effect size in multilevel models have not been provided. This report suggests and demonstrates appropriate effect size measures including the ICC for random effects and standardized regression coefficients or f 2 for fixed effects. Following this, complexities associated with reporting R 2 as an effect size measure are explored, as well as appropriate effect size measures for more complex models including the three-level model and the random slopes model. An example using TIMSS data is provided.","author":[{"dropping-particle":"","family":"Lorah","given":"Julie","non-dropping-particle":"","parse-names":false,"suffix":""}],"container-title":"Large-Scale Assessments in Education","id":"ITEM-1","issued":{"date-parts":[["2018"]]},"publisher":"Springer US","title":"Effect size measures for multilevel models: definition, interpretation, and TIMSS example","type":"article-journal","volume":"6"},"uris":["http://www.mendeley.com/documents/?uuid=0282632b-bcac-4935-a780-02bf30c6e967"]}],"mendeley":{"formattedCitation":"(Lorah, 2018)","plainTextFormattedCitation":"(Lorah, 2018)","previouslyFormattedCitation":"(Lorah, 2018)"},"properties":{"noteIndex":0},"schema":"https://github.com/citation-style-language/schema/raw/master/csl-citation.json"}</w:instrText>
      </w:r>
      <w:r w:rsidR="00C50E80">
        <w:rPr>
          <w:color w:val="000000" w:themeColor="text1"/>
        </w:rPr>
        <w:fldChar w:fldCharType="separate"/>
      </w:r>
      <w:r w:rsidR="00C50E80" w:rsidRPr="00C50E80">
        <w:rPr>
          <w:noProof/>
          <w:color w:val="000000" w:themeColor="text1"/>
        </w:rPr>
        <w:t>(Lorah, 2018)</w:t>
      </w:r>
      <w:r w:rsidR="00C50E80">
        <w:rPr>
          <w:color w:val="000000" w:themeColor="text1"/>
        </w:rPr>
        <w:fldChar w:fldCharType="end"/>
      </w:r>
      <w:r w:rsidR="000E1F5F">
        <w:t>.</w:t>
      </w:r>
      <w:r w:rsidR="00917C14">
        <w:t xml:space="preserve"> </w:t>
      </w:r>
      <w:r w:rsidR="000E1F5F">
        <w:rPr>
          <w:color w:val="000000" w:themeColor="text1"/>
        </w:rPr>
        <w:t>All analyses were conducted with R statistical software</w:t>
      </w:r>
      <w:r w:rsidR="00C50E80">
        <w:rPr>
          <w:color w:val="000000" w:themeColor="text1"/>
        </w:rPr>
        <w:t xml:space="preserve"> </w:t>
      </w:r>
      <w:r w:rsidR="00C50E80">
        <w:rPr>
          <w:color w:val="000000" w:themeColor="text1"/>
        </w:rPr>
        <w:fldChar w:fldCharType="begin" w:fldLock="1"/>
      </w:r>
      <w:r w:rsidR="00C50E80">
        <w:rPr>
          <w:color w:val="000000" w:themeColor="text1"/>
        </w:rPr>
        <w:instrText>ADDIN CSL_CITATION {"citationItems":[{"id":"ITEM-1","itemData":{"author":[{"dropping-particle":"","family":"R Core Team","given":"","non-dropping-particle":"","parse-names":false,"suffix":""}],"id":"ITEM-1","issued":{"date-parts":[["2018"]]},"publisher":"R Foundation for Statistical Computing","publisher-place":"Vienna, Austria","title":"R: A language and environment for statistical computing","type":"book"},"uris":["http://www.mendeley.com/documents/?uuid=c6c3de26-331a-4a46-aaf6-592b8acfcb47"]}],"mendeley":{"formattedCitation":"(R Core Team, 2018)","plainTextFormattedCitation":"(R Core Team, 2018)","previouslyFormattedCitation":"(R Core Team, 2018)"},"properties":{"noteIndex":0},"schema":"https://github.com/citation-style-language/schema/raw/master/csl-citation.json"}</w:instrText>
      </w:r>
      <w:r w:rsidR="00C50E80">
        <w:rPr>
          <w:color w:val="000000" w:themeColor="text1"/>
        </w:rPr>
        <w:fldChar w:fldCharType="separate"/>
      </w:r>
      <w:r w:rsidR="00C50E80" w:rsidRPr="00C50E80">
        <w:rPr>
          <w:noProof/>
          <w:color w:val="000000" w:themeColor="text1"/>
        </w:rPr>
        <w:t>(R Core Team, 2018)</w:t>
      </w:r>
      <w:r w:rsidR="00C50E80">
        <w:rPr>
          <w:color w:val="000000" w:themeColor="text1"/>
        </w:rPr>
        <w:fldChar w:fldCharType="end"/>
      </w:r>
      <w:r w:rsidR="000E1F5F">
        <w:t xml:space="preserve">. </w:t>
      </w:r>
      <w:r w:rsidR="000E1F5F" w:rsidRPr="00EA43FD">
        <w:rPr>
          <w:i/>
          <w:iCs/>
        </w:rPr>
        <w:t>p</w:t>
      </w:r>
      <w:r w:rsidR="000E1F5F" w:rsidRPr="00EA43FD">
        <w:t xml:space="preserve">-values </w:t>
      </w:r>
      <w:r w:rsidR="000E1F5F">
        <w:t>were generated using the</w:t>
      </w:r>
      <w:r w:rsidR="000E1F5F" w:rsidRPr="00EA43FD">
        <w:t xml:space="preserve"> </w:t>
      </w:r>
      <w:proofErr w:type="spellStart"/>
      <w:r w:rsidR="000E1F5F" w:rsidRPr="00EA43FD">
        <w:t>lmerTest</w:t>
      </w:r>
      <w:proofErr w:type="spellEnd"/>
      <w:r w:rsidR="000E1F5F" w:rsidRPr="00EA43FD">
        <w:t xml:space="preserve"> package</w:t>
      </w:r>
      <w:r w:rsidR="00C50E80">
        <w:t xml:space="preserve"> </w:t>
      </w:r>
      <w:r w:rsidR="00C50E80">
        <w:fldChar w:fldCharType="begin" w:fldLock="1"/>
      </w:r>
      <w:r w:rsidR="00B50AE9">
        <w:instrText>ADDIN CSL_CITATION {"citationItems":[{"id":"ITEM-1","itemData":{"ISSN":"1548-7660","author":[{"dropping-particle":"","family":"Kuznetsova","given":"Alexandra","non-dropping-particle":"","parse-names":false,"suffix":""},{"dropping-particle":"","family":"Brockhoff","given":"Per B","non-dropping-particle":"","parse-names":false,"suffix":""},{"dropping-particle":"","family":"Christensen","given":"Rune Haubo Bojesen","non-dropping-particle":"","parse-names":false,"suffix":""}],"container-title":"Journal of statistical software","id":"ITEM-1","issued":{"date-parts":[["2017"]]},"publisher":"The Foundation for Open Access Statistics","title":"lmerTest package: tests in linear mixed effects models","type":"article-journal","volume":"82"},"uris":["http://www.mendeley.com/documents/?uuid=5fcac400-24fd-4ce6-95d3-1a06ac15f922"]}],"mendeley":{"formattedCitation":"(Kuznetsova et al., 2017)","plainTextFormattedCitation":"(Kuznetsova et al., 2017)","previouslyFormattedCitation":"(Kuznetsova et al., 2017)"},"properties":{"noteIndex":0},"schema":"https://github.com/citation-style-language/schema/raw/master/csl-citation.json"}</w:instrText>
      </w:r>
      <w:r w:rsidR="00C50E80">
        <w:fldChar w:fldCharType="separate"/>
      </w:r>
      <w:r w:rsidR="00B50AE9" w:rsidRPr="00B50AE9">
        <w:rPr>
          <w:noProof/>
        </w:rPr>
        <w:t>(Kuznetsova et al., 2017)</w:t>
      </w:r>
      <w:r w:rsidR="00C50E80">
        <w:fldChar w:fldCharType="end"/>
      </w:r>
      <w:r w:rsidR="000E1F5F" w:rsidRPr="00EA43FD">
        <w:t xml:space="preserve">, </w:t>
      </w:r>
      <w:r w:rsidR="000E1F5F">
        <w:t>which has demonstrated appropriate rates of Type I error</w:t>
      </w:r>
      <w:r w:rsidR="00C50E80">
        <w:t xml:space="preserve"> </w:t>
      </w:r>
      <w:r w:rsidR="00C50E80">
        <w:fldChar w:fldCharType="begin" w:fldLock="1"/>
      </w:r>
      <w:r w:rsidR="00C50E80">
        <w:instrText>ADDIN CSL_CITATION {"citationItems":[{"id":"ITEM-1","itemData":{"DOI":"10.3758/s13428-016-0809-y","ISSN":"15543528","abstract":"Mixed-effects models are being used ever more frequently in the analysis of experimental data. However, in the lme4 package in R the standards for evaluating significance of fixed effects in these models (i.e., obtaining p-values) are somewhat vague. There are good reasons for this, but as researchers who are using these models are required in many cases to report p-values, some method for evaluating the significance of the model output is needed. This paper reports the results of simulations showing that the two most common methods for evaluating significance, using likelihood ratio tests and applying the z distribution to the Wald t values from the model output (t-as-z), are somewhat anti-conservative, especially for smaller sample sizes. Other methods for evaluating significance, including parametric bootstrapping and the Kenward-Roger and Satterthwaite approximations for degrees of freedom, were also evaluated. The results of these simulations suggest that Type 1 error rates are closest to.05 when models are fitted using REML and p-values are derived using the Kenward-Roger or Satterthwaite approximations, as these approximations both produced acceptable Type 1 error rates even for smaller samples.","author":[{"dropping-particle":"","family":"Luke","given":"Steven G.","non-dropping-particle":"","parse-names":false,"suffix":""}],"container-title":"Behavior Research Methods","id":"ITEM-1","issued":{"date-parts":[["2017"]]},"page":"1494-1502","publisher":"Behavior Research Methods","title":"Evaluating significance in linear mixed-effects models in R","type":"article-journal","volume":"49"},"uris":["http://www.mendeley.com/documents/?uuid=3a253fdc-2661-4df7-99dd-b5d81b4964af"]}],"mendeley":{"formattedCitation":"(Luke, 2017)","plainTextFormattedCitation":"(Luke, 2017)","previouslyFormattedCitation":"(Luke, 2017)"},"properties":{"noteIndex":0},"schema":"https://github.com/citation-style-language/schema/raw/master/csl-citation.json"}</w:instrText>
      </w:r>
      <w:r w:rsidR="00C50E80">
        <w:fldChar w:fldCharType="separate"/>
      </w:r>
      <w:r w:rsidR="00C50E80" w:rsidRPr="00C50E80">
        <w:rPr>
          <w:noProof/>
        </w:rPr>
        <w:t>(Luke, 2017)</w:t>
      </w:r>
      <w:r w:rsidR="00C50E80">
        <w:fldChar w:fldCharType="end"/>
      </w:r>
      <w:r w:rsidR="00C50E80">
        <w:t>.</w:t>
      </w:r>
    </w:p>
    <w:p w14:paraId="0E96E527" w14:textId="7CBBD7AB" w:rsidR="000E1F5F" w:rsidRDefault="000E1F5F" w:rsidP="002023A8">
      <w:pPr>
        <w:spacing w:line="480" w:lineRule="auto"/>
        <w:rPr>
          <w:color w:val="000000" w:themeColor="text1"/>
        </w:rPr>
      </w:pPr>
      <w:r>
        <w:rPr>
          <w:color w:val="000000" w:themeColor="text1"/>
        </w:rPr>
        <w:tab/>
        <w:t>First, a</w:t>
      </w:r>
      <w:r w:rsidR="00D50962">
        <w:rPr>
          <w:color w:val="000000" w:themeColor="text1"/>
        </w:rPr>
        <w:t xml:space="preserve">n MLM </w:t>
      </w:r>
      <w:r w:rsidR="00EF3C8E">
        <w:rPr>
          <w:color w:val="000000" w:themeColor="text1"/>
        </w:rPr>
        <w:t>was</w:t>
      </w:r>
      <w:r w:rsidR="00767254">
        <w:rPr>
          <w:color w:val="000000" w:themeColor="text1"/>
        </w:rPr>
        <w:t xml:space="preserve"> used to estimate</w:t>
      </w:r>
      <w:r>
        <w:rPr>
          <w:color w:val="000000" w:themeColor="text1"/>
        </w:rPr>
        <w:t xml:space="preserve"> the association between momentary </w:t>
      </w:r>
      <w:proofErr w:type="spellStart"/>
      <w:r>
        <w:rPr>
          <w:color w:val="000000" w:themeColor="text1"/>
        </w:rPr>
        <w:t>defusion</w:t>
      </w:r>
      <w:proofErr w:type="spellEnd"/>
      <w:r>
        <w:rPr>
          <w:color w:val="000000" w:themeColor="text1"/>
        </w:rPr>
        <w:t xml:space="preserve"> and momentary restructuring (note that the predictor and outcome are arbitrary in this model). Next, a series of six separate models </w:t>
      </w:r>
      <w:r w:rsidR="00767254">
        <w:rPr>
          <w:color w:val="000000" w:themeColor="text1"/>
        </w:rPr>
        <w:t>estimated</w:t>
      </w:r>
      <w:r>
        <w:rPr>
          <w:color w:val="000000" w:themeColor="text1"/>
        </w:rPr>
        <w:t xml:space="preserve"> the associations between momentary </w:t>
      </w:r>
      <w:proofErr w:type="spellStart"/>
      <w:r>
        <w:rPr>
          <w:color w:val="000000" w:themeColor="text1"/>
        </w:rPr>
        <w:t>defusion</w:t>
      </w:r>
      <w:proofErr w:type="spellEnd"/>
      <w:r>
        <w:rPr>
          <w:color w:val="000000" w:themeColor="text1"/>
        </w:rPr>
        <w:t xml:space="preserve"> </w:t>
      </w:r>
      <w:r w:rsidR="001D17CB">
        <w:rPr>
          <w:color w:val="000000" w:themeColor="text1"/>
        </w:rPr>
        <w:t>or</w:t>
      </w:r>
      <w:r>
        <w:rPr>
          <w:color w:val="000000" w:themeColor="text1"/>
        </w:rPr>
        <w:t xml:space="preserve"> momentary restructuring and three </w:t>
      </w:r>
      <w:r w:rsidR="000C4FE5">
        <w:rPr>
          <w:color w:val="000000" w:themeColor="text1"/>
        </w:rPr>
        <w:t xml:space="preserve">other cognitive </w:t>
      </w:r>
      <w:r>
        <w:rPr>
          <w:color w:val="000000" w:themeColor="text1"/>
        </w:rPr>
        <w:t xml:space="preserve">processes (thought suppression, rumination, and distraction). </w:t>
      </w:r>
    </w:p>
    <w:p w14:paraId="7CAA129F" w14:textId="67EB4A50" w:rsidR="00767254" w:rsidRDefault="00767254" w:rsidP="002023A8">
      <w:pPr>
        <w:spacing w:line="480" w:lineRule="auto"/>
        <w:rPr>
          <w:color w:val="000000" w:themeColor="text1"/>
        </w:rPr>
      </w:pPr>
      <w:r>
        <w:rPr>
          <w:color w:val="000000" w:themeColor="text1"/>
        </w:rPr>
        <w:tab/>
        <w:t>Subsequently, a series of</w:t>
      </w:r>
      <w:r w:rsidR="00F60310">
        <w:rPr>
          <w:color w:val="000000" w:themeColor="text1"/>
        </w:rPr>
        <w:t xml:space="preserve"> three</w:t>
      </w:r>
      <w:r>
        <w:rPr>
          <w:color w:val="000000" w:themeColor="text1"/>
        </w:rPr>
        <w:t xml:space="preserve"> MLMs was used to evaluate whether momentary restructuring and </w:t>
      </w:r>
      <w:proofErr w:type="spellStart"/>
      <w:r>
        <w:rPr>
          <w:color w:val="000000" w:themeColor="text1"/>
        </w:rPr>
        <w:t>defusion</w:t>
      </w:r>
      <w:proofErr w:type="spellEnd"/>
      <w:r>
        <w:rPr>
          <w:color w:val="000000" w:themeColor="text1"/>
        </w:rPr>
        <w:t xml:space="preserve"> were associated with momentary NA, PA, and progress toward personal values within the same timepoint. </w:t>
      </w:r>
      <w:r w:rsidR="004925FD">
        <w:rPr>
          <w:color w:val="000000" w:themeColor="text1"/>
        </w:rPr>
        <w:t>Finally, a</w:t>
      </w:r>
      <w:r>
        <w:rPr>
          <w:color w:val="000000" w:themeColor="text1"/>
        </w:rPr>
        <w:t>nother series of</w:t>
      </w:r>
      <w:r w:rsidR="00F60310">
        <w:rPr>
          <w:color w:val="000000" w:themeColor="text1"/>
        </w:rPr>
        <w:t xml:space="preserve"> three</w:t>
      </w:r>
      <w:r>
        <w:rPr>
          <w:color w:val="000000" w:themeColor="text1"/>
        </w:rPr>
        <w:t xml:space="preserve"> MLMs evaluated whether momentary restructuring and </w:t>
      </w:r>
      <w:proofErr w:type="spellStart"/>
      <w:r>
        <w:rPr>
          <w:color w:val="000000" w:themeColor="text1"/>
        </w:rPr>
        <w:t>defusion</w:t>
      </w:r>
      <w:proofErr w:type="spellEnd"/>
      <w:r>
        <w:rPr>
          <w:color w:val="000000" w:themeColor="text1"/>
        </w:rPr>
        <w:t xml:space="preserve"> predicted momentary NA, PA, and progress toward personal values at the next timepoint (</w:t>
      </w:r>
      <w:r w:rsidRPr="00C50E80">
        <w:rPr>
          <w:i/>
          <w:iCs/>
          <w:color w:val="000000" w:themeColor="text1"/>
        </w:rPr>
        <w:t>t+1</w:t>
      </w:r>
      <w:r>
        <w:rPr>
          <w:color w:val="000000" w:themeColor="text1"/>
        </w:rPr>
        <w:t>), controlling for the same outcome at the previous timepoint (</w:t>
      </w:r>
      <w:r w:rsidRPr="00C50E80">
        <w:rPr>
          <w:i/>
          <w:iCs/>
          <w:color w:val="000000" w:themeColor="text1"/>
        </w:rPr>
        <w:t>t</w:t>
      </w:r>
      <w:r>
        <w:rPr>
          <w:color w:val="000000" w:themeColor="text1"/>
        </w:rPr>
        <w:t xml:space="preserve">). </w:t>
      </w:r>
    </w:p>
    <w:p w14:paraId="488EC4BD" w14:textId="680175A4" w:rsidR="00F44A92" w:rsidRDefault="00F44A92" w:rsidP="002023A8">
      <w:pPr>
        <w:spacing w:line="480" w:lineRule="auto"/>
        <w:rPr>
          <w:color w:val="000000" w:themeColor="text1"/>
        </w:rPr>
      </w:pPr>
      <w:r>
        <w:rPr>
          <w:color w:val="000000" w:themeColor="text1"/>
        </w:rPr>
        <w:tab/>
        <w:t>As nearly half of the sample met the cutoff for a potential psychological disorder, exploratory analyses were conducted repeating the analyses above in two subgroups</w:t>
      </w:r>
      <w:r w:rsidR="0064321B">
        <w:rPr>
          <w:color w:val="000000" w:themeColor="text1"/>
        </w:rPr>
        <w:t>, high distress (n = 91) and low distress (n = 103)</w:t>
      </w:r>
      <w:r>
        <w:rPr>
          <w:color w:val="000000" w:themeColor="text1"/>
        </w:rPr>
        <w:t xml:space="preserve"> </w:t>
      </w:r>
      <w:r w:rsidR="0064321B">
        <w:rPr>
          <w:color w:val="000000" w:themeColor="text1"/>
        </w:rPr>
        <w:t>based on the</w:t>
      </w:r>
      <w:r>
        <w:rPr>
          <w:color w:val="000000" w:themeColor="text1"/>
        </w:rPr>
        <w:t xml:space="preserve"> </w:t>
      </w:r>
      <w:r w:rsidR="0064321B">
        <w:rPr>
          <w:color w:val="000000" w:themeColor="text1"/>
        </w:rPr>
        <w:t xml:space="preserve">GHQ-12 </w:t>
      </w:r>
      <w:r>
        <w:rPr>
          <w:color w:val="000000" w:themeColor="text1"/>
        </w:rPr>
        <w:t xml:space="preserve">cutoff </w:t>
      </w:r>
      <w:r w:rsidR="0064321B">
        <w:rPr>
          <w:color w:val="000000" w:themeColor="text1"/>
        </w:rPr>
        <w:t xml:space="preserve">of 3 </w:t>
      </w:r>
      <w:r w:rsidR="0064321B">
        <w:rPr>
          <w:color w:val="000000" w:themeColor="text1"/>
        </w:rPr>
        <w:fldChar w:fldCharType="begin" w:fldLock="1"/>
      </w:r>
      <w:r w:rsidR="00AE6A86">
        <w:rPr>
          <w:color w:val="000000" w:themeColor="text1"/>
        </w:rPr>
        <w:instrText>ADDIN CSL_CITATION {"citationItems":[{"id":"ITEM-1","itemData":{"DOI":"10.1017/S0033291796004242","ISBN":"0033-2917","ISSN":"00332917","PMID":"9122299","abstract":"BACKGROUND: In recent years the 12-item General Health Questionnaire (GHQ-12) has been extensively used as a short screening instrument, producing results that are comparable to longer versions of the GHQ. METHODS: The validity of the GHQ-12 was compared with the GHQ-28 in a World Health organization study of psychological disorders in general health care. Results are presented for 5438 patients interviewed in 15 centres using the primary care version of the Composite International Diagnostic Instrument, or CIDI-PC. RESULTS: Results were uniformly good, with the average area under the ROC curve 88, range from 83 to 95. Minor variations in the criteria used for defining a case made little difference to the validity of the GHQ, and complex scoring methods offered no advantages over simpler ones. The GHQ was translated into 10 other languages for the purposes of this study, and validity coefficients were almost as high as in the original language. There was no tendency for the GHQ to work less efficiently in developing countries. Finally gender, age and educational level are shown to have no significant effect on the validity of the GHQ. CONCLUSIONS: If investigators wish to use a screening instrument as a case detector, the shorter GHQ is remarkably robust and works as well as the longer instrument. The latter should only be preferred if there is an interest in the scaled scores provided in addition to the total score.","author":[{"dropping-particle":"","family":"Goldberg","given":"D. P.","non-dropping-particle":"","parse-names":false,"suffix":""},{"dropping-particle":"","family":"Gater","given":"R.","non-dropping-particle":"","parse-names":false,"suffix":""},{"dropping-particle":"","family":"Sartorius","given":"N.","non-dropping-particle":"","parse-names":false,"suffix":""},{"dropping-particle":"","family":"Ustun","given":"T. B.","non-dropping-particle":"","parse-names":false,"suffix":""},{"dropping-particle":"","family":"Piccinelli","given":"M.","non-dropping-particle":"","parse-names":false,"suffix":""},{"dropping-particle":"","family":"Gureje","given":"O.","non-dropping-particle":"","parse-names":false,"suffix":""},{"dropping-particle":"","family":"Rutter","given":"C.","non-dropping-particle":"","parse-names":false,"suffix":""}],"container-title":"Psychological Medicine","id":"ITEM-1","issue":"1","issued":{"date-parts":[["1997"]]},"page":"191-197","title":"The validity of two versions of the GHQ in the WHO study of mental illness in general health care","type":"article-journal","volume":"27"},"uris":["http://www.mendeley.com/documents/?uuid=14348f4a-b49e-4d05-9ab9-7cb4f6163219"]}],"mendeley":{"formattedCitation":"(Goldberg et al., 1997)","plainTextFormattedCitation":"(Goldberg et al., 1997)","previouslyFormattedCitation":"(Goldberg et al., 1997)"},"properties":{"noteIndex":0},"schema":"https://github.com/citation-style-language/schema/raw/master/csl-citation.json"}</w:instrText>
      </w:r>
      <w:r w:rsidR="0064321B">
        <w:rPr>
          <w:color w:val="000000" w:themeColor="text1"/>
        </w:rPr>
        <w:fldChar w:fldCharType="separate"/>
      </w:r>
      <w:r w:rsidR="0064321B" w:rsidRPr="0064321B">
        <w:rPr>
          <w:noProof/>
          <w:color w:val="000000" w:themeColor="text1"/>
        </w:rPr>
        <w:t>(Goldberg et al., 1997)</w:t>
      </w:r>
      <w:r w:rsidR="0064321B">
        <w:rPr>
          <w:color w:val="000000" w:themeColor="text1"/>
        </w:rPr>
        <w:fldChar w:fldCharType="end"/>
      </w:r>
      <w:r w:rsidR="0064321B">
        <w:rPr>
          <w:color w:val="000000" w:themeColor="text1"/>
        </w:rPr>
        <w:t xml:space="preserve">. </w:t>
      </w:r>
    </w:p>
    <w:p w14:paraId="78368AEB" w14:textId="15C59E62" w:rsidR="00654FC9" w:rsidRDefault="00654FC9" w:rsidP="002023A8">
      <w:pPr>
        <w:spacing w:line="480" w:lineRule="auto"/>
        <w:rPr>
          <w:color w:val="000000" w:themeColor="text1"/>
        </w:rPr>
      </w:pPr>
      <w:r>
        <w:rPr>
          <w:color w:val="000000" w:themeColor="text1"/>
        </w:rPr>
        <w:tab/>
        <w:t xml:space="preserve">Given the potential for highly correlated predictors, the </w:t>
      </w:r>
      <w:r w:rsidR="00E77B97">
        <w:rPr>
          <w:color w:val="000000" w:themeColor="text1"/>
        </w:rPr>
        <w:t>variance inflation factor (VIF)</w:t>
      </w:r>
      <w:r>
        <w:rPr>
          <w:color w:val="000000" w:themeColor="text1"/>
        </w:rPr>
        <w:t xml:space="preserve"> was </w:t>
      </w:r>
      <w:r w:rsidR="00584E30">
        <w:rPr>
          <w:color w:val="000000" w:themeColor="text1"/>
        </w:rPr>
        <w:t>calculated</w:t>
      </w:r>
      <w:r w:rsidR="00925824">
        <w:rPr>
          <w:color w:val="000000" w:themeColor="text1"/>
        </w:rPr>
        <w:t xml:space="preserve"> for models with multiple predictors</w:t>
      </w:r>
      <w:r w:rsidR="00E77B97">
        <w:rPr>
          <w:color w:val="000000" w:themeColor="text1"/>
        </w:rPr>
        <w:t xml:space="preserve"> to check for problematic multicollinearity</w:t>
      </w:r>
      <w:r>
        <w:rPr>
          <w:color w:val="000000" w:themeColor="text1"/>
        </w:rPr>
        <w:t>.</w:t>
      </w:r>
      <w:r w:rsidR="00760CD4">
        <w:rPr>
          <w:color w:val="000000" w:themeColor="text1"/>
        </w:rPr>
        <w:t xml:space="preserve"> </w:t>
      </w:r>
      <w:r w:rsidR="00760CD4">
        <w:rPr>
          <w:color w:val="000000" w:themeColor="text1"/>
        </w:rPr>
        <w:lastRenderedPageBreak/>
        <w:t>Although there is no consensus on a VIF cutoff, VIFs are considered problematic around the range of 5-10 or higher</w:t>
      </w:r>
      <w:r w:rsidR="00C50E80">
        <w:rPr>
          <w:color w:val="000000" w:themeColor="text1"/>
        </w:rPr>
        <w:t xml:space="preserve"> </w:t>
      </w:r>
      <w:r w:rsidR="00C50E80">
        <w:rPr>
          <w:color w:val="000000" w:themeColor="text1"/>
        </w:rPr>
        <w:fldChar w:fldCharType="begin" w:fldLock="1"/>
      </w:r>
      <w:r w:rsidR="007C3456">
        <w:rPr>
          <w:color w:val="000000" w:themeColor="text1"/>
        </w:rPr>
        <w:instrText>ADDIN CSL_CITATION {"citationItems":[{"id":"ITEM-1","itemData":{"author":[{"dropping-particle":"","family":"Stine","given":"Robert A","non-dropping-particle":"","parse-names":false,"suffix":""}],"container-title":"The American Statistician","id":"ITEM-1","issue":"1","issued":{"date-parts":[["1995"]]},"page":"53-56","title":"Graphical interpretation of variance inflation factors","type":"article-journal","volume":"49"},"uris":["http://www.mendeley.com/documents/?uuid=f2fee9b0-1ae5-4ae9-8e4a-6bfedf06e48d"]}],"mendeley":{"formattedCitation":"(Stine, 1995)","plainTextFormattedCitation":"(Stine, 1995)","previouslyFormattedCitation":"(Stine, 1995)"},"properties":{"noteIndex":0},"schema":"https://github.com/citation-style-language/schema/raw/master/csl-citation.json"}</w:instrText>
      </w:r>
      <w:r w:rsidR="00C50E80">
        <w:rPr>
          <w:color w:val="000000" w:themeColor="text1"/>
        </w:rPr>
        <w:fldChar w:fldCharType="separate"/>
      </w:r>
      <w:r w:rsidR="00C50E80" w:rsidRPr="00C50E80">
        <w:rPr>
          <w:noProof/>
          <w:color w:val="000000" w:themeColor="text1"/>
        </w:rPr>
        <w:t>(Stine, 1995)</w:t>
      </w:r>
      <w:r w:rsidR="00C50E80">
        <w:rPr>
          <w:color w:val="000000" w:themeColor="text1"/>
        </w:rPr>
        <w:fldChar w:fldCharType="end"/>
      </w:r>
      <w:r w:rsidR="00C50E80">
        <w:rPr>
          <w:color w:val="000000" w:themeColor="text1"/>
        </w:rPr>
        <w:t>.</w:t>
      </w:r>
    </w:p>
    <w:p w14:paraId="61F933B1" w14:textId="4C7B82A9" w:rsidR="00303D6D" w:rsidRPr="001F64DB" w:rsidRDefault="007E4326" w:rsidP="000972A0">
      <w:pPr>
        <w:spacing w:line="480" w:lineRule="auto"/>
        <w:jc w:val="center"/>
        <w:rPr>
          <w:b/>
          <w:bCs/>
          <w:color w:val="000000" w:themeColor="text1"/>
        </w:rPr>
      </w:pPr>
      <w:r>
        <w:rPr>
          <w:b/>
          <w:bCs/>
          <w:color w:val="000000" w:themeColor="text1"/>
        </w:rPr>
        <w:t>Results</w:t>
      </w:r>
    </w:p>
    <w:p w14:paraId="046E2F09" w14:textId="6F055427" w:rsidR="00582B38" w:rsidRDefault="00663005">
      <w:pPr>
        <w:spacing w:line="480" w:lineRule="auto"/>
        <w:ind w:firstLine="720"/>
      </w:pPr>
      <w:r>
        <w:t xml:space="preserve">A small number of participants (n = 6, 3.09%) never downloaded the EMA app. In total, participants responded to 2868 of 5003 EMA sessions (57.33%, an average of 14.78 responses per participant). Two participants withdrew from the study, both five days after downloading the app; however, their available data was retained for analyses. </w:t>
      </w:r>
      <w:r w:rsidR="00582B38">
        <w:t>All outcome variables were inspected for skewness and kurtosis and adequately approximated normality.</w:t>
      </w:r>
    </w:p>
    <w:p w14:paraId="3A7A5062" w14:textId="3BC19DC2" w:rsidR="0022213A" w:rsidRPr="000972A0" w:rsidRDefault="0022213A">
      <w:pPr>
        <w:spacing w:line="480" w:lineRule="auto"/>
        <w:ind w:firstLine="720"/>
      </w:pPr>
      <w:r>
        <w:t>In missingness analyses,</w:t>
      </w:r>
      <w:r w:rsidR="00D85EC9">
        <w:t xml:space="preserve"> demographics</w:t>
      </w:r>
      <w:r>
        <w:t xml:space="preserve"> </w:t>
      </w:r>
      <w:r w:rsidR="00D85EC9">
        <w:t xml:space="preserve">(age, gender, race, ethnicity) and baseline scores on key measures (GHQ, CFQ, and TCQ-R) were not significantly predictive of whether EMA surveys were completed or missing (all </w:t>
      </w:r>
      <w:proofErr w:type="spellStart"/>
      <w:r w:rsidR="00D85EC9">
        <w:rPr>
          <w:i/>
          <w:iCs/>
        </w:rPr>
        <w:t>p</w:t>
      </w:r>
      <w:r w:rsidR="00D85EC9">
        <w:t>s</w:t>
      </w:r>
      <w:proofErr w:type="spellEnd"/>
      <w:r w:rsidR="00D85EC9">
        <w:t xml:space="preserve"> &gt; .05).</w:t>
      </w:r>
      <w:r w:rsidR="002A047B">
        <w:t xml:space="preserve"> </w:t>
      </w:r>
      <w:r w:rsidR="00D50962">
        <w:t xml:space="preserve">These results </w:t>
      </w:r>
      <w:r w:rsidR="002A047B">
        <w:t>indicated no need to add covariates as predictors of missingness.</w:t>
      </w:r>
    </w:p>
    <w:p w14:paraId="5F3E7BD1" w14:textId="4B0CDA5E" w:rsidR="00303D6D" w:rsidRDefault="00303D6D">
      <w:pPr>
        <w:spacing w:line="480" w:lineRule="auto"/>
        <w:ind w:firstLine="720"/>
      </w:pPr>
      <w:r>
        <w:t xml:space="preserve">The </w:t>
      </w:r>
      <w:proofErr w:type="spellStart"/>
      <w:r>
        <w:t>defusion</w:t>
      </w:r>
      <w:proofErr w:type="spellEnd"/>
      <w:r>
        <w:t xml:space="preserve"> and restructuring EMA items were assessed for construct validity. First, </w:t>
      </w:r>
      <w:r w:rsidR="00837486">
        <w:t xml:space="preserve">two </w:t>
      </w:r>
      <w:r>
        <w:t xml:space="preserve">MLMs tested whether baseline scores on the CFQ and TCQ-R were associated with momentary </w:t>
      </w:r>
      <w:proofErr w:type="spellStart"/>
      <w:r>
        <w:t>defusion</w:t>
      </w:r>
      <w:proofErr w:type="spellEnd"/>
      <w:r>
        <w:t xml:space="preserve"> and restructuring. The momentary </w:t>
      </w:r>
      <w:proofErr w:type="spellStart"/>
      <w:r>
        <w:t>defusion</w:t>
      </w:r>
      <w:proofErr w:type="spellEnd"/>
      <w:r>
        <w:t xml:space="preserve"> score was significantly predicted by the TCQ-R (</w:t>
      </w:r>
      <w:r w:rsidR="00837486" w:rsidRPr="00CC0CA6">
        <w:rPr>
          <w:rFonts w:ascii="Symbol" w:hAnsi="Symbol"/>
          <w:i/>
          <w:iCs/>
        </w:rPr>
        <w:t>b</w:t>
      </w:r>
      <w:r w:rsidR="00837486">
        <w:rPr>
          <w:rFonts w:ascii="Symbol" w:hAnsi="Symbol"/>
        </w:rPr>
        <w:t xml:space="preserve"> = 0.17, </w:t>
      </w:r>
      <w:r w:rsidR="00837486" w:rsidRPr="00CC0CA6">
        <w:rPr>
          <w:i/>
          <w:iCs/>
        </w:rPr>
        <w:t>p</w:t>
      </w:r>
      <w:r w:rsidR="00837486" w:rsidRPr="00CC0CA6">
        <w:t xml:space="preserve"> </w:t>
      </w:r>
      <w:r w:rsidR="00837486">
        <w:rPr>
          <w:rFonts w:ascii="Symbol" w:hAnsi="Symbol"/>
        </w:rPr>
        <w:t>&lt; .001</w:t>
      </w:r>
      <w:r>
        <w:t>), but not the CFQ (</w:t>
      </w:r>
      <w:r w:rsidR="00E63ED1" w:rsidRPr="00255E60">
        <w:rPr>
          <w:rFonts w:ascii="Symbol" w:hAnsi="Symbol"/>
          <w:i/>
          <w:iCs/>
        </w:rPr>
        <w:t>b</w:t>
      </w:r>
      <w:r w:rsidR="00E63ED1">
        <w:rPr>
          <w:rFonts w:ascii="Symbol" w:hAnsi="Symbol"/>
        </w:rPr>
        <w:t xml:space="preserve"> = -0.0</w:t>
      </w:r>
      <w:r w:rsidR="009C0CE9">
        <w:rPr>
          <w:rFonts w:ascii="Symbol" w:hAnsi="Symbol"/>
        </w:rPr>
        <w:t>8</w:t>
      </w:r>
      <w:r w:rsidR="00E63ED1">
        <w:rPr>
          <w:rFonts w:ascii="Symbol" w:hAnsi="Symbol"/>
        </w:rPr>
        <w:t xml:space="preserve">, </w:t>
      </w:r>
      <w:r w:rsidR="00E63ED1" w:rsidRPr="00255E60">
        <w:rPr>
          <w:i/>
          <w:iCs/>
        </w:rPr>
        <w:t>p</w:t>
      </w:r>
      <w:r w:rsidR="00E63ED1" w:rsidRPr="00255E60">
        <w:t xml:space="preserve"> </w:t>
      </w:r>
      <w:r w:rsidR="00E63ED1">
        <w:t>= .</w:t>
      </w:r>
      <w:r w:rsidR="009C0CE9">
        <w:t>06</w:t>
      </w:r>
      <w:r>
        <w:t>). The momentary restructuring score was also significantly predicted by the TCQ-R (</w:t>
      </w:r>
      <w:r w:rsidR="00842E8C" w:rsidRPr="00255E60">
        <w:rPr>
          <w:rFonts w:ascii="Symbol" w:hAnsi="Symbol"/>
          <w:i/>
          <w:iCs/>
        </w:rPr>
        <w:t>b</w:t>
      </w:r>
      <w:r w:rsidR="00842E8C">
        <w:rPr>
          <w:rFonts w:ascii="Symbol" w:hAnsi="Symbol"/>
        </w:rPr>
        <w:t xml:space="preserve"> = 0.2</w:t>
      </w:r>
      <w:r w:rsidR="007075A0">
        <w:rPr>
          <w:rFonts w:ascii="Symbol" w:hAnsi="Symbol"/>
        </w:rPr>
        <w:t>5</w:t>
      </w:r>
      <w:r w:rsidR="00842E8C">
        <w:rPr>
          <w:rFonts w:ascii="Symbol" w:hAnsi="Symbol"/>
        </w:rPr>
        <w:t xml:space="preserve">, </w:t>
      </w:r>
      <w:r w:rsidR="00842E8C" w:rsidRPr="00255E60">
        <w:rPr>
          <w:i/>
          <w:iCs/>
        </w:rPr>
        <w:t>p</w:t>
      </w:r>
      <w:r w:rsidR="00842E8C" w:rsidRPr="00255E60">
        <w:t xml:space="preserve"> </w:t>
      </w:r>
      <w:r w:rsidR="00842E8C">
        <w:rPr>
          <w:rFonts w:ascii="Symbol" w:hAnsi="Symbol"/>
        </w:rPr>
        <w:t>&lt; .001</w:t>
      </w:r>
      <w:r>
        <w:t>), but not the CFQ (</w:t>
      </w:r>
      <w:r w:rsidR="00842E8C" w:rsidRPr="00255E60">
        <w:rPr>
          <w:rFonts w:ascii="Symbol" w:hAnsi="Symbol"/>
          <w:i/>
          <w:iCs/>
        </w:rPr>
        <w:t>b</w:t>
      </w:r>
      <w:r w:rsidR="00842E8C">
        <w:rPr>
          <w:rFonts w:ascii="Symbol" w:hAnsi="Symbol"/>
        </w:rPr>
        <w:t xml:space="preserve"> = </w:t>
      </w:r>
      <w:r w:rsidR="007075A0">
        <w:rPr>
          <w:rFonts w:ascii="Symbol" w:hAnsi="Symbol"/>
        </w:rPr>
        <w:t>-0.03</w:t>
      </w:r>
      <w:r w:rsidR="00842E8C">
        <w:rPr>
          <w:rFonts w:ascii="Symbol" w:hAnsi="Symbol"/>
        </w:rPr>
        <w:t xml:space="preserve">, </w:t>
      </w:r>
      <w:r w:rsidR="00842E8C" w:rsidRPr="00255E60">
        <w:rPr>
          <w:i/>
          <w:iCs/>
        </w:rPr>
        <w:t>p</w:t>
      </w:r>
      <w:r w:rsidR="00842E8C" w:rsidRPr="00255E60">
        <w:t xml:space="preserve"> </w:t>
      </w:r>
      <w:r w:rsidR="00842E8C">
        <w:rPr>
          <w:rFonts w:ascii="Symbol" w:hAnsi="Symbol"/>
        </w:rPr>
        <w:t>= .</w:t>
      </w:r>
      <w:r w:rsidR="007075A0">
        <w:rPr>
          <w:rFonts w:ascii="Symbol" w:hAnsi="Symbol"/>
        </w:rPr>
        <w:t>48</w:t>
      </w:r>
      <w:r>
        <w:t>).</w:t>
      </w:r>
      <w:r w:rsidR="00E81660">
        <w:t xml:space="preserve"> Given these results, the distinguishability of the EMA scales was further explored with an exploratory factor analysis using principal axis factoring</w:t>
      </w:r>
      <w:r w:rsidR="009C2C31">
        <w:t xml:space="preserve"> and </w:t>
      </w:r>
      <w:proofErr w:type="spellStart"/>
      <w:r w:rsidR="009C2C31">
        <w:t>oblimin</w:t>
      </w:r>
      <w:proofErr w:type="spellEnd"/>
      <w:r w:rsidR="009C2C31">
        <w:t xml:space="preserve"> rotation of factors</w:t>
      </w:r>
      <w:r w:rsidR="00E81660">
        <w:t xml:space="preserve">. This analysis was conducted on mean EMA scale scores across the timepoints for each individual. Parallel analysis indicated a two-factor solution. Results of the EFA </w:t>
      </w:r>
      <w:r w:rsidR="00195A65">
        <w:t xml:space="preserve">specifying </w:t>
      </w:r>
      <w:r w:rsidR="00E81660">
        <w:t xml:space="preserve">two factors indicated one factor that </w:t>
      </w:r>
      <w:proofErr w:type="spellStart"/>
      <w:r w:rsidR="00E81660">
        <w:t>defusion</w:t>
      </w:r>
      <w:proofErr w:type="spellEnd"/>
      <w:r w:rsidR="00E81660">
        <w:t xml:space="preserve"> items loaded onto (loadings of 0.87 and 1.00</w:t>
      </w:r>
      <w:proofErr w:type="gramStart"/>
      <w:r w:rsidR="00E81660">
        <w:t>), but</w:t>
      </w:r>
      <w:proofErr w:type="gramEnd"/>
      <w:r w:rsidR="00E81660">
        <w:t xml:space="preserve"> </w:t>
      </w:r>
      <w:r w:rsidR="00E81660">
        <w:lastRenderedPageBreak/>
        <w:t xml:space="preserve">restructuring items did not (0.06 and -0.03), and another factor that restructuring items loaded onto (0.79 and 0.87) but </w:t>
      </w:r>
      <w:proofErr w:type="spellStart"/>
      <w:r w:rsidR="00E81660">
        <w:t>defusion</w:t>
      </w:r>
      <w:proofErr w:type="spellEnd"/>
      <w:r w:rsidR="00E81660">
        <w:t xml:space="preserve"> items did not (0.</w:t>
      </w:r>
      <w:r w:rsidR="00953402">
        <w:t>06</w:t>
      </w:r>
      <w:r w:rsidR="00E81660">
        <w:t xml:space="preserve"> and </w:t>
      </w:r>
      <w:r w:rsidR="00953402">
        <w:t>-</w:t>
      </w:r>
      <w:r w:rsidR="00E81660">
        <w:t>0.</w:t>
      </w:r>
      <w:r w:rsidR="00953402">
        <w:t>03</w:t>
      </w:r>
      <w:r w:rsidR="00E81660">
        <w:t>).</w:t>
      </w:r>
    </w:p>
    <w:p w14:paraId="5E88176C" w14:textId="31B1485F" w:rsidR="00B04CAD" w:rsidRDefault="00E000AE" w:rsidP="004768A9">
      <w:pPr>
        <w:spacing w:line="480" w:lineRule="auto"/>
        <w:ind w:firstLine="720"/>
      </w:pPr>
      <w:r>
        <w:t xml:space="preserve">All strategies had a possible range of 1 to 5. </w:t>
      </w:r>
      <w:r w:rsidR="00B04CAD">
        <w:t xml:space="preserve">The average participant score for cognitive restructuring was </w:t>
      </w:r>
      <w:r>
        <w:t>2.85</w:t>
      </w:r>
      <w:r w:rsidR="00B04CAD">
        <w:t xml:space="preserve"> (SD = </w:t>
      </w:r>
      <w:r>
        <w:t>0.66</w:t>
      </w:r>
      <w:r w:rsidR="00B04CAD">
        <w:t>)</w:t>
      </w:r>
      <w:r>
        <w:t xml:space="preserve">. </w:t>
      </w:r>
      <w:r w:rsidR="00B04CAD">
        <w:t>This indicates that on average, participants rated their recent use of cognitive restructuring approximately halfway between “not at all” and “very much,” suggesting moderate use of this strategy</w:t>
      </w:r>
      <w:r w:rsidR="001807ED">
        <w:t xml:space="preserve"> (rather than </w:t>
      </w:r>
      <w:r w:rsidR="000568B6">
        <w:t>very infrequent</w:t>
      </w:r>
      <w:r w:rsidR="001807ED">
        <w:t xml:space="preserve"> or </w:t>
      </w:r>
      <w:r w:rsidR="00415620">
        <w:t xml:space="preserve">very </w:t>
      </w:r>
      <w:r w:rsidR="001807ED">
        <w:t>frequent use)</w:t>
      </w:r>
      <w:r w:rsidR="00B04CAD">
        <w:t xml:space="preserve">. The average participant score for cognitive </w:t>
      </w:r>
      <w:proofErr w:type="spellStart"/>
      <w:r w:rsidR="00B04CAD">
        <w:t>defusion</w:t>
      </w:r>
      <w:proofErr w:type="spellEnd"/>
      <w:r w:rsidR="00B04CAD">
        <w:t xml:space="preserve"> was </w:t>
      </w:r>
      <w:r>
        <w:t>2.77</w:t>
      </w:r>
      <w:r w:rsidR="00B04CAD">
        <w:t xml:space="preserve"> (SD = </w:t>
      </w:r>
      <w:r>
        <w:t>0.61</w:t>
      </w:r>
      <w:r w:rsidR="00B04CAD">
        <w:t>)</w:t>
      </w:r>
      <w:r>
        <w:t xml:space="preserve">. </w:t>
      </w:r>
      <w:r w:rsidR="00B04CAD">
        <w:t xml:space="preserve">Similarly, this is approximately halfway through the possible range, suggesting moderate use of cognitive </w:t>
      </w:r>
      <w:proofErr w:type="spellStart"/>
      <w:r w:rsidR="00B04CAD">
        <w:t>defusion</w:t>
      </w:r>
      <w:proofErr w:type="spellEnd"/>
      <w:r w:rsidR="002F24C1">
        <w:t xml:space="preserve"> on average</w:t>
      </w:r>
      <w:r w:rsidR="00B04CAD">
        <w:t xml:space="preserve">. </w:t>
      </w:r>
      <w:r>
        <w:t>A</w:t>
      </w:r>
      <w:r w:rsidR="00B04CAD">
        <w:t xml:space="preserve">verage </w:t>
      </w:r>
      <w:r w:rsidR="00B04CAD">
        <w:rPr>
          <w:color w:val="000000" w:themeColor="text1"/>
        </w:rPr>
        <w:t>scores were 2.7</w:t>
      </w:r>
      <w:r w:rsidR="006D7D36">
        <w:rPr>
          <w:color w:val="000000" w:themeColor="text1"/>
        </w:rPr>
        <w:t>8</w:t>
      </w:r>
      <w:r w:rsidR="00B04CAD">
        <w:rPr>
          <w:color w:val="000000" w:themeColor="text1"/>
        </w:rPr>
        <w:t xml:space="preserve"> for suppression (SD = 0.</w:t>
      </w:r>
      <w:r w:rsidR="006D7D36">
        <w:rPr>
          <w:color w:val="000000" w:themeColor="text1"/>
        </w:rPr>
        <w:t>70</w:t>
      </w:r>
      <w:r w:rsidR="00B04CAD">
        <w:rPr>
          <w:color w:val="000000" w:themeColor="text1"/>
        </w:rPr>
        <w:t>), 2.93 for distraction (SD = 0.71), and 2.</w:t>
      </w:r>
      <w:r w:rsidR="006D7D36">
        <w:rPr>
          <w:color w:val="000000" w:themeColor="text1"/>
        </w:rPr>
        <w:t>61</w:t>
      </w:r>
      <w:r w:rsidR="00B04CAD">
        <w:rPr>
          <w:color w:val="000000" w:themeColor="text1"/>
        </w:rPr>
        <w:t xml:space="preserve"> for rumination (SD = 0.</w:t>
      </w:r>
      <w:r w:rsidR="006D7D36">
        <w:rPr>
          <w:color w:val="000000" w:themeColor="text1"/>
        </w:rPr>
        <w:t>72</w:t>
      </w:r>
      <w:r w:rsidR="00B04CAD">
        <w:rPr>
          <w:color w:val="000000" w:themeColor="text1"/>
        </w:rPr>
        <w:t xml:space="preserve">). These scores similarly suggest moderate use of </w:t>
      </w:r>
      <w:r w:rsidR="000C4FE5">
        <w:rPr>
          <w:color w:val="000000" w:themeColor="text1"/>
        </w:rPr>
        <w:t xml:space="preserve">potentially </w:t>
      </w:r>
      <w:r w:rsidR="00B04CAD">
        <w:rPr>
          <w:color w:val="000000" w:themeColor="text1"/>
        </w:rPr>
        <w:t xml:space="preserve">maladaptive strategies (with slightly lower use of rumination).  </w:t>
      </w:r>
    </w:p>
    <w:p w14:paraId="0FDF544C" w14:textId="36284145" w:rsidR="00DA0A5A" w:rsidRDefault="008D263A" w:rsidP="004768A9">
      <w:pPr>
        <w:spacing w:line="480" w:lineRule="auto"/>
        <w:ind w:firstLine="720"/>
      </w:pPr>
      <w:r>
        <w:t>In a</w:t>
      </w:r>
      <w:r w:rsidR="003023C5">
        <w:t>n</w:t>
      </w:r>
      <w:r>
        <w:t xml:space="preserve"> </w:t>
      </w:r>
      <w:r w:rsidR="003023C5">
        <w:t>MLM</w:t>
      </w:r>
      <w:r>
        <w:t xml:space="preserve">, momentary restructuring was found to be significantly associated with momentary </w:t>
      </w:r>
      <w:proofErr w:type="spellStart"/>
      <w:r>
        <w:t>defusion</w:t>
      </w:r>
      <w:proofErr w:type="spellEnd"/>
      <w:r w:rsidRPr="00925824">
        <w:t xml:space="preserve"> </w:t>
      </w:r>
      <w:r w:rsidR="008B3612" w:rsidRPr="00925824">
        <w:t>(</w:t>
      </w:r>
      <w:r w:rsidR="008B3612" w:rsidRPr="00925824">
        <w:rPr>
          <w:rFonts w:ascii="Symbol" w:hAnsi="Symbol"/>
        </w:rPr>
        <w:t>b</w:t>
      </w:r>
      <w:r w:rsidR="008B3612" w:rsidRPr="00925824">
        <w:t xml:space="preserve"> = 0</w:t>
      </w:r>
      <w:r w:rsidR="00AA2E0B">
        <w:t>.</w:t>
      </w:r>
      <w:r w:rsidR="00AA2E0B" w:rsidRPr="000972A0">
        <w:t>5</w:t>
      </w:r>
      <w:r w:rsidR="00DD2F49">
        <w:t>4</w:t>
      </w:r>
      <w:r w:rsidR="008B3612" w:rsidRPr="00925824">
        <w:t xml:space="preserve">, </w:t>
      </w:r>
      <w:r w:rsidR="008B3612" w:rsidRPr="00F17902">
        <w:rPr>
          <w:i/>
          <w:iCs/>
        </w:rPr>
        <w:t>p</w:t>
      </w:r>
      <w:r w:rsidR="008B3612" w:rsidRPr="00925824">
        <w:t xml:space="preserve"> &lt; .001), </w:t>
      </w:r>
      <w:r w:rsidR="008B3612">
        <w:t xml:space="preserve">such that a </w:t>
      </w:r>
      <w:r w:rsidR="002F24C1">
        <w:t>1</w:t>
      </w:r>
      <w:r w:rsidR="008B3612">
        <w:t>-SD increase in restructuring would be associated with a 0.5</w:t>
      </w:r>
      <w:r w:rsidR="00DD2F49">
        <w:t>4</w:t>
      </w:r>
      <w:r w:rsidR="008E01F3">
        <w:t>-</w:t>
      </w:r>
      <w:r w:rsidR="008B3612">
        <w:t xml:space="preserve">SD increase in </w:t>
      </w:r>
      <w:proofErr w:type="spellStart"/>
      <w:r w:rsidR="008B3612">
        <w:t>defusion</w:t>
      </w:r>
      <w:proofErr w:type="spellEnd"/>
      <w:r w:rsidR="008B3612">
        <w:t xml:space="preserve"> </w:t>
      </w:r>
      <w:r w:rsidR="00652C89">
        <w:t>across the same time period</w:t>
      </w:r>
      <w:r w:rsidR="00312C41">
        <w:t xml:space="preserve"> (see Table 2)</w:t>
      </w:r>
      <w:r w:rsidR="008B3612">
        <w:t>.</w:t>
      </w:r>
      <w:r w:rsidR="00DA0A5A">
        <w:t xml:space="preserve"> </w:t>
      </w:r>
      <w:r w:rsidR="00652C89">
        <w:t>R</w:t>
      </w:r>
      <w:r w:rsidR="0030466E">
        <w:t xml:space="preserve">esults were </w:t>
      </w:r>
      <w:r w:rsidR="00652C89">
        <w:t xml:space="preserve">very similar </w:t>
      </w:r>
      <w:r w:rsidR="0030466E">
        <w:t>across the full sample and the two subgroups</w:t>
      </w:r>
      <w:r w:rsidR="002D5BD7">
        <w:t xml:space="preserve"> (high and low distress)</w:t>
      </w:r>
      <w:r w:rsidR="0030466E">
        <w:t>.</w:t>
      </w:r>
    </w:p>
    <w:p w14:paraId="5AAFEF51" w14:textId="3E14936B" w:rsidR="00231C7F" w:rsidRDefault="00231C7F" w:rsidP="004768A9">
      <w:pPr>
        <w:spacing w:line="480" w:lineRule="auto"/>
        <w:ind w:firstLine="720"/>
      </w:pPr>
      <w:r>
        <w:t xml:space="preserve">Momentary </w:t>
      </w:r>
      <w:proofErr w:type="spellStart"/>
      <w:r>
        <w:t>defusion</w:t>
      </w:r>
      <w:proofErr w:type="spellEnd"/>
      <w:r>
        <w:t xml:space="preserve"> was found to be significantly negatively associated with </w:t>
      </w:r>
      <w:r w:rsidR="00925824">
        <w:t xml:space="preserve">momentary </w:t>
      </w:r>
      <w:r>
        <w:t>rumination</w:t>
      </w:r>
      <w:r w:rsidR="00925824" w:rsidRPr="00925824">
        <w:t xml:space="preserve"> (</w:t>
      </w:r>
      <w:r w:rsidR="00925824" w:rsidRPr="00925824">
        <w:rPr>
          <w:rFonts w:ascii="Symbol" w:hAnsi="Symbol"/>
        </w:rPr>
        <w:t>b</w:t>
      </w:r>
      <w:r w:rsidR="00925824" w:rsidRPr="00925824">
        <w:t xml:space="preserve"> = </w:t>
      </w:r>
      <w:r w:rsidR="00925824">
        <w:t>-0.0</w:t>
      </w:r>
      <w:r w:rsidR="000F1BDC">
        <w:t>5</w:t>
      </w:r>
      <w:r w:rsidR="00925824">
        <w:t>,</w:t>
      </w:r>
      <w:r w:rsidR="00925824" w:rsidRPr="00925824">
        <w:t xml:space="preserve"> </w:t>
      </w:r>
      <w:r w:rsidR="00925824" w:rsidRPr="00F17902">
        <w:rPr>
          <w:i/>
          <w:iCs/>
        </w:rPr>
        <w:t>p</w:t>
      </w:r>
      <w:r w:rsidR="00925824" w:rsidRPr="00925824">
        <w:t xml:space="preserve"> </w:t>
      </w:r>
      <w:r w:rsidR="000F1BDC">
        <w:t>=</w:t>
      </w:r>
      <w:r w:rsidR="00925824" w:rsidRPr="00925824">
        <w:t xml:space="preserve"> .0</w:t>
      </w:r>
      <w:r w:rsidR="00DD2F49">
        <w:t>1</w:t>
      </w:r>
      <w:r w:rsidR="00925824" w:rsidRPr="00925824">
        <w:t>),</w:t>
      </w:r>
      <w:r w:rsidR="00925824">
        <w:t xml:space="preserve"> such that a 1-SD increase in </w:t>
      </w:r>
      <w:proofErr w:type="spellStart"/>
      <w:r w:rsidR="00925824">
        <w:t>defusion</w:t>
      </w:r>
      <w:proofErr w:type="spellEnd"/>
      <w:r w:rsidR="00925824">
        <w:t xml:space="preserve"> was associated with a 0.0</w:t>
      </w:r>
      <w:r w:rsidR="000F1BDC">
        <w:t>5</w:t>
      </w:r>
      <w:r w:rsidR="00925824">
        <w:t xml:space="preserve">-SD decrease in rumination. Momentary </w:t>
      </w:r>
      <w:proofErr w:type="spellStart"/>
      <w:r w:rsidR="00925824">
        <w:t>defusion</w:t>
      </w:r>
      <w:proofErr w:type="spellEnd"/>
      <w:r w:rsidR="00925824">
        <w:t xml:space="preserve"> was significantly positively associated with momentary thought suppression</w:t>
      </w:r>
      <w:r w:rsidR="00925824" w:rsidRPr="00925824">
        <w:t xml:space="preserve"> (</w:t>
      </w:r>
      <w:r w:rsidR="00925824" w:rsidRPr="00925824">
        <w:rPr>
          <w:rFonts w:ascii="Symbol" w:hAnsi="Symbol"/>
        </w:rPr>
        <w:t>b</w:t>
      </w:r>
      <w:r w:rsidR="00925824" w:rsidRPr="00925824">
        <w:t xml:space="preserve"> = 0.</w:t>
      </w:r>
      <w:r w:rsidR="00925824">
        <w:t>2</w:t>
      </w:r>
      <w:r w:rsidR="00DD2F49">
        <w:t>1</w:t>
      </w:r>
      <w:r w:rsidR="00925824" w:rsidRPr="00925824">
        <w:t xml:space="preserve">, </w:t>
      </w:r>
      <w:r w:rsidR="00925824" w:rsidRPr="00F17902">
        <w:rPr>
          <w:i/>
          <w:iCs/>
        </w:rPr>
        <w:t>p</w:t>
      </w:r>
      <w:r w:rsidR="00925824" w:rsidRPr="00925824">
        <w:t xml:space="preserve"> &lt; .001)</w:t>
      </w:r>
      <w:r w:rsidR="00925824">
        <w:t xml:space="preserve"> and distraction </w:t>
      </w:r>
      <w:r w:rsidR="00925824" w:rsidRPr="00925824">
        <w:t>(</w:t>
      </w:r>
      <w:r w:rsidR="00925824" w:rsidRPr="00925824">
        <w:rPr>
          <w:rFonts w:ascii="Symbol" w:hAnsi="Symbol"/>
        </w:rPr>
        <w:t>b</w:t>
      </w:r>
      <w:r w:rsidR="00925824" w:rsidRPr="00925824">
        <w:t xml:space="preserve"> = 0.</w:t>
      </w:r>
      <w:r w:rsidR="00925824">
        <w:t>2</w:t>
      </w:r>
      <w:r w:rsidR="00DD2F49">
        <w:t>3</w:t>
      </w:r>
      <w:r w:rsidR="00925824" w:rsidRPr="00925824">
        <w:t xml:space="preserve">, </w:t>
      </w:r>
      <w:r w:rsidR="00925824" w:rsidRPr="00F17902">
        <w:rPr>
          <w:i/>
          <w:iCs/>
        </w:rPr>
        <w:t xml:space="preserve">p </w:t>
      </w:r>
      <w:r w:rsidR="00925824" w:rsidRPr="00925824">
        <w:t>&lt; .001),</w:t>
      </w:r>
      <w:r w:rsidR="00925824">
        <w:t xml:space="preserve"> such that a 1-SD increase in </w:t>
      </w:r>
      <w:proofErr w:type="spellStart"/>
      <w:r w:rsidR="00925824">
        <w:t>defusion</w:t>
      </w:r>
      <w:proofErr w:type="spellEnd"/>
      <w:r w:rsidR="00925824">
        <w:t xml:space="preserve"> was associated with a 0.2</w:t>
      </w:r>
      <w:r w:rsidR="00DD2F49">
        <w:t>1</w:t>
      </w:r>
      <w:r w:rsidR="00925824">
        <w:t>-SD increase in thought suppression and a 0.2</w:t>
      </w:r>
      <w:r w:rsidR="00DD2F49">
        <w:t>3</w:t>
      </w:r>
      <w:r w:rsidR="00925824">
        <w:t>-SD increase in distraction.</w:t>
      </w:r>
      <w:r w:rsidR="00312C41">
        <w:t xml:space="preserve"> </w:t>
      </w:r>
      <w:r w:rsidR="0030466E">
        <w:t xml:space="preserve">Results (in terms of direction and significance) were similar for subgroups, with the exception that </w:t>
      </w:r>
      <w:proofErr w:type="spellStart"/>
      <w:r w:rsidR="0030466E">
        <w:t>defusion</w:t>
      </w:r>
      <w:proofErr w:type="spellEnd"/>
      <w:r w:rsidR="0030466E">
        <w:t xml:space="preserve"> was not a significant predictor of </w:t>
      </w:r>
      <w:r w:rsidR="0030466E">
        <w:lastRenderedPageBreak/>
        <w:t xml:space="preserve">rumination in the low-distress group </w:t>
      </w:r>
      <w:r w:rsidR="0030466E" w:rsidRPr="00925824">
        <w:t>(</w:t>
      </w:r>
      <w:r w:rsidR="0030466E" w:rsidRPr="00925824">
        <w:rPr>
          <w:rFonts w:ascii="Symbol" w:hAnsi="Symbol"/>
        </w:rPr>
        <w:t>b</w:t>
      </w:r>
      <w:r w:rsidR="0030466E" w:rsidRPr="00925824">
        <w:t xml:space="preserve"> = </w:t>
      </w:r>
      <w:r w:rsidR="0030466E">
        <w:t>-</w:t>
      </w:r>
      <w:r w:rsidR="0030466E" w:rsidRPr="00925824">
        <w:t>0.</w:t>
      </w:r>
      <w:r w:rsidR="0030466E">
        <w:t>03</w:t>
      </w:r>
      <w:r w:rsidR="0030466E" w:rsidRPr="00925824">
        <w:t xml:space="preserve">, </w:t>
      </w:r>
      <w:r w:rsidR="0030466E" w:rsidRPr="00F17902">
        <w:rPr>
          <w:i/>
          <w:iCs/>
        </w:rPr>
        <w:t xml:space="preserve">p </w:t>
      </w:r>
      <w:r w:rsidR="0030466E">
        <w:t>&gt; .05</w:t>
      </w:r>
      <w:r w:rsidR="0030466E" w:rsidRPr="00925824">
        <w:t>),</w:t>
      </w:r>
      <w:r w:rsidR="0030466E">
        <w:t xml:space="preserve"> although the regression coefficients were relatively similar across groups. </w:t>
      </w:r>
      <w:r w:rsidR="00312C41">
        <w:t>Table 2 summarizes these results.</w:t>
      </w:r>
    </w:p>
    <w:p w14:paraId="4724F7AC" w14:textId="2C6FFC96" w:rsidR="00DF2758" w:rsidRDefault="00925824" w:rsidP="004768A9">
      <w:pPr>
        <w:spacing w:line="480" w:lineRule="auto"/>
        <w:ind w:firstLine="720"/>
      </w:pPr>
      <w:r>
        <w:t xml:space="preserve">Momentary restructuring was </w:t>
      </w:r>
      <w:r w:rsidR="00DF2758">
        <w:t>not significantly associated with momentary rumination</w:t>
      </w:r>
      <w:r w:rsidR="00C87058">
        <w:t xml:space="preserve"> </w:t>
      </w:r>
      <w:r w:rsidR="00C87058" w:rsidRPr="00925824">
        <w:t>(</w:t>
      </w:r>
      <w:r w:rsidR="00C87058" w:rsidRPr="00925824">
        <w:rPr>
          <w:rFonts w:ascii="Symbol" w:hAnsi="Symbol"/>
        </w:rPr>
        <w:t>b</w:t>
      </w:r>
      <w:r w:rsidR="00C87058" w:rsidRPr="00925824">
        <w:t xml:space="preserve"> = 0.</w:t>
      </w:r>
      <w:r w:rsidR="00C87058">
        <w:t>04</w:t>
      </w:r>
      <w:r w:rsidR="00C87058" w:rsidRPr="00925824">
        <w:t xml:space="preserve">, </w:t>
      </w:r>
      <w:r w:rsidR="00C87058" w:rsidRPr="00F17902">
        <w:rPr>
          <w:i/>
          <w:iCs/>
        </w:rPr>
        <w:t>p</w:t>
      </w:r>
      <w:r w:rsidR="00C87058" w:rsidRPr="00925824">
        <w:t xml:space="preserve"> </w:t>
      </w:r>
      <w:r w:rsidR="00C87058">
        <w:t>=</w:t>
      </w:r>
      <w:r w:rsidR="00C87058" w:rsidRPr="00925824">
        <w:t xml:space="preserve"> .0</w:t>
      </w:r>
      <w:r w:rsidR="00C87058">
        <w:t>6</w:t>
      </w:r>
      <w:r w:rsidR="00C87058" w:rsidRPr="00925824">
        <w:t>)</w:t>
      </w:r>
      <w:r w:rsidR="007477D1">
        <w:t xml:space="preserve">, but was </w:t>
      </w:r>
      <w:r w:rsidR="00DF2758">
        <w:t xml:space="preserve">significantly associated with increased momentary thought suppression </w:t>
      </w:r>
      <w:r w:rsidR="00DF2758" w:rsidRPr="00925824">
        <w:t>(</w:t>
      </w:r>
      <w:r w:rsidR="00DF2758" w:rsidRPr="00925824">
        <w:rPr>
          <w:rFonts w:ascii="Symbol" w:hAnsi="Symbol"/>
        </w:rPr>
        <w:t>b</w:t>
      </w:r>
      <w:r w:rsidR="00DF2758" w:rsidRPr="00925824">
        <w:t xml:space="preserve"> = 0.</w:t>
      </w:r>
      <w:r w:rsidR="00DF2758">
        <w:t>2</w:t>
      </w:r>
      <w:r w:rsidR="006F061B">
        <w:t>4</w:t>
      </w:r>
      <w:r w:rsidR="00DF2758" w:rsidRPr="00925824">
        <w:t xml:space="preserve">, </w:t>
      </w:r>
      <w:r w:rsidR="00DF2758" w:rsidRPr="00F17902">
        <w:rPr>
          <w:i/>
          <w:iCs/>
        </w:rPr>
        <w:t>p</w:t>
      </w:r>
      <w:r w:rsidR="00DF2758" w:rsidRPr="00925824">
        <w:t xml:space="preserve"> &lt; .001),</w:t>
      </w:r>
      <w:r w:rsidR="00DF2758">
        <w:t xml:space="preserve"> and distraction </w:t>
      </w:r>
      <w:r w:rsidR="00DF2758" w:rsidRPr="00925824">
        <w:t>(</w:t>
      </w:r>
      <w:r w:rsidR="00DF2758" w:rsidRPr="00925824">
        <w:rPr>
          <w:rFonts w:ascii="Symbol" w:hAnsi="Symbol"/>
        </w:rPr>
        <w:t>b</w:t>
      </w:r>
      <w:r w:rsidR="00DF2758" w:rsidRPr="00925824">
        <w:t xml:space="preserve"> = 0.</w:t>
      </w:r>
      <w:r w:rsidR="00DF2758">
        <w:t>24</w:t>
      </w:r>
      <w:r w:rsidR="00DF2758" w:rsidRPr="00925824">
        <w:t xml:space="preserve">, </w:t>
      </w:r>
      <w:r w:rsidR="00DF2758" w:rsidRPr="00F17902">
        <w:rPr>
          <w:i/>
          <w:iCs/>
        </w:rPr>
        <w:t>p</w:t>
      </w:r>
      <w:r w:rsidR="00DF2758" w:rsidRPr="00925824">
        <w:t xml:space="preserve"> &lt; .001)</w:t>
      </w:r>
      <w:r w:rsidR="00DF2758">
        <w:t xml:space="preserve">. In both cases, a 1-SD increase in restructuring was associated with a </w:t>
      </w:r>
      <w:r w:rsidR="00C868C9">
        <w:t>0.24-SD increase in</w:t>
      </w:r>
      <w:r w:rsidR="00DF2758">
        <w:t xml:space="preserve"> </w:t>
      </w:r>
      <w:r w:rsidR="006F061B">
        <w:t xml:space="preserve">thought suppression and </w:t>
      </w:r>
      <w:r w:rsidR="00DF2758">
        <w:t>distraction.</w:t>
      </w:r>
      <w:r w:rsidR="00312C41">
        <w:t xml:space="preserve"> </w:t>
      </w:r>
      <w:r w:rsidR="00C0210F">
        <w:t xml:space="preserve">Once again results were similar across subgroups. The one difference from the results in the full sample was that momentary restructuring was associated with greater momentary rumination among those with low distress </w:t>
      </w:r>
      <w:r w:rsidR="00C0210F" w:rsidRPr="00925824">
        <w:t>(</w:t>
      </w:r>
      <w:r w:rsidR="00C0210F" w:rsidRPr="00925824">
        <w:rPr>
          <w:rFonts w:ascii="Symbol" w:hAnsi="Symbol"/>
        </w:rPr>
        <w:t>b</w:t>
      </w:r>
      <w:r w:rsidR="00C0210F" w:rsidRPr="00925824">
        <w:t xml:space="preserve"> = 0.</w:t>
      </w:r>
      <w:r w:rsidR="00C0210F">
        <w:t>07</w:t>
      </w:r>
      <w:r w:rsidR="00C0210F" w:rsidRPr="00925824">
        <w:t xml:space="preserve">, </w:t>
      </w:r>
      <w:r w:rsidR="00C0210F" w:rsidRPr="00F17902">
        <w:rPr>
          <w:i/>
          <w:iCs/>
        </w:rPr>
        <w:t xml:space="preserve">p </w:t>
      </w:r>
      <w:r w:rsidR="00C0210F">
        <w:t xml:space="preserve">= </w:t>
      </w:r>
      <w:r w:rsidR="00C0210F" w:rsidRPr="00925824">
        <w:t>.00</w:t>
      </w:r>
      <w:r w:rsidR="00C0210F">
        <w:t>8</w:t>
      </w:r>
      <w:r w:rsidR="00C0210F" w:rsidRPr="00925824">
        <w:t>)</w:t>
      </w:r>
      <w:r w:rsidR="00C0210F">
        <w:t xml:space="preserve">. </w:t>
      </w:r>
      <w:r w:rsidR="00312C41">
        <w:t>Table 2 also summarizes these results.</w:t>
      </w:r>
      <w:r w:rsidR="00B0231F">
        <w:t xml:space="preserve"> The models predicting suppression and distraction in the high-distress group, and rumination in the low-distress group, initially failed to converge, </w:t>
      </w:r>
      <w:r w:rsidR="0025554D">
        <w:t xml:space="preserve">but converged after </w:t>
      </w:r>
      <w:r w:rsidR="00B0231F">
        <w:t>re-estimat</w:t>
      </w:r>
      <w:r w:rsidR="0025554D">
        <w:t>ing</w:t>
      </w:r>
      <w:r w:rsidR="00B0231F">
        <w:t xml:space="preserve"> without random slopes.</w:t>
      </w:r>
    </w:p>
    <w:p w14:paraId="2502BCA7" w14:textId="415CB3AE" w:rsidR="00DF2758" w:rsidRDefault="00C349BD" w:rsidP="004768A9">
      <w:pPr>
        <w:spacing w:line="480" w:lineRule="auto"/>
        <w:ind w:firstLine="720"/>
      </w:pPr>
      <w:r>
        <w:t xml:space="preserve">In the cross-sectional models, momentary </w:t>
      </w:r>
      <w:proofErr w:type="spellStart"/>
      <w:r>
        <w:t>defusion</w:t>
      </w:r>
      <w:proofErr w:type="spellEnd"/>
      <w:r>
        <w:t xml:space="preserve"> significantly predicted momentary NA </w:t>
      </w:r>
      <w:r w:rsidRPr="00925824">
        <w:t>(</w:t>
      </w:r>
      <w:r w:rsidRPr="00925824">
        <w:rPr>
          <w:rFonts w:ascii="Symbol" w:hAnsi="Symbol"/>
        </w:rPr>
        <w:t>b</w:t>
      </w:r>
      <w:r w:rsidRPr="00925824">
        <w:t xml:space="preserve"> = </w:t>
      </w:r>
      <w:r>
        <w:t>-0.1</w:t>
      </w:r>
      <w:r w:rsidR="00491B08">
        <w:t>3</w:t>
      </w:r>
      <w:r w:rsidR="00491B08">
        <w:tab/>
      </w:r>
      <w:r w:rsidRPr="00925824">
        <w:t xml:space="preserve">, </w:t>
      </w:r>
      <w:r w:rsidRPr="00F17902">
        <w:rPr>
          <w:i/>
          <w:iCs/>
        </w:rPr>
        <w:t>p</w:t>
      </w:r>
      <w:r w:rsidRPr="00925824">
        <w:t xml:space="preserve"> </w:t>
      </w:r>
      <w:r>
        <w:t>&lt; .001</w:t>
      </w:r>
      <w:r w:rsidRPr="00925824">
        <w:t>)</w:t>
      </w:r>
      <w:r>
        <w:t xml:space="preserve">, while momentary restructuring did not </w:t>
      </w:r>
      <w:r w:rsidRPr="00925824">
        <w:t>(</w:t>
      </w:r>
      <w:r w:rsidRPr="00925824">
        <w:rPr>
          <w:rFonts w:ascii="Symbol" w:hAnsi="Symbol"/>
        </w:rPr>
        <w:t>b</w:t>
      </w:r>
      <w:r w:rsidRPr="00925824">
        <w:t xml:space="preserve"> = 0.</w:t>
      </w:r>
      <w:r>
        <w:t>0</w:t>
      </w:r>
      <w:r w:rsidR="00491B08">
        <w:t>1</w:t>
      </w:r>
      <w:r w:rsidRPr="00925824">
        <w:t xml:space="preserve">, </w:t>
      </w:r>
      <w:r w:rsidRPr="00F17902">
        <w:rPr>
          <w:i/>
          <w:iCs/>
        </w:rPr>
        <w:t>p</w:t>
      </w:r>
      <w:r w:rsidRPr="00925824">
        <w:t xml:space="preserve"> </w:t>
      </w:r>
      <w:r>
        <w:t>= .</w:t>
      </w:r>
      <w:r w:rsidR="00491B08">
        <w:t>81</w:t>
      </w:r>
      <w:r w:rsidRPr="00925824">
        <w:t>)</w:t>
      </w:r>
      <w:r>
        <w:t xml:space="preserve">. A 1-SD increase in momentary </w:t>
      </w:r>
      <w:proofErr w:type="spellStart"/>
      <w:r>
        <w:t>defusion</w:t>
      </w:r>
      <w:proofErr w:type="spellEnd"/>
      <w:r>
        <w:t xml:space="preserve"> was associated with a 0.1</w:t>
      </w:r>
      <w:r w:rsidR="006B3F09">
        <w:t>3</w:t>
      </w:r>
      <w:r>
        <w:t xml:space="preserve">-SD decrease in NA. </w:t>
      </w:r>
      <w:r w:rsidR="00B94DED">
        <w:t xml:space="preserve">Both </w:t>
      </w:r>
      <w:r w:rsidR="003102E8">
        <w:t>m</w:t>
      </w:r>
      <w:r>
        <w:t xml:space="preserve">omentary </w:t>
      </w:r>
      <w:proofErr w:type="spellStart"/>
      <w:r>
        <w:t>defusion</w:t>
      </w:r>
      <w:proofErr w:type="spellEnd"/>
      <w:r>
        <w:t xml:space="preserve"> </w:t>
      </w:r>
      <w:r w:rsidR="00B94DED" w:rsidRPr="00925824">
        <w:t>(</w:t>
      </w:r>
      <w:r w:rsidR="00B94DED" w:rsidRPr="00925824">
        <w:rPr>
          <w:rFonts w:ascii="Symbol" w:hAnsi="Symbol"/>
        </w:rPr>
        <w:t>b</w:t>
      </w:r>
      <w:r w:rsidR="00B94DED" w:rsidRPr="00925824">
        <w:t xml:space="preserve"> = </w:t>
      </w:r>
      <w:r w:rsidR="00B94DED">
        <w:t>0.15</w:t>
      </w:r>
      <w:r w:rsidR="00B94DED" w:rsidRPr="00925824">
        <w:t xml:space="preserve">, </w:t>
      </w:r>
      <w:r w:rsidR="00B94DED" w:rsidRPr="00F17902">
        <w:rPr>
          <w:i/>
          <w:iCs/>
        </w:rPr>
        <w:t>p</w:t>
      </w:r>
      <w:r w:rsidR="00B94DED" w:rsidRPr="00925824">
        <w:t xml:space="preserve"> </w:t>
      </w:r>
      <w:r w:rsidR="00B94DED">
        <w:t>&lt; .001</w:t>
      </w:r>
      <w:r w:rsidR="00B94DED" w:rsidRPr="00925824">
        <w:t>)</w:t>
      </w:r>
      <w:r w:rsidR="00B94DED">
        <w:t xml:space="preserve"> and momentary restructuring </w:t>
      </w:r>
      <w:r w:rsidR="00B94DED" w:rsidRPr="00925824">
        <w:t>(</w:t>
      </w:r>
      <w:r w:rsidR="00B94DED" w:rsidRPr="00925824">
        <w:rPr>
          <w:rFonts w:ascii="Symbol" w:hAnsi="Symbol"/>
        </w:rPr>
        <w:t>b</w:t>
      </w:r>
      <w:r w:rsidR="00B94DED" w:rsidRPr="00925824">
        <w:t xml:space="preserve"> = </w:t>
      </w:r>
      <w:r w:rsidR="00B94DED">
        <w:t>0.05</w:t>
      </w:r>
      <w:r w:rsidR="00B94DED" w:rsidRPr="00925824">
        <w:t xml:space="preserve">, </w:t>
      </w:r>
      <w:r w:rsidR="00B94DED" w:rsidRPr="00F17902">
        <w:rPr>
          <w:i/>
          <w:iCs/>
        </w:rPr>
        <w:t>p</w:t>
      </w:r>
      <w:r w:rsidR="00B94DED" w:rsidRPr="00925824">
        <w:t xml:space="preserve"> </w:t>
      </w:r>
      <w:r w:rsidR="00B94DED">
        <w:t>= .03</w:t>
      </w:r>
      <w:r w:rsidR="00B94DED" w:rsidRPr="00925824">
        <w:t>)</w:t>
      </w:r>
      <w:r w:rsidR="00B94DED">
        <w:t xml:space="preserve"> </w:t>
      </w:r>
      <w:r>
        <w:t xml:space="preserve">predicted PA. This means a 1-SD increase in momentary </w:t>
      </w:r>
      <w:proofErr w:type="spellStart"/>
      <w:r>
        <w:t>defusion</w:t>
      </w:r>
      <w:proofErr w:type="spellEnd"/>
      <w:r>
        <w:t xml:space="preserve"> was associated with a 0.</w:t>
      </w:r>
      <w:r w:rsidR="001A0B59">
        <w:t>15</w:t>
      </w:r>
      <w:r>
        <w:t>-SD increase in PA</w:t>
      </w:r>
      <w:r w:rsidR="001A0B59">
        <w:t xml:space="preserve">, and a 1-SD increase in momentary restructuring was associated with </w:t>
      </w:r>
      <w:r w:rsidR="001A0B59" w:rsidRPr="001A0B59">
        <w:t>a 0.05</w:t>
      </w:r>
      <w:r w:rsidR="001A0B59" w:rsidRPr="00CC0CA6">
        <w:t>-SD increase in PA,</w:t>
      </w:r>
      <w:r>
        <w:t xml:space="preserve"> at the same timepoint. </w:t>
      </w:r>
      <w:r w:rsidR="00B850B4">
        <w:t xml:space="preserve">Both momentary </w:t>
      </w:r>
      <w:proofErr w:type="spellStart"/>
      <w:r w:rsidR="00B850B4">
        <w:t>defusion</w:t>
      </w:r>
      <w:proofErr w:type="spellEnd"/>
      <w:r w:rsidR="00B850B4">
        <w:t xml:space="preserve"> </w:t>
      </w:r>
      <w:r w:rsidR="00B850B4" w:rsidRPr="00925824">
        <w:t>(</w:t>
      </w:r>
      <w:r w:rsidR="00B850B4" w:rsidRPr="00925824">
        <w:rPr>
          <w:rFonts w:ascii="Symbol" w:hAnsi="Symbol"/>
        </w:rPr>
        <w:t>b</w:t>
      </w:r>
      <w:r w:rsidR="00B850B4" w:rsidRPr="00925824">
        <w:t xml:space="preserve"> = </w:t>
      </w:r>
      <w:r w:rsidR="00B850B4">
        <w:t>0.</w:t>
      </w:r>
      <w:r w:rsidR="00491510">
        <w:t>11</w:t>
      </w:r>
      <w:r w:rsidR="00B850B4" w:rsidRPr="00925824">
        <w:t xml:space="preserve">, </w:t>
      </w:r>
      <w:r w:rsidR="00B850B4" w:rsidRPr="00F17902">
        <w:rPr>
          <w:i/>
          <w:iCs/>
        </w:rPr>
        <w:t>p</w:t>
      </w:r>
      <w:r w:rsidR="00B850B4" w:rsidRPr="00925824">
        <w:t xml:space="preserve"> </w:t>
      </w:r>
      <w:r w:rsidR="00B850B4">
        <w:t>&lt; .001</w:t>
      </w:r>
      <w:r w:rsidR="00B850B4" w:rsidRPr="00925824">
        <w:t>)</w:t>
      </w:r>
      <w:r w:rsidR="00B850B4">
        <w:t xml:space="preserve"> and restructuring </w:t>
      </w:r>
      <w:r w:rsidR="00B850B4" w:rsidRPr="00925824">
        <w:t>(</w:t>
      </w:r>
      <w:r w:rsidR="00B850B4" w:rsidRPr="00925824">
        <w:rPr>
          <w:rFonts w:ascii="Symbol" w:hAnsi="Symbol"/>
        </w:rPr>
        <w:t>b</w:t>
      </w:r>
      <w:r w:rsidR="00B850B4" w:rsidRPr="00925824">
        <w:t xml:space="preserve"> = </w:t>
      </w:r>
      <w:r w:rsidR="00B850B4">
        <w:t>0.1</w:t>
      </w:r>
      <w:r w:rsidR="00491510">
        <w:t>4</w:t>
      </w:r>
      <w:r w:rsidR="00B850B4" w:rsidRPr="00925824">
        <w:t xml:space="preserve">, </w:t>
      </w:r>
      <w:r w:rsidR="00B850B4" w:rsidRPr="00F17902">
        <w:rPr>
          <w:i/>
          <w:iCs/>
        </w:rPr>
        <w:t>p</w:t>
      </w:r>
      <w:r w:rsidR="00B850B4" w:rsidRPr="00925824">
        <w:t xml:space="preserve"> </w:t>
      </w:r>
      <w:r w:rsidR="00B850B4">
        <w:t>&lt; .001</w:t>
      </w:r>
      <w:r w:rsidR="00B850B4" w:rsidRPr="00925824">
        <w:t>)</w:t>
      </w:r>
      <w:r w:rsidR="00B850B4">
        <w:t xml:space="preserve"> were significantly associated with momentary values progress, such that a 1-SD increase in </w:t>
      </w:r>
      <w:proofErr w:type="spellStart"/>
      <w:r w:rsidR="00B850B4">
        <w:t>defusion</w:t>
      </w:r>
      <w:proofErr w:type="spellEnd"/>
      <w:r w:rsidR="00B850B4">
        <w:t xml:space="preserve"> was associated with a 0.1</w:t>
      </w:r>
      <w:r w:rsidR="00491510">
        <w:t>1</w:t>
      </w:r>
      <w:r w:rsidR="00B850B4">
        <w:t>-SD increase in values progress, and a 1-SD increase in restructuring was associated with a 0.1</w:t>
      </w:r>
      <w:r w:rsidR="00491510">
        <w:t>4</w:t>
      </w:r>
      <w:r w:rsidR="00B850B4">
        <w:t>-SD increase in values progress</w:t>
      </w:r>
      <w:r w:rsidR="006B6B7E">
        <w:t>.</w:t>
      </w:r>
      <w:r w:rsidR="006E15A7">
        <w:t xml:space="preserve"> </w:t>
      </w:r>
      <w:r w:rsidR="00C0210F">
        <w:t xml:space="preserve">Results were consistent across subsamples with the one difference that restructuring did not significantly </w:t>
      </w:r>
      <w:r w:rsidR="00C0210F">
        <w:lastRenderedPageBreak/>
        <w:t xml:space="preserve">predict positive affect cross-sectionally for those in high distress </w:t>
      </w:r>
      <w:r w:rsidR="00C0210F" w:rsidRPr="00925824">
        <w:t>(</w:t>
      </w:r>
      <w:r w:rsidR="00C0210F" w:rsidRPr="00925824">
        <w:rPr>
          <w:rFonts w:ascii="Symbol" w:hAnsi="Symbol"/>
        </w:rPr>
        <w:t>b</w:t>
      </w:r>
      <w:r w:rsidR="00C0210F" w:rsidRPr="00925824">
        <w:t xml:space="preserve"> = </w:t>
      </w:r>
      <w:r w:rsidR="00C0210F">
        <w:t>0.03</w:t>
      </w:r>
      <w:r w:rsidR="00C0210F" w:rsidRPr="00925824">
        <w:t xml:space="preserve">, </w:t>
      </w:r>
      <w:r w:rsidR="00C0210F" w:rsidRPr="00F17902">
        <w:rPr>
          <w:i/>
          <w:iCs/>
        </w:rPr>
        <w:t>p</w:t>
      </w:r>
      <w:r w:rsidR="00C0210F" w:rsidRPr="00925824">
        <w:t xml:space="preserve"> </w:t>
      </w:r>
      <w:r w:rsidR="00C0210F">
        <w:t>= .37</w:t>
      </w:r>
      <w:r w:rsidR="00C0210F" w:rsidRPr="00925824">
        <w:t>)</w:t>
      </w:r>
      <w:r w:rsidR="00C0210F">
        <w:t xml:space="preserve">, but coefficients were fairly similar across subgroups. </w:t>
      </w:r>
      <w:r w:rsidR="006E15A7">
        <w:t>See Table 3 for a summary of these models.</w:t>
      </w:r>
    </w:p>
    <w:p w14:paraId="52F9C712" w14:textId="61E873F9" w:rsidR="00EF3BED" w:rsidRDefault="00AD026F" w:rsidP="004768A9">
      <w:pPr>
        <w:spacing w:line="480" w:lineRule="auto"/>
        <w:ind w:firstLine="720"/>
      </w:pPr>
      <w:r>
        <w:t xml:space="preserve">In the lagged models, neither momentary restructuring </w:t>
      </w:r>
      <w:r w:rsidRPr="00925824">
        <w:t>(</w:t>
      </w:r>
      <w:r w:rsidRPr="00925824">
        <w:rPr>
          <w:rFonts w:ascii="Symbol" w:hAnsi="Symbol"/>
        </w:rPr>
        <w:t>b</w:t>
      </w:r>
      <w:r w:rsidRPr="00925824">
        <w:t xml:space="preserve"> = </w:t>
      </w:r>
      <w:r>
        <w:t>-0.01</w:t>
      </w:r>
      <w:r w:rsidRPr="00925824">
        <w:t xml:space="preserve">, </w:t>
      </w:r>
      <w:r w:rsidRPr="00F17902">
        <w:rPr>
          <w:i/>
          <w:iCs/>
        </w:rPr>
        <w:t>p</w:t>
      </w:r>
      <w:r w:rsidRPr="00925824">
        <w:t xml:space="preserve"> </w:t>
      </w:r>
      <w:r>
        <w:t>= .</w:t>
      </w:r>
      <w:r w:rsidR="00D26DAD">
        <w:t>85</w:t>
      </w:r>
      <w:r w:rsidRPr="00925824">
        <w:t>)</w:t>
      </w:r>
      <w:r>
        <w:t xml:space="preserve"> nor momentary </w:t>
      </w:r>
      <w:proofErr w:type="spellStart"/>
      <w:r>
        <w:t>defusion</w:t>
      </w:r>
      <w:proofErr w:type="spellEnd"/>
      <w:r>
        <w:t xml:space="preserve"> </w:t>
      </w:r>
      <w:r w:rsidRPr="00925824">
        <w:t>(</w:t>
      </w:r>
      <w:r w:rsidRPr="00925824">
        <w:rPr>
          <w:rFonts w:ascii="Symbol" w:hAnsi="Symbol"/>
        </w:rPr>
        <w:t>b</w:t>
      </w:r>
      <w:r w:rsidRPr="00925824">
        <w:t xml:space="preserve"> = </w:t>
      </w:r>
      <w:r>
        <w:t>0.02</w:t>
      </w:r>
      <w:r w:rsidRPr="00925824">
        <w:t xml:space="preserve">, </w:t>
      </w:r>
      <w:r w:rsidRPr="00F17902">
        <w:rPr>
          <w:i/>
          <w:iCs/>
        </w:rPr>
        <w:t>p</w:t>
      </w:r>
      <w:r w:rsidRPr="00925824">
        <w:t xml:space="preserve"> </w:t>
      </w:r>
      <w:r>
        <w:t>= .</w:t>
      </w:r>
      <w:r w:rsidR="00D26DAD">
        <w:t>58</w:t>
      </w:r>
      <w:r w:rsidRPr="00925824">
        <w:t>)</w:t>
      </w:r>
      <w:r>
        <w:t xml:space="preserve"> significantly predicted later momentary NA when controlling for current NA </w:t>
      </w:r>
      <w:r w:rsidRPr="00925824">
        <w:t>(</w:t>
      </w:r>
      <w:r w:rsidRPr="00925824">
        <w:rPr>
          <w:rFonts w:ascii="Symbol" w:hAnsi="Symbol"/>
        </w:rPr>
        <w:t>b</w:t>
      </w:r>
      <w:r w:rsidRPr="00925824">
        <w:t xml:space="preserve"> = </w:t>
      </w:r>
      <w:r>
        <w:t>0.</w:t>
      </w:r>
      <w:r w:rsidR="00D26DAD">
        <w:t>28</w:t>
      </w:r>
      <w:r w:rsidRPr="00925824">
        <w:t xml:space="preserve">, </w:t>
      </w:r>
      <w:r w:rsidRPr="00F17902">
        <w:rPr>
          <w:i/>
          <w:iCs/>
        </w:rPr>
        <w:t>p</w:t>
      </w:r>
      <w:r w:rsidRPr="00925824">
        <w:t xml:space="preserve"> </w:t>
      </w:r>
      <w:r>
        <w:t>&lt; .001</w:t>
      </w:r>
      <w:r w:rsidRPr="00925824">
        <w:t>)</w:t>
      </w:r>
      <w:r>
        <w:t xml:space="preserve">. Similarly, neither momentary restructuring </w:t>
      </w:r>
      <w:r w:rsidRPr="00925824">
        <w:t>(</w:t>
      </w:r>
      <w:r w:rsidRPr="00925824">
        <w:rPr>
          <w:rFonts w:ascii="Symbol" w:hAnsi="Symbol"/>
        </w:rPr>
        <w:t>b</w:t>
      </w:r>
      <w:r w:rsidRPr="00925824">
        <w:t xml:space="preserve"> = </w:t>
      </w:r>
      <w:r>
        <w:t>0.</w:t>
      </w:r>
      <w:r w:rsidR="00D26DAD">
        <w:t>03</w:t>
      </w:r>
      <w:r w:rsidRPr="00925824">
        <w:t xml:space="preserve">, </w:t>
      </w:r>
      <w:r w:rsidRPr="00F17902">
        <w:rPr>
          <w:i/>
          <w:iCs/>
        </w:rPr>
        <w:t>p</w:t>
      </w:r>
      <w:r w:rsidRPr="00925824">
        <w:t xml:space="preserve"> </w:t>
      </w:r>
      <w:r>
        <w:t>= .</w:t>
      </w:r>
      <w:r w:rsidR="00D26DAD">
        <w:t>27</w:t>
      </w:r>
      <w:r w:rsidRPr="00925824">
        <w:t>)</w:t>
      </w:r>
      <w:r>
        <w:t xml:space="preserve"> nor momentary </w:t>
      </w:r>
      <w:proofErr w:type="spellStart"/>
      <w:r>
        <w:t>defusion</w:t>
      </w:r>
      <w:proofErr w:type="spellEnd"/>
      <w:r>
        <w:t xml:space="preserve"> </w:t>
      </w:r>
      <w:r w:rsidRPr="00925824">
        <w:t>(</w:t>
      </w:r>
      <w:r w:rsidRPr="00925824">
        <w:rPr>
          <w:rFonts w:ascii="Symbol" w:hAnsi="Symbol"/>
        </w:rPr>
        <w:t>b</w:t>
      </w:r>
      <w:r w:rsidRPr="00925824">
        <w:t xml:space="preserve"> = </w:t>
      </w:r>
      <w:r>
        <w:t>0.0</w:t>
      </w:r>
      <w:r w:rsidR="00D26DAD">
        <w:t>3</w:t>
      </w:r>
      <w:r w:rsidRPr="00925824">
        <w:t xml:space="preserve">, </w:t>
      </w:r>
      <w:r w:rsidRPr="00F17902">
        <w:rPr>
          <w:i/>
          <w:iCs/>
        </w:rPr>
        <w:t>p</w:t>
      </w:r>
      <w:r w:rsidRPr="00925824">
        <w:t xml:space="preserve"> </w:t>
      </w:r>
      <w:r>
        <w:t>= .</w:t>
      </w:r>
      <w:r w:rsidR="00D26DAD">
        <w:t>31</w:t>
      </w:r>
      <w:r w:rsidRPr="00925824">
        <w:t>)</w:t>
      </w:r>
      <w:r>
        <w:t xml:space="preserve"> significantly predicted momentary PA at the next timepoint when controlling for current PA </w:t>
      </w:r>
      <w:r w:rsidRPr="00925824">
        <w:t>(</w:t>
      </w:r>
      <w:r w:rsidRPr="00925824">
        <w:rPr>
          <w:rFonts w:ascii="Symbol" w:hAnsi="Symbol"/>
        </w:rPr>
        <w:t>b</w:t>
      </w:r>
      <w:r w:rsidRPr="00925824">
        <w:t xml:space="preserve"> = </w:t>
      </w:r>
      <w:r>
        <w:t>0.2</w:t>
      </w:r>
      <w:r w:rsidR="00D26DAD">
        <w:t>6</w:t>
      </w:r>
      <w:r w:rsidRPr="00925824">
        <w:t xml:space="preserve">, </w:t>
      </w:r>
      <w:r w:rsidRPr="00F17902">
        <w:rPr>
          <w:i/>
          <w:iCs/>
        </w:rPr>
        <w:t>p</w:t>
      </w:r>
      <w:r w:rsidRPr="00925824">
        <w:t xml:space="preserve"> </w:t>
      </w:r>
      <w:r>
        <w:t>&lt; .001</w:t>
      </w:r>
      <w:r w:rsidRPr="00925824">
        <w:t>)</w:t>
      </w:r>
      <w:r>
        <w:t>.</w:t>
      </w:r>
      <w:r w:rsidR="00B51716">
        <w:t xml:space="preserve"> </w:t>
      </w:r>
      <w:r w:rsidR="00D26DAD">
        <w:t>M</w:t>
      </w:r>
      <w:r w:rsidR="00B51716">
        <w:t xml:space="preserve">omentary </w:t>
      </w:r>
      <w:proofErr w:type="spellStart"/>
      <w:r w:rsidR="00B51716">
        <w:t>defusion</w:t>
      </w:r>
      <w:proofErr w:type="spellEnd"/>
      <w:r w:rsidR="00B51716">
        <w:t xml:space="preserve"> </w:t>
      </w:r>
      <w:r w:rsidR="00B51716" w:rsidRPr="00925824">
        <w:t>(</w:t>
      </w:r>
      <w:r w:rsidR="00B51716" w:rsidRPr="00925824">
        <w:rPr>
          <w:rFonts w:ascii="Symbol" w:hAnsi="Symbol"/>
        </w:rPr>
        <w:t>b</w:t>
      </w:r>
      <w:r w:rsidR="00B51716" w:rsidRPr="00925824">
        <w:t xml:space="preserve"> = </w:t>
      </w:r>
      <w:r w:rsidR="00B51716">
        <w:t>0.0</w:t>
      </w:r>
      <w:r w:rsidR="00D26DAD">
        <w:t>5</w:t>
      </w:r>
      <w:r w:rsidR="00B51716" w:rsidRPr="00925824">
        <w:t xml:space="preserve">, </w:t>
      </w:r>
      <w:r w:rsidR="00B51716" w:rsidRPr="00F17902">
        <w:rPr>
          <w:i/>
          <w:iCs/>
        </w:rPr>
        <w:t>p</w:t>
      </w:r>
      <w:r w:rsidR="00B51716" w:rsidRPr="00925824">
        <w:t xml:space="preserve"> </w:t>
      </w:r>
      <w:r w:rsidR="00B51716">
        <w:t>= .0</w:t>
      </w:r>
      <w:r w:rsidR="00D26DAD">
        <w:t>9</w:t>
      </w:r>
      <w:r w:rsidR="00B51716" w:rsidRPr="00925824">
        <w:t>)</w:t>
      </w:r>
      <w:r w:rsidR="00D26DAD">
        <w:t xml:space="preserve"> and </w:t>
      </w:r>
      <w:r w:rsidR="00B51716">
        <w:t xml:space="preserve">momentary restructuring </w:t>
      </w:r>
      <w:r w:rsidR="00B51716" w:rsidRPr="00925824">
        <w:t>(</w:t>
      </w:r>
      <w:r w:rsidR="00B51716" w:rsidRPr="00925824">
        <w:rPr>
          <w:rFonts w:ascii="Symbol" w:hAnsi="Symbol"/>
        </w:rPr>
        <w:t>b</w:t>
      </w:r>
      <w:r w:rsidR="00B51716" w:rsidRPr="00925824">
        <w:t xml:space="preserve"> = </w:t>
      </w:r>
      <w:r w:rsidR="00D300B1">
        <w:t>-0.0</w:t>
      </w:r>
      <w:r w:rsidR="00D26DAD">
        <w:t>1</w:t>
      </w:r>
      <w:r w:rsidR="00B51716" w:rsidRPr="00925824">
        <w:t xml:space="preserve">, </w:t>
      </w:r>
      <w:r w:rsidR="00B51716" w:rsidRPr="00F17902">
        <w:rPr>
          <w:i/>
          <w:iCs/>
        </w:rPr>
        <w:t>p</w:t>
      </w:r>
      <w:r w:rsidR="00B51716" w:rsidRPr="00925824">
        <w:t xml:space="preserve"> </w:t>
      </w:r>
      <w:r w:rsidR="00B51716">
        <w:t>= .</w:t>
      </w:r>
      <w:r w:rsidR="00D26DAD">
        <w:t>70</w:t>
      </w:r>
      <w:r w:rsidR="00B51716" w:rsidRPr="00925824">
        <w:t>)</w:t>
      </w:r>
      <w:r w:rsidR="00D26DAD">
        <w:t xml:space="preserve"> also did not</w:t>
      </w:r>
      <w:r w:rsidR="00B51716">
        <w:t xml:space="preserve"> significantly predict momentary values progress at the next timepoint when controlling for previous values progress</w:t>
      </w:r>
      <w:r w:rsidR="00892A03">
        <w:t xml:space="preserve"> </w:t>
      </w:r>
      <w:r w:rsidR="00B51716" w:rsidRPr="00925824">
        <w:t>(</w:t>
      </w:r>
      <w:r w:rsidR="00B51716" w:rsidRPr="00925824">
        <w:rPr>
          <w:rFonts w:ascii="Symbol" w:hAnsi="Symbol"/>
        </w:rPr>
        <w:t>b</w:t>
      </w:r>
      <w:r w:rsidR="00B51716" w:rsidRPr="00925824">
        <w:t xml:space="preserve"> = </w:t>
      </w:r>
      <w:r w:rsidR="00B51716">
        <w:t>0.</w:t>
      </w:r>
      <w:r w:rsidR="00D26DAD">
        <w:t>22</w:t>
      </w:r>
      <w:r w:rsidR="00B51716" w:rsidRPr="00925824">
        <w:t xml:space="preserve">, </w:t>
      </w:r>
      <w:r w:rsidR="00B51716" w:rsidRPr="00F17902">
        <w:rPr>
          <w:i/>
          <w:iCs/>
        </w:rPr>
        <w:t>p</w:t>
      </w:r>
      <w:r w:rsidR="00B51716" w:rsidRPr="00925824">
        <w:t xml:space="preserve"> </w:t>
      </w:r>
      <w:r w:rsidR="00B51716">
        <w:t>&lt; .001</w:t>
      </w:r>
      <w:r w:rsidR="00B51716" w:rsidRPr="00925824">
        <w:t>)</w:t>
      </w:r>
      <w:r w:rsidR="00B51716">
        <w:t>.</w:t>
      </w:r>
      <w:r w:rsidR="00892A03">
        <w:t xml:space="preserve"> </w:t>
      </w:r>
      <w:r w:rsidR="00203584">
        <w:t xml:space="preserve">Results were very similar across subgroups, except that in the low-distress group, momentary </w:t>
      </w:r>
      <w:proofErr w:type="spellStart"/>
      <w:r w:rsidR="00203584">
        <w:t>defusion</w:t>
      </w:r>
      <w:proofErr w:type="spellEnd"/>
      <w:r w:rsidR="00203584">
        <w:t xml:space="preserve"> predicted later values progress </w:t>
      </w:r>
      <w:r w:rsidR="00203584" w:rsidRPr="00925824">
        <w:t>(</w:t>
      </w:r>
      <w:r w:rsidR="00203584" w:rsidRPr="00925824">
        <w:rPr>
          <w:rFonts w:ascii="Symbol" w:hAnsi="Symbol"/>
        </w:rPr>
        <w:t>b</w:t>
      </w:r>
      <w:r w:rsidR="00203584" w:rsidRPr="00925824">
        <w:t xml:space="preserve"> = </w:t>
      </w:r>
      <w:r w:rsidR="00203584">
        <w:t>0.08</w:t>
      </w:r>
      <w:r w:rsidR="00203584" w:rsidRPr="00925824">
        <w:t xml:space="preserve">, </w:t>
      </w:r>
      <w:r w:rsidR="00203584" w:rsidRPr="00F17902">
        <w:rPr>
          <w:i/>
          <w:iCs/>
        </w:rPr>
        <w:t>p</w:t>
      </w:r>
      <w:r w:rsidR="00203584" w:rsidRPr="00925824">
        <w:t xml:space="preserve"> </w:t>
      </w:r>
      <w:r w:rsidR="00203584">
        <w:t>= .04</w:t>
      </w:r>
      <w:r w:rsidR="00203584" w:rsidRPr="00925824">
        <w:t>)</w:t>
      </w:r>
      <w:r w:rsidR="00203584">
        <w:t xml:space="preserve">. </w:t>
      </w:r>
      <w:r w:rsidR="005F4F82">
        <w:t xml:space="preserve">Table 4 reports a summary of these models. </w:t>
      </w:r>
      <w:r w:rsidR="00203584">
        <w:t xml:space="preserve">Given the possibility </w:t>
      </w:r>
      <w:r w:rsidR="00D635B8">
        <w:t xml:space="preserve">that </w:t>
      </w:r>
      <w:proofErr w:type="spellStart"/>
      <w:r w:rsidR="00D635B8">
        <w:t>defusion</w:t>
      </w:r>
      <w:proofErr w:type="spellEnd"/>
      <w:r w:rsidR="00D635B8">
        <w:t xml:space="preserve"> and values progress were simply correlated, this analysis was reversed; however, previous values progress did not predict later </w:t>
      </w:r>
      <w:proofErr w:type="spellStart"/>
      <w:r w:rsidR="00D635B8">
        <w:t>defusion</w:t>
      </w:r>
      <w:proofErr w:type="spellEnd"/>
      <w:r w:rsidR="00D635B8">
        <w:t xml:space="preserve"> </w:t>
      </w:r>
      <w:r w:rsidR="00D635B8" w:rsidRPr="00925824">
        <w:t>(</w:t>
      </w:r>
      <w:r w:rsidR="00D635B8" w:rsidRPr="00925824">
        <w:rPr>
          <w:rFonts w:ascii="Symbol" w:hAnsi="Symbol"/>
        </w:rPr>
        <w:t>b</w:t>
      </w:r>
      <w:r w:rsidR="00D635B8" w:rsidRPr="00925824">
        <w:t xml:space="preserve"> = </w:t>
      </w:r>
      <w:r w:rsidR="00D635B8">
        <w:t>0.0</w:t>
      </w:r>
      <w:r w:rsidR="005F4F82">
        <w:t>4</w:t>
      </w:r>
      <w:r w:rsidR="00D635B8" w:rsidRPr="00925824">
        <w:t xml:space="preserve">, </w:t>
      </w:r>
      <w:r w:rsidR="00D635B8" w:rsidRPr="00F17902">
        <w:rPr>
          <w:i/>
          <w:iCs/>
        </w:rPr>
        <w:t>p</w:t>
      </w:r>
      <w:r w:rsidR="00D635B8" w:rsidRPr="00925824">
        <w:t xml:space="preserve"> </w:t>
      </w:r>
      <w:r w:rsidR="005F4F82">
        <w:t>= .21</w:t>
      </w:r>
      <w:r w:rsidR="00D635B8" w:rsidRPr="00925824">
        <w:t>)</w:t>
      </w:r>
      <w:r w:rsidR="00D635B8">
        <w:t xml:space="preserve"> controlling for </w:t>
      </w:r>
      <w:proofErr w:type="spellStart"/>
      <w:r w:rsidR="00D635B8">
        <w:t>defusion</w:t>
      </w:r>
      <w:proofErr w:type="spellEnd"/>
      <w:r w:rsidR="00D635B8">
        <w:t xml:space="preserve"> </w:t>
      </w:r>
      <w:r w:rsidR="00D635B8" w:rsidRPr="00925824">
        <w:t>(</w:t>
      </w:r>
      <w:r w:rsidR="00D635B8" w:rsidRPr="00925824">
        <w:rPr>
          <w:rFonts w:ascii="Symbol" w:hAnsi="Symbol"/>
        </w:rPr>
        <w:t>b</w:t>
      </w:r>
      <w:r w:rsidR="00D635B8" w:rsidRPr="00925824">
        <w:t xml:space="preserve"> = </w:t>
      </w:r>
      <w:r w:rsidR="00D635B8">
        <w:t>0.</w:t>
      </w:r>
      <w:r w:rsidR="005F4F82">
        <w:t>17</w:t>
      </w:r>
      <w:r w:rsidR="00D635B8" w:rsidRPr="00925824">
        <w:t xml:space="preserve">, </w:t>
      </w:r>
      <w:r w:rsidR="00D635B8" w:rsidRPr="00F17902">
        <w:rPr>
          <w:i/>
          <w:iCs/>
        </w:rPr>
        <w:t>p</w:t>
      </w:r>
      <w:r w:rsidR="00D635B8" w:rsidRPr="00925824">
        <w:t xml:space="preserve"> </w:t>
      </w:r>
      <w:r w:rsidR="00D635B8">
        <w:t>&lt; .001</w:t>
      </w:r>
      <w:r w:rsidR="00D635B8" w:rsidRPr="00925824">
        <w:t>)</w:t>
      </w:r>
      <w:r w:rsidR="00D635B8">
        <w:t xml:space="preserve"> and restructuring </w:t>
      </w:r>
      <w:r w:rsidR="00D635B8" w:rsidRPr="00925824">
        <w:t>(</w:t>
      </w:r>
      <w:r w:rsidR="00D635B8" w:rsidRPr="00925824">
        <w:rPr>
          <w:rFonts w:ascii="Symbol" w:hAnsi="Symbol"/>
        </w:rPr>
        <w:t>b</w:t>
      </w:r>
      <w:r w:rsidR="00D635B8" w:rsidRPr="00925824">
        <w:t xml:space="preserve"> = </w:t>
      </w:r>
      <w:r w:rsidR="00D635B8">
        <w:t>0.0</w:t>
      </w:r>
      <w:r w:rsidR="005F4F82">
        <w:t>5</w:t>
      </w:r>
      <w:r w:rsidR="00D635B8" w:rsidRPr="00925824">
        <w:t xml:space="preserve">, </w:t>
      </w:r>
      <w:r w:rsidR="00D635B8" w:rsidRPr="00F17902">
        <w:rPr>
          <w:i/>
          <w:iCs/>
        </w:rPr>
        <w:t>p</w:t>
      </w:r>
      <w:r w:rsidR="00D635B8" w:rsidRPr="00925824">
        <w:t xml:space="preserve"> </w:t>
      </w:r>
      <w:r w:rsidR="005F4F82">
        <w:t>= .17</w:t>
      </w:r>
      <w:r w:rsidR="00D635B8" w:rsidRPr="00925824">
        <w:t>)</w:t>
      </w:r>
      <w:r w:rsidR="00D635B8">
        <w:t xml:space="preserve"> at the same time point.</w:t>
      </w:r>
      <w:r w:rsidR="006E15A7">
        <w:t xml:space="preserve"> </w:t>
      </w:r>
      <w:r w:rsidR="006B6B7E">
        <w:t>VIFs did not exceed 1.55 for any model, well below the problematic range.</w:t>
      </w:r>
    </w:p>
    <w:p w14:paraId="0AEE47BC" w14:textId="43FCD700" w:rsidR="00B232FA" w:rsidRDefault="00B232FA" w:rsidP="00B232FA">
      <w:pPr>
        <w:spacing w:line="480" w:lineRule="auto"/>
        <w:jc w:val="center"/>
        <w:rPr>
          <w:b/>
          <w:bCs/>
        </w:rPr>
      </w:pPr>
      <w:r w:rsidRPr="00A03036">
        <w:rPr>
          <w:b/>
          <w:bCs/>
        </w:rPr>
        <w:t>Discussion</w:t>
      </w:r>
    </w:p>
    <w:p w14:paraId="1A6429F2" w14:textId="0F89BA4D" w:rsidR="00883CCC" w:rsidRDefault="00393B91" w:rsidP="00393B91">
      <w:pPr>
        <w:spacing w:line="480" w:lineRule="auto"/>
      </w:pPr>
      <w:r>
        <w:tab/>
        <w:t xml:space="preserve">This study </w:t>
      </w:r>
      <w:r w:rsidR="00585B04">
        <w:t xml:space="preserve">used </w:t>
      </w:r>
      <w:r w:rsidR="00DC0536">
        <w:t>EMA</w:t>
      </w:r>
      <w:r w:rsidR="00585B04">
        <w:t xml:space="preserve"> methods to examine cognitive re</w:t>
      </w:r>
      <w:r w:rsidR="007377AC">
        <w:t>structuring</w:t>
      </w:r>
      <w:r w:rsidR="00585B04">
        <w:t xml:space="preserve"> and</w:t>
      </w:r>
      <w:r w:rsidR="0020045A">
        <w:t xml:space="preserve"> cognitive</w:t>
      </w:r>
      <w:r w:rsidR="00585B04">
        <w:t xml:space="preserve"> </w:t>
      </w:r>
      <w:proofErr w:type="spellStart"/>
      <w:r w:rsidR="00124FB0">
        <w:t>de</w:t>
      </w:r>
      <w:r w:rsidR="00585B04">
        <w:t>fusion</w:t>
      </w:r>
      <w:proofErr w:type="spellEnd"/>
      <w:r w:rsidR="00585B04">
        <w:t xml:space="preserve"> as </w:t>
      </w:r>
      <w:r w:rsidR="00124FB0">
        <w:t>they are naturally employed without any training</w:t>
      </w:r>
      <w:r w:rsidR="00585B04">
        <w:t xml:space="preserve">. </w:t>
      </w:r>
      <w:r w:rsidR="00404B40">
        <w:t>We</w:t>
      </w:r>
      <w:r w:rsidR="009F0E86">
        <w:t xml:space="preserve"> employed multilevel models to evaluate whether outcomes vary between individuals </w:t>
      </w:r>
      <w:r w:rsidR="00404B40">
        <w:t xml:space="preserve">based on predictors </w:t>
      </w:r>
      <w:r w:rsidR="009F0E86">
        <w:t xml:space="preserve">after accounting for their individual means and slopes on the outcome variable. </w:t>
      </w:r>
      <w:r w:rsidR="00585B04">
        <w:t xml:space="preserve">Results indicate that both </w:t>
      </w:r>
      <w:r w:rsidR="006F234D">
        <w:t xml:space="preserve">processes </w:t>
      </w:r>
      <w:r w:rsidR="00585B04">
        <w:t xml:space="preserve">are </w:t>
      </w:r>
      <w:r w:rsidR="00BC6A2B">
        <w:t xml:space="preserve">used in moderate frequency, with </w:t>
      </w:r>
      <w:r w:rsidR="006F234D">
        <w:t xml:space="preserve">a </w:t>
      </w:r>
      <w:r w:rsidR="00BC6A2B">
        <w:t xml:space="preserve">high correlation suggesting that </w:t>
      </w:r>
      <w:r w:rsidR="006F234D">
        <w:t>they</w:t>
      </w:r>
      <w:r w:rsidR="00BC6A2B">
        <w:t xml:space="preserve"> are often used </w:t>
      </w:r>
      <w:r w:rsidR="007F0CB4">
        <w:t>over the same time periods</w:t>
      </w:r>
      <w:r w:rsidR="00124FB0">
        <w:t xml:space="preserve"> to deal with </w:t>
      </w:r>
      <w:r w:rsidR="008C2B3D">
        <w:t xml:space="preserve">unwanted </w:t>
      </w:r>
      <w:r w:rsidR="00124FB0">
        <w:t xml:space="preserve">thoughts. Both </w:t>
      </w:r>
      <w:r w:rsidR="007377AC">
        <w:t>momentary</w:t>
      </w:r>
      <w:r w:rsidR="00124FB0">
        <w:t xml:space="preserve"> re</w:t>
      </w:r>
      <w:r w:rsidR="007377AC">
        <w:t>structuring</w:t>
      </w:r>
      <w:r w:rsidR="00124FB0">
        <w:t xml:space="preserve"> and </w:t>
      </w:r>
      <w:r w:rsidR="007377AC">
        <w:lastRenderedPageBreak/>
        <w:t xml:space="preserve">momentary </w:t>
      </w:r>
      <w:proofErr w:type="spellStart"/>
      <w:r w:rsidR="00124FB0">
        <w:t>defusion</w:t>
      </w:r>
      <w:proofErr w:type="spellEnd"/>
      <w:r w:rsidR="00124FB0">
        <w:t xml:space="preserve"> were found to be associated with </w:t>
      </w:r>
      <w:r w:rsidR="002C0D23">
        <w:t>potentially maladaptive cognitive</w:t>
      </w:r>
      <w:r w:rsidR="00124FB0">
        <w:t xml:space="preserve"> strategies, specifically suppression and distraction</w:t>
      </w:r>
      <w:r w:rsidR="008A1788">
        <w:t>. This may</w:t>
      </w:r>
      <w:r w:rsidR="007377AC">
        <w:t xml:space="preserve"> indicat</w:t>
      </w:r>
      <w:r w:rsidR="008A1788">
        <w:t>e</w:t>
      </w:r>
      <w:r w:rsidR="007377AC">
        <w:t xml:space="preserve"> that both are used as </w:t>
      </w:r>
      <w:r w:rsidR="002A2876">
        <w:t xml:space="preserve">part of a broader </w:t>
      </w:r>
      <w:r w:rsidR="007377AC">
        <w:t xml:space="preserve">attempt to control thoughts when these strategies are untrained. </w:t>
      </w:r>
      <w:r w:rsidR="00883CCC">
        <w:t xml:space="preserve">Relations with rumination were more complex, as momentary </w:t>
      </w:r>
      <w:proofErr w:type="spellStart"/>
      <w:r w:rsidR="00883CCC">
        <w:t>defusion</w:t>
      </w:r>
      <w:proofErr w:type="spellEnd"/>
      <w:r w:rsidR="00883CCC">
        <w:t xml:space="preserve"> was associated with lower rumination in the full sample and high-distress subsample, while momentary restructuring was associated with greater rumination in the low-distress subsample. </w:t>
      </w:r>
      <w:r w:rsidR="002C0D23">
        <w:t xml:space="preserve">Of note, while </w:t>
      </w:r>
      <w:r w:rsidR="00467AFF">
        <w:t>suppression, rumination, and distraction</w:t>
      </w:r>
      <w:r w:rsidR="002C0D23">
        <w:t xml:space="preserve"> are often described as maladaptive</w:t>
      </w:r>
      <w:r w:rsidR="004430BB">
        <w:t xml:space="preserve">, and global self-report research supports this claim </w:t>
      </w:r>
      <w:r w:rsidR="002C0D23">
        <w:t xml:space="preserve"> </w:t>
      </w:r>
      <w:r w:rsidR="002C0D23">
        <w:fldChar w:fldCharType="begin" w:fldLock="1"/>
      </w:r>
      <w:r w:rsidR="00F1125C">
        <w:instrText>ADDIN CSL_CITATION {"citationItems":[{"id":"ITEM-1","itemData":{"DOI":"10.1016/j.cpr.2009.11.004","ISBN":"02727358 (ISSN)","ISSN":"02727358","PMID":"20015584","abstract":"We examined the relationships between six emotion-regulation strategies (acceptance, avoidance, problem solving, reappraisal, rumination, and suppression) and symptoms of four psychopathologies (anxiety, depression, eating, and substance-related disorders). We combined 241 effect sizes from 114 studies that examined the relationships between dispositional emotion regulation and psychopathology. We focused on dispositional emotion regulation in order to assess patterns of responding to emotion over time. First, we examined the relationship between each regulatory strategy and psychopathology across the four disorders. We found a large effect size for rumination, medium to large for avoidance, problem solving, and suppression, and small to medium for reappraisal and acceptance. These results are surprising, given the prominence of reappraisal and acceptance in treatment models, such as cognitive-behavioral therapy and acceptance-based treatments, respectively. Second, we examined the relationship between each regulatory strategy and each of the four psychopathology groups. We found that internalizing disorders were more consistently associated with regulatory strategies than externalizing disorders. Lastly, many of our analyses showed that whether the sample came from a clinical or normative population significantly moderated the relationships. This finding underscores the importance of adopting a multi-sample approach to the study of psychopathology. ?? 2009 Elsevier B.V. All rights reserved.","author":[{"dropping-particle":"","family":"Aldao","given":"Amelia","non-dropping-particle":"","parse-names":false,"suffix":""},{"dropping-particle":"","family":"Nolen-Hoeksema","given":"Susan","non-dropping-particle":"","parse-names":false,"suffix":""},{"dropping-particle":"","family":"Schweizer","given":"Susanne","non-dropping-particle":"","parse-names":false,"suffix":""}],"container-title":"Clinical Psychology Review","id":"ITEM-1","issued":{"date-parts":[["2010"]]},"page":"217-237","title":"Emotion-regulation strategies across psychopathology: A meta-analytic review","type":"article-journal","volume":"30"},"uris":["http://www.mendeley.com/documents/?uuid=1e828dd2-c6ca-4412-81d9-8aca476075a5"]},{"id":"ITEM-2","itemData":{"DOI":"10.1007/s10862-016-9570-x","ISSN":"15733505","abstract":"Distraction is an emotion regulation strategy that has an ambiguous status within cognitive-behavior therapy. According to some treatment protocols it is counterproductive, whereas according to other protocols it is seen as a quite useful strategy. The main purpose of the present study was to test the hypothesis that distraction is adaptive when combined with active acceptance, but maladaptive when combined with avoidant strategies. A non-clinical community sample of adults (N = 638) and a clinical sample (N = 172) completed measures of emotion regulation and well-being. Hierarchical cluster analysis was used to identify subgroups with different profiles on six emotion regulation variables, and these subgroups were then compared on well-being (positive and negative emotionality, and life quality) and on clinical status. A nine-cluster solution was chosen on the basis of explained variance and homogeneity coefficients. Two of these clusters had almost identical scores on distraction, but showed otherwise very different profiles (distraction combined with acceptance vs. distraction combined with avoidance). The distraction-acceptance cluster scored significantly higher than the distraction-avoidance cluster on all measures of well-being; it was also under-represented in the clinical sample, whereas the distraction-avoidance cluster was over-represented. Limitations include a cross-sectional design, and use of self-report measures. The findings suggest that distraction may be either adaptive or maladaptive, depending on whether it is combined with an attitude of acceptance or avoidance.","author":[{"dropping-particle":"","family":"Wolgast","given":"Martin","non-dropping-particle":"","parse-names":false,"suffix":""},{"dropping-particle":"","family":"Lundh","given":"Lars Gunnar","non-dropping-particle":"","parse-names":false,"suffix":""}],"container-title":"Journal of Psychopathology and Behavioral Assessment","id":"ITEM-2","issue":"1","issued":{"date-parts":[["2017"]]},"page":"117-127","publisher":"Journal of Psychopathology and Behavioral Assessment","title":"Is distraction an adaptive or maladaptive strategy for emotion regulation? A person-oriented approach","type":"article-journal","volume":"39"},"uris":["http://www.mendeley.com/documents/?uuid=522babac-49fe-40f0-84a8-316e78dbebb7"]}],"mendeley":{"formattedCitation":"(Aldao et al., 2010; Wolgast &amp; Lundh, 2017)","plainTextFormattedCitation":"(Aldao et al., 2010; Wolgast &amp; Lundh, 2017)","previouslyFormattedCitation":"(Aldao et al., 2010; Wolgast &amp; Lundh, 2017)"},"properties":{"noteIndex":0},"schema":"https://github.com/citation-style-language/schema/raw/master/csl-citation.json"}</w:instrText>
      </w:r>
      <w:r w:rsidR="002C0D23">
        <w:fldChar w:fldCharType="separate"/>
      </w:r>
      <w:r w:rsidR="004430BB" w:rsidRPr="004430BB">
        <w:rPr>
          <w:noProof/>
        </w:rPr>
        <w:t>(Aldao et al., 2010; Wolgast &amp; Lundh, 2017)</w:t>
      </w:r>
      <w:r w:rsidR="002C0D23">
        <w:fldChar w:fldCharType="end"/>
      </w:r>
      <w:r w:rsidR="004430BB">
        <w:t xml:space="preserve">, </w:t>
      </w:r>
      <w:r w:rsidR="00F1125C">
        <w:t xml:space="preserve">the effects of any coping strategy may be context-dependent </w:t>
      </w:r>
      <w:r w:rsidR="00F1125C">
        <w:fldChar w:fldCharType="begin" w:fldLock="1"/>
      </w:r>
      <w:r w:rsidR="00060080">
        <w:instrText>ADDIN CSL_CITATION {"citationItems":[{"id":"ITEM-1","itemData":{"DOI":"10.1016/j.brat.2012.04.004","ISBN":"0005-7967","ISSN":"00057967","PMID":"22659159","abstract":"Putatively adaptive emotion regulation strategies (e.g., acceptance, problem solving, reappraisal) show weaker associations with psychopathology than putatively maladaptive strategies (e.g., avoidance, self-criticism, hiding expression, suppression of experience, worry, rumination). This is puzzling, given the central role that adaptive strategies play in a wide range of psychotherapeutic approaches. We explored this asymmetry by examining the effects of context (i.e., emotion intensity, type of emotion, social vs. academic circumstances) on the implementation of adaptive and maladaptive strategies. We asked 111 participants to describe 8 emotion-eliciting situations and identify which strategies they used in order to regulate their affect. We found support for a contextual model of emotion regulation, in which adaptive strategies were implemented with more cross-situational variability than maladaptive strategies. In addition, the variability in implementation of two adaptive strategies (acceptance, problem solving) predicted lower levels of psychopathology, suggesting that flexible implementation of such strategies in line with contextual demands is associated with better mental health. We discuss these findings by underscoring the importance of adopting a functional approach to the delineation of contextual factors that influence the implementation of emotion regulation strategies. © 2012 Elsevier Ltd.","author":[{"dropping-particle":"","family":"Aldao","given":"Amelia","non-dropping-particle":"","parse-names":false,"suffix":""},{"dropping-particle":"","family":"Nolen-Hoeksema","given":"Susan","non-dropping-particle":"","parse-names":false,"suffix":""}],"container-title":"Behaviour Research and Therapy","id":"ITEM-1","issued":{"date-parts":[["2012"]]},"page":"493-501","publisher":"Elsevier Ltd","title":"The influence of context on the implementation of adaptive emotion regulation strategies","type":"article-journal","volume":"50"},"uris":["http://www.mendeley.com/documents/?uuid=0b56cc71-1572-4ea3-97ff-e88b2f3c2074"]},{"id":"ITEM-2","itemData":{"DOI":"10.1080/10615800802641950","ISBN":"1061-5806","ISSN":"1061-5806","PMID":"19326272","abstract":"A few recent studies have found evidence showing that social anxiety is associated with diminished positive affect and elevated anger. However, prior work has relied on trait self-report measures of global positive mood or anger. In this preliminary study, we examined how trait social anxiety relates to moment-to-moment positive and angry emotional states as people navigate through their natural environment in a given day. Of additional interest was whether any associations were limited to social situations or were evident more broadly in non-social situations as well. For 14 days, 38 non-clinical community adults carried electronic diaries to assess their experience of positive emotions, anger, and their current social context and activity. Participants were randomly prompted up to four times per day, leading to 1702 observations. Results showed that social anxiety was associated with less time spent feeling happy and relaxed and more time spent feeling angry throughout the day. In general, people felt happier when they were with other people compared to being alone. Interestingly, people with relatively higher levels of social anxiety reported fewer and less intense positive emotions and greater anger episodes across social and non-social situations.","author":[{"dropping-particle":"","family":"Kashdan","given":"Todd B.","non-dropping-particle":"","parse-names":false,"suffix":""},{"dropping-particle":"","family":"Collins","given":"R. Lorraine","non-dropping-particle":"","parse-names":false,"suffix":""}],"container-title":"Anxiety, Stress &amp; Coping","id":"ITEM-2","issue":"3","issued":{"date-parts":[["2010"]]},"page":"259-272","title":"Social anxiety and the experience of positive emotion and anger in everyday life: an ecological momentary assessment approach","type":"article-journal","volume":"23"},"uris":["http://www.mendeley.com/documents/?uuid=edebc4cc-f892-4cd4-a7f0-24ae54a37c80"]},{"id":"ITEM-3","itemData":{"DOI":"10.1080/16506073.2016.1218926","author":[{"dropping-particle":"","family":"Brockman","given":"Robert","non-dropping-particle":"","parse-names":false,"suffix":""},{"dropping-particle":"","family":"Ciarrochi","given":"Joseph","non-dropping-particle":"","parse-names":false,"suffix":""},{"dropping-particle":"","family":"Parker","given":"Philip","non-dropping-particle":"","parse-names":false,"suffix":""},{"dropping-particle":"","family":"Kashdan","given":"Todd","non-dropping-particle":"","parse-names":false,"suffix":""}],"container-title":"Cognitive Behaviour Therapy","id":"ITEM-3","issued":{"date-parts":[["2016"]]},"page":"91-113","title":"Emotion regulation strategies in daily life: Mindfulness, cognitive reappraisal and emotion suppression","type":"article-journal","volume":"46"},"uris":["http://www.mendeley.com/documents/?uuid=a23607f5-8a05-47b2-9efb-a9188334ee83"]}],"mendeley":{"formattedCitation":"(Aldao &amp; Nolen-Hoeksema, 2012; Brockman et al., 2016; Kashdan &amp; Collins, 2010)","manualFormatting":"(e.g., Aldao &amp; Nolen-Hoeksema, 2012; Brockman et al., 2016; Kashdan &amp; Collins, 2010)","plainTextFormattedCitation":"(Aldao &amp; Nolen-Hoeksema, 2012; Brockman et al., 2016; Kashdan &amp; Collins, 2010)","previouslyFormattedCitation":"(Aldao &amp; Nolen-Hoeksema, 2012; Brockman et al., 2016; Kashdan &amp; Collins, 2010)"},"properties":{"noteIndex":0},"schema":"https://github.com/citation-style-language/schema/raw/master/csl-citation.json"}</w:instrText>
      </w:r>
      <w:r w:rsidR="00F1125C">
        <w:fldChar w:fldCharType="separate"/>
      </w:r>
      <w:r w:rsidR="00F1125C" w:rsidRPr="00F1125C">
        <w:rPr>
          <w:noProof/>
        </w:rPr>
        <w:t>(</w:t>
      </w:r>
      <w:r w:rsidR="00F1125C">
        <w:rPr>
          <w:noProof/>
        </w:rPr>
        <w:t xml:space="preserve">e.g., </w:t>
      </w:r>
      <w:r w:rsidR="00F1125C" w:rsidRPr="00F1125C">
        <w:rPr>
          <w:noProof/>
        </w:rPr>
        <w:t>Aldao &amp; Nolen-Hoeksema, 2012; Brockman et al., 2016; Kashdan &amp; Collins, 2010)</w:t>
      </w:r>
      <w:r w:rsidR="00F1125C">
        <w:fldChar w:fldCharType="end"/>
      </w:r>
      <w:r w:rsidR="00F1125C">
        <w:t>, such that no strategy is inherently adaptive or maladaptive.</w:t>
      </w:r>
      <w:r w:rsidR="000C4FE5">
        <w:t xml:space="preserve"> Further examining how context (e.g., variability in use based on situational or individual factors) influences the utility of these strategies would be highly beneficial. </w:t>
      </w:r>
    </w:p>
    <w:p w14:paraId="405ECCE0" w14:textId="4E7D76F3" w:rsidR="00B610F0" w:rsidRDefault="00883CCC" w:rsidP="00393B91">
      <w:pPr>
        <w:spacing w:line="480" w:lineRule="auto"/>
      </w:pPr>
      <w:r>
        <w:tab/>
        <w:t>C</w:t>
      </w:r>
      <w:r w:rsidR="007377AC">
        <w:t xml:space="preserve">ross-sectional analyses found that momentary </w:t>
      </w:r>
      <w:proofErr w:type="spellStart"/>
      <w:r w:rsidR="007377AC">
        <w:t>defusion</w:t>
      </w:r>
      <w:proofErr w:type="spellEnd"/>
      <w:r w:rsidR="007377AC">
        <w:t xml:space="preserve"> predicted lower NA and higher PA</w:t>
      </w:r>
      <w:r w:rsidR="00467AFF">
        <w:t xml:space="preserve"> in all groups</w:t>
      </w:r>
      <w:r w:rsidR="007377AC">
        <w:t xml:space="preserve">, while momentary restructuring was </w:t>
      </w:r>
      <w:r>
        <w:t>unrelated to NA and associated with higher PA in the full sample and low-distress group</w:t>
      </w:r>
      <w:r w:rsidR="007377AC">
        <w:t>. Both strategies were found to predict values progress.</w:t>
      </w:r>
      <w:r w:rsidR="007D55A6">
        <w:t xml:space="preserve"> </w:t>
      </w:r>
      <w:r w:rsidR="00370223">
        <w:t>W</w:t>
      </w:r>
      <w:r w:rsidR="007377AC">
        <w:t>hen t</w:t>
      </w:r>
      <w:r w:rsidR="007D55A6">
        <w:t xml:space="preserve">ime was accounted for through a lagged model, </w:t>
      </w:r>
      <w:r w:rsidR="00704DFF">
        <w:t xml:space="preserve">in general </w:t>
      </w:r>
      <w:r w:rsidR="007D55A6">
        <w:t>neither strategy was predictive of either P</w:t>
      </w:r>
      <w:r w:rsidR="00704DFF">
        <w:t>A,</w:t>
      </w:r>
      <w:r w:rsidR="007D55A6">
        <w:t xml:space="preserve"> NA </w:t>
      </w:r>
      <w:r w:rsidR="00704DFF">
        <w:t xml:space="preserve">or values progress </w:t>
      </w:r>
      <w:r w:rsidR="007D55A6">
        <w:t>at the next time point</w:t>
      </w:r>
      <w:r w:rsidR="00B610F0">
        <w:t xml:space="preserve">. </w:t>
      </w:r>
      <w:r w:rsidR="00704DFF">
        <w:t xml:space="preserve">However, momentary </w:t>
      </w:r>
      <w:proofErr w:type="spellStart"/>
      <w:r w:rsidR="00704DFF">
        <w:t>defusion</w:t>
      </w:r>
      <w:proofErr w:type="spellEnd"/>
      <w:r w:rsidR="00704DFF">
        <w:t xml:space="preserve"> did predict later values progress in the low-distress group (and values progress did not predict later </w:t>
      </w:r>
      <w:proofErr w:type="spellStart"/>
      <w:r w:rsidR="00704DFF">
        <w:t>defusion</w:t>
      </w:r>
      <w:proofErr w:type="spellEnd"/>
      <w:r w:rsidR="00704DFF">
        <w:t>).</w:t>
      </w:r>
      <w:r w:rsidR="007D55A6">
        <w:t xml:space="preserve"> </w:t>
      </w:r>
    </w:p>
    <w:p w14:paraId="6A6B8E28" w14:textId="0DFF7E40" w:rsidR="00704DFF" w:rsidRDefault="00B610F0" w:rsidP="00481FB0">
      <w:pPr>
        <w:spacing w:line="480" w:lineRule="auto"/>
        <w:ind w:firstLine="720"/>
      </w:pPr>
      <w:r>
        <w:t>These results suggest that when untrained on these strategies, individuals tend</w:t>
      </w:r>
      <w:r w:rsidR="002D5BD7">
        <w:t xml:space="preserve"> to</w:t>
      </w:r>
      <w:r>
        <w:t xml:space="preserve"> use both momentary restructuring and momentary </w:t>
      </w:r>
      <w:proofErr w:type="spellStart"/>
      <w:r>
        <w:t>defusion</w:t>
      </w:r>
      <w:proofErr w:type="spellEnd"/>
      <w:r>
        <w:t xml:space="preserve"> as </w:t>
      </w:r>
      <w:r w:rsidR="002A2876">
        <w:t xml:space="preserve">part of a broader set of coping </w:t>
      </w:r>
      <w:r>
        <w:t xml:space="preserve">strategies for </w:t>
      </w:r>
      <w:r w:rsidR="008C2B3D">
        <w:t xml:space="preserve">unwanted </w:t>
      </w:r>
      <w:r>
        <w:t xml:space="preserve">thoughts, </w:t>
      </w:r>
      <w:r w:rsidR="002A2876">
        <w:t>which also includes suppression and distraction</w:t>
      </w:r>
      <w:r>
        <w:t xml:space="preserve">. </w:t>
      </w:r>
      <w:r w:rsidR="00704DFF">
        <w:t xml:space="preserve">As used naturalistically, the effects of these strategies and their correlations with other coping strategies appear to be largely </w:t>
      </w:r>
      <w:r w:rsidR="00704DFF">
        <w:lastRenderedPageBreak/>
        <w:t xml:space="preserve">similar. For example, both are related to greater positive affect and values progress cross-sectionally, and their longitudinal impact is unclear. However, there are some signs of </w:t>
      </w:r>
      <w:r w:rsidR="001E6CD8">
        <w:t xml:space="preserve">potential </w:t>
      </w:r>
      <w:r w:rsidR="00704DFF">
        <w:t xml:space="preserve">differences. Momentary </w:t>
      </w:r>
      <w:proofErr w:type="spellStart"/>
      <w:r w:rsidR="00704DFF">
        <w:t>defusion</w:t>
      </w:r>
      <w:proofErr w:type="spellEnd"/>
      <w:r w:rsidR="00704DFF">
        <w:t xml:space="preserve"> may be linked with less rumination, while momentary restructuring may be linked with greater rumination</w:t>
      </w:r>
      <w:r w:rsidR="001F603E">
        <w:t xml:space="preserve"> depending on level of distress</w:t>
      </w:r>
      <w:r w:rsidR="00704DFF">
        <w:t xml:space="preserve">. Momentary </w:t>
      </w:r>
      <w:proofErr w:type="spellStart"/>
      <w:r w:rsidR="00704DFF">
        <w:t>defusion</w:t>
      </w:r>
      <w:proofErr w:type="spellEnd"/>
      <w:r w:rsidR="00704DFF">
        <w:t xml:space="preserve"> was also consistently related to less negative affect; however, the direction of this relationship is </w:t>
      </w:r>
      <w:proofErr w:type="gramStart"/>
      <w:r w:rsidR="00704DFF">
        <w:t>unclear</w:t>
      </w:r>
      <w:proofErr w:type="gramEnd"/>
      <w:r w:rsidR="00704DFF">
        <w:t xml:space="preserve"> and it is possible that those with less negative affect are more easily able to defuse. </w:t>
      </w:r>
      <w:r w:rsidR="001E6CD8">
        <w:t xml:space="preserve">In addition, there was some support for the utility of </w:t>
      </w:r>
      <w:proofErr w:type="spellStart"/>
      <w:r w:rsidR="001E6CD8">
        <w:t>defusion</w:t>
      </w:r>
      <w:proofErr w:type="spellEnd"/>
      <w:r w:rsidR="001E6CD8">
        <w:t xml:space="preserve"> longitudinally in the low-distress group.</w:t>
      </w:r>
      <w:r w:rsidR="00704DFF">
        <w:t xml:space="preserve"> </w:t>
      </w:r>
    </w:p>
    <w:p w14:paraId="5DC934AA" w14:textId="66E6950E" w:rsidR="006E0277" w:rsidRDefault="00AB0D79" w:rsidP="00AB0D79">
      <w:pPr>
        <w:spacing w:line="480" w:lineRule="auto"/>
        <w:ind w:firstLine="720"/>
      </w:pPr>
      <w:r>
        <w:t>C</w:t>
      </w:r>
      <w:r w:rsidR="008A1788">
        <w:t xml:space="preserve">ognitive fusion </w:t>
      </w:r>
      <w:r>
        <w:t xml:space="preserve">has been previously found to be </w:t>
      </w:r>
      <w:r w:rsidR="008A1788">
        <w:t>a stronger predictor of mental health concerns than cognitive reappraisal</w:t>
      </w:r>
      <w:r w:rsidR="00B5775D">
        <w:t xml:space="preserve"> </w:t>
      </w:r>
      <w:r w:rsidR="00B5775D">
        <w:fldChar w:fldCharType="begin" w:fldLock="1"/>
      </w:r>
      <w:r w:rsidR="00B5775D">
        <w:instrText>ADDIN CSL_CITATION {"citationItems":[{"id":"ITEM-1","itemData":{"DOI":"10.1080/16506073.2018.1513556","ISSN":"16512316","abstract":"© 2018, © 2018 Swedish Association for Behaviour Therapy. Transdiagnostic cognitive behavioral interventions target different cognitive processes to promote mental health, including cognitive fusion and cognitive reappraisal. Determining the relative impact of cognitive fusion and reappraisal on a range of student mental health concerns could help interventions target psychopathological cognitive processes more effectively. Therefore, this study examined the longitudinal impact of cognitive fusion and reappraisal on mental health and functioning outcomes. A series of hierarchical regression models tested the effects of cognitive fusion and reappraisal in a sample of college students (n = 339). When controlling for reappraisal and baseline symptoms, fusion predicted distress, depression, generalized anxiety, social anxiety, hostility, academic distress, and student role problems 1 month later. Reappraisal predicted only student role problems longitudinally when controlling for fusion. These results suggest that cognitive fusion is a stronger predictor than reappraisal for a range of student mental health concerns and may be a particularly important target for improving student mental health.","author":[{"dropping-particle":"","family":"Krafft","given":"J.","non-dropping-particle":"","parse-names":false,"suffix":""},{"dropping-particle":"","family":"Haeger","given":"J.A.","non-dropping-particle":"","parse-names":false,"suffix":""},{"dropping-particle":"","family":"Levin","given":"M.E.","non-dropping-particle":"","parse-names":false,"suffix":""}],"container-title":"Cognitive Behaviour Therapy","id":"ITEM-1","issue":"3","issued":{"date-parts":[["2019"]]},"title":"Comparing cognitive fusion and cognitive reappraisal as predictors of college student mental health","type":"article-journal","volume":"48"},"uris":["http://www.mendeley.com/documents/?uuid=58351451-1bdb-36e2-a7e5-45150565a6f6"]}],"mendeley":{"formattedCitation":"(Krafft et al., 2019)","plainTextFormattedCitation":"(Krafft et al., 2019)","previouslyFormattedCitation":"(Krafft et al., 2019)"},"properties":{"noteIndex":0},"schema":"https://github.com/citation-style-language/schema/raw/master/csl-citation.json"}</w:instrText>
      </w:r>
      <w:r w:rsidR="00B5775D">
        <w:fldChar w:fldCharType="separate"/>
      </w:r>
      <w:r w:rsidR="00B5775D" w:rsidRPr="00B5775D">
        <w:rPr>
          <w:noProof/>
        </w:rPr>
        <w:t>(Krafft et al., 2019)</w:t>
      </w:r>
      <w:r w:rsidR="00B5775D">
        <w:fldChar w:fldCharType="end"/>
      </w:r>
      <w:r>
        <w:t xml:space="preserve">. If </w:t>
      </w:r>
      <w:r w:rsidR="00945362">
        <w:t xml:space="preserve">the relationship with one’s thought (i.e., </w:t>
      </w:r>
      <w:r>
        <w:t>fusion</w:t>
      </w:r>
      <w:r w:rsidR="00945362">
        <w:t>)</w:t>
      </w:r>
      <w:r>
        <w:t xml:space="preserve"> bears a heavier weight on mental health than cognitive content</w:t>
      </w:r>
      <w:r w:rsidR="00945362">
        <w:t xml:space="preserve"> (i.e., reappraisal)</w:t>
      </w:r>
      <w:r>
        <w:t xml:space="preserve">, it would make sense that </w:t>
      </w:r>
      <w:proofErr w:type="spellStart"/>
      <w:r w:rsidR="001E6CD8">
        <w:t>defusion</w:t>
      </w:r>
      <w:proofErr w:type="spellEnd"/>
      <w:r>
        <w:t xml:space="preserve"> </w:t>
      </w:r>
      <w:r w:rsidR="001E6CD8">
        <w:t>may be more advantageous in some circumstances</w:t>
      </w:r>
      <w:r w:rsidR="008A1788">
        <w:t xml:space="preserve">. </w:t>
      </w:r>
      <w:r w:rsidR="001E6CD8">
        <w:t xml:space="preserve">Some </w:t>
      </w:r>
      <w:r w:rsidR="008A1788">
        <w:t xml:space="preserve">studies have found </w:t>
      </w:r>
      <w:proofErr w:type="spellStart"/>
      <w:r w:rsidR="008A1788">
        <w:t>defusion</w:t>
      </w:r>
      <w:proofErr w:type="spellEnd"/>
      <w:r w:rsidR="00342A2C">
        <w:t xml:space="preserve"> to be </w:t>
      </w:r>
      <w:r w:rsidR="008A1788">
        <w:t xml:space="preserve">significantly </w:t>
      </w:r>
      <w:r w:rsidR="00342A2C">
        <w:t>more effective</w:t>
      </w:r>
      <w:r w:rsidR="008A1788">
        <w:t xml:space="preserve"> </w:t>
      </w:r>
      <w:r w:rsidR="00342A2C">
        <w:t xml:space="preserve">for managing </w:t>
      </w:r>
      <w:r w:rsidR="00D61AA4">
        <w:t>negative thoughts</w:t>
      </w:r>
      <w:r w:rsidR="008A1788">
        <w:t xml:space="preserve"> as well as for reducing acting on food cravings</w:t>
      </w:r>
      <w:r w:rsidR="00B5775D">
        <w:t xml:space="preserve"> </w:t>
      </w:r>
      <w:r w:rsidR="00B5775D">
        <w:fldChar w:fldCharType="begin" w:fldLock="1"/>
      </w:r>
      <w:r w:rsidR="00B5775D">
        <w:instrText>ADDIN CSL_CITATION {"citationItems":[{"id":"ITEM-1","itemData":{"DOI":"10.1177/0145445515621488","ISSN":"15524167","PMID":"26685210","abstract":"Negative thoughts, experienced by 80% to 99% of the non-clinical population, have been linked to the development of psychopathology. The current study aimed to compare a cognitive restructuring and cognitive defusion technique for coping with a personally relevant negative thought. Over a 5-day period, participants used either a restructuring, defusion, or control strategy to manage a negative thought. Pre- and post-intervention participants reported (a) believability of the thought, (b) discomfort associated with the thought, (c) negativity associated with the thought, and (d) willingness to experience the thought. Daily online questionnaires assessing the total frequency of negative thought intrusions and their level of willingness to experience the negative thought were also used. Also, 10 positive and negative self-statements were rated on the same scales, and self-report measures of mood and psychological flexibility were completed. Findings indicated that defusion lowered believability, increased comfort and willingness to have the target thought, and increased positive affect significantly more than the control and cognitive restructuring. Within groups, cognitive restructuring also made significant gains in target thought discomfort, negativity, and “willingness to have” in the same direction as defusion but the no-instruction control did not. Negative thought frequency was reduced in the defusion group, maintained in the restructuring group, and increased in the no-instruction control group. Similar trends emerged from the secondary outcome measures, that is, the effects of the strategies on the positive and negative self-statements. The current findings support the efficacy of using defusion as a strategy for managing negative thoughts.","author":[{"dropping-particle":"","family":"Larsson","given":"Andreas","non-dropping-particle":"","parse-names":false,"suffix":""},{"dropping-particle":"","family":"Hooper","given":"Nic","non-dropping-particle":"","parse-names":false,"suffix":""},{"dropping-particle":"","family":"Osborne","given":"Lisa A.","non-dropping-particle":"","parse-names":false,"suffix":""},{"dropping-particle":"","family":"Bennett","given":"Paul","non-dropping-particle":"","parse-names":false,"suffix":""},{"dropping-particle":"","family":"McHugh","given":"Louise","non-dropping-particle":"","parse-names":false,"suffix":""}],"container-title":"Behavior Modification","id":"ITEM-1","issue":"3","issued":{"date-parts":[["2015"]]},"page":"452-482","title":"Using brief cognitive restructuring and cognitive defusion techniques to cope with negative thoughts","type":"article-journal","volume":"40"},"uris":["http://www.mendeley.com/documents/?uuid=da1938d1-38e1-4b07-ba99-82447074904b"]},{"id":"ITEM-2","itemData":{"DOI":"10.1080/08870446.2012.694436","ISBN":"0887-0446","ISSN":"0887-0446","PMID":"22691136","abstract":"The present study investigated the effectiveness of two cognitive strategies for resisting a craved food. One-hundred-and-ten self-identified chocolate cravers were randomised to a waiting list control condition or to receive a 60-minute standardised group intervention on cognitive restructuring (CR) or cognitive defusion (CD). All participants were provided with a bag of chocolates which they were instructed to carry with them for seven days and try to resist eating; uneaten chocolates were returned at the end of the study period. Measures included chocolate consumption and other behavioural, cognitive and evaluative self-reported outcomes. Overall, the odds of abstinence from chocolate were 3.26 times higher for participants in the CD than the CR condition. The effect of the interventions depended on baseline cognitive distress levels; for individuals at high levels of cognitive distress the CD condition led to significantly more restraint from chocolate than both the CR and control conditions. In addition, CD led to greater self-reported improvements in eating behaviours during the study period and was rated significantly easier to use and apply than CR. CD is discussed as a simple and efficient approach to manage food cravings and, potentially, other behavioural contributors to obesity.","author":[{"dropping-particle":"","family":"Moffitt","given":"Robyn","non-dropping-particle":"","parse-names":false,"suffix":""},{"dropping-particle":"","family":"Brinkworth","given":"Grant","non-dropping-particle":"","parse-names":false,"suffix":""},{"dropping-particle":"","family":"Noakes","given":"Manny","non-dropping-particle":"","parse-names":false,"suffix":""},{"dropping-particle":"","family":"Mohr","given":"Philip","non-dropping-particle":"","parse-names":false,"suffix":""}],"container-title":"Psychology &amp; Health","id":"ITEM-2","issue":"sup2","issued":{"date-parts":[["2012"]]},"page":"74-90","title":"A comparison of cognitive restructuring and cognitive defusion as strategies for resisting a craved food","type":"article-journal","volume":"27"},"uris":["http://www.mendeley.com/documents/?uuid=da4f8df5-30b7-412e-ae3e-2c0af70c1cff"]}],"mendeley":{"formattedCitation":"(Larsson et al., 2015; Moffitt et al., 2012)","plainTextFormattedCitation":"(Larsson et al., 2015; Moffitt et al., 2012)","previouslyFormattedCitation":"(Larsson et al., 2015; Moffitt et al., 2012)"},"properties":{"noteIndex":0},"schema":"https://github.com/citation-style-language/schema/raw/master/csl-citation.json"}</w:instrText>
      </w:r>
      <w:r w:rsidR="00B5775D">
        <w:fldChar w:fldCharType="separate"/>
      </w:r>
      <w:r w:rsidR="00B5775D" w:rsidRPr="00B5775D">
        <w:rPr>
          <w:noProof/>
        </w:rPr>
        <w:t>(Larsson et al., 2015; Moffitt et al., 2012)</w:t>
      </w:r>
      <w:r w:rsidR="00B5775D">
        <w:fldChar w:fldCharType="end"/>
      </w:r>
      <w:r w:rsidR="00FB1759">
        <w:t xml:space="preserve">. </w:t>
      </w:r>
      <w:r w:rsidR="006E0277">
        <w:t>It should be noted that o</w:t>
      </w:r>
      <w:r w:rsidR="00370223">
        <w:t xml:space="preserve">ther studies have </w:t>
      </w:r>
      <w:r w:rsidR="00F072F0">
        <w:t>found</w:t>
      </w:r>
      <w:r w:rsidR="006E0277">
        <w:t xml:space="preserve"> approximately equivalent positive outcomes between the two</w:t>
      </w:r>
      <w:r w:rsidR="00F072F0">
        <w:t>,</w:t>
      </w:r>
      <w:r>
        <w:t xml:space="preserve"> </w:t>
      </w:r>
      <w:r w:rsidR="003C17EC">
        <w:t>albeit</w:t>
      </w:r>
      <w:r>
        <w:t xml:space="preserve"> </w:t>
      </w:r>
      <w:r w:rsidR="00F072F0">
        <w:t xml:space="preserve">with potential </w:t>
      </w:r>
      <w:r>
        <w:t xml:space="preserve">differences in underlying </w:t>
      </w:r>
      <w:r w:rsidR="00F072F0">
        <w:t>processes of change</w:t>
      </w:r>
      <w:r w:rsidR="006E0277">
        <w:t xml:space="preserve"> </w:t>
      </w:r>
      <w:r w:rsidR="00B5775D">
        <w:fldChar w:fldCharType="begin" w:fldLock="1"/>
      </w:r>
      <w:r w:rsidR="00B5775D">
        <w:instrText>ADDIN CSL_CITATION {"citationItems":[{"id":"ITEM-1","itemData":{"DOI":"10.1891/0889-8391.25.3.218","ISBN":"0889-8391","ISSN":"08898391","abstract":"Leekam, S. R. (2004). Reconstructing children's understanding of mind: Reflections from the study of atypical development. Behavioral and Brain Sciences, 27(1), 113-114. Retrieved from http://search.proquest.com.library.capella.edu/docview/212295114?accountid=27965","author":[{"dropping-particle":"","family":"Deacon","given":"Brett J.","non-dropping-particle":"","parse-names":false,"suffix":""},{"dropping-particle":"","family":"Fawzy","given":"Tamer I.","non-dropping-particle":"","parse-names":false,"suffix":""},{"dropping-particle":"","family":"Lickel","given":"James J.","non-dropping-particle":"","parse-names":false,"suffix":""},{"dropping-particle":"","family":"Wolitzky-Taylor","given":"Kate B.","non-dropping-particle":"","parse-names":false,"suffix":""}],"container-title":"Journal of Cognitive Psychotherapy","id":"ITEM-1","issued":{"date-parts":[["2011"]]},"page":"218-232","title":"Cognitive defusion versus cognitive restructuring in the treatment of negative self-referential thoughts: An investigation of process and outcome","type":"article-journal","volume":"25"},"uris":["http://www.mendeley.com/documents/?uuid=a2f620c7-932b-4de3-8bb1-3a1c9ffd05d4"]},{"id":"ITEM-2","itemData":{"DOI":"10.1007/s10608-018-9944-3","ISSN":"15732819","abstract":"There are ongoing questions regarding the similarities and differences in the clinical impact and processes of change for cognitive restructuring and cognitive defusion. This clinical component test compared 87 adults high in self-criticism randomized to a cognitive defusion mobile app, restructuring app, or waitlist condition for 2 weeks. Equivalent improvements were found from the defusion and restructuring apps relative to the waitlist on self-criticism and distress as well as decentering, self-compassion, and dysfunctional attitudes. However, the defusion condition had a more consistent pattern of improvements relative to waitlist. Improvements in cognitive decentering, self-compassion, and dysfunctional attitudes mediated effects for cognitive defusion relative to waitlist. These mediators were inconsistent for cognitive restructuring. Improvements in self-compassion and cognitive decentering correlated with improvements in outcomes in the defusion condition, but not the restructuring condition. Overall, these results suggest mobile apps providing cognitive defusion and cognitive restructuring strategies are equally effective, but work through distinct processes of change.","author":[{"dropping-particle":"","family":"Levin","given":"Michael E.","non-dropping-particle":"","parse-names":false,"suffix":""},{"dropping-particle":"","family":"Haeger","given":"Jack","non-dropping-particle":"","parse-names":false,"suffix":""},{"dropping-particle":"","family":"An","given":"Woolee","non-dropping-particle":"","parse-names":false,"suffix":""},{"dropping-particle":"","family":"Twohig","given":"Michael P.","non-dropping-particle":"","parse-names":false,"suffix":""}],"container-title":"Cognitive Therapy and Research","id":"ITEM-2","issue":"6","issued":{"date-parts":[["2018"]]},"page":"844-855","publisher":"Springer US","title":"Comparing cognitive defusion and cognitive restructuring delivered through a mobile app for individuals high in self-criticism","type":"article-journal","volume":"42"},"uris":["http://www.mendeley.com/documents/?uuid=23947fb4-85a0-4f0f-9010-863e8a88c2db"]},{"id":"ITEM-3","itemData":{"DOI":"10.1016/j.beth.2014.02.007","ISSN":"18781888","PMID":"24912461","abstract":"We aimed to examine the core elements of cognitive behavioral therapy and acceptance and commitment therapy that target distressing negative cognitions, cognitive restructuring (CR) and cognitive defusion (CD), respectively. Participants (N= 142) recalled a saddening autobiographical event, identified a distressing thought it triggered, and completed a task that induced rumination on these cognitions. They then completed one of four brief interventions that targeted these emotionally charged cognitions: analogue versions of CR and CD, and two control interventions. The personal negative cognitions were then reactivated to examine the protective effects of these interventions. CR and CD were similarly efficacious in alleviating distress, compared to a control intervention that focused on participants' negative thoughts. Mood improvement was associated with state levels of reappraisal and not with acceptance in CR, whereas the reverse was observed in CD. Improvement was associated with perceived efficacy of the intervention in CR but not in CD. The present findings suggest that although CR and CD effectively promote different types of cognitive strategies, they may share important features that set them both apart from maladaptive forms of coping. © 2014.","author":[{"dropping-particle":"","family":"Yovel","given":"Iftah","non-dropping-particle":"","parse-names":false,"suffix":""},{"dropping-particle":"","family":"Mor","given":"Nilly","non-dropping-particle":"","parse-names":false,"suffix":""},{"dropping-particle":"","family":"Shakarov","given":"Hagit","non-dropping-particle":"","parse-names":false,"suffix":""}],"container-title":"Behavior Therapy","id":"ITEM-3","issue":"4","issued":{"date-parts":[["2014"]]},"page":"482-494","publisher":"Elsevier B.V.","title":"Examination of the core cognitive components of cognitive behavioral therapy and acceptance and commitment therapy: An analogue investigation","type":"article-journal","volume":"45"},"uris":["http://www.mendeley.com/documents/?uuid=976956b1-9aa9-4f58-9761-88ca4e8bb13f"]},{"id":"ITEM-4","itemData":{"DOI":"10.1017/S1352465814000630","ISSN":"14691833","PMID":"25683574","abstract":"Background: One of the primary differences between Cognitive Behavioral Therapy (CBT) and Acceptance and Commitment Therapy (ACT) for anxiety is the approach to managing negative thoughts. CBT focuses on challenging the accuracy of dysfunctional thoughts through cognitive restructuring exercises, whereas ACT attempts to foster acceptance of such thoughts through cognitive defusion exercises. Previous research suggests that both techniques reduce the distress associated with negative thoughts, though questions remain regarding the benefit of these techniques above and beyond exposure to feared stimuli. Aims: In the present study, we conducted a brief experimental intervention to examine the utility of cognitive defusion + in-vivo exposure, cognitive restructuring + in-vivo exposure, and in-vivo exposure alone in reducing the impact of negative thoughts in patients with social anxiety disorder. Method: All participants completed a brief public speaking exposure and those in the cognitive conditions received training in the assigned cognitive technique. Participants returned a week later to complete a second exposure task and self-report measures. Results: All three conditions resulted in similar decreases in discomfort related to negative thoughts. ANOVA models failed to find an interaction between change in accuracy or importance and assignment to condition in predicting decreased distress of negative thoughts. Conclusions: These preliminary results suggest that changes in perceived importance and accuracy of negative thoughts may not be the mechanisms by which cognitive defusion and cognitive restructuring affect distress in the short-Term.","author":[{"dropping-particle":"","family":"Barrera","given":"Terri L.","non-dropping-particle":"","parse-names":false,"suffix":""},{"dropping-particle":"","family":"Szafranski","given":"Derek D.","non-dropping-particle":"","parse-names":false,"suffix":""},{"dropping-particle":"","family":"Ratcliff","given":"Chelsea G.","non-dropping-particle":"","parse-names":false,"suffix":""},{"dropping-particle":"","family":"Garnaat","given":"Sarah L.","non-dropping-particle":"","parse-names":false,"suffix":""},{"dropping-particle":"","family":"Norton","given":"Peter J.","non-dropping-particle":"","parse-names":false,"suffix":""}],"container-title":"Behavioural and Cognitive Psychotherapy","id":"ITEM-4","issue":"2","issued":{"date-parts":[["2016"]]},"page":"249-254","title":"An experimental comparison of techniques: Cognitive defusion, cognitive restructuring, and in-vivo exposure for social anxiety","type":"article-journal","volume":"44"},"uris":["http://www.mendeley.com/documents/?uuid=e71fb224-427d-44b9-bbb6-d0a3db4f3418"]}],"mendeley":{"formattedCitation":"(Barrera et al., 2016; Deacon et al., 2011; Levin, Haeger, et al., 2018; Yovel et al., 2014)","plainTextFormattedCitation":"(Barrera et al., 2016; Deacon et al., 2011; Levin, Haeger, et al., 2018; Yovel et al., 2014)","previouslyFormattedCitation":"(Barrera et al., 2016; Deacon et al., 2011; Levin, Haeger, et al., 2018; Yovel et al., 2014)"},"properties":{"noteIndex":0},"schema":"https://github.com/citation-style-language/schema/raw/master/csl-citation.json"}</w:instrText>
      </w:r>
      <w:r w:rsidR="00B5775D">
        <w:fldChar w:fldCharType="separate"/>
      </w:r>
      <w:r w:rsidR="00B5775D" w:rsidRPr="00B5775D">
        <w:rPr>
          <w:noProof/>
        </w:rPr>
        <w:t>(Barrera et al., 2016; Deacon et al., 2011; Levin, Haeger, et al., 2018; Yovel et al., 2014)</w:t>
      </w:r>
      <w:r w:rsidR="00B5775D">
        <w:fldChar w:fldCharType="end"/>
      </w:r>
      <w:r w:rsidR="00B5775D">
        <w:t>.</w:t>
      </w:r>
      <w:r w:rsidR="001E6CD8">
        <w:t xml:space="preserve"> The results in the present study are broadly consistent with this literature, finding overall a similar pattern of results but with </w:t>
      </w:r>
      <w:proofErr w:type="spellStart"/>
      <w:r w:rsidR="001E6CD8">
        <w:t>defusion</w:t>
      </w:r>
      <w:proofErr w:type="spellEnd"/>
      <w:r w:rsidR="001E6CD8">
        <w:t xml:space="preserve"> potentially having broader </w:t>
      </w:r>
      <w:r w:rsidR="009E32A3">
        <w:t>and</w:t>
      </w:r>
      <w:r w:rsidR="001E6CD8">
        <w:t xml:space="preserve"> more long-lasting impact.</w:t>
      </w:r>
    </w:p>
    <w:p w14:paraId="09D3058B" w14:textId="675D7B88" w:rsidR="00983D3A" w:rsidRDefault="00945362" w:rsidP="00B610F0">
      <w:pPr>
        <w:spacing w:line="480" w:lineRule="auto"/>
        <w:ind w:firstLine="720"/>
      </w:pPr>
      <w:r>
        <w:t xml:space="preserve">Our findings </w:t>
      </w:r>
      <w:r w:rsidR="00224DE9">
        <w:t xml:space="preserve">regarding the frequency and effectiveness of cognitive </w:t>
      </w:r>
      <w:proofErr w:type="spellStart"/>
      <w:r w:rsidR="00224DE9">
        <w:t>defusion</w:t>
      </w:r>
      <w:proofErr w:type="spellEnd"/>
      <w:r w:rsidR="00224DE9">
        <w:t xml:space="preserve"> and restructuring </w:t>
      </w:r>
      <w:r>
        <w:t>hold implications for treatment</w:t>
      </w:r>
      <w:r w:rsidR="00F072F0">
        <w:t xml:space="preserve">. </w:t>
      </w:r>
      <w:r w:rsidR="0098128C">
        <w:t xml:space="preserve">As these two strategies tend to be employed with moderate </w:t>
      </w:r>
      <w:r w:rsidR="0020045A">
        <w:t>frequency</w:t>
      </w:r>
      <w:r w:rsidR="0098128C">
        <w:t xml:space="preserve"> even without </w:t>
      </w:r>
      <w:r w:rsidR="0020045A">
        <w:t>prior</w:t>
      </w:r>
      <w:r w:rsidR="0098128C">
        <w:t xml:space="preserve"> training, therapists </w:t>
      </w:r>
      <w:r w:rsidR="00ED3F18">
        <w:t>can leverage these already</w:t>
      </w:r>
      <w:r w:rsidR="005663AE">
        <w:t>-</w:t>
      </w:r>
      <w:r w:rsidR="00ED3F18">
        <w:t>known skills when working with clients</w:t>
      </w:r>
      <w:r w:rsidR="00224DE9">
        <w:t xml:space="preserve">. </w:t>
      </w:r>
      <w:r w:rsidR="00ED3F18">
        <w:t xml:space="preserve">For example, therapists </w:t>
      </w:r>
      <w:r w:rsidR="0020045A">
        <w:t>are likely</w:t>
      </w:r>
      <w:r w:rsidR="00ED3F18">
        <w:t xml:space="preserve"> able to elicit recognition and </w:t>
      </w:r>
      <w:r w:rsidR="00ED3F18">
        <w:lastRenderedPageBreak/>
        <w:t>use of these skills through experiential exercises with limited didactic explanation beforehand</w:t>
      </w:r>
      <w:r w:rsidR="001966E7">
        <w:t>.</w:t>
      </w:r>
      <w:r w:rsidR="00042CD3">
        <w:t xml:space="preserve"> If </w:t>
      </w:r>
      <w:proofErr w:type="spellStart"/>
      <w:r w:rsidR="00042CD3">
        <w:t>defusion</w:t>
      </w:r>
      <w:proofErr w:type="spellEnd"/>
      <w:r w:rsidR="00042CD3">
        <w:t xml:space="preserve"> is being introduced </w:t>
      </w:r>
      <w:r w:rsidR="00B008F6">
        <w:t>in the context of</w:t>
      </w:r>
      <w:r w:rsidR="00042CD3">
        <w:t xml:space="preserve"> an acceptance-based treatment</w:t>
      </w:r>
      <w:r w:rsidR="00B008F6">
        <w:t>, t</w:t>
      </w:r>
      <w:r w:rsidR="00042CD3">
        <w:t xml:space="preserve">herapists should place emphasis on </w:t>
      </w:r>
      <w:proofErr w:type="spellStart"/>
      <w:r w:rsidR="00B008F6">
        <w:t>defusion</w:t>
      </w:r>
      <w:proofErr w:type="spellEnd"/>
      <w:r w:rsidR="00B008F6">
        <w:t xml:space="preserve"> as an alternative to control</w:t>
      </w:r>
      <w:r w:rsidR="0020045A">
        <w:t>,</w:t>
      </w:r>
      <w:r w:rsidR="00B008F6">
        <w:t xml:space="preserve"> </w:t>
      </w:r>
      <w:r w:rsidR="00042CD3">
        <w:t xml:space="preserve">given that individuals </w:t>
      </w:r>
      <w:r w:rsidR="00242A24">
        <w:t>may</w:t>
      </w:r>
      <w:r w:rsidR="00042CD3">
        <w:t xml:space="preserve"> use </w:t>
      </w:r>
      <w:proofErr w:type="spellStart"/>
      <w:r w:rsidR="00042CD3">
        <w:t>defusion</w:t>
      </w:r>
      <w:proofErr w:type="spellEnd"/>
      <w:r w:rsidR="00042CD3">
        <w:t xml:space="preserve"> as a cognitive-control strategy when it has not yet been formally trained. </w:t>
      </w:r>
    </w:p>
    <w:p w14:paraId="01A6A70E" w14:textId="0858EDD8" w:rsidR="005F3A52" w:rsidRDefault="001966E7" w:rsidP="00A32B38">
      <w:pPr>
        <w:spacing w:line="480" w:lineRule="auto"/>
        <w:ind w:firstLine="720"/>
      </w:pPr>
      <w:r>
        <w:t>The high correlation in momentary use between these two strategies suggest</w:t>
      </w:r>
      <w:r w:rsidR="005663AE">
        <w:t>s</w:t>
      </w:r>
      <w:r>
        <w:t xml:space="preserve"> that </w:t>
      </w:r>
      <w:r w:rsidR="00F072F0">
        <w:t xml:space="preserve">individuals may </w:t>
      </w:r>
      <w:r w:rsidR="00224DE9">
        <w:t>tend to</w:t>
      </w:r>
      <w:r w:rsidR="005663AE">
        <w:t xml:space="preserve"> utilize</w:t>
      </w:r>
      <w:r w:rsidR="00224DE9">
        <w:t xml:space="preserve"> both with little differentiation</w:t>
      </w:r>
      <w:r w:rsidR="00F072F0">
        <w:t>.</w:t>
      </w:r>
      <w:r>
        <w:t xml:space="preserve"> </w:t>
      </w:r>
      <w:r w:rsidR="00B008F6">
        <w:t>Thus</w:t>
      </w:r>
      <w:r>
        <w:t xml:space="preserve">, therapists </w:t>
      </w:r>
      <w:r w:rsidR="00B008F6">
        <w:t>may want to</w:t>
      </w:r>
      <w:r>
        <w:t xml:space="preserve"> closely monitor for instances in which clients are confounding one strategy for anothe</w:t>
      </w:r>
      <w:r w:rsidR="00224DE9">
        <w:t>r,</w:t>
      </w:r>
      <w:r>
        <w:t xml:space="preserve"> and explicitly differentiate the two when introducing either strategy.</w:t>
      </w:r>
      <w:r w:rsidR="002138BF">
        <w:t xml:space="preserve"> </w:t>
      </w:r>
      <w:r w:rsidR="006A4CAE">
        <w:t>Although the direction of these relationships is unclear, it is possible that c</w:t>
      </w:r>
      <w:r w:rsidR="002138BF">
        <w:t xml:space="preserve">ognitive </w:t>
      </w:r>
      <w:proofErr w:type="spellStart"/>
      <w:r w:rsidR="002138BF">
        <w:t>defusion</w:t>
      </w:r>
      <w:proofErr w:type="spellEnd"/>
      <w:r w:rsidR="002138BF">
        <w:t xml:space="preserve"> </w:t>
      </w:r>
      <w:r w:rsidR="006A4CAE">
        <w:t>is a more efficient treatment target for reducing rumination and negative affect</w:t>
      </w:r>
      <w:r w:rsidR="002138BF">
        <w:t xml:space="preserve">. Further research </w:t>
      </w:r>
      <w:r w:rsidR="006A4CAE">
        <w:t xml:space="preserve">examining these relationships across different timeframes and considering potential </w:t>
      </w:r>
      <w:r w:rsidR="002138BF">
        <w:t xml:space="preserve">moderating variables in the examined relationships is </w:t>
      </w:r>
      <w:r w:rsidR="00C8338F">
        <w:t>needed</w:t>
      </w:r>
      <w:r w:rsidR="002138BF">
        <w:t xml:space="preserve"> before making fi</w:t>
      </w:r>
      <w:r w:rsidR="00983D3A">
        <w:t>rm clinical recommendation</w:t>
      </w:r>
      <w:r w:rsidR="00242A24">
        <w:t>s</w:t>
      </w:r>
      <w:r w:rsidR="006A4CAE">
        <w:t>.</w:t>
      </w:r>
      <w:r w:rsidR="00553946">
        <w:t xml:space="preserve"> </w:t>
      </w:r>
      <w:r w:rsidR="006A4CAE">
        <w:t>S</w:t>
      </w:r>
      <w:r w:rsidR="00C8338F">
        <w:t>ome</w:t>
      </w:r>
      <w:r w:rsidR="00983D3A">
        <w:t xml:space="preserve"> research </w:t>
      </w:r>
      <w:r w:rsidR="00553946">
        <w:t xml:space="preserve">has indicated </w:t>
      </w:r>
      <w:r w:rsidR="00983D3A">
        <w:t xml:space="preserve">that the effectiveness of each approach may depend on moderators such as presenting problem or individual characteristics </w:t>
      </w:r>
      <w:r w:rsidR="00B5775D">
        <w:fldChar w:fldCharType="begin" w:fldLock="1"/>
      </w:r>
      <w:r w:rsidR="00B5775D">
        <w:instrText>ADDIN CSL_CITATION {"citationItems":[{"id":"ITEM-1","itemData":{"DOI":"10.1037/a0029418","ISBN":"ES:1939-2117 IL:0022-006X","ISSN":"0022006X","PMID":"22823858","author":[{"dropping-particle":"","family":"Wolitzky-Taylor","given":"Kate B.","non-dropping-particle":"","parse-names":false,"suffix":""},{"dropping-particle":"","family":"Arch","given":"Joanna J.","non-dropping-particle":"","parse-names":false,"suffix":""},{"dropping-particle":"","family":"Rosenfield","given":"David","non-dropping-particle":"","parse-names":false,"suffix":""},{"dropping-particle":"","family":"Craske","given":"Michelle G.","non-dropping-particle":"","parse-names":false,"suffix":""}],"container-title":"Journal of Consulting and Clinical Psychology","id":"ITEM-1","issued":{"date-parts":[["2012"]]},"page":"786-799","title":"Moderators and non-specific predictors of treatment outcome for anxiety disorders: A comparison of cognitive behavioral therapy to acceptance and commitment therapy","type":"article-journal","volume":"80"},"uris":["http://www.mendeley.com/documents/?uuid=22797318-bfca-4cf1-b89a-5c1212db0cdf"]}],"mendeley":{"formattedCitation":"(Wolitzky-Taylor et al., 2012)","plainTextFormattedCitation":"(Wolitzky-Taylor et al., 2012)","previouslyFormattedCitation":"(Wolitzky-Taylor et al., 2012)"},"properties":{"noteIndex":0},"schema":"https://github.com/citation-style-language/schema/raw/master/csl-citation.json"}</w:instrText>
      </w:r>
      <w:r w:rsidR="00B5775D">
        <w:fldChar w:fldCharType="separate"/>
      </w:r>
      <w:r w:rsidR="00B5775D" w:rsidRPr="00B5775D">
        <w:rPr>
          <w:noProof/>
        </w:rPr>
        <w:t>(Wolitzky-Taylor et al., 2012)</w:t>
      </w:r>
      <w:r w:rsidR="00B5775D">
        <w:fldChar w:fldCharType="end"/>
      </w:r>
      <w:r w:rsidR="006A4CAE">
        <w:t xml:space="preserve">, and the differential findings based on level of distress here also </w:t>
      </w:r>
      <w:r w:rsidR="00242A24">
        <w:t>support the importance of individual context.</w:t>
      </w:r>
    </w:p>
    <w:p w14:paraId="7E8092DA" w14:textId="35C9D617" w:rsidR="00AC68F7" w:rsidRDefault="00DC0536" w:rsidP="00B610F0">
      <w:pPr>
        <w:spacing w:line="480" w:lineRule="auto"/>
        <w:ind w:firstLine="720"/>
      </w:pPr>
      <w:r>
        <w:t xml:space="preserve">Notable limitations to the present study included potential </w:t>
      </w:r>
      <w:r w:rsidR="00524FFF">
        <w:t xml:space="preserve">sample, </w:t>
      </w:r>
      <w:r>
        <w:t>measurement,</w:t>
      </w:r>
      <w:r w:rsidR="00524FFF">
        <w:t xml:space="preserve"> </w:t>
      </w:r>
      <w:r>
        <w:t xml:space="preserve">and statistical issues. </w:t>
      </w:r>
      <w:r w:rsidR="00E466EB">
        <w:t>First, t</w:t>
      </w:r>
      <w:r w:rsidR="00524FFF">
        <w:t>his study used an undergraduate</w:t>
      </w:r>
      <w:r w:rsidR="00E466EB">
        <w:t xml:space="preserve"> college</w:t>
      </w:r>
      <w:r w:rsidR="00524FFF">
        <w:t xml:space="preserve"> student sample, </w:t>
      </w:r>
      <w:r w:rsidR="00E466EB">
        <w:t xml:space="preserve">possibly limiting the generalizability of our findings due to likely differences in </w:t>
      </w:r>
      <w:r w:rsidR="00C8338F">
        <w:t>education</w:t>
      </w:r>
      <w:r w:rsidR="00E466EB">
        <w:t>, socioeconomic status, psychological mindedness</w:t>
      </w:r>
      <w:r w:rsidR="00C8338F">
        <w:t>, and distress</w:t>
      </w:r>
      <w:r w:rsidR="00E466EB">
        <w:t xml:space="preserve"> as compared to the general population or a clinical sample. Additionally, our sample was primarily young</w:t>
      </w:r>
      <w:r w:rsidR="009C0EE8">
        <w:t xml:space="preserve">, </w:t>
      </w:r>
      <w:r w:rsidR="00D54FA6">
        <w:t>female,</w:t>
      </w:r>
      <w:r w:rsidR="00E466EB">
        <w:t xml:space="preserve"> and White, with this lack of </w:t>
      </w:r>
      <w:r w:rsidR="00C8338F">
        <w:t>diversity</w:t>
      </w:r>
      <w:r w:rsidR="00E466EB">
        <w:t xml:space="preserve"> in sample characteristics making it unclear as to whether results can be generalized to non-traditional college students or those belonging to minority groups.</w:t>
      </w:r>
    </w:p>
    <w:p w14:paraId="731FDDD7" w14:textId="1B271091" w:rsidR="003475BD" w:rsidRDefault="003475BD" w:rsidP="00B610F0">
      <w:pPr>
        <w:spacing w:line="480" w:lineRule="auto"/>
        <w:ind w:firstLine="720"/>
      </w:pPr>
      <w:r>
        <w:lastRenderedPageBreak/>
        <w:t>Furthermore, while this study intentionally used an untrained sample, it is possible that the high correlation between strategies was attributable to individuals lacking clarity on which strategies they use.</w:t>
      </w:r>
      <w:r w:rsidR="00AC68F7">
        <w:t xml:space="preserve"> Indeed, it is possible that individuals used cognitive </w:t>
      </w:r>
      <w:proofErr w:type="spellStart"/>
      <w:r w:rsidR="00AC68F7">
        <w:t>defusion</w:t>
      </w:r>
      <w:proofErr w:type="spellEnd"/>
      <w:r w:rsidR="00AC68F7">
        <w:t xml:space="preserve"> as an attempt to control or eliminate thoughts, which would be inconsistent with cognitive </w:t>
      </w:r>
      <w:proofErr w:type="spellStart"/>
      <w:r w:rsidR="00AC68F7">
        <w:t>defusion</w:t>
      </w:r>
      <w:proofErr w:type="spellEnd"/>
      <w:r w:rsidR="00AC68F7">
        <w:t xml:space="preserve"> as defined theoretically </w:t>
      </w:r>
      <w:r w:rsidR="00AC68F7">
        <w:fldChar w:fldCharType="begin" w:fldLock="1"/>
      </w:r>
      <w:r w:rsidR="0064321B">
        <w:instrText>ADDIN CSL_CITATION {"citationItems":[{"id":"ITEM-1","itemData":{"DOI":"10.1016/j.brat.2005.06.006","ISBN":"0005-7967","ISSN":"0005-7967","PMID":"16300724","abstract":"The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promising.","author":[{"dropping-particle":"","family":"Hayes","given":"Steven C","non-dropping-particle":"","parse-names":false,"suffix":""},{"dropping-particle":"","family":"Luoma","given":"Jason B","non-dropping-particle":"","parse-names":false,"suffix":""},{"dropping-particle":"","family":"Bond","given":"Frank W","non-dropping-particle":"","parse-names":false,"suffix":""},{"dropping-particle":"","family":"Masuda","given":"Akihiko","non-dropping-particle":"","parse-names":false,"suffix":""},{"dropping-particle":"","family":"Lillis","given":"Jason","non-dropping-particle":"","parse-names":false,"suffix":""}],"container-title":"Behaviour Research and Therapy","id":"ITEM-1","issued":{"date-parts":[["2006"]]},"page":"1-25","title":"Acceptance and Commitment Therapy: Model, processes and outcomes.","type":"article-journal","volume":"44"},"uris":["http://www.mendeley.com/documents/?uuid=ff47006a-314b-4e8a-9cd4-0f9cb00fd209"]}],"mendeley":{"formattedCitation":"(Hayes et al., 2006)","plainTextFormattedCitation":"(Hayes et al., 2006)","previouslyFormattedCitation":"(Hayes et al., 2006)"},"properties":{"noteIndex":0},"schema":"https://github.com/citation-style-language/schema/raw/master/csl-citation.json"}</w:instrText>
      </w:r>
      <w:r w:rsidR="00AC68F7">
        <w:fldChar w:fldCharType="separate"/>
      </w:r>
      <w:r w:rsidR="00AC68F7" w:rsidRPr="00AC68F7">
        <w:rPr>
          <w:noProof/>
        </w:rPr>
        <w:t>(Hayes et al., 2006)</w:t>
      </w:r>
      <w:r w:rsidR="00AC68F7">
        <w:fldChar w:fldCharType="end"/>
      </w:r>
      <w:r w:rsidR="00AC68F7">
        <w:t>.</w:t>
      </w:r>
      <w:r>
        <w:t xml:space="preserve"> Replicating this study in a treatment sample would help address whether exposure to cognitive restructuring and/or </w:t>
      </w:r>
      <w:proofErr w:type="spellStart"/>
      <w:r>
        <w:t>defusion</w:t>
      </w:r>
      <w:proofErr w:type="spellEnd"/>
      <w:r>
        <w:t xml:space="preserve"> (as taught in treatment) affects these findings</w:t>
      </w:r>
      <w:r w:rsidR="00AC68F7">
        <w:t>; gathering qualitative data could also help clarify how these strategies were used</w:t>
      </w:r>
      <w:r>
        <w:t>. Also</w:t>
      </w:r>
      <w:r w:rsidR="00E466EB">
        <w:t xml:space="preserve">, </w:t>
      </w:r>
      <w:r w:rsidR="001A0653">
        <w:t xml:space="preserve">novel EMA items were used in this study, and while the </w:t>
      </w:r>
      <w:proofErr w:type="spellStart"/>
      <w:r w:rsidR="001A0653">
        <w:t>defusion</w:t>
      </w:r>
      <w:proofErr w:type="spellEnd"/>
      <w:r w:rsidR="001A0653">
        <w:t xml:space="preserve"> and restructuring items were face valid and distinct in terms of factor loadings, other analyses suggested potential </w:t>
      </w:r>
      <w:r w:rsidR="00C31308">
        <w:t>limits to construct validity</w:t>
      </w:r>
      <w:r w:rsidR="003D640E">
        <w:t>.</w:t>
      </w:r>
      <w:r w:rsidR="002A047B">
        <w:t xml:space="preserve"> Items assessing rumination, distraction, and suppression had been used previously, but may not have assessed responses to the exact same content as the </w:t>
      </w:r>
      <w:proofErr w:type="spellStart"/>
      <w:r w:rsidR="002A047B">
        <w:t>defusion</w:t>
      </w:r>
      <w:proofErr w:type="spellEnd"/>
      <w:r w:rsidR="002A047B">
        <w:t xml:space="preserve"> and restructuring items, as some referred to responses to thoughts and feelings more broadly.</w:t>
      </w:r>
      <w:r w:rsidR="00524FFF">
        <w:t xml:space="preserve"> </w:t>
      </w:r>
    </w:p>
    <w:p w14:paraId="77DA23C7" w14:textId="2CB1A0D7" w:rsidR="007B38CF" w:rsidRPr="00DC0536" w:rsidRDefault="003475BD" w:rsidP="00B610F0">
      <w:pPr>
        <w:spacing w:line="480" w:lineRule="auto"/>
        <w:ind w:firstLine="720"/>
      </w:pPr>
      <w:r>
        <w:t xml:space="preserve">There was also a high nonresponse rate. As participants were prompted throughout daily life and only had a 15-minute window to respond, some missing data </w:t>
      </w:r>
      <w:r w:rsidR="005E6447">
        <w:t xml:space="preserve">was </w:t>
      </w:r>
      <w:r>
        <w:t>unavoidable. Anecdotally, participants sometimes reported being unable to respond while in class or at work. However, it is possible that participants might have also failed to respond in a way relevant to the content of the study (i.e., when particularly stressed). Future studies would benefit from gathering data on nonresponse and potentially taking additional steps to encourage responding whenever possible such as</w:t>
      </w:r>
      <w:r w:rsidR="005E6447">
        <w:t xml:space="preserve"> further</w:t>
      </w:r>
      <w:r>
        <w:t xml:space="preserve"> incentivizing responses. </w:t>
      </w:r>
      <w:r w:rsidR="009F0E86">
        <w:t xml:space="preserve">Of note, while this study gathered longitudinal data, most significant relationships were cross-sectional; as such, their direction cannot be determined. </w:t>
      </w:r>
      <w:r>
        <w:t>Finally</w:t>
      </w:r>
      <w:r w:rsidR="00E86A88">
        <w:t xml:space="preserve">, </w:t>
      </w:r>
      <w:r w:rsidR="003D640E">
        <w:t>analyses used</w:t>
      </w:r>
      <w:r w:rsidR="00E86A88">
        <w:t xml:space="preserve"> multiple models without adjusting p-values, inflating our family-wise </w:t>
      </w:r>
      <w:r w:rsidR="00833566">
        <w:t xml:space="preserve">error rate. However, such practices are normative and appropriate for </w:t>
      </w:r>
      <w:r w:rsidR="00833566">
        <w:lastRenderedPageBreak/>
        <w:t xml:space="preserve">exploratory research. </w:t>
      </w:r>
      <w:r w:rsidR="00553946">
        <w:t>Replication studies</w:t>
      </w:r>
      <w:r w:rsidR="00833566">
        <w:t xml:space="preserve"> </w:t>
      </w:r>
      <w:r w:rsidR="00553946">
        <w:t xml:space="preserve">using clinical and diverse samples as well as items </w:t>
      </w:r>
      <w:r w:rsidR="00931C46">
        <w:t xml:space="preserve">thoroughly </w:t>
      </w:r>
      <w:r w:rsidR="00553946">
        <w:t xml:space="preserve">validated for EMA contexts are </w:t>
      </w:r>
      <w:r w:rsidR="003D640E">
        <w:t>needed.</w:t>
      </w:r>
    </w:p>
    <w:p w14:paraId="341FCBE4" w14:textId="5621F8E8" w:rsidR="00A13BC7" w:rsidRDefault="00A13BC7">
      <w:pPr>
        <w:rPr>
          <w:b/>
          <w:bCs/>
        </w:rPr>
      </w:pPr>
    </w:p>
    <w:p w14:paraId="24CF1299" w14:textId="77777777" w:rsidR="00C8338F" w:rsidRDefault="00C8338F">
      <w:pPr>
        <w:rPr>
          <w:b/>
          <w:bCs/>
        </w:rPr>
      </w:pPr>
      <w:r>
        <w:rPr>
          <w:b/>
          <w:bCs/>
        </w:rPr>
        <w:br w:type="page"/>
      </w:r>
    </w:p>
    <w:p w14:paraId="0192AAAB" w14:textId="44F5CD3A" w:rsidR="004768A9" w:rsidRPr="007E582D" w:rsidRDefault="004768A9" w:rsidP="004768A9">
      <w:pPr>
        <w:spacing w:line="480" w:lineRule="auto"/>
        <w:ind w:firstLine="720"/>
        <w:jc w:val="center"/>
        <w:rPr>
          <w:b/>
          <w:bCs/>
        </w:rPr>
      </w:pPr>
      <w:r w:rsidRPr="007E582D">
        <w:rPr>
          <w:b/>
          <w:bCs/>
        </w:rPr>
        <w:lastRenderedPageBreak/>
        <w:t>References</w:t>
      </w:r>
    </w:p>
    <w:p w14:paraId="3C2E8D9E" w14:textId="44A9F287" w:rsidR="00C0283F" w:rsidRPr="00C0283F" w:rsidRDefault="00CE7AA2" w:rsidP="00C0283F">
      <w:pPr>
        <w:widowControl w:val="0"/>
        <w:autoSpaceDE w:val="0"/>
        <w:autoSpaceDN w:val="0"/>
        <w:adjustRightInd w:val="0"/>
        <w:spacing w:line="480" w:lineRule="auto"/>
        <w:ind w:left="480" w:hanging="480"/>
        <w:rPr>
          <w:noProof/>
        </w:rPr>
      </w:pPr>
      <w:r>
        <w:rPr>
          <w:noProof/>
        </w:rPr>
        <w:fldChar w:fldCharType="begin" w:fldLock="1"/>
      </w:r>
      <w:r>
        <w:rPr>
          <w:noProof/>
        </w:rPr>
        <w:instrText xml:space="preserve">ADDIN Mendeley Bibliography CSL_BIBLIOGRAPHY </w:instrText>
      </w:r>
      <w:r>
        <w:rPr>
          <w:noProof/>
        </w:rPr>
        <w:fldChar w:fldCharType="separate"/>
      </w:r>
      <w:r w:rsidR="00C0283F" w:rsidRPr="00C0283F">
        <w:rPr>
          <w:noProof/>
        </w:rPr>
        <w:t xml:space="preserve">Aldao, A., &amp; Nolen-Hoeksema, S. (2010). Specificity of cognitive emotion regulation strategies: A transdiagnostic examination. </w:t>
      </w:r>
      <w:r w:rsidR="00C0283F" w:rsidRPr="00C0283F">
        <w:rPr>
          <w:i/>
          <w:iCs/>
          <w:noProof/>
        </w:rPr>
        <w:t>Behaviour Research and Therapy</w:t>
      </w:r>
      <w:r w:rsidR="00C0283F" w:rsidRPr="00C0283F">
        <w:rPr>
          <w:noProof/>
        </w:rPr>
        <w:t xml:space="preserve">, </w:t>
      </w:r>
      <w:r w:rsidR="00C0283F" w:rsidRPr="00C0283F">
        <w:rPr>
          <w:i/>
          <w:iCs/>
          <w:noProof/>
        </w:rPr>
        <w:t>48</w:t>
      </w:r>
      <w:r w:rsidR="00C0283F" w:rsidRPr="00C0283F">
        <w:rPr>
          <w:noProof/>
        </w:rPr>
        <w:t>, 974–983. https://doi.org/10.1016/j.brat.2010.06.002</w:t>
      </w:r>
    </w:p>
    <w:p w14:paraId="60FBC5EE"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Aldao, A., &amp; Nolen-Hoeksema, S. (2012). The influence of context on the implementation of adaptive emotion regulation strategies. </w:t>
      </w:r>
      <w:r w:rsidRPr="00C0283F">
        <w:rPr>
          <w:i/>
          <w:iCs/>
          <w:noProof/>
        </w:rPr>
        <w:t>Behaviour Research and Therapy</w:t>
      </w:r>
      <w:r w:rsidRPr="00C0283F">
        <w:rPr>
          <w:noProof/>
        </w:rPr>
        <w:t xml:space="preserve">, </w:t>
      </w:r>
      <w:r w:rsidRPr="00C0283F">
        <w:rPr>
          <w:i/>
          <w:iCs/>
          <w:noProof/>
        </w:rPr>
        <w:t>50</w:t>
      </w:r>
      <w:r w:rsidRPr="00C0283F">
        <w:rPr>
          <w:noProof/>
        </w:rPr>
        <w:t>, 493–501. https://doi.org/10.1016/j.brat.2012.04.004</w:t>
      </w:r>
    </w:p>
    <w:p w14:paraId="35E52C01"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Aldao, A., Nolen-Hoeksema, S., &amp; Schweizer, S. (2010). Emotion-regulation strategies across psychopathology: A meta-analytic review. </w:t>
      </w:r>
      <w:r w:rsidRPr="00C0283F">
        <w:rPr>
          <w:i/>
          <w:iCs/>
          <w:noProof/>
        </w:rPr>
        <w:t>Clinical Psychology Review</w:t>
      </w:r>
      <w:r w:rsidRPr="00C0283F">
        <w:rPr>
          <w:noProof/>
        </w:rPr>
        <w:t xml:space="preserve">, </w:t>
      </w:r>
      <w:r w:rsidRPr="00C0283F">
        <w:rPr>
          <w:i/>
          <w:iCs/>
          <w:noProof/>
        </w:rPr>
        <w:t>30</w:t>
      </w:r>
      <w:r w:rsidRPr="00C0283F">
        <w:rPr>
          <w:noProof/>
        </w:rPr>
        <w:t>, 217–237. https://doi.org/10.1016/j.cpr.2009.11.004</w:t>
      </w:r>
    </w:p>
    <w:p w14:paraId="33D5F576"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American Psychiatric Association. (2013). </w:t>
      </w:r>
      <w:r w:rsidRPr="00C0283F">
        <w:rPr>
          <w:i/>
          <w:iCs/>
          <w:noProof/>
        </w:rPr>
        <w:t>Diagnostic and statistical manual of mental disorders</w:t>
      </w:r>
      <w:r w:rsidRPr="00C0283F">
        <w:rPr>
          <w:noProof/>
        </w:rPr>
        <w:t xml:space="preserve"> (5th ed.). American Psychiatric Publishing.</w:t>
      </w:r>
    </w:p>
    <w:p w14:paraId="32367434"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Arch, J. J., &amp; Craske, M. G. (2008). Acceptance and commitment therapy and cognitive behavioral therapy for anxiety disorders: Different treatments, similar mechanisms? </w:t>
      </w:r>
      <w:r w:rsidRPr="00C0283F">
        <w:rPr>
          <w:i/>
          <w:iCs/>
          <w:noProof/>
        </w:rPr>
        <w:t>Clinical Psychology: Science and Practice</w:t>
      </w:r>
      <w:r w:rsidRPr="00C0283F">
        <w:rPr>
          <w:noProof/>
        </w:rPr>
        <w:t xml:space="preserve">, </w:t>
      </w:r>
      <w:r w:rsidRPr="00C0283F">
        <w:rPr>
          <w:i/>
          <w:iCs/>
          <w:noProof/>
        </w:rPr>
        <w:t>15</w:t>
      </w:r>
      <w:r w:rsidRPr="00C0283F">
        <w:rPr>
          <w:noProof/>
        </w:rPr>
        <w:t>, 263–279.</w:t>
      </w:r>
    </w:p>
    <w:p w14:paraId="6E14BB8A"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Arch, J. J., Wolitzky-Taylor, K. B., Eifert, G. H., &amp; Craske, M. G. (2012). Longitudinal treatment mediation of traditional cognitive behavioral therapy and acceptance and commitment therapy for anxiety disorders. </w:t>
      </w:r>
      <w:r w:rsidRPr="00C0283F">
        <w:rPr>
          <w:i/>
          <w:iCs/>
          <w:noProof/>
        </w:rPr>
        <w:t>Behaviour Research and Therapy</w:t>
      </w:r>
      <w:r w:rsidRPr="00C0283F">
        <w:rPr>
          <w:noProof/>
        </w:rPr>
        <w:t xml:space="preserve">, </w:t>
      </w:r>
      <w:r w:rsidRPr="00C0283F">
        <w:rPr>
          <w:i/>
          <w:iCs/>
          <w:noProof/>
        </w:rPr>
        <w:t>50</w:t>
      </w:r>
      <w:r w:rsidRPr="00C0283F">
        <w:rPr>
          <w:noProof/>
        </w:rPr>
        <w:t>, 469–478. https://doi.org/10.1016/j.brat.2012.04.007</w:t>
      </w:r>
    </w:p>
    <w:p w14:paraId="2C6B965E"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Barrera, T. L., Szafranski, D. D., Ratcliff, C. G., Garnaat, S. L., &amp; Norton, P. J. (2016). An experimental comparison of techniques: Cognitive defusion, cognitive restructuring, and in-vivo exposure for social anxiety. </w:t>
      </w:r>
      <w:r w:rsidRPr="00C0283F">
        <w:rPr>
          <w:i/>
          <w:iCs/>
          <w:noProof/>
        </w:rPr>
        <w:t>Behavioural and Cognitive Psychotherapy</w:t>
      </w:r>
      <w:r w:rsidRPr="00C0283F">
        <w:rPr>
          <w:noProof/>
        </w:rPr>
        <w:t xml:space="preserve">, </w:t>
      </w:r>
      <w:r w:rsidRPr="00C0283F">
        <w:rPr>
          <w:i/>
          <w:iCs/>
          <w:noProof/>
        </w:rPr>
        <w:t>44</w:t>
      </w:r>
      <w:r w:rsidRPr="00C0283F">
        <w:rPr>
          <w:noProof/>
        </w:rPr>
        <w:t>(2), 249–254. https://doi.org/10.1017/S1352465814000630</w:t>
      </w:r>
    </w:p>
    <w:p w14:paraId="36746A18"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lastRenderedPageBreak/>
        <w:t xml:space="preserve">Brans, K., Koval, P., Verduyn, P., Lim, Y. L., &amp; Kuppens, P. (2013). The regulation of negative and positive affect in daily life. </w:t>
      </w:r>
      <w:r w:rsidRPr="00C0283F">
        <w:rPr>
          <w:i/>
          <w:iCs/>
          <w:noProof/>
        </w:rPr>
        <w:t>Emotion</w:t>
      </w:r>
      <w:r w:rsidRPr="00C0283F">
        <w:rPr>
          <w:noProof/>
        </w:rPr>
        <w:t xml:space="preserve">, </w:t>
      </w:r>
      <w:r w:rsidRPr="00C0283F">
        <w:rPr>
          <w:i/>
          <w:iCs/>
          <w:noProof/>
        </w:rPr>
        <w:t>13</w:t>
      </w:r>
      <w:r w:rsidRPr="00C0283F">
        <w:rPr>
          <w:noProof/>
        </w:rPr>
        <w:t>, 926–939. https://doi.org/10.1037/a0032400</w:t>
      </w:r>
    </w:p>
    <w:p w14:paraId="2B16DB4F"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Brockman, R., Ciarrochi, J., Parker, P., &amp; Kashdan, T. (2016). Emotion regulation strategies in daily life: Mindfulness, cognitive reappraisal and emotion suppression. </w:t>
      </w:r>
      <w:r w:rsidRPr="00C0283F">
        <w:rPr>
          <w:i/>
          <w:iCs/>
          <w:noProof/>
        </w:rPr>
        <w:t>Cognitive Behaviour Therapy</w:t>
      </w:r>
      <w:r w:rsidRPr="00C0283F">
        <w:rPr>
          <w:noProof/>
        </w:rPr>
        <w:t xml:space="preserve">, </w:t>
      </w:r>
      <w:r w:rsidRPr="00C0283F">
        <w:rPr>
          <w:i/>
          <w:iCs/>
          <w:noProof/>
        </w:rPr>
        <w:t>46</w:t>
      </w:r>
      <w:r w:rsidRPr="00C0283F">
        <w:rPr>
          <w:noProof/>
        </w:rPr>
        <w:t>, 91–113. https://doi.org/10.1080/16506073.2016.1218926</w:t>
      </w:r>
    </w:p>
    <w:p w14:paraId="26E82F35"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Cash, T. F., Phillips, K. A., Santos, M. T., &amp; Hrabosky, J. I. (2004). Measuring “negative body image”: Validation of the Body Image Disturbance Questionnaire in a nonclinical population. </w:t>
      </w:r>
      <w:r w:rsidRPr="00C0283F">
        <w:rPr>
          <w:i/>
          <w:iCs/>
          <w:noProof/>
        </w:rPr>
        <w:t>Body Image</w:t>
      </w:r>
      <w:r w:rsidRPr="00C0283F">
        <w:rPr>
          <w:noProof/>
        </w:rPr>
        <w:t xml:space="preserve">, </w:t>
      </w:r>
      <w:r w:rsidRPr="00C0283F">
        <w:rPr>
          <w:i/>
          <w:iCs/>
          <w:noProof/>
        </w:rPr>
        <w:t>1</w:t>
      </w:r>
      <w:r w:rsidRPr="00C0283F">
        <w:rPr>
          <w:noProof/>
        </w:rPr>
        <w:t>(4), 363–372. https://doi.org/10.1016/j.bodyim.2004.10.001</w:t>
      </w:r>
    </w:p>
    <w:p w14:paraId="3467BF00"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Clark, D. A. (2013). Cognitive restructuring. In </w:t>
      </w:r>
      <w:r w:rsidRPr="00C0283F">
        <w:rPr>
          <w:i/>
          <w:iCs/>
          <w:noProof/>
        </w:rPr>
        <w:t>The Wiley Handbook of Cognitive Behavioral Therapy</w:t>
      </w:r>
      <w:r w:rsidRPr="00C0283F">
        <w:rPr>
          <w:noProof/>
        </w:rPr>
        <w:t xml:space="preserve"> (pp. 1–22). https://doi.org/10.1002/9781118528563.wbcbt02</w:t>
      </w:r>
    </w:p>
    <w:p w14:paraId="0B172610"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Deacon, B. J., Fawzy, T. I., Lickel, J. J., &amp; Wolitzky-Taylor, K. B. (2011). Cognitive defusion versus cognitive restructuring in the treatment of negative self-referential thoughts: An investigation of process and outcome. </w:t>
      </w:r>
      <w:r w:rsidRPr="00C0283F">
        <w:rPr>
          <w:i/>
          <w:iCs/>
          <w:noProof/>
        </w:rPr>
        <w:t>Journal of Cognitive Psychotherapy</w:t>
      </w:r>
      <w:r w:rsidRPr="00C0283F">
        <w:rPr>
          <w:noProof/>
        </w:rPr>
        <w:t xml:space="preserve">, </w:t>
      </w:r>
      <w:r w:rsidRPr="00C0283F">
        <w:rPr>
          <w:i/>
          <w:iCs/>
          <w:noProof/>
        </w:rPr>
        <w:t>25</w:t>
      </w:r>
      <w:r w:rsidRPr="00C0283F">
        <w:rPr>
          <w:noProof/>
        </w:rPr>
        <w:t>, 218–232. https://doi.org/10.1891/0889-8391.25.3.218</w:t>
      </w:r>
    </w:p>
    <w:p w14:paraId="121BFD18"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Donald, J. N., Atkins, P. W. B., Parker, P. D., Christie, A. M., &amp; Guo, J. (2017). Cognitive defusion predicts more approach and less avoidance coping with stress, independent of threat and self-efficacy appraisals. </w:t>
      </w:r>
      <w:r w:rsidRPr="00C0283F">
        <w:rPr>
          <w:i/>
          <w:iCs/>
          <w:noProof/>
        </w:rPr>
        <w:t>Journal of Personality</w:t>
      </w:r>
      <w:r w:rsidRPr="00C0283F">
        <w:rPr>
          <w:noProof/>
        </w:rPr>
        <w:t xml:space="preserve">, </w:t>
      </w:r>
      <w:r w:rsidRPr="00C0283F">
        <w:rPr>
          <w:i/>
          <w:iCs/>
          <w:noProof/>
        </w:rPr>
        <w:t>85</w:t>
      </w:r>
      <w:r w:rsidRPr="00C0283F">
        <w:rPr>
          <w:noProof/>
        </w:rPr>
        <w:t>(5), 716–729. https://doi.org/10.1111/jopy.12279</w:t>
      </w:r>
    </w:p>
    <w:p w14:paraId="56C94DEB"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Doorley, J. D., &amp; Kashdan, T. B. (2021). Positive and Negative Emotion Regulation in College Athletes: A Preliminary Exploration of Daily Savoring, Acceptance, and Cognitive Reappraisal. </w:t>
      </w:r>
      <w:r w:rsidRPr="00C0283F">
        <w:rPr>
          <w:i/>
          <w:iCs/>
          <w:noProof/>
        </w:rPr>
        <w:t>Cognitive Therapy and Research</w:t>
      </w:r>
      <w:r w:rsidRPr="00C0283F">
        <w:rPr>
          <w:noProof/>
        </w:rPr>
        <w:t xml:space="preserve">, </w:t>
      </w:r>
      <w:r w:rsidRPr="00C0283F">
        <w:rPr>
          <w:i/>
          <w:iCs/>
          <w:noProof/>
        </w:rPr>
        <w:t>0123456789</w:t>
      </w:r>
      <w:r w:rsidRPr="00C0283F">
        <w:rPr>
          <w:noProof/>
        </w:rPr>
        <w:t>. https://doi.org/10.1007/s10608-020-10202-4</w:t>
      </w:r>
    </w:p>
    <w:p w14:paraId="03BF262A"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Dupuy, J. B., Beaudoin, S., Rhéaume, J., Ladouceur, R., &amp; Dugas, M. J. (2001). Worry: Daily </w:t>
      </w:r>
      <w:r w:rsidRPr="00C0283F">
        <w:rPr>
          <w:noProof/>
        </w:rPr>
        <w:lastRenderedPageBreak/>
        <w:t xml:space="preserve">self-report in clinical and non-clinical populations. </w:t>
      </w:r>
      <w:r w:rsidRPr="00C0283F">
        <w:rPr>
          <w:i/>
          <w:iCs/>
          <w:noProof/>
        </w:rPr>
        <w:t>Behaviour Research and Therapy</w:t>
      </w:r>
      <w:r w:rsidRPr="00C0283F">
        <w:rPr>
          <w:noProof/>
        </w:rPr>
        <w:t xml:space="preserve">, </w:t>
      </w:r>
      <w:r w:rsidRPr="00C0283F">
        <w:rPr>
          <w:i/>
          <w:iCs/>
          <w:noProof/>
        </w:rPr>
        <w:t>39</w:t>
      </w:r>
      <w:r w:rsidRPr="00C0283F">
        <w:rPr>
          <w:noProof/>
        </w:rPr>
        <w:t>(10), 1249–1255. https://doi.org/10.1016/S0005-7967(01)00011-0</w:t>
      </w:r>
    </w:p>
    <w:p w14:paraId="5727BB0D"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Farmer, A. S., &amp; Kashdan, T. B. (2012). Social Anxiety and Emotion Regulation in Daily Life: Spillover Effects on Positive and Negative Social Events. </w:t>
      </w:r>
      <w:r w:rsidRPr="00C0283F">
        <w:rPr>
          <w:i/>
          <w:iCs/>
          <w:noProof/>
        </w:rPr>
        <w:t>Cognitive Behaviour Therapy</w:t>
      </w:r>
      <w:r w:rsidRPr="00C0283F">
        <w:rPr>
          <w:noProof/>
        </w:rPr>
        <w:t xml:space="preserve">, </w:t>
      </w:r>
      <w:r w:rsidRPr="00C0283F">
        <w:rPr>
          <w:i/>
          <w:iCs/>
          <w:noProof/>
        </w:rPr>
        <w:t>41</w:t>
      </w:r>
      <w:r w:rsidRPr="00C0283F">
        <w:rPr>
          <w:noProof/>
        </w:rPr>
        <w:t>(2), 152–162. https://doi.org/10.1080/16506073.2012.666561</w:t>
      </w:r>
    </w:p>
    <w:p w14:paraId="2A3FB87E"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Fresco, D. M., Moore, M. T., van Dulmen, M. H. M., Segal, Z. V., Ma, S. H., Teasdale, J. D., &amp; Williams, J. M. G. (2007). Initial Psychometric Properties of the Experiences Questionnaire: Validation of a Self-Report Measure of Decentering. </w:t>
      </w:r>
      <w:r w:rsidRPr="00C0283F">
        <w:rPr>
          <w:i/>
          <w:iCs/>
          <w:noProof/>
        </w:rPr>
        <w:t>Behavior Therapy</w:t>
      </w:r>
      <w:r w:rsidRPr="00C0283F">
        <w:rPr>
          <w:noProof/>
        </w:rPr>
        <w:t xml:space="preserve">, </w:t>
      </w:r>
      <w:r w:rsidRPr="00C0283F">
        <w:rPr>
          <w:i/>
          <w:iCs/>
          <w:noProof/>
        </w:rPr>
        <w:t>38</w:t>
      </w:r>
      <w:r w:rsidRPr="00C0283F">
        <w:rPr>
          <w:noProof/>
        </w:rPr>
        <w:t>(3), 234–246. https://doi.org/10.1016/j.beth.2006.08.003</w:t>
      </w:r>
    </w:p>
    <w:p w14:paraId="69957A49"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Gillanders, D. T., Bolderston, H., Bond, F. W., Dempster, M., Flaxman, P. E., Campbell, L., Kerr, S., Tansey, L., Noel, P., Ferenbach, C., Masley, S., Roach, L., Lloyd, J., May, L., Clarke, S., &amp; Remington, B. (2014). The development and initial validation of the Cognitive Fusion Questionnaire. </w:t>
      </w:r>
      <w:r w:rsidRPr="00C0283F">
        <w:rPr>
          <w:i/>
          <w:iCs/>
          <w:noProof/>
        </w:rPr>
        <w:t>Behavior Therapy</w:t>
      </w:r>
      <w:r w:rsidRPr="00C0283F">
        <w:rPr>
          <w:noProof/>
        </w:rPr>
        <w:t xml:space="preserve">, </w:t>
      </w:r>
      <w:r w:rsidRPr="00C0283F">
        <w:rPr>
          <w:i/>
          <w:iCs/>
          <w:noProof/>
        </w:rPr>
        <w:t>45</w:t>
      </w:r>
      <w:r w:rsidRPr="00C0283F">
        <w:rPr>
          <w:noProof/>
        </w:rPr>
        <w:t>(1), 83–101. https://doi.org/10.1016/j.beth.2013.09.001</w:t>
      </w:r>
    </w:p>
    <w:p w14:paraId="26812B6C"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Goldberg, D. P., Gater, R., Sartorius, N., Ustun, T. B., Piccinelli, M., Gureje, O., &amp; Rutter, C. (1997). The validity of two versions of the GHQ in the WHO study of mental illness in general health care. </w:t>
      </w:r>
      <w:r w:rsidRPr="00C0283F">
        <w:rPr>
          <w:i/>
          <w:iCs/>
          <w:noProof/>
        </w:rPr>
        <w:t>Psychological Medicine</w:t>
      </w:r>
      <w:r w:rsidRPr="00C0283F">
        <w:rPr>
          <w:noProof/>
        </w:rPr>
        <w:t xml:space="preserve">, </w:t>
      </w:r>
      <w:r w:rsidRPr="00C0283F">
        <w:rPr>
          <w:i/>
          <w:iCs/>
          <w:noProof/>
        </w:rPr>
        <w:t>27</w:t>
      </w:r>
      <w:r w:rsidRPr="00C0283F">
        <w:rPr>
          <w:noProof/>
        </w:rPr>
        <w:t>(1), 191–197. https://doi.org/10.1017/S0033291796004242</w:t>
      </w:r>
    </w:p>
    <w:p w14:paraId="446B8D19"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Haines, S. J., Gleeson, J., Kuppens, P., Hollenstein, T., Ciarrochi, J., Labuschagne, I., Grace, C., &amp; Koval, P. (2016). The wisdom to know the difference: Strategy-situation fit in emotion regulation in daily life Is associated with well-being. </w:t>
      </w:r>
      <w:r w:rsidRPr="00C0283F">
        <w:rPr>
          <w:i/>
          <w:iCs/>
          <w:noProof/>
        </w:rPr>
        <w:t>Psychological Science</w:t>
      </w:r>
      <w:r w:rsidRPr="00C0283F">
        <w:rPr>
          <w:noProof/>
        </w:rPr>
        <w:t xml:space="preserve">, </w:t>
      </w:r>
      <w:r w:rsidRPr="00C0283F">
        <w:rPr>
          <w:i/>
          <w:iCs/>
          <w:noProof/>
        </w:rPr>
        <w:t>27</w:t>
      </w:r>
      <w:r w:rsidRPr="00C0283F">
        <w:rPr>
          <w:noProof/>
        </w:rPr>
        <w:t>(12), 1651–1659. https://doi.org/10.1177/0956797616669086</w:t>
      </w:r>
    </w:p>
    <w:p w14:paraId="6D10E121"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Hayes, S. C., Luoma, J. B., Bond, F. W., Masuda, A., &amp; Lillis, J. (2006). Acceptance and </w:t>
      </w:r>
      <w:r w:rsidRPr="00C0283F">
        <w:rPr>
          <w:noProof/>
        </w:rPr>
        <w:lastRenderedPageBreak/>
        <w:t xml:space="preserve">Commitment Therapy: Model, processes and outcomes. </w:t>
      </w:r>
      <w:r w:rsidRPr="00C0283F">
        <w:rPr>
          <w:i/>
          <w:iCs/>
          <w:noProof/>
        </w:rPr>
        <w:t>Behaviour Research and Therapy</w:t>
      </w:r>
      <w:r w:rsidRPr="00C0283F">
        <w:rPr>
          <w:noProof/>
        </w:rPr>
        <w:t xml:space="preserve">, </w:t>
      </w:r>
      <w:r w:rsidRPr="00C0283F">
        <w:rPr>
          <w:i/>
          <w:iCs/>
          <w:noProof/>
        </w:rPr>
        <w:t>44</w:t>
      </w:r>
      <w:r w:rsidRPr="00C0283F">
        <w:rPr>
          <w:noProof/>
        </w:rPr>
        <w:t>, 1–25. https://doi.org/10.1016/j.brat.2005.06.006</w:t>
      </w:r>
    </w:p>
    <w:p w14:paraId="3B99A227"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Hofmann, S. G., &amp; Hayes, S. C. (2018). The future of intervention science: Process-based therapy. </w:t>
      </w:r>
      <w:r w:rsidRPr="00C0283F">
        <w:rPr>
          <w:i/>
          <w:iCs/>
          <w:noProof/>
        </w:rPr>
        <w:t>Clinical Psychological Science</w:t>
      </w:r>
      <w:r w:rsidRPr="00C0283F">
        <w:rPr>
          <w:noProof/>
        </w:rPr>
        <w:t xml:space="preserve">, </w:t>
      </w:r>
      <w:r w:rsidRPr="00C0283F">
        <w:rPr>
          <w:i/>
          <w:iCs/>
          <w:noProof/>
        </w:rPr>
        <w:t>7</w:t>
      </w:r>
      <w:r w:rsidRPr="00C0283F">
        <w:rPr>
          <w:noProof/>
        </w:rPr>
        <w:t>, 37–50. https://doi.org/10.1177/2167702618772296</w:t>
      </w:r>
    </w:p>
    <w:p w14:paraId="0FEE930E"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Kashdan, T. B., &amp; Collins, R. L. (2010). Social anxiety and the experience of positive emotion and anger in everyday life: an ecological momentary assessment approach. </w:t>
      </w:r>
      <w:r w:rsidRPr="00C0283F">
        <w:rPr>
          <w:i/>
          <w:iCs/>
          <w:noProof/>
        </w:rPr>
        <w:t>Anxiety, Stress &amp; Coping</w:t>
      </w:r>
      <w:r w:rsidRPr="00C0283F">
        <w:rPr>
          <w:noProof/>
        </w:rPr>
        <w:t xml:space="preserve">, </w:t>
      </w:r>
      <w:r w:rsidRPr="00C0283F">
        <w:rPr>
          <w:i/>
          <w:iCs/>
          <w:noProof/>
        </w:rPr>
        <w:t>23</w:t>
      </w:r>
      <w:r w:rsidRPr="00C0283F">
        <w:rPr>
          <w:noProof/>
        </w:rPr>
        <w:t>(3), 259–272. https://doi.org/10.1080/10615800802641950</w:t>
      </w:r>
    </w:p>
    <w:p w14:paraId="4E8C2E3E"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Kashdan, T. B., &amp; Farmer, A. S. (2014). Differentiating emotions across contexts: Comparing adults with and without social anxiety disorder using random, social interaction, and daily experience sampling. </w:t>
      </w:r>
      <w:r w:rsidRPr="00C0283F">
        <w:rPr>
          <w:i/>
          <w:iCs/>
          <w:noProof/>
        </w:rPr>
        <w:t>Emotion</w:t>
      </w:r>
      <w:r w:rsidRPr="00C0283F">
        <w:rPr>
          <w:noProof/>
        </w:rPr>
        <w:t xml:space="preserve">, </w:t>
      </w:r>
      <w:r w:rsidRPr="00C0283F">
        <w:rPr>
          <w:i/>
          <w:iCs/>
          <w:noProof/>
        </w:rPr>
        <w:t>14</w:t>
      </w:r>
      <w:r w:rsidRPr="00C0283F">
        <w:rPr>
          <w:noProof/>
        </w:rPr>
        <w:t>(3), 629–638. https://doi.org/10.1037/a0035796</w:t>
      </w:r>
    </w:p>
    <w:p w14:paraId="72D6D62A"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Krafft, J., Haeger, J. A., &amp; Levin, M. E. (2019). Comparing cognitive fusion and cognitive reappraisal as predictors of college student mental health. </w:t>
      </w:r>
      <w:r w:rsidRPr="00C0283F">
        <w:rPr>
          <w:i/>
          <w:iCs/>
          <w:noProof/>
        </w:rPr>
        <w:t>Cognitive Behaviour Therapy</w:t>
      </w:r>
      <w:r w:rsidRPr="00C0283F">
        <w:rPr>
          <w:noProof/>
        </w:rPr>
        <w:t xml:space="preserve">, </w:t>
      </w:r>
      <w:r w:rsidRPr="00C0283F">
        <w:rPr>
          <w:i/>
          <w:iCs/>
          <w:noProof/>
        </w:rPr>
        <w:t>48</w:t>
      </w:r>
      <w:r w:rsidRPr="00C0283F">
        <w:rPr>
          <w:noProof/>
        </w:rPr>
        <w:t>(3). https://doi.org/10.1080/16506073.2018.1513556</w:t>
      </w:r>
    </w:p>
    <w:p w14:paraId="36E2FAB3"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Kuznetsova, A., Brockhoff, P. B., &amp; Christensen, R. H. B. (2017). lmerTest package: tests in linear mixed effects models. </w:t>
      </w:r>
      <w:r w:rsidRPr="00C0283F">
        <w:rPr>
          <w:i/>
          <w:iCs/>
          <w:noProof/>
        </w:rPr>
        <w:t>Journal of Statistical Software</w:t>
      </w:r>
      <w:r w:rsidRPr="00C0283F">
        <w:rPr>
          <w:noProof/>
        </w:rPr>
        <w:t xml:space="preserve">, </w:t>
      </w:r>
      <w:r w:rsidRPr="00C0283F">
        <w:rPr>
          <w:i/>
          <w:iCs/>
          <w:noProof/>
        </w:rPr>
        <w:t>82</w:t>
      </w:r>
      <w:r w:rsidRPr="00C0283F">
        <w:rPr>
          <w:noProof/>
        </w:rPr>
        <w:t>.</w:t>
      </w:r>
    </w:p>
    <w:p w14:paraId="3CB87F2B"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Kwok, O. M., Underhill, A. T., Berry, J. W., Luo, W., Elliott, T. R., &amp; Yoon, M. (2008). Analyzing longitudinal data with multilevel models: An example with individuals living with lower extremity intra-articular fractures. </w:t>
      </w:r>
      <w:r w:rsidRPr="00C0283F">
        <w:rPr>
          <w:i/>
          <w:iCs/>
          <w:noProof/>
        </w:rPr>
        <w:t>Rehabilitation Psychology</w:t>
      </w:r>
      <w:r w:rsidRPr="00C0283F">
        <w:rPr>
          <w:noProof/>
        </w:rPr>
        <w:t xml:space="preserve">, </w:t>
      </w:r>
      <w:r w:rsidRPr="00C0283F">
        <w:rPr>
          <w:i/>
          <w:iCs/>
          <w:noProof/>
        </w:rPr>
        <w:t>53</w:t>
      </w:r>
      <w:r w:rsidRPr="00C0283F">
        <w:rPr>
          <w:noProof/>
        </w:rPr>
        <w:t>(3), 370–386. https://doi.org/10.1037/a0012765</w:t>
      </w:r>
    </w:p>
    <w:p w14:paraId="0CF35BCE"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Larsson, A., Hooper, N., Osborne, L. A., Bennett, P., &amp; McHugh, L. (2015). Using brief cognitive restructuring and cognitive defusion techniques to cope with negative thoughts. </w:t>
      </w:r>
      <w:r w:rsidRPr="00C0283F">
        <w:rPr>
          <w:i/>
          <w:iCs/>
          <w:noProof/>
        </w:rPr>
        <w:t>Behavior Modification</w:t>
      </w:r>
      <w:r w:rsidRPr="00C0283F">
        <w:rPr>
          <w:noProof/>
        </w:rPr>
        <w:t xml:space="preserve">, </w:t>
      </w:r>
      <w:r w:rsidRPr="00C0283F">
        <w:rPr>
          <w:i/>
          <w:iCs/>
          <w:noProof/>
        </w:rPr>
        <w:t>40</w:t>
      </w:r>
      <w:r w:rsidRPr="00C0283F">
        <w:rPr>
          <w:noProof/>
        </w:rPr>
        <w:t>(3), 452–482. https://doi.org/10.1177/0145445515621488</w:t>
      </w:r>
    </w:p>
    <w:p w14:paraId="6F15B6BD"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lastRenderedPageBreak/>
        <w:t xml:space="preserve">Levin, M. E., Haeger, J., An, W., &amp; Twohig, M. P. (2018). Comparing cognitive defusion and cognitive restructuring delivered through a mobile app for individuals high in self-criticism. </w:t>
      </w:r>
      <w:r w:rsidRPr="00C0283F">
        <w:rPr>
          <w:i/>
          <w:iCs/>
          <w:noProof/>
        </w:rPr>
        <w:t>Cognitive Therapy and Research</w:t>
      </w:r>
      <w:r w:rsidRPr="00C0283F">
        <w:rPr>
          <w:noProof/>
        </w:rPr>
        <w:t xml:space="preserve">, </w:t>
      </w:r>
      <w:r w:rsidRPr="00C0283F">
        <w:rPr>
          <w:i/>
          <w:iCs/>
          <w:noProof/>
        </w:rPr>
        <w:t>42</w:t>
      </w:r>
      <w:r w:rsidRPr="00C0283F">
        <w:rPr>
          <w:noProof/>
        </w:rPr>
        <w:t>(6), 844–855. https://doi.org/10.1007/s10608-018-9944-3</w:t>
      </w:r>
    </w:p>
    <w:p w14:paraId="2F1066C0"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Levin, M. E., Hildebrandt, M. J., Lillis, J., &amp; Hayes, S. C. (2012). The impact of treatment components suggested by the psychological flexibility model: A meta-analysis of laboratory-based component studies. </w:t>
      </w:r>
      <w:r w:rsidRPr="00C0283F">
        <w:rPr>
          <w:i/>
          <w:iCs/>
          <w:noProof/>
        </w:rPr>
        <w:t>Behavior Therapy</w:t>
      </w:r>
      <w:r w:rsidRPr="00C0283F">
        <w:rPr>
          <w:noProof/>
        </w:rPr>
        <w:t xml:space="preserve">, </w:t>
      </w:r>
      <w:r w:rsidRPr="00C0283F">
        <w:rPr>
          <w:i/>
          <w:iCs/>
          <w:noProof/>
        </w:rPr>
        <w:t>43</w:t>
      </w:r>
      <w:r w:rsidRPr="00C0283F">
        <w:rPr>
          <w:noProof/>
        </w:rPr>
        <w:t>(4), 741–756. https://doi.org/10.1016/j.beth.2012.05.003</w:t>
      </w:r>
    </w:p>
    <w:p w14:paraId="2342916B"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Levin, M. E., Krafft, J., Pierce, B., &amp; Potts, S. (2018). When is experiential avoidance harmful in the moment? Examining global experiential avoidance as a moderator. </w:t>
      </w:r>
      <w:r w:rsidRPr="00C0283F">
        <w:rPr>
          <w:i/>
          <w:iCs/>
          <w:noProof/>
        </w:rPr>
        <w:t>Journal of Behavior Therapy and Experimental Psychiatry</w:t>
      </w:r>
      <w:r w:rsidRPr="00C0283F">
        <w:rPr>
          <w:noProof/>
        </w:rPr>
        <w:t xml:space="preserve">, </w:t>
      </w:r>
      <w:r w:rsidRPr="00C0283F">
        <w:rPr>
          <w:i/>
          <w:iCs/>
          <w:noProof/>
        </w:rPr>
        <w:t>61</w:t>
      </w:r>
      <w:r w:rsidRPr="00C0283F">
        <w:rPr>
          <w:noProof/>
        </w:rPr>
        <w:t>, 158–163. https://doi.org/10.1016/j.jbtep.2018.07.005</w:t>
      </w:r>
    </w:p>
    <w:p w14:paraId="4BD17C27"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Lorah, J. (2018). Effect size measures for multilevel models: definition, interpretation, and TIMSS example. </w:t>
      </w:r>
      <w:r w:rsidRPr="00C0283F">
        <w:rPr>
          <w:i/>
          <w:iCs/>
          <w:noProof/>
        </w:rPr>
        <w:t>Large-Scale Assessments in Education</w:t>
      </w:r>
      <w:r w:rsidRPr="00C0283F">
        <w:rPr>
          <w:noProof/>
        </w:rPr>
        <w:t xml:space="preserve">, </w:t>
      </w:r>
      <w:r w:rsidRPr="00C0283F">
        <w:rPr>
          <w:i/>
          <w:iCs/>
          <w:noProof/>
        </w:rPr>
        <w:t>6</w:t>
      </w:r>
      <w:r w:rsidRPr="00C0283F">
        <w:rPr>
          <w:noProof/>
        </w:rPr>
        <w:t>. https://doi.org/10.1186/s40536-018-0061-2</w:t>
      </w:r>
    </w:p>
    <w:p w14:paraId="3E94CC8B"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Luke, S. G. (2017). Evaluating significance in linear mixed-effects models in R. </w:t>
      </w:r>
      <w:r w:rsidRPr="00C0283F">
        <w:rPr>
          <w:i/>
          <w:iCs/>
          <w:noProof/>
        </w:rPr>
        <w:t>Behavior Research Methods</w:t>
      </w:r>
      <w:r w:rsidRPr="00C0283F">
        <w:rPr>
          <w:noProof/>
        </w:rPr>
        <w:t xml:space="preserve">, </w:t>
      </w:r>
      <w:r w:rsidRPr="00C0283F">
        <w:rPr>
          <w:i/>
          <w:iCs/>
          <w:noProof/>
        </w:rPr>
        <w:t>49</w:t>
      </w:r>
      <w:r w:rsidRPr="00C0283F">
        <w:rPr>
          <w:noProof/>
        </w:rPr>
        <w:t>, 1494–1502. https://doi.org/10.3758/s13428-016-0809-y</w:t>
      </w:r>
    </w:p>
    <w:p w14:paraId="6D77CB4F"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McRae, K., Ciesielski, B., &amp; Gross, J. J. (2012). Unpacking cognitive reappraisal: goals, tactics, and outcomes. </w:t>
      </w:r>
      <w:r w:rsidRPr="00C0283F">
        <w:rPr>
          <w:i/>
          <w:iCs/>
          <w:noProof/>
        </w:rPr>
        <w:t>Emotion (Washington, D.C.)</w:t>
      </w:r>
      <w:r w:rsidRPr="00C0283F">
        <w:rPr>
          <w:noProof/>
        </w:rPr>
        <w:t xml:space="preserve">, </w:t>
      </w:r>
      <w:r w:rsidRPr="00C0283F">
        <w:rPr>
          <w:i/>
          <w:iCs/>
          <w:noProof/>
        </w:rPr>
        <w:t>12</w:t>
      </w:r>
      <w:r w:rsidRPr="00C0283F">
        <w:rPr>
          <w:noProof/>
        </w:rPr>
        <w:t>(2), 250–255. https://doi.org/10.1037/a0026351</w:t>
      </w:r>
    </w:p>
    <w:p w14:paraId="27BF753C"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Moffitt, R., Brinkworth, G., Noakes, M., &amp; Mohr, P. (2012). A comparison of cognitive restructuring and cognitive defusion as strategies for resisting a craved food. </w:t>
      </w:r>
      <w:r w:rsidRPr="00C0283F">
        <w:rPr>
          <w:i/>
          <w:iCs/>
          <w:noProof/>
        </w:rPr>
        <w:t>Psychology &amp; Health</w:t>
      </w:r>
      <w:r w:rsidRPr="00C0283F">
        <w:rPr>
          <w:noProof/>
        </w:rPr>
        <w:t xml:space="preserve">, </w:t>
      </w:r>
      <w:r w:rsidRPr="00C0283F">
        <w:rPr>
          <w:i/>
          <w:iCs/>
          <w:noProof/>
        </w:rPr>
        <w:t>27</w:t>
      </w:r>
      <w:r w:rsidRPr="00C0283F">
        <w:rPr>
          <w:noProof/>
        </w:rPr>
        <w:t>(sup2), 74–90. https://doi.org/10.1080/08870446.2012.694436</w:t>
      </w:r>
    </w:p>
    <w:p w14:paraId="7701490C"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lastRenderedPageBreak/>
        <w:t xml:space="preserve">R Core Team. (2018). </w:t>
      </w:r>
      <w:r w:rsidRPr="00C0283F">
        <w:rPr>
          <w:i/>
          <w:iCs/>
          <w:noProof/>
        </w:rPr>
        <w:t>R: A language and environment for statistical computing</w:t>
      </w:r>
      <w:r w:rsidRPr="00C0283F">
        <w:rPr>
          <w:noProof/>
        </w:rPr>
        <w:t>. R Foundation for Statistical Computing.</w:t>
      </w:r>
    </w:p>
    <w:p w14:paraId="075C51CA"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Smits, J. A. J., Julian, K., Rosenfield, D., &amp; Powers, M. B. (2013). Threat reappraial as a mediator of symptom change in cognitive-behavioral treatment of anxiety disorders: A systematic review. </w:t>
      </w:r>
      <w:r w:rsidRPr="00C0283F">
        <w:rPr>
          <w:i/>
          <w:iCs/>
          <w:noProof/>
        </w:rPr>
        <w:t>Journal of Consulting and Clinical Psychology</w:t>
      </w:r>
      <w:r w:rsidRPr="00C0283F">
        <w:rPr>
          <w:noProof/>
        </w:rPr>
        <w:t xml:space="preserve">, </w:t>
      </w:r>
      <w:r w:rsidRPr="00C0283F">
        <w:rPr>
          <w:i/>
          <w:iCs/>
          <w:noProof/>
        </w:rPr>
        <w:t>80</w:t>
      </w:r>
      <w:r w:rsidRPr="00C0283F">
        <w:rPr>
          <w:noProof/>
        </w:rPr>
        <w:t>(4), 624–635. https://doi.org/10.1037/a0028957.Threat</w:t>
      </w:r>
    </w:p>
    <w:p w14:paraId="7BBA72BE"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Stine, R. A. (1995). Graphical interpretation of variance inflation factors. </w:t>
      </w:r>
      <w:r w:rsidRPr="00C0283F">
        <w:rPr>
          <w:i/>
          <w:iCs/>
          <w:noProof/>
        </w:rPr>
        <w:t>The American Statistician</w:t>
      </w:r>
      <w:r w:rsidRPr="00C0283F">
        <w:rPr>
          <w:noProof/>
        </w:rPr>
        <w:t xml:space="preserve">, </w:t>
      </w:r>
      <w:r w:rsidRPr="00C0283F">
        <w:rPr>
          <w:i/>
          <w:iCs/>
          <w:noProof/>
        </w:rPr>
        <w:t>49</w:t>
      </w:r>
      <w:r w:rsidRPr="00C0283F">
        <w:rPr>
          <w:noProof/>
        </w:rPr>
        <w:t>(1), 53–56.</w:t>
      </w:r>
    </w:p>
    <w:p w14:paraId="3AD0E45A"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Twohig, M. P., &amp; Levin, M. E. (2017). Acceptance and commitment therapy as a treatment for anxiety and depression: A review. </w:t>
      </w:r>
      <w:r w:rsidRPr="00C0283F">
        <w:rPr>
          <w:i/>
          <w:iCs/>
          <w:noProof/>
        </w:rPr>
        <w:t>Psychiatric Clinics</w:t>
      </w:r>
      <w:r w:rsidRPr="00C0283F">
        <w:rPr>
          <w:noProof/>
        </w:rPr>
        <w:t xml:space="preserve">, </w:t>
      </w:r>
      <w:r w:rsidRPr="00C0283F">
        <w:rPr>
          <w:i/>
          <w:iCs/>
          <w:noProof/>
        </w:rPr>
        <w:t>40</w:t>
      </w:r>
      <w:r w:rsidRPr="00C0283F">
        <w:rPr>
          <w:noProof/>
        </w:rPr>
        <w:t>(4), 751–770.</w:t>
      </w:r>
    </w:p>
    <w:p w14:paraId="7AD517F3"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Wampold, B. E., Minami, T., Baskin, T. W., &amp; Tierney, S. C. (2002). A meta-(re)analysis of the effects of cognitive therapy versus ‘other therapies’ for depression. </w:t>
      </w:r>
      <w:r w:rsidRPr="00C0283F">
        <w:rPr>
          <w:i/>
          <w:iCs/>
          <w:noProof/>
        </w:rPr>
        <w:t>Journal of Affective Disorders</w:t>
      </w:r>
      <w:r w:rsidRPr="00C0283F">
        <w:rPr>
          <w:noProof/>
        </w:rPr>
        <w:t xml:space="preserve">, </w:t>
      </w:r>
      <w:r w:rsidRPr="00C0283F">
        <w:rPr>
          <w:i/>
          <w:iCs/>
          <w:noProof/>
        </w:rPr>
        <w:t>68</w:t>
      </w:r>
      <w:r w:rsidRPr="00C0283F">
        <w:rPr>
          <w:noProof/>
        </w:rPr>
        <w:t>, 159–165. www.elsevier.com/locate/jad</w:t>
      </w:r>
    </w:p>
    <w:p w14:paraId="5C04BB83"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Wells, A., &amp; Davies, M. I. (1994). The thought control questionnaire: A measure of individual differences in the control of unwanted thoughts. </w:t>
      </w:r>
      <w:r w:rsidRPr="00C0283F">
        <w:rPr>
          <w:i/>
          <w:iCs/>
          <w:noProof/>
        </w:rPr>
        <w:t>Behaviour Research and Therapy</w:t>
      </w:r>
      <w:r w:rsidRPr="00C0283F">
        <w:rPr>
          <w:noProof/>
        </w:rPr>
        <w:t xml:space="preserve">, </w:t>
      </w:r>
      <w:r w:rsidRPr="00C0283F">
        <w:rPr>
          <w:i/>
          <w:iCs/>
          <w:noProof/>
        </w:rPr>
        <w:t>32</w:t>
      </w:r>
      <w:r w:rsidRPr="00C0283F">
        <w:rPr>
          <w:noProof/>
        </w:rPr>
        <w:t>(8), 871–878. https://doi.org/10.1016/0005-7967(94)90168-6</w:t>
      </w:r>
    </w:p>
    <w:p w14:paraId="3C9A82B5"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Wolgast, M., &amp; Lundh, L. G. (2017). Is distraction an adaptive or maladaptive strategy for emotion regulation? A person-oriented approach. </w:t>
      </w:r>
      <w:r w:rsidRPr="00C0283F">
        <w:rPr>
          <w:i/>
          <w:iCs/>
          <w:noProof/>
        </w:rPr>
        <w:t>Journal of Psychopathology and Behavioral Assessment</w:t>
      </w:r>
      <w:r w:rsidRPr="00C0283F">
        <w:rPr>
          <w:noProof/>
        </w:rPr>
        <w:t xml:space="preserve">, </w:t>
      </w:r>
      <w:r w:rsidRPr="00C0283F">
        <w:rPr>
          <w:i/>
          <w:iCs/>
          <w:noProof/>
        </w:rPr>
        <w:t>39</w:t>
      </w:r>
      <w:r w:rsidRPr="00C0283F">
        <w:rPr>
          <w:noProof/>
        </w:rPr>
        <w:t>(1), 117–127. https://doi.org/10.1007/s10862-016-9570-x</w:t>
      </w:r>
    </w:p>
    <w:p w14:paraId="0E9525BC"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Wolitzky-Taylor, K. B., Arch, J. J., Rosenfield, D., &amp; Craske, M. G. (2012). Moderators and non-specific predictors of treatment outcome for anxiety disorders: A comparison of cognitive behavioral therapy to acceptance and commitment therapy. </w:t>
      </w:r>
      <w:r w:rsidRPr="00C0283F">
        <w:rPr>
          <w:i/>
          <w:iCs/>
          <w:noProof/>
        </w:rPr>
        <w:t>Journal of Consulting and Clinical Psychology</w:t>
      </w:r>
      <w:r w:rsidRPr="00C0283F">
        <w:rPr>
          <w:noProof/>
        </w:rPr>
        <w:t xml:space="preserve">, </w:t>
      </w:r>
      <w:r w:rsidRPr="00C0283F">
        <w:rPr>
          <w:i/>
          <w:iCs/>
          <w:noProof/>
        </w:rPr>
        <w:t>80</w:t>
      </w:r>
      <w:r w:rsidRPr="00C0283F">
        <w:rPr>
          <w:noProof/>
        </w:rPr>
        <w:t>, 786–799. https://doi.org/10.1037/a0029418</w:t>
      </w:r>
    </w:p>
    <w:p w14:paraId="0AD557D2"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lastRenderedPageBreak/>
        <w:t xml:space="preserve">Yovel, I., Mor, N., &amp; Shakarov, H. (2014). Examination of the core cognitive components of cognitive behavioral therapy and acceptance and commitment therapy: An analogue investigation. </w:t>
      </w:r>
      <w:r w:rsidRPr="00C0283F">
        <w:rPr>
          <w:i/>
          <w:iCs/>
          <w:noProof/>
        </w:rPr>
        <w:t>Behavior Therapy</w:t>
      </w:r>
      <w:r w:rsidRPr="00C0283F">
        <w:rPr>
          <w:noProof/>
        </w:rPr>
        <w:t xml:space="preserve">, </w:t>
      </w:r>
      <w:r w:rsidRPr="00C0283F">
        <w:rPr>
          <w:i/>
          <w:iCs/>
          <w:noProof/>
        </w:rPr>
        <w:t>45</w:t>
      </w:r>
      <w:r w:rsidRPr="00C0283F">
        <w:rPr>
          <w:noProof/>
        </w:rPr>
        <w:t>(4), 482–494. https://doi.org/10.1016/j.beth.2014.02.007</w:t>
      </w:r>
    </w:p>
    <w:p w14:paraId="3596C172" w14:textId="77777777" w:rsidR="00C0283F" w:rsidRPr="00C0283F" w:rsidRDefault="00C0283F" w:rsidP="00C0283F">
      <w:pPr>
        <w:widowControl w:val="0"/>
        <w:autoSpaceDE w:val="0"/>
        <w:autoSpaceDN w:val="0"/>
        <w:adjustRightInd w:val="0"/>
        <w:spacing w:line="480" w:lineRule="auto"/>
        <w:ind w:left="480" w:hanging="480"/>
        <w:rPr>
          <w:noProof/>
        </w:rPr>
      </w:pPr>
      <w:r w:rsidRPr="00C0283F">
        <w:rPr>
          <w:noProof/>
        </w:rPr>
        <w:t xml:space="preserve">Zettle, R. D., Rains, J. C., &amp; Hayes, S. C. (2011). Processes of change in acceptance and commitment therapy and cognitive therapy for depression: a mediation reanalysis of Zettle and Rains. </w:t>
      </w:r>
      <w:r w:rsidRPr="00C0283F">
        <w:rPr>
          <w:i/>
          <w:iCs/>
          <w:noProof/>
        </w:rPr>
        <w:t>Behavior Modification</w:t>
      </w:r>
      <w:r w:rsidRPr="00C0283F">
        <w:rPr>
          <w:noProof/>
        </w:rPr>
        <w:t xml:space="preserve">, </w:t>
      </w:r>
      <w:r w:rsidRPr="00C0283F">
        <w:rPr>
          <w:i/>
          <w:iCs/>
          <w:noProof/>
        </w:rPr>
        <w:t>35</w:t>
      </w:r>
      <w:r w:rsidRPr="00C0283F">
        <w:rPr>
          <w:noProof/>
        </w:rPr>
        <w:t>(3), 265–283. https://doi.org/10.1177/0145445511398344</w:t>
      </w:r>
    </w:p>
    <w:p w14:paraId="74FEC713" w14:textId="7388080E" w:rsidR="00A15EBE" w:rsidRPr="007E582D" w:rsidRDefault="00CE7AA2" w:rsidP="00C0283F">
      <w:pPr>
        <w:widowControl w:val="0"/>
        <w:autoSpaceDE w:val="0"/>
        <w:autoSpaceDN w:val="0"/>
        <w:adjustRightInd w:val="0"/>
        <w:spacing w:line="480" w:lineRule="auto"/>
        <w:ind w:left="480" w:hanging="480"/>
        <w:rPr>
          <w:noProof/>
        </w:rPr>
      </w:pPr>
      <w:r>
        <w:rPr>
          <w:noProof/>
        </w:rPr>
        <w:fldChar w:fldCharType="end"/>
      </w:r>
    </w:p>
    <w:p w14:paraId="6D28127E" w14:textId="77777777" w:rsidR="004768A9" w:rsidRDefault="004768A9"/>
    <w:p w14:paraId="355A6FDF" w14:textId="77777777" w:rsidR="00934264" w:rsidRDefault="00934264"/>
    <w:p w14:paraId="6982A0D7" w14:textId="77777777" w:rsidR="00934264" w:rsidRDefault="00934264"/>
    <w:p w14:paraId="0D1FADC3" w14:textId="77777777" w:rsidR="00ED3F18" w:rsidRDefault="00ED3F18">
      <w:r>
        <w:br w:type="page"/>
      </w:r>
    </w:p>
    <w:p w14:paraId="1359D1E8" w14:textId="77777777" w:rsidR="00ED3F18" w:rsidRPr="002B42B2" w:rsidRDefault="00ED3F18" w:rsidP="00ED3F18">
      <w:pPr>
        <w:spacing w:line="480" w:lineRule="auto"/>
        <w:rPr>
          <w:i/>
          <w:iCs/>
        </w:rPr>
      </w:pPr>
      <w:r w:rsidRPr="00BD44E5">
        <w:lastRenderedPageBreak/>
        <w:t xml:space="preserve">Table 1. </w:t>
      </w:r>
      <w:r w:rsidRPr="00972763">
        <w:rPr>
          <w:i/>
          <w:iCs/>
        </w:rPr>
        <w:t>Participant demographics</w:t>
      </w:r>
    </w:p>
    <w:tbl>
      <w:tblPr>
        <w:tblW w:w="8574" w:type="dxa"/>
        <w:tblBorders>
          <w:bottom w:val="single" w:sz="4" w:space="0" w:color="auto"/>
        </w:tblBorders>
        <w:tblLook w:val="04A0" w:firstRow="1" w:lastRow="0" w:firstColumn="1" w:lastColumn="0" w:noHBand="0" w:noVBand="1"/>
      </w:tblPr>
      <w:tblGrid>
        <w:gridCol w:w="6019"/>
        <w:gridCol w:w="2555"/>
      </w:tblGrid>
      <w:tr w:rsidR="00ED3F18" w:rsidRPr="008C41B9" w14:paraId="70ED0052" w14:textId="77777777" w:rsidTr="000B6467">
        <w:trPr>
          <w:trHeight w:val="320"/>
        </w:trPr>
        <w:tc>
          <w:tcPr>
            <w:tcW w:w="6019" w:type="dxa"/>
            <w:tcBorders>
              <w:top w:val="single" w:sz="4" w:space="0" w:color="auto"/>
              <w:bottom w:val="single" w:sz="4" w:space="0" w:color="auto"/>
            </w:tcBorders>
            <w:shd w:val="clear" w:color="auto" w:fill="auto"/>
            <w:noWrap/>
            <w:vAlign w:val="bottom"/>
            <w:hideMark/>
          </w:tcPr>
          <w:p w14:paraId="77D6705E" w14:textId="77777777" w:rsidR="00ED3F18" w:rsidRPr="008C41B9" w:rsidRDefault="00ED3F18" w:rsidP="000B6467">
            <w:pPr>
              <w:rPr>
                <w:color w:val="000000"/>
              </w:rPr>
            </w:pPr>
          </w:p>
        </w:tc>
        <w:tc>
          <w:tcPr>
            <w:tcW w:w="2555" w:type="dxa"/>
            <w:tcBorders>
              <w:top w:val="single" w:sz="4" w:space="0" w:color="auto"/>
              <w:bottom w:val="single" w:sz="4" w:space="0" w:color="auto"/>
            </w:tcBorders>
            <w:shd w:val="clear" w:color="auto" w:fill="auto"/>
            <w:noWrap/>
            <w:vAlign w:val="bottom"/>
            <w:hideMark/>
          </w:tcPr>
          <w:p w14:paraId="78A1C41A" w14:textId="77777777" w:rsidR="00ED3F18" w:rsidRPr="008C41B9" w:rsidRDefault="00ED3F18" w:rsidP="000B6467">
            <w:pPr>
              <w:rPr>
                <w:color w:val="000000"/>
              </w:rPr>
            </w:pPr>
            <w:r w:rsidRPr="008C41B9">
              <w:rPr>
                <w:color w:val="000000"/>
              </w:rPr>
              <w:t>Mean/Count (SD/%)</w:t>
            </w:r>
          </w:p>
        </w:tc>
      </w:tr>
      <w:tr w:rsidR="00ED3F18" w:rsidRPr="008C41B9" w14:paraId="4631D112" w14:textId="77777777" w:rsidTr="000B6467">
        <w:trPr>
          <w:trHeight w:val="320"/>
        </w:trPr>
        <w:tc>
          <w:tcPr>
            <w:tcW w:w="6019" w:type="dxa"/>
            <w:tcBorders>
              <w:top w:val="single" w:sz="4" w:space="0" w:color="auto"/>
            </w:tcBorders>
            <w:shd w:val="clear" w:color="auto" w:fill="auto"/>
            <w:noWrap/>
            <w:vAlign w:val="bottom"/>
            <w:hideMark/>
          </w:tcPr>
          <w:p w14:paraId="4F3232C3" w14:textId="77777777" w:rsidR="00ED3F18" w:rsidRPr="008C41B9" w:rsidRDefault="00ED3F18" w:rsidP="000B6467">
            <w:pPr>
              <w:rPr>
                <w:color w:val="000000"/>
              </w:rPr>
            </w:pPr>
            <w:r w:rsidRPr="008C41B9">
              <w:rPr>
                <w:color w:val="000000"/>
              </w:rPr>
              <w:t xml:space="preserve"> </w:t>
            </w:r>
          </w:p>
        </w:tc>
        <w:tc>
          <w:tcPr>
            <w:tcW w:w="2555" w:type="dxa"/>
            <w:tcBorders>
              <w:top w:val="single" w:sz="4" w:space="0" w:color="auto"/>
            </w:tcBorders>
            <w:shd w:val="clear" w:color="auto" w:fill="auto"/>
            <w:noWrap/>
            <w:vAlign w:val="bottom"/>
            <w:hideMark/>
          </w:tcPr>
          <w:p w14:paraId="53D24F1C" w14:textId="77777777" w:rsidR="00ED3F18" w:rsidRPr="008C41B9" w:rsidRDefault="00ED3F18" w:rsidP="000B6467">
            <w:pPr>
              <w:rPr>
                <w:color w:val="000000"/>
              </w:rPr>
            </w:pPr>
            <w:r w:rsidRPr="008C41B9">
              <w:rPr>
                <w:color w:val="000000"/>
              </w:rPr>
              <w:t>n = 194</w:t>
            </w:r>
          </w:p>
        </w:tc>
      </w:tr>
      <w:tr w:rsidR="00ED3F18" w:rsidRPr="008C41B9" w14:paraId="40B0CF87" w14:textId="77777777" w:rsidTr="000B6467">
        <w:trPr>
          <w:trHeight w:val="320"/>
        </w:trPr>
        <w:tc>
          <w:tcPr>
            <w:tcW w:w="6019" w:type="dxa"/>
            <w:shd w:val="clear" w:color="auto" w:fill="auto"/>
            <w:noWrap/>
            <w:vAlign w:val="bottom"/>
            <w:hideMark/>
          </w:tcPr>
          <w:p w14:paraId="002E6899" w14:textId="77777777" w:rsidR="00ED3F18" w:rsidRPr="008C41B9" w:rsidRDefault="00ED3F18" w:rsidP="000B6467">
            <w:pPr>
              <w:rPr>
                <w:color w:val="000000"/>
              </w:rPr>
            </w:pPr>
            <w:r w:rsidRPr="008C41B9">
              <w:rPr>
                <w:color w:val="000000"/>
              </w:rPr>
              <w:t>Age</w:t>
            </w:r>
          </w:p>
        </w:tc>
        <w:tc>
          <w:tcPr>
            <w:tcW w:w="2555" w:type="dxa"/>
            <w:shd w:val="clear" w:color="auto" w:fill="auto"/>
            <w:noWrap/>
            <w:vAlign w:val="bottom"/>
            <w:hideMark/>
          </w:tcPr>
          <w:p w14:paraId="0F6F6CE2" w14:textId="77777777" w:rsidR="00ED3F18" w:rsidRPr="008C41B9" w:rsidRDefault="00ED3F18" w:rsidP="000B6467">
            <w:pPr>
              <w:rPr>
                <w:color w:val="000000"/>
              </w:rPr>
            </w:pPr>
            <w:r w:rsidRPr="008C41B9">
              <w:rPr>
                <w:color w:val="000000"/>
              </w:rPr>
              <w:t xml:space="preserve"> </w:t>
            </w:r>
          </w:p>
        </w:tc>
      </w:tr>
      <w:tr w:rsidR="00ED3F18" w:rsidRPr="008C41B9" w14:paraId="0A378D45" w14:textId="77777777" w:rsidTr="000B6467">
        <w:trPr>
          <w:trHeight w:val="320"/>
        </w:trPr>
        <w:tc>
          <w:tcPr>
            <w:tcW w:w="6019" w:type="dxa"/>
            <w:shd w:val="clear" w:color="auto" w:fill="auto"/>
            <w:noWrap/>
            <w:vAlign w:val="bottom"/>
            <w:hideMark/>
          </w:tcPr>
          <w:p w14:paraId="5A164371" w14:textId="77777777" w:rsidR="00ED3F18" w:rsidRPr="008C41B9" w:rsidRDefault="00ED3F18" w:rsidP="000B6467">
            <w:pPr>
              <w:rPr>
                <w:color w:val="000000"/>
              </w:rPr>
            </w:pPr>
            <w:r w:rsidRPr="008C41B9">
              <w:rPr>
                <w:color w:val="000000"/>
              </w:rPr>
              <w:t xml:space="preserve"> </w:t>
            </w:r>
          </w:p>
        </w:tc>
        <w:tc>
          <w:tcPr>
            <w:tcW w:w="2555" w:type="dxa"/>
            <w:shd w:val="clear" w:color="auto" w:fill="auto"/>
            <w:noWrap/>
            <w:vAlign w:val="bottom"/>
            <w:hideMark/>
          </w:tcPr>
          <w:p w14:paraId="23262A75" w14:textId="77777777" w:rsidR="00ED3F18" w:rsidRPr="008C41B9" w:rsidRDefault="00ED3F18" w:rsidP="000B6467">
            <w:pPr>
              <w:rPr>
                <w:color w:val="000000"/>
              </w:rPr>
            </w:pPr>
            <w:r w:rsidRPr="008C41B9">
              <w:rPr>
                <w:color w:val="000000"/>
              </w:rPr>
              <w:t>21.81 (14.79)</w:t>
            </w:r>
          </w:p>
        </w:tc>
      </w:tr>
      <w:tr w:rsidR="00ED3F18" w:rsidRPr="008C41B9" w14:paraId="1E5FB2DF" w14:textId="77777777" w:rsidTr="000B6467">
        <w:trPr>
          <w:trHeight w:val="320"/>
        </w:trPr>
        <w:tc>
          <w:tcPr>
            <w:tcW w:w="6019" w:type="dxa"/>
            <w:shd w:val="clear" w:color="auto" w:fill="auto"/>
            <w:noWrap/>
            <w:vAlign w:val="bottom"/>
            <w:hideMark/>
          </w:tcPr>
          <w:p w14:paraId="10333D7A" w14:textId="77777777" w:rsidR="00ED3F18" w:rsidRPr="008C41B9" w:rsidRDefault="00ED3F18" w:rsidP="000B6467">
            <w:pPr>
              <w:rPr>
                <w:color w:val="000000"/>
              </w:rPr>
            </w:pPr>
            <w:r w:rsidRPr="008C41B9">
              <w:rPr>
                <w:color w:val="000000"/>
              </w:rPr>
              <w:t>Gender</w:t>
            </w:r>
          </w:p>
        </w:tc>
        <w:tc>
          <w:tcPr>
            <w:tcW w:w="2555" w:type="dxa"/>
            <w:shd w:val="clear" w:color="auto" w:fill="auto"/>
            <w:noWrap/>
            <w:vAlign w:val="bottom"/>
            <w:hideMark/>
          </w:tcPr>
          <w:p w14:paraId="18CA27A5" w14:textId="77777777" w:rsidR="00ED3F18" w:rsidRPr="008C41B9" w:rsidRDefault="00ED3F18" w:rsidP="000B6467">
            <w:pPr>
              <w:rPr>
                <w:color w:val="000000"/>
              </w:rPr>
            </w:pPr>
            <w:r w:rsidRPr="008C41B9">
              <w:rPr>
                <w:color w:val="000000"/>
              </w:rPr>
              <w:t xml:space="preserve"> </w:t>
            </w:r>
          </w:p>
        </w:tc>
      </w:tr>
      <w:tr w:rsidR="00ED3F18" w:rsidRPr="008C41B9" w14:paraId="4D8A6544" w14:textId="77777777" w:rsidTr="000B6467">
        <w:trPr>
          <w:trHeight w:val="320"/>
        </w:trPr>
        <w:tc>
          <w:tcPr>
            <w:tcW w:w="6019" w:type="dxa"/>
            <w:shd w:val="clear" w:color="auto" w:fill="auto"/>
            <w:noWrap/>
            <w:vAlign w:val="bottom"/>
            <w:hideMark/>
          </w:tcPr>
          <w:p w14:paraId="585DC4E4" w14:textId="77777777" w:rsidR="00ED3F18" w:rsidRPr="008C41B9" w:rsidRDefault="00ED3F18" w:rsidP="000B6467">
            <w:pPr>
              <w:rPr>
                <w:color w:val="000000"/>
              </w:rPr>
            </w:pPr>
            <w:r w:rsidRPr="008C41B9">
              <w:rPr>
                <w:color w:val="000000"/>
              </w:rPr>
              <w:t xml:space="preserve">   Male</w:t>
            </w:r>
          </w:p>
        </w:tc>
        <w:tc>
          <w:tcPr>
            <w:tcW w:w="2555" w:type="dxa"/>
            <w:shd w:val="clear" w:color="auto" w:fill="auto"/>
            <w:noWrap/>
            <w:vAlign w:val="bottom"/>
            <w:hideMark/>
          </w:tcPr>
          <w:p w14:paraId="20573B4B" w14:textId="77777777" w:rsidR="00ED3F18" w:rsidRPr="008C41B9" w:rsidRDefault="00ED3F18" w:rsidP="000B6467">
            <w:pPr>
              <w:rPr>
                <w:color w:val="000000"/>
              </w:rPr>
            </w:pPr>
            <w:r w:rsidRPr="008C41B9">
              <w:rPr>
                <w:color w:val="000000"/>
              </w:rPr>
              <w:t>56 (28.87%)</w:t>
            </w:r>
          </w:p>
        </w:tc>
      </w:tr>
      <w:tr w:rsidR="00ED3F18" w:rsidRPr="008C41B9" w14:paraId="7A33D137" w14:textId="77777777" w:rsidTr="000B6467">
        <w:trPr>
          <w:trHeight w:val="320"/>
        </w:trPr>
        <w:tc>
          <w:tcPr>
            <w:tcW w:w="6019" w:type="dxa"/>
            <w:shd w:val="clear" w:color="auto" w:fill="auto"/>
            <w:noWrap/>
            <w:vAlign w:val="bottom"/>
            <w:hideMark/>
          </w:tcPr>
          <w:p w14:paraId="515BC44F" w14:textId="77777777" w:rsidR="00ED3F18" w:rsidRPr="008C41B9" w:rsidRDefault="00ED3F18" w:rsidP="000B6467">
            <w:pPr>
              <w:rPr>
                <w:color w:val="000000"/>
              </w:rPr>
            </w:pPr>
            <w:r w:rsidRPr="008C41B9">
              <w:rPr>
                <w:color w:val="000000"/>
              </w:rPr>
              <w:t xml:space="preserve">   Female</w:t>
            </w:r>
          </w:p>
        </w:tc>
        <w:tc>
          <w:tcPr>
            <w:tcW w:w="2555" w:type="dxa"/>
            <w:shd w:val="clear" w:color="auto" w:fill="auto"/>
            <w:noWrap/>
            <w:vAlign w:val="bottom"/>
            <w:hideMark/>
          </w:tcPr>
          <w:p w14:paraId="4886E609" w14:textId="77777777" w:rsidR="00ED3F18" w:rsidRPr="008C41B9" w:rsidRDefault="00ED3F18" w:rsidP="000B6467">
            <w:pPr>
              <w:rPr>
                <w:color w:val="000000"/>
              </w:rPr>
            </w:pPr>
            <w:r w:rsidRPr="008C41B9">
              <w:rPr>
                <w:color w:val="000000"/>
              </w:rPr>
              <w:t>138 (71.13%)</w:t>
            </w:r>
          </w:p>
        </w:tc>
      </w:tr>
      <w:tr w:rsidR="00ED3F18" w:rsidRPr="008C41B9" w14:paraId="673C1C9C" w14:textId="77777777" w:rsidTr="000B6467">
        <w:trPr>
          <w:trHeight w:val="320"/>
        </w:trPr>
        <w:tc>
          <w:tcPr>
            <w:tcW w:w="6019" w:type="dxa"/>
            <w:shd w:val="clear" w:color="auto" w:fill="auto"/>
            <w:noWrap/>
            <w:vAlign w:val="bottom"/>
            <w:hideMark/>
          </w:tcPr>
          <w:p w14:paraId="30EE250A" w14:textId="77777777" w:rsidR="00ED3F18" w:rsidRPr="008C41B9" w:rsidRDefault="00ED3F18" w:rsidP="000B6467">
            <w:pPr>
              <w:rPr>
                <w:color w:val="000000"/>
              </w:rPr>
            </w:pPr>
            <w:r w:rsidRPr="008C41B9">
              <w:rPr>
                <w:color w:val="000000"/>
              </w:rPr>
              <w:t>Ethnicity</w:t>
            </w:r>
          </w:p>
        </w:tc>
        <w:tc>
          <w:tcPr>
            <w:tcW w:w="2555" w:type="dxa"/>
            <w:shd w:val="clear" w:color="auto" w:fill="auto"/>
            <w:noWrap/>
            <w:vAlign w:val="bottom"/>
            <w:hideMark/>
          </w:tcPr>
          <w:p w14:paraId="3B0FC66D" w14:textId="77777777" w:rsidR="00ED3F18" w:rsidRPr="008C41B9" w:rsidRDefault="00ED3F18" w:rsidP="000B6467">
            <w:pPr>
              <w:rPr>
                <w:color w:val="000000"/>
              </w:rPr>
            </w:pPr>
            <w:r w:rsidRPr="008C41B9">
              <w:rPr>
                <w:color w:val="000000"/>
              </w:rPr>
              <w:t xml:space="preserve"> </w:t>
            </w:r>
          </w:p>
        </w:tc>
      </w:tr>
      <w:tr w:rsidR="00ED3F18" w:rsidRPr="008C41B9" w14:paraId="3061DC8F" w14:textId="77777777" w:rsidTr="000B6467">
        <w:trPr>
          <w:trHeight w:val="320"/>
        </w:trPr>
        <w:tc>
          <w:tcPr>
            <w:tcW w:w="6019" w:type="dxa"/>
            <w:shd w:val="clear" w:color="auto" w:fill="auto"/>
            <w:noWrap/>
            <w:vAlign w:val="bottom"/>
            <w:hideMark/>
          </w:tcPr>
          <w:p w14:paraId="082284C9" w14:textId="77777777" w:rsidR="00ED3F18" w:rsidRPr="008C41B9" w:rsidRDefault="00ED3F18" w:rsidP="000B6467">
            <w:pPr>
              <w:rPr>
                <w:color w:val="000000"/>
              </w:rPr>
            </w:pPr>
            <w:r w:rsidRPr="008C41B9">
              <w:rPr>
                <w:color w:val="000000"/>
              </w:rPr>
              <w:t xml:space="preserve">   Hispanic</w:t>
            </w:r>
          </w:p>
        </w:tc>
        <w:tc>
          <w:tcPr>
            <w:tcW w:w="2555" w:type="dxa"/>
            <w:shd w:val="clear" w:color="auto" w:fill="auto"/>
            <w:noWrap/>
            <w:vAlign w:val="bottom"/>
            <w:hideMark/>
          </w:tcPr>
          <w:p w14:paraId="2F4CCD04" w14:textId="77777777" w:rsidR="00ED3F18" w:rsidRPr="008C41B9" w:rsidRDefault="00ED3F18" w:rsidP="000B6467">
            <w:pPr>
              <w:rPr>
                <w:color w:val="000000"/>
              </w:rPr>
            </w:pPr>
            <w:r w:rsidRPr="008C41B9">
              <w:rPr>
                <w:color w:val="000000"/>
              </w:rPr>
              <w:t>9 (4.64%)</w:t>
            </w:r>
          </w:p>
        </w:tc>
      </w:tr>
      <w:tr w:rsidR="00ED3F18" w:rsidRPr="008C41B9" w14:paraId="59E8A67C" w14:textId="77777777" w:rsidTr="000B6467">
        <w:trPr>
          <w:trHeight w:val="320"/>
        </w:trPr>
        <w:tc>
          <w:tcPr>
            <w:tcW w:w="6019" w:type="dxa"/>
            <w:shd w:val="clear" w:color="auto" w:fill="auto"/>
            <w:noWrap/>
            <w:vAlign w:val="bottom"/>
            <w:hideMark/>
          </w:tcPr>
          <w:p w14:paraId="35572614" w14:textId="77777777" w:rsidR="00ED3F18" w:rsidRPr="008C41B9" w:rsidRDefault="00ED3F18" w:rsidP="000B6467">
            <w:pPr>
              <w:rPr>
                <w:color w:val="000000"/>
              </w:rPr>
            </w:pPr>
            <w:r w:rsidRPr="008C41B9">
              <w:rPr>
                <w:color w:val="000000"/>
              </w:rPr>
              <w:t xml:space="preserve">   Not Hispanic</w:t>
            </w:r>
          </w:p>
        </w:tc>
        <w:tc>
          <w:tcPr>
            <w:tcW w:w="2555" w:type="dxa"/>
            <w:shd w:val="clear" w:color="auto" w:fill="auto"/>
            <w:noWrap/>
            <w:vAlign w:val="bottom"/>
            <w:hideMark/>
          </w:tcPr>
          <w:p w14:paraId="6B5C95B8" w14:textId="77777777" w:rsidR="00ED3F18" w:rsidRPr="008C41B9" w:rsidRDefault="00ED3F18" w:rsidP="000B6467">
            <w:pPr>
              <w:rPr>
                <w:color w:val="000000"/>
              </w:rPr>
            </w:pPr>
            <w:r w:rsidRPr="008C41B9">
              <w:rPr>
                <w:color w:val="000000"/>
              </w:rPr>
              <w:t>185 (95.36%)</w:t>
            </w:r>
          </w:p>
        </w:tc>
      </w:tr>
      <w:tr w:rsidR="00ED3F18" w:rsidRPr="008C41B9" w14:paraId="61DE3EEA" w14:textId="77777777" w:rsidTr="000B6467">
        <w:trPr>
          <w:trHeight w:val="320"/>
        </w:trPr>
        <w:tc>
          <w:tcPr>
            <w:tcW w:w="6019" w:type="dxa"/>
            <w:shd w:val="clear" w:color="auto" w:fill="auto"/>
            <w:noWrap/>
            <w:vAlign w:val="bottom"/>
            <w:hideMark/>
          </w:tcPr>
          <w:p w14:paraId="4D47B997" w14:textId="77777777" w:rsidR="00ED3F18" w:rsidRPr="008C41B9" w:rsidRDefault="00ED3F18" w:rsidP="000B6467">
            <w:pPr>
              <w:rPr>
                <w:color w:val="000000"/>
              </w:rPr>
            </w:pPr>
            <w:r w:rsidRPr="008C41B9">
              <w:rPr>
                <w:color w:val="000000"/>
              </w:rPr>
              <w:t>Race</w:t>
            </w:r>
          </w:p>
        </w:tc>
        <w:tc>
          <w:tcPr>
            <w:tcW w:w="2555" w:type="dxa"/>
            <w:shd w:val="clear" w:color="auto" w:fill="auto"/>
            <w:noWrap/>
            <w:vAlign w:val="bottom"/>
            <w:hideMark/>
          </w:tcPr>
          <w:p w14:paraId="53A7A7D3" w14:textId="77777777" w:rsidR="00ED3F18" w:rsidRPr="008C41B9" w:rsidRDefault="00ED3F18" w:rsidP="000B6467">
            <w:pPr>
              <w:rPr>
                <w:color w:val="000000"/>
              </w:rPr>
            </w:pPr>
            <w:r w:rsidRPr="008C41B9">
              <w:rPr>
                <w:color w:val="000000"/>
              </w:rPr>
              <w:t xml:space="preserve"> </w:t>
            </w:r>
          </w:p>
        </w:tc>
      </w:tr>
      <w:tr w:rsidR="00ED3F18" w:rsidRPr="008C41B9" w14:paraId="2B330746" w14:textId="77777777" w:rsidTr="000B6467">
        <w:trPr>
          <w:trHeight w:val="320"/>
        </w:trPr>
        <w:tc>
          <w:tcPr>
            <w:tcW w:w="6019" w:type="dxa"/>
            <w:shd w:val="clear" w:color="auto" w:fill="auto"/>
            <w:noWrap/>
            <w:vAlign w:val="bottom"/>
            <w:hideMark/>
          </w:tcPr>
          <w:p w14:paraId="26207B1D" w14:textId="77777777" w:rsidR="00ED3F18" w:rsidRPr="008C41B9" w:rsidRDefault="00ED3F18" w:rsidP="000B6467">
            <w:pPr>
              <w:rPr>
                <w:color w:val="000000"/>
              </w:rPr>
            </w:pPr>
            <w:r w:rsidRPr="00A90399">
              <w:rPr>
                <w:color w:val="000000"/>
              </w:rPr>
              <w:t xml:space="preserve">   American Indian/Alaska Native</w:t>
            </w:r>
          </w:p>
        </w:tc>
        <w:tc>
          <w:tcPr>
            <w:tcW w:w="2555" w:type="dxa"/>
            <w:shd w:val="clear" w:color="auto" w:fill="auto"/>
            <w:noWrap/>
            <w:vAlign w:val="bottom"/>
            <w:hideMark/>
          </w:tcPr>
          <w:p w14:paraId="471FD4C9" w14:textId="77777777" w:rsidR="00ED3F18" w:rsidRPr="008C41B9" w:rsidRDefault="00ED3F18" w:rsidP="000B6467">
            <w:pPr>
              <w:rPr>
                <w:color w:val="000000"/>
              </w:rPr>
            </w:pPr>
            <w:r w:rsidRPr="00A90399">
              <w:rPr>
                <w:color w:val="000000"/>
              </w:rPr>
              <w:t>1 (0.52%)</w:t>
            </w:r>
          </w:p>
        </w:tc>
      </w:tr>
      <w:tr w:rsidR="00ED3F18" w:rsidRPr="008C41B9" w14:paraId="077B9816" w14:textId="77777777" w:rsidTr="000B6467">
        <w:trPr>
          <w:trHeight w:val="320"/>
        </w:trPr>
        <w:tc>
          <w:tcPr>
            <w:tcW w:w="6019" w:type="dxa"/>
            <w:shd w:val="clear" w:color="auto" w:fill="auto"/>
            <w:noWrap/>
            <w:vAlign w:val="bottom"/>
            <w:hideMark/>
          </w:tcPr>
          <w:p w14:paraId="5FAAE39E" w14:textId="77777777" w:rsidR="00ED3F18" w:rsidRPr="008C41B9" w:rsidRDefault="00ED3F18" w:rsidP="000B6467">
            <w:pPr>
              <w:rPr>
                <w:color w:val="000000"/>
              </w:rPr>
            </w:pPr>
            <w:r w:rsidRPr="00A90399">
              <w:rPr>
                <w:color w:val="000000"/>
              </w:rPr>
              <w:t xml:space="preserve">   Asian</w:t>
            </w:r>
          </w:p>
        </w:tc>
        <w:tc>
          <w:tcPr>
            <w:tcW w:w="2555" w:type="dxa"/>
            <w:shd w:val="clear" w:color="auto" w:fill="auto"/>
            <w:noWrap/>
            <w:vAlign w:val="bottom"/>
            <w:hideMark/>
          </w:tcPr>
          <w:p w14:paraId="39EB0069" w14:textId="77777777" w:rsidR="00ED3F18" w:rsidRPr="008C41B9" w:rsidRDefault="00ED3F18" w:rsidP="000B6467">
            <w:pPr>
              <w:rPr>
                <w:color w:val="000000"/>
              </w:rPr>
            </w:pPr>
            <w:r w:rsidRPr="00A90399">
              <w:rPr>
                <w:color w:val="000000"/>
              </w:rPr>
              <w:t>3 (1.55%)</w:t>
            </w:r>
          </w:p>
        </w:tc>
      </w:tr>
      <w:tr w:rsidR="00ED3F18" w:rsidRPr="008C41B9" w14:paraId="53D0CF33" w14:textId="77777777" w:rsidTr="000B6467">
        <w:trPr>
          <w:trHeight w:val="320"/>
        </w:trPr>
        <w:tc>
          <w:tcPr>
            <w:tcW w:w="6019" w:type="dxa"/>
            <w:shd w:val="clear" w:color="auto" w:fill="auto"/>
            <w:noWrap/>
            <w:vAlign w:val="bottom"/>
            <w:hideMark/>
          </w:tcPr>
          <w:p w14:paraId="2B863299" w14:textId="77777777" w:rsidR="00ED3F18" w:rsidRPr="008C41B9" w:rsidRDefault="00ED3F18" w:rsidP="000B6467">
            <w:pPr>
              <w:rPr>
                <w:color w:val="000000"/>
              </w:rPr>
            </w:pPr>
            <w:r w:rsidRPr="00A90399">
              <w:rPr>
                <w:color w:val="000000"/>
              </w:rPr>
              <w:t xml:space="preserve">   Black</w:t>
            </w:r>
          </w:p>
        </w:tc>
        <w:tc>
          <w:tcPr>
            <w:tcW w:w="2555" w:type="dxa"/>
            <w:shd w:val="clear" w:color="auto" w:fill="auto"/>
            <w:noWrap/>
            <w:vAlign w:val="bottom"/>
            <w:hideMark/>
          </w:tcPr>
          <w:p w14:paraId="564FF0AC" w14:textId="77777777" w:rsidR="00ED3F18" w:rsidRPr="008C41B9" w:rsidRDefault="00ED3F18" w:rsidP="000B6467">
            <w:pPr>
              <w:rPr>
                <w:color w:val="000000"/>
              </w:rPr>
            </w:pPr>
            <w:r w:rsidRPr="00A90399">
              <w:rPr>
                <w:color w:val="000000"/>
              </w:rPr>
              <w:t>2 (1.03%)</w:t>
            </w:r>
          </w:p>
        </w:tc>
      </w:tr>
      <w:tr w:rsidR="00ED3F18" w:rsidRPr="008C41B9" w14:paraId="02F2722F" w14:textId="77777777" w:rsidTr="000B6467">
        <w:trPr>
          <w:trHeight w:val="320"/>
        </w:trPr>
        <w:tc>
          <w:tcPr>
            <w:tcW w:w="6019" w:type="dxa"/>
            <w:shd w:val="clear" w:color="auto" w:fill="auto"/>
            <w:noWrap/>
            <w:vAlign w:val="bottom"/>
            <w:hideMark/>
          </w:tcPr>
          <w:p w14:paraId="0CA9B3C4" w14:textId="77777777" w:rsidR="00ED3F18" w:rsidRPr="008C41B9" w:rsidRDefault="00ED3F18" w:rsidP="000B6467">
            <w:pPr>
              <w:rPr>
                <w:color w:val="000000"/>
              </w:rPr>
            </w:pPr>
            <w:r w:rsidRPr="00A90399">
              <w:rPr>
                <w:color w:val="000000"/>
              </w:rPr>
              <w:t xml:space="preserve">   White</w:t>
            </w:r>
          </w:p>
        </w:tc>
        <w:tc>
          <w:tcPr>
            <w:tcW w:w="2555" w:type="dxa"/>
            <w:shd w:val="clear" w:color="auto" w:fill="auto"/>
            <w:noWrap/>
            <w:vAlign w:val="bottom"/>
            <w:hideMark/>
          </w:tcPr>
          <w:p w14:paraId="656230AE" w14:textId="77777777" w:rsidR="00ED3F18" w:rsidRPr="008C41B9" w:rsidRDefault="00ED3F18" w:rsidP="000B6467">
            <w:pPr>
              <w:rPr>
                <w:color w:val="000000"/>
              </w:rPr>
            </w:pPr>
            <w:r w:rsidRPr="00A90399">
              <w:rPr>
                <w:color w:val="000000"/>
              </w:rPr>
              <w:t>186 (95.88%)</w:t>
            </w:r>
          </w:p>
        </w:tc>
      </w:tr>
      <w:tr w:rsidR="00ED3F18" w:rsidRPr="008C41B9" w14:paraId="2D62A50A" w14:textId="77777777" w:rsidTr="000B6467">
        <w:trPr>
          <w:trHeight w:val="320"/>
        </w:trPr>
        <w:tc>
          <w:tcPr>
            <w:tcW w:w="6019" w:type="dxa"/>
            <w:shd w:val="clear" w:color="auto" w:fill="auto"/>
            <w:noWrap/>
            <w:vAlign w:val="bottom"/>
            <w:hideMark/>
          </w:tcPr>
          <w:p w14:paraId="2A1328ED" w14:textId="77777777" w:rsidR="00ED3F18" w:rsidRPr="008C41B9" w:rsidRDefault="00ED3F18" w:rsidP="000B6467">
            <w:pPr>
              <w:rPr>
                <w:color w:val="000000"/>
              </w:rPr>
            </w:pPr>
            <w:r w:rsidRPr="00A90399">
              <w:rPr>
                <w:color w:val="000000"/>
              </w:rPr>
              <w:t xml:space="preserve">   Bi/Multi-racial</w:t>
            </w:r>
          </w:p>
        </w:tc>
        <w:tc>
          <w:tcPr>
            <w:tcW w:w="2555" w:type="dxa"/>
            <w:shd w:val="clear" w:color="auto" w:fill="auto"/>
            <w:noWrap/>
            <w:vAlign w:val="bottom"/>
            <w:hideMark/>
          </w:tcPr>
          <w:p w14:paraId="3C15DA40" w14:textId="77777777" w:rsidR="00ED3F18" w:rsidRPr="008C41B9" w:rsidRDefault="00ED3F18" w:rsidP="000B6467">
            <w:pPr>
              <w:rPr>
                <w:color w:val="000000"/>
              </w:rPr>
            </w:pPr>
            <w:r w:rsidRPr="00A90399">
              <w:rPr>
                <w:color w:val="000000"/>
              </w:rPr>
              <w:t>2 (1.03%)</w:t>
            </w:r>
          </w:p>
        </w:tc>
      </w:tr>
      <w:tr w:rsidR="00ED3F18" w:rsidRPr="008C41B9" w14:paraId="1E398853" w14:textId="77777777" w:rsidTr="000B6467">
        <w:trPr>
          <w:trHeight w:val="320"/>
        </w:trPr>
        <w:tc>
          <w:tcPr>
            <w:tcW w:w="6019" w:type="dxa"/>
            <w:shd w:val="clear" w:color="auto" w:fill="auto"/>
            <w:noWrap/>
            <w:vAlign w:val="bottom"/>
            <w:hideMark/>
          </w:tcPr>
          <w:p w14:paraId="3C6237AA" w14:textId="77777777" w:rsidR="00ED3F18" w:rsidRPr="008C41B9" w:rsidRDefault="00ED3F18" w:rsidP="000B6467">
            <w:pPr>
              <w:rPr>
                <w:color w:val="000000"/>
              </w:rPr>
            </w:pPr>
            <w:r w:rsidRPr="00A90399">
              <w:rPr>
                <w:color w:val="000000"/>
              </w:rPr>
              <w:t xml:space="preserve">   American Indian/Alaska Native</w:t>
            </w:r>
          </w:p>
        </w:tc>
        <w:tc>
          <w:tcPr>
            <w:tcW w:w="2555" w:type="dxa"/>
            <w:shd w:val="clear" w:color="auto" w:fill="auto"/>
            <w:noWrap/>
            <w:vAlign w:val="bottom"/>
            <w:hideMark/>
          </w:tcPr>
          <w:p w14:paraId="1EFE5618" w14:textId="77777777" w:rsidR="00ED3F18" w:rsidRPr="008C41B9" w:rsidRDefault="00ED3F18" w:rsidP="000B6467">
            <w:pPr>
              <w:rPr>
                <w:color w:val="000000"/>
              </w:rPr>
            </w:pPr>
            <w:r w:rsidRPr="00A90399">
              <w:rPr>
                <w:color w:val="000000"/>
              </w:rPr>
              <w:t>1 (0.52%)</w:t>
            </w:r>
          </w:p>
        </w:tc>
      </w:tr>
      <w:tr w:rsidR="00ED3F18" w:rsidRPr="008C41B9" w14:paraId="4E062982" w14:textId="77777777" w:rsidTr="000B6467">
        <w:trPr>
          <w:trHeight w:val="320"/>
        </w:trPr>
        <w:tc>
          <w:tcPr>
            <w:tcW w:w="6019" w:type="dxa"/>
            <w:shd w:val="clear" w:color="auto" w:fill="auto"/>
            <w:noWrap/>
            <w:vAlign w:val="bottom"/>
            <w:hideMark/>
          </w:tcPr>
          <w:p w14:paraId="202F9512" w14:textId="77777777" w:rsidR="00ED3F18" w:rsidRPr="008C41B9" w:rsidRDefault="00ED3F18" w:rsidP="000B6467">
            <w:pPr>
              <w:rPr>
                <w:color w:val="000000"/>
              </w:rPr>
            </w:pPr>
            <w:r w:rsidRPr="008C41B9">
              <w:rPr>
                <w:color w:val="000000"/>
              </w:rPr>
              <w:t>Income</w:t>
            </w:r>
          </w:p>
        </w:tc>
        <w:tc>
          <w:tcPr>
            <w:tcW w:w="2555" w:type="dxa"/>
            <w:shd w:val="clear" w:color="auto" w:fill="auto"/>
            <w:noWrap/>
            <w:vAlign w:val="bottom"/>
            <w:hideMark/>
          </w:tcPr>
          <w:p w14:paraId="5C76A0DD" w14:textId="77777777" w:rsidR="00ED3F18" w:rsidRPr="008C41B9" w:rsidRDefault="00ED3F18" w:rsidP="000B6467">
            <w:pPr>
              <w:rPr>
                <w:color w:val="000000"/>
              </w:rPr>
            </w:pPr>
            <w:r w:rsidRPr="008C41B9">
              <w:rPr>
                <w:color w:val="000000"/>
              </w:rPr>
              <w:t xml:space="preserve"> </w:t>
            </w:r>
          </w:p>
        </w:tc>
      </w:tr>
      <w:tr w:rsidR="00ED3F18" w:rsidRPr="008C41B9" w14:paraId="7EAD6343" w14:textId="77777777" w:rsidTr="000B6467">
        <w:trPr>
          <w:trHeight w:val="320"/>
        </w:trPr>
        <w:tc>
          <w:tcPr>
            <w:tcW w:w="6019" w:type="dxa"/>
            <w:shd w:val="clear" w:color="auto" w:fill="auto"/>
            <w:noWrap/>
            <w:vAlign w:val="bottom"/>
            <w:hideMark/>
          </w:tcPr>
          <w:p w14:paraId="5D73374B" w14:textId="77777777" w:rsidR="00ED3F18" w:rsidRPr="008C41B9" w:rsidRDefault="00ED3F18" w:rsidP="000B6467">
            <w:pPr>
              <w:rPr>
                <w:color w:val="000000"/>
              </w:rPr>
            </w:pPr>
            <w:r w:rsidRPr="008C41B9">
              <w:rPr>
                <w:color w:val="000000"/>
              </w:rPr>
              <w:t xml:space="preserve">   Less than 20k</w:t>
            </w:r>
          </w:p>
        </w:tc>
        <w:tc>
          <w:tcPr>
            <w:tcW w:w="2555" w:type="dxa"/>
            <w:shd w:val="clear" w:color="auto" w:fill="auto"/>
            <w:noWrap/>
            <w:vAlign w:val="bottom"/>
            <w:hideMark/>
          </w:tcPr>
          <w:p w14:paraId="281D14A2" w14:textId="77777777" w:rsidR="00ED3F18" w:rsidRPr="008C41B9" w:rsidRDefault="00ED3F18" w:rsidP="000B6467">
            <w:pPr>
              <w:rPr>
                <w:color w:val="000000"/>
              </w:rPr>
            </w:pPr>
            <w:r w:rsidRPr="008C41B9">
              <w:rPr>
                <w:color w:val="000000"/>
              </w:rPr>
              <w:t>47 (24.23%)</w:t>
            </w:r>
          </w:p>
        </w:tc>
      </w:tr>
      <w:tr w:rsidR="00ED3F18" w:rsidRPr="008C41B9" w14:paraId="51766713" w14:textId="77777777" w:rsidTr="000B6467">
        <w:trPr>
          <w:trHeight w:val="320"/>
        </w:trPr>
        <w:tc>
          <w:tcPr>
            <w:tcW w:w="6019" w:type="dxa"/>
            <w:shd w:val="clear" w:color="auto" w:fill="auto"/>
            <w:noWrap/>
            <w:vAlign w:val="bottom"/>
            <w:hideMark/>
          </w:tcPr>
          <w:p w14:paraId="5CC60E6E" w14:textId="77777777" w:rsidR="00ED3F18" w:rsidRPr="008C41B9" w:rsidRDefault="00ED3F18" w:rsidP="000B6467">
            <w:pPr>
              <w:rPr>
                <w:color w:val="000000"/>
              </w:rPr>
            </w:pPr>
            <w:r w:rsidRPr="008C41B9">
              <w:rPr>
                <w:color w:val="000000"/>
              </w:rPr>
              <w:t xml:space="preserve">   20-40k</w:t>
            </w:r>
          </w:p>
        </w:tc>
        <w:tc>
          <w:tcPr>
            <w:tcW w:w="2555" w:type="dxa"/>
            <w:shd w:val="clear" w:color="auto" w:fill="auto"/>
            <w:noWrap/>
            <w:vAlign w:val="bottom"/>
            <w:hideMark/>
          </w:tcPr>
          <w:p w14:paraId="35246D00" w14:textId="77777777" w:rsidR="00ED3F18" w:rsidRPr="008C41B9" w:rsidRDefault="00ED3F18" w:rsidP="000B6467">
            <w:pPr>
              <w:rPr>
                <w:color w:val="000000"/>
              </w:rPr>
            </w:pPr>
            <w:r w:rsidRPr="008C41B9">
              <w:rPr>
                <w:color w:val="000000"/>
              </w:rPr>
              <w:t>22 (11.34%)</w:t>
            </w:r>
          </w:p>
        </w:tc>
      </w:tr>
      <w:tr w:rsidR="00ED3F18" w:rsidRPr="008C41B9" w14:paraId="2C9D41F7" w14:textId="77777777" w:rsidTr="000B6467">
        <w:trPr>
          <w:trHeight w:val="320"/>
        </w:trPr>
        <w:tc>
          <w:tcPr>
            <w:tcW w:w="6019" w:type="dxa"/>
            <w:shd w:val="clear" w:color="auto" w:fill="auto"/>
            <w:noWrap/>
            <w:vAlign w:val="bottom"/>
            <w:hideMark/>
          </w:tcPr>
          <w:p w14:paraId="465D2815" w14:textId="77777777" w:rsidR="00ED3F18" w:rsidRPr="008C41B9" w:rsidRDefault="00ED3F18" w:rsidP="000B6467">
            <w:pPr>
              <w:rPr>
                <w:color w:val="000000"/>
              </w:rPr>
            </w:pPr>
            <w:r w:rsidRPr="008C41B9">
              <w:rPr>
                <w:color w:val="000000"/>
              </w:rPr>
              <w:t xml:space="preserve">   40-60k</w:t>
            </w:r>
          </w:p>
        </w:tc>
        <w:tc>
          <w:tcPr>
            <w:tcW w:w="2555" w:type="dxa"/>
            <w:shd w:val="clear" w:color="auto" w:fill="auto"/>
            <w:noWrap/>
            <w:vAlign w:val="bottom"/>
            <w:hideMark/>
          </w:tcPr>
          <w:p w14:paraId="7ED781D8" w14:textId="77777777" w:rsidR="00ED3F18" w:rsidRPr="008C41B9" w:rsidRDefault="00ED3F18" w:rsidP="000B6467">
            <w:pPr>
              <w:rPr>
                <w:color w:val="000000"/>
              </w:rPr>
            </w:pPr>
            <w:r w:rsidRPr="008C41B9">
              <w:rPr>
                <w:color w:val="000000"/>
              </w:rPr>
              <w:t>14 (7.22%)</w:t>
            </w:r>
          </w:p>
        </w:tc>
      </w:tr>
      <w:tr w:rsidR="00ED3F18" w:rsidRPr="008C41B9" w14:paraId="4DF280E2" w14:textId="77777777" w:rsidTr="000B6467">
        <w:trPr>
          <w:trHeight w:val="320"/>
        </w:trPr>
        <w:tc>
          <w:tcPr>
            <w:tcW w:w="6019" w:type="dxa"/>
            <w:shd w:val="clear" w:color="auto" w:fill="auto"/>
            <w:noWrap/>
            <w:vAlign w:val="bottom"/>
            <w:hideMark/>
          </w:tcPr>
          <w:p w14:paraId="27F87C5F" w14:textId="77777777" w:rsidR="00ED3F18" w:rsidRPr="008C41B9" w:rsidRDefault="00ED3F18" w:rsidP="000B6467">
            <w:pPr>
              <w:rPr>
                <w:color w:val="000000"/>
              </w:rPr>
            </w:pPr>
            <w:r w:rsidRPr="008C41B9">
              <w:rPr>
                <w:color w:val="000000"/>
              </w:rPr>
              <w:t xml:space="preserve">   60-80k</w:t>
            </w:r>
          </w:p>
        </w:tc>
        <w:tc>
          <w:tcPr>
            <w:tcW w:w="2555" w:type="dxa"/>
            <w:shd w:val="clear" w:color="auto" w:fill="auto"/>
            <w:noWrap/>
            <w:vAlign w:val="bottom"/>
            <w:hideMark/>
          </w:tcPr>
          <w:p w14:paraId="02C8019C" w14:textId="77777777" w:rsidR="00ED3F18" w:rsidRPr="008C41B9" w:rsidRDefault="00ED3F18" w:rsidP="000B6467">
            <w:pPr>
              <w:rPr>
                <w:color w:val="000000"/>
              </w:rPr>
            </w:pPr>
            <w:r w:rsidRPr="008C41B9">
              <w:rPr>
                <w:color w:val="000000"/>
              </w:rPr>
              <w:t>23 (11.86%)</w:t>
            </w:r>
          </w:p>
        </w:tc>
      </w:tr>
      <w:tr w:rsidR="00ED3F18" w:rsidRPr="008C41B9" w14:paraId="06AD6460" w14:textId="77777777" w:rsidTr="000B6467">
        <w:trPr>
          <w:trHeight w:val="320"/>
        </w:trPr>
        <w:tc>
          <w:tcPr>
            <w:tcW w:w="6019" w:type="dxa"/>
            <w:shd w:val="clear" w:color="auto" w:fill="auto"/>
            <w:noWrap/>
            <w:vAlign w:val="bottom"/>
            <w:hideMark/>
          </w:tcPr>
          <w:p w14:paraId="6B473551" w14:textId="77777777" w:rsidR="00ED3F18" w:rsidRPr="008C41B9" w:rsidRDefault="00ED3F18" w:rsidP="000B6467">
            <w:pPr>
              <w:rPr>
                <w:color w:val="000000"/>
              </w:rPr>
            </w:pPr>
            <w:r w:rsidRPr="008C41B9">
              <w:rPr>
                <w:color w:val="000000"/>
              </w:rPr>
              <w:t xml:space="preserve">   80-100k</w:t>
            </w:r>
          </w:p>
        </w:tc>
        <w:tc>
          <w:tcPr>
            <w:tcW w:w="2555" w:type="dxa"/>
            <w:shd w:val="clear" w:color="auto" w:fill="auto"/>
            <w:noWrap/>
            <w:vAlign w:val="bottom"/>
            <w:hideMark/>
          </w:tcPr>
          <w:p w14:paraId="25D565C1" w14:textId="77777777" w:rsidR="00ED3F18" w:rsidRPr="008C41B9" w:rsidRDefault="00ED3F18" w:rsidP="000B6467">
            <w:pPr>
              <w:rPr>
                <w:color w:val="000000"/>
              </w:rPr>
            </w:pPr>
            <w:r w:rsidRPr="008C41B9">
              <w:rPr>
                <w:color w:val="000000"/>
              </w:rPr>
              <w:t>14 (7.22%)</w:t>
            </w:r>
          </w:p>
        </w:tc>
      </w:tr>
      <w:tr w:rsidR="00ED3F18" w:rsidRPr="008C41B9" w14:paraId="45AD7C14" w14:textId="77777777" w:rsidTr="000B6467">
        <w:trPr>
          <w:trHeight w:val="320"/>
        </w:trPr>
        <w:tc>
          <w:tcPr>
            <w:tcW w:w="6019" w:type="dxa"/>
            <w:shd w:val="clear" w:color="auto" w:fill="auto"/>
            <w:noWrap/>
            <w:vAlign w:val="bottom"/>
            <w:hideMark/>
          </w:tcPr>
          <w:p w14:paraId="44F06063" w14:textId="77777777" w:rsidR="00ED3F18" w:rsidRPr="008C41B9" w:rsidRDefault="00ED3F18" w:rsidP="000B6467">
            <w:pPr>
              <w:rPr>
                <w:color w:val="000000"/>
              </w:rPr>
            </w:pPr>
            <w:r w:rsidRPr="008C41B9">
              <w:rPr>
                <w:color w:val="000000"/>
              </w:rPr>
              <w:t xml:space="preserve">   More than 100k</w:t>
            </w:r>
          </w:p>
        </w:tc>
        <w:tc>
          <w:tcPr>
            <w:tcW w:w="2555" w:type="dxa"/>
            <w:shd w:val="clear" w:color="auto" w:fill="auto"/>
            <w:noWrap/>
            <w:vAlign w:val="bottom"/>
            <w:hideMark/>
          </w:tcPr>
          <w:p w14:paraId="54AE8191" w14:textId="77777777" w:rsidR="00ED3F18" w:rsidRPr="008C41B9" w:rsidRDefault="00ED3F18" w:rsidP="000B6467">
            <w:pPr>
              <w:rPr>
                <w:color w:val="000000"/>
              </w:rPr>
            </w:pPr>
            <w:r w:rsidRPr="008C41B9">
              <w:rPr>
                <w:color w:val="000000"/>
              </w:rPr>
              <w:t>31 (15.98%)</w:t>
            </w:r>
          </w:p>
        </w:tc>
      </w:tr>
      <w:tr w:rsidR="00ED3F18" w:rsidRPr="008C41B9" w14:paraId="4413BFC5" w14:textId="77777777" w:rsidTr="000B6467">
        <w:trPr>
          <w:trHeight w:val="320"/>
        </w:trPr>
        <w:tc>
          <w:tcPr>
            <w:tcW w:w="6019" w:type="dxa"/>
            <w:shd w:val="clear" w:color="auto" w:fill="auto"/>
            <w:noWrap/>
            <w:vAlign w:val="bottom"/>
            <w:hideMark/>
          </w:tcPr>
          <w:p w14:paraId="2B7DF464" w14:textId="77777777" w:rsidR="00ED3F18" w:rsidRPr="008C41B9" w:rsidRDefault="00ED3F18" w:rsidP="000B6467">
            <w:pPr>
              <w:rPr>
                <w:color w:val="000000"/>
              </w:rPr>
            </w:pPr>
            <w:r w:rsidRPr="008C41B9">
              <w:rPr>
                <w:color w:val="000000"/>
              </w:rPr>
              <w:t xml:space="preserve">   Unknown</w:t>
            </w:r>
          </w:p>
        </w:tc>
        <w:tc>
          <w:tcPr>
            <w:tcW w:w="2555" w:type="dxa"/>
            <w:shd w:val="clear" w:color="auto" w:fill="auto"/>
            <w:noWrap/>
            <w:vAlign w:val="bottom"/>
            <w:hideMark/>
          </w:tcPr>
          <w:p w14:paraId="1A15741A" w14:textId="77777777" w:rsidR="00ED3F18" w:rsidRPr="008C41B9" w:rsidRDefault="00ED3F18" w:rsidP="000B6467">
            <w:pPr>
              <w:rPr>
                <w:color w:val="000000"/>
              </w:rPr>
            </w:pPr>
            <w:r w:rsidRPr="008C41B9">
              <w:rPr>
                <w:color w:val="000000"/>
              </w:rPr>
              <w:t>43 (22.16%)</w:t>
            </w:r>
          </w:p>
        </w:tc>
      </w:tr>
      <w:tr w:rsidR="00ED3F18" w:rsidRPr="008C41B9" w14:paraId="5A0033EA" w14:textId="77777777" w:rsidTr="000B6467">
        <w:trPr>
          <w:trHeight w:val="320"/>
        </w:trPr>
        <w:tc>
          <w:tcPr>
            <w:tcW w:w="6019" w:type="dxa"/>
            <w:shd w:val="clear" w:color="auto" w:fill="auto"/>
            <w:noWrap/>
            <w:vAlign w:val="bottom"/>
            <w:hideMark/>
          </w:tcPr>
          <w:p w14:paraId="44B0B67E" w14:textId="77777777" w:rsidR="00ED3F18" w:rsidRPr="008C41B9" w:rsidRDefault="00ED3F18" w:rsidP="000B6467">
            <w:pPr>
              <w:rPr>
                <w:color w:val="000000"/>
              </w:rPr>
            </w:pPr>
            <w:r>
              <w:rPr>
                <w:color w:val="000000"/>
              </w:rPr>
              <w:t>Wellbeing (GHQ)</w:t>
            </w:r>
          </w:p>
        </w:tc>
        <w:tc>
          <w:tcPr>
            <w:tcW w:w="2555" w:type="dxa"/>
            <w:shd w:val="clear" w:color="auto" w:fill="auto"/>
            <w:noWrap/>
            <w:vAlign w:val="bottom"/>
            <w:hideMark/>
          </w:tcPr>
          <w:p w14:paraId="4A55D604" w14:textId="77777777" w:rsidR="00ED3F18" w:rsidRPr="008C41B9" w:rsidRDefault="00ED3F18" w:rsidP="000B6467">
            <w:pPr>
              <w:rPr>
                <w:color w:val="000000"/>
              </w:rPr>
            </w:pPr>
            <w:r w:rsidRPr="008C41B9">
              <w:rPr>
                <w:color w:val="000000"/>
              </w:rPr>
              <w:t xml:space="preserve"> </w:t>
            </w:r>
          </w:p>
        </w:tc>
      </w:tr>
      <w:tr w:rsidR="00ED3F18" w:rsidRPr="008C41B9" w14:paraId="56F0C129" w14:textId="77777777" w:rsidTr="000B6467">
        <w:trPr>
          <w:trHeight w:val="320"/>
        </w:trPr>
        <w:tc>
          <w:tcPr>
            <w:tcW w:w="6019" w:type="dxa"/>
            <w:shd w:val="clear" w:color="auto" w:fill="auto"/>
            <w:noWrap/>
            <w:vAlign w:val="bottom"/>
            <w:hideMark/>
          </w:tcPr>
          <w:p w14:paraId="54D47764" w14:textId="77777777" w:rsidR="00ED3F18" w:rsidRPr="008C41B9" w:rsidRDefault="00ED3F18" w:rsidP="000B6467">
            <w:pPr>
              <w:rPr>
                <w:color w:val="000000"/>
              </w:rPr>
            </w:pPr>
            <w:r w:rsidRPr="008C41B9">
              <w:rPr>
                <w:color w:val="000000"/>
              </w:rPr>
              <w:t xml:space="preserve"> </w:t>
            </w:r>
          </w:p>
        </w:tc>
        <w:tc>
          <w:tcPr>
            <w:tcW w:w="2555" w:type="dxa"/>
            <w:shd w:val="clear" w:color="auto" w:fill="auto"/>
            <w:noWrap/>
            <w:vAlign w:val="bottom"/>
            <w:hideMark/>
          </w:tcPr>
          <w:p w14:paraId="75F519EE" w14:textId="054AE214" w:rsidR="00ED3F18" w:rsidRPr="008C41B9" w:rsidRDefault="001D57F0" w:rsidP="000B6467">
            <w:pPr>
              <w:rPr>
                <w:color w:val="000000"/>
              </w:rPr>
            </w:pPr>
            <w:r>
              <w:rPr>
                <w:color w:val="000000"/>
              </w:rPr>
              <w:t>3.61</w:t>
            </w:r>
            <w:r w:rsidR="00ED3F18" w:rsidRPr="000665F2">
              <w:rPr>
                <w:color w:val="000000"/>
              </w:rPr>
              <w:t xml:space="preserve"> (</w:t>
            </w:r>
            <w:r>
              <w:rPr>
                <w:color w:val="000000"/>
              </w:rPr>
              <w:t>3.48</w:t>
            </w:r>
            <w:r w:rsidR="00ED3F18" w:rsidRPr="000665F2">
              <w:rPr>
                <w:color w:val="000000"/>
              </w:rPr>
              <w:t>)</w:t>
            </w:r>
          </w:p>
        </w:tc>
      </w:tr>
    </w:tbl>
    <w:p w14:paraId="6D2F2BEA" w14:textId="161F65B5" w:rsidR="00231536" w:rsidRDefault="00231536" w:rsidP="00ED3F18">
      <w:pPr>
        <w:spacing w:line="480" w:lineRule="auto"/>
        <w:sectPr w:rsidR="00231536" w:rsidSect="00226FC5">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45B4B109" w14:textId="77777777" w:rsidR="00ED3F18" w:rsidRPr="00300B7D" w:rsidRDefault="00ED3F18" w:rsidP="00ED3F18">
      <w:pPr>
        <w:spacing w:line="480" w:lineRule="auto"/>
        <w:rPr>
          <w:i/>
          <w:iCs/>
        </w:rPr>
      </w:pPr>
      <w:r w:rsidRPr="0002766F">
        <w:lastRenderedPageBreak/>
        <w:t xml:space="preserve">Table </w:t>
      </w:r>
      <w:r>
        <w:t>2</w:t>
      </w:r>
      <w:r w:rsidRPr="0002766F">
        <w:t xml:space="preserve">. </w:t>
      </w:r>
      <w:r>
        <w:rPr>
          <w:i/>
          <w:iCs/>
        </w:rPr>
        <w:t>MLMs evaluating associations between processes</w:t>
      </w:r>
    </w:p>
    <w:tbl>
      <w:tblPr>
        <w:tblStyle w:val="TableGrid"/>
        <w:tblW w:w="121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751"/>
        <w:gridCol w:w="1523"/>
        <w:gridCol w:w="2040"/>
        <w:gridCol w:w="1522"/>
        <w:gridCol w:w="2040"/>
        <w:gridCol w:w="1704"/>
      </w:tblGrid>
      <w:tr w:rsidR="00AE6A86" w:rsidRPr="0002766F" w14:paraId="7D5A8948" w14:textId="2F0716FB" w:rsidTr="00CC0CA6">
        <w:trPr>
          <w:trHeight w:val="377"/>
        </w:trPr>
        <w:tc>
          <w:tcPr>
            <w:tcW w:w="1584" w:type="dxa"/>
            <w:tcBorders>
              <w:top w:val="single" w:sz="4" w:space="0" w:color="auto"/>
              <w:bottom w:val="nil"/>
            </w:tcBorders>
          </w:tcPr>
          <w:p w14:paraId="193CA7F2" w14:textId="77777777" w:rsidR="00AE6A86" w:rsidRDefault="00AE6A86" w:rsidP="009101C6"/>
        </w:tc>
        <w:tc>
          <w:tcPr>
            <w:tcW w:w="3274" w:type="dxa"/>
            <w:gridSpan w:val="2"/>
            <w:tcBorders>
              <w:top w:val="single" w:sz="4" w:space="0" w:color="auto"/>
              <w:bottom w:val="nil"/>
            </w:tcBorders>
          </w:tcPr>
          <w:p w14:paraId="2B945EEE" w14:textId="7E3F07E6" w:rsidR="00AE6A86" w:rsidRDefault="00AE6A86" w:rsidP="00C262F5">
            <w:pPr>
              <w:jc w:val="center"/>
            </w:pPr>
            <w:r w:rsidRPr="00C262F5">
              <w:t>Full Sample</w:t>
            </w:r>
            <w:r>
              <w:t xml:space="preserve"> (n = 194)</w:t>
            </w:r>
          </w:p>
        </w:tc>
        <w:tc>
          <w:tcPr>
            <w:tcW w:w="3562" w:type="dxa"/>
            <w:gridSpan w:val="2"/>
            <w:tcBorders>
              <w:top w:val="single" w:sz="4" w:space="0" w:color="auto"/>
              <w:bottom w:val="nil"/>
            </w:tcBorders>
          </w:tcPr>
          <w:p w14:paraId="6EFC7127" w14:textId="0D3D411F" w:rsidR="00AE6A86" w:rsidRDefault="00AE6A86" w:rsidP="00C262F5">
            <w:pPr>
              <w:jc w:val="center"/>
            </w:pPr>
            <w:r>
              <w:t>High Distress (n = 91)</w:t>
            </w:r>
          </w:p>
        </w:tc>
        <w:tc>
          <w:tcPr>
            <w:tcW w:w="3744" w:type="dxa"/>
            <w:gridSpan w:val="2"/>
            <w:tcBorders>
              <w:top w:val="single" w:sz="4" w:space="0" w:color="auto"/>
              <w:bottom w:val="nil"/>
            </w:tcBorders>
          </w:tcPr>
          <w:p w14:paraId="3E097686" w14:textId="4198157A" w:rsidR="00AE6A86" w:rsidRDefault="00AE6A86" w:rsidP="00C262F5">
            <w:pPr>
              <w:jc w:val="center"/>
            </w:pPr>
            <w:r>
              <w:t>Low Distress (n = 103)</w:t>
            </w:r>
          </w:p>
        </w:tc>
      </w:tr>
      <w:tr w:rsidR="00AE6A86" w:rsidRPr="0002766F" w14:paraId="21B522AB" w14:textId="0C14B645" w:rsidTr="00C262F5">
        <w:trPr>
          <w:trHeight w:val="377"/>
        </w:trPr>
        <w:tc>
          <w:tcPr>
            <w:tcW w:w="1584" w:type="dxa"/>
            <w:tcBorders>
              <w:top w:val="nil"/>
              <w:bottom w:val="single" w:sz="4" w:space="0" w:color="auto"/>
            </w:tcBorders>
          </w:tcPr>
          <w:p w14:paraId="3FF87804" w14:textId="77777777" w:rsidR="00AE6A86" w:rsidRPr="0002766F" w:rsidRDefault="00AE6A86" w:rsidP="009101C6">
            <w:pPr>
              <w:rPr>
                <w:i/>
                <w:iCs/>
              </w:rPr>
            </w:pPr>
          </w:p>
        </w:tc>
        <w:tc>
          <w:tcPr>
            <w:tcW w:w="1751" w:type="dxa"/>
            <w:tcBorders>
              <w:top w:val="nil"/>
              <w:bottom w:val="single" w:sz="4" w:space="0" w:color="auto"/>
            </w:tcBorders>
          </w:tcPr>
          <w:p w14:paraId="3A2111D0" w14:textId="77777777" w:rsidR="00AE6A86" w:rsidRPr="00B6555D" w:rsidRDefault="00AE6A86" w:rsidP="009101C6">
            <w:r>
              <w:rPr>
                <w:u w:val="single"/>
              </w:rPr>
              <w:t>Restructuring</w:t>
            </w:r>
            <w:r w:rsidRPr="00D30D8C">
              <w:rPr>
                <w:u w:val="single"/>
              </w:rPr>
              <w:t xml:space="preserve"> </w:t>
            </w:r>
            <w:r w:rsidRPr="00D30D8C">
              <w:rPr>
                <w:i/>
                <w:iCs/>
                <w:u w:val="single"/>
              </w:rPr>
              <w:sym w:font="Symbol" w:char="F062"/>
            </w:r>
          </w:p>
        </w:tc>
        <w:tc>
          <w:tcPr>
            <w:tcW w:w="1523" w:type="dxa"/>
            <w:tcBorders>
              <w:top w:val="nil"/>
              <w:bottom w:val="single" w:sz="4" w:space="0" w:color="auto"/>
            </w:tcBorders>
          </w:tcPr>
          <w:p w14:paraId="0E3D6B4D" w14:textId="793F08CE" w:rsidR="00AE6A86" w:rsidRDefault="00AE6A86" w:rsidP="009101C6">
            <w:pPr>
              <w:rPr>
                <w:u w:val="single"/>
              </w:rPr>
            </w:pPr>
            <w:r>
              <w:rPr>
                <w:u w:val="single"/>
              </w:rPr>
              <w:t>Defusion</w:t>
            </w:r>
            <w:r w:rsidRPr="00D30D8C">
              <w:rPr>
                <w:u w:val="single"/>
              </w:rPr>
              <w:t xml:space="preserve"> </w:t>
            </w:r>
            <w:r w:rsidRPr="00D30D8C">
              <w:rPr>
                <w:i/>
                <w:iCs/>
                <w:u w:val="single"/>
              </w:rPr>
              <w:sym w:font="Symbol" w:char="F062"/>
            </w:r>
          </w:p>
        </w:tc>
        <w:tc>
          <w:tcPr>
            <w:tcW w:w="2040" w:type="dxa"/>
            <w:tcBorders>
              <w:top w:val="nil"/>
              <w:bottom w:val="single" w:sz="4" w:space="0" w:color="auto"/>
            </w:tcBorders>
          </w:tcPr>
          <w:p w14:paraId="6920041C" w14:textId="760A8FD9" w:rsidR="00AE6A86" w:rsidRDefault="00AE6A86" w:rsidP="009101C6">
            <w:pPr>
              <w:rPr>
                <w:u w:val="single"/>
              </w:rPr>
            </w:pPr>
            <w:r>
              <w:rPr>
                <w:u w:val="single"/>
              </w:rPr>
              <w:t>Restructuring</w:t>
            </w:r>
            <w:r w:rsidRPr="00D30D8C">
              <w:rPr>
                <w:u w:val="single"/>
              </w:rPr>
              <w:t xml:space="preserve"> </w:t>
            </w:r>
            <w:r w:rsidRPr="00D30D8C">
              <w:rPr>
                <w:i/>
                <w:iCs/>
                <w:u w:val="single"/>
              </w:rPr>
              <w:sym w:font="Symbol" w:char="F062"/>
            </w:r>
          </w:p>
        </w:tc>
        <w:tc>
          <w:tcPr>
            <w:tcW w:w="1522" w:type="dxa"/>
            <w:tcBorders>
              <w:top w:val="nil"/>
              <w:bottom w:val="single" w:sz="4" w:space="0" w:color="auto"/>
            </w:tcBorders>
          </w:tcPr>
          <w:p w14:paraId="0F4C2332" w14:textId="2E27B748" w:rsidR="00AE6A86" w:rsidRDefault="00AE6A86" w:rsidP="009101C6">
            <w:pPr>
              <w:rPr>
                <w:u w:val="single"/>
              </w:rPr>
            </w:pPr>
            <w:r>
              <w:rPr>
                <w:u w:val="single"/>
              </w:rPr>
              <w:t>Defusion</w:t>
            </w:r>
            <w:r w:rsidRPr="00D30D8C">
              <w:rPr>
                <w:u w:val="single"/>
              </w:rPr>
              <w:t xml:space="preserve"> </w:t>
            </w:r>
            <w:r w:rsidRPr="00D30D8C">
              <w:rPr>
                <w:i/>
                <w:iCs/>
                <w:u w:val="single"/>
              </w:rPr>
              <w:sym w:font="Symbol" w:char="F062"/>
            </w:r>
          </w:p>
        </w:tc>
        <w:tc>
          <w:tcPr>
            <w:tcW w:w="2040" w:type="dxa"/>
            <w:tcBorders>
              <w:top w:val="nil"/>
              <w:bottom w:val="single" w:sz="4" w:space="0" w:color="auto"/>
            </w:tcBorders>
          </w:tcPr>
          <w:p w14:paraId="3EA41F1F" w14:textId="658DE30C" w:rsidR="00AE6A86" w:rsidRDefault="00AE6A86" w:rsidP="009101C6">
            <w:pPr>
              <w:rPr>
                <w:u w:val="single"/>
              </w:rPr>
            </w:pPr>
            <w:r>
              <w:rPr>
                <w:u w:val="single"/>
              </w:rPr>
              <w:t>Restructuring</w:t>
            </w:r>
            <w:r w:rsidRPr="00D30D8C">
              <w:rPr>
                <w:u w:val="single"/>
              </w:rPr>
              <w:t xml:space="preserve"> </w:t>
            </w:r>
            <w:r w:rsidRPr="00D30D8C">
              <w:rPr>
                <w:i/>
                <w:iCs/>
                <w:u w:val="single"/>
              </w:rPr>
              <w:sym w:font="Symbol" w:char="F062"/>
            </w:r>
          </w:p>
        </w:tc>
        <w:tc>
          <w:tcPr>
            <w:tcW w:w="1704" w:type="dxa"/>
            <w:tcBorders>
              <w:top w:val="nil"/>
              <w:bottom w:val="single" w:sz="4" w:space="0" w:color="auto"/>
            </w:tcBorders>
          </w:tcPr>
          <w:p w14:paraId="11A12267" w14:textId="0A794584" w:rsidR="00AE6A86" w:rsidRDefault="00AE6A86" w:rsidP="009101C6">
            <w:pPr>
              <w:rPr>
                <w:u w:val="single"/>
              </w:rPr>
            </w:pPr>
            <w:r>
              <w:rPr>
                <w:u w:val="single"/>
              </w:rPr>
              <w:t>Defusion</w:t>
            </w:r>
            <w:r w:rsidRPr="00D30D8C">
              <w:rPr>
                <w:u w:val="single"/>
              </w:rPr>
              <w:t xml:space="preserve"> </w:t>
            </w:r>
            <w:r w:rsidRPr="00D30D8C">
              <w:rPr>
                <w:i/>
                <w:iCs/>
                <w:u w:val="single"/>
              </w:rPr>
              <w:sym w:font="Symbol" w:char="F062"/>
            </w:r>
          </w:p>
        </w:tc>
      </w:tr>
      <w:tr w:rsidR="00AE6A86" w:rsidRPr="0002766F" w14:paraId="3862E508" w14:textId="6DB178C5" w:rsidTr="00C262F5">
        <w:trPr>
          <w:trHeight w:val="337"/>
        </w:trPr>
        <w:tc>
          <w:tcPr>
            <w:tcW w:w="1584" w:type="dxa"/>
            <w:tcBorders>
              <w:top w:val="single" w:sz="4" w:space="0" w:color="auto"/>
            </w:tcBorders>
          </w:tcPr>
          <w:p w14:paraId="3CFFC640" w14:textId="77777777" w:rsidR="00AE6A86" w:rsidRPr="00244F12" w:rsidRDefault="00AE6A86" w:rsidP="009101C6">
            <w:pPr>
              <w:rPr>
                <w:i/>
                <w:iCs/>
              </w:rPr>
            </w:pPr>
            <w:r>
              <w:rPr>
                <w:i/>
                <w:iCs/>
              </w:rPr>
              <w:t>Process</w:t>
            </w:r>
          </w:p>
        </w:tc>
        <w:tc>
          <w:tcPr>
            <w:tcW w:w="1751" w:type="dxa"/>
            <w:tcBorders>
              <w:top w:val="single" w:sz="4" w:space="0" w:color="auto"/>
            </w:tcBorders>
          </w:tcPr>
          <w:p w14:paraId="3B654DB5" w14:textId="77777777" w:rsidR="00AE6A86" w:rsidRPr="00D30D8C" w:rsidRDefault="00AE6A86" w:rsidP="009101C6">
            <w:pPr>
              <w:rPr>
                <w:i/>
                <w:iCs/>
                <w:u w:val="single"/>
              </w:rPr>
            </w:pPr>
          </w:p>
        </w:tc>
        <w:tc>
          <w:tcPr>
            <w:tcW w:w="1523" w:type="dxa"/>
            <w:tcBorders>
              <w:top w:val="single" w:sz="4" w:space="0" w:color="auto"/>
            </w:tcBorders>
          </w:tcPr>
          <w:p w14:paraId="66ADFF65" w14:textId="77777777" w:rsidR="00AE6A86" w:rsidRPr="00D30D8C" w:rsidRDefault="00AE6A86" w:rsidP="009101C6">
            <w:pPr>
              <w:rPr>
                <w:i/>
                <w:iCs/>
                <w:u w:val="single"/>
              </w:rPr>
            </w:pPr>
          </w:p>
        </w:tc>
        <w:tc>
          <w:tcPr>
            <w:tcW w:w="2040" w:type="dxa"/>
            <w:tcBorders>
              <w:top w:val="single" w:sz="4" w:space="0" w:color="auto"/>
            </w:tcBorders>
          </w:tcPr>
          <w:p w14:paraId="21E13BF8" w14:textId="654A1900" w:rsidR="00AE6A86" w:rsidRPr="00D30D8C" w:rsidRDefault="00AE6A86" w:rsidP="009101C6">
            <w:pPr>
              <w:rPr>
                <w:i/>
                <w:iCs/>
                <w:u w:val="single"/>
              </w:rPr>
            </w:pPr>
          </w:p>
        </w:tc>
        <w:tc>
          <w:tcPr>
            <w:tcW w:w="1522" w:type="dxa"/>
            <w:tcBorders>
              <w:top w:val="single" w:sz="4" w:space="0" w:color="auto"/>
            </w:tcBorders>
          </w:tcPr>
          <w:p w14:paraId="4834382B" w14:textId="77777777" w:rsidR="00AE6A86" w:rsidRPr="00D30D8C" w:rsidRDefault="00AE6A86" w:rsidP="009101C6">
            <w:pPr>
              <w:rPr>
                <w:i/>
                <w:iCs/>
                <w:u w:val="single"/>
              </w:rPr>
            </w:pPr>
          </w:p>
        </w:tc>
        <w:tc>
          <w:tcPr>
            <w:tcW w:w="2040" w:type="dxa"/>
            <w:tcBorders>
              <w:top w:val="single" w:sz="4" w:space="0" w:color="auto"/>
            </w:tcBorders>
          </w:tcPr>
          <w:p w14:paraId="01CC0ABA" w14:textId="76EEF4DA" w:rsidR="00AE6A86" w:rsidRPr="00D30D8C" w:rsidRDefault="00AE6A86" w:rsidP="009101C6">
            <w:pPr>
              <w:rPr>
                <w:i/>
                <w:iCs/>
                <w:u w:val="single"/>
              </w:rPr>
            </w:pPr>
          </w:p>
        </w:tc>
        <w:tc>
          <w:tcPr>
            <w:tcW w:w="1704" w:type="dxa"/>
            <w:tcBorders>
              <w:top w:val="single" w:sz="4" w:space="0" w:color="auto"/>
            </w:tcBorders>
          </w:tcPr>
          <w:p w14:paraId="4C7315FA" w14:textId="77777777" w:rsidR="00AE6A86" w:rsidRPr="00D30D8C" w:rsidRDefault="00AE6A86" w:rsidP="009101C6">
            <w:pPr>
              <w:rPr>
                <w:i/>
                <w:iCs/>
                <w:u w:val="single"/>
              </w:rPr>
            </w:pPr>
          </w:p>
        </w:tc>
      </w:tr>
      <w:tr w:rsidR="00AE6A86" w:rsidRPr="0002766F" w14:paraId="7BF603DD" w14:textId="761EEDC3" w:rsidTr="00C262F5">
        <w:trPr>
          <w:trHeight w:val="337"/>
        </w:trPr>
        <w:tc>
          <w:tcPr>
            <w:tcW w:w="1584" w:type="dxa"/>
          </w:tcPr>
          <w:p w14:paraId="44F93A4C" w14:textId="77777777" w:rsidR="00AE6A86" w:rsidRDefault="00AE6A86" w:rsidP="00AE6A86">
            <w:r>
              <w:t>Defusion</w:t>
            </w:r>
          </w:p>
        </w:tc>
        <w:tc>
          <w:tcPr>
            <w:tcW w:w="1751" w:type="dxa"/>
          </w:tcPr>
          <w:p w14:paraId="283E6002" w14:textId="6F2A8EE9" w:rsidR="00AE6A86" w:rsidRDefault="00AE6A86" w:rsidP="00AE6A86">
            <w:r>
              <w:t>0.54***</w:t>
            </w:r>
          </w:p>
        </w:tc>
        <w:tc>
          <w:tcPr>
            <w:tcW w:w="1523" w:type="dxa"/>
          </w:tcPr>
          <w:p w14:paraId="75EC3884" w14:textId="71A4630B" w:rsidR="00AE6A86" w:rsidRDefault="00AE6A86" w:rsidP="00AE6A86"/>
        </w:tc>
        <w:tc>
          <w:tcPr>
            <w:tcW w:w="2040" w:type="dxa"/>
          </w:tcPr>
          <w:p w14:paraId="4E626172" w14:textId="3C2BC332" w:rsidR="00AE6A86" w:rsidRDefault="00AE6A86" w:rsidP="00AE6A86">
            <w:r>
              <w:t>0.57***</w:t>
            </w:r>
          </w:p>
        </w:tc>
        <w:tc>
          <w:tcPr>
            <w:tcW w:w="1522" w:type="dxa"/>
          </w:tcPr>
          <w:p w14:paraId="575DD7B9" w14:textId="150E9279" w:rsidR="00AE6A86" w:rsidRDefault="00AE6A86" w:rsidP="00AE6A86"/>
        </w:tc>
        <w:tc>
          <w:tcPr>
            <w:tcW w:w="2040" w:type="dxa"/>
          </w:tcPr>
          <w:p w14:paraId="02AF4DF7" w14:textId="165BB5E5" w:rsidR="00AE6A86" w:rsidRDefault="00AE6A86" w:rsidP="00AE6A86">
            <w:r>
              <w:t>0.52***</w:t>
            </w:r>
          </w:p>
        </w:tc>
        <w:tc>
          <w:tcPr>
            <w:tcW w:w="1704" w:type="dxa"/>
          </w:tcPr>
          <w:p w14:paraId="1B9438CB" w14:textId="3608C9C4" w:rsidR="00AE6A86" w:rsidRDefault="00AE6A86" w:rsidP="00AE6A86"/>
        </w:tc>
      </w:tr>
      <w:tr w:rsidR="00AE6A86" w:rsidRPr="0002766F" w14:paraId="35EA1CE0" w14:textId="20538D67" w:rsidTr="00C262F5">
        <w:trPr>
          <w:trHeight w:val="337"/>
        </w:trPr>
        <w:tc>
          <w:tcPr>
            <w:tcW w:w="1584" w:type="dxa"/>
          </w:tcPr>
          <w:p w14:paraId="27FF3F01" w14:textId="77777777" w:rsidR="00AE6A86" w:rsidRPr="0002766F" w:rsidRDefault="00AE6A86" w:rsidP="00AE6A86">
            <w:r>
              <w:t>Rumination</w:t>
            </w:r>
          </w:p>
        </w:tc>
        <w:tc>
          <w:tcPr>
            <w:tcW w:w="1751" w:type="dxa"/>
          </w:tcPr>
          <w:p w14:paraId="0620DDD0" w14:textId="77777777" w:rsidR="00AE6A86" w:rsidRPr="0002766F" w:rsidRDefault="00AE6A86" w:rsidP="00AE6A86">
            <w:r w:rsidRPr="00925824">
              <w:t>0.</w:t>
            </w:r>
            <w:r>
              <w:t>04</w:t>
            </w:r>
          </w:p>
        </w:tc>
        <w:tc>
          <w:tcPr>
            <w:tcW w:w="1523" w:type="dxa"/>
          </w:tcPr>
          <w:p w14:paraId="16A6B9DA" w14:textId="32CF7718" w:rsidR="00AE6A86" w:rsidRDefault="00AE6A86" w:rsidP="00AE6A86">
            <w:r>
              <w:t>-0.05*</w:t>
            </w:r>
          </w:p>
        </w:tc>
        <w:tc>
          <w:tcPr>
            <w:tcW w:w="2040" w:type="dxa"/>
          </w:tcPr>
          <w:p w14:paraId="748A716B" w14:textId="02411A9D" w:rsidR="00AE6A86" w:rsidRPr="00925824" w:rsidRDefault="00AE6A86" w:rsidP="00AE6A86">
            <w:r>
              <w:t>0.00</w:t>
            </w:r>
          </w:p>
        </w:tc>
        <w:tc>
          <w:tcPr>
            <w:tcW w:w="1522" w:type="dxa"/>
          </w:tcPr>
          <w:p w14:paraId="4B42AEC9" w14:textId="1879CDAF" w:rsidR="00AE6A86" w:rsidRDefault="00AE6A86" w:rsidP="00AE6A86">
            <w:r>
              <w:t>-0.07*</w:t>
            </w:r>
          </w:p>
        </w:tc>
        <w:tc>
          <w:tcPr>
            <w:tcW w:w="2040" w:type="dxa"/>
          </w:tcPr>
          <w:p w14:paraId="5A231BEA" w14:textId="4629C3A0" w:rsidR="00AE6A86" w:rsidRPr="00925824" w:rsidRDefault="00AE6A86" w:rsidP="00AE6A86">
            <w:r>
              <w:t>0.07**</w:t>
            </w:r>
          </w:p>
        </w:tc>
        <w:tc>
          <w:tcPr>
            <w:tcW w:w="1704" w:type="dxa"/>
          </w:tcPr>
          <w:p w14:paraId="40647119" w14:textId="062685AF" w:rsidR="00AE6A86" w:rsidRDefault="00AE6A86" w:rsidP="00AE6A86">
            <w:r>
              <w:t>-0.03</w:t>
            </w:r>
          </w:p>
        </w:tc>
      </w:tr>
      <w:tr w:rsidR="00AE6A86" w:rsidRPr="0002766F" w14:paraId="5FDB2595" w14:textId="6853AD43" w:rsidTr="00C262F5">
        <w:trPr>
          <w:trHeight w:val="356"/>
        </w:trPr>
        <w:tc>
          <w:tcPr>
            <w:tcW w:w="1584" w:type="dxa"/>
          </w:tcPr>
          <w:p w14:paraId="71628C92" w14:textId="77777777" w:rsidR="00AE6A86" w:rsidRPr="0002766F" w:rsidRDefault="00AE6A86" w:rsidP="00AE6A86">
            <w:r>
              <w:t>Thought suppression</w:t>
            </w:r>
          </w:p>
        </w:tc>
        <w:tc>
          <w:tcPr>
            <w:tcW w:w="1751" w:type="dxa"/>
          </w:tcPr>
          <w:p w14:paraId="6CB7BD04" w14:textId="77777777" w:rsidR="00AE6A86" w:rsidRPr="0002766F" w:rsidRDefault="00AE6A86" w:rsidP="00AE6A86">
            <w:r>
              <w:t>0.24***</w:t>
            </w:r>
          </w:p>
        </w:tc>
        <w:tc>
          <w:tcPr>
            <w:tcW w:w="1523" w:type="dxa"/>
          </w:tcPr>
          <w:p w14:paraId="1DC16E46" w14:textId="5C18A3E4" w:rsidR="00AE6A86" w:rsidRDefault="00AE6A86" w:rsidP="00AE6A86">
            <w:r>
              <w:t>0.21***</w:t>
            </w:r>
          </w:p>
        </w:tc>
        <w:tc>
          <w:tcPr>
            <w:tcW w:w="2040" w:type="dxa"/>
          </w:tcPr>
          <w:p w14:paraId="4637897F" w14:textId="1534983F" w:rsidR="00AE6A86" w:rsidRDefault="00AE6A86" w:rsidP="00AE6A86">
            <w:r>
              <w:t>0.24***</w:t>
            </w:r>
          </w:p>
        </w:tc>
        <w:tc>
          <w:tcPr>
            <w:tcW w:w="1522" w:type="dxa"/>
          </w:tcPr>
          <w:p w14:paraId="7EB53C3A" w14:textId="13D46BE6" w:rsidR="00AE6A86" w:rsidRDefault="00AE6A86" w:rsidP="00AE6A86">
            <w:r>
              <w:t>0.15***</w:t>
            </w:r>
          </w:p>
        </w:tc>
        <w:tc>
          <w:tcPr>
            <w:tcW w:w="2040" w:type="dxa"/>
          </w:tcPr>
          <w:p w14:paraId="6F652151" w14:textId="583830CE" w:rsidR="00AE6A86" w:rsidRDefault="00AE6A86" w:rsidP="00AE6A86">
            <w:r>
              <w:t>0.25***</w:t>
            </w:r>
          </w:p>
        </w:tc>
        <w:tc>
          <w:tcPr>
            <w:tcW w:w="1704" w:type="dxa"/>
          </w:tcPr>
          <w:p w14:paraId="6D2AD3BB" w14:textId="0EE32CBF" w:rsidR="00AE6A86" w:rsidRDefault="00AE6A86" w:rsidP="00AE6A86">
            <w:r>
              <w:t>0.26***</w:t>
            </w:r>
          </w:p>
        </w:tc>
      </w:tr>
      <w:tr w:rsidR="00AE6A86" w:rsidRPr="0002766F" w14:paraId="409DA440" w14:textId="1F099875" w:rsidTr="00CC0CA6">
        <w:trPr>
          <w:trHeight w:val="333"/>
        </w:trPr>
        <w:tc>
          <w:tcPr>
            <w:tcW w:w="1584" w:type="dxa"/>
            <w:tcBorders>
              <w:bottom w:val="single" w:sz="4" w:space="0" w:color="auto"/>
            </w:tcBorders>
          </w:tcPr>
          <w:p w14:paraId="753DAAF4" w14:textId="77777777" w:rsidR="00AE6A86" w:rsidRPr="0002766F" w:rsidRDefault="00AE6A86" w:rsidP="00AE6A86">
            <w:r>
              <w:t>Distraction</w:t>
            </w:r>
          </w:p>
        </w:tc>
        <w:tc>
          <w:tcPr>
            <w:tcW w:w="1751" w:type="dxa"/>
            <w:tcBorders>
              <w:bottom w:val="single" w:sz="4" w:space="0" w:color="auto"/>
            </w:tcBorders>
          </w:tcPr>
          <w:p w14:paraId="59D44D12" w14:textId="77777777" w:rsidR="00AE6A86" w:rsidRPr="0002766F" w:rsidRDefault="00AE6A86" w:rsidP="00AE6A86">
            <w:r>
              <w:t>0.24***</w:t>
            </w:r>
          </w:p>
        </w:tc>
        <w:tc>
          <w:tcPr>
            <w:tcW w:w="1523" w:type="dxa"/>
            <w:tcBorders>
              <w:bottom w:val="single" w:sz="4" w:space="0" w:color="auto"/>
            </w:tcBorders>
          </w:tcPr>
          <w:p w14:paraId="21F696C4" w14:textId="3854494E" w:rsidR="00AE6A86" w:rsidRDefault="00AE6A86" w:rsidP="00AE6A86">
            <w:r>
              <w:t>0.23***</w:t>
            </w:r>
          </w:p>
        </w:tc>
        <w:tc>
          <w:tcPr>
            <w:tcW w:w="2040" w:type="dxa"/>
            <w:tcBorders>
              <w:bottom w:val="single" w:sz="4" w:space="0" w:color="auto"/>
            </w:tcBorders>
          </w:tcPr>
          <w:p w14:paraId="0C8D383C" w14:textId="20B02E8D" w:rsidR="00AE6A86" w:rsidRDefault="00AE6A86" w:rsidP="00AE6A86">
            <w:r>
              <w:t>0.26***</w:t>
            </w:r>
          </w:p>
        </w:tc>
        <w:tc>
          <w:tcPr>
            <w:tcW w:w="1522" w:type="dxa"/>
            <w:tcBorders>
              <w:bottom w:val="single" w:sz="4" w:space="0" w:color="auto"/>
            </w:tcBorders>
          </w:tcPr>
          <w:p w14:paraId="38F62B3F" w14:textId="573C084E" w:rsidR="00AE6A86" w:rsidRDefault="00AE6A86" w:rsidP="00AE6A86">
            <w:r>
              <w:t>0.20***</w:t>
            </w:r>
          </w:p>
        </w:tc>
        <w:tc>
          <w:tcPr>
            <w:tcW w:w="2040" w:type="dxa"/>
            <w:tcBorders>
              <w:bottom w:val="single" w:sz="4" w:space="0" w:color="auto"/>
            </w:tcBorders>
          </w:tcPr>
          <w:p w14:paraId="6CBE17EC" w14:textId="09D484C5" w:rsidR="00AE6A86" w:rsidRDefault="00AE6A86" w:rsidP="00AE6A86">
            <w:r>
              <w:t>0.23***</w:t>
            </w:r>
          </w:p>
        </w:tc>
        <w:tc>
          <w:tcPr>
            <w:tcW w:w="1704" w:type="dxa"/>
            <w:tcBorders>
              <w:bottom w:val="single" w:sz="4" w:space="0" w:color="auto"/>
            </w:tcBorders>
          </w:tcPr>
          <w:p w14:paraId="4E2A8D28" w14:textId="3C384845" w:rsidR="00AE6A86" w:rsidRDefault="00AE6A86" w:rsidP="00AE6A86">
            <w:r>
              <w:t>0.25***</w:t>
            </w:r>
          </w:p>
        </w:tc>
      </w:tr>
    </w:tbl>
    <w:p w14:paraId="7FEE073F" w14:textId="6D09F246" w:rsidR="00ED3F18" w:rsidRPr="004A0311" w:rsidRDefault="00ED3F18" w:rsidP="00ED3F18">
      <w:r>
        <w:rPr>
          <w:i/>
          <w:iCs/>
        </w:rPr>
        <w:t>Note</w:t>
      </w:r>
      <w:r>
        <w:t>. ***</w:t>
      </w:r>
      <w:r>
        <w:rPr>
          <w:i/>
          <w:iCs/>
        </w:rPr>
        <w:t>p</w:t>
      </w:r>
      <w:r>
        <w:t xml:space="preserve"> &lt; .001, **</w:t>
      </w:r>
      <w:r>
        <w:rPr>
          <w:i/>
          <w:iCs/>
        </w:rPr>
        <w:t>p</w:t>
      </w:r>
      <w:r>
        <w:t xml:space="preserve"> &lt; .01, *</w:t>
      </w:r>
      <w:r>
        <w:rPr>
          <w:i/>
          <w:iCs/>
        </w:rPr>
        <w:t xml:space="preserve">p </w:t>
      </w:r>
      <w:r>
        <w:t>&lt; .05.</w:t>
      </w:r>
      <w:r w:rsidR="00AE6A86">
        <w:t xml:space="preserve"> High-distress group refers to those scoring a 3 or higher on the GHQ-12, while low-distress group refers to those scoring a 2 or lower </w:t>
      </w:r>
      <w:r w:rsidR="00AE6A86">
        <w:fldChar w:fldCharType="begin" w:fldLock="1"/>
      </w:r>
      <w:r w:rsidR="00661610">
        <w:instrText>ADDIN CSL_CITATION {"citationItems":[{"id":"ITEM-1","itemData":{"DOI":"10.1017/S0033291796004242","ISBN":"0033-2917","ISSN":"00332917","PMID":"9122299","abstract":"BACKGROUND: In recent years the 12-item General Health Questionnaire (GHQ-12) has been extensively used as a short screening instrument, producing results that are comparable to longer versions of the GHQ. METHODS: The validity of the GHQ-12 was compared with the GHQ-28 in a World Health organization study of psychological disorders in general health care. Results are presented for 5438 patients interviewed in 15 centres using the primary care version of the Composite International Diagnostic Instrument, or CIDI-PC. RESULTS: Results were uniformly good, with the average area under the ROC curve 88, range from 83 to 95. Minor variations in the criteria used for defining a case made little difference to the validity of the GHQ, and complex scoring methods offered no advantages over simpler ones. The GHQ was translated into 10 other languages for the purposes of this study, and validity coefficients were almost as high as in the original language. There was no tendency for the GHQ to work less efficiently in developing countries. Finally gender, age and educational level are shown to have no significant effect on the validity of the GHQ. CONCLUSIONS: If investigators wish to use a screening instrument as a case detector, the shorter GHQ is remarkably robust and works as well as the longer instrument. The latter should only be preferred if there is an interest in the scaled scores provided in addition to the total score.","author":[{"dropping-particle":"","family":"Goldberg","given":"D. P.","non-dropping-particle":"","parse-names":false,"suffix":""},{"dropping-particle":"","family":"Gater","given":"R.","non-dropping-particle":"","parse-names":false,"suffix":""},{"dropping-particle":"","family":"Sartorius","given":"N.","non-dropping-particle":"","parse-names":false,"suffix":""},{"dropping-particle":"","family":"Ustun","given":"T. B.","non-dropping-particle":"","parse-names":false,"suffix":""},{"dropping-particle":"","family":"Piccinelli","given":"M.","non-dropping-particle":"","parse-names":false,"suffix":""},{"dropping-particle":"","family":"Gureje","given":"O.","non-dropping-particle":"","parse-names":false,"suffix":""},{"dropping-particle":"","family":"Rutter","given":"C.","non-dropping-particle":"","parse-names":false,"suffix":""}],"container-title":"Psychological Medicine","id":"ITEM-1","issue":"1","issued":{"date-parts":[["1997"]]},"page":"191-197","title":"The validity of two versions of the GHQ in the WHO study of mental illness in general health care","type":"article-journal","volume":"27"},"uris":["http://www.mendeley.com/documents/?uuid=14348f4a-b49e-4d05-9ab9-7cb4f6163219"]}],"mendeley":{"formattedCitation":"(Goldberg et al., 1997)","plainTextFormattedCitation":"(Goldberg et al., 1997)","previouslyFormattedCitation":"(Goldberg et al., 1997)"},"properties":{"noteIndex":0},"schema":"https://github.com/citation-style-language/schema/raw/master/csl-citation.json"}</w:instrText>
      </w:r>
      <w:r w:rsidR="00AE6A86">
        <w:fldChar w:fldCharType="separate"/>
      </w:r>
      <w:r w:rsidR="00AE6A86" w:rsidRPr="00AE6A86">
        <w:rPr>
          <w:noProof/>
        </w:rPr>
        <w:t>(Goldberg et al., 1997)</w:t>
      </w:r>
      <w:r w:rsidR="00AE6A86">
        <w:fldChar w:fldCharType="end"/>
      </w:r>
      <w:r w:rsidR="00AE6A86">
        <w:t xml:space="preserve">. </w:t>
      </w:r>
    </w:p>
    <w:p w14:paraId="7F4BB1A4" w14:textId="77777777" w:rsidR="00231536" w:rsidRDefault="00231536" w:rsidP="00ED3F18">
      <w:pPr>
        <w:sectPr w:rsidR="00231536" w:rsidSect="00C262F5">
          <w:headerReference w:type="even" r:id="rId11"/>
          <w:headerReference w:type="default" r:id="rId12"/>
          <w:headerReference w:type="first" r:id="rId13"/>
          <w:pgSz w:w="15840" w:h="12240" w:orient="landscape"/>
          <w:pgMar w:top="1440" w:right="1440" w:bottom="1440" w:left="1440" w:header="720" w:footer="720" w:gutter="0"/>
          <w:cols w:space="720"/>
          <w:docGrid w:linePitch="360"/>
        </w:sectPr>
      </w:pPr>
    </w:p>
    <w:p w14:paraId="079B4186" w14:textId="29311E4F" w:rsidR="00ED3F18" w:rsidRDefault="00ED3F18" w:rsidP="00ED3F18">
      <w:pPr>
        <w:rPr>
          <w:i/>
          <w:iCs/>
        </w:rPr>
      </w:pPr>
      <w:r>
        <w:lastRenderedPageBreak/>
        <w:t xml:space="preserve">Table 3. </w:t>
      </w:r>
      <w:r>
        <w:rPr>
          <w:i/>
          <w:iCs/>
        </w:rPr>
        <w:t xml:space="preserve">MLMs evaluating </w:t>
      </w:r>
      <w:r w:rsidR="00060315">
        <w:rPr>
          <w:i/>
          <w:iCs/>
        </w:rPr>
        <w:t xml:space="preserve">cross-sectional </w:t>
      </w:r>
      <w:r>
        <w:rPr>
          <w:i/>
          <w:iCs/>
        </w:rPr>
        <w:t>associations between</w:t>
      </w:r>
      <w:r w:rsidR="007815C6">
        <w:rPr>
          <w:i/>
          <w:iCs/>
        </w:rPr>
        <w:t xml:space="preserve"> cognitive</w:t>
      </w:r>
      <w:r>
        <w:rPr>
          <w:i/>
          <w:iCs/>
        </w:rPr>
        <w:t xml:space="preserve"> processes and outcomes</w:t>
      </w:r>
    </w:p>
    <w:tbl>
      <w:tblPr>
        <w:tblStyle w:val="TableGrid"/>
        <w:tblW w:w="9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124"/>
        <w:gridCol w:w="2461"/>
        <w:gridCol w:w="2498"/>
      </w:tblGrid>
      <w:tr w:rsidR="00231536" w:rsidRPr="0002766F" w14:paraId="0CB9BD55" w14:textId="77777777" w:rsidTr="00CC0CA6">
        <w:trPr>
          <w:trHeight w:val="306"/>
        </w:trPr>
        <w:tc>
          <w:tcPr>
            <w:tcW w:w="2277" w:type="dxa"/>
          </w:tcPr>
          <w:p w14:paraId="4B474DD6" w14:textId="77777777" w:rsidR="00231536" w:rsidRPr="0002766F" w:rsidRDefault="00231536" w:rsidP="000B6467">
            <w:pPr>
              <w:rPr>
                <w:i/>
                <w:iCs/>
              </w:rPr>
            </w:pPr>
          </w:p>
        </w:tc>
        <w:tc>
          <w:tcPr>
            <w:tcW w:w="2124" w:type="dxa"/>
          </w:tcPr>
          <w:p w14:paraId="0981DFB7" w14:textId="77777777" w:rsidR="00231536" w:rsidDel="00060315" w:rsidRDefault="00231536" w:rsidP="000B6467">
            <w:pPr>
              <w:rPr>
                <w:u w:val="single"/>
              </w:rPr>
            </w:pPr>
          </w:p>
        </w:tc>
        <w:tc>
          <w:tcPr>
            <w:tcW w:w="4959" w:type="dxa"/>
            <w:gridSpan w:val="2"/>
          </w:tcPr>
          <w:p w14:paraId="26DD23F9" w14:textId="3B8865EA" w:rsidR="00231536" w:rsidRDefault="00231536" w:rsidP="00CC0CA6">
            <w:pPr>
              <w:jc w:val="center"/>
              <w:rPr>
                <w:u w:val="single"/>
              </w:rPr>
            </w:pPr>
            <w:r w:rsidRPr="00CC0CA6">
              <w:t>Full Sample</w:t>
            </w:r>
            <w:r>
              <w:t xml:space="preserve"> (n = 194)</w:t>
            </w:r>
          </w:p>
        </w:tc>
      </w:tr>
      <w:tr w:rsidR="00ED3F18" w:rsidRPr="0002766F" w14:paraId="0F556D88" w14:textId="77777777" w:rsidTr="00CC0CA6">
        <w:trPr>
          <w:trHeight w:val="306"/>
        </w:trPr>
        <w:tc>
          <w:tcPr>
            <w:tcW w:w="2277" w:type="dxa"/>
          </w:tcPr>
          <w:p w14:paraId="6A2D599D" w14:textId="77777777" w:rsidR="00ED3F18" w:rsidRPr="0002766F" w:rsidRDefault="00ED3F18" w:rsidP="000B6467">
            <w:pPr>
              <w:rPr>
                <w:i/>
                <w:iCs/>
              </w:rPr>
            </w:pPr>
          </w:p>
        </w:tc>
        <w:tc>
          <w:tcPr>
            <w:tcW w:w="2124" w:type="dxa"/>
          </w:tcPr>
          <w:p w14:paraId="68D3D51E" w14:textId="72A0FC29" w:rsidR="00ED3F18" w:rsidRDefault="00ED3F18" w:rsidP="000B6467">
            <w:pPr>
              <w:rPr>
                <w:u w:val="single"/>
              </w:rPr>
            </w:pPr>
          </w:p>
        </w:tc>
        <w:tc>
          <w:tcPr>
            <w:tcW w:w="2461" w:type="dxa"/>
          </w:tcPr>
          <w:p w14:paraId="21A3CE1F" w14:textId="77777777" w:rsidR="00ED3F18" w:rsidRPr="00B6555D" w:rsidRDefault="00ED3F18" w:rsidP="000B6467">
            <w:r>
              <w:rPr>
                <w:u w:val="single"/>
              </w:rPr>
              <w:t>Restructuring</w:t>
            </w:r>
            <w:r w:rsidRPr="00D30D8C">
              <w:rPr>
                <w:u w:val="single"/>
              </w:rPr>
              <w:t xml:space="preserve"> </w:t>
            </w:r>
            <w:r w:rsidRPr="00D30D8C">
              <w:rPr>
                <w:i/>
                <w:iCs/>
                <w:u w:val="single"/>
              </w:rPr>
              <w:sym w:font="Symbol" w:char="F062"/>
            </w:r>
          </w:p>
        </w:tc>
        <w:tc>
          <w:tcPr>
            <w:tcW w:w="2498" w:type="dxa"/>
          </w:tcPr>
          <w:p w14:paraId="24273628" w14:textId="77777777" w:rsidR="00ED3F18" w:rsidRPr="00244F12" w:rsidRDefault="00ED3F18" w:rsidP="000B6467">
            <w:r>
              <w:rPr>
                <w:u w:val="single"/>
              </w:rPr>
              <w:t>Defusion</w:t>
            </w:r>
            <w:r w:rsidRPr="00D30D8C">
              <w:rPr>
                <w:u w:val="single"/>
              </w:rPr>
              <w:t xml:space="preserve"> </w:t>
            </w:r>
            <w:r w:rsidRPr="00D30D8C">
              <w:rPr>
                <w:i/>
                <w:iCs/>
                <w:u w:val="single"/>
              </w:rPr>
              <w:sym w:font="Symbol" w:char="F062"/>
            </w:r>
          </w:p>
        </w:tc>
      </w:tr>
      <w:tr w:rsidR="00ED3F18" w:rsidRPr="0002766F" w14:paraId="06D777FF" w14:textId="77777777" w:rsidTr="00CC0CA6">
        <w:trPr>
          <w:trHeight w:val="273"/>
        </w:trPr>
        <w:tc>
          <w:tcPr>
            <w:tcW w:w="2277" w:type="dxa"/>
          </w:tcPr>
          <w:p w14:paraId="5B57BB71" w14:textId="77777777" w:rsidR="00ED3F18" w:rsidRPr="00244F12" w:rsidRDefault="00ED3F18" w:rsidP="00CC0CA6">
            <w:pPr>
              <w:jc w:val="center"/>
              <w:rPr>
                <w:i/>
                <w:iCs/>
              </w:rPr>
            </w:pPr>
            <w:r>
              <w:rPr>
                <w:i/>
                <w:iCs/>
              </w:rPr>
              <w:t>Outcome</w:t>
            </w:r>
          </w:p>
        </w:tc>
        <w:tc>
          <w:tcPr>
            <w:tcW w:w="2124" w:type="dxa"/>
          </w:tcPr>
          <w:p w14:paraId="4FBED15D" w14:textId="77777777" w:rsidR="00ED3F18" w:rsidRPr="00D30D8C" w:rsidRDefault="00ED3F18" w:rsidP="000B6467">
            <w:pPr>
              <w:rPr>
                <w:i/>
                <w:iCs/>
                <w:u w:val="single"/>
              </w:rPr>
            </w:pPr>
          </w:p>
        </w:tc>
        <w:tc>
          <w:tcPr>
            <w:tcW w:w="2461" w:type="dxa"/>
          </w:tcPr>
          <w:p w14:paraId="6672CB87" w14:textId="77777777" w:rsidR="00ED3F18" w:rsidRPr="00D30D8C" w:rsidRDefault="00ED3F18" w:rsidP="000B6467">
            <w:pPr>
              <w:rPr>
                <w:i/>
                <w:iCs/>
                <w:u w:val="single"/>
              </w:rPr>
            </w:pPr>
          </w:p>
        </w:tc>
        <w:tc>
          <w:tcPr>
            <w:tcW w:w="2498" w:type="dxa"/>
          </w:tcPr>
          <w:p w14:paraId="5CF6E5B7" w14:textId="77777777" w:rsidR="00ED3F18" w:rsidRPr="00D30D8C" w:rsidRDefault="00ED3F18" w:rsidP="000B6467">
            <w:pPr>
              <w:rPr>
                <w:i/>
                <w:iCs/>
                <w:u w:val="single"/>
              </w:rPr>
            </w:pPr>
          </w:p>
        </w:tc>
      </w:tr>
      <w:tr w:rsidR="00ED3F18" w:rsidRPr="0002766F" w14:paraId="65C9FE13" w14:textId="77777777" w:rsidTr="00CC0CA6">
        <w:trPr>
          <w:trHeight w:val="273"/>
        </w:trPr>
        <w:tc>
          <w:tcPr>
            <w:tcW w:w="2277" w:type="dxa"/>
          </w:tcPr>
          <w:p w14:paraId="1323354D" w14:textId="77777777" w:rsidR="00ED3F18" w:rsidRDefault="00ED3F18" w:rsidP="000B6467">
            <w:r>
              <w:t>NA</w:t>
            </w:r>
          </w:p>
        </w:tc>
        <w:tc>
          <w:tcPr>
            <w:tcW w:w="2124" w:type="dxa"/>
          </w:tcPr>
          <w:p w14:paraId="48C07F46" w14:textId="77777777" w:rsidR="00ED3F18" w:rsidRDefault="00ED3F18" w:rsidP="000B6467"/>
        </w:tc>
        <w:tc>
          <w:tcPr>
            <w:tcW w:w="2461" w:type="dxa"/>
          </w:tcPr>
          <w:p w14:paraId="1BDF7207" w14:textId="24F69646" w:rsidR="00ED3F18" w:rsidRDefault="00ED3F18" w:rsidP="000B6467">
            <w:r w:rsidRPr="00925824">
              <w:t>0.</w:t>
            </w:r>
            <w:r>
              <w:t>0</w:t>
            </w:r>
            <w:r w:rsidR="00E44961">
              <w:t>1</w:t>
            </w:r>
          </w:p>
        </w:tc>
        <w:tc>
          <w:tcPr>
            <w:tcW w:w="2498" w:type="dxa"/>
          </w:tcPr>
          <w:p w14:paraId="662648F6" w14:textId="22EFCC21" w:rsidR="00ED3F18" w:rsidRDefault="00ED3F18" w:rsidP="000B6467">
            <w:r>
              <w:t>-0.1</w:t>
            </w:r>
            <w:r w:rsidR="00E44961">
              <w:t>3</w:t>
            </w:r>
            <w:r>
              <w:t>***</w:t>
            </w:r>
          </w:p>
        </w:tc>
      </w:tr>
      <w:tr w:rsidR="00ED3F18" w:rsidRPr="0002766F" w14:paraId="08C43287" w14:textId="77777777" w:rsidTr="00CC0CA6">
        <w:trPr>
          <w:trHeight w:val="273"/>
        </w:trPr>
        <w:tc>
          <w:tcPr>
            <w:tcW w:w="2277" w:type="dxa"/>
          </w:tcPr>
          <w:p w14:paraId="112510A6" w14:textId="77777777" w:rsidR="00ED3F18" w:rsidRPr="0002766F" w:rsidRDefault="00ED3F18" w:rsidP="000B6467">
            <w:r>
              <w:t>PA</w:t>
            </w:r>
          </w:p>
        </w:tc>
        <w:tc>
          <w:tcPr>
            <w:tcW w:w="2124" w:type="dxa"/>
          </w:tcPr>
          <w:p w14:paraId="55FC5970" w14:textId="77777777" w:rsidR="00ED3F18" w:rsidRPr="00925824" w:rsidRDefault="00ED3F18" w:rsidP="000B6467"/>
        </w:tc>
        <w:tc>
          <w:tcPr>
            <w:tcW w:w="2461" w:type="dxa"/>
          </w:tcPr>
          <w:p w14:paraId="4D00132D" w14:textId="6476D984" w:rsidR="00ED3F18" w:rsidRPr="0002766F" w:rsidRDefault="00ED3F18" w:rsidP="000B6467">
            <w:r>
              <w:t>0.0</w:t>
            </w:r>
            <w:r w:rsidR="00E44961">
              <w:t>5*</w:t>
            </w:r>
          </w:p>
        </w:tc>
        <w:tc>
          <w:tcPr>
            <w:tcW w:w="2498" w:type="dxa"/>
          </w:tcPr>
          <w:p w14:paraId="16EC77FF" w14:textId="3E837A64" w:rsidR="00ED3F18" w:rsidRPr="0002766F" w:rsidRDefault="00ED3F18" w:rsidP="000B6467">
            <w:r>
              <w:t>0.1</w:t>
            </w:r>
            <w:r w:rsidR="00E44961">
              <w:t>5</w:t>
            </w:r>
            <w:r>
              <w:t>***</w:t>
            </w:r>
          </w:p>
        </w:tc>
      </w:tr>
      <w:tr w:rsidR="00ED3F18" w:rsidRPr="0002766F" w14:paraId="3C6A651B" w14:textId="77777777" w:rsidTr="00CC0CA6">
        <w:trPr>
          <w:trHeight w:val="289"/>
        </w:trPr>
        <w:tc>
          <w:tcPr>
            <w:tcW w:w="2277" w:type="dxa"/>
          </w:tcPr>
          <w:p w14:paraId="69D3240E" w14:textId="77777777" w:rsidR="00ED3F18" w:rsidRPr="0002766F" w:rsidRDefault="00ED3F18" w:rsidP="000B6467">
            <w:r>
              <w:t>Values progress</w:t>
            </w:r>
          </w:p>
        </w:tc>
        <w:tc>
          <w:tcPr>
            <w:tcW w:w="2124" w:type="dxa"/>
          </w:tcPr>
          <w:p w14:paraId="641B2412" w14:textId="77777777" w:rsidR="00ED3F18" w:rsidRDefault="00ED3F18" w:rsidP="000B6467"/>
        </w:tc>
        <w:tc>
          <w:tcPr>
            <w:tcW w:w="2461" w:type="dxa"/>
          </w:tcPr>
          <w:p w14:paraId="0043B177" w14:textId="54FB1536" w:rsidR="00ED3F18" w:rsidRPr="0002766F" w:rsidRDefault="00ED3F18" w:rsidP="000B6467">
            <w:r>
              <w:t>0.1</w:t>
            </w:r>
            <w:r w:rsidR="00E44961">
              <w:t>4</w:t>
            </w:r>
            <w:r w:rsidR="00F17902">
              <w:t>***</w:t>
            </w:r>
          </w:p>
        </w:tc>
        <w:tc>
          <w:tcPr>
            <w:tcW w:w="2498" w:type="dxa"/>
          </w:tcPr>
          <w:p w14:paraId="3FFBDD6D" w14:textId="3F698C03" w:rsidR="00ED3F18" w:rsidRPr="0002766F" w:rsidRDefault="00ED3F18" w:rsidP="000B6467">
            <w:r>
              <w:t>0.1</w:t>
            </w:r>
            <w:r w:rsidR="00E44961">
              <w:t>1</w:t>
            </w:r>
            <w:r>
              <w:t>***</w:t>
            </w:r>
          </w:p>
        </w:tc>
      </w:tr>
      <w:tr w:rsidR="00231536" w:rsidRPr="0002766F" w14:paraId="695DAFF7" w14:textId="77777777" w:rsidTr="00CC0CA6">
        <w:trPr>
          <w:trHeight w:val="289"/>
        </w:trPr>
        <w:tc>
          <w:tcPr>
            <w:tcW w:w="2277" w:type="dxa"/>
          </w:tcPr>
          <w:p w14:paraId="3A58555A" w14:textId="77777777" w:rsidR="00231536" w:rsidRDefault="00231536" w:rsidP="00060315"/>
        </w:tc>
        <w:tc>
          <w:tcPr>
            <w:tcW w:w="2124" w:type="dxa"/>
          </w:tcPr>
          <w:p w14:paraId="69CF3A01" w14:textId="77777777" w:rsidR="00231536" w:rsidRDefault="00231536" w:rsidP="00060315"/>
        </w:tc>
        <w:tc>
          <w:tcPr>
            <w:tcW w:w="4959" w:type="dxa"/>
            <w:gridSpan w:val="2"/>
          </w:tcPr>
          <w:p w14:paraId="38D1F2D5" w14:textId="48AFC61D" w:rsidR="00231536" w:rsidRDefault="00231536" w:rsidP="00CC0CA6">
            <w:pPr>
              <w:jc w:val="center"/>
            </w:pPr>
            <w:r w:rsidRPr="00CC0CA6">
              <w:t>High Distress</w:t>
            </w:r>
            <w:r>
              <w:t xml:space="preserve"> (n = 91)</w:t>
            </w:r>
          </w:p>
        </w:tc>
      </w:tr>
      <w:tr w:rsidR="00060315" w:rsidRPr="0002766F" w14:paraId="59D2E8E9" w14:textId="77777777" w:rsidTr="00CC0CA6">
        <w:trPr>
          <w:trHeight w:val="289"/>
        </w:trPr>
        <w:tc>
          <w:tcPr>
            <w:tcW w:w="2277" w:type="dxa"/>
          </w:tcPr>
          <w:p w14:paraId="4A3487B9" w14:textId="77777777" w:rsidR="00060315" w:rsidRDefault="00060315" w:rsidP="00060315"/>
        </w:tc>
        <w:tc>
          <w:tcPr>
            <w:tcW w:w="2124" w:type="dxa"/>
          </w:tcPr>
          <w:p w14:paraId="5C479ABF" w14:textId="77777777" w:rsidR="00060315" w:rsidRDefault="00060315" w:rsidP="00060315"/>
        </w:tc>
        <w:tc>
          <w:tcPr>
            <w:tcW w:w="2461" w:type="dxa"/>
          </w:tcPr>
          <w:p w14:paraId="420889B9" w14:textId="1FD0FF58" w:rsidR="00060315" w:rsidRDefault="00060315" w:rsidP="00060315">
            <w:r>
              <w:rPr>
                <w:u w:val="single"/>
              </w:rPr>
              <w:t>Restructuring</w:t>
            </w:r>
            <w:r w:rsidRPr="00D30D8C">
              <w:rPr>
                <w:u w:val="single"/>
              </w:rPr>
              <w:t xml:space="preserve"> </w:t>
            </w:r>
            <w:r w:rsidRPr="00D30D8C">
              <w:rPr>
                <w:i/>
                <w:iCs/>
                <w:u w:val="single"/>
              </w:rPr>
              <w:sym w:font="Symbol" w:char="F062"/>
            </w:r>
          </w:p>
        </w:tc>
        <w:tc>
          <w:tcPr>
            <w:tcW w:w="2498" w:type="dxa"/>
          </w:tcPr>
          <w:p w14:paraId="5C984D1B" w14:textId="2FE08493" w:rsidR="00060315" w:rsidRDefault="00060315" w:rsidP="00060315">
            <w:r>
              <w:rPr>
                <w:u w:val="single"/>
              </w:rPr>
              <w:t>Defusion</w:t>
            </w:r>
            <w:r w:rsidRPr="00D30D8C">
              <w:rPr>
                <w:u w:val="single"/>
              </w:rPr>
              <w:t xml:space="preserve"> </w:t>
            </w:r>
            <w:r w:rsidRPr="00D30D8C">
              <w:rPr>
                <w:i/>
                <w:iCs/>
                <w:u w:val="single"/>
              </w:rPr>
              <w:sym w:font="Symbol" w:char="F062"/>
            </w:r>
          </w:p>
        </w:tc>
      </w:tr>
      <w:tr w:rsidR="00060315" w:rsidRPr="0002766F" w14:paraId="1AA3CADF" w14:textId="77777777" w:rsidTr="00CC0CA6">
        <w:trPr>
          <w:trHeight w:val="289"/>
        </w:trPr>
        <w:tc>
          <w:tcPr>
            <w:tcW w:w="2277" w:type="dxa"/>
          </w:tcPr>
          <w:p w14:paraId="0B3E2643" w14:textId="534AB851" w:rsidR="00060315" w:rsidRDefault="00060315" w:rsidP="00CC0CA6">
            <w:pPr>
              <w:jc w:val="center"/>
            </w:pPr>
            <w:r>
              <w:rPr>
                <w:i/>
                <w:iCs/>
              </w:rPr>
              <w:t>Outcome</w:t>
            </w:r>
          </w:p>
        </w:tc>
        <w:tc>
          <w:tcPr>
            <w:tcW w:w="2124" w:type="dxa"/>
          </w:tcPr>
          <w:p w14:paraId="6A4E963A" w14:textId="77777777" w:rsidR="00060315" w:rsidRDefault="00060315" w:rsidP="00060315"/>
        </w:tc>
        <w:tc>
          <w:tcPr>
            <w:tcW w:w="2461" w:type="dxa"/>
          </w:tcPr>
          <w:p w14:paraId="63E6309F" w14:textId="77777777" w:rsidR="00060315" w:rsidRDefault="00060315" w:rsidP="00060315"/>
        </w:tc>
        <w:tc>
          <w:tcPr>
            <w:tcW w:w="2498" w:type="dxa"/>
          </w:tcPr>
          <w:p w14:paraId="10E41FC7" w14:textId="77777777" w:rsidR="00060315" w:rsidRDefault="00060315" w:rsidP="00060315"/>
        </w:tc>
      </w:tr>
      <w:tr w:rsidR="00060315" w:rsidRPr="0002766F" w14:paraId="3482D0C4" w14:textId="77777777" w:rsidTr="00CC0CA6">
        <w:trPr>
          <w:trHeight w:val="289"/>
        </w:trPr>
        <w:tc>
          <w:tcPr>
            <w:tcW w:w="2277" w:type="dxa"/>
          </w:tcPr>
          <w:p w14:paraId="18AA7B9F" w14:textId="748DEF1D" w:rsidR="00060315" w:rsidRDefault="00060315" w:rsidP="00060315">
            <w:r>
              <w:t>NA</w:t>
            </w:r>
          </w:p>
        </w:tc>
        <w:tc>
          <w:tcPr>
            <w:tcW w:w="2124" w:type="dxa"/>
          </w:tcPr>
          <w:p w14:paraId="5F55357D" w14:textId="77777777" w:rsidR="00060315" w:rsidRDefault="00060315" w:rsidP="00060315"/>
        </w:tc>
        <w:tc>
          <w:tcPr>
            <w:tcW w:w="2461" w:type="dxa"/>
          </w:tcPr>
          <w:p w14:paraId="62F1D520" w14:textId="4DC2E55E" w:rsidR="00060315" w:rsidRDefault="00983669" w:rsidP="00060315">
            <w:r>
              <w:t>0.00</w:t>
            </w:r>
          </w:p>
        </w:tc>
        <w:tc>
          <w:tcPr>
            <w:tcW w:w="2498" w:type="dxa"/>
          </w:tcPr>
          <w:p w14:paraId="728A08DC" w14:textId="2D42C252" w:rsidR="00060315" w:rsidRDefault="00983669" w:rsidP="00060315">
            <w:r>
              <w:t>-0.14</w:t>
            </w:r>
            <w:r w:rsidR="00104100">
              <w:t>***</w:t>
            </w:r>
          </w:p>
        </w:tc>
      </w:tr>
      <w:tr w:rsidR="00060315" w:rsidRPr="0002766F" w14:paraId="203B0D8D" w14:textId="77777777" w:rsidTr="00CC0CA6">
        <w:trPr>
          <w:trHeight w:val="289"/>
        </w:trPr>
        <w:tc>
          <w:tcPr>
            <w:tcW w:w="2277" w:type="dxa"/>
          </w:tcPr>
          <w:p w14:paraId="198FB7F6" w14:textId="54767BC1" w:rsidR="00060315" w:rsidRDefault="00060315" w:rsidP="00060315">
            <w:r>
              <w:t>PA</w:t>
            </w:r>
          </w:p>
        </w:tc>
        <w:tc>
          <w:tcPr>
            <w:tcW w:w="2124" w:type="dxa"/>
          </w:tcPr>
          <w:p w14:paraId="39911A28" w14:textId="77777777" w:rsidR="00060315" w:rsidRDefault="00060315" w:rsidP="00060315"/>
        </w:tc>
        <w:tc>
          <w:tcPr>
            <w:tcW w:w="2461" w:type="dxa"/>
          </w:tcPr>
          <w:p w14:paraId="0EA53671" w14:textId="4ECD8BC4" w:rsidR="00060315" w:rsidRDefault="00983669" w:rsidP="00060315">
            <w:r>
              <w:t>0.03</w:t>
            </w:r>
          </w:p>
        </w:tc>
        <w:tc>
          <w:tcPr>
            <w:tcW w:w="2498" w:type="dxa"/>
          </w:tcPr>
          <w:p w14:paraId="73265295" w14:textId="5425DDB4" w:rsidR="00060315" w:rsidRDefault="00983669" w:rsidP="00060315">
            <w:r>
              <w:t>0.18***</w:t>
            </w:r>
          </w:p>
        </w:tc>
      </w:tr>
      <w:tr w:rsidR="00060315" w:rsidRPr="0002766F" w14:paraId="7E49C205" w14:textId="77777777" w:rsidTr="00CC0CA6">
        <w:trPr>
          <w:trHeight w:val="289"/>
        </w:trPr>
        <w:tc>
          <w:tcPr>
            <w:tcW w:w="2277" w:type="dxa"/>
          </w:tcPr>
          <w:p w14:paraId="14839199" w14:textId="2CDFE88B" w:rsidR="00060315" w:rsidRDefault="00060315" w:rsidP="00060315">
            <w:r>
              <w:t>Values progress</w:t>
            </w:r>
          </w:p>
        </w:tc>
        <w:tc>
          <w:tcPr>
            <w:tcW w:w="2124" w:type="dxa"/>
          </w:tcPr>
          <w:p w14:paraId="167556FA" w14:textId="77777777" w:rsidR="00060315" w:rsidRDefault="00060315" w:rsidP="00060315"/>
        </w:tc>
        <w:tc>
          <w:tcPr>
            <w:tcW w:w="2461" w:type="dxa"/>
          </w:tcPr>
          <w:p w14:paraId="2E9677BC" w14:textId="165F980D" w:rsidR="00060315" w:rsidRDefault="00104100" w:rsidP="00060315">
            <w:r>
              <w:t>0.14***</w:t>
            </w:r>
          </w:p>
        </w:tc>
        <w:tc>
          <w:tcPr>
            <w:tcW w:w="2498" w:type="dxa"/>
          </w:tcPr>
          <w:p w14:paraId="5D7C22A3" w14:textId="08FDF6B3" w:rsidR="00060315" w:rsidRDefault="00104100" w:rsidP="00060315">
            <w:r>
              <w:t>0.14***</w:t>
            </w:r>
          </w:p>
        </w:tc>
      </w:tr>
      <w:tr w:rsidR="00231536" w:rsidRPr="0002766F" w14:paraId="2EEE5A55" w14:textId="77777777" w:rsidTr="00CC0CA6">
        <w:trPr>
          <w:trHeight w:val="289"/>
        </w:trPr>
        <w:tc>
          <w:tcPr>
            <w:tcW w:w="2277" w:type="dxa"/>
          </w:tcPr>
          <w:p w14:paraId="45125F05" w14:textId="77777777" w:rsidR="00231536" w:rsidRDefault="00231536" w:rsidP="00060315"/>
        </w:tc>
        <w:tc>
          <w:tcPr>
            <w:tcW w:w="2124" w:type="dxa"/>
          </w:tcPr>
          <w:p w14:paraId="6CD42E30" w14:textId="77777777" w:rsidR="00231536" w:rsidRDefault="00231536" w:rsidP="00060315"/>
        </w:tc>
        <w:tc>
          <w:tcPr>
            <w:tcW w:w="4959" w:type="dxa"/>
            <w:gridSpan w:val="2"/>
          </w:tcPr>
          <w:p w14:paraId="573BDF32" w14:textId="00E2D6F8" w:rsidR="00231536" w:rsidRDefault="00231536" w:rsidP="00CC0CA6">
            <w:pPr>
              <w:jc w:val="center"/>
            </w:pPr>
            <w:r w:rsidRPr="00CC0CA6">
              <w:t>Low Distress</w:t>
            </w:r>
            <w:r>
              <w:t xml:space="preserve"> (n = 103)</w:t>
            </w:r>
          </w:p>
        </w:tc>
      </w:tr>
      <w:tr w:rsidR="00060315" w:rsidRPr="0002766F" w14:paraId="6AF096C5" w14:textId="77777777" w:rsidTr="00CC0CA6">
        <w:trPr>
          <w:trHeight w:val="289"/>
        </w:trPr>
        <w:tc>
          <w:tcPr>
            <w:tcW w:w="2277" w:type="dxa"/>
          </w:tcPr>
          <w:p w14:paraId="090C2834" w14:textId="77777777" w:rsidR="00060315" w:rsidRDefault="00060315" w:rsidP="00060315"/>
        </w:tc>
        <w:tc>
          <w:tcPr>
            <w:tcW w:w="2124" w:type="dxa"/>
          </w:tcPr>
          <w:p w14:paraId="326F04A5" w14:textId="77777777" w:rsidR="00060315" w:rsidRDefault="00060315" w:rsidP="00060315"/>
        </w:tc>
        <w:tc>
          <w:tcPr>
            <w:tcW w:w="2461" w:type="dxa"/>
          </w:tcPr>
          <w:p w14:paraId="6811F8CB" w14:textId="361056FD" w:rsidR="00060315" w:rsidRDefault="00060315" w:rsidP="00060315">
            <w:r>
              <w:rPr>
                <w:u w:val="single"/>
              </w:rPr>
              <w:t>Restructuring</w:t>
            </w:r>
            <w:r w:rsidRPr="00D30D8C">
              <w:rPr>
                <w:u w:val="single"/>
              </w:rPr>
              <w:t xml:space="preserve"> </w:t>
            </w:r>
            <w:r w:rsidRPr="00D30D8C">
              <w:rPr>
                <w:i/>
                <w:iCs/>
                <w:u w:val="single"/>
              </w:rPr>
              <w:sym w:font="Symbol" w:char="F062"/>
            </w:r>
          </w:p>
        </w:tc>
        <w:tc>
          <w:tcPr>
            <w:tcW w:w="2498" w:type="dxa"/>
          </w:tcPr>
          <w:p w14:paraId="14826F32" w14:textId="2BE5F95C" w:rsidR="00060315" w:rsidRDefault="00060315" w:rsidP="00060315">
            <w:r>
              <w:rPr>
                <w:u w:val="single"/>
              </w:rPr>
              <w:t>Defusion</w:t>
            </w:r>
            <w:r w:rsidRPr="00D30D8C">
              <w:rPr>
                <w:u w:val="single"/>
              </w:rPr>
              <w:t xml:space="preserve"> </w:t>
            </w:r>
            <w:r w:rsidRPr="00D30D8C">
              <w:rPr>
                <w:i/>
                <w:iCs/>
                <w:u w:val="single"/>
              </w:rPr>
              <w:sym w:font="Symbol" w:char="F062"/>
            </w:r>
          </w:p>
        </w:tc>
      </w:tr>
      <w:tr w:rsidR="00060315" w:rsidRPr="0002766F" w14:paraId="3B927044" w14:textId="77777777" w:rsidTr="00CC0CA6">
        <w:trPr>
          <w:trHeight w:val="289"/>
        </w:trPr>
        <w:tc>
          <w:tcPr>
            <w:tcW w:w="2277" w:type="dxa"/>
          </w:tcPr>
          <w:p w14:paraId="2AD4F9F4" w14:textId="309C02E8" w:rsidR="00060315" w:rsidRDefault="00060315" w:rsidP="00CC0CA6">
            <w:pPr>
              <w:jc w:val="center"/>
            </w:pPr>
            <w:r>
              <w:rPr>
                <w:i/>
                <w:iCs/>
              </w:rPr>
              <w:t>Outcome</w:t>
            </w:r>
          </w:p>
        </w:tc>
        <w:tc>
          <w:tcPr>
            <w:tcW w:w="2124" w:type="dxa"/>
          </w:tcPr>
          <w:p w14:paraId="4785DF2E" w14:textId="77777777" w:rsidR="00060315" w:rsidRDefault="00060315" w:rsidP="00060315"/>
        </w:tc>
        <w:tc>
          <w:tcPr>
            <w:tcW w:w="2461" w:type="dxa"/>
          </w:tcPr>
          <w:p w14:paraId="75CFC3DF" w14:textId="77777777" w:rsidR="00060315" w:rsidRDefault="00060315" w:rsidP="00060315"/>
        </w:tc>
        <w:tc>
          <w:tcPr>
            <w:tcW w:w="2498" w:type="dxa"/>
          </w:tcPr>
          <w:p w14:paraId="3E9A2BE3" w14:textId="77777777" w:rsidR="00060315" w:rsidRDefault="00060315" w:rsidP="00060315"/>
        </w:tc>
      </w:tr>
      <w:tr w:rsidR="00060315" w:rsidRPr="0002766F" w14:paraId="49C82E63" w14:textId="77777777" w:rsidTr="00CC0CA6">
        <w:trPr>
          <w:trHeight w:val="289"/>
        </w:trPr>
        <w:tc>
          <w:tcPr>
            <w:tcW w:w="2277" w:type="dxa"/>
          </w:tcPr>
          <w:p w14:paraId="7BE9C182" w14:textId="6C2858DE" w:rsidR="00060315" w:rsidRDefault="00060315" w:rsidP="00060315">
            <w:r>
              <w:t>NA</w:t>
            </w:r>
          </w:p>
        </w:tc>
        <w:tc>
          <w:tcPr>
            <w:tcW w:w="2124" w:type="dxa"/>
          </w:tcPr>
          <w:p w14:paraId="51B18C24" w14:textId="77777777" w:rsidR="00060315" w:rsidRDefault="00060315" w:rsidP="00060315"/>
        </w:tc>
        <w:tc>
          <w:tcPr>
            <w:tcW w:w="2461" w:type="dxa"/>
          </w:tcPr>
          <w:p w14:paraId="235A1AEB" w14:textId="0FE82ECD" w:rsidR="00060315" w:rsidRDefault="00EC62C7" w:rsidP="00060315">
            <w:r>
              <w:t>0.01</w:t>
            </w:r>
          </w:p>
        </w:tc>
        <w:tc>
          <w:tcPr>
            <w:tcW w:w="2498" w:type="dxa"/>
          </w:tcPr>
          <w:p w14:paraId="52C77B0B" w14:textId="14771802" w:rsidR="00060315" w:rsidRDefault="00EC62C7" w:rsidP="00060315">
            <w:r>
              <w:t>-0.12**</w:t>
            </w:r>
          </w:p>
        </w:tc>
      </w:tr>
      <w:tr w:rsidR="00060315" w:rsidRPr="0002766F" w14:paraId="2722E7AF" w14:textId="77777777" w:rsidTr="00CC0CA6">
        <w:trPr>
          <w:trHeight w:val="289"/>
        </w:trPr>
        <w:tc>
          <w:tcPr>
            <w:tcW w:w="2277" w:type="dxa"/>
            <w:tcBorders>
              <w:bottom w:val="nil"/>
            </w:tcBorders>
          </w:tcPr>
          <w:p w14:paraId="1FA85A31" w14:textId="2E574E3C" w:rsidR="00060315" w:rsidRDefault="00060315" w:rsidP="00060315">
            <w:r>
              <w:t>PA</w:t>
            </w:r>
          </w:p>
        </w:tc>
        <w:tc>
          <w:tcPr>
            <w:tcW w:w="2124" w:type="dxa"/>
            <w:tcBorders>
              <w:bottom w:val="nil"/>
            </w:tcBorders>
          </w:tcPr>
          <w:p w14:paraId="1898D58E" w14:textId="77777777" w:rsidR="00060315" w:rsidRDefault="00060315" w:rsidP="00060315"/>
        </w:tc>
        <w:tc>
          <w:tcPr>
            <w:tcW w:w="2461" w:type="dxa"/>
            <w:tcBorders>
              <w:bottom w:val="nil"/>
            </w:tcBorders>
          </w:tcPr>
          <w:p w14:paraId="3A457490" w14:textId="6916BA20" w:rsidR="00060315" w:rsidRDefault="00EC62C7" w:rsidP="00060315">
            <w:r>
              <w:t>0.06*</w:t>
            </w:r>
          </w:p>
        </w:tc>
        <w:tc>
          <w:tcPr>
            <w:tcW w:w="2498" w:type="dxa"/>
            <w:tcBorders>
              <w:bottom w:val="nil"/>
            </w:tcBorders>
          </w:tcPr>
          <w:p w14:paraId="15959933" w14:textId="0035382C" w:rsidR="00060315" w:rsidRDefault="00EC62C7" w:rsidP="00060315">
            <w:r>
              <w:t>0.12***</w:t>
            </w:r>
          </w:p>
        </w:tc>
      </w:tr>
      <w:tr w:rsidR="00060315" w:rsidRPr="0002766F" w14:paraId="03C8C8B0" w14:textId="77777777" w:rsidTr="00CC0CA6">
        <w:trPr>
          <w:trHeight w:val="289"/>
        </w:trPr>
        <w:tc>
          <w:tcPr>
            <w:tcW w:w="2277" w:type="dxa"/>
            <w:tcBorders>
              <w:top w:val="nil"/>
              <w:bottom w:val="single" w:sz="4" w:space="0" w:color="auto"/>
            </w:tcBorders>
          </w:tcPr>
          <w:p w14:paraId="011EFA39" w14:textId="4E4754D1" w:rsidR="00060315" w:rsidRDefault="00060315" w:rsidP="00060315">
            <w:r>
              <w:t>Values progress</w:t>
            </w:r>
          </w:p>
        </w:tc>
        <w:tc>
          <w:tcPr>
            <w:tcW w:w="2124" w:type="dxa"/>
            <w:tcBorders>
              <w:top w:val="nil"/>
              <w:bottom w:val="single" w:sz="4" w:space="0" w:color="auto"/>
            </w:tcBorders>
          </w:tcPr>
          <w:p w14:paraId="1C72016D" w14:textId="77777777" w:rsidR="00060315" w:rsidRDefault="00060315" w:rsidP="00060315"/>
        </w:tc>
        <w:tc>
          <w:tcPr>
            <w:tcW w:w="2461" w:type="dxa"/>
            <w:tcBorders>
              <w:top w:val="nil"/>
              <w:bottom w:val="single" w:sz="4" w:space="0" w:color="auto"/>
            </w:tcBorders>
          </w:tcPr>
          <w:p w14:paraId="5CAD6639" w14:textId="480221FF" w:rsidR="00060315" w:rsidRDefault="00EC62C7" w:rsidP="00060315">
            <w:r>
              <w:t>0.13***</w:t>
            </w:r>
          </w:p>
        </w:tc>
        <w:tc>
          <w:tcPr>
            <w:tcW w:w="2498" w:type="dxa"/>
            <w:tcBorders>
              <w:top w:val="nil"/>
              <w:bottom w:val="single" w:sz="4" w:space="0" w:color="auto"/>
            </w:tcBorders>
          </w:tcPr>
          <w:p w14:paraId="033783D2" w14:textId="7B337AE3" w:rsidR="00060315" w:rsidRDefault="00EC62C7" w:rsidP="00060315">
            <w:r>
              <w:t>0.08**</w:t>
            </w:r>
          </w:p>
        </w:tc>
      </w:tr>
    </w:tbl>
    <w:p w14:paraId="60CD4DA8" w14:textId="6F452F37" w:rsidR="0098128C" w:rsidRDefault="00ED3F18" w:rsidP="00BC65A8">
      <w:r>
        <w:rPr>
          <w:i/>
          <w:iCs/>
        </w:rPr>
        <w:t>Note</w:t>
      </w:r>
      <w:r>
        <w:t>. ***</w:t>
      </w:r>
      <w:r>
        <w:rPr>
          <w:i/>
          <w:iCs/>
        </w:rPr>
        <w:t>p</w:t>
      </w:r>
      <w:r>
        <w:t xml:space="preserve"> &lt; .001, **</w:t>
      </w:r>
      <w:r>
        <w:rPr>
          <w:i/>
          <w:iCs/>
        </w:rPr>
        <w:t>p</w:t>
      </w:r>
      <w:r>
        <w:t xml:space="preserve"> &lt; .01, *</w:t>
      </w:r>
      <w:r>
        <w:rPr>
          <w:i/>
          <w:iCs/>
        </w:rPr>
        <w:t xml:space="preserve">p </w:t>
      </w:r>
      <w:r>
        <w:t>&lt; .05.</w:t>
      </w:r>
    </w:p>
    <w:p w14:paraId="4C313CA7" w14:textId="43170FA4" w:rsidR="00060315" w:rsidRDefault="00060315" w:rsidP="00BC65A8"/>
    <w:p w14:paraId="09DFE46F" w14:textId="77777777" w:rsidR="00060315" w:rsidRDefault="00060315">
      <w:r>
        <w:br w:type="page"/>
      </w:r>
    </w:p>
    <w:p w14:paraId="0B33BD79" w14:textId="57C00565" w:rsidR="00060315" w:rsidRDefault="00060315" w:rsidP="00060315">
      <w:pPr>
        <w:rPr>
          <w:i/>
          <w:iCs/>
        </w:rPr>
      </w:pPr>
      <w:r>
        <w:lastRenderedPageBreak/>
        <w:t xml:space="preserve">Table 4. </w:t>
      </w:r>
      <w:r>
        <w:rPr>
          <w:i/>
          <w:iCs/>
        </w:rPr>
        <w:t>MLMs evaluating lagged associations between</w:t>
      </w:r>
      <w:r w:rsidR="007815C6">
        <w:rPr>
          <w:i/>
          <w:iCs/>
        </w:rPr>
        <w:t xml:space="preserve"> cognitive</w:t>
      </w:r>
      <w:r>
        <w:rPr>
          <w:i/>
          <w:iCs/>
        </w:rPr>
        <w:t xml:space="preserve"> processes and outcomes</w:t>
      </w:r>
      <w:r w:rsidR="007815C6">
        <w:rPr>
          <w:i/>
          <w:iCs/>
        </w:rPr>
        <w:t xml:space="preserve"> controlling for outcome at previous time point</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124"/>
        <w:gridCol w:w="2461"/>
        <w:gridCol w:w="2498"/>
      </w:tblGrid>
      <w:tr w:rsidR="00231536" w:rsidRPr="0002766F" w14:paraId="151E7F6B" w14:textId="77777777" w:rsidTr="00CC0CA6">
        <w:trPr>
          <w:trHeight w:val="306"/>
        </w:trPr>
        <w:tc>
          <w:tcPr>
            <w:tcW w:w="2277" w:type="dxa"/>
          </w:tcPr>
          <w:p w14:paraId="65FF82B6" w14:textId="77777777" w:rsidR="00231536" w:rsidRPr="0002766F" w:rsidRDefault="00231536" w:rsidP="00704DFF">
            <w:pPr>
              <w:rPr>
                <w:i/>
                <w:iCs/>
              </w:rPr>
            </w:pPr>
          </w:p>
        </w:tc>
        <w:tc>
          <w:tcPr>
            <w:tcW w:w="7083" w:type="dxa"/>
            <w:gridSpan w:val="3"/>
          </w:tcPr>
          <w:p w14:paraId="6C65B6B0" w14:textId="5F81DE3D" w:rsidR="00231536" w:rsidRDefault="00231536" w:rsidP="00CC0CA6">
            <w:pPr>
              <w:jc w:val="center"/>
              <w:rPr>
                <w:u w:val="single"/>
              </w:rPr>
            </w:pPr>
            <w:r w:rsidRPr="00CC0CA6">
              <w:t>Full Sample</w:t>
            </w:r>
            <w:r>
              <w:t xml:space="preserve"> (n = 194)</w:t>
            </w:r>
          </w:p>
        </w:tc>
      </w:tr>
      <w:tr w:rsidR="00060315" w:rsidRPr="0002766F" w14:paraId="5DA579D9" w14:textId="77777777" w:rsidTr="00CC0CA6">
        <w:trPr>
          <w:trHeight w:val="306"/>
        </w:trPr>
        <w:tc>
          <w:tcPr>
            <w:tcW w:w="2277" w:type="dxa"/>
          </w:tcPr>
          <w:p w14:paraId="5AF885D9" w14:textId="77777777" w:rsidR="00060315" w:rsidRPr="0002766F" w:rsidRDefault="00060315" w:rsidP="00704DFF">
            <w:pPr>
              <w:rPr>
                <w:i/>
                <w:iCs/>
              </w:rPr>
            </w:pPr>
          </w:p>
        </w:tc>
        <w:tc>
          <w:tcPr>
            <w:tcW w:w="2124" w:type="dxa"/>
          </w:tcPr>
          <w:p w14:paraId="0B33CD32" w14:textId="77777777" w:rsidR="00060315" w:rsidRDefault="00060315" w:rsidP="00704DFF">
            <w:pPr>
              <w:rPr>
                <w:u w:val="single"/>
              </w:rPr>
            </w:pPr>
            <w:r>
              <w:rPr>
                <w:u w:val="single"/>
              </w:rPr>
              <w:t xml:space="preserve">Previous NA/PA/Values progress </w:t>
            </w:r>
            <w:r w:rsidRPr="00D30D8C">
              <w:rPr>
                <w:i/>
                <w:iCs/>
                <w:u w:val="single"/>
              </w:rPr>
              <w:sym w:font="Symbol" w:char="F062"/>
            </w:r>
          </w:p>
        </w:tc>
        <w:tc>
          <w:tcPr>
            <w:tcW w:w="2461" w:type="dxa"/>
          </w:tcPr>
          <w:p w14:paraId="5D53B833" w14:textId="77777777" w:rsidR="00060315" w:rsidRPr="00B6555D" w:rsidRDefault="00060315" w:rsidP="00704DFF">
            <w:r>
              <w:rPr>
                <w:u w:val="single"/>
              </w:rPr>
              <w:t>Restructuring</w:t>
            </w:r>
            <w:r w:rsidRPr="00D30D8C">
              <w:rPr>
                <w:u w:val="single"/>
              </w:rPr>
              <w:t xml:space="preserve"> </w:t>
            </w:r>
            <w:r w:rsidRPr="00D30D8C">
              <w:rPr>
                <w:i/>
                <w:iCs/>
                <w:u w:val="single"/>
              </w:rPr>
              <w:sym w:font="Symbol" w:char="F062"/>
            </w:r>
          </w:p>
        </w:tc>
        <w:tc>
          <w:tcPr>
            <w:tcW w:w="2498" w:type="dxa"/>
          </w:tcPr>
          <w:p w14:paraId="6FCE6FD7" w14:textId="77777777" w:rsidR="00060315" w:rsidRPr="00244F12" w:rsidRDefault="00060315" w:rsidP="00704DFF">
            <w:r>
              <w:rPr>
                <w:u w:val="single"/>
              </w:rPr>
              <w:t>Defusion</w:t>
            </w:r>
            <w:r w:rsidRPr="00D30D8C">
              <w:rPr>
                <w:u w:val="single"/>
              </w:rPr>
              <w:t xml:space="preserve"> </w:t>
            </w:r>
            <w:r w:rsidRPr="00D30D8C">
              <w:rPr>
                <w:i/>
                <w:iCs/>
                <w:u w:val="single"/>
              </w:rPr>
              <w:sym w:font="Symbol" w:char="F062"/>
            </w:r>
          </w:p>
        </w:tc>
      </w:tr>
      <w:tr w:rsidR="00983669" w:rsidRPr="0002766F" w14:paraId="08CCBAAF" w14:textId="77777777" w:rsidTr="00CC0CA6">
        <w:trPr>
          <w:trHeight w:val="273"/>
        </w:trPr>
        <w:tc>
          <w:tcPr>
            <w:tcW w:w="2277" w:type="dxa"/>
          </w:tcPr>
          <w:p w14:paraId="304065A8" w14:textId="19A90DB8" w:rsidR="00983669" w:rsidRPr="00244F12" w:rsidRDefault="00983669" w:rsidP="00CC0CA6">
            <w:pPr>
              <w:jc w:val="center"/>
              <w:rPr>
                <w:i/>
                <w:iCs/>
              </w:rPr>
            </w:pPr>
            <w:r>
              <w:rPr>
                <w:i/>
                <w:iCs/>
              </w:rPr>
              <w:t>Outcome</w:t>
            </w:r>
          </w:p>
        </w:tc>
        <w:tc>
          <w:tcPr>
            <w:tcW w:w="2124" w:type="dxa"/>
          </w:tcPr>
          <w:p w14:paraId="3188A01F" w14:textId="77777777" w:rsidR="00983669" w:rsidRPr="00D30D8C" w:rsidRDefault="00983669" w:rsidP="00983669">
            <w:pPr>
              <w:rPr>
                <w:i/>
                <w:iCs/>
                <w:u w:val="single"/>
              </w:rPr>
            </w:pPr>
          </w:p>
        </w:tc>
        <w:tc>
          <w:tcPr>
            <w:tcW w:w="2461" w:type="dxa"/>
          </w:tcPr>
          <w:p w14:paraId="617380AE" w14:textId="77777777" w:rsidR="00983669" w:rsidRPr="00D30D8C" w:rsidRDefault="00983669" w:rsidP="00983669">
            <w:pPr>
              <w:rPr>
                <w:i/>
                <w:iCs/>
                <w:u w:val="single"/>
              </w:rPr>
            </w:pPr>
          </w:p>
        </w:tc>
        <w:tc>
          <w:tcPr>
            <w:tcW w:w="2498" w:type="dxa"/>
          </w:tcPr>
          <w:p w14:paraId="271C6EA0" w14:textId="77777777" w:rsidR="00983669" w:rsidRPr="00D30D8C" w:rsidRDefault="00983669" w:rsidP="00983669">
            <w:pPr>
              <w:rPr>
                <w:i/>
                <w:iCs/>
                <w:u w:val="single"/>
              </w:rPr>
            </w:pPr>
          </w:p>
        </w:tc>
      </w:tr>
      <w:tr w:rsidR="00983669" w:rsidRPr="0002766F" w14:paraId="32A901C3" w14:textId="77777777" w:rsidTr="00CC0CA6">
        <w:trPr>
          <w:trHeight w:val="273"/>
        </w:trPr>
        <w:tc>
          <w:tcPr>
            <w:tcW w:w="2277" w:type="dxa"/>
          </w:tcPr>
          <w:p w14:paraId="312274C9" w14:textId="057FFD60" w:rsidR="00983669" w:rsidRDefault="00983669" w:rsidP="00983669">
            <w:r>
              <w:t>Lagged NA</w:t>
            </w:r>
          </w:p>
        </w:tc>
        <w:tc>
          <w:tcPr>
            <w:tcW w:w="2124" w:type="dxa"/>
          </w:tcPr>
          <w:p w14:paraId="11E7191E" w14:textId="1A2801D3" w:rsidR="00983669" w:rsidRDefault="00983669" w:rsidP="00983669">
            <w:r>
              <w:t>0.28***</w:t>
            </w:r>
          </w:p>
        </w:tc>
        <w:tc>
          <w:tcPr>
            <w:tcW w:w="2461" w:type="dxa"/>
          </w:tcPr>
          <w:p w14:paraId="69BB3C0F" w14:textId="0BDACD1A" w:rsidR="00983669" w:rsidRDefault="00983669" w:rsidP="00983669">
            <w:r>
              <w:t>-0.01</w:t>
            </w:r>
          </w:p>
        </w:tc>
        <w:tc>
          <w:tcPr>
            <w:tcW w:w="2498" w:type="dxa"/>
          </w:tcPr>
          <w:p w14:paraId="4EFBF313" w14:textId="63FB22EE" w:rsidR="00983669" w:rsidRDefault="00983669" w:rsidP="00983669">
            <w:r>
              <w:t>0.02</w:t>
            </w:r>
          </w:p>
        </w:tc>
      </w:tr>
      <w:tr w:rsidR="00983669" w:rsidRPr="0002766F" w14:paraId="1B1788D7" w14:textId="77777777" w:rsidTr="00CC0CA6">
        <w:trPr>
          <w:trHeight w:val="273"/>
        </w:trPr>
        <w:tc>
          <w:tcPr>
            <w:tcW w:w="2277" w:type="dxa"/>
          </w:tcPr>
          <w:p w14:paraId="18B551DC" w14:textId="3477DF0D" w:rsidR="00983669" w:rsidRPr="0002766F" w:rsidRDefault="00983669" w:rsidP="00983669">
            <w:r>
              <w:t>Lagged PA</w:t>
            </w:r>
          </w:p>
        </w:tc>
        <w:tc>
          <w:tcPr>
            <w:tcW w:w="2124" w:type="dxa"/>
          </w:tcPr>
          <w:p w14:paraId="7F122B5A" w14:textId="75B4C059" w:rsidR="00983669" w:rsidRPr="00925824" w:rsidRDefault="00983669" w:rsidP="00983669">
            <w:r>
              <w:t>0.26***</w:t>
            </w:r>
          </w:p>
        </w:tc>
        <w:tc>
          <w:tcPr>
            <w:tcW w:w="2461" w:type="dxa"/>
          </w:tcPr>
          <w:p w14:paraId="77161201" w14:textId="3244133D" w:rsidR="00983669" w:rsidRPr="0002766F" w:rsidRDefault="00983669" w:rsidP="00983669">
            <w:r>
              <w:t>0.03</w:t>
            </w:r>
          </w:p>
        </w:tc>
        <w:tc>
          <w:tcPr>
            <w:tcW w:w="2498" w:type="dxa"/>
          </w:tcPr>
          <w:p w14:paraId="24BDA960" w14:textId="78A2DD34" w:rsidR="00983669" w:rsidRPr="0002766F" w:rsidRDefault="00983669" w:rsidP="00983669">
            <w:r>
              <w:t>0.03</w:t>
            </w:r>
          </w:p>
        </w:tc>
      </w:tr>
      <w:tr w:rsidR="00983669" w:rsidRPr="0002766F" w14:paraId="3808B460" w14:textId="77777777" w:rsidTr="00CC0CA6">
        <w:trPr>
          <w:trHeight w:val="289"/>
        </w:trPr>
        <w:tc>
          <w:tcPr>
            <w:tcW w:w="2277" w:type="dxa"/>
          </w:tcPr>
          <w:p w14:paraId="70E96616" w14:textId="1B0D1020" w:rsidR="00983669" w:rsidRPr="0002766F" w:rsidRDefault="00983669" w:rsidP="00983669">
            <w:r>
              <w:t>Lagged values progress</w:t>
            </w:r>
          </w:p>
        </w:tc>
        <w:tc>
          <w:tcPr>
            <w:tcW w:w="2124" w:type="dxa"/>
          </w:tcPr>
          <w:p w14:paraId="44FE4CDB" w14:textId="5F305565" w:rsidR="00983669" w:rsidRDefault="00983669" w:rsidP="00983669">
            <w:r>
              <w:t>0.22***</w:t>
            </w:r>
          </w:p>
        </w:tc>
        <w:tc>
          <w:tcPr>
            <w:tcW w:w="2461" w:type="dxa"/>
          </w:tcPr>
          <w:p w14:paraId="6AD758EE" w14:textId="5C48DF41" w:rsidR="00983669" w:rsidRPr="0002766F" w:rsidRDefault="00983669" w:rsidP="00983669">
            <w:r>
              <w:t>-0.01</w:t>
            </w:r>
          </w:p>
        </w:tc>
        <w:tc>
          <w:tcPr>
            <w:tcW w:w="2498" w:type="dxa"/>
          </w:tcPr>
          <w:p w14:paraId="627B8776" w14:textId="72A9991A" w:rsidR="00983669" w:rsidRPr="0002766F" w:rsidRDefault="00983669" w:rsidP="00983669">
            <w:r>
              <w:t>0.05</w:t>
            </w:r>
          </w:p>
        </w:tc>
      </w:tr>
      <w:tr w:rsidR="00231536" w:rsidRPr="0002766F" w14:paraId="31F592DB" w14:textId="77777777" w:rsidTr="00CC0CA6">
        <w:trPr>
          <w:trHeight w:val="289"/>
        </w:trPr>
        <w:tc>
          <w:tcPr>
            <w:tcW w:w="2277" w:type="dxa"/>
          </w:tcPr>
          <w:p w14:paraId="40FCA00A" w14:textId="77777777" w:rsidR="00231536" w:rsidRPr="00300B7D" w:rsidRDefault="00231536" w:rsidP="00983669">
            <w:pPr>
              <w:rPr>
                <w:i/>
                <w:iCs/>
                <w:u w:val="single"/>
              </w:rPr>
            </w:pPr>
          </w:p>
        </w:tc>
        <w:tc>
          <w:tcPr>
            <w:tcW w:w="7083" w:type="dxa"/>
            <w:gridSpan w:val="3"/>
          </w:tcPr>
          <w:p w14:paraId="65D18559" w14:textId="3CD97D9D" w:rsidR="00231536" w:rsidRPr="0002766F" w:rsidRDefault="00231536" w:rsidP="00CC0CA6">
            <w:pPr>
              <w:jc w:val="center"/>
            </w:pPr>
            <w:r>
              <w:t>High Distress (n = 91)</w:t>
            </w:r>
          </w:p>
        </w:tc>
      </w:tr>
      <w:tr w:rsidR="00983669" w:rsidRPr="0002766F" w14:paraId="1EAE88A9" w14:textId="77777777" w:rsidTr="00CC0CA6">
        <w:trPr>
          <w:trHeight w:val="289"/>
        </w:trPr>
        <w:tc>
          <w:tcPr>
            <w:tcW w:w="2277" w:type="dxa"/>
          </w:tcPr>
          <w:p w14:paraId="350FA823" w14:textId="1D7C4A7F" w:rsidR="00983669" w:rsidRPr="00300B7D" w:rsidRDefault="00983669" w:rsidP="00983669">
            <w:pPr>
              <w:rPr>
                <w:i/>
                <w:iCs/>
                <w:u w:val="single"/>
              </w:rPr>
            </w:pPr>
          </w:p>
        </w:tc>
        <w:tc>
          <w:tcPr>
            <w:tcW w:w="2124" w:type="dxa"/>
          </w:tcPr>
          <w:p w14:paraId="34B2129E" w14:textId="39C03622" w:rsidR="00983669" w:rsidRPr="0002766F" w:rsidRDefault="00983669" w:rsidP="00983669">
            <w:r>
              <w:rPr>
                <w:u w:val="single"/>
              </w:rPr>
              <w:t xml:space="preserve">Previous NA/PA/Values progress </w:t>
            </w:r>
            <w:r w:rsidRPr="00D30D8C">
              <w:rPr>
                <w:i/>
                <w:iCs/>
                <w:u w:val="single"/>
              </w:rPr>
              <w:sym w:font="Symbol" w:char="F062"/>
            </w:r>
          </w:p>
        </w:tc>
        <w:tc>
          <w:tcPr>
            <w:tcW w:w="2461" w:type="dxa"/>
          </w:tcPr>
          <w:p w14:paraId="2E811150" w14:textId="1DE97957" w:rsidR="00983669" w:rsidRPr="0002766F" w:rsidRDefault="00983669" w:rsidP="00983669">
            <w:r>
              <w:rPr>
                <w:u w:val="single"/>
              </w:rPr>
              <w:t>Restructuring</w:t>
            </w:r>
            <w:r w:rsidRPr="00D30D8C">
              <w:rPr>
                <w:u w:val="single"/>
              </w:rPr>
              <w:t xml:space="preserve"> </w:t>
            </w:r>
            <w:r w:rsidRPr="00D30D8C">
              <w:rPr>
                <w:i/>
                <w:iCs/>
                <w:u w:val="single"/>
              </w:rPr>
              <w:sym w:font="Symbol" w:char="F062"/>
            </w:r>
          </w:p>
        </w:tc>
        <w:tc>
          <w:tcPr>
            <w:tcW w:w="2498" w:type="dxa"/>
          </w:tcPr>
          <w:p w14:paraId="288202B4" w14:textId="20E0C0EB" w:rsidR="00983669" w:rsidRPr="0002766F" w:rsidRDefault="00983669" w:rsidP="00983669">
            <w:r>
              <w:rPr>
                <w:u w:val="single"/>
              </w:rPr>
              <w:t>Defusion</w:t>
            </w:r>
            <w:r w:rsidRPr="00D30D8C">
              <w:rPr>
                <w:u w:val="single"/>
              </w:rPr>
              <w:t xml:space="preserve"> </w:t>
            </w:r>
            <w:r w:rsidRPr="00D30D8C">
              <w:rPr>
                <w:i/>
                <w:iCs/>
                <w:u w:val="single"/>
              </w:rPr>
              <w:sym w:font="Symbol" w:char="F062"/>
            </w:r>
          </w:p>
        </w:tc>
      </w:tr>
      <w:tr w:rsidR="00983669" w:rsidRPr="0002766F" w14:paraId="2D681756" w14:textId="77777777" w:rsidTr="00CC0CA6">
        <w:trPr>
          <w:trHeight w:val="273"/>
        </w:trPr>
        <w:tc>
          <w:tcPr>
            <w:tcW w:w="2277" w:type="dxa"/>
          </w:tcPr>
          <w:p w14:paraId="28BD89FF" w14:textId="6955C7B1" w:rsidR="00983669" w:rsidRPr="0002766F" w:rsidRDefault="00983669" w:rsidP="00CC0CA6">
            <w:pPr>
              <w:jc w:val="center"/>
            </w:pPr>
            <w:r>
              <w:rPr>
                <w:i/>
                <w:iCs/>
              </w:rPr>
              <w:t>Outcome</w:t>
            </w:r>
          </w:p>
        </w:tc>
        <w:tc>
          <w:tcPr>
            <w:tcW w:w="2124" w:type="dxa"/>
          </w:tcPr>
          <w:p w14:paraId="0A63C3DF" w14:textId="5BC44486" w:rsidR="00983669" w:rsidRDefault="00983669" w:rsidP="00983669"/>
        </w:tc>
        <w:tc>
          <w:tcPr>
            <w:tcW w:w="2461" w:type="dxa"/>
          </w:tcPr>
          <w:p w14:paraId="305DF963" w14:textId="4E1AB9E0" w:rsidR="00983669" w:rsidRPr="0002766F" w:rsidRDefault="00983669" w:rsidP="00983669"/>
        </w:tc>
        <w:tc>
          <w:tcPr>
            <w:tcW w:w="2498" w:type="dxa"/>
          </w:tcPr>
          <w:p w14:paraId="2035075C" w14:textId="4442B4B1" w:rsidR="00983669" w:rsidRDefault="00983669" w:rsidP="00983669"/>
        </w:tc>
      </w:tr>
      <w:tr w:rsidR="00983669" w:rsidRPr="0002766F" w14:paraId="531603BC" w14:textId="77777777" w:rsidTr="00CC0CA6">
        <w:trPr>
          <w:trHeight w:val="289"/>
        </w:trPr>
        <w:tc>
          <w:tcPr>
            <w:tcW w:w="2277" w:type="dxa"/>
          </w:tcPr>
          <w:p w14:paraId="0D53F997" w14:textId="1ADAC6B7" w:rsidR="00983669" w:rsidRPr="0002766F" w:rsidRDefault="00983669" w:rsidP="00983669">
            <w:r>
              <w:t>Lagged NA</w:t>
            </w:r>
          </w:p>
        </w:tc>
        <w:tc>
          <w:tcPr>
            <w:tcW w:w="2124" w:type="dxa"/>
          </w:tcPr>
          <w:p w14:paraId="699AC3EF" w14:textId="6B8786B7" w:rsidR="00983669" w:rsidRDefault="00276DDA" w:rsidP="00983669">
            <w:r>
              <w:t>0.32***</w:t>
            </w:r>
          </w:p>
        </w:tc>
        <w:tc>
          <w:tcPr>
            <w:tcW w:w="2461" w:type="dxa"/>
          </w:tcPr>
          <w:p w14:paraId="715B9CDC" w14:textId="128C81B1" w:rsidR="00983669" w:rsidRPr="0002766F" w:rsidRDefault="00276DDA" w:rsidP="00983669">
            <w:r>
              <w:t>0.00</w:t>
            </w:r>
          </w:p>
        </w:tc>
        <w:tc>
          <w:tcPr>
            <w:tcW w:w="2498" w:type="dxa"/>
          </w:tcPr>
          <w:p w14:paraId="629D997C" w14:textId="6F1A0637" w:rsidR="00983669" w:rsidRPr="0002766F" w:rsidRDefault="00276DDA" w:rsidP="00983669">
            <w:r>
              <w:t>0.05</w:t>
            </w:r>
          </w:p>
        </w:tc>
      </w:tr>
      <w:tr w:rsidR="00983669" w:rsidRPr="0002766F" w14:paraId="2A15BC6C" w14:textId="77777777" w:rsidTr="00CC0CA6">
        <w:trPr>
          <w:trHeight w:val="273"/>
        </w:trPr>
        <w:tc>
          <w:tcPr>
            <w:tcW w:w="2277" w:type="dxa"/>
          </w:tcPr>
          <w:p w14:paraId="0E9A2D66" w14:textId="656B1AE0" w:rsidR="00983669" w:rsidRPr="0002766F" w:rsidRDefault="00983669" w:rsidP="00983669">
            <w:r>
              <w:t>Lagged PA</w:t>
            </w:r>
          </w:p>
        </w:tc>
        <w:tc>
          <w:tcPr>
            <w:tcW w:w="2124" w:type="dxa"/>
          </w:tcPr>
          <w:p w14:paraId="4BCC5D53" w14:textId="0456A82B" w:rsidR="00983669" w:rsidRDefault="00276DDA" w:rsidP="00983669">
            <w:r>
              <w:t>0.25***</w:t>
            </w:r>
          </w:p>
        </w:tc>
        <w:tc>
          <w:tcPr>
            <w:tcW w:w="2461" w:type="dxa"/>
          </w:tcPr>
          <w:p w14:paraId="7A2506A0" w14:textId="499540E4" w:rsidR="00983669" w:rsidRPr="0002766F" w:rsidRDefault="00276DDA" w:rsidP="00983669">
            <w:r>
              <w:t>0.04</w:t>
            </w:r>
          </w:p>
        </w:tc>
        <w:tc>
          <w:tcPr>
            <w:tcW w:w="2498" w:type="dxa"/>
          </w:tcPr>
          <w:p w14:paraId="797C2148" w14:textId="4862B1BF" w:rsidR="00983669" w:rsidRPr="0002766F" w:rsidRDefault="00276DDA" w:rsidP="00983669">
            <w:r>
              <w:t>0.00</w:t>
            </w:r>
          </w:p>
        </w:tc>
      </w:tr>
      <w:tr w:rsidR="00983669" w:rsidRPr="0002766F" w14:paraId="414FCBD1" w14:textId="77777777" w:rsidTr="00CC0CA6">
        <w:trPr>
          <w:trHeight w:val="273"/>
        </w:trPr>
        <w:tc>
          <w:tcPr>
            <w:tcW w:w="2277" w:type="dxa"/>
          </w:tcPr>
          <w:p w14:paraId="7E6D103C" w14:textId="2D4AF149" w:rsidR="00983669" w:rsidRDefault="00983669" w:rsidP="00983669">
            <w:r>
              <w:t>Lagged values progress</w:t>
            </w:r>
          </w:p>
        </w:tc>
        <w:tc>
          <w:tcPr>
            <w:tcW w:w="2124" w:type="dxa"/>
          </w:tcPr>
          <w:p w14:paraId="3914D053" w14:textId="430FBBC2" w:rsidR="00983669" w:rsidRDefault="00276DDA" w:rsidP="00983669">
            <w:r>
              <w:t>0.24***</w:t>
            </w:r>
          </w:p>
        </w:tc>
        <w:tc>
          <w:tcPr>
            <w:tcW w:w="2461" w:type="dxa"/>
          </w:tcPr>
          <w:p w14:paraId="6E88C3CF" w14:textId="057DC26F" w:rsidR="00983669" w:rsidRDefault="00276DDA" w:rsidP="00983669">
            <w:r>
              <w:t>-0.01</w:t>
            </w:r>
          </w:p>
        </w:tc>
        <w:tc>
          <w:tcPr>
            <w:tcW w:w="2498" w:type="dxa"/>
          </w:tcPr>
          <w:p w14:paraId="0FCCDD3B" w14:textId="5FF3B00B" w:rsidR="00983669" w:rsidRDefault="00276DDA" w:rsidP="00983669">
            <w:r>
              <w:t>0.02</w:t>
            </w:r>
          </w:p>
        </w:tc>
      </w:tr>
      <w:tr w:rsidR="00231536" w:rsidRPr="0002766F" w14:paraId="718EEFDC" w14:textId="77777777" w:rsidTr="00CC0CA6">
        <w:trPr>
          <w:trHeight w:val="273"/>
        </w:trPr>
        <w:tc>
          <w:tcPr>
            <w:tcW w:w="2277" w:type="dxa"/>
          </w:tcPr>
          <w:p w14:paraId="40AC28CE" w14:textId="77777777" w:rsidR="00231536" w:rsidRDefault="00231536" w:rsidP="00983669"/>
        </w:tc>
        <w:tc>
          <w:tcPr>
            <w:tcW w:w="7083" w:type="dxa"/>
            <w:gridSpan w:val="3"/>
          </w:tcPr>
          <w:p w14:paraId="3BD4E62C" w14:textId="1F33E513" w:rsidR="00231536" w:rsidRDefault="00231536" w:rsidP="00CC0CA6">
            <w:pPr>
              <w:jc w:val="center"/>
            </w:pPr>
            <w:r>
              <w:t>Low Distress (n = 103)</w:t>
            </w:r>
          </w:p>
        </w:tc>
      </w:tr>
      <w:tr w:rsidR="00983669" w:rsidRPr="0002766F" w14:paraId="3D3E647A" w14:textId="77777777" w:rsidTr="00CC0CA6">
        <w:trPr>
          <w:trHeight w:val="273"/>
        </w:trPr>
        <w:tc>
          <w:tcPr>
            <w:tcW w:w="2277" w:type="dxa"/>
          </w:tcPr>
          <w:p w14:paraId="1394CEE0" w14:textId="77777777" w:rsidR="00983669" w:rsidRDefault="00983669" w:rsidP="00983669"/>
        </w:tc>
        <w:tc>
          <w:tcPr>
            <w:tcW w:w="2124" w:type="dxa"/>
          </w:tcPr>
          <w:p w14:paraId="4ED115E8" w14:textId="572540CC" w:rsidR="00983669" w:rsidRDefault="00983669" w:rsidP="00983669">
            <w:r>
              <w:rPr>
                <w:u w:val="single"/>
              </w:rPr>
              <w:t xml:space="preserve">Previous NA/PA/Values progress </w:t>
            </w:r>
            <w:r w:rsidRPr="00D30D8C">
              <w:rPr>
                <w:i/>
                <w:iCs/>
                <w:u w:val="single"/>
              </w:rPr>
              <w:sym w:font="Symbol" w:char="F062"/>
            </w:r>
          </w:p>
        </w:tc>
        <w:tc>
          <w:tcPr>
            <w:tcW w:w="2461" w:type="dxa"/>
          </w:tcPr>
          <w:p w14:paraId="46423767" w14:textId="4B33BE15" w:rsidR="00983669" w:rsidRDefault="00983669" w:rsidP="00983669">
            <w:r>
              <w:rPr>
                <w:u w:val="single"/>
              </w:rPr>
              <w:t>Restructuring</w:t>
            </w:r>
            <w:r w:rsidRPr="00D30D8C">
              <w:rPr>
                <w:u w:val="single"/>
              </w:rPr>
              <w:t xml:space="preserve"> </w:t>
            </w:r>
            <w:r w:rsidRPr="00D30D8C">
              <w:rPr>
                <w:i/>
                <w:iCs/>
                <w:u w:val="single"/>
              </w:rPr>
              <w:sym w:font="Symbol" w:char="F062"/>
            </w:r>
          </w:p>
        </w:tc>
        <w:tc>
          <w:tcPr>
            <w:tcW w:w="2498" w:type="dxa"/>
          </w:tcPr>
          <w:p w14:paraId="75544740" w14:textId="1B0FFBA8" w:rsidR="00983669" w:rsidRDefault="00983669" w:rsidP="00983669">
            <w:r>
              <w:rPr>
                <w:u w:val="single"/>
              </w:rPr>
              <w:t>Defusion</w:t>
            </w:r>
            <w:r w:rsidRPr="00D30D8C">
              <w:rPr>
                <w:u w:val="single"/>
              </w:rPr>
              <w:t xml:space="preserve"> </w:t>
            </w:r>
            <w:r w:rsidRPr="00D30D8C">
              <w:rPr>
                <w:i/>
                <w:iCs/>
                <w:u w:val="single"/>
              </w:rPr>
              <w:sym w:font="Symbol" w:char="F062"/>
            </w:r>
          </w:p>
        </w:tc>
      </w:tr>
      <w:tr w:rsidR="00983669" w:rsidRPr="0002766F" w14:paraId="6F4D079B" w14:textId="77777777" w:rsidTr="00CC0CA6">
        <w:trPr>
          <w:trHeight w:val="273"/>
        </w:trPr>
        <w:tc>
          <w:tcPr>
            <w:tcW w:w="2277" w:type="dxa"/>
          </w:tcPr>
          <w:p w14:paraId="1DA16A79" w14:textId="4F360F35" w:rsidR="00983669" w:rsidRDefault="00983669" w:rsidP="00CC0CA6">
            <w:pPr>
              <w:jc w:val="center"/>
            </w:pPr>
            <w:r>
              <w:rPr>
                <w:i/>
                <w:iCs/>
              </w:rPr>
              <w:t>Outcome</w:t>
            </w:r>
          </w:p>
        </w:tc>
        <w:tc>
          <w:tcPr>
            <w:tcW w:w="2124" w:type="dxa"/>
          </w:tcPr>
          <w:p w14:paraId="547E68BE" w14:textId="77777777" w:rsidR="00983669" w:rsidRDefault="00983669" w:rsidP="00983669"/>
        </w:tc>
        <w:tc>
          <w:tcPr>
            <w:tcW w:w="2461" w:type="dxa"/>
          </w:tcPr>
          <w:p w14:paraId="10851120" w14:textId="77777777" w:rsidR="00983669" w:rsidRDefault="00983669" w:rsidP="00983669"/>
        </w:tc>
        <w:tc>
          <w:tcPr>
            <w:tcW w:w="2498" w:type="dxa"/>
          </w:tcPr>
          <w:p w14:paraId="5BEEB2C5" w14:textId="77777777" w:rsidR="00983669" w:rsidRDefault="00983669" w:rsidP="00983669"/>
        </w:tc>
      </w:tr>
      <w:tr w:rsidR="00983669" w:rsidRPr="0002766F" w14:paraId="728ECED3" w14:textId="77777777" w:rsidTr="00CC0CA6">
        <w:trPr>
          <w:trHeight w:val="273"/>
        </w:trPr>
        <w:tc>
          <w:tcPr>
            <w:tcW w:w="2277" w:type="dxa"/>
          </w:tcPr>
          <w:p w14:paraId="7929AF8E" w14:textId="67F2406A" w:rsidR="00983669" w:rsidRDefault="00983669" w:rsidP="00983669">
            <w:r>
              <w:t>Lagged NA</w:t>
            </w:r>
          </w:p>
        </w:tc>
        <w:tc>
          <w:tcPr>
            <w:tcW w:w="2124" w:type="dxa"/>
          </w:tcPr>
          <w:p w14:paraId="4F40CA4E" w14:textId="631B4A8F" w:rsidR="00983669" w:rsidRDefault="00352CF0" w:rsidP="00983669">
            <w:r>
              <w:t>0.24***</w:t>
            </w:r>
          </w:p>
        </w:tc>
        <w:tc>
          <w:tcPr>
            <w:tcW w:w="2461" w:type="dxa"/>
          </w:tcPr>
          <w:p w14:paraId="039DE596" w14:textId="63205384" w:rsidR="00983669" w:rsidRDefault="00352CF0" w:rsidP="00983669">
            <w:r>
              <w:t>-0.01</w:t>
            </w:r>
          </w:p>
        </w:tc>
        <w:tc>
          <w:tcPr>
            <w:tcW w:w="2498" w:type="dxa"/>
          </w:tcPr>
          <w:p w14:paraId="5B7D5766" w14:textId="0BF8FB3F" w:rsidR="00983669" w:rsidRDefault="00352CF0" w:rsidP="00983669">
            <w:r>
              <w:t>0.00</w:t>
            </w:r>
          </w:p>
        </w:tc>
      </w:tr>
      <w:tr w:rsidR="00983669" w:rsidRPr="0002766F" w14:paraId="4E2968C1" w14:textId="77777777" w:rsidTr="00CC0CA6">
        <w:trPr>
          <w:trHeight w:val="273"/>
        </w:trPr>
        <w:tc>
          <w:tcPr>
            <w:tcW w:w="2277" w:type="dxa"/>
          </w:tcPr>
          <w:p w14:paraId="6BA16EA2" w14:textId="508EBCCE" w:rsidR="00983669" w:rsidRDefault="00983669" w:rsidP="00983669">
            <w:r>
              <w:t>Lagged PA</w:t>
            </w:r>
          </w:p>
        </w:tc>
        <w:tc>
          <w:tcPr>
            <w:tcW w:w="2124" w:type="dxa"/>
          </w:tcPr>
          <w:p w14:paraId="2B1E31F7" w14:textId="0C8C13A4" w:rsidR="00983669" w:rsidRDefault="00352CF0" w:rsidP="00983669">
            <w:r>
              <w:t>0.25***</w:t>
            </w:r>
          </w:p>
        </w:tc>
        <w:tc>
          <w:tcPr>
            <w:tcW w:w="2461" w:type="dxa"/>
          </w:tcPr>
          <w:p w14:paraId="406FA6F9" w14:textId="56C04DBD" w:rsidR="00983669" w:rsidRDefault="00352CF0" w:rsidP="00983669">
            <w:r>
              <w:t>0.02</w:t>
            </w:r>
          </w:p>
        </w:tc>
        <w:tc>
          <w:tcPr>
            <w:tcW w:w="2498" w:type="dxa"/>
          </w:tcPr>
          <w:p w14:paraId="16657AEC" w14:textId="3F7F9AFC" w:rsidR="00983669" w:rsidRDefault="00352CF0" w:rsidP="00983669">
            <w:r>
              <w:t>0.05</w:t>
            </w:r>
          </w:p>
        </w:tc>
      </w:tr>
      <w:tr w:rsidR="00983669" w:rsidRPr="0002766F" w14:paraId="54E718B8" w14:textId="77777777" w:rsidTr="00CC0CA6">
        <w:trPr>
          <w:trHeight w:val="273"/>
        </w:trPr>
        <w:tc>
          <w:tcPr>
            <w:tcW w:w="2277" w:type="dxa"/>
          </w:tcPr>
          <w:p w14:paraId="1D8CCE04" w14:textId="2A00BC9F" w:rsidR="00983669" w:rsidRDefault="00983669" w:rsidP="00983669">
            <w:r>
              <w:t>Lagged values progress</w:t>
            </w:r>
          </w:p>
        </w:tc>
        <w:tc>
          <w:tcPr>
            <w:tcW w:w="2124" w:type="dxa"/>
          </w:tcPr>
          <w:p w14:paraId="3DC83FED" w14:textId="246E1412" w:rsidR="00983669" w:rsidRDefault="00352CF0" w:rsidP="00983669">
            <w:r>
              <w:t>0.13</w:t>
            </w:r>
          </w:p>
        </w:tc>
        <w:tc>
          <w:tcPr>
            <w:tcW w:w="2461" w:type="dxa"/>
          </w:tcPr>
          <w:p w14:paraId="46494415" w14:textId="0F512496" w:rsidR="00983669" w:rsidRDefault="00352CF0" w:rsidP="00983669">
            <w:r>
              <w:t>-0.03</w:t>
            </w:r>
          </w:p>
        </w:tc>
        <w:tc>
          <w:tcPr>
            <w:tcW w:w="2498" w:type="dxa"/>
          </w:tcPr>
          <w:p w14:paraId="03C5C36F" w14:textId="53CC2AA1" w:rsidR="00983669" w:rsidRDefault="00352CF0" w:rsidP="00983669">
            <w:r>
              <w:t>0.08*</w:t>
            </w:r>
          </w:p>
        </w:tc>
      </w:tr>
    </w:tbl>
    <w:p w14:paraId="1EEA390D" w14:textId="77777777" w:rsidR="00060315" w:rsidRDefault="00060315" w:rsidP="00060315">
      <w:r>
        <w:rPr>
          <w:i/>
          <w:iCs/>
        </w:rPr>
        <w:t>Note</w:t>
      </w:r>
      <w:r>
        <w:t>. ***</w:t>
      </w:r>
      <w:r>
        <w:rPr>
          <w:i/>
          <w:iCs/>
        </w:rPr>
        <w:t>p</w:t>
      </w:r>
      <w:r>
        <w:t xml:space="preserve"> &lt; .001, **</w:t>
      </w:r>
      <w:r>
        <w:rPr>
          <w:i/>
          <w:iCs/>
        </w:rPr>
        <w:t>p</w:t>
      </w:r>
      <w:r>
        <w:t xml:space="preserve"> &lt; .01, *</w:t>
      </w:r>
      <w:r>
        <w:rPr>
          <w:i/>
          <w:iCs/>
        </w:rPr>
        <w:t xml:space="preserve">p </w:t>
      </w:r>
      <w:r>
        <w:t>&lt; .05.</w:t>
      </w:r>
    </w:p>
    <w:p w14:paraId="66BFD6C0" w14:textId="3D4E9841" w:rsidR="00060315" w:rsidRPr="00943127" w:rsidRDefault="00060315" w:rsidP="00060315"/>
    <w:sectPr w:rsidR="00060315" w:rsidRPr="00943127" w:rsidSect="00F24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9921B" w14:textId="77777777" w:rsidR="00BB2801" w:rsidRDefault="00BB2801">
      <w:r>
        <w:separator/>
      </w:r>
    </w:p>
  </w:endnote>
  <w:endnote w:type="continuationSeparator" w:id="0">
    <w:p w14:paraId="2D3484FA" w14:textId="77777777" w:rsidR="00BB2801" w:rsidRDefault="00BB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0358" w14:textId="77777777" w:rsidR="00BB2801" w:rsidRDefault="00BB2801">
      <w:r>
        <w:separator/>
      </w:r>
    </w:p>
  </w:footnote>
  <w:footnote w:type="continuationSeparator" w:id="0">
    <w:p w14:paraId="2FC6837A" w14:textId="77777777" w:rsidR="00BB2801" w:rsidRDefault="00BB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3179107"/>
      <w:docPartObj>
        <w:docPartGallery w:val="Page Numbers (Top of Page)"/>
        <w:docPartUnique/>
      </w:docPartObj>
    </w:sdtPr>
    <w:sdtContent>
      <w:p w14:paraId="3E04456F" w14:textId="77777777" w:rsidR="00661610" w:rsidRDefault="00661610" w:rsidP="00226F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891A9" w14:textId="77777777" w:rsidR="00661610" w:rsidRDefault="00661610" w:rsidP="00226F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7887456"/>
      <w:docPartObj>
        <w:docPartGallery w:val="Page Numbers (Top of Page)"/>
        <w:docPartUnique/>
      </w:docPartObj>
    </w:sdtPr>
    <w:sdtContent>
      <w:p w14:paraId="1D7A364B" w14:textId="77777777" w:rsidR="00661610" w:rsidRDefault="00661610" w:rsidP="00226FC5">
        <w:pPr>
          <w:pStyle w:val="Header"/>
          <w:framePr w:wrap="none" w:vAnchor="text" w:hAnchor="margin" w:xAlign="right" w:y="1"/>
          <w:rPr>
            <w:rStyle w:val="PageNumber"/>
          </w:rPr>
        </w:pPr>
        <w:r w:rsidRPr="0002766F">
          <w:rPr>
            <w:rStyle w:val="PageNumber"/>
            <w:rFonts w:ascii="Times New Roman" w:hAnsi="Times New Roman" w:cs="Times New Roman"/>
          </w:rPr>
          <w:fldChar w:fldCharType="begin"/>
        </w:r>
        <w:r w:rsidRPr="007407CD">
          <w:rPr>
            <w:rStyle w:val="PageNumber"/>
            <w:rFonts w:ascii="Times New Roman" w:hAnsi="Times New Roman" w:cs="Times New Roman"/>
          </w:rPr>
          <w:instrText xml:space="preserve"> PAGE </w:instrText>
        </w:r>
        <w:r w:rsidRPr="0002766F">
          <w:rPr>
            <w:rStyle w:val="PageNumber"/>
            <w:rFonts w:ascii="Times New Roman" w:hAnsi="Times New Roman" w:cs="Times New Roman"/>
          </w:rPr>
          <w:fldChar w:fldCharType="separate"/>
        </w:r>
        <w:r>
          <w:rPr>
            <w:rStyle w:val="PageNumber"/>
            <w:rFonts w:ascii="Times New Roman" w:hAnsi="Times New Roman" w:cs="Times New Roman"/>
            <w:noProof/>
          </w:rPr>
          <w:t>33</w:t>
        </w:r>
        <w:r w:rsidRPr="0002766F">
          <w:rPr>
            <w:rStyle w:val="PageNumber"/>
            <w:rFonts w:ascii="Times New Roman" w:hAnsi="Times New Roman" w:cs="Times New Roman"/>
          </w:rPr>
          <w:fldChar w:fldCharType="end"/>
        </w:r>
      </w:p>
    </w:sdtContent>
  </w:sdt>
  <w:p w14:paraId="74819995" w14:textId="77777777" w:rsidR="00661610" w:rsidRPr="0002766F" w:rsidRDefault="00661610" w:rsidP="00293A2C">
    <w:pPr>
      <w:pStyle w:val="Header"/>
      <w:tabs>
        <w:tab w:val="left" w:pos="224"/>
      </w:tabs>
      <w:ind w:right="360"/>
      <w:rPr>
        <w:rFonts w:ascii="Times New Roman" w:hAnsi="Times New Roman" w:cs="Times New Roman"/>
      </w:rPr>
    </w:pPr>
    <w:r>
      <w:rPr>
        <w:rFonts w:ascii="Times New Roman" w:hAnsi="Times New Roman" w:cs="Times New Roman"/>
      </w:rPr>
      <w:t>EFFECTS OF RESTRUCTURING AND DEFUSION IN DAILY LIFE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9623955"/>
      <w:docPartObj>
        <w:docPartGallery w:val="Page Numbers (Top of Page)"/>
        <w:docPartUnique/>
      </w:docPartObj>
    </w:sdtPr>
    <w:sdtContent>
      <w:p w14:paraId="04D52B5A" w14:textId="77777777" w:rsidR="00661610" w:rsidRDefault="00661610" w:rsidP="00226FC5">
        <w:pPr>
          <w:pStyle w:val="Header"/>
          <w:framePr w:wrap="none" w:vAnchor="text" w:hAnchor="margin" w:xAlign="right" w:y="1"/>
          <w:rPr>
            <w:rStyle w:val="PageNumber"/>
          </w:rPr>
        </w:pPr>
        <w:r w:rsidRPr="00C87A11">
          <w:rPr>
            <w:rStyle w:val="PageNumber"/>
            <w:rFonts w:ascii="Times New Roman" w:hAnsi="Times New Roman" w:cs="Times New Roman"/>
          </w:rPr>
          <w:fldChar w:fldCharType="begin"/>
        </w:r>
        <w:r w:rsidRPr="00C87A11">
          <w:rPr>
            <w:rStyle w:val="PageNumber"/>
            <w:rFonts w:ascii="Times New Roman" w:hAnsi="Times New Roman" w:cs="Times New Roman"/>
          </w:rPr>
          <w:instrText xml:space="preserve"> PAGE </w:instrText>
        </w:r>
        <w:r w:rsidRPr="00C87A11">
          <w:rPr>
            <w:rStyle w:val="PageNumber"/>
            <w:rFonts w:ascii="Times New Roman" w:hAnsi="Times New Roman" w:cs="Times New Roman"/>
          </w:rPr>
          <w:fldChar w:fldCharType="separate"/>
        </w:r>
        <w:r>
          <w:rPr>
            <w:rStyle w:val="PageNumber"/>
            <w:rFonts w:ascii="Times New Roman" w:hAnsi="Times New Roman" w:cs="Times New Roman"/>
            <w:noProof/>
          </w:rPr>
          <w:t>1</w:t>
        </w:r>
        <w:r w:rsidRPr="00C87A11">
          <w:rPr>
            <w:rStyle w:val="PageNumber"/>
            <w:rFonts w:ascii="Times New Roman" w:hAnsi="Times New Roman" w:cs="Times New Roman"/>
          </w:rPr>
          <w:fldChar w:fldCharType="end"/>
        </w:r>
      </w:p>
    </w:sdtContent>
  </w:sdt>
  <w:p w14:paraId="00ECDA7D" w14:textId="3520565F" w:rsidR="00661610" w:rsidRPr="00C87A11" w:rsidRDefault="00661610" w:rsidP="00226FC5">
    <w:pPr>
      <w:pStyle w:val="Header"/>
      <w:ind w:right="360"/>
      <w:rPr>
        <w:rFonts w:ascii="Times New Roman" w:hAnsi="Times New Roman" w:cs="Times New Roman"/>
      </w:rPr>
    </w:pPr>
    <w:r>
      <w:rPr>
        <w:rFonts w:ascii="Times New Roman" w:hAnsi="Times New Roman" w:cs="Times New Roman"/>
      </w:rPr>
      <w:t>EFFECTS OF RESTRUCTURING AND DEFUSION IN DAILY LIFE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1545321"/>
      <w:docPartObj>
        <w:docPartGallery w:val="Page Numbers (Top of Page)"/>
        <w:docPartUnique/>
      </w:docPartObj>
    </w:sdtPr>
    <w:sdtContent>
      <w:p w14:paraId="6043CECA" w14:textId="77777777" w:rsidR="00661610" w:rsidRDefault="00661610" w:rsidP="00226F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106C2" w14:textId="77777777" w:rsidR="00661610" w:rsidRDefault="00661610" w:rsidP="00226FC5">
    <w:pPr>
      <w:pStyle w:val="Header"/>
      <w:ind w:right="360"/>
    </w:pPr>
  </w:p>
  <w:p w14:paraId="7A80107F" w14:textId="77777777" w:rsidR="00661610" w:rsidRDefault="006616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4083079"/>
      <w:docPartObj>
        <w:docPartGallery w:val="Page Numbers (Top of Page)"/>
        <w:docPartUnique/>
      </w:docPartObj>
    </w:sdtPr>
    <w:sdtContent>
      <w:p w14:paraId="59E3F60B" w14:textId="77777777" w:rsidR="00661610" w:rsidRDefault="00661610" w:rsidP="00226FC5">
        <w:pPr>
          <w:pStyle w:val="Header"/>
          <w:framePr w:wrap="none" w:vAnchor="text" w:hAnchor="margin" w:xAlign="right" w:y="1"/>
          <w:rPr>
            <w:rStyle w:val="PageNumber"/>
          </w:rPr>
        </w:pPr>
        <w:r w:rsidRPr="0002766F">
          <w:rPr>
            <w:rStyle w:val="PageNumber"/>
            <w:rFonts w:ascii="Times New Roman" w:hAnsi="Times New Roman" w:cs="Times New Roman"/>
          </w:rPr>
          <w:fldChar w:fldCharType="begin"/>
        </w:r>
        <w:r w:rsidRPr="007407CD">
          <w:rPr>
            <w:rStyle w:val="PageNumber"/>
            <w:rFonts w:ascii="Times New Roman" w:hAnsi="Times New Roman" w:cs="Times New Roman"/>
          </w:rPr>
          <w:instrText xml:space="preserve"> PAGE </w:instrText>
        </w:r>
        <w:r w:rsidRPr="0002766F">
          <w:rPr>
            <w:rStyle w:val="PageNumber"/>
            <w:rFonts w:ascii="Times New Roman" w:hAnsi="Times New Roman" w:cs="Times New Roman"/>
          </w:rPr>
          <w:fldChar w:fldCharType="separate"/>
        </w:r>
        <w:r>
          <w:rPr>
            <w:rStyle w:val="PageNumber"/>
            <w:rFonts w:ascii="Times New Roman" w:hAnsi="Times New Roman" w:cs="Times New Roman"/>
            <w:noProof/>
          </w:rPr>
          <w:t>33</w:t>
        </w:r>
        <w:r w:rsidRPr="0002766F">
          <w:rPr>
            <w:rStyle w:val="PageNumber"/>
            <w:rFonts w:ascii="Times New Roman" w:hAnsi="Times New Roman" w:cs="Times New Roman"/>
          </w:rPr>
          <w:fldChar w:fldCharType="end"/>
        </w:r>
      </w:p>
    </w:sdtContent>
  </w:sdt>
  <w:p w14:paraId="00CB4D95" w14:textId="61E8A1AF" w:rsidR="00661610" w:rsidRPr="0002766F" w:rsidRDefault="00661610" w:rsidP="00293A2C">
    <w:pPr>
      <w:pStyle w:val="Header"/>
      <w:tabs>
        <w:tab w:val="left" w:pos="224"/>
      </w:tabs>
      <w:ind w:right="360"/>
      <w:rPr>
        <w:rFonts w:ascii="Times New Roman" w:hAnsi="Times New Roman" w:cs="Times New Roman"/>
      </w:rPr>
    </w:pPr>
    <w:r>
      <w:rPr>
        <w:rFonts w:ascii="Times New Roman" w:hAnsi="Times New Roman" w:cs="Times New Roman"/>
      </w:rPr>
      <w:t>EFFECTS OF RESTRUCTURING AND DEFUSION IN DAILY LIFE</w:t>
    </w:r>
  </w:p>
  <w:p w14:paraId="78503E0C" w14:textId="77777777" w:rsidR="00661610" w:rsidRDefault="006616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9532151"/>
      <w:docPartObj>
        <w:docPartGallery w:val="Page Numbers (Top of Page)"/>
        <w:docPartUnique/>
      </w:docPartObj>
    </w:sdtPr>
    <w:sdtContent>
      <w:p w14:paraId="541DEEF5" w14:textId="77777777" w:rsidR="00661610" w:rsidRDefault="00661610" w:rsidP="00226FC5">
        <w:pPr>
          <w:pStyle w:val="Header"/>
          <w:framePr w:wrap="none" w:vAnchor="text" w:hAnchor="margin" w:xAlign="right" w:y="1"/>
          <w:rPr>
            <w:rStyle w:val="PageNumber"/>
          </w:rPr>
        </w:pPr>
        <w:r w:rsidRPr="00C87A11">
          <w:rPr>
            <w:rStyle w:val="PageNumber"/>
            <w:rFonts w:ascii="Times New Roman" w:hAnsi="Times New Roman" w:cs="Times New Roman"/>
          </w:rPr>
          <w:fldChar w:fldCharType="begin"/>
        </w:r>
        <w:r w:rsidRPr="00C87A11">
          <w:rPr>
            <w:rStyle w:val="PageNumber"/>
            <w:rFonts w:ascii="Times New Roman" w:hAnsi="Times New Roman" w:cs="Times New Roman"/>
          </w:rPr>
          <w:instrText xml:space="preserve"> PAGE </w:instrText>
        </w:r>
        <w:r w:rsidRPr="00C87A11">
          <w:rPr>
            <w:rStyle w:val="PageNumber"/>
            <w:rFonts w:ascii="Times New Roman" w:hAnsi="Times New Roman" w:cs="Times New Roman"/>
          </w:rPr>
          <w:fldChar w:fldCharType="separate"/>
        </w:r>
        <w:r>
          <w:rPr>
            <w:rStyle w:val="PageNumber"/>
            <w:rFonts w:ascii="Times New Roman" w:hAnsi="Times New Roman" w:cs="Times New Roman"/>
            <w:noProof/>
          </w:rPr>
          <w:t>1</w:t>
        </w:r>
        <w:r w:rsidRPr="00C87A11">
          <w:rPr>
            <w:rStyle w:val="PageNumber"/>
            <w:rFonts w:ascii="Times New Roman" w:hAnsi="Times New Roman" w:cs="Times New Roman"/>
          </w:rPr>
          <w:fldChar w:fldCharType="end"/>
        </w:r>
      </w:p>
    </w:sdtContent>
  </w:sdt>
  <w:p w14:paraId="1B64FD98" w14:textId="7177A4A4" w:rsidR="00661610" w:rsidRPr="00C87A11" w:rsidRDefault="00661610" w:rsidP="00226FC5">
    <w:pPr>
      <w:pStyle w:val="Header"/>
      <w:ind w:right="360"/>
      <w:rPr>
        <w:rFonts w:ascii="Times New Roman" w:hAnsi="Times New Roman" w:cs="Times New Roman"/>
      </w:rPr>
    </w:pPr>
    <w:r>
      <w:rPr>
        <w:rFonts w:ascii="Times New Roman" w:hAnsi="Times New Roman" w:cs="Times New Roman"/>
      </w:rPr>
      <w:t>Running head: EFFECTS OF RESTRUCTURING AND DEFUSION IN DAILY LIFE</w:t>
    </w:r>
  </w:p>
  <w:p w14:paraId="57E51905" w14:textId="77777777" w:rsidR="00661610" w:rsidRDefault="006616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5863"/>
    <w:multiLevelType w:val="hybridMultilevel"/>
    <w:tmpl w:val="2E6677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43F6AB8"/>
    <w:multiLevelType w:val="hybridMultilevel"/>
    <w:tmpl w:val="B48CF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251C2"/>
    <w:multiLevelType w:val="hybridMultilevel"/>
    <w:tmpl w:val="9AC4F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F15D1A"/>
    <w:multiLevelType w:val="hybridMultilevel"/>
    <w:tmpl w:val="06A8C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363A8"/>
    <w:multiLevelType w:val="hybridMultilevel"/>
    <w:tmpl w:val="E956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83071"/>
    <w:multiLevelType w:val="hybridMultilevel"/>
    <w:tmpl w:val="C986ABDC"/>
    <w:lvl w:ilvl="0" w:tplc="749601C2">
      <w:start w:val="3200"/>
      <w:numFmt w:val="bullet"/>
      <w:lvlText w:val="-"/>
      <w:lvlJc w:val="left"/>
      <w:pPr>
        <w:ind w:left="520" w:hanging="360"/>
      </w:pPr>
      <w:rPr>
        <w:rFonts w:ascii="Arial" w:eastAsia="Calibri" w:hAnsi="Arial" w:cs="Arial" w:hint="default"/>
        <w:sz w:val="20"/>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7CAE03D0"/>
    <w:multiLevelType w:val="hybridMultilevel"/>
    <w:tmpl w:val="D69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09rsxn55at1e0ft2xdee500prdssrfv0r&quot;&gt;library_kklimczak&lt;record-ids&gt;&lt;item&gt;110&lt;/item&gt;&lt;item&gt;111&lt;/item&gt;&lt;item&gt;112&lt;/item&gt;&lt;item&gt;113&lt;/item&gt;&lt;item&gt;114&lt;/item&gt;&lt;item&gt;115&lt;/item&gt;&lt;item&gt;116&lt;/item&gt;&lt;item&gt;117&lt;/item&gt;&lt;/record-ids&gt;&lt;/item&gt;&lt;/Libraries&gt;"/>
  </w:docVars>
  <w:rsids>
    <w:rsidRoot w:val="00BC65A8"/>
    <w:rsid w:val="00002D6B"/>
    <w:rsid w:val="000042D5"/>
    <w:rsid w:val="00004E97"/>
    <w:rsid w:val="00005D00"/>
    <w:rsid w:val="00005F8F"/>
    <w:rsid w:val="000076DA"/>
    <w:rsid w:val="00015A9C"/>
    <w:rsid w:val="00017076"/>
    <w:rsid w:val="00017A1A"/>
    <w:rsid w:val="00022C38"/>
    <w:rsid w:val="000255FB"/>
    <w:rsid w:val="000341ED"/>
    <w:rsid w:val="00034896"/>
    <w:rsid w:val="00037117"/>
    <w:rsid w:val="00037BAD"/>
    <w:rsid w:val="00040E2D"/>
    <w:rsid w:val="00042CD3"/>
    <w:rsid w:val="00044DDB"/>
    <w:rsid w:val="00045025"/>
    <w:rsid w:val="000459E0"/>
    <w:rsid w:val="000568B6"/>
    <w:rsid w:val="00060080"/>
    <w:rsid w:val="00060315"/>
    <w:rsid w:val="000637E9"/>
    <w:rsid w:val="00064857"/>
    <w:rsid w:val="000665F2"/>
    <w:rsid w:val="00073F94"/>
    <w:rsid w:val="0007461A"/>
    <w:rsid w:val="00074816"/>
    <w:rsid w:val="00074A83"/>
    <w:rsid w:val="00076EA4"/>
    <w:rsid w:val="00081461"/>
    <w:rsid w:val="000830FB"/>
    <w:rsid w:val="00090D2F"/>
    <w:rsid w:val="000913D2"/>
    <w:rsid w:val="00093FA1"/>
    <w:rsid w:val="00094597"/>
    <w:rsid w:val="000972A0"/>
    <w:rsid w:val="000975B8"/>
    <w:rsid w:val="000A4E85"/>
    <w:rsid w:val="000A58C2"/>
    <w:rsid w:val="000A6718"/>
    <w:rsid w:val="000A7551"/>
    <w:rsid w:val="000B6467"/>
    <w:rsid w:val="000B7E15"/>
    <w:rsid w:val="000C1606"/>
    <w:rsid w:val="000C416C"/>
    <w:rsid w:val="000C4911"/>
    <w:rsid w:val="000C4FE5"/>
    <w:rsid w:val="000D197D"/>
    <w:rsid w:val="000D6B2B"/>
    <w:rsid w:val="000D7944"/>
    <w:rsid w:val="000E1F5F"/>
    <w:rsid w:val="000E35DB"/>
    <w:rsid w:val="000E6E8E"/>
    <w:rsid w:val="000F1BDC"/>
    <w:rsid w:val="000F559F"/>
    <w:rsid w:val="001000C2"/>
    <w:rsid w:val="00104100"/>
    <w:rsid w:val="00105E6B"/>
    <w:rsid w:val="00106F21"/>
    <w:rsid w:val="0010749B"/>
    <w:rsid w:val="0011302E"/>
    <w:rsid w:val="00113C14"/>
    <w:rsid w:val="00116769"/>
    <w:rsid w:val="00124FB0"/>
    <w:rsid w:val="00130D97"/>
    <w:rsid w:val="00130E90"/>
    <w:rsid w:val="0013422B"/>
    <w:rsid w:val="001376E6"/>
    <w:rsid w:val="00154261"/>
    <w:rsid w:val="00156FED"/>
    <w:rsid w:val="001677CD"/>
    <w:rsid w:val="00172358"/>
    <w:rsid w:val="001807ED"/>
    <w:rsid w:val="00190CB8"/>
    <w:rsid w:val="00195A65"/>
    <w:rsid w:val="00196182"/>
    <w:rsid w:val="001966E7"/>
    <w:rsid w:val="001A0653"/>
    <w:rsid w:val="001A0B59"/>
    <w:rsid w:val="001B1741"/>
    <w:rsid w:val="001B317E"/>
    <w:rsid w:val="001B68D9"/>
    <w:rsid w:val="001B7DFF"/>
    <w:rsid w:val="001C508F"/>
    <w:rsid w:val="001C7009"/>
    <w:rsid w:val="001C77A6"/>
    <w:rsid w:val="001D17CB"/>
    <w:rsid w:val="001D3005"/>
    <w:rsid w:val="001D411E"/>
    <w:rsid w:val="001D57F0"/>
    <w:rsid w:val="001D680F"/>
    <w:rsid w:val="001E6CD8"/>
    <w:rsid w:val="001F4885"/>
    <w:rsid w:val="001F603E"/>
    <w:rsid w:val="001F64DB"/>
    <w:rsid w:val="0020045A"/>
    <w:rsid w:val="002023A8"/>
    <w:rsid w:val="00203584"/>
    <w:rsid w:val="002138BF"/>
    <w:rsid w:val="0021678D"/>
    <w:rsid w:val="0022213A"/>
    <w:rsid w:val="00224DE9"/>
    <w:rsid w:val="00226FC5"/>
    <w:rsid w:val="0022704E"/>
    <w:rsid w:val="00231536"/>
    <w:rsid w:val="00231C7F"/>
    <w:rsid w:val="00231C93"/>
    <w:rsid w:val="00231FCB"/>
    <w:rsid w:val="0023520A"/>
    <w:rsid w:val="002364D0"/>
    <w:rsid w:val="00237557"/>
    <w:rsid w:val="0024049B"/>
    <w:rsid w:val="00241D28"/>
    <w:rsid w:val="002426C7"/>
    <w:rsid w:val="00242A24"/>
    <w:rsid w:val="00244F12"/>
    <w:rsid w:val="0024743C"/>
    <w:rsid w:val="00250777"/>
    <w:rsid w:val="0025127C"/>
    <w:rsid w:val="00251CBB"/>
    <w:rsid w:val="00251D1B"/>
    <w:rsid w:val="0025554D"/>
    <w:rsid w:val="002633BC"/>
    <w:rsid w:val="00267402"/>
    <w:rsid w:val="00274DC0"/>
    <w:rsid w:val="00276DDA"/>
    <w:rsid w:val="00280054"/>
    <w:rsid w:val="00283A15"/>
    <w:rsid w:val="002845E5"/>
    <w:rsid w:val="00285212"/>
    <w:rsid w:val="00293A2C"/>
    <w:rsid w:val="0029504C"/>
    <w:rsid w:val="002A047B"/>
    <w:rsid w:val="002A2331"/>
    <w:rsid w:val="002A2876"/>
    <w:rsid w:val="002A614F"/>
    <w:rsid w:val="002B1713"/>
    <w:rsid w:val="002B3E83"/>
    <w:rsid w:val="002B42B2"/>
    <w:rsid w:val="002B4910"/>
    <w:rsid w:val="002C00BE"/>
    <w:rsid w:val="002C06B6"/>
    <w:rsid w:val="002C0D23"/>
    <w:rsid w:val="002C776D"/>
    <w:rsid w:val="002D15E5"/>
    <w:rsid w:val="002D2026"/>
    <w:rsid w:val="002D5BD7"/>
    <w:rsid w:val="002E1145"/>
    <w:rsid w:val="002E59F2"/>
    <w:rsid w:val="002F12F3"/>
    <w:rsid w:val="002F24C1"/>
    <w:rsid w:val="00300567"/>
    <w:rsid w:val="0030067D"/>
    <w:rsid w:val="00300B7D"/>
    <w:rsid w:val="00301384"/>
    <w:rsid w:val="003023C5"/>
    <w:rsid w:val="00303D6D"/>
    <w:rsid w:val="003043A3"/>
    <w:rsid w:val="0030466E"/>
    <w:rsid w:val="003102E8"/>
    <w:rsid w:val="0031058E"/>
    <w:rsid w:val="00312C41"/>
    <w:rsid w:val="00320CA8"/>
    <w:rsid w:val="00321F7F"/>
    <w:rsid w:val="0033290D"/>
    <w:rsid w:val="00332972"/>
    <w:rsid w:val="00337F3C"/>
    <w:rsid w:val="00342A2C"/>
    <w:rsid w:val="00344A8C"/>
    <w:rsid w:val="0034583E"/>
    <w:rsid w:val="00345CF5"/>
    <w:rsid w:val="003475BD"/>
    <w:rsid w:val="00352CF0"/>
    <w:rsid w:val="00353475"/>
    <w:rsid w:val="00355A17"/>
    <w:rsid w:val="00357E9A"/>
    <w:rsid w:val="00366857"/>
    <w:rsid w:val="00370223"/>
    <w:rsid w:val="00371D84"/>
    <w:rsid w:val="0037204A"/>
    <w:rsid w:val="003723B3"/>
    <w:rsid w:val="00373BA5"/>
    <w:rsid w:val="00375072"/>
    <w:rsid w:val="00380370"/>
    <w:rsid w:val="003831EE"/>
    <w:rsid w:val="003925AE"/>
    <w:rsid w:val="00393B91"/>
    <w:rsid w:val="00394318"/>
    <w:rsid w:val="003970A8"/>
    <w:rsid w:val="003A121B"/>
    <w:rsid w:val="003A5EC3"/>
    <w:rsid w:val="003A6CE7"/>
    <w:rsid w:val="003B1818"/>
    <w:rsid w:val="003B6C82"/>
    <w:rsid w:val="003C17EC"/>
    <w:rsid w:val="003C75B4"/>
    <w:rsid w:val="003D0556"/>
    <w:rsid w:val="003D640E"/>
    <w:rsid w:val="003E0D1F"/>
    <w:rsid w:val="003F167D"/>
    <w:rsid w:val="003F3F40"/>
    <w:rsid w:val="003F58A5"/>
    <w:rsid w:val="00402A15"/>
    <w:rsid w:val="00404B40"/>
    <w:rsid w:val="004054AA"/>
    <w:rsid w:val="004136A6"/>
    <w:rsid w:val="00415620"/>
    <w:rsid w:val="004220F2"/>
    <w:rsid w:val="00424E65"/>
    <w:rsid w:val="00426388"/>
    <w:rsid w:val="00433BF4"/>
    <w:rsid w:val="004401B0"/>
    <w:rsid w:val="004430BB"/>
    <w:rsid w:val="00446011"/>
    <w:rsid w:val="00456B00"/>
    <w:rsid w:val="00462F07"/>
    <w:rsid w:val="00466361"/>
    <w:rsid w:val="00467AFF"/>
    <w:rsid w:val="00471BFE"/>
    <w:rsid w:val="0047343C"/>
    <w:rsid w:val="00474DB8"/>
    <w:rsid w:val="00476839"/>
    <w:rsid w:val="004768A9"/>
    <w:rsid w:val="00481484"/>
    <w:rsid w:val="004818AF"/>
    <w:rsid w:val="00481FB0"/>
    <w:rsid w:val="004830AE"/>
    <w:rsid w:val="00483E0C"/>
    <w:rsid w:val="004851C7"/>
    <w:rsid w:val="00486657"/>
    <w:rsid w:val="00491510"/>
    <w:rsid w:val="00491B08"/>
    <w:rsid w:val="004924ED"/>
    <w:rsid w:val="004925FD"/>
    <w:rsid w:val="004A0311"/>
    <w:rsid w:val="004A14BF"/>
    <w:rsid w:val="004A1BF3"/>
    <w:rsid w:val="004A433F"/>
    <w:rsid w:val="004B0919"/>
    <w:rsid w:val="004B372A"/>
    <w:rsid w:val="004B3809"/>
    <w:rsid w:val="004C667B"/>
    <w:rsid w:val="004C688F"/>
    <w:rsid w:val="004D1D65"/>
    <w:rsid w:val="004D4EF6"/>
    <w:rsid w:val="004D5337"/>
    <w:rsid w:val="004D7B3B"/>
    <w:rsid w:val="004F12E9"/>
    <w:rsid w:val="004F3D81"/>
    <w:rsid w:val="004F443B"/>
    <w:rsid w:val="00502F09"/>
    <w:rsid w:val="00504EA3"/>
    <w:rsid w:val="00506D87"/>
    <w:rsid w:val="005119D8"/>
    <w:rsid w:val="005156BF"/>
    <w:rsid w:val="00524FFF"/>
    <w:rsid w:val="00527205"/>
    <w:rsid w:val="005272BC"/>
    <w:rsid w:val="005337B9"/>
    <w:rsid w:val="00533E81"/>
    <w:rsid w:val="005423F4"/>
    <w:rsid w:val="00553946"/>
    <w:rsid w:val="00555EF7"/>
    <w:rsid w:val="0055738A"/>
    <w:rsid w:val="005615FB"/>
    <w:rsid w:val="005663AE"/>
    <w:rsid w:val="00566A37"/>
    <w:rsid w:val="00574485"/>
    <w:rsid w:val="00575078"/>
    <w:rsid w:val="00575A34"/>
    <w:rsid w:val="00582209"/>
    <w:rsid w:val="00582B38"/>
    <w:rsid w:val="00584E30"/>
    <w:rsid w:val="00585B04"/>
    <w:rsid w:val="00592EA9"/>
    <w:rsid w:val="005963BF"/>
    <w:rsid w:val="00596FC0"/>
    <w:rsid w:val="00597A1D"/>
    <w:rsid w:val="005A19F5"/>
    <w:rsid w:val="005A21C8"/>
    <w:rsid w:val="005A4DF8"/>
    <w:rsid w:val="005A4F54"/>
    <w:rsid w:val="005A53C4"/>
    <w:rsid w:val="005A57BA"/>
    <w:rsid w:val="005A5ABD"/>
    <w:rsid w:val="005A721E"/>
    <w:rsid w:val="005C0C2A"/>
    <w:rsid w:val="005D07D9"/>
    <w:rsid w:val="005D0D17"/>
    <w:rsid w:val="005D3806"/>
    <w:rsid w:val="005D4147"/>
    <w:rsid w:val="005E110E"/>
    <w:rsid w:val="005E1A2E"/>
    <w:rsid w:val="005E1E2E"/>
    <w:rsid w:val="005E6447"/>
    <w:rsid w:val="005F3A52"/>
    <w:rsid w:val="005F4F82"/>
    <w:rsid w:val="005F5CB8"/>
    <w:rsid w:val="005F6883"/>
    <w:rsid w:val="005F6D8F"/>
    <w:rsid w:val="00600151"/>
    <w:rsid w:val="00605984"/>
    <w:rsid w:val="006167F7"/>
    <w:rsid w:val="00621737"/>
    <w:rsid w:val="00626512"/>
    <w:rsid w:val="00632E8F"/>
    <w:rsid w:val="006418D7"/>
    <w:rsid w:val="00642E1A"/>
    <w:rsid w:val="0064321B"/>
    <w:rsid w:val="00643382"/>
    <w:rsid w:val="00644067"/>
    <w:rsid w:val="00646894"/>
    <w:rsid w:val="00650060"/>
    <w:rsid w:val="00650408"/>
    <w:rsid w:val="006510C0"/>
    <w:rsid w:val="00652C89"/>
    <w:rsid w:val="00654FC9"/>
    <w:rsid w:val="0066085F"/>
    <w:rsid w:val="00661610"/>
    <w:rsid w:val="00663005"/>
    <w:rsid w:val="0066411C"/>
    <w:rsid w:val="00665EA4"/>
    <w:rsid w:val="00670BF6"/>
    <w:rsid w:val="006735A1"/>
    <w:rsid w:val="00681136"/>
    <w:rsid w:val="0068393A"/>
    <w:rsid w:val="0068398D"/>
    <w:rsid w:val="00684A3D"/>
    <w:rsid w:val="00695B44"/>
    <w:rsid w:val="006A1FC9"/>
    <w:rsid w:val="006A4CAE"/>
    <w:rsid w:val="006B3F09"/>
    <w:rsid w:val="006B6B7E"/>
    <w:rsid w:val="006C1935"/>
    <w:rsid w:val="006C3F11"/>
    <w:rsid w:val="006C5022"/>
    <w:rsid w:val="006D1FA7"/>
    <w:rsid w:val="006D4529"/>
    <w:rsid w:val="006D5FFE"/>
    <w:rsid w:val="006D7493"/>
    <w:rsid w:val="006D7D36"/>
    <w:rsid w:val="006E0277"/>
    <w:rsid w:val="006E15A7"/>
    <w:rsid w:val="006E78D0"/>
    <w:rsid w:val="006F061B"/>
    <w:rsid w:val="006F234D"/>
    <w:rsid w:val="006F4FE4"/>
    <w:rsid w:val="006F57E3"/>
    <w:rsid w:val="006F7C5A"/>
    <w:rsid w:val="007022A6"/>
    <w:rsid w:val="00703107"/>
    <w:rsid w:val="00704DFF"/>
    <w:rsid w:val="007075A0"/>
    <w:rsid w:val="007144DE"/>
    <w:rsid w:val="00715642"/>
    <w:rsid w:val="00720A56"/>
    <w:rsid w:val="00722A04"/>
    <w:rsid w:val="0072359F"/>
    <w:rsid w:val="00737384"/>
    <w:rsid w:val="007377AC"/>
    <w:rsid w:val="007477D1"/>
    <w:rsid w:val="007544C0"/>
    <w:rsid w:val="00755A3D"/>
    <w:rsid w:val="007576F3"/>
    <w:rsid w:val="00760CD4"/>
    <w:rsid w:val="0076342F"/>
    <w:rsid w:val="00767254"/>
    <w:rsid w:val="007815C6"/>
    <w:rsid w:val="00781912"/>
    <w:rsid w:val="007819D9"/>
    <w:rsid w:val="00783DC8"/>
    <w:rsid w:val="00797DBC"/>
    <w:rsid w:val="007A2B19"/>
    <w:rsid w:val="007A518E"/>
    <w:rsid w:val="007A6375"/>
    <w:rsid w:val="007A73CD"/>
    <w:rsid w:val="007B263E"/>
    <w:rsid w:val="007B285F"/>
    <w:rsid w:val="007B361F"/>
    <w:rsid w:val="007B38CF"/>
    <w:rsid w:val="007B4083"/>
    <w:rsid w:val="007B7AE3"/>
    <w:rsid w:val="007C3456"/>
    <w:rsid w:val="007C3701"/>
    <w:rsid w:val="007C6D56"/>
    <w:rsid w:val="007C7BF5"/>
    <w:rsid w:val="007D112C"/>
    <w:rsid w:val="007D49EC"/>
    <w:rsid w:val="007D4A8B"/>
    <w:rsid w:val="007D55A6"/>
    <w:rsid w:val="007E138D"/>
    <w:rsid w:val="007E3BA3"/>
    <w:rsid w:val="007E4326"/>
    <w:rsid w:val="007E5945"/>
    <w:rsid w:val="007E62EE"/>
    <w:rsid w:val="007F0CB4"/>
    <w:rsid w:val="007F42A9"/>
    <w:rsid w:val="007F5A09"/>
    <w:rsid w:val="007F5F10"/>
    <w:rsid w:val="00800AD5"/>
    <w:rsid w:val="008029E8"/>
    <w:rsid w:val="00803614"/>
    <w:rsid w:val="008060B5"/>
    <w:rsid w:val="00811FBE"/>
    <w:rsid w:val="008135AE"/>
    <w:rsid w:val="00823670"/>
    <w:rsid w:val="00823E76"/>
    <w:rsid w:val="00833566"/>
    <w:rsid w:val="008363C2"/>
    <w:rsid w:val="00837486"/>
    <w:rsid w:val="00842E8C"/>
    <w:rsid w:val="008470A7"/>
    <w:rsid w:val="00854C04"/>
    <w:rsid w:val="00855F5A"/>
    <w:rsid w:val="008615BA"/>
    <w:rsid w:val="008623E1"/>
    <w:rsid w:val="00873D66"/>
    <w:rsid w:val="0088163A"/>
    <w:rsid w:val="00883CCC"/>
    <w:rsid w:val="00886B73"/>
    <w:rsid w:val="00887474"/>
    <w:rsid w:val="00891101"/>
    <w:rsid w:val="00892A03"/>
    <w:rsid w:val="00892B58"/>
    <w:rsid w:val="00895E91"/>
    <w:rsid w:val="008A1788"/>
    <w:rsid w:val="008A7D79"/>
    <w:rsid w:val="008B3612"/>
    <w:rsid w:val="008B4453"/>
    <w:rsid w:val="008C0309"/>
    <w:rsid w:val="008C2B3D"/>
    <w:rsid w:val="008C41B9"/>
    <w:rsid w:val="008C4AF9"/>
    <w:rsid w:val="008C5854"/>
    <w:rsid w:val="008C6329"/>
    <w:rsid w:val="008D263A"/>
    <w:rsid w:val="008D2732"/>
    <w:rsid w:val="008D503D"/>
    <w:rsid w:val="008D5A8D"/>
    <w:rsid w:val="008D5EA3"/>
    <w:rsid w:val="008D6497"/>
    <w:rsid w:val="008D7281"/>
    <w:rsid w:val="008D7DFC"/>
    <w:rsid w:val="008E01F3"/>
    <w:rsid w:val="008E3ECF"/>
    <w:rsid w:val="008F2D30"/>
    <w:rsid w:val="008F479A"/>
    <w:rsid w:val="008F4B7E"/>
    <w:rsid w:val="008F6C83"/>
    <w:rsid w:val="008F6DDE"/>
    <w:rsid w:val="008F74F9"/>
    <w:rsid w:val="0090047D"/>
    <w:rsid w:val="00901E93"/>
    <w:rsid w:val="0090296A"/>
    <w:rsid w:val="00905F95"/>
    <w:rsid w:val="009101C6"/>
    <w:rsid w:val="009112D0"/>
    <w:rsid w:val="0091456B"/>
    <w:rsid w:val="00915EB2"/>
    <w:rsid w:val="00917C14"/>
    <w:rsid w:val="00920FFC"/>
    <w:rsid w:val="00925824"/>
    <w:rsid w:val="009310C1"/>
    <w:rsid w:val="00931C46"/>
    <w:rsid w:val="0093237E"/>
    <w:rsid w:val="009324C7"/>
    <w:rsid w:val="009333EC"/>
    <w:rsid w:val="00933CEA"/>
    <w:rsid w:val="00934264"/>
    <w:rsid w:val="00934ED5"/>
    <w:rsid w:val="0094207F"/>
    <w:rsid w:val="00942C03"/>
    <w:rsid w:val="00943127"/>
    <w:rsid w:val="00945362"/>
    <w:rsid w:val="00952623"/>
    <w:rsid w:val="00953402"/>
    <w:rsid w:val="00966848"/>
    <w:rsid w:val="00972763"/>
    <w:rsid w:val="0098128C"/>
    <w:rsid w:val="00983669"/>
    <w:rsid w:val="00983D3A"/>
    <w:rsid w:val="00985734"/>
    <w:rsid w:val="00985E9C"/>
    <w:rsid w:val="00995F8F"/>
    <w:rsid w:val="009A14C0"/>
    <w:rsid w:val="009A20F1"/>
    <w:rsid w:val="009A2108"/>
    <w:rsid w:val="009A72C9"/>
    <w:rsid w:val="009B097F"/>
    <w:rsid w:val="009B335D"/>
    <w:rsid w:val="009B4245"/>
    <w:rsid w:val="009B59A7"/>
    <w:rsid w:val="009B67BF"/>
    <w:rsid w:val="009B7DC1"/>
    <w:rsid w:val="009C0CE9"/>
    <w:rsid w:val="009C0EE8"/>
    <w:rsid w:val="009C2C31"/>
    <w:rsid w:val="009C563D"/>
    <w:rsid w:val="009C719C"/>
    <w:rsid w:val="009C7D61"/>
    <w:rsid w:val="009D23C1"/>
    <w:rsid w:val="009D6E67"/>
    <w:rsid w:val="009E32A3"/>
    <w:rsid w:val="009E4094"/>
    <w:rsid w:val="009F0E86"/>
    <w:rsid w:val="009F3A71"/>
    <w:rsid w:val="009F72F2"/>
    <w:rsid w:val="00A003E6"/>
    <w:rsid w:val="00A036AB"/>
    <w:rsid w:val="00A0588C"/>
    <w:rsid w:val="00A06C7D"/>
    <w:rsid w:val="00A07030"/>
    <w:rsid w:val="00A07C3E"/>
    <w:rsid w:val="00A12759"/>
    <w:rsid w:val="00A1340C"/>
    <w:rsid w:val="00A13BC7"/>
    <w:rsid w:val="00A15EBE"/>
    <w:rsid w:val="00A210B8"/>
    <w:rsid w:val="00A32B38"/>
    <w:rsid w:val="00A364B1"/>
    <w:rsid w:val="00A46E81"/>
    <w:rsid w:val="00A563C6"/>
    <w:rsid w:val="00A57D4A"/>
    <w:rsid w:val="00A6673A"/>
    <w:rsid w:val="00A66893"/>
    <w:rsid w:val="00A719C3"/>
    <w:rsid w:val="00A732AA"/>
    <w:rsid w:val="00A8595D"/>
    <w:rsid w:val="00A87861"/>
    <w:rsid w:val="00A90399"/>
    <w:rsid w:val="00A90704"/>
    <w:rsid w:val="00A90E6A"/>
    <w:rsid w:val="00A93538"/>
    <w:rsid w:val="00A9419B"/>
    <w:rsid w:val="00A95066"/>
    <w:rsid w:val="00A95E97"/>
    <w:rsid w:val="00AA2E0B"/>
    <w:rsid w:val="00AA3F13"/>
    <w:rsid w:val="00AA73AF"/>
    <w:rsid w:val="00AB0D79"/>
    <w:rsid w:val="00AB5685"/>
    <w:rsid w:val="00AB5868"/>
    <w:rsid w:val="00AC084E"/>
    <w:rsid w:val="00AC4BB9"/>
    <w:rsid w:val="00AC68F7"/>
    <w:rsid w:val="00AC7E9F"/>
    <w:rsid w:val="00AD026F"/>
    <w:rsid w:val="00AD3377"/>
    <w:rsid w:val="00AD3671"/>
    <w:rsid w:val="00AE0B5A"/>
    <w:rsid w:val="00AE312A"/>
    <w:rsid w:val="00AE368A"/>
    <w:rsid w:val="00AE6A86"/>
    <w:rsid w:val="00AE7453"/>
    <w:rsid w:val="00AF16B9"/>
    <w:rsid w:val="00AF373F"/>
    <w:rsid w:val="00B00021"/>
    <w:rsid w:val="00B008F6"/>
    <w:rsid w:val="00B012CD"/>
    <w:rsid w:val="00B0231F"/>
    <w:rsid w:val="00B04C02"/>
    <w:rsid w:val="00B04CAD"/>
    <w:rsid w:val="00B1017F"/>
    <w:rsid w:val="00B1136B"/>
    <w:rsid w:val="00B124F5"/>
    <w:rsid w:val="00B17FE0"/>
    <w:rsid w:val="00B230E2"/>
    <w:rsid w:val="00B232FA"/>
    <w:rsid w:val="00B250EE"/>
    <w:rsid w:val="00B25C2E"/>
    <w:rsid w:val="00B3067D"/>
    <w:rsid w:val="00B365C7"/>
    <w:rsid w:val="00B41D2F"/>
    <w:rsid w:val="00B43092"/>
    <w:rsid w:val="00B44084"/>
    <w:rsid w:val="00B45777"/>
    <w:rsid w:val="00B479AC"/>
    <w:rsid w:val="00B50AE9"/>
    <w:rsid w:val="00B51669"/>
    <w:rsid w:val="00B51716"/>
    <w:rsid w:val="00B55672"/>
    <w:rsid w:val="00B5571F"/>
    <w:rsid w:val="00B5775D"/>
    <w:rsid w:val="00B610F0"/>
    <w:rsid w:val="00B63782"/>
    <w:rsid w:val="00B7009A"/>
    <w:rsid w:val="00B76E5E"/>
    <w:rsid w:val="00B850B4"/>
    <w:rsid w:val="00B861AA"/>
    <w:rsid w:val="00B90E31"/>
    <w:rsid w:val="00B9293D"/>
    <w:rsid w:val="00B94DED"/>
    <w:rsid w:val="00B95025"/>
    <w:rsid w:val="00BA10A6"/>
    <w:rsid w:val="00BA2DD4"/>
    <w:rsid w:val="00BA3A65"/>
    <w:rsid w:val="00BB2801"/>
    <w:rsid w:val="00BB3340"/>
    <w:rsid w:val="00BB59C7"/>
    <w:rsid w:val="00BB7A0D"/>
    <w:rsid w:val="00BC65A8"/>
    <w:rsid w:val="00BC6A2B"/>
    <w:rsid w:val="00BE0423"/>
    <w:rsid w:val="00BE06A7"/>
    <w:rsid w:val="00BE1E2F"/>
    <w:rsid w:val="00BE524A"/>
    <w:rsid w:val="00BE542F"/>
    <w:rsid w:val="00BE6A94"/>
    <w:rsid w:val="00BE6FBD"/>
    <w:rsid w:val="00BF54D8"/>
    <w:rsid w:val="00BF7952"/>
    <w:rsid w:val="00C01937"/>
    <w:rsid w:val="00C0210F"/>
    <w:rsid w:val="00C0283F"/>
    <w:rsid w:val="00C028D5"/>
    <w:rsid w:val="00C03DE1"/>
    <w:rsid w:val="00C0774B"/>
    <w:rsid w:val="00C116D3"/>
    <w:rsid w:val="00C128A1"/>
    <w:rsid w:val="00C14C9C"/>
    <w:rsid w:val="00C15F59"/>
    <w:rsid w:val="00C213B9"/>
    <w:rsid w:val="00C22F18"/>
    <w:rsid w:val="00C262F5"/>
    <w:rsid w:val="00C31308"/>
    <w:rsid w:val="00C338B9"/>
    <w:rsid w:val="00C338CB"/>
    <w:rsid w:val="00C349BD"/>
    <w:rsid w:val="00C42688"/>
    <w:rsid w:val="00C460C0"/>
    <w:rsid w:val="00C47B7C"/>
    <w:rsid w:val="00C5099E"/>
    <w:rsid w:val="00C50E80"/>
    <w:rsid w:val="00C51F55"/>
    <w:rsid w:val="00C531C6"/>
    <w:rsid w:val="00C54BE2"/>
    <w:rsid w:val="00C5511A"/>
    <w:rsid w:val="00C61085"/>
    <w:rsid w:val="00C6109C"/>
    <w:rsid w:val="00C62A15"/>
    <w:rsid w:val="00C64C0E"/>
    <w:rsid w:val="00C65DF2"/>
    <w:rsid w:val="00C70E09"/>
    <w:rsid w:val="00C73B39"/>
    <w:rsid w:val="00C8338F"/>
    <w:rsid w:val="00C85F84"/>
    <w:rsid w:val="00C868C9"/>
    <w:rsid w:val="00C87058"/>
    <w:rsid w:val="00C93A8C"/>
    <w:rsid w:val="00CB66C3"/>
    <w:rsid w:val="00CB6C1B"/>
    <w:rsid w:val="00CC00C0"/>
    <w:rsid w:val="00CC07EF"/>
    <w:rsid w:val="00CC0CA6"/>
    <w:rsid w:val="00CC3FBF"/>
    <w:rsid w:val="00CC56B3"/>
    <w:rsid w:val="00CD29FA"/>
    <w:rsid w:val="00CD7CAF"/>
    <w:rsid w:val="00CE0E84"/>
    <w:rsid w:val="00CE5C25"/>
    <w:rsid w:val="00CE7AA2"/>
    <w:rsid w:val="00CF2D98"/>
    <w:rsid w:val="00CF7B35"/>
    <w:rsid w:val="00D12D8D"/>
    <w:rsid w:val="00D14E32"/>
    <w:rsid w:val="00D26DAD"/>
    <w:rsid w:val="00D300B1"/>
    <w:rsid w:val="00D30993"/>
    <w:rsid w:val="00D31BFE"/>
    <w:rsid w:val="00D36FAA"/>
    <w:rsid w:val="00D40382"/>
    <w:rsid w:val="00D41194"/>
    <w:rsid w:val="00D42D02"/>
    <w:rsid w:val="00D432A3"/>
    <w:rsid w:val="00D50962"/>
    <w:rsid w:val="00D5244E"/>
    <w:rsid w:val="00D52E91"/>
    <w:rsid w:val="00D5375C"/>
    <w:rsid w:val="00D54FA6"/>
    <w:rsid w:val="00D55412"/>
    <w:rsid w:val="00D55603"/>
    <w:rsid w:val="00D571C7"/>
    <w:rsid w:val="00D57FDD"/>
    <w:rsid w:val="00D61AA4"/>
    <w:rsid w:val="00D635B8"/>
    <w:rsid w:val="00D71527"/>
    <w:rsid w:val="00D85205"/>
    <w:rsid w:val="00D855BE"/>
    <w:rsid w:val="00D85EC9"/>
    <w:rsid w:val="00D95A2E"/>
    <w:rsid w:val="00DA0A5A"/>
    <w:rsid w:val="00DA27D0"/>
    <w:rsid w:val="00DB06C6"/>
    <w:rsid w:val="00DB437E"/>
    <w:rsid w:val="00DB520C"/>
    <w:rsid w:val="00DB54F9"/>
    <w:rsid w:val="00DB7215"/>
    <w:rsid w:val="00DC0536"/>
    <w:rsid w:val="00DC6512"/>
    <w:rsid w:val="00DD2F49"/>
    <w:rsid w:val="00DD4ECC"/>
    <w:rsid w:val="00DD5C87"/>
    <w:rsid w:val="00DD67D7"/>
    <w:rsid w:val="00DE0FD3"/>
    <w:rsid w:val="00DE1DCB"/>
    <w:rsid w:val="00DE5F7C"/>
    <w:rsid w:val="00DE65C6"/>
    <w:rsid w:val="00DE6B47"/>
    <w:rsid w:val="00DF24D3"/>
    <w:rsid w:val="00DF2638"/>
    <w:rsid w:val="00DF2758"/>
    <w:rsid w:val="00DF4108"/>
    <w:rsid w:val="00DF71E7"/>
    <w:rsid w:val="00E000AE"/>
    <w:rsid w:val="00E00F2F"/>
    <w:rsid w:val="00E04063"/>
    <w:rsid w:val="00E05082"/>
    <w:rsid w:val="00E10603"/>
    <w:rsid w:val="00E115EA"/>
    <w:rsid w:val="00E22933"/>
    <w:rsid w:val="00E22F12"/>
    <w:rsid w:val="00E249B4"/>
    <w:rsid w:val="00E24CCC"/>
    <w:rsid w:val="00E2505E"/>
    <w:rsid w:val="00E36368"/>
    <w:rsid w:val="00E41230"/>
    <w:rsid w:val="00E41D8B"/>
    <w:rsid w:val="00E4352F"/>
    <w:rsid w:val="00E438CF"/>
    <w:rsid w:val="00E44961"/>
    <w:rsid w:val="00E44C4E"/>
    <w:rsid w:val="00E466EB"/>
    <w:rsid w:val="00E50582"/>
    <w:rsid w:val="00E563F4"/>
    <w:rsid w:val="00E5683E"/>
    <w:rsid w:val="00E6137A"/>
    <w:rsid w:val="00E61EEC"/>
    <w:rsid w:val="00E63BFE"/>
    <w:rsid w:val="00E63ED1"/>
    <w:rsid w:val="00E654B1"/>
    <w:rsid w:val="00E739B2"/>
    <w:rsid w:val="00E7786B"/>
    <w:rsid w:val="00E77B97"/>
    <w:rsid w:val="00E81660"/>
    <w:rsid w:val="00E86A88"/>
    <w:rsid w:val="00E94433"/>
    <w:rsid w:val="00E96848"/>
    <w:rsid w:val="00EC563F"/>
    <w:rsid w:val="00EC62C7"/>
    <w:rsid w:val="00ED3F18"/>
    <w:rsid w:val="00ED635C"/>
    <w:rsid w:val="00EF1EF3"/>
    <w:rsid w:val="00EF3BED"/>
    <w:rsid w:val="00EF3C8E"/>
    <w:rsid w:val="00EF5A11"/>
    <w:rsid w:val="00F000BE"/>
    <w:rsid w:val="00F072F0"/>
    <w:rsid w:val="00F10636"/>
    <w:rsid w:val="00F1125C"/>
    <w:rsid w:val="00F146E2"/>
    <w:rsid w:val="00F159C9"/>
    <w:rsid w:val="00F178FD"/>
    <w:rsid w:val="00F17902"/>
    <w:rsid w:val="00F17E89"/>
    <w:rsid w:val="00F2247F"/>
    <w:rsid w:val="00F24483"/>
    <w:rsid w:val="00F2548A"/>
    <w:rsid w:val="00F317F4"/>
    <w:rsid w:val="00F3326D"/>
    <w:rsid w:val="00F42948"/>
    <w:rsid w:val="00F44A92"/>
    <w:rsid w:val="00F45EE3"/>
    <w:rsid w:val="00F60310"/>
    <w:rsid w:val="00F658A1"/>
    <w:rsid w:val="00F743E7"/>
    <w:rsid w:val="00F76875"/>
    <w:rsid w:val="00F85A4B"/>
    <w:rsid w:val="00F90736"/>
    <w:rsid w:val="00F96C53"/>
    <w:rsid w:val="00F96E85"/>
    <w:rsid w:val="00F97716"/>
    <w:rsid w:val="00FA173D"/>
    <w:rsid w:val="00FA25F1"/>
    <w:rsid w:val="00FA3C73"/>
    <w:rsid w:val="00FA7282"/>
    <w:rsid w:val="00FB1759"/>
    <w:rsid w:val="00FB32DE"/>
    <w:rsid w:val="00FB36DD"/>
    <w:rsid w:val="00FB472C"/>
    <w:rsid w:val="00FB7832"/>
    <w:rsid w:val="00FB7B34"/>
    <w:rsid w:val="00FC42D4"/>
    <w:rsid w:val="00FD4E86"/>
    <w:rsid w:val="00FE0199"/>
    <w:rsid w:val="00FE2FBB"/>
    <w:rsid w:val="00FE711E"/>
    <w:rsid w:val="00FF5908"/>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3C52"/>
  <w15:chartTrackingRefBased/>
  <w15:docId w15:val="{F27A8B03-D8AE-F24E-9E54-F742A018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C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43127"/>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6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72763"/>
  </w:style>
  <w:style w:type="character" w:styleId="PageNumber">
    <w:name w:val="page number"/>
    <w:basedOn w:val="DefaultParagraphFont"/>
    <w:uiPriority w:val="99"/>
    <w:semiHidden/>
    <w:unhideWhenUsed/>
    <w:rsid w:val="00972763"/>
  </w:style>
  <w:style w:type="paragraph" w:styleId="Footer">
    <w:name w:val="footer"/>
    <w:basedOn w:val="Normal"/>
    <w:link w:val="FooterChar"/>
    <w:uiPriority w:val="99"/>
    <w:unhideWhenUsed/>
    <w:rsid w:val="00B43092"/>
    <w:pPr>
      <w:tabs>
        <w:tab w:val="center" w:pos="4680"/>
        <w:tab w:val="right" w:pos="9360"/>
      </w:tabs>
    </w:pPr>
  </w:style>
  <w:style w:type="character" w:customStyle="1" w:styleId="FooterChar">
    <w:name w:val="Footer Char"/>
    <w:basedOn w:val="DefaultParagraphFont"/>
    <w:link w:val="Footer"/>
    <w:uiPriority w:val="99"/>
    <w:rsid w:val="00B4309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7343C"/>
    <w:rPr>
      <w:sz w:val="16"/>
      <w:szCs w:val="16"/>
    </w:rPr>
  </w:style>
  <w:style w:type="paragraph" w:styleId="CommentText">
    <w:name w:val="annotation text"/>
    <w:basedOn w:val="Normal"/>
    <w:link w:val="CommentTextChar"/>
    <w:uiPriority w:val="99"/>
    <w:semiHidden/>
    <w:unhideWhenUsed/>
    <w:rsid w:val="0047343C"/>
    <w:rPr>
      <w:sz w:val="20"/>
      <w:szCs w:val="20"/>
    </w:rPr>
  </w:style>
  <w:style w:type="character" w:customStyle="1" w:styleId="CommentTextChar">
    <w:name w:val="Comment Text Char"/>
    <w:basedOn w:val="DefaultParagraphFont"/>
    <w:link w:val="CommentText"/>
    <w:uiPriority w:val="99"/>
    <w:semiHidden/>
    <w:rsid w:val="004734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43C"/>
    <w:rPr>
      <w:b/>
      <w:bCs/>
    </w:rPr>
  </w:style>
  <w:style w:type="character" w:customStyle="1" w:styleId="CommentSubjectChar">
    <w:name w:val="Comment Subject Char"/>
    <w:basedOn w:val="CommentTextChar"/>
    <w:link w:val="CommentSubject"/>
    <w:uiPriority w:val="99"/>
    <w:semiHidden/>
    <w:rsid w:val="004734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3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3C"/>
    <w:rPr>
      <w:rFonts w:ascii="Segoe UI" w:eastAsia="Times New Roman" w:hAnsi="Segoe UI" w:cs="Segoe UI"/>
      <w:sz w:val="18"/>
      <w:szCs w:val="18"/>
    </w:rPr>
  </w:style>
  <w:style w:type="paragraph" w:styleId="Revision">
    <w:name w:val="Revision"/>
    <w:hidden/>
    <w:uiPriority w:val="99"/>
    <w:semiHidden/>
    <w:rsid w:val="00AA73A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43127"/>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4768A9"/>
    <w:pPr>
      <w:ind w:left="720"/>
      <w:contextualSpacing/>
    </w:pPr>
    <w:rPr>
      <w:rFonts w:asciiTheme="minorHAnsi" w:eastAsiaTheme="minorHAnsi" w:hAnsiTheme="minorHAnsi" w:cstheme="minorBidi"/>
      <w:lang w:eastAsia="en-US"/>
    </w:rPr>
  </w:style>
  <w:style w:type="paragraph" w:customStyle="1" w:styleId="EndNoteBibliography">
    <w:name w:val="EndNote Bibliography"/>
    <w:basedOn w:val="Normal"/>
    <w:link w:val="EndNoteBibliographyChar"/>
    <w:rsid w:val="004768A9"/>
    <w:rPr>
      <w:rFonts w:eastAsiaTheme="minorHAnsi"/>
      <w:lang w:eastAsia="en-US"/>
    </w:rPr>
  </w:style>
  <w:style w:type="character" w:customStyle="1" w:styleId="EndNoteBibliographyChar">
    <w:name w:val="EndNote Bibliography Char"/>
    <w:basedOn w:val="DefaultParagraphFont"/>
    <w:link w:val="EndNoteBibliography"/>
    <w:rsid w:val="004768A9"/>
    <w:rPr>
      <w:rFonts w:ascii="Times New Roman" w:eastAsiaTheme="minorHAnsi" w:hAnsi="Times New Roman" w:cs="Times New Roman"/>
      <w:lang w:eastAsia="en-US"/>
    </w:rPr>
  </w:style>
  <w:style w:type="character" w:styleId="Emphasis">
    <w:name w:val="Emphasis"/>
    <w:basedOn w:val="DefaultParagraphFont"/>
    <w:uiPriority w:val="20"/>
    <w:qFormat/>
    <w:rsid w:val="009D23C1"/>
    <w:rPr>
      <w:i/>
      <w:iCs/>
    </w:rPr>
  </w:style>
  <w:style w:type="paragraph" w:customStyle="1" w:styleId="p1">
    <w:name w:val="p1"/>
    <w:basedOn w:val="Normal"/>
    <w:rsid w:val="001F64DB"/>
    <w:rPr>
      <w:rFonts w:ascii="Helvetica" w:eastAsiaTheme="minorEastAsia" w:hAnsi="Helvetica"/>
      <w:sz w:val="14"/>
      <w:szCs w:val="14"/>
    </w:rPr>
  </w:style>
  <w:style w:type="paragraph" w:customStyle="1" w:styleId="EndNoteBibliographyTitle">
    <w:name w:val="EndNote Bibliography Title"/>
    <w:basedOn w:val="Normal"/>
    <w:link w:val="EndNoteBibliographyTitleChar"/>
    <w:rsid w:val="009A2108"/>
    <w:pPr>
      <w:jc w:val="center"/>
    </w:pPr>
    <w:rPr>
      <w:noProof/>
    </w:rPr>
  </w:style>
  <w:style w:type="character" w:customStyle="1" w:styleId="EndNoteBibliographyTitleChar">
    <w:name w:val="EndNote Bibliography Title Char"/>
    <w:basedOn w:val="DefaultParagraphFont"/>
    <w:link w:val="EndNoteBibliographyTitle"/>
    <w:rsid w:val="009A2108"/>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145">
      <w:bodyDiv w:val="1"/>
      <w:marLeft w:val="0"/>
      <w:marRight w:val="0"/>
      <w:marTop w:val="0"/>
      <w:marBottom w:val="0"/>
      <w:divBdr>
        <w:top w:val="none" w:sz="0" w:space="0" w:color="auto"/>
        <w:left w:val="none" w:sz="0" w:space="0" w:color="auto"/>
        <w:bottom w:val="none" w:sz="0" w:space="0" w:color="auto"/>
        <w:right w:val="none" w:sz="0" w:space="0" w:color="auto"/>
      </w:divBdr>
    </w:div>
    <w:div w:id="18049578">
      <w:bodyDiv w:val="1"/>
      <w:marLeft w:val="0"/>
      <w:marRight w:val="0"/>
      <w:marTop w:val="0"/>
      <w:marBottom w:val="0"/>
      <w:divBdr>
        <w:top w:val="none" w:sz="0" w:space="0" w:color="auto"/>
        <w:left w:val="none" w:sz="0" w:space="0" w:color="auto"/>
        <w:bottom w:val="none" w:sz="0" w:space="0" w:color="auto"/>
        <w:right w:val="none" w:sz="0" w:space="0" w:color="auto"/>
      </w:divBdr>
    </w:div>
    <w:div w:id="74984429">
      <w:bodyDiv w:val="1"/>
      <w:marLeft w:val="0"/>
      <w:marRight w:val="0"/>
      <w:marTop w:val="0"/>
      <w:marBottom w:val="0"/>
      <w:divBdr>
        <w:top w:val="none" w:sz="0" w:space="0" w:color="auto"/>
        <w:left w:val="none" w:sz="0" w:space="0" w:color="auto"/>
        <w:bottom w:val="none" w:sz="0" w:space="0" w:color="auto"/>
        <w:right w:val="none" w:sz="0" w:space="0" w:color="auto"/>
      </w:divBdr>
    </w:div>
    <w:div w:id="104157428">
      <w:bodyDiv w:val="1"/>
      <w:marLeft w:val="0"/>
      <w:marRight w:val="0"/>
      <w:marTop w:val="0"/>
      <w:marBottom w:val="0"/>
      <w:divBdr>
        <w:top w:val="none" w:sz="0" w:space="0" w:color="auto"/>
        <w:left w:val="none" w:sz="0" w:space="0" w:color="auto"/>
        <w:bottom w:val="none" w:sz="0" w:space="0" w:color="auto"/>
        <w:right w:val="none" w:sz="0" w:space="0" w:color="auto"/>
      </w:divBdr>
    </w:div>
    <w:div w:id="138155527">
      <w:bodyDiv w:val="1"/>
      <w:marLeft w:val="0"/>
      <w:marRight w:val="0"/>
      <w:marTop w:val="0"/>
      <w:marBottom w:val="0"/>
      <w:divBdr>
        <w:top w:val="none" w:sz="0" w:space="0" w:color="auto"/>
        <w:left w:val="none" w:sz="0" w:space="0" w:color="auto"/>
        <w:bottom w:val="none" w:sz="0" w:space="0" w:color="auto"/>
        <w:right w:val="none" w:sz="0" w:space="0" w:color="auto"/>
      </w:divBdr>
    </w:div>
    <w:div w:id="234707473">
      <w:bodyDiv w:val="1"/>
      <w:marLeft w:val="0"/>
      <w:marRight w:val="0"/>
      <w:marTop w:val="0"/>
      <w:marBottom w:val="0"/>
      <w:divBdr>
        <w:top w:val="none" w:sz="0" w:space="0" w:color="auto"/>
        <w:left w:val="none" w:sz="0" w:space="0" w:color="auto"/>
        <w:bottom w:val="none" w:sz="0" w:space="0" w:color="auto"/>
        <w:right w:val="none" w:sz="0" w:space="0" w:color="auto"/>
      </w:divBdr>
    </w:div>
    <w:div w:id="308897982">
      <w:bodyDiv w:val="1"/>
      <w:marLeft w:val="0"/>
      <w:marRight w:val="0"/>
      <w:marTop w:val="0"/>
      <w:marBottom w:val="0"/>
      <w:divBdr>
        <w:top w:val="none" w:sz="0" w:space="0" w:color="auto"/>
        <w:left w:val="none" w:sz="0" w:space="0" w:color="auto"/>
        <w:bottom w:val="none" w:sz="0" w:space="0" w:color="auto"/>
        <w:right w:val="none" w:sz="0" w:space="0" w:color="auto"/>
      </w:divBdr>
    </w:div>
    <w:div w:id="366025847">
      <w:bodyDiv w:val="1"/>
      <w:marLeft w:val="0"/>
      <w:marRight w:val="0"/>
      <w:marTop w:val="0"/>
      <w:marBottom w:val="0"/>
      <w:divBdr>
        <w:top w:val="none" w:sz="0" w:space="0" w:color="auto"/>
        <w:left w:val="none" w:sz="0" w:space="0" w:color="auto"/>
        <w:bottom w:val="none" w:sz="0" w:space="0" w:color="auto"/>
        <w:right w:val="none" w:sz="0" w:space="0" w:color="auto"/>
      </w:divBdr>
    </w:div>
    <w:div w:id="444690803">
      <w:bodyDiv w:val="1"/>
      <w:marLeft w:val="0"/>
      <w:marRight w:val="0"/>
      <w:marTop w:val="0"/>
      <w:marBottom w:val="0"/>
      <w:divBdr>
        <w:top w:val="none" w:sz="0" w:space="0" w:color="auto"/>
        <w:left w:val="none" w:sz="0" w:space="0" w:color="auto"/>
        <w:bottom w:val="none" w:sz="0" w:space="0" w:color="auto"/>
        <w:right w:val="none" w:sz="0" w:space="0" w:color="auto"/>
      </w:divBdr>
    </w:div>
    <w:div w:id="483276886">
      <w:bodyDiv w:val="1"/>
      <w:marLeft w:val="0"/>
      <w:marRight w:val="0"/>
      <w:marTop w:val="0"/>
      <w:marBottom w:val="0"/>
      <w:divBdr>
        <w:top w:val="none" w:sz="0" w:space="0" w:color="auto"/>
        <w:left w:val="none" w:sz="0" w:space="0" w:color="auto"/>
        <w:bottom w:val="none" w:sz="0" w:space="0" w:color="auto"/>
        <w:right w:val="none" w:sz="0" w:space="0" w:color="auto"/>
      </w:divBdr>
    </w:div>
    <w:div w:id="519897942">
      <w:bodyDiv w:val="1"/>
      <w:marLeft w:val="0"/>
      <w:marRight w:val="0"/>
      <w:marTop w:val="0"/>
      <w:marBottom w:val="0"/>
      <w:divBdr>
        <w:top w:val="none" w:sz="0" w:space="0" w:color="auto"/>
        <w:left w:val="none" w:sz="0" w:space="0" w:color="auto"/>
        <w:bottom w:val="none" w:sz="0" w:space="0" w:color="auto"/>
        <w:right w:val="none" w:sz="0" w:space="0" w:color="auto"/>
      </w:divBdr>
      <w:divsChild>
        <w:div w:id="918834572">
          <w:marLeft w:val="0"/>
          <w:marRight w:val="0"/>
          <w:marTop w:val="0"/>
          <w:marBottom w:val="0"/>
          <w:divBdr>
            <w:top w:val="none" w:sz="0" w:space="0" w:color="auto"/>
            <w:left w:val="none" w:sz="0" w:space="0" w:color="auto"/>
            <w:bottom w:val="none" w:sz="0" w:space="0" w:color="auto"/>
            <w:right w:val="none" w:sz="0" w:space="0" w:color="auto"/>
          </w:divBdr>
        </w:div>
      </w:divsChild>
    </w:div>
    <w:div w:id="549076520">
      <w:bodyDiv w:val="1"/>
      <w:marLeft w:val="0"/>
      <w:marRight w:val="0"/>
      <w:marTop w:val="0"/>
      <w:marBottom w:val="0"/>
      <w:divBdr>
        <w:top w:val="none" w:sz="0" w:space="0" w:color="auto"/>
        <w:left w:val="none" w:sz="0" w:space="0" w:color="auto"/>
        <w:bottom w:val="none" w:sz="0" w:space="0" w:color="auto"/>
        <w:right w:val="none" w:sz="0" w:space="0" w:color="auto"/>
      </w:divBdr>
    </w:div>
    <w:div w:id="565266938">
      <w:bodyDiv w:val="1"/>
      <w:marLeft w:val="0"/>
      <w:marRight w:val="0"/>
      <w:marTop w:val="0"/>
      <w:marBottom w:val="0"/>
      <w:divBdr>
        <w:top w:val="none" w:sz="0" w:space="0" w:color="auto"/>
        <w:left w:val="none" w:sz="0" w:space="0" w:color="auto"/>
        <w:bottom w:val="none" w:sz="0" w:space="0" w:color="auto"/>
        <w:right w:val="none" w:sz="0" w:space="0" w:color="auto"/>
      </w:divBdr>
    </w:div>
    <w:div w:id="646016750">
      <w:bodyDiv w:val="1"/>
      <w:marLeft w:val="0"/>
      <w:marRight w:val="0"/>
      <w:marTop w:val="0"/>
      <w:marBottom w:val="0"/>
      <w:divBdr>
        <w:top w:val="none" w:sz="0" w:space="0" w:color="auto"/>
        <w:left w:val="none" w:sz="0" w:space="0" w:color="auto"/>
        <w:bottom w:val="none" w:sz="0" w:space="0" w:color="auto"/>
        <w:right w:val="none" w:sz="0" w:space="0" w:color="auto"/>
      </w:divBdr>
    </w:div>
    <w:div w:id="659970178">
      <w:bodyDiv w:val="1"/>
      <w:marLeft w:val="0"/>
      <w:marRight w:val="0"/>
      <w:marTop w:val="0"/>
      <w:marBottom w:val="0"/>
      <w:divBdr>
        <w:top w:val="none" w:sz="0" w:space="0" w:color="auto"/>
        <w:left w:val="none" w:sz="0" w:space="0" w:color="auto"/>
        <w:bottom w:val="none" w:sz="0" w:space="0" w:color="auto"/>
        <w:right w:val="none" w:sz="0" w:space="0" w:color="auto"/>
      </w:divBdr>
    </w:div>
    <w:div w:id="694962815">
      <w:bodyDiv w:val="1"/>
      <w:marLeft w:val="0"/>
      <w:marRight w:val="0"/>
      <w:marTop w:val="0"/>
      <w:marBottom w:val="0"/>
      <w:divBdr>
        <w:top w:val="none" w:sz="0" w:space="0" w:color="auto"/>
        <w:left w:val="none" w:sz="0" w:space="0" w:color="auto"/>
        <w:bottom w:val="none" w:sz="0" w:space="0" w:color="auto"/>
        <w:right w:val="none" w:sz="0" w:space="0" w:color="auto"/>
      </w:divBdr>
    </w:div>
    <w:div w:id="709956842">
      <w:bodyDiv w:val="1"/>
      <w:marLeft w:val="0"/>
      <w:marRight w:val="0"/>
      <w:marTop w:val="0"/>
      <w:marBottom w:val="0"/>
      <w:divBdr>
        <w:top w:val="none" w:sz="0" w:space="0" w:color="auto"/>
        <w:left w:val="none" w:sz="0" w:space="0" w:color="auto"/>
        <w:bottom w:val="none" w:sz="0" w:space="0" w:color="auto"/>
        <w:right w:val="none" w:sz="0" w:space="0" w:color="auto"/>
      </w:divBdr>
    </w:div>
    <w:div w:id="929972815">
      <w:bodyDiv w:val="1"/>
      <w:marLeft w:val="0"/>
      <w:marRight w:val="0"/>
      <w:marTop w:val="0"/>
      <w:marBottom w:val="0"/>
      <w:divBdr>
        <w:top w:val="none" w:sz="0" w:space="0" w:color="auto"/>
        <w:left w:val="none" w:sz="0" w:space="0" w:color="auto"/>
        <w:bottom w:val="none" w:sz="0" w:space="0" w:color="auto"/>
        <w:right w:val="none" w:sz="0" w:space="0" w:color="auto"/>
      </w:divBdr>
    </w:div>
    <w:div w:id="1068574347">
      <w:bodyDiv w:val="1"/>
      <w:marLeft w:val="0"/>
      <w:marRight w:val="0"/>
      <w:marTop w:val="0"/>
      <w:marBottom w:val="0"/>
      <w:divBdr>
        <w:top w:val="none" w:sz="0" w:space="0" w:color="auto"/>
        <w:left w:val="none" w:sz="0" w:space="0" w:color="auto"/>
        <w:bottom w:val="none" w:sz="0" w:space="0" w:color="auto"/>
        <w:right w:val="none" w:sz="0" w:space="0" w:color="auto"/>
      </w:divBdr>
    </w:div>
    <w:div w:id="1123306657">
      <w:bodyDiv w:val="1"/>
      <w:marLeft w:val="0"/>
      <w:marRight w:val="0"/>
      <w:marTop w:val="0"/>
      <w:marBottom w:val="0"/>
      <w:divBdr>
        <w:top w:val="none" w:sz="0" w:space="0" w:color="auto"/>
        <w:left w:val="none" w:sz="0" w:space="0" w:color="auto"/>
        <w:bottom w:val="none" w:sz="0" w:space="0" w:color="auto"/>
        <w:right w:val="none" w:sz="0" w:space="0" w:color="auto"/>
      </w:divBdr>
    </w:div>
    <w:div w:id="1142847758">
      <w:bodyDiv w:val="1"/>
      <w:marLeft w:val="0"/>
      <w:marRight w:val="0"/>
      <w:marTop w:val="0"/>
      <w:marBottom w:val="0"/>
      <w:divBdr>
        <w:top w:val="none" w:sz="0" w:space="0" w:color="auto"/>
        <w:left w:val="none" w:sz="0" w:space="0" w:color="auto"/>
        <w:bottom w:val="none" w:sz="0" w:space="0" w:color="auto"/>
        <w:right w:val="none" w:sz="0" w:space="0" w:color="auto"/>
      </w:divBdr>
    </w:div>
    <w:div w:id="1166167885">
      <w:bodyDiv w:val="1"/>
      <w:marLeft w:val="0"/>
      <w:marRight w:val="0"/>
      <w:marTop w:val="0"/>
      <w:marBottom w:val="0"/>
      <w:divBdr>
        <w:top w:val="none" w:sz="0" w:space="0" w:color="auto"/>
        <w:left w:val="none" w:sz="0" w:space="0" w:color="auto"/>
        <w:bottom w:val="none" w:sz="0" w:space="0" w:color="auto"/>
        <w:right w:val="none" w:sz="0" w:space="0" w:color="auto"/>
      </w:divBdr>
    </w:div>
    <w:div w:id="1338846551">
      <w:bodyDiv w:val="1"/>
      <w:marLeft w:val="0"/>
      <w:marRight w:val="0"/>
      <w:marTop w:val="0"/>
      <w:marBottom w:val="0"/>
      <w:divBdr>
        <w:top w:val="none" w:sz="0" w:space="0" w:color="auto"/>
        <w:left w:val="none" w:sz="0" w:space="0" w:color="auto"/>
        <w:bottom w:val="none" w:sz="0" w:space="0" w:color="auto"/>
        <w:right w:val="none" w:sz="0" w:space="0" w:color="auto"/>
      </w:divBdr>
    </w:div>
    <w:div w:id="1349330484">
      <w:bodyDiv w:val="1"/>
      <w:marLeft w:val="0"/>
      <w:marRight w:val="0"/>
      <w:marTop w:val="0"/>
      <w:marBottom w:val="0"/>
      <w:divBdr>
        <w:top w:val="none" w:sz="0" w:space="0" w:color="auto"/>
        <w:left w:val="none" w:sz="0" w:space="0" w:color="auto"/>
        <w:bottom w:val="none" w:sz="0" w:space="0" w:color="auto"/>
        <w:right w:val="none" w:sz="0" w:space="0" w:color="auto"/>
      </w:divBdr>
    </w:div>
    <w:div w:id="1355423628">
      <w:bodyDiv w:val="1"/>
      <w:marLeft w:val="0"/>
      <w:marRight w:val="0"/>
      <w:marTop w:val="0"/>
      <w:marBottom w:val="0"/>
      <w:divBdr>
        <w:top w:val="none" w:sz="0" w:space="0" w:color="auto"/>
        <w:left w:val="none" w:sz="0" w:space="0" w:color="auto"/>
        <w:bottom w:val="none" w:sz="0" w:space="0" w:color="auto"/>
        <w:right w:val="none" w:sz="0" w:space="0" w:color="auto"/>
      </w:divBdr>
    </w:div>
    <w:div w:id="1382288942">
      <w:bodyDiv w:val="1"/>
      <w:marLeft w:val="0"/>
      <w:marRight w:val="0"/>
      <w:marTop w:val="0"/>
      <w:marBottom w:val="0"/>
      <w:divBdr>
        <w:top w:val="none" w:sz="0" w:space="0" w:color="auto"/>
        <w:left w:val="none" w:sz="0" w:space="0" w:color="auto"/>
        <w:bottom w:val="none" w:sz="0" w:space="0" w:color="auto"/>
        <w:right w:val="none" w:sz="0" w:space="0" w:color="auto"/>
      </w:divBdr>
    </w:div>
    <w:div w:id="1422683712">
      <w:bodyDiv w:val="1"/>
      <w:marLeft w:val="0"/>
      <w:marRight w:val="0"/>
      <w:marTop w:val="0"/>
      <w:marBottom w:val="0"/>
      <w:divBdr>
        <w:top w:val="none" w:sz="0" w:space="0" w:color="auto"/>
        <w:left w:val="none" w:sz="0" w:space="0" w:color="auto"/>
        <w:bottom w:val="none" w:sz="0" w:space="0" w:color="auto"/>
        <w:right w:val="none" w:sz="0" w:space="0" w:color="auto"/>
      </w:divBdr>
      <w:divsChild>
        <w:div w:id="1804690740">
          <w:marLeft w:val="0"/>
          <w:marRight w:val="0"/>
          <w:marTop w:val="0"/>
          <w:marBottom w:val="0"/>
          <w:divBdr>
            <w:top w:val="none" w:sz="0" w:space="0" w:color="auto"/>
            <w:left w:val="none" w:sz="0" w:space="0" w:color="auto"/>
            <w:bottom w:val="none" w:sz="0" w:space="0" w:color="auto"/>
            <w:right w:val="none" w:sz="0" w:space="0" w:color="auto"/>
          </w:divBdr>
        </w:div>
        <w:div w:id="1735155988">
          <w:marLeft w:val="0"/>
          <w:marRight w:val="0"/>
          <w:marTop w:val="0"/>
          <w:marBottom w:val="0"/>
          <w:divBdr>
            <w:top w:val="none" w:sz="0" w:space="0" w:color="auto"/>
            <w:left w:val="none" w:sz="0" w:space="0" w:color="auto"/>
            <w:bottom w:val="none" w:sz="0" w:space="0" w:color="auto"/>
            <w:right w:val="none" w:sz="0" w:space="0" w:color="auto"/>
          </w:divBdr>
          <w:divsChild>
            <w:div w:id="921791198">
              <w:marLeft w:val="-75"/>
              <w:marRight w:val="-75"/>
              <w:marTop w:val="0"/>
              <w:marBottom w:val="0"/>
              <w:divBdr>
                <w:top w:val="none" w:sz="0" w:space="0" w:color="auto"/>
                <w:left w:val="none" w:sz="0" w:space="0" w:color="auto"/>
                <w:bottom w:val="none" w:sz="0" w:space="0" w:color="auto"/>
                <w:right w:val="none" w:sz="0" w:space="0" w:color="auto"/>
              </w:divBdr>
              <w:divsChild>
                <w:div w:id="6961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0891">
      <w:bodyDiv w:val="1"/>
      <w:marLeft w:val="0"/>
      <w:marRight w:val="0"/>
      <w:marTop w:val="0"/>
      <w:marBottom w:val="0"/>
      <w:divBdr>
        <w:top w:val="none" w:sz="0" w:space="0" w:color="auto"/>
        <w:left w:val="none" w:sz="0" w:space="0" w:color="auto"/>
        <w:bottom w:val="none" w:sz="0" w:space="0" w:color="auto"/>
        <w:right w:val="none" w:sz="0" w:space="0" w:color="auto"/>
      </w:divBdr>
    </w:div>
    <w:div w:id="1475171491">
      <w:bodyDiv w:val="1"/>
      <w:marLeft w:val="0"/>
      <w:marRight w:val="0"/>
      <w:marTop w:val="0"/>
      <w:marBottom w:val="0"/>
      <w:divBdr>
        <w:top w:val="none" w:sz="0" w:space="0" w:color="auto"/>
        <w:left w:val="none" w:sz="0" w:space="0" w:color="auto"/>
        <w:bottom w:val="none" w:sz="0" w:space="0" w:color="auto"/>
        <w:right w:val="none" w:sz="0" w:space="0" w:color="auto"/>
      </w:divBdr>
    </w:div>
    <w:div w:id="1531607792">
      <w:bodyDiv w:val="1"/>
      <w:marLeft w:val="0"/>
      <w:marRight w:val="0"/>
      <w:marTop w:val="0"/>
      <w:marBottom w:val="0"/>
      <w:divBdr>
        <w:top w:val="none" w:sz="0" w:space="0" w:color="auto"/>
        <w:left w:val="none" w:sz="0" w:space="0" w:color="auto"/>
        <w:bottom w:val="none" w:sz="0" w:space="0" w:color="auto"/>
        <w:right w:val="none" w:sz="0" w:space="0" w:color="auto"/>
      </w:divBdr>
    </w:div>
    <w:div w:id="1558778213">
      <w:bodyDiv w:val="1"/>
      <w:marLeft w:val="0"/>
      <w:marRight w:val="0"/>
      <w:marTop w:val="0"/>
      <w:marBottom w:val="0"/>
      <w:divBdr>
        <w:top w:val="none" w:sz="0" w:space="0" w:color="auto"/>
        <w:left w:val="none" w:sz="0" w:space="0" w:color="auto"/>
        <w:bottom w:val="none" w:sz="0" w:space="0" w:color="auto"/>
        <w:right w:val="none" w:sz="0" w:space="0" w:color="auto"/>
      </w:divBdr>
    </w:div>
    <w:div w:id="1581403447">
      <w:bodyDiv w:val="1"/>
      <w:marLeft w:val="0"/>
      <w:marRight w:val="0"/>
      <w:marTop w:val="0"/>
      <w:marBottom w:val="0"/>
      <w:divBdr>
        <w:top w:val="none" w:sz="0" w:space="0" w:color="auto"/>
        <w:left w:val="none" w:sz="0" w:space="0" w:color="auto"/>
        <w:bottom w:val="none" w:sz="0" w:space="0" w:color="auto"/>
        <w:right w:val="none" w:sz="0" w:space="0" w:color="auto"/>
      </w:divBdr>
    </w:div>
    <w:div w:id="1620456294">
      <w:bodyDiv w:val="1"/>
      <w:marLeft w:val="0"/>
      <w:marRight w:val="0"/>
      <w:marTop w:val="0"/>
      <w:marBottom w:val="0"/>
      <w:divBdr>
        <w:top w:val="none" w:sz="0" w:space="0" w:color="auto"/>
        <w:left w:val="none" w:sz="0" w:space="0" w:color="auto"/>
        <w:bottom w:val="none" w:sz="0" w:space="0" w:color="auto"/>
        <w:right w:val="none" w:sz="0" w:space="0" w:color="auto"/>
      </w:divBdr>
    </w:div>
    <w:div w:id="1653943654">
      <w:bodyDiv w:val="1"/>
      <w:marLeft w:val="0"/>
      <w:marRight w:val="0"/>
      <w:marTop w:val="0"/>
      <w:marBottom w:val="0"/>
      <w:divBdr>
        <w:top w:val="none" w:sz="0" w:space="0" w:color="auto"/>
        <w:left w:val="none" w:sz="0" w:space="0" w:color="auto"/>
        <w:bottom w:val="none" w:sz="0" w:space="0" w:color="auto"/>
        <w:right w:val="none" w:sz="0" w:space="0" w:color="auto"/>
      </w:divBdr>
    </w:div>
    <w:div w:id="1742681714">
      <w:bodyDiv w:val="1"/>
      <w:marLeft w:val="0"/>
      <w:marRight w:val="0"/>
      <w:marTop w:val="0"/>
      <w:marBottom w:val="0"/>
      <w:divBdr>
        <w:top w:val="none" w:sz="0" w:space="0" w:color="auto"/>
        <w:left w:val="none" w:sz="0" w:space="0" w:color="auto"/>
        <w:bottom w:val="none" w:sz="0" w:space="0" w:color="auto"/>
        <w:right w:val="none" w:sz="0" w:space="0" w:color="auto"/>
      </w:divBdr>
    </w:div>
    <w:div w:id="1848522958">
      <w:bodyDiv w:val="1"/>
      <w:marLeft w:val="0"/>
      <w:marRight w:val="0"/>
      <w:marTop w:val="0"/>
      <w:marBottom w:val="0"/>
      <w:divBdr>
        <w:top w:val="none" w:sz="0" w:space="0" w:color="auto"/>
        <w:left w:val="none" w:sz="0" w:space="0" w:color="auto"/>
        <w:bottom w:val="none" w:sz="0" w:space="0" w:color="auto"/>
        <w:right w:val="none" w:sz="0" w:space="0" w:color="auto"/>
      </w:divBdr>
    </w:div>
    <w:div w:id="1863468681">
      <w:bodyDiv w:val="1"/>
      <w:marLeft w:val="0"/>
      <w:marRight w:val="0"/>
      <w:marTop w:val="0"/>
      <w:marBottom w:val="0"/>
      <w:divBdr>
        <w:top w:val="none" w:sz="0" w:space="0" w:color="auto"/>
        <w:left w:val="none" w:sz="0" w:space="0" w:color="auto"/>
        <w:bottom w:val="none" w:sz="0" w:space="0" w:color="auto"/>
        <w:right w:val="none" w:sz="0" w:space="0" w:color="auto"/>
      </w:divBdr>
    </w:div>
    <w:div w:id="1921136733">
      <w:bodyDiv w:val="1"/>
      <w:marLeft w:val="0"/>
      <w:marRight w:val="0"/>
      <w:marTop w:val="0"/>
      <w:marBottom w:val="0"/>
      <w:divBdr>
        <w:top w:val="none" w:sz="0" w:space="0" w:color="auto"/>
        <w:left w:val="none" w:sz="0" w:space="0" w:color="auto"/>
        <w:bottom w:val="none" w:sz="0" w:space="0" w:color="auto"/>
        <w:right w:val="none" w:sz="0" w:space="0" w:color="auto"/>
      </w:divBdr>
    </w:div>
    <w:div w:id="19724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2F3A-BA95-2B47-A714-A425566D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30</Pages>
  <Words>24557</Words>
  <Characters>139975</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Krafft</dc:creator>
  <cp:keywords/>
  <dc:description/>
  <cp:lastModifiedBy>Jennifer Krafft</cp:lastModifiedBy>
  <cp:revision>36</cp:revision>
  <dcterms:created xsi:type="dcterms:W3CDTF">2021-04-02T15:54:00Z</dcterms:created>
  <dcterms:modified xsi:type="dcterms:W3CDTF">2021-04-06T16:40:00Z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582b7677-ed7a-37f2-bcdb-9ec4151e8160</vt:lpwstr>
  </property>
  <property fmtid="{D5CDD505-2E9C-101B-9397-08002B2CF9AE}" pid="24" name="Mendeley Citation Style_1">
    <vt:lpwstr>http://www.zotero.org/styles/apa</vt:lpwstr>
  </property>
</Properties>
</file>