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184FD" w14:textId="77777777" w:rsidR="00955DBA" w:rsidRDefault="00955DBA" w:rsidP="00955DBA">
      <w:pPr>
        <w:spacing w:line="480" w:lineRule="auto"/>
        <w:jc w:val="center"/>
      </w:pPr>
      <w:bookmarkStart w:id="0" w:name="_GoBack"/>
      <w:bookmarkEnd w:id="0"/>
    </w:p>
    <w:p w14:paraId="3B978D57" w14:textId="77777777" w:rsidR="00955DBA" w:rsidRDefault="00955DBA" w:rsidP="00955DBA">
      <w:pPr>
        <w:spacing w:line="480" w:lineRule="auto"/>
        <w:jc w:val="center"/>
      </w:pPr>
    </w:p>
    <w:p w14:paraId="40161B9F" w14:textId="77777777" w:rsidR="00955DBA" w:rsidRDefault="00955DBA" w:rsidP="00955DBA">
      <w:pPr>
        <w:spacing w:line="480" w:lineRule="auto"/>
        <w:jc w:val="center"/>
      </w:pPr>
    </w:p>
    <w:p w14:paraId="2B2E7483" w14:textId="77777777" w:rsidR="00955DBA" w:rsidRDefault="00955DBA" w:rsidP="00955DBA">
      <w:pPr>
        <w:spacing w:line="480" w:lineRule="auto"/>
        <w:jc w:val="center"/>
      </w:pPr>
    </w:p>
    <w:p w14:paraId="30387F96" w14:textId="77777777" w:rsidR="00955DBA" w:rsidRDefault="00955DBA" w:rsidP="00955DBA">
      <w:pPr>
        <w:spacing w:line="480" w:lineRule="auto"/>
        <w:jc w:val="center"/>
      </w:pPr>
    </w:p>
    <w:p w14:paraId="0283679A" w14:textId="77777777" w:rsidR="00955DBA" w:rsidRDefault="00955DBA" w:rsidP="00955DBA">
      <w:pPr>
        <w:spacing w:line="480" w:lineRule="auto"/>
        <w:jc w:val="center"/>
      </w:pPr>
    </w:p>
    <w:p w14:paraId="062A24B7" w14:textId="77777777" w:rsidR="00955DBA" w:rsidRDefault="00955DBA" w:rsidP="00955DBA">
      <w:pPr>
        <w:spacing w:line="480" w:lineRule="auto"/>
        <w:jc w:val="center"/>
        <w:outlineLvl w:val="0"/>
      </w:pPr>
      <w:r>
        <w:t xml:space="preserve">Acceptance and Commitment Therapy for Trichotillomania: </w:t>
      </w:r>
    </w:p>
    <w:p w14:paraId="19CF2294" w14:textId="77777777" w:rsidR="00955DBA" w:rsidRDefault="00955DBA" w:rsidP="00955DBA">
      <w:pPr>
        <w:spacing w:line="480" w:lineRule="auto"/>
        <w:jc w:val="center"/>
        <w:outlineLvl w:val="0"/>
      </w:pPr>
      <w:r>
        <w:t>A Randomized Controlled Trial of Adults and Adolescents</w:t>
      </w:r>
    </w:p>
    <w:p w14:paraId="3A6E44AC" w14:textId="77777777" w:rsidR="00955DBA" w:rsidRDefault="00955DBA" w:rsidP="00955DBA">
      <w:pPr>
        <w:spacing w:line="480" w:lineRule="auto"/>
        <w:jc w:val="center"/>
      </w:pPr>
    </w:p>
    <w:p w14:paraId="334D5EED" w14:textId="77777777" w:rsidR="00955DBA" w:rsidRDefault="00955DBA" w:rsidP="00955DBA">
      <w:pPr>
        <w:spacing w:line="480" w:lineRule="auto"/>
        <w:jc w:val="center"/>
      </w:pPr>
      <w:r>
        <w:t>Eric B. Lee, M.A.</w:t>
      </w:r>
    </w:p>
    <w:p w14:paraId="3A3F8390" w14:textId="77777777" w:rsidR="00955DBA" w:rsidRDefault="00955DBA" w:rsidP="00955DBA">
      <w:pPr>
        <w:spacing w:line="480" w:lineRule="auto"/>
        <w:jc w:val="center"/>
      </w:pPr>
      <w:r>
        <w:t>Kendra J. Homan, Ph.D.</w:t>
      </w:r>
    </w:p>
    <w:p w14:paraId="31A70082" w14:textId="77777777" w:rsidR="00955DBA" w:rsidRDefault="00955DBA" w:rsidP="00955DBA">
      <w:pPr>
        <w:spacing w:line="480" w:lineRule="auto"/>
        <w:jc w:val="center"/>
      </w:pPr>
      <w:r>
        <w:t>Kate L. Morrison, M.S.</w:t>
      </w:r>
    </w:p>
    <w:p w14:paraId="6ECB42DB" w14:textId="77777777" w:rsidR="00955DBA" w:rsidRDefault="00955DBA" w:rsidP="00955DBA">
      <w:pPr>
        <w:spacing w:line="480" w:lineRule="auto"/>
        <w:jc w:val="center"/>
      </w:pPr>
      <w:r>
        <w:t>Clarissa W. Ong, B.A.</w:t>
      </w:r>
    </w:p>
    <w:p w14:paraId="06D0BE47" w14:textId="77777777" w:rsidR="00955DBA" w:rsidRDefault="00955DBA" w:rsidP="00955DBA">
      <w:pPr>
        <w:spacing w:line="480" w:lineRule="auto"/>
        <w:jc w:val="center"/>
      </w:pPr>
      <w:r>
        <w:t>Michael E. Levin, Ph.D.</w:t>
      </w:r>
    </w:p>
    <w:p w14:paraId="112060DE" w14:textId="77777777" w:rsidR="00955DBA" w:rsidRDefault="00955DBA" w:rsidP="00955DBA">
      <w:pPr>
        <w:spacing w:line="480" w:lineRule="auto"/>
        <w:jc w:val="center"/>
      </w:pPr>
      <w:r>
        <w:t>Michael P. Twohig, Ph.D.</w:t>
      </w:r>
    </w:p>
    <w:p w14:paraId="2230EB88" w14:textId="77777777" w:rsidR="00955DBA" w:rsidRDefault="00955DBA" w:rsidP="00955DBA">
      <w:pPr>
        <w:spacing w:line="480" w:lineRule="auto"/>
        <w:jc w:val="center"/>
      </w:pPr>
      <w:r w:rsidRPr="00F60D71">
        <w:t>Utah State University</w:t>
      </w:r>
    </w:p>
    <w:p w14:paraId="49C893CD" w14:textId="77777777" w:rsidR="00955DBA" w:rsidRDefault="00955DBA" w:rsidP="00955DBA">
      <w:pPr>
        <w:spacing w:line="480" w:lineRule="auto"/>
        <w:jc w:val="center"/>
      </w:pPr>
    </w:p>
    <w:p w14:paraId="2EDAFFAF" w14:textId="77777777" w:rsidR="00955DBA" w:rsidRDefault="00955DBA" w:rsidP="00955DBA">
      <w:pPr>
        <w:spacing w:line="480" w:lineRule="auto"/>
        <w:jc w:val="center"/>
      </w:pPr>
    </w:p>
    <w:p w14:paraId="228F98BE" w14:textId="77777777" w:rsidR="00955DBA" w:rsidRDefault="00955DBA" w:rsidP="00955DBA">
      <w:pPr>
        <w:spacing w:line="480" w:lineRule="auto"/>
        <w:jc w:val="center"/>
      </w:pPr>
    </w:p>
    <w:p w14:paraId="79E38564" w14:textId="77777777" w:rsidR="00955DBA" w:rsidRDefault="00955DBA" w:rsidP="00955DBA">
      <w:pPr>
        <w:spacing w:line="480" w:lineRule="auto"/>
        <w:jc w:val="center"/>
      </w:pPr>
    </w:p>
    <w:p w14:paraId="28813B66" w14:textId="77777777" w:rsidR="00955DBA" w:rsidRPr="001E0899" w:rsidRDefault="00955DBA" w:rsidP="00955DBA">
      <w:pPr>
        <w:spacing w:line="480" w:lineRule="auto"/>
      </w:pPr>
      <w:r w:rsidRPr="001E0899">
        <w:t xml:space="preserve">Corresponding Author: </w:t>
      </w:r>
    </w:p>
    <w:p w14:paraId="00D08B74" w14:textId="77777777" w:rsidR="00955DBA" w:rsidRPr="001E0899" w:rsidRDefault="00955DBA" w:rsidP="00955DBA">
      <w:r>
        <w:t>Eric B. Lee</w:t>
      </w:r>
    </w:p>
    <w:p w14:paraId="5B829AFC" w14:textId="77777777" w:rsidR="00955DBA" w:rsidRPr="001E0899" w:rsidRDefault="00955DBA" w:rsidP="00955DBA">
      <w:r w:rsidRPr="001E0899">
        <w:t>Department of Psychology</w:t>
      </w:r>
    </w:p>
    <w:p w14:paraId="3C809814" w14:textId="77777777" w:rsidR="00955DBA" w:rsidRPr="001E0899" w:rsidRDefault="00955DBA" w:rsidP="00955DBA">
      <w:r w:rsidRPr="001E0899">
        <w:t>Utah State University</w:t>
      </w:r>
    </w:p>
    <w:p w14:paraId="2C57171A" w14:textId="77777777" w:rsidR="00955DBA" w:rsidRPr="001E0899" w:rsidRDefault="00955DBA" w:rsidP="00955DBA">
      <w:r w:rsidRPr="001E0899">
        <w:t>2810 Old Main Hill</w:t>
      </w:r>
    </w:p>
    <w:p w14:paraId="241E0023" w14:textId="77777777" w:rsidR="00955DBA" w:rsidRPr="001E0899" w:rsidRDefault="00955DBA" w:rsidP="00955DBA">
      <w:r w:rsidRPr="001E0899">
        <w:t>Logan, UT 84322</w:t>
      </w:r>
    </w:p>
    <w:p w14:paraId="2DF80154" w14:textId="77777777" w:rsidR="00955DBA" w:rsidRPr="001E0899" w:rsidRDefault="00955DBA" w:rsidP="00955DBA">
      <w:r w:rsidRPr="004B10E8">
        <w:t>eric.lee@aggiemail.usu.edu</w:t>
      </w:r>
    </w:p>
    <w:p w14:paraId="1E57B95A" w14:textId="77777777" w:rsidR="00955DBA" w:rsidRPr="0066703C" w:rsidRDefault="00955DBA" w:rsidP="00955DBA">
      <w:pPr>
        <w:spacing w:line="480" w:lineRule="auto"/>
      </w:pPr>
      <w:r w:rsidRPr="004B10E8">
        <w:t>(435) 797-8303</w:t>
      </w:r>
    </w:p>
    <w:p w14:paraId="266E7043" w14:textId="77777777" w:rsidR="00955DBA" w:rsidRDefault="00955DBA" w:rsidP="00955DBA">
      <w:r>
        <w:br w:type="page"/>
      </w:r>
    </w:p>
    <w:p w14:paraId="75D58783" w14:textId="77777777" w:rsidR="00955DBA" w:rsidRDefault="00955DBA" w:rsidP="00955DBA"/>
    <w:p w14:paraId="1BBCB03E" w14:textId="77777777" w:rsidR="00955DBA" w:rsidRDefault="00955DBA" w:rsidP="00955DBA">
      <w:pPr>
        <w:spacing w:line="480" w:lineRule="auto"/>
        <w:jc w:val="center"/>
      </w:pPr>
      <w:r>
        <w:t>Abstract</w:t>
      </w:r>
    </w:p>
    <w:p w14:paraId="30C1F38C" w14:textId="77777777" w:rsidR="00955DBA" w:rsidRDefault="00955DBA" w:rsidP="00955DBA">
      <w:pPr>
        <w:spacing w:line="480" w:lineRule="auto"/>
      </w:pPr>
      <w:r w:rsidRPr="00994BEF">
        <w:t>Objective: The purpose of this study was to examine acceptance and commitment therapy (ACT) as a standalone treatment for trichotillomania in a randomized controlled trial of adults and adolescents. Method: Participants consisted of a community sample of treatment seeking adults and adolescents with trichotillomania. Of the eligible 39 participants randomized into treatment and waitlist groups, 25 completed treatment and were included in the final analysis. Treatment consisted of a 10-session ACT protocol. Results: Multiple mixed models repeated measures analyses were utilized to evaluate changes in trichotillomania symptom severity, daily number of hairs pulled and urges experienced, and experiential avoidance from pre- to post-treatment. Findings indicated significant changes in symptom severity and daily hairs pulled, but not daily urges experienced or psychological flexibility. However, psychological flexibility saw a 24.5% decrease in the treatment group and reduced from clinical to subclinical levels on average. Discussion: This study suggests that ACT alone is an effective treatment for adults and adolescents with trichotillomania. Outcomes appear to be similar to trials that combined ACT and habit reversal training (HRT).</w:t>
      </w:r>
    </w:p>
    <w:p w14:paraId="1BA8FE1B" w14:textId="77777777" w:rsidR="00955DBA" w:rsidRPr="00994BEF" w:rsidRDefault="00955DBA" w:rsidP="00955DBA">
      <w:pPr>
        <w:spacing w:line="480" w:lineRule="auto"/>
      </w:pPr>
      <w:r>
        <w:tab/>
      </w:r>
      <w:r>
        <w:rPr>
          <w:i/>
        </w:rPr>
        <w:t>Keywords:</w:t>
      </w:r>
      <w:r>
        <w:t xml:space="preserve"> trichotillomania, acceptance and commitment t</w:t>
      </w:r>
      <w:r w:rsidRPr="00994BEF">
        <w:t>herapy</w:t>
      </w:r>
      <w:r>
        <w:t>, randomized controlled trial</w:t>
      </w:r>
    </w:p>
    <w:p w14:paraId="3D2906C9" w14:textId="77777777" w:rsidR="00955DBA" w:rsidRDefault="00955DBA" w:rsidP="00955DBA">
      <w:r>
        <w:br w:type="page"/>
      </w:r>
    </w:p>
    <w:p w14:paraId="16C343C6" w14:textId="77777777" w:rsidR="004246AF" w:rsidRDefault="004246AF" w:rsidP="004246AF">
      <w:pPr>
        <w:spacing w:line="480" w:lineRule="auto"/>
        <w:jc w:val="center"/>
        <w:outlineLvl w:val="0"/>
      </w:pPr>
      <w:r>
        <w:lastRenderedPageBreak/>
        <w:t xml:space="preserve">Acceptance and Commitment Therapy for Trichotillomania: </w:t>
      </w:r>
    </w:p>
    <w:p w14:paraId="5C0BCA43" w14:textId="77777777" w:rsidR="004246AF" w:rsidRDefault="004246AF" w:rsidP="004246AF">
      <w:pPr>
        <w:spacing w:line="480" w:lineRule="auto"/>
        <w:jc w:val="center"/>
        <w:outlineLvl w:val="0"/>
      </w:pPr>
      <w:r>
        <w:t>A Randomized Controlled Trial of Adults and Adolescents</w:t>
      </w:r>
    </w:p>
    <w:p w14:paraId="4B5B432E" w14:textId="77777777" w:rsidR="00087234" w:rsidRPr="006433A6" w:rsidRDefault="00234E9A" w:rsidP="00B55E7E">
      <w:pPr>
        <w:pStyle w:val="BodyText1"/>
        <w:spacing w:before="0" w:after="0"/>
        <w:ind w:firstLine="720"/>
        <w:rPr>
          <w:rFonts w:ascii="Times New Roman" w:hAnsi="Times New Roman" w:cs="Times New Roman"/>
          <w:noProof/>
        </w:rPr>
      </w:pPr>
      <w:r>
        <w:rPr>
          <w:rFonts w:ascii="Times New Roman" w:hAnsi="Times New Roman" w:cs="Times New Roman"/>
        </w:rPr>
        <w:t>Trichotillomania</w:t>
      </w:r>
      <w:r w:rsidR="003D1B0D">
        <w:rPr>
          <w:rFonts w:ascii="Times New Roman" w:hAnsi="Times New Roman" w:cs="Times New Roman"/>
        </w:rPr>
        <w:t xml:space="preserve"> (Hair-Pulling Disorder)</w:t>
      </w:r>
      <w:r w:rsidR="009259BB" w:rsidRPr="006433A6">
        <w:rPr>
          <w:rFonts w:ascii="Times New Roman" w:hAnsi="Times New Roman" w:cs="Times New Roman"/>
        </w:rPr>
        <w:t xml:space="preserve"> is characterized by repetitively pulling out hair</w:t>
      </w:r>
      <w:r w:rsidR="0048235C">
        <w:rPr>
          <w:rFonts w:ascii="Times New Roman" w:hAnsi="Times New Roman" w:cs="Times New Roman"/>
        </w:rPr>
        <w:t xml:space="preserve"> that interferes with functioning</w:t>
      </w:r>
      <w:r w:rsidR="009259BB" w:rsidRPr="006433A6">
        <w:rPr>
          <w:rFonts w:ascii="Times New Roman" w:hAnsi="Times New Roman" w:cs="Times New Roman"/>
        </w:rPr>
        <w:t xml:space="preserve">. Hair </w:t>
      </w:r>
      <w:r w:rsidR="009F0BB4">
        <w:rPr>
          <w:rFonts w:ascii="Times New Roman" w:hAnsi="Times New Roman" w:cs="Times New Roman"/>
        </w:rPr>
        <w:t>can be</w:t>
      </w:r>
      <w:r w:rsidR="009259BB" w:rsidRPr="006433A6">
        <w:rPr>
          <w:rFonts w:ascii="Times New Roman" w:hAnsi="Times New Roman" w:cs="Times New Roman"/>
        </w:rPr>
        <w:t xml:space="preserve"> pulled f</w:t>
      </w:r>
      <w:r w:rsidR="00E06643">
        <w:rPr>
          <w:rFonts w:ascii="Times New Roman" w:hAnsi="Times New Roman" w:cs="Times New Roman"/>
        </w:rPr>
        <w:t>rom various parts of the body</w:t>
      </w:r>
      <w:r w:rsidR="009F0BB4">
        <w:rPr>
          <w:rFonts w:ascii="Times New Roman" w:hAnsi="Times New Roman" w:cs="Times New Roman"/>
        </w:rPr>
        <w:t>, with the</w:t>
      </w:r>
      <w:r w:rsidR="00E06643">
        <w:rPr>
          <w:rFonts w:ascii="Times New Roman" w:hAnsi="Times New Roman" w:cs="Times New Roman"/>
        </w:rPr>
        <w:t xml:space="preserve"> m</w:t>
      </w:r>
      <w:r w:rsidR="009F0BB4">
        <w:rPr>
          <w:rFonts w:ascii="Times New Roman" w:hAnsi="Times New Roman" w:cs="Times New Roman"/>
        </w:rPr>
        <w:t xml:space="preserve">ost common </w:t>
      </w:r>
      <w:r w:rsidR="009259BB" w:rsidRPr="006433A6">
        <w:rPr>
          <w:rFonts w:ascii="Times New Roman" w:hAnsi="Times New Roman" w:cs="Times New Roman"/>
        </w:rPr>
        <w:t xml:space="preserve">locations </w:t>
      </w:r>
      <w:r w:rsidR="009F0BB4">
        <w:rPr>
          <w:rFonts w:ascii="Times New Roman" w:hAnsi="Times New Roman" w:cs="Times New Roman"/>
        </w:rPr>
        <w:t>being</w:t>
      </w:r>
      <w:r w:rsidR="009259BB" w:rsidRPr="006433A6">
        <w:rPr>
          <w:rFonts w:ascii="Times New Roman" w:hAnsi="Times New Roman" w:cs="Times New Roman"/>
        </w:rPr>
        <w:t xml:space="preserve"> the head, eyebrows, eyelashes, </w:t>
      </w:r>
      <w:r w:rsidR="00C6597F">
        <w:rPr>
          <w:rFonts w:ascii="Times New Roman" w:hAnsi="Times New Roman" w:cs="Times New Roman"/>
        </w:rPr>
        <w:t xml:space="preserve">stomach/back, facial hair, arms, legs, and pubic area </w:t>
      </w:r>
      <w:r w:rsidR="0068689D">
        <w:rPr>
          <w:rFonts w:ascii="Times New Roman" w:hAnsi="Times New Roman" w:cs="Times New Roman"/>
          <w:noProof/>
        </w:rPr>
        <w:t>(Duke, Keeley, Geffken, &amp; Storch, 2010)</w:t>
      </w:r>
      <w:r w:rsidR="0068689D" w:rsidRPr="006433A6">
        <w:rPr>
          <w:rFonts w:ascii="Times New Roman" w:hAnsi="Times New Roman" w:cs="Times New Roman"/>
        </w:rPr>
        <w:t>.</w:t>
      </w:r>
      <w:r w:rsidR="0068689D">
        <w:rPr>
          <w:rFonts w:ascii="Times New Roman" w:hAnsi="Times New Roman" w:cs="Times New Roman"/>
        </w:rPr>
        <w:t xml:space="preserve"> </w:t>
      </w:r>
      <w:r w:rsidR="009259BB" w:rsidRPr="006433A6">
        <w:rPr>
          <w:rFonts w:ascii="Times New Roman" w:hAnsi="Times New Roman" w:cs="Times New Roman"/>
        </w:rPr>
        <w:t>Hair pulling is often</w:t>
      </w:r>
      <w:r>
        <w:rPr>
          <w:rFonts w:ascii="Times New Roman" w:hAnsi="Times New Roman" w:cs="Times New Roman"/>
        </w:rPr>
        <w:t xml:space="preserve"> preceded by urges—</w:t>
      </w:r>
      <w:r w:rsidR="009259BB" w:rsidRPr="006433A6">
        <w:rPr>
          <w:rFonts w:ascii="Times New Roman" w:hAnsi="Times New Roman" w:cs="Times New Roman"/>
        </w:rPr>
        <w:t xml:space="preserve">physical sensations, cognition, and/or emotions that increase in intensity </w:t>
      </w:r>
      <w:r>
        <w:rPr>
          <w:rFonts w:ascii="Times New Roman" w:hAnsi="Times New Roman" w:cs="Times New Roman"/>
        </w:rPr>
        <w:t xml:space="preserve">and </w:t>
      </w:r>
      <w:r w:rsidR="0048235C">
        <w:rPr>
          <w:rFonts w:ascii="Times New Roman" w:hAnsi="Times New Roman" w:cs="Times New Roman"/>
        </w:rPr>
        <w:t>motivate</w:t>
      </w:r>
      <w:r>
        <w:rPr>
          <w:rFonts w:ascii="Times New Roman" w:hAnsi="Times New Roman" w:cs="Times New Roman"/>
        </w:rPr>
        <w:t xml:space="preserve"> hair pulling</w:t>
      </w:r>
      <w:r w:rsidR="009259BB" w:rsidRPr="006433A6">
        <w:rPr>
          <w:rFonts w:ascii="Times New Roman" w:hAnsi="Times New Roman" w:cs="Times New Roman"/>
        </w:rPr>
        <w:t xml:space="preserve">. The urges </w:t>
      </w:r>
      <w:r w:rsidR="00937F44">
        <w:rPr>
          <w:rFonts w:ascii="Times New Roman" w:hAnsi="Times New Roman" w:cs="Times New Roman"/>
        </w:rPr>
        <w:t xml:space="preserve">to pull </w:t>
      </w:r>
      <w:r w:rsidR="009259BB" w:rsidRPr="006433A6">
        <w:rPr>
          <w:rFonts w:ascii="Times New Roman" w:hAnsi="Times New Roman" w:cs="Times New Roman"/>
        </w:rPr>
        <w:t xml:space="preserve">are often reduced or </w:t>
      </w:r>
      <w:r w:rsidR="0068689D">
        <w:rPr>
          <w:rFonts w:ascii="Times New Roman" w:hAnsi="Times New Roman" w:cs="Times New Roman"/>
        </w:rPr>
        <w:t>removed when hairs are pulled</w:t>
      </w:r>
      <w:r>
        <w:rPr>
          <w:rFonts w:ascii="Times New Roman" w:hAnsi="Times New Roman" w:cs="Times New Roman"/>
        </w:rPr>
        <w:t xml:space="preserve"> </w:t>
      </w:r>
      <w:r w:rsidR="0068689D">
        <w:rPr>
          <w:rFonts w:ascii="Times New Roman" w:hAnsi="Times New Roman" w:cs="Times New Roman"/>
          <w:noProof/>
        </w:rPr>
        <w:t>(American Psychiatric Association, 2013)</w:t>
      </w:r>
      <w:r w:rsidR="0068689D" w:rsidRPr="006433A6">
        <w:rPr>
          <w:rFonts w:ascii="Times New Roman" w:hAnsi="Times New Roman" w:cs="Times New Roman"/>
        </w:rPr>
        <w:t>.</w:t>
      </w:r>
    </w:p>
    <w:p w14:paraId="072D298F" w14:textId="77777777" w:rsidR="0039547C" w:rsidRPr="006433A6" w:rsidRDefault="005C3AE3" w:rsidP="00B55E7E">
      <w:pPr>
        <w:pStyle w:val="BodyText1"/>
        <w:spacing w:before="0" w:after="0"/>
        <w:ind w:firstLine="720"/>
        <w:rPr>
          <w:rFonts w:ascii="Times New Roman" w:hAnsi="Times New Roman" w:cs="Times New Roman"/>
        </w:rPr>
      </w:pPr>
      <w:r>
        <w:rPr>
          <w:rFonts w:ascii="Times New Roman" w:hAnsi="Times New Roman" w:cs="Times New Roman"/>
        </w:rPr>
        <w:t xml:space="preserve">Pulling has been conceptualized into two </w:t>
      </w:r>
      <w:r w:rsidR="0048235C">
        <w:rPr>
          <w:rFonts w:ascii="Times New Roman" w:hAnsi="Times New Roman" w:cs="Times New Roman"/>
        </w:rPr>
        <w:t>styles</w:t>
      </w:r>
      <w:r w:rsidR="009259BB" w:rsidRPr="006433A6">
        <w:rPr>
          <w:rFonts w:ascii="Times New Roman" w:hAnsi="Times New Roman" w:cs="Times New Roman"/>
        </w:rPr>
        <w:t xml:space="preserve">: </w:t>
      </w:r>
      <w:r w:rsidR="009259BB" w:rsidRPr="00542A4C">
        <w:rPr>
          <w:rFonts w:ascii="Times New Roman" w:hAnsi="Times New Roman" w:cs="Times New Roman"/>
          <w:i/>
        </w:rPr>
        <w:t>automatic</w:t>
      </w:r>
      <w:r w:rsidR="009259BB" w:rsidRPr="006433A6">
        <w:rPr>
          <w:rFonts w:ascii="Times New Roman" w:hAnsi="Times New Roman" w:cs="Times New Roman"/>
        </w:rPr>
        <w:t xml:space="preserve"> and </w:t>
      </w:r>
      <w:r w:rsidR="009259BB" w:rsidRPr="00542A4C">
        <w:rPr>
          <w:rFonts w:ascii="Times New Roman" w:hAnsi="Times New Roman" w:cs="Times New Roman"/>
          <w:i/>
        </w:rPr>
        <w:t>focused</w:t>
      </w:r>
      <w:r w:rsidR="00A73C47">
        <w:rPr>
          <w:rFonts w:ascii="Times New Roman" w:hAnsi="Times New Roman" w:cs="Times New Roman"/>
        </w:rPr>
        <w:t xml:space="preserve"> </w:t>
      </w:r>
      <w:r w:rsidR="00542A4C">
        <w:rPr>
          <w:rFonts w:ascii="Times New Roman" w:hAnsi="Times New Roman" w:cs="Times New Roman"/>
        </w:rPr>
        <w:fldChar w:fldCharType="begin"/>
      </w:r>
      <w:r w:rsidR="00542A4C">
        <w:rPr>
          <w:rFonts w:ascii="Times New Roman" w:hAnsi="Times New Roman" w:cs="Times New Roman"/>
        </w:rPr>
        <w:instrText xml:space="preserve"> ADDIN EN.CITE &lt;EndNote&gt;&lt;Cite&gt;&lt;Author&gt;Flessner&lt;/Author&gt;&lt;Year&gt;2008&lt;/Year&gt;&lt;RecNum&gt;377&lt;/RecNum&gt;&lt;DisplayText&gt;(Flessner, Woods, Franklin, Cashin, &amp;amp; Keuthen, 2008)&lt;/DisplayText&gt;&lt;record&gt;&lt;rec-number&gt;377&lt;/rec-number&gt;&lt;foreign-keys&gt;&lt;key app="EN" db-id="2v200vasqv9ttfes2zoxf092sstsfexszx90" timestamp="1412785143"&gt;377&lt;/key&gt;&lt;/foreign-keys&gt;&lt;ref-type name="Bill"&gt;4&lt;/ref-type&gt;&lt;contributors&gt;&lt;authors&gt;&lt;author&gt;Flessner, Christopher A&lt;/author&gt;&lt;author&gt;Woods, Douglas W&lt;/author&gt;&lt;author&gt;Franklin, Martin E&lt;/author&gt;&lt;author&gt;Cashin, Susan E&lt;/author&gt;&lt;author&gt;Keuthen, Nancy J&lt;/author&gt;&lt;/authors&gt;&lt;/contributors&gt;&lt;auth-address&gt;Woods, Douglas W., Department of Psychology, University of Wisconsin-Milwaukee, P.O. Box 413, Milwaukee, WI, US, 53211&lt;/auth-address&gt;&lt;titles&gt;&lt;title&gt;The Milwaukee Inventory for Subtypes of Trichotillomania-Adult Version (MIST-A): Development of an instrument for the assessment of &amp;amp;apos;focused&amp;amp;apos; and &amp;amp;apos;automatic&amp;amp;apos; hair pulling.&lt;/title&gt;&lt;secondary-title&gt;J Psychopathol Behav Assess&lt;/secondary-title&gt;&lt;/titles&gt;&lt;pages&gt;20-30&lt;/pages&gt;&lt;volume&gt;30&lt;/volume&gt;&lt;number&gt;1&lt;/number&gt;&lt;dates&gt;&lt;year&gt;2008&lt;/year&gt;&lt;pub-dates&gt;&lt;date&gt;Apr 01&lt;/date&gt;&lt;/pub-dates&gt;&lt;/dates&gt;&lt;publisher&gt;Springer&lt;/publisher&gt;&lt;label&gt;r14928&lt;/label&gt;&lt;urls&gt;&lt;related-urls&gt;&lt;url&gt;dwoods@uwm.edu&lt;/url&gt;&lt;/related-urls&gt;&lt;/urls&gt;&lt;/record&gt;&lt;/Cite&gt;&lt;/EndNote&gt;</w:instrText>
      </w:r>
      <w:r w:rsidR="00542A4C">
        <w:rPr>
          <w:rFonts w:ascii="Times New Roman" w:hAnsi="Times New Roman" w:cs="Times New Roman"/>
        </w:rPr>
        <w:fldChar w:fldCharType="separate"/>
      </w:r>
      <w:r w:rsidR="00542A4C">
        <w:rPr>
          <w:rFonts w:ascii="Times New Roman" w:hAnsi="Times New Roman" w:cs="Times New Roman"/>
          <w:noProof/>
        </w:rPr>
        <w:t>(Flessner, Woods, Franklin, Cashin, &amp; Keuthen, 2008)</w:t>
      </w:r>
      <w:r w:rsidR="00542A4C">
        <w:rPr>
          <w:rFonts w:ascii="Times New Roman" w:hAnsi="Times New Roman" w:cs="Times New Roman"/>
        </w:rPr>
        <w:fldChar w:fldCharType="end"/>
      </w:r>
      <w:r w:rsidR="009259BB" w:rsidRPr="006433A6">
        <w:rPr>
          <w:rFonts w:ascii="Times New Roman" w:hAnsi="Times New Roman" w:cs="Times New Roman"/>
        </w:rPr>
        <w:t>.</w:t>
      </w:r>
      <w:r w:rsidR="008F2E7C">
        <w:rPr>
          <w:rFonts w:ascii="Times New Roman" w:hAnsi="Times New Roman" w:cs="Times New Roman"/>
        </w:rPr>
        <w:t xml:space="preserve"> </w:t>
      </w:r>
      <w:r w:rsidR="00542A4C">
        <w:rPr>
          <w:rFonts w:ascii="Times New Roman" w:hAnsi="Times New Roman" w:cs="Times New Roman"/>
        </w:rPr>
        <w:t>These pulling style</w:t>
      </w:r>
      <w:r w:rsidR="008F2E7C">
        <w:rPr>
          <w:rFonts w:ascii="Times New Roman" w:hAnsi="Times New Roman" w:cs="Times New Roman"/>
        </w:rPr>
        <w:t xml:space="preserve"> </w:t>
      </w:r>
      <w:r w:rsidR="00542A4C">
        <w:rPr>
          <w:rFonts w:ascii="Times New Roman" w:hAnsi="Times New Roman" w:cs="Times New Roman"/>
        </w:rPr>
        <w:t>categories</w:t>
      </w:r>
      <w:r w:rsidR="008F2E7C">
        <w:rPr>
          <w:rFonts w:ascii="Times New Roman" w:hAnsi="Times New Roman" w:cs="Times New Roman"/>
        </w:rPr>
        <w:t xml:space="preserve"> </w:t>
      </w:r>
      <w:r w:rsidR="00542A4C">
        <w:rPr>
          <w:rFonts w:ascii="Times New Roman" w:hAnsi="Times New Roman" w:cs="Times New Roman"/>
        </w:rPr>
        <w:t>have</w:t>
      </w:r>
      <w:r w:rsidR="008F2E7C">
        <w:rPr>
          <w:rFonts w:ascii="Times New Roman" w:hAnsi="Times New Roman" w:cs="Times New Roman"/>
        </w:rPr>
        <w:t xml:space="preserve"> recently been</w:t>
      </w:r>
      <w:r w:rsidR="00542A4C">
        <w:rPr>
          <w:rFonts w:ascii="Times New Roman" w:hAnsi="Times New Roman" w:cs="Times New Roman"/>
        </w:rPr>
        <w:t xml:space="preserve"> updated and </w:t>
      </w:r>
      <w:r w:rsidR="00CF021D">
        <w:rPr>
          <w:rFonts w:ascii="Times New Roman" w:hAnsi="Times New Roman" w:cs="Times New Roman"/>
        </w:rPr>
        <w:t>re-</w:t>
      </w:r>
      <w:r w:rsidR="00542A4C">
        <w:rPr>
          <w:rFonts w:ascii="Times New Roman" w:hAnsi="Times New Roman" w:cs="Times New Roman"/>
        </w:rPr>
        <w:t>conceptualized</w:t>
      </w:r>
      <w:r w:rsidR="008F2E7C">
        <w:rPr>
          <w:rFonts w:ascii="Times New Roman" w:hAnsi="Times New Roman" w:cs="Times New Roman"/>
        </w:rPr>
        <w:t xml:space="preserve"> </w:t>
      </w:r>
      <w:r w:rsidR="00542A4C">
        <w:rPr>
          <w:rFonts w:ascii="Times New Roman" w:hAnsi="Times New Roman" w:cs="Times New Roman"/>
        </w:rPr>
        <w:t xml:space="preserve">as </w:t>
      </w:r>
      <w:r w:rsidR="00542A4C">
        <w:rPr>
          <w:rFonts w:ascii="Times New Roman" w:hAnsi="Times New Roman" w:cs="Times New Roman"/>
          <w:i/>
        </w:rPr>
        <w:t>awareness of pulling</w:t>
      </w:r>
      <w:r w:rsidR="00542A4C">
        <w:rPr>
          <w:rFonts w:ascii="Times New Roman" w:hAnsi="Times New Roman" w:cs="Times New Roman"/>
        </w:rPr>
        <w:t xml:space="preserve"> and </w:t>
      </w:r>
      <w:r w:rsidR="00542A4C">
        <w:rPr>
          <w:rFonts w:ascii="Times New Roman" w:hAnsi="Times New Roman" w:cs="Times New Roman"/>
          <w:i/>
        </w:rPr>
        <w:t xml:space="preserve">internal-regulated pulling </w:t>
      </w:r>
      <w:r w:rsidR="00542A4C">
        <w:rPr>
          <w:rFonts w:ascii="Times New Roman" w:hAnsi="Times New Roman" w:cs="Times New Roman"/>
        </w:rPr>
        <w:fldChar w:fldCharType="begin"/>
      </w:r>
      <w:r w:rsidR="00542A4C">
        <w:rPr>
          <w:rFonts w:ascii="Times New Roman" w:hAnsi="Times New Roman" w:cs="Times New Roman"/>
        </w:rPr>
        <w:instrText xml:space="preserve"> ADDIN EN.CITE &lt;EndNote&gt;&lt;Cite&gt;&lt;Author&gt;Alexander&lt;/Author&gt;&lt;Year&gt;2016&lt;/Year&gt;&lt;RecNum&gt;2512&lt;/RecNum&gt;&lt;DisplayText&gt;(Alexander et al., 2016)&lt;/DisplayText&gt;&lt;record&gt;&lt;rec-number&gt;2512&lt;/rec-number&gt;&lt;foreign-keys&gt;&lt;key app="EN" db-id="2v200vasqv9ttfes2zoxf092sstsfexszx90" timestamp="1513021673"&gt;2512&lt;/key&gt;&lt;/foreign-keys&gt;&lt;ref-type name="Journal Article"&gt;17&lt;/ref-type&gt;&lt;contributors&gt;&lt;authors&gt;&lt;author&gt;Alexander, Jennifer R&lt;/author&gt;&lt;author&gt;Houghton, David C&lt;/author&gt;&lt;author&gt;Twohig, Michael P&lt;/author&gt;&lt;author&gt;Franklin, Martin E&lt;/author&gt;&lt;author&gt;Saunders, Stephen M&lt;/author&gt;&lt;author&gt;Neal-Barnett, Angela M&lt;/author&gt;&lt;author&gt;Compton, Scott N&lt;/author&gt;&lt;author&gt;Woods, Douglas W&lt;/author&gt;&lt;/authors&gt;&lt;/contributors&gt;&lt;titles&gt;&lt;title&gt;Factor analysis of the Milwaukee Inventory for subtypes of Trichotillomania-Adult Version&lt;/title&gt;&lt;secondary-title&gt;Journal of obsessive-compulsive and related disorders&lt;/secondary-title&gt;&lt;/titles&gt;&lt;periodical&gt;&lt;full-title&gt;Journal of Obsessive-Compulsive and Related Disorders&lt;/full-title&gt;&lt;/periodical&gt;&lt;pages&gt;31-38&lt;/pages&gt;&lt;volume&gt;11&lt;/volume&gt;&lt;dates&gt;&lt;year&gt;2016&lt;/year&gt;&lt;/dates&gt;&lt;isbn&gt;2211-3649&lt;/isbn&gt;&lt;urls&gt;&lt;/urls&gt;&lt;/record&gt;&lt;/Cite&gt;&lt;/EndNote&gt;</w:instrText>
      </w:r>
      <w:r w:rsidR="00542A4C">
        <w:rPr>
          <w:rFonts w:ascii="Times New Roman" w:hAnsi="Times New Roman" w:cs="Times New Roman"/>
        </w:rPr>
        <w:fldChar w:fldCharType="separate"/>
      </w:r>
      <w:r w:rsidR="00542A4C">
        <w:rPr>
          <w:rFonts w:ascii="Times New Roman" w:hAnsi="Times New Roman" w:cs="Times New Roman"/>
          <w:noProof/>
        </w:rPr>
        <w:t>(Alexander et al., 2016)</w:t>
      </w:r>
      <w:r w:rsidR="00542A4C">
        <w:rPr>
          <w:rFonts w:ascii="Times New Roman" w:hAnsi="Times New Roman" w:cs="Times New Roman"/>
        </w:rPr>
        <w:fldChar w:fldCharType="end"/>
      </w:r>
      <w:r w:rsidR="00542A4C">
        <w:rPr>
          <w:rFonts w:ascii="Times New Roman" w:hAnsi="Times New Roman" w:cs="Times New Roman"/>
        </w:rPr>
        <w:t>.</w:t>
      </w:r>
      <w:r w:rsidR="00CF021D">
        <w:rPr>
          <w:rFonts w:ascii="Times New Roman" w:hAnsi="Times New Roman" w:cs="Times New Roman"/>
        </w:rPr>
        <w:t xml:space="preserve"> The terms automatic and focused are used in the current study as they are more well established and are here conceptualized in a manner consistent with the newer terms. </w:t>
      </w:r>
      <w:r w:rsidR="009259BB" w:rsidRPr="006433A6">
        <w:rPr>
          <w:rFonts w:ascii="Times New Roman" w:hAnsi="Times New Roman" w:cs="Times New Roman"/>
        </w:rPr>
        <w:t xml:space="preserve">Automatic pulling refers to hair pulling that is done without conscious effort. The puller does not realize pulling has occurred or only realizes it after it has happened. </w:t>
      </w:r>
      <w:r w:rsidR="00C6597F">
        <w:rPr>
          <w:rFonts w:ascii="Times New Roman" w:hAnsi="Times New Roman" w:cs="Times New Roman"/>
        </w:rPr>
        <w:t>A</w:t>
      </w:r>
      <w:r w:rsidR="009259BB" w:rsidRPr="006433A6">
        <w:rPr>
          <w:rFonts w:ascii="Times New Roman" w:hAnsi="Times New Roman" w:cs="Times New Roman"/>
        </w:rPr>
        <w:t>utomatic pulling</w:t>
      </w:r>
      <w:r w:rsidR="00C6597F">
        <w:rPr>
          <w:rFonts w:ascii="Times New Roman" w:hAnsi="Times New Roman" w:cs="Times New Roman"/>
        </w:rPr>
        <w:t xml:space="preserve"> often </w:t>
      </w:r>
      <w:r w:rsidR="009259BB" w:rsidRPr="006433A6">
        <w:rPr>
          <w:rFonts w:ascii="Times New Roman" w:hAnsi="Times New Roman" w:cs="Times New Roman"/>
        </w:rPr>
        <w:t xml:space="preserve">occurs during stationary tasks such as </w:t>
      </w:r>
      <w:r w:rsidR="00234E9A">
        <w:rPr>
          <w:rFonts w:ascii="Times New Roman" w:hAnsi="Times New Roman" w:cs="Times New Roman"/>
        </w:rPr>
        <w:t xml:space="preserve">while reading, </w:t>
      </w:r>
      <w:r w:rsidR="009259BB" w:rsidRPr="006433A6">
        <w:rPr>
          <w:rFonts w:ascii="Times New Roman" w:hAnsi="Times New Roman" w:cs="Times New Roman"/>
        </w:rPr>
        <w:t>watching</w:t>
      </w:r>
      <w:r w:rsidR="00234E9A">
        <w:rPr>
          <w:rFonts w:ascii="Times New Roman" w:hAnsi="Times New Roman" w:cs="Times New Roman"/>
        </w:rPr>
        <w:t xml:space="preserve"> television, or driving. Conversely, focused pulling</w:t>
      </w:r>
      <w:r w:rsidR="009259BB" w:rsidRPr="006433A6">
        <w:rPr>
          <w:rFonts w:ascii="Times New Roman" w:hAnsi="Times New Roman" w:cs="Times New Roman"/>
        </w:rPr>
        <w:t xml:space="preserve"> refers to hair pulling that is done with awareness</w:t>
      </w:r>
      <w:r w:rsidR="0097210F">
        <w:rPr>
          <w:rFonts w:ascii="Times New Roman" w:hAnsi="Times New Roman" w:cs="Times New Roman"/>
        </w:rPr>
        <w:t xml:space="preserve"> and </w:t>
      </w:r>
      <w:r w:rsidR="00C6597F">
        <w:rPr>
          <w:rFonts w:ascii="Times New Roman" w:hAnsi="Times New Roman" w:cs="Times New Roman"/>
        </w:rPr>
        <w:t>with th</w:t>
      </w:r>
      <w:r w:rsidR="009259BB" w:rsidRPr="006433A6">
        <w:rPr>
          <w:rFonts w:ascii="Times New Roman" w:hAnsi="Times New Roman" w:cs="Times New Roman"/>
        </w:rPr>
        <w:t xml:space="preserve">e intention to reduce or remove </w:t>
      </w:r>
      <w:r w:rsidR="00C6597F">
        <w:rPr>
          <w:rFonts w:ascii="Times New Roman" w:hAnsi="Times New Roman" w:cs="Times New Roman"/>
        </w:rPr>
        <w:t>a</w:t>
      </w:r>
      <w:r>
        <w:rPr>
          <w:rFonts w:ascii="Times New Roman" w:hAnsi="Times New Roman" w:cs="Times New Roman"/>
        </w:rPr>
        <w:t xml:space="preserve">n </w:t>
      </w:r>
      <w:r w:rsidR="009259BB" w:rsidRPr="006433A6">
        <w:rPr>
          <w:rFonts w:ascii="Times New Roman" w:hAnsi="Times New Roman" w:cs="Times New Roman"/>
        </w:rPr>
        <w:t>urge</w:t>
      </w:r>
      <w:r w:rsidR="002243D4">
        <w:rPr>
          <w:rFonts w:ascii="Times New Roman" w:hAnsi="Times New Roman" w:cs="Times New Roman"/>
        </w:rPr>
        <w:t xml:space="preserve"> or unwanted internal experience</w:t>
      </w:r>
      <w:r w:rsidR="009259BB" w:rsidRPr="006433A6">
        <w:rPr>
          <w:rFonts w:ascii="Times New Roman" w:hAnsi="Times New Roman" w:cs="Times New Roman"/>
        </w:rPr>
        <w:t xml:space="preserve"> </w:t>
      </w:r>
      <w:r w:rsidR="0068689D">
        <w:rPr>
          <w:rFonts w:ascii="Times New Roman" w:hAnsi="Times New Roman" w:cs="Times New Roman"/>
          <w:noProof/>
        </w:rPr>
        <w:t>(du Toit, van Kradenburg, Niehaus, &amp; Stein, 2001)</w:t>
      </w:r>
      <w:r w:rsidR="0068689D">
        <w:rPr>
          <w:rFonts w:ascii="Times New Roman" w:hAnsi="Times New Roman" w:cs="Times New Roman"/>
        </w:rPr>
        <w:t xml:space="preserve">. </w:t>
      </w:r>
      <w:r w:rsidR="00C6597F">
        <w:rPr>
          <w:rFonts w:ascii="Times New Roman" w:hAnsi="Times New Roman" w:cs="Times New Roman"/>
        </w:rPr>
        <w:t>Focused pulling c</w:t>
      </w:r>
      <w:r w:rsidR="009259BB" w:rsidRPr="006433A6">
        <w:rPr>
          <w:rFonts w:ascii="Times New Roman" w:hAnsi="Times New Roman" w:cs="Times New Roman"/>
        </w:rPr>
        <w:t>an be carried out using tools such as tweezers and mirrors. Pleasurable sensations and emotions can arise after the h</w:t>
      </w:r>
      <w:r w:rsidR="00C6597F">
        <w:rPr>
          <w:rFonts w:ascii="Times New Roman" w:hAnsi="Times New Roman" w:cs="Times New Roman"/>
        </w:rPr>
        <w:t xml:space="preserve">air has been pulled as well </w:t>
      </w:r>
      <w:r w:rsidR="0068689D">
        <w:rPr>
          <w:rFonts w:ascii="Times New Roman" w:hAnsi="Times New Roman" w:cs="Times New Roman"/>
          <w:noProof/>
        </w:rPr>
        <w:t>(du Toit et al., 2001)</w:t>
      </w:r>
      <w:r w:rsidR="0068689D" w:rsidRPr="006433A6">
        <w:rPr>
          <w:rFonts w:ascii="Times New Roman" w:hAnsi="Times New Roman" w:cs="Times New Roman"/>
        </w:rPr>
        <w:t xml:space="preserve">. </w:t>
      </w:r>
      <w:r w:rsidR="00234E9A">
        <w:rPr>
          <w:rFonts w:ascii="Times New Roman" w:hAnsi="Times New Roman" w:cs="Times New Roman"/>
        </w:rPr>
        <w:t>Usually,</w:t>
      </w:r>
      <w:r w:rsidR="009259BB" w:rsidRPr="006433A6">
        <w:rPr>
          <w:rFonts w:ascii="Times New Roman" w:hAnsi="Times New Roman" w:cs="Times New Roman"/>
        </w:rPr>
        <w:t xml:space="preserve"> bo</w:t>
      </w:r>
      <w:r w:rsidR="00A2458D">
        <w:rPr>
          <w:rFonts w:ascii="Times New Roman" w:hAnsi="Times New Roman" w:cs="Times New Roman"/>
        </w:rPr>
        <w:t xml:space="preserve">th types of pulling </w:t>
      </w:r>
      <w:r w:rsidR="00234E9A">
        <w:rPr>
          <w:rFonts w:ascii="Times New Roman" w:hAnsi="Times New Roman" w:cs="Times New Roman"/>
        </w:rPr>
        <w:t>occur to varying degrees across individuals with trichotillomania</w:t>
      </w:r>
      <w:r w:rsidR="009259BB" w:rsidRPr="006433A6">
        <w:rPr>
          <w:rFonts w:ascii="Times New Roman" w:hAnsi="Times New Roman" w:cs="Times New Roman"/>
        </w:rPr>
        <w:t>.</w:t>
      </w:r>
      <w:r w:rsidR="00D91FCE">
        <w:rPr>
          <w:rFonts w:ascii="Times New Roman" w:hAnsi="Times New Roman" w:cs="Times New Roman"/>
        </w:rPr>
        <w:t xml:space="preserve"> </w:t>
      </w:r>
      <w:r w:rsidR="00E46BA0">
        <w:rPr>
          <w:rFonts w:ascii="Times New Roman" w:hAnsi="Times New Roman" w:cs="Times New Roman"/>
        </w:rPr>
        <w:t xml:space="preserve">It has been posited that automatic and focused pulling derive from two separate process and might </w:t>
      </w:r>
      <w:r w:rsidR="00D91FCE">
        <w:rPr>
          <w:rFonts w:ascii="Times New Roman" w:hAnsi="Times New Roman" w:cs="Times New Roman"/>
        </w:rPr>
        <w:t>warrant different treatment strategies</w:t>
      </w:r>
      <w:r w:rsidR="00E46BA0">
        <w:rPr>
          <w:rFonts w:ascii="Times New Roman" w:hAnsi="Times New Roman" w:cs="Times New Roman"/>
        </w:rPr>
        <w:t xml:space="preserve"> </w:t>
      </w:r>
      <w:r w:rsidR="0068689D">
        <w:rPr>
          <w:rFonts w:ascii="Times New Roman" w:hAnsi="Times New Roman" w:cs="Times New Roman"/>
          <w:noProof/>
        </w:rPr>
        <w:t>(Woods, Wetterneck, &amp; Flessner, 2006)</w:t>
      </w:r>
      <w:r w:rsidR="00D91FCE">
        <w:rPr>
          <w:rFonts w:ascii="Times New Roman" w:hAnsi="Times New Roman" w:cs="Times New Roman"/>
        </w:rPr>
        <w:t>.</w:t>
      </w:r>
      <w:r w:rsidR="00E46BA0">
        <w:rPr>
          <w:rFonts w:ascii="Times New Roman" w:hAnsi="Times New Roman" w:cs="Times New Roman"/>
        </w:rPr>
        <w:t xml:space="preserve"> Traditionally, </w:t>
      </w:r>
      <w:r w:rsidR="006536E8">
        <w:rPr>
          <w:rFonts w:ascii="Times New Roman" w:hAnsi="Times New Roman" w:cs="Times New Roman"/>
        </w:rPr>
        <w:t>trichotillomania</w:t>
      </w:r>
      <w:r w:rsidR="00E46BA0">
        <w:rPr>
          <w:rFonts w:ascii="Times New Roman" w:hAnsi="Times New Roman" w:cs="Times New Roman"/>
        </w:rPr>
        <w:t xml:space="preserve"> treatment has placed greater emphases on the automatic aspects of the disorder over the more deliberate and focused pulling behavior.</w:t>
      </w:r>
    </w:p>
    <w:p w14:paraId="6AA0115D" w14:textId="00B6E3F7" w:rsidR="00F926B6" w:rsidRDefault="009259BB" w:rsidP="00784DE6">
      <w:pPr>
        <w:pStyle w:val="BodyText1"/>
        <w:spacing w:before="0" w:after="0"/>
        <w:ind w:firstLine="720"/>
        <w:rPr>
          <w:rFonts w:ascii="Times New Roman" w:hAnsi="Times New Roman" w:cs="Times New Roman"/>
        </w:rPr>
      </w:pPr>
      <w:r w:rsidRPr="006433A6">
        <w:rPr>
          <w:rFonts w:ascii="Times New Roman" w:hAnsi="Times New Roman" w:cs="Times New Roman"/>
        </w:rPr>
        <w:t xml:space="preserve">Habit Reversal Training </w:t>
      </w:r>
      <w:r w:rsidR="0068689D">
        <w:rPr>
          <w:rFonts w:ascii="Times New Roman" w:hAnsi="Times New Roman" w:cs="Times New Roman"/>
          <w:noProof/>
        </w:rPr>
        <w:t>(HRT; Azrin &amp; Nunn, 1973)</w:t>
      </w:r>
      <w:r w:rsidRPr="006433A6">
        <w:rPr>
          <w:rFonts w:ascii="Times New Roman" w:hAnsi="Times New Roman" w:cs="Times New Roman"/>
        </w:rPr>
        <w:t xml:space="preserve"> </w:t>
      </w:r>
      <w:r w:rsidR="00777A69">
        <w:rPr>
          <w:rFonts w:ascii="Times New Roman" w:hAnsi="Times New Roman" w:cs="Times New Roman"/>
        </w:rPr>
        <w:t>has been</w:t>
      </w:r>
      <w:r w:rsidRPr="006433A6">
        <w:rPr>
          <w:rFonts w:ascii="Times New Roman" w:hAnsi="Times New Roman" w:cs="Times New Roman"/>
        </w:rPr>
        <w:t xml:space="preserve"> the leading nonpharmacological treatment for </w:t>
      </w:r>
      <w:r w:rsidR="00234E9A">
        <w:rPr>
          <w:rFonts w:ascii="Times New Roman" w:hAnsi="Times New Roman" w:cs="Times New Roman"/>
        </w:rPr>
        <w:t>trichotillomania</w:t>
      </w:r>
      <w:r w:rsidR="00777A69">
        <w:rPr>
          <w:rFonts w:ascii="Times New Roman" w:hAnsi="Times New Roman" w:cs="Times New Roman"/>
        </w:rPr>
        <w:t xml:space="preserve"> for multiple decades</w:t>
      </w:r>
      <w:r w:rsidR="00897259">
        <w:rPr>
          <w:rFonts w:ascii="Times New Roman" w:hAnsi="Times New Roman" w:cs="Times New Roman"/>
        </w:rPr>
        <w:t xml:space="preserve"> </w:t>
      </w:r>
      <w:r w:rsidR="0068689D">
        <w:rPr>
          <w:rFonts w:ascii="Times New Roman" w:hAnsi="Times New Roman" w:cs="Times New Roman"/>
          <w:noProof/>
        </w:rPr>
        <w:t>(Bate, Malouff, Thorsteinsson, &amp; Bhullar, 2011)</w:t>
      </w:r>
      <w:r w:rsidR="0068689D">
        <w:rPr>
          <w:rFonts w:ascii="Times New Roman" w:hAnsi="Times New Roman" w:cs="Times New Roman"/>
        </w:rPr>
        <w:t>.</w:t>
      </w:r>
      <w:r w:rsidR="008C2892">
        <w:rPr>
          <w:rFonts w:ascii="Times New Roman" w:hAnsi="Times New Roman" w:cs="Times New Roman"/>
        </w:rPr>
        <w:t xml:space="preserve"> For example, a</w:t>
      </w:r>
      <w:r w:rsidR="00543159">
        <w:rPr>
          <w:rFonts w:ascii="Times New Roman" w:hAnsi="Times New Roman" w:cs="Times New Roman"/>
        </w:rPr>
        <w:t xml:space="preserve"> randomized controlled trial </w:t>
      </w:r>
      <w:r w:rsidR="00C61C50">
        <w:rPr>
          <w:rFonts w:ascii="Times New Roman" w:hAnsi="Times New Roman" w:cs="Times New Roman"/>
        </w:rPr>
        <w:t xml:space="preserve">that included 34 participants demonstrated very good outcomes using HRT </w:t>
      </w:r>
      <w:r w:rsidR="008C2892">
        <w:rPr>
          <w:rFonts w:ascii="Times New Roman" w:hAnsi="Times New Roman" w:cs="Times New Roman"/>
        </w:rPr>
        <w:fldChar w:fldCharType="begin"/>
      </w:r>
      <w:r w:rsidR="008C2892">
        <w:rPr>
          <w:rFonts w:ascii="Times New Roman" w:hAnsi="Times New Roman" w:cs="Times New Roman"/>
        </w:rPr>
        <w:instrText xml:space="preserve"> ADDIN EN.CITE &lt;EndNote&gt;&lt;Cite&gt;&lt;Author&gt;Azrin&lt;/Author&gt;&lt;Year&gt;1980&lt;/Year&gt;&lt;RecNum&gt;165&lt;/RecNum&gt;&lt;DisplayText&gt;(Azrin, Nunn, &amp;amp; Frantz, 1980)&lt;/DisplayText&gt;&lt;record&gt;&lt;rec-number&gt;165&lt;/rec-number&gt;&lt;foreign-keys&gt;&lt;key app="EN" db-id="2v200vasqv9ttfes2zoxf092sstsfexszx90" timestamp="1289597664"&gt;165&lt;/key&gt;&lt;/foreign-keys&gt;&lt;ref-type name="Journal Article"&gt;17&lt;/ref-type&gt;&lt;contributors&gt;&lt;authors&gt;&lt;author&gt;Azrin, Nathan H.&lt;/author&gt;&lt;author&gt;Nunn, R. Gregg&lt;/author&gt;&lt;author&gt;Frantz, S. E.&lt;/author&gt;&lt;/authors&gt;&lt;/contributors&gt;&lt;titles&gt;&lt;title&gt;Treatment of hairpulling (trichotillomania): A comparative study of habit reversal and negative practice training&lt;/title&gt;&lt;secondary-title&gt;Journal of Behavior Therapy and Experimental Psychiatry&lt;/secondary-title&gt;&lt;/titles&gt;&lt;periodical&gt;&lt;full-title&gt;Journal of Behavior Therapy and Experimental Psychiatry&lt;/full-title&gt;&lt;/periodical&gt;&lt;pages&gt;13-20&lt;/pages&gt;&lt;volume&gt;11&lt;/volume&gt;&lt;number&gt;1&lt;/number&gt;&lt;keywords&gt;&lt;keyword&gt;habit reversal vs negative practice training, hairpulling, male &amp;amp; female Ss&lt;/keyword&gt;&lt;keyword&gt;Behavior Therapy&lt;/keyword&gt;&lt;keyword&gt;Counterconditioning&lt;/keyword&gt;&lt;keyword&gt;Practice&lt;/keyword&gt;&lt;keyword&gt;Trichotillomania&lt;/keyword&gt;&lt;/keywords&gt;&lt;dates&gt;&lt;year&gt;1980&lt;/year&gt;&lt;/dates&gt;&lt;pub-location&gt;Netherlands&lt;/pub-location&gt;&lt;publisher&gt;Elsevier Science&lt;/publisher&gt;&lt;isbn&gt;0005-7916&lt;/isbn&gt;&lt;urls&gt;&lt;related-urls&gt;&lt;url&gt;10.1016/0005-7916(80)90045-2&lt;/url&gt;&lt;url&gt;http://search.ebscohost.com/login.aspx?direct=true&amp;amp;db=psyh&amp;amp;AN=1981-21767-001&amp;amp;site=ehost-live&lt;/url&gt;&lt;/related-urls&gt;&lt;/urls&gt;&lt;/record&gt;&lt;/Cite&gt;&lt;/EndNote&gt;</w:instrText>
      </w:r>
      <w:r w:rsidR="008C2892">
        <w:rPr>
          <w:rFonts w:ascii="Times New Roman" w:hAnsi="Times New Roman" w:cs="Times New Roman"/>
        </w:rPr>
        <w:fldChar w:fldCharType="separate"/>
      </w:r>
      <w:r w:rsidR="008C2892">
        <w:rPr>
          <w:rFonts w:ascii="Times New Roman" w:hAnsi="Times New Roman" w:cs="Times New Roman"/>
          <w:noProof/>
        </w:rPr>
        <w:t>(Azrin, Nunn, &amp; Frantz, 1980)</w:t>
      </w:r>
      <w:r w:rsidR="008C2892">
        <w:rPr>
          <w:rFonts w:ascii="Times New Roman" w:hAnsi="Times New Roman" w:cs="Times New Roman"/>
        </w:rPr>
        <w:fldChar w:fldCharType="end"/>
      </w:r>
      <w:r w:rsidR="00C61C50">
        <w:rPr>
          <w:rFonts w:ascii="Times New Roman" w:hAnsi="Times New Roman" w:cs="Times New Roman"/>
        </w:rPr>
        <w:t>. At a four-week follow-up 74% of the participants reported no hair pulling.</w:t>
      </w:r>
      <w:r w:rsidR="0068689D" w:rsidRPr="006433A6">
        <w:rPr>
          <w:rFonts w:ascii="Times New Roman" w:hAnsi="Times New Roman" w:cs="Times New Roman"/>
        </w:rPr>
        <w:t xml:space="preserve"> </w:t>
      </w:r>
      <w:r w:rsidR="00E06643">
        <w:rPr>
          <w:rFonts w:ascii="Times New Roman" w:hAnsi="Times New Roman" w:cs="Times New Roman"/>
        </w:rPr>
        <w:t xml:space="preserve">HRT is well-designed to address automatic habits because of </w:t>
      </w:r>
      <w:r w:rsidR="00D91FCE">
        <w:rPr>
          <w:rFonts w:ascii="Times New Roman" w:hAnsi="Times New Roman" w:cs="Times New Roman"/>
        </w:rPr>
        <w:t>its</w:t>
      </w:r>
      <w:r w:rsidR="00E06643">
        <w:rPr>
          <w:rFonts w:ascii="Times New Roman" w:hAnsi="Times New Roman" w:cs="Times New Roman"/>
        </w:rPr>
        <w:t xml:space="preserve"> strong awareness, blocking, and reinforcement </w:t>
      </w:r>
      <w:r w:rsidR="00D91FCE">
        <w:rPr>
          <w:rFonts w:ascii="Times New Roman" w:hAnsi="Times New Roman" w:cs="Times New Roman"/>
        </w:rPr>
        <w:t>components</w:t>
      </w:r>
      <w:r w:rsidR="00E06643">
        <w:rPr>
          <w:rFonts w:ascii="Times New Roman" w:hAnsi="Times New Roman" w:cs="Times New Roman"/>
        </w:rPr>
        <w:t xml:space="preserve">. </w:t>
      </w:r>
      <w:r w:rsidR="00D91FCE">
        <w:rPr>
          <w:rFonts w:ascii="Times New Roman" w:hAnsi="Times New Roman" w:cs="Times New Roman"/>
        </w:rPr>
        <w:t>However, HRT does not account for emotional and c</w:t>
      </w:r>
      <w:r w:rsidR="00777A69">
        <w:rPr>
          <w:rFonts w:ascii="Times New Roman" w:hAnsi="Times New Roman" w:cs="Times New Roman"/>
        </w:rPr>
        <w:t xml:space="preserve">ognitive difficulties that usually occur within trichotillomania and are a major component of </w:t>
      </w:r>
      <w:r w:rsidR="00D91FCE">
        <w:rPr>
          <w:rFonts w:ascii="Times New Roman" w:hAnsi="Times New Roman" w:cs="Times New Roman"/>
        </w:rPr>
        <w:t>focused pulling</w:t>
      </w:r>
      <w:r w:rsidR="001F5B78">
        <w:rPr>
          <w:rFonts w:ascii="Times New Roman" w:hAnsi="Times New Roman" w:cs="Times New Roman"/>
        </w:rPr>
        <w:t xml:space="preserve"> </w:t>
      </w:r>
      <w:r w:rsidR="001F5B78">
        <w:rPr>
          <w:rFonts w:ascii="Times New Roman" w:hAnsi="Times New Roman" w:cs="Times New Roman"/>
        </w:rPr>
        <w:fldChar w:fldCharType="begin">
          <w:fldData xml:space="preserve">PEVuZE5vdGU+PENpdGU+PEF1dGhvcj5Mb290ZW5zPC9BdXRob3I+PFllYXI+MjAxNjwvWWVhcj48
UmVjTnVtPjI1MTQ8L1JlY051bT48RGlzcGxheVRleHQ+KEZsZXNzbmVyLCBQZW56ZWwsICZhbXA7
IEtldXRoZW4sIDIwMTA7IEZyYW5rbGluLCBaYWdyYWJiZSwgJmFtcDsgQmVuYXZpZGVzLCAyMDEx
OyBMb290ZW5zICZhbXA7IE5lbHNvbi1HcmF5LCAyMDE2KTwvRGlzcGxheVRleHQ+PHJlY29yZD48
cmVjLW51bWJlcj4yNTE0PC9yZWMtbnVtYmVyPjxmb3JlaWduLWtleXM+PGtleSBhcHA9IkVOIiBk
Yi1pZD0iMnYyMDB2YXNxdjl0dGZlczJ6b3hmMDkyc3N0c2ZleHN6eDkwIiB0aW1lc3RhbXA9IjE1
MTMwMjI5NjUiPjI1MTQ8L2tleT48L2ZvcmVpZ24ta2V5cz48cmVmLXR5cGUgbmFtZT0iSm91cm5h
bCBBcnRpY2xlIj4xNzwvcmVmLXR5cGU+PGNvbnRyaWJ1dG9ycz48YXV0aG9ycz48YXV0aG9yPkxv
b3RlbnMsIENocmlzdG9waGVyIE08L2F1dGhvcj48YXV0aG9yPk5lbHNvbi1HcmF5LCBSb3NlbWVy
eSBPPC9hdXRob3I+PC9hdXRob3JzPjwvY29udHJpYnV0b3JzPjx0aXRsZXM+PHRpdGxlPlRyZWF0
aW5nIFRyaWNob3RpbGxvbWFuaWE6IFN1Y2Nlc3NmdWwgQXBwbGljYXRpb24gb2YgTWFudWFsaXpl
ZCBDb2duaXRpdmUtQmVoYXZpb3JhbCBUaGVyYXB5PC90aXRsZT48c2Vjb25kYXJ5LXRpdGxlPkNs
aW5pY2FsIENhc2UgU3R1ZGllczwvc2Vjb25kYXJ5LXRpdGxlPjwvdGl0bGVzPjxwZXJpb2RpY2Fs
PjxmdWxsLXRpdGxlPkNsaW5pY2FsIENhc2UgU3R1ZGllczwvZnVsbC10aXRsZT48L3BlcmlvZGlj
YWw+PHBhZ2VzPjM3Ni0zOTE8L3BhZ2VzPjx2b2x1bWU+MTU8L3ZvbHVtZT48bnVtYmVyPjU8L251
bWJlcj48ZGF0ZXM+PHllYXI+MjAxNjwveWVhcj48L2RhdGVzPjxpc2JuPjE1MzQtNjUwMTwvaXNi
bj48dXJscz48L3VybHM+PC9yZWNvcmQ+PC9DaXRlPjxDaXRlPjxBdXRob3I+RnJhbmtsaW48L0F1
dGhvcj48WWVhcj4yMDExPC9ZZWFyPjxSZWNOdW0+NDQwPC9SZWNOdW0+PHJlY29yZD48cmVjLW51
bWJlcj40NDA8L3JlYy1udW1iZXI+PGZvcmVpZ24ta2V5cz48a2V5IGFwcD0iRU4iIGRiLWlkPSIy
djIwMHZhc3F2OXR0ZmVzMnpveGYwOTJzc3RzZmV4c3p4OTAiIHRpbWVzdGFtcD0iMTQxNDU5MDgy
OSI+NDQwPC9rZXk+PC9mb3JlaWduLWtleXM+PHJlZi10eXBlIG5hbWU9IkpvdXJuYWwgQXJ0aWNs
ZSI+MTc8L3JlZi10eXBlPjxjb250cmlidXRvcnM+PGF1dGhvcnM+PGF1dGhvcj5GcmFua2xpbiwg
TWFydGluIEU8L2F1dGhvcj48YXV0aG9yPlphZ3JhYmJlLCBLYXRocnluPC9hdXRob3I+PGF1dGhv
cj5CZW5hdmlkZXMsIEtyaXN0aW4gTDwvYXV0aG9yPjwvYXV0aG9ycz48L2NvbnRyaWJ1dG9ycz48
dGl0bGVzPjx0aXRsZT5UcmljaG90aWxsb21hbmlhIGFuZCBpdHMgdHJlYXRtZW50OiBhIHJldmll
dyBhbmQgcmVjb21tZW5kYXRpb25zPC90aXRsZT48L3RpdGxlcz48ZGF0ZXM+PHllYXI+MjAxMTwv
eWVhcj48L2RhdGVzPjxpc2JuPjE0NzMtNzE3NTwvaXNibj48dXJscz48L3VybHM+PC9yZWNvcmQ+
PC9DaXRlPjxDaXRlPjxBdXRob3I+Rmxlc3NuZXI8L0F1dGhvcj48WWVhcj4yMDEwPC9ZZWFyPjxS
ZWNOdW0+NDc0PC9SZWNOdW0+PHJlY29yZD48cmVjLW51bWJlcj40NzQ8L3JlYy1udW1iZXI+PGZv
cmVpZ24ta2V5cz48a2V5IGFwcD0iRU4iIGRiLWlkPSIydjIwMHZhc3F2OXR0ZmVzMnpveGYwOTJz
c3RzZmV4c3p4OTAiIHRpbWVzdGFtcD0iMTQxNzM5MDYwMyI+NDc0PC9rZXk+PC9mb3JlaWduLWtl
eXM+PHJlZi10eXBlIG5hbWU9IkpvdXJuYWwgQXJ0aWNsZSI+MTc8L3JlZi10eXBlPjxjb250cmli
dXRvcnM+PGF1dGhvcnM+PGF1dGhvcj5GbGVzc25lciwgQ2hyaXN0b3BoZXIgQS48L2F1dGhvcj48
YXV0aG9yPlBlbnplbCwgRnJlZDwvYXV0aG9yPjxhdXRob3I+S2V1dGhlbiwgTmFuY3kgSi48L2F1
dGhvcj48L2F1dGhvcnM+PC9jb250cmlidXRvcnM+PGF1dGgtYWRkcmVzcz5GbGVzc25lciwgQ2hy
aXN0b3BoZXIgQS4sIFJob2RlIElzbGFuZCBIb3NwaXRhbCwgRGVwYXJ0bWVudCBvZiBDaGlsZCBh
bmQgQWRvbGVzY2VudCBQc3ljaGlhdHJ5LCBCcmFkbGV5IEhhc2JybyBDaGlsZHJlbiZhcG9zO3Mg
UmVzZWFyY2ggQ2VudGVyLCAxIEhvcHBpbiBTdC4sIFN1aXRlIDIwNCwgQ29ybyBXZXN0LCBQcm92
aWRlbmNlLCBSSSwgVVMsIDAyOTAzPC9hdXRoLWFkZHJlc3M+PHRpdGxlcz48dGl0bGU+Q3VycmVu
dCB0cmVhdG1lbnQgcHJhY3RpY2VzIGZvciBjaGlsZHJlbiBhbmQgYWR1bHRzIHdpdGggdHJpY2hv
dGlsbG9tYW5pYTogQ29uc2Vuc3VzIGFtb25nIGV4cGVydHM8L3RpdGxlPjxzZWNvbmRhcnktdGl0
bGU+Q29nbml0aXZlIGFuZCBCZWhhdmlvcmFsIFByYWN0aWNlPC9zZWNvbmRhcnktdGl0bGU+PC90
aXRsZXM+PHBlcmlvZGljYWw+PGZ1bGwtdGl0bGU+Q29nbml0aXZlIGFuZCBCZWhhdmlvcmFsIFBy
YWN0aWNlPC9mdWxsLXRpdGxlPjwvcGVyaW9kaWNhbD48cGFnZXM+MjkwLTMwMDwvcGFnZXM+PHZv
bHVtZT4xNzwvdm9sdW1lPjxudW1iZXI+MzwvbnVtYmVyPjxrZXl3b3Jkcz48a2V5d29yZD50cmlj
aG90aWxsb21hbmlhPC9rZXl3b3JkPjxrZXl3b3JkPnRyZWF0bWVudCBwcmFjdGljZXM8L2tleXdv
cmQ+PGtleXdvcmQ+cGhhcm1hY29sb2dpY2FsIHRyZWF0bWVudHM8L2tleXdvcmQ+PGtleXdvcmQ+
cHN5Y2hvc29jaWFsIHRyZWF0bWVudHM8L2tleXdvcmQ+PGtleXdvcmQ+Y29nbml0aXZlIGJlaGF2
aW9yYWwgdHJlYXRtZW50PC9rZXl3b3JkPjxrZXl3b3JkPkNsaW5pY2FsIFByYWN0aWNlPC9rZXl3
b3JkPjxrZXl3b3JkPkNvZ25pdGl2ZSBCZWhhdmlvciBUaGVyYXB5PC9rZXl3b3JkPjxrZXl3b3Jk
PlBoYXJtYWNvbG9neTwva2V5d29yZD48a2V5d29yZD5Qc3ljaG9zb2NpYWwgRmFjdG9yczwva2V5
d29yZD48L2tleXdvcmRzPjxkYXRlcz48eWVhcj4yMDEwPC95ZWFyPjwvZGF0ZXM+PHB1Yi1sb2Nh
dGlvbj5OZXRoZXJsYW5kczwvcHViLWxvY2F0aW9uPjxwdWJsaXNoZXI+RWxzZXZpZXIgU2NpZW5j
ZTwvcHVibGlzaGVyPjxpc2JuPjEwNzctNzIyOTwvaXNibj48YWNjZXNzaW9uLW51bT4yMDEwLTEz
OTY4LTAwODwvYWNjZXNzaW9uLW51bT48dXJscz48cmVsYXRlZC11cmxzPjx1cmw+aHR0cDovL2Rp
c3QubGliLnVzdS5lZHUvbG9naW4/dXJsPWh0dHA6Ly9zZWFyY2guZWJzY29ob3N0LmNvbS9sb2dp
bi5hc3B4P2RpcmVjdD10cnVlJmFtcDtkYj1wc3loJmFtcDtBTj0yMDEwLTEzOTY4LTAwOCZhbXA7
c2l0ZT1laG9zdC1saXZlPC91cmw+PHVybD5jZmxlc3NuZXJAbGlmZXNwYW4ub3JnPC91cmw+PC9y
ZWxhdGVkLXVybHM+PC91cmxzPjxyZW1vdGUtZGF0YWJhc2UtbmFtZT5wc3loPC9yZW1vdGUtZGF0
YWJhc2UtbmFtZT48cmVtb3RlLWRhdGFiYXNlLXByb3ZpZGVyPkVCU0NPaG9zdDwvcmVtb3RlLWRh
dGFiYXNlLXByb3ZpZGVyPjwvcmVjb3JkPjwvQ2l0ZT48L0VuZE5vdGU+
</w:fldData>
        </w:fldChar>
      </w:r>
      <w:r w:rsidR="008757ED">
        <w:rPr>
          <w:rFonts w:ascii="Times New Roman" w:hAnsi="Times New Roman" w:cs="Times New Roman"/>
        </w:rPr>
        <w:instrText xml:space="preserve"> ADDIN EN.CITE </w:instrText>
      </w:r>
      <w:r w:rsidR="008757ED">
        <w:rPr>
          <w:rFonts w:ascii="Times New Roman" w:hAnsi="Times New Roman" w:cs="Times New Roman"/>
        </w:rPr>
        <w:fldChar w:fldCharType="begin">
          <w:fldData xml:space="preserve">PEVuZE5vdGU+PENpdGU+PEF1dGhvcj5Mb290ZW5zPC9BdXRob3I+PFllYXI+MjAxNjwvWWVhcj48
UmVjTnVtPjI1MTQ8L1JlY051bT48RGlzcGxheVRleHQ+KEZsZXNzbmVyLCBQZW56ZWwsICZhbXA7
IEtldXRoZW4sIDIwMTA7IEZyYW5rbGluLCBaYWdyYWJiZSwgJmFtcDsgQmVuYXZpZGVzLCAyMDEx
OyBMb290ZW5zICZhbXA7IE5lbHNvbi1HcmF5LCAyMDE2KTwvRGlzcGxheVRleHQ+PHJlY29yZD48
cmVjLW51bWJlcj4yNTE0PC9yZWMtbnVtYmVyPjxmb3JlaWduLWtleXM+PGtleSBhcHA9IkVOIiBk
Yi1pZD0iMnYyMDB2YXNxdjl0dGZlczJ6b3hmMDkyc3N0c2ZleHN6eDkwIiB0aW1lc3RhbXA9IjE1
MTMwMjI5NjUiPjI1MTQ8L2tleT48L2ZvcmVpZ24ta2V5cz48cmVmLXR5cGUgbmFtZT0iSm91cm5h
bCBBcnRpY2xlIj4xNzwvcmVmLXR5cGU+PGNvbnRyaWJ1dG9ycz48YXV0aG9ycz48YXV0aG9yPkxv
b3RlbnMsIENocmlzdG9waGVyIE08L2F1dGhvcj48YXV0aG9yPk5lbHNvbi1HcmF5LCBSb3NlbWVy
eSBPPC9hdXRob3I+PC9hdXRob3JzPjwvY29udHJpYnV0b3JzPjx0aXRsZXM+PHRpdGxlPlRyZWF0
aW5nIFRyaWNob3RpbGxvbWFuaWE6IFN1Y2Nlc3NmdWwgQXBwbGljYXRpb24gb2YgTWFudWFsaXpl
ZCBDb2duaXRpdmUtQmVoYXZpb3JhbCBUaGVyYXB5PC90aXRsZT48c2Vjb25kYXJ5LXRpdGxlPkNs
aW5pY2FsIENhc2UgU3R1ZGllczwvc2Vjb25kYXJ5LXRpdGxlPjwvdGl0bGVzPjxwZXJpb2RpY2Fs
PjxmdWxsLXRpdGxlPkNsaW5pY2FsIENhc2UgU3R1ZGllczwvZnVsbC10aXRsZT48L3BlcmlvZGlj
YWw+PHBhZ2VzPjM3Ni0zOTE8L3BhZ2VzPjx2b2x1bWU+MTU8L3ZvbHVtZT48bnVtYmVyPjU8L251
bWJlcj48ZGF0ZXM+PHllYXI+MjAxNjwveWVhcj48L2RhdGVzPjxpc2JuPjE1MzQtNjUwMTwvaXNi
bj48dXJscz48L3VybHM+PC9yZWNvcmQ+PC9DaXRlPjxDaXRlPjxBdXRob3I+RnJhbmtsaW48L0F1
dGhvcj48WWVhcj4yMDExPC9ZZWFyPjxSZWNOdW0+NDQwPC9SZWNOdW0+PHJlY29yZD48cmVjLW51
bWJlcj40NDA8L3JlYy1udW1iZXI+PGZvcmVpZ24ta2V5cz48a2V5IGFwcD0iRU4iIGRiLWlkPSIy
djIwMHZhc3F2OXR0ZmVzMnpveGYwOTJzc3RzZmV4c3p4OTAiIHRpbWVzdGFtcD0iMTQxNDU5MDgy
OSI+NDQwPC9rZXk+PC9mb3JlaWduLWtleXM+PHJlZi10eXBlIG5hbWU9IkpvdXJuYWwgQXJ0aWNs
ZSI+MTc8L3JlZi10eXBlPjxjb250cmlidXRvcnM+PGF1dGhvcnM+PGF1dGhvcj5GcmFua2xpbiwg
TWFydGluIEU8L2F1dGhvcj48YXV0aG9yPlphZ3JhYmJlLCBLYXRocnluPC9hdXRob3I+PGF1dGhv
cj5CZW5hdmlkZXMsIEtyaXN0aW4gTDwvYXV0aG9yPjwvYXV0aG9ycz48L2NvbnRyaWJ1dG9ycz48
dGl0bGVzPjx0aXRsZT5UcmljaG90aWxsb21hbmlhIGFuZCBpdHMgdHJlYXRtZW50OiBhIHJldmll
dyBhbmQgcmVjb21tZW5kYXRpb25zPC90aXRsZT48L3RpdGxlcz48ZGF0ZXM+PHllYXI+MjAxMTwv
eWVhcj48L2RhdGVzPjxpc2JuPjE0NzMtNzE3NTwvaXNibj48dXJscz48L3VybHM+PC9yZWNvcmQ+
PC9DaXRlPjxDaXRlPjxBdXRob3I+Rmxlc3NuZXI8L0F1dGhvcj48WWVhcj4yMDEwPC9ZZWFyPjxS
ZWNOdW0+NDc0PC9SZWNOdW0+PHJlY29yZD48cmVjLW51bWJlcj40NzQ8L3JlYy1udW1iZXI+PGZv
cmVpZ24ta2V5cz48a2V5IGFwcD0iRU4iIGRiLWlkPSIydjIwMHZhc3F2OXR0ZmVzMnpveGYwOTJz
c3RzZmV4c3p4OTAiIHRpbWVzdGFtcD0iMTQxNzM5MDYwMyI+NDc0PC9rZXk+PC9mb3JlaWduLWtl
eXM+PHJlZi10eXBlIG5hbWU9IkpvdXJuYWwgQXJ0aWNsZSI+MTc8L3JlZi10eXBlPjxjb250cmli
dXRvcnM+PGF1dGhvcnM+PGF1dGhvcj5GbGVzc25lciwgQ2hyaXN0b3BoZXIgQS48L2F1dGhvcj48
YXV0aG9yPlBlbnplbCwgRnJlZDwvYXV0aG9yPjxhdXRob3I+S2V1dGhlbiwgTmFuY3kgSi48L2F1
dGhvcj48L2F1dGhvcnM+PC9jb250cmlidXRvcnM+PGF1dGgtYWRkcmVzcz5GbGVzc25lciwgQ2hy
aXN0b3BoZXIgQS4sIFJob2RlIElzbGFuZCBIb3NwaXRhbCwgRGVwYXJ0bWVudCBvZiBDaGlsZCBh
bmQgQWRvbGVzY2VudCBQc3ljaGlhdHJ5LCBCcmFkbGV5IEhhc2JybyBDaGlsZHJlbiZhcG9zO3Mg
UmVzZWFyY2ggQ2VudGVyLCAxIEhvcHBpbiBTdC4sIFN1aXRlIDIwNCwgQ29ybyBXZXN0LCBQcm92
aWRlbmNlLCBSSSwgVVMsIDAyOTAzPC9hdXRoLWFkZHJlc3M+PHRpdGxlcz48dGl0bGU+Q3VycmVu
dCB0cmVhdG1lbnQgcHJhY3RpY2VzIGZvciBjaGlsZHJlbiBhbmQgYWR1bHRzIHdpdGggdHJpY2hv
dGlsbG9tYW5pYTogQ29uc2Vuc3VzIGFtb25nIGV4cGVydHM8L3RpdGxlPjxzZWNvbmRhcnktdGl0
bGU+Q29nbml0aXZlIGFuZCBCZWhhdmlvcmFsIFByYWN0aWNlPC9zZWNvbmRhcnktdGl0bGU+PC90
aXRsZXM+PHBlcmlvZGljYWw+PGZ1bGwtdGl0bGU+Q29nbml0aXZlIGFuZCBCZWhhdmlvcmFsIFBy
YWN0aWNlPC9mdWxsLXRpdGxlPjwvcGVyaW9kaWNhbD48cGFnZXM+MjkwLTMwMDwvcGFnZXM+PHZv
bHVtZT4xNzwvdm9sdW1lPjxudW1iZXI+MzwvbnVtYmVyPjxrZXl3b3Jkcz48a2V5d29yZD50cmlj
aG90aWxsb21hbmlhPC9rZXl3b3JkPjxrZXl3b3JkPnRyZWF0bWVudCBwcmFjdGljZXM8L2tleXdv
cmQ+PGtleXdvcmQ+cGhhcm1hY29sb2dpY2FsIHRyZWF0bWVudHM8L2tleXdvcmQ+PGtleXdvcmQ+
cHN5Y2hvc29jaWFsIHRyZWF0bWVudHM8L2tleXdvcmQ+PGtleXdvcmQ+Y29nbml0aXZlIGJlaGF2
aW9yYWwgdHJlYXRtZW50PC9rZXl3b3JkPjxrZXl3b3JkPkNsaW5pY2FsIFByYWN0aWNlPC9rZXl3
b3JkPjxrZXl3b3JkPkNvZ25pdGl2ZSBCZWhhdmlvciBUaGVyYXB5PC9rZXl3b3JkPjxrZXl3b3Jk
PlBoYXJtYWNvbG9neTwva2V5d29yZD48a2V5d29yZD5Qc3ljaG9zb2NpYWwgRmFjdG9yczwva2V5
d29yZD48L2tleXdvcmRzPjxkYXRlcz48eWVhcj4yMDEwPC95ZWFyPjwvZGF0ZXM+PHB1Yi1sb2Nh
dGlvbj5OZXRoZXJsYW5kczwvcHViLWxvY2F0aW9uPjxwdWJsaXNoZXI+RWxzZXZpZXIgU2NpZW5j
ZTwvcHVibGlzaGVyPjxpc2JuPjEwNzctNzIyOTwvaXNibj48YWNjZXNzaW9uLW51bT4yMDEwLTEz
OTY4LTAwODwvYWNjZXNzaW9uLW51bT48dXJscz48cmVsYXRlZC11cmxzPjx1cmw+aHR0cDovL2Rp
c3QubGliLnVzdS5lZHUvbG9naW4/dXJsPWh0dHA6Ly9zZWFyY2guZWJzY29ob3N0LmNvbS9sb2dp
bi5hc3B4P2RpcmVjdD10cnVlJmFtcDtkYj1wc3loJmFtcDtBTj0yMDEwLTEzOTY4LTAwOCZhbXA7
c2l0ZT1laG9zdC1saXZlPC91cmw+PHVybD5jZmxlc3NuZXJAbGlmZXNwYW4ub3JnPC91cmw+PC9y
ZWxhdGVkLXVybHM+PC91cmxzPjxyZW1vdGUtZGF0YWJhc2UtbmFtZT5wc3loPC9yZW1vdGUtZGF0
YWJhc2UtbmFtZT48cmVtb3RlLWRhdGFiYXNlLXByb3ZpZGVyPkVCU0NPaG9zdDwvcmVtb3RlLWRh
dGFiYXNlLXByb3ZpZGVyPjwvcmVjb3JkPjwvQ2l0ZT48L0VuZE5vdGU+
</w:fldData>
        </w:fldChar>
      </w:r>
      <w:r w:rsidR="008757ED">
        <w:rPr>
          <w:rFonts w:ascii="Times New Roman" w:hAnsi="Times New Roman" w:cs="Times New Roman"/>
        </w:rPr>
        <w:instrText xml:space="preserve"> ADDIN EN.CITE.DATA </w:instrText>
      </w:r>
      <w:r w:rsidR="008757ED">
        <w:rPr>
          <w:rFonts w:ascii="Times New Roman" w:hAnsi="Times New Roman" w:cs="Times New Roman"/>
        </w:rPr>
      </w:r>
      <w:r w:rsidR="008757ED">
        <w:rPr>
          <w:rFonts w:ascii="Times New Roman" w:hAnsi="Times New Roman" w:cs="Times New Roman"/>
        </w:rPr>
        <w:fldChar w:fldCharType="end"/>
      </w:r>
      <w:r w:rsidR="001F5B78">
        <w:rPr>
          <w:rFonts w:ascii="Times New Roman" w:hAnsi="Times New Roman" w:cs="Times New Roman"/>
        </w:rPr>
      </w:r>
      <w:r w:rsidR="001F5B78">
        <w:rPr>
          <w:rFonts w:ascii="Times New Roman" w:hAnsi="Times New Roman" w:cs="Times New Roman"/>
        </w:rPr>
        <w:fldChar w:fldCharType="separate"/>
      </w:r>
      <w:r w:rsidR="008757ED">
        <w:rPr>
          <w:rFonts w:ascii="Times New Roman" w:hAnsi="Times New Roman" w:cs="Times New Roman"/>
          <w:noProof/>
        </w:rPr>
        <w:t>(Flessner, Penzel, &amp; Keuthen, 2010; Franklin, Zagrabbe, &amp; Benavides, 2011; Lootens &amp; Nelson-Gray, 2016)</w:t>
      </w:r>
      <w:r w:rsidR="001F5B78">
        <w:rPr>
          <w:rFonts w:ascii="Times New Roman" w:hAnsi="Times New Roman" w:cs="Times New Roman"/>
        </w:rPr>
        <w:fldChar w:fldCharType="end"/>
      </w:r>
      <w:r w:rsidR="00D91FCE">
        <w:rPr>
          <w:rFonts w:ascii="Times New Roman" w:hAnsi="Times New Roman" w:cs="Times New Roman"/>
        </w:rPr>
        <w:t>. Further, fo</w:t>
      </w:r>
      <w:r w:rsidRPr="006433A6">
        <w:rPr>
          <w:rFonts w:ascii="Times New Roman" w:hAnsi="Times New Roman" w:cs="Times New Roman"/>
        </w:rPr>
        <w:t xml:space="preserve">llowing through with </w:t>
      </w:r>
      <w:r w:rsidR="00D91FCE">
        <w:rPr>
          <w:rFonts w:ascii="Times New Roman" w:hAnsi="Times New Roman" w:cs="Times New Roman"/>
        </w:rPr>
        <w:t>a behavioral</w:t>
      </w:r>
      <w:r w:rsidRPr="006433A6">
        <w:rPr>
          <w:rFonts w:ascii="Times New Roman" w:hAnsi="Times New Roman" w:cs="Times New Roman"/>
        </w:rPr>
        <w:t xml:space="preserve"> response</w:t>
      </w:r>
      <w:r w:rsidR="00D91FCE">
        <w:rPr>
          <w:rFonts w:ascii="Times New Roman" w:hAnsi="Times New Roman" w:cs="Times New Roman"/>
        </w:rPr>
        <w:t xml:space="preserve"> (in automatic or focused pulling)</w:t>
      </w:r>
      <w:r w:rsidRPr="006433A6">
        <w:rPr>
          <w:rFonts w:ascii="Times New Roman" w:hAnsi="Times New Roman" w:cs="Times New Roman"/>
        </w:rPr>
        <w:t xml:space="preserve"> </w:t>
      </w:r>
      <w:r w:rsidR="00D91FCE">
        <w:rPr>
          <w:rFonts w:ascii="Times New Roman" w:hAnsi="Times New Roman" w:cs="Times New Roman"/>
        </w:rPr>
        <w:t xml:space="preserve">is challenging </w:t>
      </w:r>
      <w:r w:rsidR="006E5D48">
        <w:rPr>
          <w:rFonts w:ascii="Times New Roman" w:hAnsi="Times New Roman" w:cs="Times New Roman"/>
        </w:rPr>
        <w:t xml:space="preserve">when faced with intense </w:t>
      </w:r>
      <w:r w:rsidRPr="006433A6">
        <w:rPr>
          <w:rFonts w:ascii="Times New Roman" w:hAnsi="Times New Roman" w:cs="Times New Roman"/>
        </w:rPr>
        <w:t>bodily sensations and thoughts about needing to pull</w:t>
      </w:r>
      <w:r w:rsidR="00F926B6">
        <w:rPr>
          <w:rFonts w:ascii="Times New Roman" w:hAnsi="Times New Roman" w:cs="Times New Roman"/>
        </w:rPr>
        <w:t xml:space="preserve">. </w:t>
      </w:r>
      <w:r w:rsidRPr="006433A6">
        <w:rPr>
          <w:rFonts w:ascii="Times New Roman" w:hAnsi="Times New Roman" w:cs="Times New Roman"/>
        </w:rPr>
        <w:t>In an attempt to increase compliance with HRT techniques</w:t>
      </w:r>
      <w:r w:rsidR="00731724">
        <w:rPr>
          <w:rFonts w:ascii="Times New Roman" w:hAnsi="Times New Roman" w:cs="Times New Roman"/>
        </w:rPr>
        <w:t xml:space="preserve"> and to address</w:t>
      </w:r>
      <w:r w:rsidR="00F926B6">
        <w:rPr>
          <w:rFonts w:ascii="Times New Roman" w:hAnsi="Times New Roman" w:cs="Times New Roman"/>
        </w:rPr>
        <w:t xml:space="preserve"> the thoughts, emotions, and urges that accompany</w:t>
      </w:r>
      <w:r w:rsidR="00731724">
        <w:rPr>
          <w:rFonts w:ascii="Times New Roman" w:hAnsi="Times New Roman" w:cs="Times New Roman"/>
        </w:rPr>
        <w:t xml:space="preserve"> focused pulling</w:t>
      </w:r>
      <w:r w:rsidRPr="006433A6">
        <w:rPr>
          <w:rFonts w:ascii="Times New Roman" w:hAnsi="Times New Roman" w:cs="Times New Roman"/>
        </w:rPr>
        <w:t xml:space="preserve">, additional treatments have been </w:t>
      </w:r>
      <w:r w:rsidR="00865E2C">
        <w:rPr>
          <w:rFonts w:ascii="Times New Roman" w:hAnsi="Times New Roman" w:cs="Times New Roman"/>
        </w:rPr>
        <w:t xml:space="preserve">utilized in conjunction with HRT, such as </w:t>
      </w:r>
      <w:r w:rsidRPr="006433A6">
        <w:rPr>
          <w:rFonts w:ascii="Times New Roman" w:hAnsi="Times New Roman" w:cs="Times New Roman"/>
        </w:rPr>
        <w:t>Acceptance and Commitment Therapy</w:t>
      </w:r>
      <w:r w:rsidR="00731724">
        <w:rPr>
          <w:rFonts w:ascii="Times New Roman" w:hAnsi="Times New Roman" w:cs="Times New Roman"/>
        </w:rPr>
        <w:t xml:space="preserve"> </w:t>
      </w:r>
      <w:r w:rsidR="0068689D">
        <w:rPr>
          <w:rFonts w:ascii="Times New Roman" w:hAnsi="Times New Roman" w:cs="Times New Roman"/>
          <w:noProof/>
        </w:rPr>
        <w:t>(ACT; Hayes, Strosahl, &amp; Wilson, 2012)</w:t>
      </w:r>
      <w:r w:rsidR="0068689D" w:rsidRPr="006433A6">
        <w:rPr>
          <w:rFonts w:ascii="Times New Roman" w:hAnsi="Times New Roman" w:cs="Times New Roman"/>
        </w:rPr>
        <w:t xml:space="preserve"> and Dialectical Behavior Therapy</w:t>
      </w:r>
      <w:r w:rsidR="0068689D">
        <w:rPr>
          <w:rFonts w:ascii="Times New Roman" w:hAnsi="Times New Roman" w:cs="Times New Roman"/>
        </w:rPr>
        <w:t xml:space="preserve"> </w:t>
      </w:r>
      <w:r w:rsidR="0068689D">
        <w:rPr>
          <w:rFonts w:ascii="Times New Roman" w:hAnsi="Times New Roman" w:cs="Times New Roman"/>
          <w:noProof/>
        </w:rPr>
        <w:t>(DBT; Linehan, 1993)</w:t>
      </w:r>
      <w:r w:rsidR="0068689D" w:rsidRPr="006433A6">
        <w:rPr>
          <w:rFonts w:ascii="Times New Roman" w:hAnsi="Times New Roman" w:cs="Times New Roman"/>
        </w:rPr>
        <w:t>.</w:t>
      </w:r>
    </w:p>
    <w:p w14:paraId="19C70264" w14:textId="4E63C3E6" w:rsidR="00784DE6" w:rsidRDefault="0068689D" w:rsidP="002B0FF8">
      <w:pPr>
        <w:spacing w:line="480" w:lineRule="auto"/>
        <w:ind w:firstLine="720"/>
      </w:pPr>
      <w:r>
        <w:t>T</w:t>
      </w:r>
      <w:r w:rsidRPr="006433A6">
        <w:t xml:space="preserve">rials combining DBT with HRT </w:t>
      </w:r>
      <w:r>
        <w:t>have demonstrated</w:t>
      </w:r>
      <w:r w:rsidRPr="006433A6">
        <w:t xml:space="preserve"> </w:t>
      </w:r>
      <w:r>
        <w:t>reduction in</w:t>
      </w:r>
      <w:r w:rsidRPr="006433A6">
        <w:t xml:space="preserve"> </w:t>
      </w:r>
      <w:r>
        <w:t>trichotillomania</w:t>
      </w:r>
      <w:r w:rsidRPr="006433A6">
        <w:t xml:space="preserve"> severity with adults and adolescents </w:t>
      </w:r>
      <w:r>
        <w:rPr>
          <w:noProof/>
        </w:rPr>
        <w:t>(Keuthen et al., 2011; Keuthen et al., 2012; Keuthen et al., 2010; Keuthen &amp; Sprich, 2012; Welch &amp; Kim, 2012)</w:t>
      </w:r>
      <w:r w:rsidRPr="006433A6">
        <w:t>.</w:t>
      </w:r>
      <w:r w:rsidR="00E96ED7">
        <w:t xml:space="preserve"> For example, Keuthen et al, 2012 reported a statistically significant 42.7% decrease in hair pulling severity scores in treatment completers at post-treatment. Another trial demonstrated a statistically significant 48.6% decrease in hair pulling severity in nine treatment completers at a six-month follow-up</w:t>
      </w:r>
      <w:r w:rsidR="005809F9">
        <w:t xml:space="preserve"> (Keuthen et al., 2011)</w:t>
      </w:r>
      <w:r w:rsidR="00E96ED7">
        <w:t>.</w:t>
      </w:r>
      <w:r>
        <w:t xml:space="preserve"> Additionally, t</w:t>
      </w:r>
      <w:r w:rsidRPr="006433A6">
        <w:t xml:space="preserve">rials combining ACT with HRT </w:t>
      </w:r>
      <w:r>
        <w:t>have shown promising results, reducing</w:t>
      </w:r>
      <w:r w:rsidRPr="006433A6">
        <w:t xml:space="preserve"> </w:t>
      </w:r>
      <w:r>
        <w:t>trichotillomania</w:t>
      </w:r>
      <w:r w:rsidRPr="006433A6">
        <w:t xml:space="preserve"> severity with adults and adolescents </w:t>
      </w:r>
      <w:r>
        <w:rPr>
          <w:noProof/>
        </w:rPr>
        <w:t>(Crosby, Dehlin, Mitchell, &amp; Twohig, 2012; Fine et al., 2012; Twohig &amp; Woods, 2004; Woods et al., 2006)</w:t>
      </w:r>
      <w:r w:rsidRPr="006433A6">
        <w:t>.</w:t>
      </w:r>
      <w:r>
        <w:t xml:space="preserve"> Specifically, ACT has been integrated with more traditional HRT procedures in a number of studies.</w:t>
      </w:r>
    </w:p>
    <w:p w14:paraId="02B3757F" w14:textId="3924BBAA" w:rsidR="0068689D" w:rsidRDefault="0068689D" w:rsidP="00784DE6">
      <w:pPr>
        <w:spacing w:line="480" w:lineRule="auto"/>
        <w:ind w:firstLine="720"/>
      </w:pPr>
      <w:r>
        <w:t xml:space="preserve">There is mounting evidence that ACT enhanced HRT (ACT/HRT) is able to effectively target automatic and focused pulling. The initial pilot study of ACT/HRT included six participants with trichotillomania and employed a multiple-baseline across participants design </w:t>
      </w:r>
      <w:r>
        <w:rPr>
          <w:noProof/>
        </w:rPr>
        <w:t>(Twohig &amp; Woods, 2004)</w:t>
      </w:r>
      <w:r>
        <w:t xml:space="preserve">. Four of these participants reduced their hair pulling behavior significantly, </w:t>
      </w:r>
      <w:r w:rsidR="00D44C4C">
        <w:t>and</w:t>
      </w:r>
      <w:r>
        <w:t xml:space="preserve"> three </w:t>
      </w:r>
      <w:r w:rsidR="00D44C4C">
        <w:t xml:space="preserve">maintained </w:t>
      </w:r>
      <w:r>
        <w:t>significant improvement at a three-month follow-up. Additional studies have since replicated these findings</w:t>
      </w:r>
      <w:r w:rsidR="008E5170">
        <w:t xml:space="preserve">. </w:t>
      </w:r>
      <w:r w:rsidR="008E5170">
        <w:fldChar w:fldCharType="begin"/>
      </w:r>
      <w:r w:rsidR="008E5170">
        <w:instrText xml:space="preserve"> ADDIN EN.CITE &lt;EndNote&gt;&lt;Cite AuthorYear="1"&gt;&lt;Author&gt;Crosby&lt;/Author&gt;&lt;Year&gt;2012&lt;/Year&gt;&lt;RecNum&gt;1636&lt;/RecNum&gt;&lt;DisplayText&gt;Crosby, Dehlin, Mitchell, and Twohig (2012)&lt;/DisplayText&gt;&lt;record&gt;&lt;rec-number&gt;1636&lt;/rec-number&gt;&lt;foreign-keys&gt;&lt;key app="EN" db-id="2v200vasqv9ttfes2zoxf092sstsfexszx90" timestamp="1489168296"&gt;1636&lt;/key&gt;&lt;/foreign-keys&gt;&lt;ref-type name="Journal Article"&gt;17&lt;/ref-type&gt;&lt;contributors&gt;&lt;authors&gt;&lt;author&gt;Crosby, Jesse M.&lt;/author&gt;&lt;author&gt;Dehlin, John P.&lt;/author&gt;&lt;author&gt;Mitchell, P. R.&lt;/author&gt;&lt;author&gt;Twohig, Michael P.&lt;/author&gt;&lt;/authors&gt;&lt;/contributors&gt;&lt;titles&gt;&lt;title&gt;Acceptance and Commitment Therapy and Habit Reversal Training for the Treatment of Trichotillomania&lt;/title&gt;&lt;secondary-title&gt;Cognitive and Behavioral Practice&lt;/secondary-title&gt;&lt;/titles&gt;&lt;periodical&gt;&lt;full-title&gt;Cognitive and Behavioral Practice&lt;/full-title&gt;&lt;/periodical&gt;&lt;pages&gt;595-605&lt;/pages&gt;&lt;volume&gt;19&lt;/volume&gt;&lt;number&gt;4&lt;/number&gt;&lt;dates&gt;&lt;year&gt;2012&lt;/year&gt;&lt;pub-dates&gt;&lt;date&gt;NOV 2012&lt;/date&gt;&lt;/pub-dates&gt;&lt;/dates&gt;&lt;accession-num&gt;WOS:000308969900009&lt;/accession-num&gt;&lt;urls&gt;&lt;/urls&gt;&lt;/record&gt;&lt;/Cite&gt;&lt;/EndNote&gt;</w:instrText>
      </w:r>
      <w:r w:rsidR="008E5170">
        <w:fldChar w:fldCharType="separate"/>
      </w:r>
      <w:r w:rsidR="008E5170">
        <w:rPr>
          <w:noProof/>
        </w:rPr>
        <w:t>Crosby, Dehlin, Mitchell, and Twohig (2012)</w:t>
      </w:r>
      <w:r w:rsidR="008E5170">
        <w:fldChar w:fldCharType="end"/>
      </w:r>
      <w:r w:rsidR="008E5170">
        <w:t xml:space="preserve"> </w:t>
      </w:r>
      <w:r w:rsidR="007C074F">
        <w:t xml:space="preserve">reported significant reductions in hair pulling severity in four of five participants that were </w:t>
      </w:r>
      <w:r w:rsidR="00E16688">
        <w:t xml:space="preserve">largely </w:t>
      </w:r>
      <w:r w:rsidR="007C074F">
        <w:t>maintained</w:t>
      </w:r>
      <w:r w:rsidR="00E16688">
        <w:t xml:space="preserve"> at a three-month follow-up. </w:t>
      </w:r>
      <w:r w:rsidR="00E16688">
        <w:fldChar w:fldCharType="begin"/>
      </w:r>
      <w:r w:rsidR="00E16688">
        <w:instrText xml:space="preserve"> ADDIN EN.CITE &lt;EndNote&gt;&lt;Cite AuthorYear="1"&gt;&lt;Author&gt;Flessner&lt;/Author&gt;&lt;Year&gt;2008&lt;/Year&gt;&lt;RecNum&gt;1826&lt;/RecNum&gt;&lt;DisplayText&gt;Flessner, Busch, Heideman, and Woods (2008)&lt;/DisplayText&gt;&lt;record&gt;&lt;rec-number&gt;1826&lt;/rec-number&gt;&lt;foreign-keys&gt;&lt;key app="EN" db-id="2v200vasqv9ttfes2zoxf092sstsfexszx90" timestamp="1489168302"&gt;1826&lt;/key&gt;&lt;/foreign-keys&gt;&lt;ref-type name="Journal Article"&gt;17&lt;/ref-type&gt;&lt;contributors&gt;&lt;authors&gt;&lt;author&gt;Flessner, Christopher A.&lt;/author&gt;&lt;author&gt;Busch, Andrew M.&lt;/author&gt;&lt;author&gt;Heideman, Paul W.&lt;/author&gt;&lt;author&gt;Woods, Douglas W.&lt;/author&gt;&lt;/authors&gt;&lt;/contributors&gt;&lt;auth-address&gt;Woods, Douglas W., Department of Psychology P.O. Box 413, Milwaukee, WI, US, 53211, dwoods@uwm.edu&lt;/auth-address&gt;&lt;titles&gt;&lt;title&gt;Acceptance-enhanced behavior therapy (AEBT) for trichotillomania and chronic skin picking: Exploring the effects of component sequencing&lt;/title&gt;&lt;secondary-title&gt;Behavior Modification&lt;/secondary-title&gt;&lt;/titles&gt;&lt;periodical&gt;&lt;full-title&gt;Behavior Modification&lt;/full-title&gt;&lt;/periodical&gt;&lt;pages&gt;579-594&lt;/pages&gt;&lt;volume&gt;32&lt;/volume&gt;&lt;number&gt;5&lt;/number&gt;&lt;keywords&gt;&lt;keyword&gt;acceptance-enhanced behavior therapy&lt;/keyword&gt;&lt;keyword&gt;trichotillomania&lt;/keyword&gt;&lt;keyword&gt;chronic skin picking&lt;/keyword&gt;&lt;keyword&gt;habit-reversal training&lt;/keyword&gt;&lt;keyword&gt;acceptance and commitment therapy&lt;/keyword&gt;&lt;keyword&gt;Behavior Therapy&lt;/keyword&gt;&lt;keyword&gt;Commitment&lt;/keyword&gt;&lt;keyword&gt;Skin (Anatomy)&lt;/keyword&gt;&lt;keyword&gt;Treatment Outcomes&lt;/keyword&gt;&lt;/keywords&gt;&lt;dates&gt;&lt;year&gt;2008&lt;/year&gt;&lt;/dates&gt;&lt;urls&gt;&lt;related-urls&gt;&lt;url&gt;10.1177/0145445507313800&lt;/url&gt;&lt;url&gt;http://search.ebscohost.com/login.aspx?direct=true&amp;amp;db=psyh&amp;amp;AN=2008-11329-001&amp;amp;site=ehost-live&lt;/url&gt;&lt;url&gt;dwoods@uwm.edu&lt;/url&gt;&lt;/related-urls&gt;&lt;/urls&gt;&lt;electronic-resource-num&gt;10.1177/0145445507313800&lt;/electronic-resource-num&gt;&lt;/record&gt;&lt;/Cite&gt;&lt;/EndNote&gt;</w:instrText>
      </w:r>
      <w:r w:rsidR="00E16688">
        <w:fldChar w:fldCharType="separate"/>
      </w:r>
      <w:r w:rsidR="00E16688">
        <w:rPr>
          <w:noProof/>
        </w:rPr>
        <w:t>Flessner, Busch, Heideman, and Woods (2008)</w:t>
      </w:r>
      <w:r w:rsidR="00E16688">
        <w:fldChar w:fldCharType="end"/>
      </w:r>
      <w:r w:rsidR="00E16688">
        <w:t xml:space="preserve"> reported significant improvements across five participants and found that the order of receiving ACT or HRT treatment components did not affect outcomes. </w:t>
      </w:r>
      <w:r w:rsidR="00E16688">
        <w:fldChar w:fldCharType="begin"/>
      </w:r>
      <w:r w:rsidR="00E16688">
        <w:instrText xml:space="preserve"> ADDIN EN.CITE &lt;EndNote&gt;&lt;Cite AuthorYear="1"&gt;&lt;Author&gt;Woods&lt;/Author&gt;&lt;Year&gt;2006&lt;/Year&gt;&lt;RecNum&gt;51&lt;/RecNum&gt;&lt;DisplayText&gt;Woods, Wetterneck, and Flessner (2006)&lt;/DisplayText&gt;&lt;record&gt;&lt;rec-number&gt;51&lt;/rec-number&gt;&lt;foreign-keys&gt;&lt;key app="EN" db-id="2v200vasqv9ttfes2zoxf092sstsfexszx90" timestamp="1254941108"&gt;51&lt;/key&gt;&lt;/foreign-keys&gt;&lt;ref-type name="Journal Article"&gt;17&lt;/ref-type&gt;&lt;contributors&gt;&lt;authors&gt;&lt;author&gt;Woods, Douglas W.&lt;/author&gt;&lt;author&gt;Wetterneck, Chad T.&lt;/author&gt;&lt;author&gt;Flessner, Christopher A.&lt;/author&gt;&lt;/authors&gt;&lt;/contributors&gt;&lt;auth-address&gt;Woods, Douglas W., Department of Psychology, University of Wisconsin-Milwaukee, Grand Hall, P.O. Box 413, Milwaukee, WI, US, 53201 0413, dwoods@uwm.edu&lt;/auth-address&gt;&lt;titles&gt;&lt;title&gt;A controlled evaluation of acceptance and commitment therapy plus habit reversal for trichotillomania&lt;/title&gt;&lt;secondary-title&gt;Behaviour Research and Therapy&lt;/secondary-title&gt;&lt;/titles&gt;&lt;periodical&gt;&lt;full-title&gt;Behaviour Research and Therapy&lt;/full-title&gt;&lt;/periodical&gt;&lt;pages&gt;639-656&lt;/pages&gt;&lt;volume&gt;44&lt;/volume&gt;&lt;number&gt;5&lt;/number&gt;&lt;keywords&gt;&lt;keyword&gt;acceptance and commitment therapy&lt;/keyword&gt;&lt;keyword&gt;habit reversal training&lt;/keyword&gt;&lt;keyword&gt;trichotillomania&lt;/keyword&gt;&lt;keyword&gt;Commitment&lt;/keyword&gt;&lt;keyword&gt;Habits&lt;/keyword&gt;&lt;keyword&gt;Intervention&lt;/keyword&gt;&lt;/keywords&gt;&lt;dates&gt;&lt;year&gt;2006&lt;/year&gt;&lt;/dates&gt;&lt;pub-location&gt;Netherlands&lt;/pub-location&gt;&lt;publisher&gt;Elsevier Science&lt;/publisher&gt;&lt;isbn&gt;0005-7967&lt;/isbn&gt;&lt;urls&gt;&lt;related-urls&gt;&lt;url&gt;10.1016/j.brat.2005.05.006&lt;/url&gt;&lt;url&gt;http://search.ebscohost.com/login.aspx?direct=true&amp;amp;db=psyh&amp;amp;AN=2006-03658-002&amp;amp;site=ehost-live&lt;/url&gt;&lt;url&gt;dwoods@uwm.edu&lt;/url&gt;&lt;/related-urls&gt;&lt;/urls&gt;&lt;/record&gt;&lt;/Cite&gt;&lt;/EndNote&gt;</w:instrText>
      </w:r>
      <w:r w:rsidR="00E16688">
        <w:fldChar w:fldCharType="separate"/>
      </w:r>
      <w:r w:rsidR="00E16688">
        <w:rPr>
          <w:noProof/>
        </w:rPr>
        <w:t>Woods, Wetterneck, and Flessner (2006)</w:t>
      </w:r>
      <w:r w:rsidR="00E16688">
        <w:fldChar w:fldCharType="end"/>
      </w:r>
      <w:r w:rsidR="00E16688">
        <w:t xml:space="preserve"> examined ACT/HRT in a larger sample of 25 participants</w:t>
      </w:r>
      <w:r w:rsidR="00784DE6">
        <w:t xml:space="preserve"> and found significant, large improvements in trichotillomania compared to a waitlist control condition (</w:t>
      </w:r>
      <w:r w:rsidR="00784DE6" w:rsidRPr="00D363B7">
        <w:rPr>
          <w:color w:val="222222"/>
          <w:shd w:val="clear" w:color="auto" w:fill="FFFFFF"/>
        </w:rPr>
        <w:t>η</w:t>
      </w:r>
      <w:r w:rsidR="00784DE6">
        <w:rPr>
          <w:color w:val="222222"/>
          <w:shd w:val="clear" w:color="auto" w:fill="FFFFFF"/>
          <w:vertAlign w:val="superscript"/>
        </w:rPr>
        <w:t xml:space="preserve">2 </w:t>
      </w:r>
      <w:r w:rsidR="00784DE6">
        <w:rPr>
          <w:color w:val="222222"/>
          <w:shd w:val="clear" w:color="auto" w:fill="FFFFFF"/>
        </w:rPr>
        <w:t xml:space="preserve">= .50) </w:t>
      </w:r>
      <w:r w:rsidR="00784DE6">
        <w:t xml:space="preserve">that were maintained at </w:t>
      </w:r>
      <w:r w:rsidR="009A6F32">
        <w:t xml:space="preserve">a three-month </w:t>
      </w:r>
      <w:r w:rsidR="00784DE6">
        <w:t>follow-up.</w:t>
      </w:r>
      <w:r w:rsidR="00E16688">
        <w:t xml:space="preserve"> </w:t>
      </w:r>
      <w:r w:rsidR="00784DE6">
        <w:t xml:space="preserve">Finally, </w:t>
      </w:r>
      <w:r w:rsidR="00784DE6">
        <w:fldChar w:fldCharType="begin"/>
      </w:r>
      <w:r w:rsidR="00784DE6">
        <w:instrText xml:space="preserve"> ADDIN EN.CITE &lt;EndNote&gt;&lt;Cite AuthorYear="1"&gt;&lt;Author&gt;Fine&lt;/Author&gt;&lt;Year&gt;2012&lt;/Year&gt;&lt;RecNum&gt;380&lt;/RecNum&gt;&lt;DisplayText&gt;Fine et al. (2012)&lt;/DisplayText&gt;&lt;record&gt;&lt;rec-number&gt;380&lt;/rec-number&gt;&lt;foreign-keys&gt;&lt;key app="EN" db-id="2v200vasqv9ttfes2zoxf092sstsfexszx90" timestamp="1412785143"&gt;380&lt;/key&gt;&lt;/foreign-keys&gt;&lt;ref-type name="Journal Article"&gt;17&lt;/ref-type&gt;&lt;contributors&gt;&lt;authors&gt;&lt;author&gt;Fine, Kathi M&lt;/author&gt;&lt;author&gt;Walther, Michael R&lt;/author&gt;&lt;author&gt;Joseph, Jessica M&lt;/author&gt;&lt;author&gt;Robinson, Jordan&lt;/author&gt;&lt;author&gt;Ricketts, Emily J&lt;/author&gt;&lt;author&gt;Bowe, William E&lt;/author&gt;&lt;author&gt;Woods, Douglas W&lt;/author&gt;&lt;/authors&gt;&lt;/contributors&gt;&lt;titles&gt;&lt;title&gt;Acceptance-Enhanced Behavior Therapy for Trichotillomania in Adolescents&lt;/title&gt;&lt;secondary-title&gt;Cognitive and Behavioral Practice&lt;/secondary-title&gt;&lt;/titles&gt;&lt;periodical&gt;&lt;full-title&gt;Cognitive and Behavioral Practice&lt;/full-title&gt;&lt;/periodical&gt;&lt;pages&gt;463-471&lt;/pages&gt;&lt;volume&gt;19&lt;/volume&gt;&lt;number&gt;3&lt;/number&gt;&lt;dates&gt;&lt;year&gt;2012&lt;/year&gt;&lt;pub-dates&gt;&lt;date&gt;Aug 01&lt;/date&gt;&lt;/pub-dates&gt;&lt;/dates&gt;&lt;publisher&gt;Elsevier B.V.&lt;/publisher&gt;&lt;label&gt;r14871&lt;/label&gt;&lt;urls&gt;&lt;related-urls&gt;&lt;url&gt;http://dx.doi.org/10.1016/j.cbpra.2011.10.002&lt;/url&gt;&lt;/related-urls&gt;&lt;/urls&gt;&lt;/record&gt;&lt;/Cite&gt;&lt;/EndNote&gt;</w:instrText>
      </w:r>
      <w:r w:rsidR="00784DE6">
        <w:fldChar w:fldCharType="separate"/>
      </w:r>
      <w:r w:rsidR="00784DE6">
        <w:rPr>
          <w:noProof/>
        </w:rPr>
        <w:t>Fine et al. (2012)</w:t>
      </w:r>
      <w:r w:rsidR="00784DE6">
        <w:fldChar w:fldCharType="end"/>
      </w:r>
      <w:r w:rsidR="00784DE6">
        <w:t xml:space="preserve"> treated two adolescents and reported clinically significant trichotillomania severity outcomes.</w:t>
      </w:r>
      <w:r>
        <w:t xml:space="preserve"> </w:t>
      </w:r>
      <w:r w:rsidR="00A10F9F">
        <w:t>While there is limited support for the use of these combined treatments</w:t>
      </w:r>
      <w:r>
        <w:t>, no trial has examined a form of cognitive behavior therapy</w:t>
      </w:r>
      <w:r w:rsidR="006E5D48">
        <w:t xml:space="preserve"> that specifically target emotion regulation processes</w:t>
      </w:r>
      <w:r>
        <w:t xml:space="preserve"> (</w:t>
      </w:r>
      <w:r w:rsidR="00DB2871">
        <w:t>e.g</w:t>
      </w:r>
      <w:r>
        <w:t xml:space="preserve">., ACT, DBT) as a standalone treatment for trichotillomania. </w:t>
      </w:r>
      <w:r w:rsidRPr="006433A6">
        <w:t>This reduc</w:t>
      </w:r>
      <w:r>
        <w:t xml:space="preserve">es the ability to determine any potential additional benefits of these treatments </w:t>
      </w:r>
      <w:r w:rsidRPr="006433A6">
        <w:t>beyond HRT</w:t>
      </w:r>
      <w:r>
        <w:t xml:space="preserve"> alone</w:t>
      </w:r>
      <w:r w:rsidRPr="006433A6">
        <w:t>.</w:t>
      </w:r>
    </w:p>
    <w:p w14:paraId="39AF4155" w14:textId="77777777" w:rsidR="0068689D" w:rsidRDefault="00627B9D" w:rsidP="00784DE6">
      <w:pPr>
        <w:pStyle w:val="BodyTextList"/>
        <w:numPr>
          <w:ilvl w:val="0"/>
          <w:numId w:val="0"/>
        </w:numPr>
        <w:spacing w:before="0" w:after="0"/>
        <w:rPr>
          <w:rFonts w:ascii="Times New Roman" w:hAnsi="Times New Roman" w:cs="Times New Roman"/>
        </w:rPr>
      </w:pPr>
      <w:r>
        <w:rPr>
          <w:rFonts w:ascii="Times New Roman" w:hAnsi="Times New Roman" w:cs="Times New Roman"/>
        </w:rPr>
        <w:tab/>
      </w:r>
      <w:r w:rsidR="0068689D">
        <w:rPr>
          <w:rFonts w:ascii="Times New Roman" w:hAnsi="Times New Roman" w:cs="Times New Roman"/>
        </w:rPr>
        <w:t>Theoretically, ACT aims to increase psychological flexibility, which can be defined as</w:t>
      </w:r>
      <w:r w:rsidR="002E389C">
        <w:rPr>
          <w:rFonts w:ascii="Times New Roman" w:hAnsi="Times New Roman" w:cs="Times New Roman"/>
        </w:rPr>
        <w:t xml:space="preserve"> the ability</w:t>
      </w:r>
      <w:r w:rsidR="0068689D">
        <w:rPr>
          <w:rFonts w:ascii="Times New Roman" w:hAnsi="Times New Roman" w:cs="Times New Roman"/>
        </w:rPr>
        <w:t xml:space="preserve"> to engage in meaningful, values-directed behavior without any particular regard for inner experiences (i.e., thoughts, emotions, sensations).</w:t>
      </w:r>
      <w:r w:rsidR="002E389C">
        <w:rPr>
          <w:rFonts w:ascii="Times New Roman" w:hAnsi="Times New Roman" w:cs="Times New Roman"/>
        </w:rPr>
        <w:t xml:space="preserve"> Psychological flexibility has been shown to be associated with lower levels of hair pulling severity, less frequent and intense urges to pull, and lower levels of distress related to pulling</w:t>
      </w:r>
      <w:r w:rsidR="006F5358">
        <w:rPr>
          <w:rFonts w:ascii="Times New Roman" w:hAnsi="Times New Roman" w:cs="Times New Roman"/>
        </w:rPr>
        <w:t xml:space="preserve"> </w:t>
      </w:r>
      <w:r w:rsidR="006F5358">
        <w:rPr>
          <w:rFonts w:ascii="Times New Roman" w:hAnsi="Times New Roman" w:cs="Times New Roman"/>
        </w:rPr>
        <w:fldChar w:fldCharType="begin">
          <w:fldData xml:space="preserve">PEVuZE5vdGU+PENpdGU+PEF1dGhvcj5CZWdvdGthPC9BdXRob3I+PFllYXI+MjAwNDwvWWVhcj48
UmVjTnVtPjIzNjwvUmVjTnVtPjxEaXNwbGF5VGV4dD4oQmVnb3RrYSwgV29vZHMsICZhbXA7IFdl
dHRlcm5lY2ssIDIwMDQ7IEJsdWV0dCwgSG9tYW4sIE1vcnJpc29uLCBMZXZpbiwgJmFtcDsgVHdv
aGlnLCAyMDE0OyBUd29oaWcsIE1vcnJpc29uLCAmYW1wOyBCbHVldHQsIDIwMTQpPC9EaXNwbGF5
VGV4dD48cmVjb3JkPjxyZWMtbnVtYmVyPjIzNjwvcmVjLW51bWJlcj48Zm9yZWlnbi1rZXlzPjxr
ZXkgYXBwPSJFTiIgZGItaWQ9IjJ2MjAwdmFzcXY5dHRmZXMyem94ZjA5MnNzdHNmZXhzeng5MCIg
dGltZXN0YW1wPSIxMzI3NDQ2MDY5Ij4yMzY8L2tleT48L2ZvcmVpZ24ta2V5cz48cmVmLXR5cGUg
bmFtZT0iSm91cm5hbCBBcnRpY2xlIj4xNzwvcmVmLXR5cGU+PGNvbnRyaWJ1dG9ycz48YXV0aG9y
cz48YXV0aG9yPkJlZ290a2EsIEFuZHJlYSBNLjwvYXV0aG9yPjxhdXRob3I+V29vZHMsIERvdWds
YXMgVy48L2F1dGhvcj48YXV0aG9yPldldHRlcm5lY2ssIENoYWQgVC48L2F1dGhvcj48L2F1dGhv
cnM+PC9jb250cmlidXRvcnM+PGF1dGgtYWRkcmVzcz5CZWdvdGthLCBBbmRyZWEgTS4sIERlcGFy
dG1lbnQgb2YgUHN5Y2hvbG9neSwgVW5pdmVyc2l0eSBvZiBXaXNjb25zaW4gQm94IDQxMywgTWls
d2F1a2VlLCBXSSwgVVMsIDUzMjAxLCBkLndvb2RzQHV3bi5lZHU8L2F1dGgtYWRkcmVzcz48dGl0
bGVzPjx0aXRsZT5UaGUgcmVsYXRpb25zaGlwIGJldHdlZW4gZXhwZXJpZW50aWFsIGF2b2lkYW5j
ZSBhbmQgdGhlIHNldmVyaXR5IG9mIHRyaWNob3RpbGxvbWFuaWEgaW4gYSBub25yZWZlcnJlZCBz
YW1wbGU8L3RpdGxlPjxzZWNvbmRhcnktdGl0bGU+Sm91cm5hbCBvZiBCZWhhdmlvciBUaGVyYXB5
IGFuZCBFeHBlcmltZW50YWwgUHN5Y2hpYXRyeTwvc2Vjb25kYXJ5LXRpdGxlPjwvdGl0bGVzPjxw
ZXJpb2RpY2FsPjxmdWxsLXRpdGxlPkpvdXJuYWwgb2YgQmVoYXZpb3IgVGhlcmFweSBhbmQgRXhw
ZXJpbWVudGFsIFBzeWNoaWF0cnk8L2Z1bGwtdGl0bGU+PC9wZXJpb2RpY2FsPjxwYWdlcz4xNy0y
NDwvcGFnZXM+PHZvbHVtZT4zNTwvdm9sdW1lPjxudW1iZXI+MTwvbnVtYmVyPjxrZXl3b3Jkcz48
a2V5d29yZD5leHBlcmllbnRpYWwgYXZvaWRhbmNlPC9rZXl3b3JkPjxrZXl3b3JkPmRpc2Vhc2Ug
c2V2ZXJpdHk8L2tleXdvcmQ+PGtleXdvcmQ+dHJpY2hvdGlsbG9tYW5pYTwva2V5d29yZD48a2V5
d29yZD5Bdm9pZGFuY2U8L2tleXdvcmQ+PGtleXdvcmQ+U2V2ZXJpdHkgKERpc29yZGVycyk8L2tl
eXdvcmQ+PC9rZXl3b3Jkcz48ZGF0ZXM+PHllYXI+MjAwNDwveWVhcj48L2RhdGVzPjxwdWItbG9j
YXRpb24+TmV0aGVybGFuZHM8L3B1Yi1sb2NhdGlvbj48cHVibGlzaGVyPkVsc2V2aWVyIFNjaWVu
Y2U8L3B1Ymxpc2hlcj48aXNibj4wMDA1LTc5MTY8L2lzYm4+PHVybHM+PC91cmxzPjxlbGVjdHJv
bmljLXJlc291cmNlLW51bT4xMC4xMDE2L2ouamJ0ZXAuMjAwNC4wMi4wMDE8L2VsZWN0cm9uaWMt
cmVzb3VyY2UtbnVtPjwvcmVjb3JkPjwvQ2l0ZT48Q2l0ZT48QXV0aG9yPkJsdWV0dDwvQXV0aG9y
PjxZZWFyPjIwMTQ8L1llYXI+PFJlY051bT40ODE8L1JlY051bT48cmVjb3JkPjxyZWMtbnVtYmVy
PjQ4MTwvcmVjLW51bWJlcj48Zm9yZWlnbi1rZXlzPjxrZXkgYXBwPSJFTiIgZGItaWQ9IjJ2MjAw
dmFzcXY5dHRmZXMyem94ZjA5MnNzdHNmZXhzeng5MCIgdGltZXN0YW1wPSIxNDE3NDU5ODQyIj40
ODE8L2tleT48L2ZvcmVpZ24ta2V5cz48cmVmLXR5cGUgbmFtZT0iSm91cm5hbCBBcnRpY2xlIj4x
NzwvcmVmLXR5cGU+PGNvbnRyaWJ1dG9ycz48YXV0aG9ycz48YXV0aG9yPkJsdWV0dCwgRWxsZW4g
Si48L2F1dGhvcj48YXV0aG9yPkhvbWFuLCBLZW5kcmEgSi48L2F1dGhvcj48YXV0aG9yPk1vcnJp
c29uLCBLYXRlIEwuPC9hdXRob3I+PGF1dGhvcj5MZXZpbiwgTWljaGFlbCBFLjwvYXV0aG9yPjxh
dXRob3I+VHdvaGlnLCBNaWNoYWVsIFAuPC9hdXRob3I+PC9hdXRob3JzPjwvY29udHJpYnV0b3Jz
PjxhdXRoLWFkZHJlc3M+VHdvaGlnLCBNaWNoYWVsIFAuLCBVdGFoIFN0YXRlIFVuaXZlcnNpdHks
IERlcGFydG1lbnQgb2YgUHN5Y2hvbG9neSwgMjgxMCBPbGQgTWFpbiBIaWxsLCBMb2dhbiwgVVQs
IFVTLCA4NDMyMi0yODEwPC9hdXRoLWFkZHJlc3M+PHRpdGxlcz48dGl0bGU+QWNjZXB0YW5jZSBh
bmQgY29tbWl0bWVudCB0aGVyYXB5IGZvciBhbnhpZXR5IGFuZCBPQ0Qgc3BlY3RydW0gZGlzb3Jk
ZXJzOiBBbiBlbXBpcmljYWwgcmV2aWV3PC90aXRsZT48c2Vjb25kYXJ5LXRpdGxlPkpvdXJuYWwg
b2YgQW54aWV0eSBEaXNvcmRlcnM8L3NlY29uZGFyeS10aXRsZT48L3RpdGxlcz48cGVyaW9kaWNh
bD48ZnVsbC10aXRsZT5Kb3VybmFsIG9mIEFueGlldHkgRGlzb3JkZXJzPC9mdWxsLXRpdGxlPjwv
cGVyaW9kaWNhbD48cGFnZXM+NjEyLTYyNDwvcGFnZXM+PHZvbHVtZT4yODwvdm9sdW1lPjxudW1i
ZXI+NjwvbnVtYmVyPjxrZXl3b3Jkcz48a2V5d29yZD5hY2NlcHRhbmNlIGFuZCBjb21taXRtZW50
IHRoZXJhcHk8L2tleXdvcmQ+PGtleXdvcmQ+cmV2aWV3PC9rZXl3b3JkPjxrZXl3b3JkPm1ldGEg
YW5hbHlzaXM8L2tleXdvcmQ+PGtleXdvcmQ+YW54aWV0eTwva2V5d29yZD48a2V5d29yZD5taW5k
ZnVsbmVzczwva2V5d29yZD48a2V5d29yZD5BbnhpZXR5IERpc29yZGVyczwva2V5d29yZD48a2V5
d29yZD5PYnNlc3NpdmUgQ29tcHVsc2l2ZSBEaXNvcmRlcjwva2V5d29yZD48L2tleXdvcmRzPjxk
YXRlcz48eWVhcj4yMDE0PC95ZWFyPjwvZGF0ZXM+PGlzYm4+MDg4Ny02MTg1PC9pc2JuPjxhY2Nl
c3Npb24tbnVtPjIwMTQtMzUxMDAtMDE1PC9hY2Nlc3Npb24tbnVtPjx1cmxzPjwvdXJscz48ZWxl
Y3Ryb25pYy1yZXNvdXJjZS1udW0+MTAuMTAxNi9qLmphbnhkaXMuMjAxNC4wNi4wMDggPC9lbGVj
dHJvbmljLXJlc291cmNlLW51bT48cmVtb3RlLWRhdGFiYXNlLW5hbWU+cHN5aDwvcmVtb3RlLWRh
dGFiYXNlLW5hbWU+PHJlbW90ZS1kYXRhYmFzZS1wcm92aWRlcj5FQlNDT2hvc3Q8L3JlbW90ZS1k
YXRhYmFzZS1wcm92aWRlcj48L3JlY29yZD48L0NpdGU+PENpdGU+PEF1dGhvcj5Ud29oaWc8L0F1
dGhvcj48WWVhcj4yMDE0PC9ZZWFyPjxSZWNOdW0+MTUxMjwvUmVjTnVtPjxyZWNvcmQ+PHJlYy1u
dW1iZXI+MTUxMjwvcmVjLW51bWJlcj48Zm9yZWlnbi1rZXlzPjxrZXkgYXBwPSJFTiIgZGItaWQ9
IjJ2MjAwdmFzcXY5dHRmZXMyem94ZjA5MnNzdHNmZXhzeng5MCIgdGltZXN0YW1wPSIxNDg1Mjc5
OTY4Ij4xNTEyPC9rZXk+PC9mb3JlaWduLWtleXM+PHJlZi10eXBlIG5hbWU9IkpvdXJuYWwgQXJ0
aWNsZSI+MTc8L3JlZi10eXBlPjxjb250cmlidXRvcnM+PGF1dGhvcnM+PGF1dGhvcj5Ud29oaWcs
IE1pY2hhZWw8L2F1dGhvcj48YXV0aG9yPk1vcnJpc29uLCBLYXRlPC9hdXRob3I+PGF1dGhvcj5C
bHVldHQsIEVsbGVuPC9hdXRob3I+PC9hdXRob3JzPjwvY29udHJpYnV0b3JzPjx0aXRsZXM+PHRp
dGxlPkFjY2VwdGFuY2UgYW5kIGNvbW1pdG1lbnQgdGhlcmFweSBmb3Igb2JzZXNzaXZlIGNvbXB1
bHNpdmUgZGlzb3JkZXIgYW5kIG9ic2Vzc2l2ZSBjb21wdWxzaXZlIHNwZWN0cnVtIGRpc29yZGVy
czogQSByZXZpZXc8L3RpdGxlPjxzZWNvbmRhcnktdGl0bGU+Q3VycmVudCBQc3ljaGlhdHJ5IFJl
dmlld3M8L3NlY29uZGFyeS10aXRsZT48L3RpdGxlcz48cGVyaW9kaWNhbD48ZnVsbC10aXRsZT5D
dXJyZW50IFBzeWNoaWF0cnkgUmV2aWV3czwvZnVsbC10aXRsZT48L3BlcmlvZGljYWw+PHBhZ2Vz
PjI5Ni0zMDc8L3BhZ2VzPjx2b2x1bWU+MTA8L3ZvbHVtZT48bnVtYmVyPjQ8L251bWJlcj48ZGF0
ZXM+PHllYXI+MjAxNDwveWVhcj48L2RhdGVzPjxpc2JuPjE1NzMtNDAwNTwvaXNibj48dXJscz48
L3VybHM+PC9yZWNvcmQ+PC9DaXRlPjwvRW5kTm90ZT4A
</w:fldData>
        </w:fldChar>
      </w:r>
      <w:r w:rsidR="006F5358">
        <w:rPr>
          <w:rFonts w:ascii="Times New Roman" w:hAnsi="Times New Roman" w:cs="Times New Roman"/>
        </w:rPr>
        <w:instrText xml:space="preserve"> ADDIN EN.CITE </w:instrText>
      </w:r>
      <w:r w:rsidR="006F5358">
        <w:rPr>
          <w:rFonts w:ascii="Times New Roman" w:hAnsi="Times New Roman" w:cs="Times New Roman"/>
        </w:rPr>
        <w:fldChar w:fldCharType="begin">
          <w:fldData xml:space="preserve">PEVuZE5vdGU+PENpdGU+PEF1dGhvcj5CZWdvdGthPC9BdXRob3I+PFllYXI+MjAwNDwvWWVhcj48
UmVjTnVtPjIzNjwvUmVjTnVtPjxEaXNwbGF5VGV4dD4oQmVnb3RrYSwgV29vZHMsICZhbXA7IFdl
dHRlcm5lY2ssIDIwMDQ7IEJsdWV0dCwgSG9tYW4sIE1vcnJpc29uLCBMZXZpbiwgJmFtcDsgVHdv
aGlnLCAyMDE0OyBUd29oaWcsIE1vcnJpc29uLCAmYW1wOyBCbHVldHQsIDIwMTQpPC9EaXNwbGF5
VGV4dD48cmVjb3JkPjxyZWMtbnVtYmVyPjIzNjwvcmVjLW51bWJlcj48Zm9yZWlnbi1rZXlzPjxr
ZXkgYXBwPSJFTiIgZGItaWQ9IjJ2MjAwdmFzcXY5dHRmZXMyem94ZjA5MnNzdHNmZXhzeng5MCIg
dGltZXN0YW1wPSIxMzI3NDQ2MDY5Ij4yMzY8L2tleT48L2ZvcmVpZ24ta2V5cz48cmVmLXR5cGUg
bmFtZT0iSm91cm5hbCBBcnRpY2xlIj4xNzwvcmVmLXR5cGU+PGNvbnRyaWJ1dG9ycz48YXV0aG9y
cz48YXV0aG9yPkJlZ290a2EsIEFuZHJlYSBNLjwvYXV0aG9yPjxhdXRob3I+V29vZHMsIERvdWds
YXMgVy48L2F1dGhvcj48YXV0aG9yPldldHRlcm5lY2ssIENoYWQgVC48L2F1dGhvcj48L2F1dGhv
cnM+PC9jb250cmlidXRvcnM+PGF1dGgtYWRkcmVzcz5CZWdvdGthLCBBbmRyZWEgTS4sIERlcGFy
dG1lbnQgb2YgUHN5Y2hvbG9neSwgVW5pdmVyc2l0eSBvZiBXaXNjb25zaW4gQm94IDQxMywgTWls
d2F1a2VlLCBXSSwgVVMsIDUzMjAxLCBkLndvb2RzQHV3bi5lZHU8L2F1dGgtYWRkcmVzcz48dGl0
bGVzPjx0aXRsZT5UaGUgcmVsYXRpb25zaGlwIGJldHdlZW4gZXhwZXJpZW50aWFsIGF2b2lkYW5j
ZSBhbmQgdGhlIHNldmVyaXR5IG9mIHRyaWNob3RpbGxvbWFuaWEgaW4gYSBub25yZWZlcnJlZCBz
YW1wbGU8L3RpdGxlPjxzZWNvbmRhcnktdGl0bGU+Sm91cm5hbCBvZiBCZWhhdmlvciBUaGVyYXB5
IGFuZCBFeHBlcmltZW50YWwgUHN5Y2hpYXRyeTwvc2Vjb25kYXJ5LXRpdGxlPjwvdGl0bGVzPjxw
ZXJpb2RpY2FsPjxmdWxsLXRpdGxlPkpvdXJuYWwgb2YgQmVoYXZpb3IgVGhlcmFweSBhbmQgRXhw
ZXJpbWVudGFsIFBzeWNoaWF0cnk8L2Z1bGwtdGl0bGU+PC9wZXJpb2RpY2FsPjxwYWdlcz4xNy0y
NDwvcGFnZXM+PHZvbHVtZT4zNTwvdm9sdW1lPjxudW1iZXI+MTwvbnVtYmVyPjxrZXl3b3Jkcz48
a2V5d29yZD5leHBlcmllbnRpYWwgYXZvaWRhbmNlPC9rZXl3b3JkPjxrZXl3b3JkPmRpc2Vhc2Ug
c2V2ZXJpdHk8L2tleXdvcmQ+PGtleXdvcmQ+dHJpY2hvdGlsbG9tYW5pYTwva2V5d29yZD48a2V5
d29yZD5Bdm9pZGFuY2U8L2tleXdvcmQ+PGtleXdvcmQ+U2V2ZXJpdHkgKERpc29yZGVycyk8L2tl
eXdvcmQ+PC9rZXl3b3Jkcz48ZGF0ZXM+PHllYXI+MjAwNDwveWVhcj48L2RhdGVzPjxwdWItbG9j
YXRpb24+TmV0aGVybGFuZHM8L3B1Yi1sb2NhdGlvbj48cHVibGlzaGVyPkVsc2V2aWVyIFNjaWVu
Y2U8L3B1Ymxpc2hlcj48aXNibj4wMDA1LTc5MTY8L2lzYm4+PHVybHM+PC91cmxzPjxlbGVjdHJv
bmljLXJlc291cmNlLW51bT4xMC4xMDE2L2ouamJ0ZXAuMjAwNC4wMi4wMDE8L2VsZWN0cm9uaWMt
cmVzb3VyY2UtbnVtPjwvcmVjb3JkPjwvQ2l0ZT48Q2l0ZT48QXV0aG9yPkJsdWV0dDwvQXV0aG9y
PjxZZWFyPjIwMTQ8L1llYXI+PFJlY051bT40ODE8L1JlY051bT48cmVjb3JkPjxyZWMtbnVtYmVy
PjQ4MTwvcmVjLW51bWJlcj48Zm9yZWlnbi1rZXlzPjxrZXkgYXBwPSJFTiIgZGItaWQ9IjJ2MjAw
dmFzcXY5dHRmZXMyem94ZjA5MnNzdHNmZXhzeng5MCIgdGltZXN0YW1wPSIxNDE3NDU5ODQyIj40
ODE8L2tleT48L2ZvcmVpZ24ta2V5cz48cmVmLXR5cGUgbmFtZT0iSm91cm5hbCBBcnRpY2xlIj4x
NzwvcmVmLXR5cGU+PGNvbnRyaWJ1dG9ycz48YXV0aG9ycz48YXV0aG9yPkJsdWV0dCwgRWxsZW4g
Si48L2F1dGhvcj48YXV0aG9yPkhvbWFuLCBLZW5kcmEgSi48L2F1dGhvcj48YXV0aG9yPk1vcnJp
c29uLCBLYXRlIEwuPC9hdXRob3I+PGF1dGhvcj5MZXZpbiwgTWljaGFlbCBFLjwvYXV0aG9yPjxh
dXRob3I+VHdvaGlnLCBNaWNoYWVsIFAuPC9hdXRob3I+PC9hdXRob3JzPjwvY29udHJpYnV0b3Jz
PjxhdXRoLWFkZHJlc3M+VHdvaGlnLCBNaWNoYWVsIFAuLCBVdGFoIFN0YXRlIFVuaXZlcnNpdHks
IERlcGFydG1lbnQgb2YgUHN5Y2hvbG9neSwgMjgxMCBPbGQgTWFpbiBIaWxsLCBMb2dhbiwgVVQs
IFVTLCA4NDMyMi0yODEwPC9hdXRoLWFkZHJlc3M+PHRpdGxlcz48dGl0bGU+QWNjZXB0YW5jZSBh
bmQgY29tbWl0bWVudCB0aGVyYXB5IGZvciBhbnhpZXR5IGFuZCBPQ0Qgc3BlY3RydW0gZGlzb3Jk
ZXJzOiBBbiBlbXBpcmljYWwgcmV2aWV3PC90aXRsZT48c2Vjb25kYXJ5LXRpdGxlPkpvdXJuYWwg
b2YgQW54aWV0eSBEaXNvcmRlcnM8L3NlY29uZGFyeS10aXRsZT48L3RpdGxlcz48cGVyaW9kaWNh
bD48ZnVsbC10aXRsZT5Kb3VybmFsIG9mIEFueGlldHkgRGlzb3JkZXJzPC9mdWxsLXRpdGxlPjwv
cGVyaW9kaWNhbD48cGFnZXM+NjEyLTYyNDwvcGFnZXM+PHZvbHVtZT4yODwvdm9sdW1lPjxudW1i
ZXI+NjwvbnVtYmVyPjxrZXl3b3Jkcz48a2V5d29yZD5hY2NlcHRhbmNlIGFuZCBjb21taXRtZW50
IHRoZXJhcHk8L2tleXdvcmQ+PGtleXdvcmQ+cmV2aWV3PC9rZXl3b3JkPjxrZXl3b3JkPm1ldGEg
YW5hbHlzaXM8L2tleXdvcmQ+PGtleXdvcmQ+YW54aWV0eTwva2V5d29yZD48a2V5d29yZD5taW5k
ZnVsbmVzczwva2V5d29yZD48a2V5d29yZD5BbnhpZXR5IERpc29yZGVyczwva2V5d29yZD48a2V5
d29yZD5PYnNlc3NpdmUgQ29tcHVsc2l2ZSBEaXNvcmRlcjwva2V5d29yZD48L2tleXdvcmRzPjxk
YXRlcz48eWVhcj4yMDE0PC95ZWFyPjwvZGF0ZXM+PGlzYm4+MDg4Ny02MTg1PC9pc2JuPjxhY2Nl
c3Npb24tbnVtPjIwMTQtMzUxMDAtMDE1PC9hY2Nlc3Npb24tbnVtPjx1cmxzPjwvdXJscz48ZWxl
Y3Ryb25pYy1yZXNvdXJjZS1udW0+MTAuMTAxNi9qLmphbnhkaXMuMjAxNC4wNi4wMDggPC9lbGVj
dHJvbmljLXJlc291cmNlLW51bT48cmVtb3RlLWRhdGFiYXNlLW5hbWU+cHN5aDwvcmVtb3RlLWRh
dGFiYXNlLW5hbWU+PHJlbW90ZS1kYXRhYmFzZS1wcm92aWRlcj5FQlNDT2hvc3Q8L3JlbW90ZS1k
YXRhYmFzZS1wcm92aWRlcj48L3JlY29yZD48L0NpdGU+PENpdGU+PEF1dGhvcj5Ud29oaWc8L0F1
dGhvcj48WWVhcj4yMDE0PC9ZZWFyPjxSZWNOdW0+MTUxMjwvUmVjTnVtPjxyZWNvcmQ+PHJlYy1u
dW1iZXI+MTUxMjwvcmVjLW51bWJlcj48Zm9yZWlnbi1rZXlzPjxrZXkgYXBwPSJFTiIgZGItaWQ9
IjJ2MjAwdmFzcXY5dHRmZXMyem94ZjA5MnNzdHNmZXhzeng5MCIgdGltZXN0YW1wPSIxNDg1Mjc5
OTY4Ij4xNTEyPC9rZXk+PC9mb3JlaWduLWtleXM+PHJlZi10eXBlIG5hbWU9IkpvdXJuYWwgQXJ0
aWNsZSI+MTc8L3JlZi10eXBlPjxjb250cmlidXRvcnM+PGF1dGhvcnM+PGF1dGhvcj5Ud29oaWcs
IE1pY2hhZWw8L2F1dGhvcj48YXV0aG9yPk1vcnJpc29uLCBLYXRlPC9hdXRob3I+PGF1dGhvcj5C
bHVldHQsIEVsbGVuPC9hdXRob3I+PC9hdXRob3JzPjwvY29udHJpYnV0b3JzPjx0aXRsZXM+PHRp
dGxlPkFjY2VwdGFuY2UgYW5kIGNvbW1pdG1lbnQgdGhlcmFweSBmb3Igb2JzZXNzaXZlIGNvbXB1
bHNpdmUgZGlzb3JkZXIgYW5kIG9ic2Vzc2l2ZSBjb21wdWxzaXZlIHNwZWN0cnVtIGRpc29yZGVy
czogQSByZXZpZXc8L3RpdGxlPjxzZWNvbmRhcnktdGl0bGU+Q3VycmVudCBQc3ljaGlhdHJ5IFJl
dmlld3M8L3NlY29uZGFyeS10aXRsZT48L3RpdGxlcz48cGVyaW9kaWNhbD48ZnVsbC10aXRsZT5D
dXJyZW50IFBzeWNoaWF0cnkgUmV2aWV3czwvZnVsbC10aXRsZT48L3BlcmlvZGljYWw+PHBhZ2Vz
PjI5Ni0zMDc8L3BhZ2VzPjx2b2x1bWU+MTA8L3ZvbHVtZT48bnVtYmVyPjQ8L251bWJlcj48ZGF0
ZXM+PHllYXI+MjAxNDwveWVhcj48L2RhdGVzPjxpc2JuPjE1NzMtNDAwNTwvaXNibj48dXJscz48
L3VybHM+PC9yZWNvcmQ+PC9DaXRlPjwvRW5kTm90ZT4A
</w:fldData>
        </w:fldChar>
      </w:r>
      <w:r w:rsidR="006F5358">
        <w:rPr>
          <w:rFonts w:ascii="Times New Roman" w:hAnsi="Times New Roman" w:cs="Times New Roman"/>
        </w:rPr>
        <w:instrText xml:space="preserve"> ADDIN EN.CITE.DATA </w:instrText>
      </w:r>
      <w:r w:rsidR="006F5358">
        <w:rPr>
          <w:rFonts w:ascii="Times New Roman" w:hAnsi="Times New Roman" w:cs="Times New Roman"/>
        </w:rPr>
      </w:r>
      <w:r w:rsidR="006F5358">
        <w:rPr>
          <w:rFonts w:ascii="Times New Roman" w:hAnsi="Times New Roman" w:cs="Times New Roman"/>
        </w:rPr>
        <w:fldChar w:fldCharType="end"/>
      </w:r>
      <w:r w:rsidR="006F5358">
        <w:rPr>
          <w:rFonts w:ascii="Times New Roman" w:hAnsi="Times New Roman" w:cs="Times New Roman"/>
        </w:rPr>
      </w:r>
      <w:r w:rsidR="006F5358">
        <w:rPr>
          <w:rFonts w:ascii="Times New Roman" w:hAnsi="Times New Roman" w:cs="Times New Roman"/>
        </w:rPr>
        <w:fldChar w:fldCharType="separate"/>
      </w:r>
      <w:r w:rsidR="006F5358">
        <w:rPr>
          <w:rFonts w:ascii="Times New Roman" w:hAnsi="Times New Roman" w:cs="Times New Roman"/>
          <w:noProof/>
        </w:rPr>
        <w:t>(Begotka, Woods, &amp; Wetterneck, 2004; Bluett, Homan, Morrison, Levin, &amp; Twohig, 2014; Twohig, Morrison, &amp; Bluett, 2014)</w:t>
      </w:r>
      <w:r w:rsidR="006F5358">
        <w:rPr>
          <w:rFonts w:ascii="Times New Roman" w:hAnsi="Times New Roman" w:cs="Times New Roman"/>
        </w:rPr>
        <w:fldChar w:fldCharType="end"/>
      </w:r>
      <w:r w:rsidR="006F5358">
        <w:rPr>
          <w:rFonts w:ascii="Times New Roman" w:hAnsi="Times New Roman" w:cs="Times New Roman"/>
        </w:rPr>
        <w:t>.</w:t>
      </w:r>
      <w:r w:rsidR="006F5358">
        <w:rPr>
          <w:rFonts w:ascii="Times New Roman" w:hAnsi="Times New Roman" w:cs="Times New Roman"/>
          <w:noProof/>
        </w:rPr>
        <w:t xml:space="preserve"> For ex</w:t>
      </w:r>
      <w:r w:rsidR="0068689D">
        <w:rPr>
          <w:rFonts w:ascii="Times New Roman" w:hAnsi="Times New Roman" w:cs="Times New Roman"/>
        </w:rPr>
        <w:t>ample, in the treatment of trichotillomania, an ACT therapist would demonstrate the futility of attempting to change or control the client’s urge to pull, instead focusing on increasing the client’s willingness to experience the urge to pull as it is. This would allow the client to better experience urges as simply bodily sensations and internal thoughts that do not need to be removed before enga</w:t>
      </w:r>
      <w:r w:rsidR="006F5358">
        <w:rPr>
          <w:rFonts w:ascii="Times New Roman" w:hAnsi="Times New Roman" w:cs="Times New Roman"/>
        </w:rPr>
        <w:t>ging in meaningful life actions</w:t>
      </w:r>
      <w:r w:rsidR="0068689D">
        <w:rPr>
          <w:rFonts w:ascii="Times New Roman" w:hAnsi="Times New Roman" w:cs="Times New Roman"/>
        </w:rPr>
        <w:t>.</w:t>
      </w:r>
    </w:p>
    <w:p w14:paraId="136A3C91" w14:textId="77777777" w:rsidR="0068689D" w:rsidRDefault="00AE0D3C" w:rsidP="00F60D71">
      <w:pPr>
        <w:pStyle w:val="BodyTextList"/>
        <w:numPr>
          <w:ilvl w:val="0"/>
          <w:numId w:val="0"/>
        </w:numPr>
        <w:spacing w:before="0" w:after="0"/>
        <w:rPr>
          <w:rFonts w:ascii="Times New Roman" w:hAnsi="Times New Roman" w:cs="Times New Roman"/>
        </w:rPr>
      </w:pPr>
      <w:r>
        <w:rPr>
          <w:rFonts w:ascii="Times New Roman" w:hAnsi="Times New Roman" w:cs="Times New Roman"/>
        </w:rPr>
        <w:tab/>
      </w:r>
      <w:r w:rsidR="0068689D" w:rsidRPr="00AE0D3C">
        <w:rPr>
          <w:rFonts w:ascii="Times New Roman" w:hAnsi="Times New Roman" w:cs="Times New Roman"/>
        </w:rPr>
        <w:t>While</w:t>
      </w:r>
      <w:r w:rsidR="0068689D">
        <w:rPr>
          <w:rFonts w:ascii="Times New Roman" w:hAnsi="Times New Roman" w:cs="Times New Roman"/>
        </w:rPr>
        <w:t xml:space="preserve"> the </w:t>
      </w:r>
      <w:r w:rsidR="000A7D4E">
        <w:rPr>
          <w:rFonts w:ascii="Times New Roman" w:hAnsi="Times New Roman" w:cs="Times New Roman"/>
        </w:rPr>
        <w:t xml:space="preserve">role of psychological flexibility and the utility of </w:t>
      </w:r>
      <w:r w:rsidR="0068689D">
        <w:rPr>
          <w:rFonts w:ascii="Times New Roman" w:hAnsi="Times New Roman" w:cs="Times New Roman"/>
        </w:rPr>
        <w:t xml:space="preserve">ACT/HRT </w:t>
      </w:r>
      <w:r w:rsidR="000A7D4E">
        <w:rPr>
          <w:rFonts w:ascii="Times New Roman" w:hAnsi="Times New Roman" w:cs="Times New Roman"/>
        </w:rPr>
        <w:t xml:space="preserve">in the treatment of trichotillomania </w:t>
      </w:r>
      <w:r w:rsidR="0068689D">
        <w:rPr>
          <w:rFonts w:ascii="Times New Roman" w:hAnsi="Times New Roman" w:cs="Times New Roman"/>
        </w:rPr>
        <w:t>are promising, little is understood about what components of treatment are influencing the various attributes of trichotillomania. Specifically, it is difficult to tell what A</w:t>
      </w:r>
      <w:r w:rsidR="00272EAA">
        <w:rPr>
          <w:rFonts w:ascii="Times New Roman" w:hAnsi="Times New Roman" w:cs="Times New Roman"/>
        </w:rPr>
        <w:t>CT alone is contributing to treatment</w:t>
      </w:r>
      <w:r w:rsidR="0068689D">
        <w:rPr>
          <w:rFonts w:ascii="Times New Roman" w:hAnsi="Times New Roman" w:cs="Times New Roman"/>
        </w:rPr>
        <w:t xml:space="preserve">. At this time, ACT alone has only been examined </w:t>
      </w:r>
      <w:r w:rsidR="002350FC">
        <w:rPr>
          <w:rFonts w:ascii="Times New Roman" w:hAnsi="Times New Roman" w:cs="Times New Roman"/>
        </w:rPr>
        <w:t>for problems similar to trichotillomania</w:t>
      </w:r>
      <w:r w:rsidR="0068689D">
        <w:rPr>
          <w:rFonts w:ascii="Times New Roman" w:hAnsi="Times New Roman" w:cs="Times New Roman"/>
        </w:rPr>
        <w:t xml:space="preserve">. The first was a multiple-baseline across participants design that employed ACT with five participants with chronic skin-picking </w:t>
      </w:r>
      <w:r w:rsidR="0068689D">
        <w:rPr>
          <w:rFonts w:ascii="Times New Roman" w:hAnsi="Times New Roman" w:cs="Times New Roman"/>
          <w:noProof/>
        </w:rPr>
        <w:t>(Twohig, Hayes, &amp; Masuda, 2006)</w:t>
      </w:r>
      <w:r w:rsidR="0068689D">
        <w:rPr>
          <w:rFonts w:ascii="Times New Roman" w:hAnsi="Times New Roman" w:cs="Times New Roman"/>
        </w:rPr>
        <w:t xml:space="preserve">. Of the five participants, four reached near-zero levels of skin-picking at post-treatment, but only one maintained this progress at follow-up. ACT as a </w:t>
      </w:r>
      <w:r w:rsidR="007D2418">
        <w:rPr>
          <w:rFonts w:ascii="Times New Roman" w:hAnsi="Times New Roman" w:cs="Times New Roman"/>
        </w:rPr>
        <w:t xml:space="preserve">has been evaluated as a </w:t>
      </w:r>
      <w:r w:rsidR="0068689D">
        <w:rPr>
          <w:rFonts w:ascii="Times New Roman" w:hAnsi="Times New Roman" w:cs="Times New Roman"/>
        </w:rPr>
        <w:t xml:space="preserve">treatment for problematic internet pornography viewing </w:t>
      </w:r>
      <w:r w:rsidR="007D2418">
        <w:rPr>
          <w:rFonts w:ascii="Times New Roman" w:hAnsi="Times New Roman" w:cs="Times New Roman"/>
        </w:rPr>
        <w:t xml:space="preserve">in two studies </w:t>
      </w:r>
      <w:r w:rsidR="0068689D">
        <w:rPr>
          <w:rFonts w:ascii="Times New Roman" w:hAnsi="Times New Roman" w:cs="Times New Roman"/>
          <w:noProof/>
        </w:rPr>
        <w:t>(Crosby &amp; Twohig, 2016; Twohig &amp; Crosby, 2010)</w:t>
      </w:r>
      <w:r w:rsidR="007D2418">
        <w:rPr>
          <w:rFonts w:ascii="Times New Roman" w:hAnsi="Times New Roman" w:cs="Times New Roman"/>
          <w:noProof/>
        </w:rPr>
        <w:t xml:space="preserve">; which has been classified as a </w:t>
      </w:r>
      <w:r w:rsidR="002350FC">
        <w:rPr>
          <w:rFonts w:ascii="Times New Roman" w:hAnsi="Times New Roman" w:cs="Times New Roman"/>
        </w:rPr>
        <w:t xml:space="preserve">compulsive sexual behavior within the obsessive-compulsive spectrum </w:t>
      </w:r>
      <w:r w:rsidR="007D2418">
        <w:rPr>
          <w:rFonts w:ascii="Times New Roman" w:hAnsi="Times New Roman" w:cs="Times New Roman"/>
        </w:rPr>
        <w:t xml:space="preserve">by some </w:t>
      </w:r>
      <w:r w:rsidR="002350FC">
        <w:rPr>
          <w:rFonts w:ascii="Times New Roman" w:hAnsi="Times New Roman" w:cs="Times New Roman"/>
        </w:rPr>
        <w:fldChar w:fldCharType="begin">
          <w:fldData xml:space="preserve">PEVuZE5vdGU+PENpdGU+PEF1dGhvcj5LcmF1czwvQXV0aG9yPjxZZWFyPjIwMTU8L1llYXI+PFJl
Y051bT4yNTE1PC9SZWNOdW0+PERpc3BsYXlUZXh0PihLcmF1cywgUG90ZW56YSwgTWFydGlubywg
JmFtcDsgR3JhbnQsIDIwMTU7IEtyYXVzLCBWb29uLCBLb3IsICZhbXA7IFBvdGVuemEsIDIwMTY7
IFBvdGVuemEsIDIwMTcpPC9EaXNwbGF5VGV4dD48cmVjb3JkPjxyZWMtbnVtYmVyPjI1MTU8L3Jl
Yy1udW1iZXI+PGZvcmVpZ24ta2V5cz48a2V5IGFwcD0iRU4iIGRiLWlkPSIydjIwMHZhc3F2OXR0
ZmVzMnpveGYwOTJzc3RzZmV4c3p4OTAiIHRpbWVzdGFtcD0iMTUxMzA5OTMxOSI+MjUxNTwva2V5
PjwvZm9yZWlnbi1rZXlzPjxyZWYtdHlwZSBuYW1lPSJKb3VybmFsIEFydGljbGUiPjE3PC9yZWYt
dHlwZT48Y29udHJpYnV0b3JzPjxhdXRob3JzPjxhdXRob3I+S3JhdXMsIFNoYW5lIFc8L2F1dGhv
cj48YXV0aG9yPlBvdGVuemEsIE1hcmMgTjwvYXV0aG9yPjxhdXRob3I+TWFydGlubywgU3RldmU8
L2F1dGhvcj48YXV0aG9yPkdyYW50LCBKb24gRTwvYXV0aG9yPjwvYXV0aG9ycz48L2NvbnRyaWJ1
dG9ycz48dGl0bGVzPjx0aXRsZT5FeGFtaW5pbmcgdGhlIHBzeWNob21ldHJpYyBwcm9wZXJ0aWVz
IG9mIHRoZSBZYWxl4oCTQnJvd24gT2JzZXNzaXZl4oCTQ29tcHVsc2l2ZSBTY2FsZSBpbiBhIHNh
bXBsZSBvZiBjb21wdWxzaXZlIHBvcm5vZ3JhcGh5IHVzZXJzPC90aXRsZT48c2Vjb25kYXJ5LXRp
dGxlPkNvbXByZWhlbnNpdmUgcHN5Y2hpYXRyeTwvc2Vjb25kYXJ5LXRpdGxlPjwvdGl0bGVzPjxw
ZXJpb2RpY2FsPjxmdWxsLXRpdGxlPkNvbXByZWhlbnNpdmUgcHN5Y2hpYXRyeTwvZnVsbC10aXRs
ZT48L3BlcmlvZGljYWw+PHBhZ2VzPjExNy0xMjI8L3BhZ2VzPjx2b2x1bWU+NTk8L3ZvbHVtZT48
ZGF0ZXM+PHllYXI+MjAxNTwveWVhcj48L2RhdGVzPjxpc2JuPjAwMTAtNDQwWDwvaXNibj48dXJs
cz48L3VybHM+PC9yZWNvcmQ+PC9DaXRlPjxDaXRlPjxBdXRob3I+S3JhdXM8L0F1dGhvcj48WWVh
cj4yMDE2PC9ZZWFyPjxSZWNOdW0+MjUxODwvUmVjTnVtPjxyZWNvcmQ+PHJlYy1udW1iZXI+MjUx
ODwvcmVjLW51bWJlcj48Zm9yZWlnbi1rZXlzPjxrZXkgYXBwPSJFTiIgZGItaWQ9IjJ2MjAwdmFz
cXY5dHRmZXMyem94ZjA5MnNzdHNmZXhzeng5MCIgdGltZXN0YW1wPSIxNTEzMDk5NjgzIj4yNTE4
PC9rZXk+PC9mb3JlaWduLWtleXM+PHJlZi10eXBlIG5hbWU9IkpvdXJuYWwgQXJ0aWNsZSI+MTc8
L3JlZi10eXBlPjxjb250cmlidXRvcnM+PGF1dGhvcnM+PGF1dGhvcj5LcmF1cywgU2hhbmUgVzwv
YXV0aG9yPjxhdXRob3I+Vm9vbiwgVmFsZXJpZTwvYXV0aG9yPjxhdXRob3I+S29yLCBBcmllbDwv
YXV0aG9yPjxhdXRob3I+UG90ZW56YSwgTWFyYyBOPC9hdXRob3I+PC9hdXRob3JzPjwvY29udHJp
YnV0b3JzPjx0aXRsZXM+PHRpdGxlPlNlYXJjaGluZyBmb3IgY2xhcml0eSBpbiBtdWRkeSB3YXRl
cjogZnV0dXJlIGNvbnNpZGVyYXRpb25zIGZvciBjbGFzc2lmeWluZyBjb21wdWxzaXZlIHNleHVh
bCBiZWhhdmlvciBhcyBhbiBhZGRpY3Rpb248L3RpdGxlPjxzZWNvbmRhcnktdGl0bGU+QWRkaWN0
aW9uPC9zZWNvbmRhcnktdGl0bGU+PC90aXRsZXM+PHBlcmlvZGljYWw+PGZ1bGwtdGl0bGU+QWRk
aWN0aW9uPC9mdWxsLXRpdGxlPjwvcGVyaW9kaWNhbD48cGFnZXM+MjExMy0yMTE0PC9wYWdlcz48
dm9sdW1lPjExMTwvdm9sdW1lPjxudW1iZXI+MTI8L251bWJlcj48ZGF0ZXM+PHllYXI+MjAxNjwv
eWVhcj48L2RhdGVzPjxpc2JuPjEzNjAtMDQ0MzwvaXNibj48dXJscz48L3VybHM+PC9yZWNvcmQ+
PC9DaXRlPjxDaXRlPjxBdXRob3I+UG90ZW56YTwvQXV0aG9yPjxZZWFyPjIwMTc8L1llYXI+PFJl
Y051bT4yNTE3PC9SZWNOdW0+PHJlY29yZD48cmVjLW51bWJlcj4yNTE3PC9yZWMtbnVtYmVyPjxm
b3JlaWduLWtleXM+PGtleSBhcHA9IkVOIiBkYi1pZD0iMnYyMDB2YXNxdjl0dGZlczJ6b3hmMDky
c3N0c2ZleHN6eDkwIiB0aW1lc3RhbXA9IjE1MTMwOTk2MjciPjI1MTc8L2tleT48L2ZvcmVpZ24t
a2V5cz48cmVmLXR5cGUgbmFtZT0iSm91cm5hbCBBcnRpY2xlIj4xNzwvcmVmLXR5cGU+PGNvbnRy
aWJ1dG9ycz48YXV0aG9ycz48YXV0aG9yPlBvdGVuemEsIE1hcmMgTjwvYXV0aG9yPjwvYXV0aG9y
cz48L2NvbnRyaWJ1dG9ycz48dGl0bGVzPjx0aXRsZT5PUC04NzogSG93IG1pZ2h0IGNvbXB1bHNp
dmUgc2V4dWFsIGJlaGF2aW9ycyBiZSBjb25zaWRlcmVkIGluIElDRC0xMSBhbmQgd2hhdCBhcmUg
dGhlIGNsaW5pY2FsIGltcGxpY2F0aW9ucz88L3RpdGxlPjxzZWNvbmRhcnktdGl0bGU+Sm91cm5h
bCBvZiBCZWhhdmlvcmFsIEFkZGljdGlvbnM8L3NlY29uZGFyeS10aXRsZT48L3RpdGxlcz48cGVy
aW9kaWNhbD48ZnVsbC10aXRsZT5Kb3VybmFsIG9mIEJlaGF2aW9yYWwgQWRkaWN0aW9uczwvZnVs
bC10aXRsZT48L3BlcmlvZGljYWw+PHBhZ2VzPjQyLTQzPC9wYWdlcz48dm9sdW1lPjY8L3ZvbHVt
ZT48bnVtYmVyPlMxPC9udW1iZXI+PGRhdGVzPjx5ZWFyPjIwMTc8L3llYXI+PC9kYXRlcz48aXNi
bj4yMDYyLTU4NzE8L2lzYm4+PHVybHM+PC91cmxzPjwvcmVjb3JkPjwvQ2l0ZT48L0VuZE5vdGU+
</w:fldData>
        </w:fldChar>
      </w:r>
      <w:r w:rsidR="00255372">
        <w:rPr>
          <w:rFonts w:ascii="Times New Roman" w:hAnsi="Times New Roman" w:cs="Times New Roman"/>
        </w:rPr>
        <w:instrText xml:space="preserve"> ADDIN EN.CITE </w:instrText>
      </w:r>
      <w:r w:rsidR="00255372">
        <w:rPr>
          <w:rFonts w:ascii="Times New Roman" w:hAnsi="Times New Roman" w:cs="Times New Roman"/>
        </w:rPr>
        <w:fldChar w:fldCharType="begin">
          <w:fldData xml:space="preserve">PEVuZE5vdGU+PENpdGU+PEF1dGhvcj5LcmF1czwvQXV0aG9yPjxZZWFyPjIwMTU8L1llYXI+PFJl
Y051bT4yNTE1PC9SZWNOdW0+PERpc3BsYXlUZXh0PihLcmF1cywgUG90ZW56YSwgTWFydGlubywg
JmFtcDsgR3JhbnQsIDIwMTU7IEtyYXVzLCBWb29uLCBLb3IsICZhbXA7IFBvdGVuemEsIDIwMTY7
IFBvdGVuemEsIDIwMTcpPC9EaXNwbGF5VGV4dD48cmVjb3JkPjxyZWMtbnVtYmVyPjI1MTU8L3Jl
Yy1udW1iZXI+PGZvcmVpZ24ta2V5cz48a2V5IGFwcD0iRU4iIGRiLWlkPSIydjIwMHZhc3F2OXR0
ZmVzMnpveGYwOTJzc3RzZmV4c3p4OTAiIHRpbWVzdGFtcD0iMTUxMzA5OTMxOSI+MjUxNTwva2V5
PjwvZm9yZWlnbi1rZXlzPjxyZWYtdHlwZSBuYW1lPSJKb3VybmFsIEFydGljbGUiPjE3PC9yZWYt
dHlwZT48Y29udHJpYnV0b3JzPjxhdXRob3JzPjxhdXRob3I+S3JhdXMsIFNoYW5lIFc8L2F1dGhv
cj48YXV0aG9yPlBvdGVuemEsIE1hcmMgTjwvYXV0aG9yPjxhdXRob3I+TWFydGlubywgU3RldmU8
L2F1dGhvcj48YXV0aG9yPkdyYW50LCBKb24gRTwvYXV0aG9yPjwvYXV0aG9ycz48L2NvbnRyaWJ1
dG9ycz48dGl0bGVzPjx0aXRsZT5FeGFtaW5pbmcgdGhlIHBzeWNob21ldHJpYyBwcm9wZXJ0aWVz
IG9mIHRoZSBZYWxl4oCTQnJvd24gT2JzZXNzaXZl4oCTQ29tcHVsc2l2ZSBTY2FsZSBpbiBhIHNh
bXBsZSBvZiBjb21wdWxzaXZlIHBvcm5vZ3JhcGh5IHVzZXJzPC90aXRsZT48c2Vjb25kYXJ5LXRp
dGxlPkNvbXByZWhlbnNpdmUgcHN5Y2hpYXRyeTwvc2Vjb25kYXJ5LXRpdGxlPjwvdGl0bGVzPjxw
ZXJpb2RpY2FsPjxmdWxsLXRpdGxlPkNvbXByZWhlbnNpdmUgcHN5Y2hpYXRyeTwvZnVsbC10aXRs
ZT48L3BlcmlvZGljYWw+PHBhZ2VzPjExNy0xMjI8L3BhZ2VzPjx2b2x1bWU+NTk8L3ZvbHVtZT48
ZGF0ZXM+PHllYXI+MjAxNTwveWVhcj48L2RhdGVzPjxpc2JuPjAwMTAtNDQwWDwvaXNibj48dXJs
cz48L3VybHM+PC9yZWNvcmQ+PC9DaXRlPjxDaXRlPjxBdXRob3I+S3JhdXM8L0F1dGhvcj48WWVh
cj4yMDE2PC9ZZWFyPjxSZWNOdW0+MjUxODwvUmVjTnVtPjxyZWNvcmQ+PHJlYy1udW1iZXI+MjUx
ODwvcmVjLW51bWJlcj48Zm9yZWlnbi1rZXlzPjxrZXkgYXBwPSJFTiIgZGItaWQ9IjJ2MjAwdmFz
cXY5dHRmZXMyem94ZjA5MnNzdHNmZXhzeng5MCIgdGltZXN0YW1wPSIxNTEzMDk5NjgzIj4yNTE4
PC9rZXk+PC9mb3JlaWduLWtleXM+PHJlZi10eXBlIG5hbWU9IkpvdXJuYWwgQXJ0aWNsZSI+MTc8
L3JlZi10eXBlPjxjb250cmlidXRvcnM+PGF1dGhvcnM+PGF1dGhvcj5LcmF1cywgU2hhbmUgVzwv
YXV0aG9yPjxhdXRob3I+Vm9vbiwgVmFsZXJpZTwvYXV0aG9yPjxhdXRob3I+S29yLCBBcmllbDwv
YXV0aG9yPjxhdXRob3I+UG90ZW56YSwgTWFyYyBOPC9hdXRob3I+PC9hdXRob3JzPjwvY29udHJp
YnV0b3JzPjx0aXRsZXM+PHRpdGxlPlNlYXJjaGluZyBmb3IgY2xhcml0eSBpbiBtdWRkeSB3YXRl
cjogZnV0dXJlIGNvbnNpZGVyYXRpb25zIGZvciBjbGFzc2lmeWluZyBjb21wdWxzaXZlIHNleHVh
bCBiZWhhdmlvciBhcyBhbiBhZGRpY3Rpb248L3RpdGxlPjxzZWNvbmRhcnktdGl0bGU+QWRkaWN0
aW9uPC9zZWNvbmRhcnktdGl0bGU+PC90aXRsZXM+PHBlcmlvZGljYWw+PGZ1bGwtdGl0bGU+QWRk
aWN0aW9uPC9mdWxsLXRpdGxlPjwvcGVyaW9kaWNhbD48cGFnZXM+MjExMy0yMTE0PC9wYWdlcz48
dm9sdW1lPjExMTwvdm9sdW1lPjxudW1iZXI+MTI8L251bWJlcj48ZGF0ZXM+PHllYXI+MjAxNjwv
eWVhcj48L2RhdGVzPjxpc2JuPjEzNjAtMDQ0MzwvaXNibj48dXJscz48L3VybHM+PC9yZWNvcmQ+
PC9DaXRlPjxDaXRlPjxBdXRob3I+UG90ZW56YTwvQXV0aG9yPjxZZWFyPjIwMTc8L1llYXI+PFJl
Y051bT4yNTE3PC9SZWNOdW0+PHJlY29yZD48cmVjLW51bWJlcj4yNTE3PC9yZWMtbnVtYmVyPjxm
b3JlaWduLWtleXM+PGtleSBhcHA9IkVOIiBkYi1pZD0iMnYyMDB2YXNxdjl0dGZlczJ6b3hmMDky
c3N0c2ZleHN6eDkwIiB0aW1lc3RhbXA9IjE1MTMwOTk2MjciPjI1MTc8L2tleT48L2ZvcmVpZ24t
a2V5cz48cmVmLXR5cGUgbmFtZT0iSm91cm5hbCBBcnRpY2xlIj4xNzwvcmVmLXR5cGU+PGNvbnRy
aWJ1dG9ycz48YXV0aG9ycz48YXV0aG9yPlBvdGVuemEsIE1hcmMgTjwvYXV0aG9yPjwvYXV0aG9y
cz48L2NvbnRyaWJ1dG9ycz48dGl0bGVzPjx0aXRsZT5PUC04NzogSG93IG1pZ2h0IGNvbXB1bHNp
dmUgc2V4dWFsIGJlaGF2aW9ycyBiZSBjb25zaWRlcmVkIGluIElDRC0xMSBhbmQgd2hhdCBhcmUg
dGhlIGNsaW5pY2FsIGltcGxpY2F0aW9ucz88L3RpdGxlPjxzZWNvbmRhcnktdGl0bGU+Sm91cm5h
bCBvZiBCZWhhdmlvcmFsIEFkZGljdGlvbnM8L3NlY29uZGFyeS10aXRsZT48L3RpdGxlcz48cGVy
aW9kaWNhbD48ZnVsbC10aXRsZT5Kb3VybmFsIG9mIEJlaGF2aW9yYWwgQWRkaWN0aW9uczwvZnVs
bC10aXRsZT48L3BlcmlvZGljYWw+PHBhZ2VzPjQyLTQzPC9wYWdlcz48dm9sdW1lPjY8L3ZvbHVt
ZT48bnVtYmVyPlMxPC9udW1iZXI+PGRhdGVzPjx5ZWFyPjIwMTc8L3llYXI+PC9kYXRlcz48aXNi
bj4yMDYyLTU4NzE8L2lzYm4+PHVybHM+PC91cmxzPjwvcmVjb3JkPjwvQ2l0ZT48L0VuZE5vdGU+
</w:fldData>
        </w:fldChar>
      </w:r>
      <w:r w:rsidR="00255372">
        <w:rPr>
          <w:rFonts w:ascii="Times New Roman" w:hAnsi="Times New Roman" w:cs="Times New Roman"/>
        </w:rPr>
        <w:instrText xml:space="preserve"> ADDIN EN.CITE.DATA </w:instrText>
      </w:r>
      <w:r w:rsidR="00255372">
        <w:rPr>
          <w:rFonts w:ascii="Times New Roman" w:hAnsi="Times New Roman" w:cs="Times New Roman"/>
        </w:rPr>
      </w:r>
      <w:r w:rsidR="00255372">
        <w:rPr>
          <w:rFonts w:ascii="Times New Roman" w:hAnsi="Times New Roman" w:cs="Times New Roman"/>
        </w:rPr>
        <w:fldChar w:fldCharType="end"/>
      </w:r>
      <w:r w:rsidR="002350FC">
        <w:rPr>
          <w:rFonts w:ascii="Times New Roman" w:hAnsi="Times New Roman" w:cs="Times New Roman"/>
        </w:rPr>
      </w:r>
      <w:r w:rsidR="002350FC">
        <w:rPr>
          <w:rFonts w:ascii="Times New Roman" w:hAnsi="Times New Roman" w:cs="Times New Roman"/>
        </w:rPr>
        <w:fldChar w:fldCharType="separate"/>
      </w:r>
      <w:r w:rsidR="00255372">
        <w:rPr>
          <w:rFonts w:ascii="Times New Roman" w:hAnsi="Times New Roman" w:cs="Times New Roman"/>
          <w:noProof/>
        </w:rPr>
        <w:t>(Kraus, Potenza, Martino, &amp; Grant, 2015; Kraus, Voon, Kor, &amp; Potenza, 2016; Potenza, 2017)</w:t>
      </w:r>
      <w:r w:rsidR="002350FC">
        <w:rPr>
          <w:rFonts w:ascii="Times New Roman" w:hAnsi="Times New Roman" w:cs="Times New Roman"/>
        </w:rPr>
        <w:fldChar w:fldCharType="end"/>
      </w:r>
      <w:r w:rsidR="007D2418">
        <w:rPr>
          <w:rFonts w:ascii="Times New Roman" w:hAnsi="Times New Roman" w:cs="Times New Roman"/>
        </w:rPr>
        <w:t>, but certainly not all</w:t>
      </w:r>
      <w:r w:rsidR="002350FC">
        <w:rPr>
          <w:rFonts w:ascii="Times New Roman" w:hAnsi="Times New Roman" w:cs="Times New Roman"/>
        </w:rPr>
        <w:t>.</w:t>
      </w:r>
      <w:r w:rsidR="0068689D">
        <w:rPr>
          <w:rFonts w:ascii="Times New Roman" w:hAnsi="Times New Roman" w:cs="Times New Roman"/>
        </w:rPr>
        <w:t xml:space="preserve"> </w:t>
      </w:r>
      <w:r w:rsidR="007D2418">
        <w:rPr>
          <w:rFonts w:ascii="Times New Roman" w:hAnsi="Times New Roman" w:cs="Times New Roman"/>
        </w:rPr>
        <w:t xml:space="preserve">The multiple baseline study found an 85% reduction in viewing (Twohig &amp; Twohig, 2010), and the RCT showed a 93% reduction for ACT vs a </w:t>
      </w:r>
      <w:r w:rsidR="0090108F">
        <w:rPr>
          <w:rFonts w:ascii="Times New Roman" w:hAnsi="Times New Roman" w:cs="Times New Roman"/>
        </w:rPr>
        <w:t>21% reduction in the wait-list. Two of the three studies showed s</w:t>
      </w:r>
      <w:r w:rsidR="0068689D">
        <w:rPr>
          <w:rFonts w:ascii="Times New Roman" w:hAnsi="Times New Roman" w:cs="Times New Roman"/>
        </w:rPr>
        <w:t>ignificant increases in psychological flexibility</w:t>
      </w:r>
      <w:r w:rsidR="0090108F">
        <w:rPr>
          <w:rFonts w:ascii="Times New Roman" w:hAnsi="Times New Roman" w:cs="Times New Roman"/>
        </w:rPr>
        <w:t>,</w:t>
      </w:r>
      <w:r w:rsidR="0068689D">
        <w:rPr>
          <w:rFonts w:ascii="Times New Roman" w:hAnsi="Times New Roman" w:cs="Times New Roman"/>
        </w:rPr>
        <w:t xml:space="preserve"> providing further evidence</w:t>
      </w:r>
      <w:r w:rsidR="006F5358">
        <w:rPr>
          <w:rFonts w:ascii="Times New Roman" w:hAnsi="Times New Roman" w:cs="Times New Roman"/>
        </w:rPr>
        <w:t xml:space="preserve"> of a potential </w:t>
      </w:r>
      <w:r w:rsidR="0068689D">
        <w:rPr>
          <w:rFonts w:ascii="Times New Roman" w:hAnsi="Times New Roman" w:cs="Times New Roman"/>
        </w:rPr>
        <w:t xml:space="preserve">mechanism of change within obsessive-compulsive spectrum disorders like trichotillomania. Until now, however, ACT alone has not been examined as a treatment for trichotillomania leaving many questions </w:t>
      </w:r>
      <w:r w:rsidR="0090108F">
        <w:rPr>
          <w:rFonts w:ascii="Times New Roman" w:hAnsi="Times New Roman" w:cs="Times New Roman"/>
        </w:rPr>
        <w:t xml:space="preserve">about the </w:t>
      </w:r>
      <w:r w:rsidR="0068689D">
        <w:rPr>
          <w:rFonts w:ascii="Times New Roman" w:hAnsi="Times New Roman" w:cs="Times New Roman"/>
        </w:rPr>
        <w:t>role ACT plays in the treatment of trichotillomania.</w:t>
      </w:r>
    </w:p>
    <w:p w14:paraId="6DA23341" w14:textId="77777777" w:rsidR="00E1695F" w:rsidRDefault="00E1695F" w:rsidP="00F60D71">
      <w:pPr>
        <w:pStyle w:val="BodyTextList"/>
        <w:numPr>
          <w:ilvl w:val="0"/>
          <w:numId w:val="0"/>
        </w:numPr>
        <w:spacing w:before="0" w:after="0"/>
        <w:rPr>
          <w:rFonts w:ascii="Times New Roman" w:hAnsi="Times New Roman" w:cs="Times New Roman"/>
        </w:rPr>
      </w:pPr>
      <w:r>
        <w:rPr>
          <w:rFonts w:ascii="Times New Roman" w:hAnsi="Times New Roman" w:cs="Times New Roman"/>
        </w:rPr>
        <w:tab/>
        <w:t xml:space="preserve">The purpose of the current study is to examine ACT alone as a treatment for </w:t>
      </w:r>
      <w:r w:rsidR="00234E9A">
        <w:rPr>
          <w:rFonts w:ascii="Times New Roman" w:hAnsi="Times New Roman" w:cs="Times New Roman"/>
        </w:rPr>
        <w:t>trichotillomania</w:t>
      </w:r>
      <w:r>
        <w:rPr>
          <w:rFonts w:ascii="Times New Roman" w:hAnsi="Times New Roman" w:cs="Times New Roman"/>
        </w:rPr>
        <w:t xml:space="preserve"> in</w:t>
      </w:r>
      <w:r w:rsidR="00417417">
        <w:rPr>
          <w:rFonts w:ascii="Times New Roman" w:hAnsi="Times New Roman" w:cs="Times New Roman"/>
        </w:rPr>
        <w:t xml:space="preserve"> </w:t>
      </w:r>
      <w:r w:rsidR="00EA423F">
        <w:rPr>
          <w:rFonts w:ascii="Times New Roman" w:hAnsi="Times New Roman" w:cs="Times New Roman"/>
        </w:rPr>
        <w:t>a randomized controlled</w:t>
      </w:r>
      <w:r w:rsidR="00417417">
        <w:rPr>
          <w:rFonts w:ascii="Times New Roman" w:hAnsi="Times New Roman" w:cs="Times New Roman"/>
        </w:rPr>
        <w:t xml:space="preserve"> trial of</w:t>
      </w:r>
      <w:r>
        <w:rPr>
          <w:rFonts w:ascii="Times New Roman" w:hAnsi="Times New Roman" w:cs="Times New Roman"/>
        </w:rPr>
        <w:t xml:space="preserve"> adults and adolescents</w:t>
      </w:r>
      <w:r w:rsidR="002C65D1">
        <w:rPr>
          <w:rFonts w:ascii="Times New Roman" w:hAnsi="Times New Roman" w:cs="Times New Roman"/>
        </w:rPr>
        <w:t xml:space="preserve">. </w:t>
      </w:r>
      <w:r w:rsidR="000A7D4E">
        <w:rPr>
          <w:rFonts w:ascii="Times New Roman" w:hAnsi="Times New Roman" w:cs="Times New Roman"/>
        </w:rPr>
        <w:t xml:space="preserve">We chose to allow adolescents and adults into the study because the research question (“does ACT </w:t>
      </w:r>
      <w:r w:rsidR="00531A7A">
        <w:rPr>
          <w:rFonts w:ascii="Times New Roman" w:hAnsi="Times New Roman" w:cs="Times New Roman"/>
        </w:rPr>
        <w:t xml:space="preserve">work </w:t>
      </w:r>
      <w:r w:rsidR="000A7D4E">
        <w:rPr>
          <w:rFonts w:ascii="Times New Roman" w:hAnsi="Times New Roman" w:cs="Times New Roman"/>
        </w:rPr>
        <w:t>without HR</w:t>
      </w:r>
      <w:r w:rsidR="00531A7A">
        <w:rPr>
          <w:rFonts w:ascii="Times New Roman" w:hAnsi="Times New Roman" w:cs="Times New Roman"/>
        </w:rPr>
        <w:t>T?</w:t>
      </w:r>
      <w:r w:rsidR="000A7D4E">
        <w:rPr>
          <w:rFonts w:ascii="Times New Roman" w:hAnsi="Times New Roman" w:cs="Times New Roman"/>
        </w:rPr>
        <w:t xml:space="preserve">”) can be answered across age groups, and recruitment of participants with a diagnosis of trichotillomania is difficult. </w:t>
      </w:r>
      <w:r>
        <w:rPr>
          <w:rFonts w:ascii="Times New Roman" w:hAnsi="Times New Roman" w:cs="Times New Roman"/>
        </w:rPr>
        <w:t>Moreover, the study will examine the role of psychological flexibility in treatment outcomes.</w:t>
      </w:r>
      <w:r w:rsidR="00154DA8">
        <w:rPr>
          <w:rFonts w:ascii="Times New Roman" w:hAnsi="Times New Roman" w:cs="Times New Roman"/>
        </w:rPr>
        <w:t xml:space="preserve"> We </w:t>
      </w:r>
      <w:r w:rsidR="0073471F">
        <w:rPr>
          <w:rFonts w:ascii="Times New Roman" w:hAnsi="Times New Roman" w:cs="Times New Roman"/>
        </w:rPr>
        <w:t xml:space="preserve">predict </w:t>
      </w:r>
      <w:r w:rsidR="00154DA8">
        <w:rPr>
          <w:rFonts w:ascii="Times New Roman" w:hAnsi="Times New Roman" w:cs="Times New Roman"/>
        </w:rPr>
        <w:t>that ACT alone as a treatment for trichotillomania would demonstrate significant reductions in hair pulling symptoms and psychological inflexibility compared to a waitlist control condition.</w:t>
      </w:r>
      <w:r>
        <w:rPr>
          <w:rFonts w:ascii="Times New Roman" w:hAnsi="Times New Roman" w:cs="Times New Roman"/>
        </w:rPr>
        <w:t xml:space="preserve"> We hope to gain a better understanding the contributions that ACT provides to the treatment of </w:t>
      </w:r>
      <w:r w:rsidR="00234E9A">
        <w:rPr>
          <w:rFonts w:ascii="Times New Roman" w:hAnsi="Times New Roman" w:cs="Times New Roman"/>
        </w:rPr>
        <w:t>trichotillomania</w:t>
      </w:r>
      <w:r>
        <w:rPr>
          <w:rFonts w:ascii="Times New Roman" w:hAnsi="Times New Roman" w:cs="Times New Roman"/>
        </w:rPr>
        <w:t>.</w:t>
      </w:r>
    </w:p>
    <w:p w14:paraId="029547BE" w14:textId="77777777" w:rsidR="00087234" w:rsidRPr="006433A6" w:rsidRDefault="009259BB" w:rsidP="00853C44">
      <w:pPr>
        <w:pStyle w:val="SectionHeading"/>
        <w:spacing w:before="0" w:after="0"/>
        <w:jc w:val="center"/>
        <w:outlineLvl w:val="0"/>
        <w:rPr>
          <w:rFonts w:ascii="Times New Roman" w:hAnsi="Times New Roman" w:cs="Times New Roman"/>
          <w:sz w:val="24"/>
        </w:rPr>
      </w:pPr>
      <w:r w:rsidRPr="006433A6">
        <w:rPr>
          <w:rFonts w:ascii="Times New Roman" w:hAnsi="Times New Roman" w:cs="Times New Roman"/>
          <w:sz w:val="24"/>
        </w:rPr>
        <w:t>Method</w:t>
      </w:r>
    </w:p>
    <w:p w14:paraId="33EDF2B4" w14:textId="77777777" w:rsidR="00087234" w:rsidRPr="006433A6" w:rsidRDefault="009259BB" w:rsidP="00853C44">
      <w:pPr>
        <w:pStyle w:val="SubsectionHeading"/>
        <w:spacing w:before="0" w:after="0" w:line="480" w:lineRule="auto"/>
        <w:outlineLvl w:val="0"/>
        <w:rPr>
          <w:rFonts w:ascii="Times New Roman" w:hAnsi="Times New Roman" w:cs="Times New Roman"/>
          <w:sz w:val="24"/>
        </w:rPr>
      </w:pPr>
      <w:r w:rsidRPr="006433A6">
        <w:rPr>
          <w:rFonts w:ascii="Times New Roman" w:hAnsi="Times New Roman" w:cs="Times New Roman"/>
          <w:sz w:val="24"/>
        </w:rPr>
        <w:t>Participants</w:t>
      </w:r>
    </w:p>
    <w:p w14:paraId="4A84C373" w14:textId="62F90323" w:rsidR="00087234" w:rsidRPr="006433A6" w:rsidRDefault="00521A06" w:rsidP="003E052E">
      <w:pPr>
        <w:pStyle w:val="BodyText1"/>
        <w:spacing w:before="0" w:after="0"/>
        <w:ind w:firstLine="720"/>
        <w:rPr>
          <w:rFonts w:ascii="Times New Roman" w:hAnsi="Times New Roman" w:cs="Times New Roman"/>
        </w:rPr>
      </w:pPr>
      <w:r>
        <w:rPr>
          <w:rFonts w:ascii="Times New Roman" w:hAnsi="Times New Roman" w:cs="Times New Roman"/>
        </w:rPr>
        <w:t xml:space="preserve">No formal recruitment </w:t>
      </w:r>
      <w:r w:rsidR="00422A00">
        <w:rPr>
          <w:rFonts w:ascii="Times New Roman" w:hAnsi="Times New Roman" w:cs="Times New Roman"/>
        </w:rPr>
        <w:t xml:space="preserve">for participants </w:t>
      </w:r>
      <w:r>
        <w:rPr>
          <w:rFonts w:ascii="Times New Roman" w:hAnsi="Times New Roman" w:cs="Times New Roman"/>
        </w:rPr>
        <w:t xml:space="preserve">was performed for this study. All participants </w:t>
      </w:r>
      <w:r w:rsidR="00A67DE1">
        <w:rPr>
          <w:rFonts w:ascii="Times New Roman" w:hAnsi="Times New Roman" w:cs="Times New Roman"/>
        </w:rPr>
        <w:t xml:space="preserve">were treatment seeking individuals who agreed to participate in a research study as part of their treatment by a </w:t>
      </w:r>
      <w:r w:rsidR="003B088B">
        <w:rPr>
          <w:rFonts w:ascii="Times New Roman" w:hAnsi="Times New Roman" w:cs="Times New Roman"/>
        </w:rPr>
        <w:t>university</w:t>
      </w:r>
      <w:r w:rsidR="00A67DE1">
        <w:rPr>
          <w:rFonts w:ascii="Times New Roman" w:hAnsi="Times New Roman" w:cs="Times New Roman"/>
        </w:rPr>
        <w:t xml:space="preserve"> research team. The research clinic </w:t>
      </w:r>
      <w:r>
        <w:rPr>
          <w:rFonts w:ascii="Times New Roman" w:hAnsi="Times New Roman" w:cs="Times New Roman"/>
        </w:rPr>
        <w:t xml:space="preserve">receives referrals from </w:t>
      </w:r>
      <w:r w:rsidR="00F9364A">
        <w:rPr>
          <w:rFonts w:ascii="Times New Roman" w:hAnsi="Times New Roman" w:cs="Times New Roman"/>
        </w:rPr>
        <w:t xml:space="preserve">community treatment providers and </w:t>
      </w:r>
      <w:r>
        <w:rPr>
          <w:rFonts w:ascii="Times New Roman" w:hAnsi="Times New Roman" w:cs="Times New Roman"/>
        </w:rPr>
        <w:t xml:space="preserve">a listing on the </w:t>
      </w:r>
      <w:r w:rsidR="00A34C96">
        <w:rPr>
          <w:rFonts w:ascii="Times New Roman" w:hAnsi="Times New Roman" w:cs="Times New Roman"/>
        </w:rPr>
        <w:t>TLC</w:t>
      </w:r>
      <w:r>
        <w:rPr>
          <w:rFonts w:ascii="Times New Roman" w:hAnsi="Times New Roman" w:cs="Times New Roman"/>
        </w:rPr>
        <w:t xml:space="preserve"> Foundation’s “Find a Therapist” webpage (bfrb.org). </w:t>
      </w:r>
      <w:r w:rsidR="00D86EA9">
        <w:rPr>
          <w:rFonts w:ascii="Times New Roman" w:hAnsi="Times New Roman" w:cs="Times New Roman"/>
        </w:rPr>
        <w:t>Thirty-nine</w:t>
      </w:r>
      <w:r w:rsidR="00D86EA9" w:rsidRPr="006433A6">
        <w:rPr>
          <w:rFonts w:ascii="Times New Roman" w:hAnsi="Times New Roman" w:cs="Times New Roman"/>
        </w:rPr>
        <w:t xml:space="preserve"> </w:t>
      </w:r>
      <w:r w:rsidR="009259BB" w:rsidRPr="006433A6">
        <w:rPr>
          <w:rFonts w:ascii="Times New Roman" w:hAnsi="Times New Roman" w:cs="Times New Roman"/>
        </w:rPr>
        <w:t xml:space="preserve">participants met eligibility criteria for the current study. </w:t>
      </w:r>
      <w:r w:rsidR="00E211BE" w:rsidRPr="006433A6">
        <w:rPr>
          <w:rFonts w:ascii="Times New Roman" w:hAnsi="Times New Roman" w:cs="Times New Roman"/>
        </w:rPr>
        <w:t>To</w:t>
      </w:r>
      <w:r w:rsidR="009259BB" w:rsidRPr="006433A6">
        <w:rPr>
          <w:rFonts w:ascii="Times New Roman" w:hAnsi="Times New Roman" w:cs="Times New Roman"/>
        </w:rPr>
        <w:t xml:space="preserve"> be included in this study, participants were required to: (a) meet DSM-IV </w:t>
      </w:r>
      <w:r w:rsidR="0068689D">
        <w:rPr>
          <w:rFonts w:ascii="Times New Roman" w:hAnsi="Times New Roman" w:cs="Times New Roman"/>
          <w:noProof/>
        </w:rPr>
        <w:t xml:space="preserve">(American Psychiatric Association, 2000) </w:t>
      </w:r>
      <w:r w:rsidR="009259BB" w:rsidRPr="006433A6">
        <w:rPr>
          <w:rFonts w:ascii="Times New Roman" w:hAnsi="Times New Roman" w:cs="Times New Roman"/>
        </w:rPr>
        <w:t xml:space="preserve">criteria for trichotillomania; (b) be seeking treatment primarily for concerns related to trichotillomania; (c) be at least 12 years old; (d) not be currently receiving psychotherapy; (e) not have started or changed psychotropic medication in the past 30 days; </w:t>
      </w:r>
      <w:r w:rsidR="00A34C96">
        <w:rPr>
          <w:rFonts w:ascii="Times New Roman" w:hAnsi="Times New Roman" w:cs="Times New Roman"/>
        </w:rPr>
        <w:t xml:space="preserve">and </w:t>
      </w:r>
      <w:r w:rsidR="009259BB" w:rsidRPr="006433A6">
        <w:rPr>
          <w:rFonts w:ascii="Times New Roman" w:hAnsi="Times New Roman" w:cs="Times New Roman"/>
        </w:rPr>
        <w:t>(f) not be planning to start or change psychotropic medication during the course of the study.</w:t>
      </w:r>
      <w:r w:rsidR="00E72EBC">
        <w:rPr>
          <w:rFonts w:ascii="Times New Roman" w:hAnsi="Times New Roman" w:cs="Times New Roman"/>
        </w:rPr>
        <w:t xml:space="preserve"> </w:t>
      </w:r>
      <w:r w:rsidR="00906673">
        <w:rPr>
          <w:rFonts w:ascii="Times New Roman" w:hAnsi="Times New Roman" w:cs="Times New Roman"/>
        </w:rPr>
        <w:t xml:space="preserve">The eligible 39 </w:t>
      </w:r>
      <w:r w:rsidR="00E72EBC">
        <w:rPr>
          <w:rFonts w:ascii="Times New Roman" w:hAnsi="Times New Roman" w:cs="Times New Roman"/>
        </w:rPr>
        <w:t xml:space="preserve">participants </w:t>
      </w:r>
      <w:r w:rsidR="00F9364A">
        <w:rPr>
          <w:rFonts w:ascii="Times New Roman" w:hAnsi="Times New Roman" w:cs="Times New Roman"/>
        </w:rPr>
        <w:t>were</w:t>
      </w:r>
      <w:r w:rsidR="00E72EBC">
        <w:rPr>
          <w:rFonts w:ascii="Times New Roman" w:hAnsi="Times New Roman" w:cs="Times New Roman"/>
        </w:rPr>
        <w:t xml:space="preserve"> </w:t>
      </w:r>
      <w:r w:rsidR="00906673">
        <w:rPr>
          <w:rFonts w:ascii="Times New Roman" w:hAnsi="Times New Roman" w:cs="Times New Roman"/>
        </w:rPr>
        <w:t>randomized into treatment (n = 22) and waitlist (n = 17) groups</w:t>
      </w:r>
      <w:r w:rsidR="00F85234">
        <w:rPr>
          <w:rFonts w:ascii="Times New Roman" w:hAnsi="Times New Roman" w:cs="Times New Roman"/>
        </w:rPr>
        <w:t>. Of these, 14 did not complete the post-treatment or post-waitlist (time 2) assessment</w:t>
      </w:r>
      <w:r w:rsidR="00F9364A">
        <w:rPr>
          <w:rFonts w:ascii="Times New Roman" w:hAnsi="Times New Roman" w:cs="Times New Roman"/>
        </w:rPr>
        <w:t>.</w:t>
      </w:r>
      <w:r w:rsidR="00645068">
        <w:rPr>
          <w:rFonts w:ascii="Times New Roman" w:hAnsi="Times New Roman" w:cs="Times New Roman"/>
        </w:rPr>
        <w:t xml:space="preserve"> </w:t>
      </w:r>
      <w:r w:rsidR="00F85234">
        <w:rPr>
          <w:rFonts w:ascii="Times New Roman" w:hAnsi="Times New Roman" w:cs="Times New Roman"/>
        </w:rPr>
        <w:t>Regarding the noncompleters, two completed treatment, but did not complete the post-treatment assessment, five dropped out before completing treatment</w:t>
      </w:r>
      <w:r w:rsidR="00B457C6">
        <w:rPr>
          <w:rFonts w:ascii="Times New Roman" w:hAnsi="Times New Roman" w:cs="Times New Roman"/>
        </w:rPr>
        <w:t xml:space="preserve"> (1 following intake but after randomization, and </w:t>
      </w:r>
      <w:r w:rsidR="00A8318A">
        <w:rPr>
          <w:rFonts w:ascii="Times New Roman" w:hAnsi="Times New Roman" w:cs="Times New Roman"/>
        </w:rPr>
        <w:t xml:space="preserve">following </w:t>
      </w:r>
      <w:r w:rsidR="00B457C6">
        <w:rPr>
          <w:rFonts w:ascii="Times New Roman" w:hAnsi="Times New Roman" w:cs="Times New Roman"/>
        </w:rPr>
        <w:t>sessions 2, 3, 4, and 8)</w:t>
      </w:r>
      <w:r w:rsidR="00F85234">
        <w:rPr>
          <w:rFonts w:ascii="Times New Roman" w:hAnsi="Times New Roman" w:cs="Times New Roman"/>
        </w:rPr>
        <w:t>, and seven did not complete the post-waitlist assessment (see Figure 1 for a participant flowchart).</w:t>
      </w:r>
      <w:r w:rsidR="00B457C6">
        <w:rPr>
          <w:rFonts w:ascii="Times New Roman" w:hAnsi="Times New Roman" w:cs="Times New Roman"/>
        </w:rPr>
        <w:t xml:space="preserve"> Thus, the actual drop-out rate for the treatment condition was 22%.</w:t>
      </w:r>
      <w:r w:rsidR="00DF34A6">
        <w:rPr>
          <w:rFonts w:ascii="Times New Roman" w:hAnsi="Times New Roman" w:cs="Times New Roman"/>
        </w:rPr>
        <w:t xml:space="preserve"> This rate is consistent with other similar trials. For example, an open trial </w:t>
      </w:r>
      <w:r w:rsidR="00BF63C0">
        <w:rPr>
          <w:rFonts w:ascii="Times New Roman" w:hAnsi="Times New Roman" w:cs="Times New Roman"/>
        </w:rPr>
        <w:t xml:space="preserve">of CBT for children and adolescents with trichotillomania had a drop-out rate of 36% </w:t>
      </w:r>
      <w:r w:rsidR="00BF63C0">
        <w:rPr>
          <w:rFonts w:ascii="Times New Roman" w:hAnsi="Times New Roman" w:cs="Times New Roman"/>
        </w:rPr>
        <w:fldChar w:fldCharType="begin"/>
      </w:r>
      <w:r w:rsidR="00BF63C0">
        <w:rPr>
          <w:rFonts w:ascii="Times New Roman" w:hAnsi="Times New Roman" w:cs="Times New Roman"/>
        </w:rPr>
        <w:instrText xml:space="preserve"> ADDIN EN.CITE &lt;EndNote&gt;&lt;Cite&gt;&lt;Author&gt;Tolin&lt;/Author&gt;&lt;Year&gt;2007&lt;/Year&gt;&lt;RecNum&gt;2546&lt;/RecNum&gt;&lt;DisplayText&gt;(Tolin, Franklin, Diefenbach, Anderson, &amp;amp; Meunier, 2007)&lt;/DisplayText&gt;&lt;record&gt;&lt;rec-number&gt;2546&lt;/rec-number&gt;&lt;foreign-keys&gt;&lt;key app="EN" db-id="2v200vasqv9ttfes2zoxf092sstsfexszx90" timestamp="1517935379"&gt;2546&lt;/key&gt;&lt;/foreign-keys&gt;&lt;ref-type name="Journal Article"&gt;17&lt;/ref-type&gt;&lt;contributors&gt;&lt;authors&gt;&lt;author&gt;Tolin, David F&lt;/author&gt;&lt;author&gt;Franklin, Martin E&lt;/author&gt;&lt;author&gt;Diefenbach, Gretchen J&lt;/author&gt;&lt;author&gt;Anderson, Emily&lt;/author&gt;&lt;author&gt;Meunier, Suzanne A&lt;/author&gt;&lt;/authors&gt;&lt;/contributors&gt;&lt;titles&gt;&lt;title&gt;Pediatric trichotillomania: descriptive psychopathology and an open trial of cognitive behavioral therapy&lt;/title&gt;&lt;secondary-title&gt;Cognitive behaviour therapy&lt;/secondary-title&gt;&lt;/titles&gt;&lt;periodical&gt;&lt;full-title&gt;Cognitive Behaviour Therapy&lt;/full-title&gt;&lt;/periodical&gt;&lt;pages&gt;129-144&lt;/pages&gt;&lt;volume&gt;36&lt;/volume&gt;&lt;number&gt;3&lt;/number&gt;&lt;dates&gt;&lt;year&gt;2007&lt;/year&gt;&lt;/dates&gt;&lt;isbn&gt;1650-6073&lt;/isbn&gt;&lt;urls&gt;&lt;/urls&gt;&lt;/record&gt;&lt;/Cite&gt;&lt;/EndNote&gt;</w:instrText>
      </w:r>
      <w:r w:rsidR="00BF63C0">
        <w:rPr>
          <w:rFonts w:ascii="Times New Roman" w:hAnsi="Times New Roman" w:cs="Times New Roman"/>
        </w:rPr>
        <w:fldChar w:fldCharType="separate"/>
      </w:r>
      <w:r w:rsidR="00BF63C0">
        <w:rPr>
          <w:rFonts w:ascii="Times New Roman" w:hAnsi="Times New Roman" w:cs="Times New Roman"/>
          <w:noProof/>
        </w:rPr>
        <w:t>(Tolin, Franklin, Diefenbach, Anderson, &amp; Meunier, 2007)</w:t>
      </w:r>
      <w:r w:rsidR="00BF63C0">
        <w:rPr>
          <w:rFonts w:ascii="Times New Roman" w:hAnsi="Times New Roman" w:cs="Times New Roman"/>
        </w:rPr>
        <w:fldChar w:fldCharType="end"/>
      </w:r>
      <w:r w:rsidR="00BF63C0">
        <w:rPr>
          <w:rFonts w:ascii="Times New Roman" w:hAnsi="Times New Roman" w:cs="Times New Roman"/>
        </w:rPr>
        <w:t xml:space="preserve">. Another CBT trial that included children, adolescents, and adults reported a drop-out rate of 22% </w:t>
      </w:r>
      <w:r w:rsidR="00BF63C0">
        <w:rPr>
          <w:rFonts w:ascii="Times New Roman" w:hAnsi="Times New Roman" w:cs="Times New Roman"/>
        </w:rPr>
        <w:fldChar w:fldCharType="begin"/>
      </w:r>
      <w:r w:rsidR="00BF63C0">
        <w:rPr>
          <w:rFonts w:ascii="Times New Roman" w:hAnsi="Times New Roman" w:cs="Times New Roman"/>
        </w:rPr>
        <w:instrText xml:space="preserve"> ADDIN EN.CITE &lt;EndNote&gt;&lt;Cite&gt;&lt;Author&gt;Lerner&lt;/Author&gt;&lt;Year&gt;1998&lt;/Year&gt;&lt;RecNum&gt;2545&lt;/RecNum&gt;&lt;DisplayText&gt;(Lerner, Franklin, Meadows, Hembree, &amp;amp; Foa, 1998)&lt;/DisplayText&gt;&lt;record&gt;&lt;rec-number&gt;2545&lt;/rec-number&gt;&lt;foreign-keys&gt;&lt;key app="EN" db-id="2v200vasqv9ttfes2zoxf092sstsfexszx90" timestamp="1517935282"&gt;2545&lt;/key&gt;&lt;/foreign-keys&gt;&lt;ref-type name="Journal Article"&gt;17&lt;/ref-type&gt;&lt;contributors&gt;&lt;authors&gt;&lt;author&gt;Lerner, Julie&lt;/author&gt;&lt;author&gt;Franklin, Martin E&lt;/author&gt;&lt;author&gt;Meadows, Elizabeth A&lt;/author&gt;&lt;author&gt;Hembree, Elizabeth&lt;/author&gt;&lt;author&gt;Foa, Edna B&lt;/author&gt;&lt;/authors&gt;&lt;/contributors&gt;&lt;titles&gt;&lt;title&gt;Effectiveness of a cognitive behavioral treatment program for trichotillomania: An uncontrolled evaluation&lt;/title&gt;&lt;secondary-title&gt;Behavior Therapy&lt;/secondary-title&gt;&lt;/titles&gt;&lt;periodical&gt;&lt;full-title&gt;Behavior Therapy&lt;/full-title&gt;&lt;/periodical&gt;&lt;pages&gt;157-171&lt;/pages&gt;&lt;volume&gt;29&lt;/volume&gt;&lt;number&gt;1&lt;/number&gt;&lt;dates&gt;&lt;year&gt;1998&lt;/year&gt;&lt;/dates&gt;&lt;isbn&gt;0005-7894&lt;/isbn&gt;&lt;urls&gt;&lt;/urls&gt;&lt;/record&gt;&lt;/Cite&gt;&lt;/EndNote&gt;</w:instrText>
      </w:r>
      <w:r w:rsidR="00BF63C0">
        <w:rPr>
          <w:rFonts w:ascii="Times New Roman" w:hAnsi="Times New Roman" w:cs="Times New Roman"/>
        </w:rPr>
        <w:fldChar w:fldCharType="separate"/>
      </w:r>
      <w:r w:rsidR="00BF63C0">
        <w:rPr>
          <w:rFonts w:ascii="Times New Roman" w:hAnsi="Times New Roman" w:cs="Times New Roman"/>
          <w:noProof/>
        </w:rPr>
        <w:t>(Lerner, Franklin, Meadows, Hembree, &amp; Foa, 1998)</w:t>
      </w:r>
      <w:r w:rsidR="00BF63C0">
        <w:rPr>
          <w:rFonts w:ascii="Times New Roman" w:hAnsi="Times New Roman" w:cs="Times New Roman"/>
        </w:rPr>
        <w:fldChar w:fldCharType="end"/>
      </w:r>
      <w:r w:rsidR="00BF63C0">
        <w:rPr>
          <w:rFonts w:ascii="Times New Roman" w:hAnsi="Times New Roman" w:cs="Times New Roman"/>
        </w:rPr>
        <w:t>.</w:t>
      </w:r>
      <w:r w:rsidR="00F85234">
        <w:rPr>
          <w:rFonts w:ascii="Times New Roman" w:hAnsi="Times New Roman" w:cs="Times New Roman"/>
        </w:rPr>
        <w:t xml:space="preserve"> </w:t>
      </w:r>
      <w:r w:rsidR="009259BB" w:rsidRPr="006433A6">
        <w:rPr>
          <w:rFonts w:ascii="Times New Roman" w:hAnsi="Times New Roman" w:cs="Times New Roman"/>
        </w:rPr>
        <w:t xml:space="preserve">Demographic information for participants </w:t>
      </w:r>
      <w:r w:rsidR="003E052E">
        <w:rPr>
          <w:rFonts w:ascii="Times New Roman" w:hAnsi="Times New Roman" w:cs="Times New Roman"/>
        </w:rPr>
        <w:t>are</w:t>
      </w:r>
      <w:r w:rsidR="009259BB" w:rsidRPr="006433A6">
        <w:rPr>
          <w:rFonts w:ascii="Times New Roman" w:hAnsi="Times New Roman" w:cs="Times New Roman"/>
        </w:rPr>
        <w:t xml:space="preserve"> displayed on Table 1.</w:t>
      </w:r>
      <w:r w:rsidR="001B2821">
        <w:rPr>
          <w:rFonts w:ascii="Times New Roman" w:hAnsi="Times New Roman" w:cs="Times New Roman"/>
        </w:rPr>
        <w:t xml:space="preserve"> </w:t>
      </w:r>
    </w:p>
    <w:p w14:paraId="624AFE5F" w14:textId="77777777" w:rsidR="00087234" w:rsidRPr="006433A6" w:rsidRDefault="001C129B" w:rsidP="00853C44">
      <w:pPr>
        <w:pStyle w:val="SubsectionHeading"/>
        <w:spacing w:before="0" w:after="0" w:line="480" w:lineRule="auto"/>
        <w:outlineLvl w:val="0"/>
        <w:rPr>
          <w:rFonts w:ascii="Times New Roman" w:hAnsi="Times New Roman" w:cs="Times New Roman"/>
          <w:sz w:val="24"/>
        </w:rPr>
      </w:pPr>
      <w:r>
        <w:rPr>
          <w:rFonts w:ascii="Times New Roman" w:hAnsi="Times New Roman" w:cs="Times New Roman"/>
          <w:sz w:val="24"/>
        </w:rPr>
        <w:t>Procedure</w:t>
      </w:r>
    </w:p>
    <w:p w14:paraId="720D7C6B" w14:textId="77777777" w:rsidR="00087234" w:rsidRPr="006433A6" w:rsidRDefault="009259BB" w:rsidP="00422A00">
      <w:pPr>
        <w:pStyle w:val="BodyText1"/>
        <w:spacing w:before="0" w:after="0"/>
        <w:ind w:firstLine="720"/>
        <w:rPr>
          <w:rFonts w:ascii="Times New Roman" w:hAnsi="Times New Roman" w:cs="Times New Roman"/>
        </w:rPr>
      </w:pPr>
      <w:r w:rsidRPr="006433A6">
        <w:rPr>
          <w:rFonts w:ascii="Times New Roman" w:hAnsi="Times New Roman" w:cs="Times New Roman"/>
        </w:rPr>
        <w:t xml:space="preserve">The current study was approved by </w:t>
      </w:r>
      <w:r w:rsidR="0097605B">
        <w:rPr>
          <w:rFonts w:ascii="Times New Roman" w:hAnsi="Times New Roman" w:cs="Times New Roman"/>
        </w:rPr>
        <w:t>a university</w:t>
      </w:r>
      <w:r w:rsidRPr="006433A6">
        <w:rPr>
          <w:rFonts w:ascii="Times New Roman" w:hAnsi="Times New Roman" w:cs="Times New Roman"/>
        </w:rPr>
        <w:t xml:space="preserve"> institutional review board. </w:t>
      </w:r>
      <w:r w:rsidR="00422A00">
        <w:rPr>
          <w:rFonts w:ascii="Times New Roman" w:hAnsi="Times New Roman" w:cs="Times New Roman"/>
        </w:rPr>
        <w:t>Eligible</w:t>
      </w:r>
      <w:r w:rsidRPr="006433A6">
        <w:rPr>
          <w:rFonts w:ascii="Times New Roman" w:hAnsi="Times New Roman" w:cs="Times New Roman"/>
        </w:rPr>
        <w:t xml:space="preserve"> participants completed an intake session</w:t>
      </w:r>
      <w:r w:rsidR="00A33FB7">
        <w:rPr>
          <w:rFonts w:ascii="Times New Roman" w:hAnsi="Times New Roman" w:cs="Times New Roman"/>
        </w:rPr>
        <w:t xml:space="preserve"> (time 1)</w:t>
      </w:r>
      <w:r w:rsidRPr="006433A6">
        <w:rPr>
          <w:rFonts w:ascii="Times New Roman" w:hAnsi="Times New Roman" w:cs="Times New Roman"/>
        </w:rPr>
        <w:t xml:space="preserve">, </w:t>
      </w:r>
      <w:r w:rsidR="00422A00">
        <w:rPr>
          <w:rFonts w:ascii="Times New Roman" w:hAnsi="Times New Roman" w:cs="Times New Roman"/>
        </w:rPr>
        <w:t>which consisted</w:t>
      </w:r>
      <w:r w:rsidRPr="006433A6">
        <w:rPr>
          <w:rFonts w:ascii="Times New Roman" w:hAnsi="Times New Roman" w:cs="Times New Roman"/>
        </w:rPr>
        <w:t xml:space="preserve"> of gathering consent/assent and basic information about their hair pulling and completing a baseline assessment battery.</w:t>
      </w:r>
      <w:r w:rsidR="00422A00">
        <w:rPr>
          <w:rFonts w:ascii="Times New Roman" w:hAnsi="Times New Roman" w:cs="Times New Roman"/>
        </w:rPr>
        <w:t xml:space="preserve"> </w:t>
      </w:r>
      <w:r w:rsidRPr="006433A6">
        <w:rPr>
          <w:rFonts w:ascii="Times New Roman" w:hAnsi="Times New Roman" w:cs="Times New Roman"/>
        </w:rPr>
        <w:t>Following the intake session, participants were randomized into either the treatment or waitlist control group</w:t>
      </w:r>
      <w:r w:rsidR="00C94810">
        <w:rPr>
          <w:rFonts w:ascii="Times New Roman" w:hAnsi="Times New Roman" w:cs="Times New Roman"/>
        </w:rPr>
        <w:t xml:space="preserve"> </w:t>
      </w:r>
      <w:r w:rsidR="009727DA">
        <w:rPr>
          <w:rFonts w:ascii="Times New Roman" w:hAnsi="Times New Roman" w:cs="Times New Roman"/>
        </w:rPr>
        <w:t>based on odd or even numbers generated from</w:t>
      </w:r>
      <w:r w:rsidR="00C94810">
        <w:rPr>
          <w:rFonts w:ascii="Times New Roman" w:hAnsi="Times New Roman" w:cs="Times New Roman"/>
        </w:rPr>
        <w:t xml:space="preserve"> a random number generator</w:t>
      </w:r>
      <w:r w:rsidRPr="006433A6">
        <w:rPr>
          <w:rFonts w:ascii="Times New Roman" w:hAnsi="Times New Roman" w:cs="Times New Roman"/>
        </w:rPr>
        <w:t>.</w:t>
      </w:r>
      <w:r w:rsidR="00946B3E">
        <w:rPr>
          <w:rFonts w:ascii="Times New Roman" w:hAnsi="Times New Roman" w:cs="Times New Roman"/>
        </w:rPr>
        <w:t xml:space="preserve"> This randomization method</w:t>
      </w:r>
      <w:r w:rsidR="00A34C96">
        <w:rPr>
          <w:rFonts w:ascii="Times New Roman" w:hAnsi="Times New Roman" w:cs="Times New Roman"/>
        </w:rPr>
        <w:t>, le</w:t>
      </w:r>
      <w:r w:rsidR="008E62FC">
        <w:rPr>
          <w:rFonts w:ascii="Times New Roman" w:hAnsi="Times New Roman" w:cs="Times New Roman"/>
        </w:rPr>
        <w:t>d to uneven groups.</w:t>
      </w:r>
      <w:r w:rsidRPr="006433A6">
        <w:rPr>
          <w:rFonts w:ascii="Times New Roman" w:hAnsi="Times New Roman" w:cs="Times New Roman"/>
        </w:rPr>
        <w:t xml:space="preserve"> Participants in the treatment group began therapy the following week, attended 10</w:t>
      </w:r>
      <w:r w:rsidR="00422A00">
        <w:rPr>
          <w:rFonts w:ascii="Times New Roman" w:hAnsi="Times New Roman" w:cs="Times New Roman"/>
        </w:rPr>
        <w:t xml:space="preserve">, 50-minute sessions of therapy and then </w:t>
      </w:r>
      <w:r w:rsidRPr="006433A6">
        <w:rPr>
          <w:rFonts w:ascii="Times New Roman" w:hAnsi="Times New Roman" w:cs="Times New Roman"/>
        </w:rPr>
        <w:t>completed a post-treatment assessment</w:t>
      </w:r>
      <w:r w:rsidR="00A33FB7">
        <w:rPr>
          <w:rFonts w:ascii="Times New Roman" w:hAnsi="Times New Roman" w:cs="Times New Roman"/>
        </w:rPr>
        <w:t xml:space="preserve"> (time 2)</w:t>
      </w:r>
      <w:r w:rsidRPr="006433A6">
        <w:rPr>
          <w:rFonts w:ascii="Times New Roman" w:hAnsi="Times New Roman" w:cs="Times New Roman"/>
        </w:rPr>
        <w:t xml:space="preserve">. Participants in the waitlist control group waited 10 weeks, completed a post-waitlist assessment </w:t>
      </w:r>
      <w:r w:rsidR="00A33FB7">
        <w:rPr>
          <w:rFonts w:ascii="Times New Roman" w:hAnsi="Times New Roman" w:cs="Times New Roman"/>
        </w:rPr>
        <w:t xml:space="preserve">(time 2) </w:t>
      </w:r>
      <w:r w:rsidRPr="006433A6">
        <w:rPr>
          <w:rFonts w:ascii="Times New Roman" w:hAnsi="Times New Roman" w:cs="Times New Roman"/>
        </w:rPr>
        <w:t>and then completed the same course of treatment as the treatment group.</w:t>
      </w:r>
      <w:r w:rsidR="00A34C96">
        <w:rPr>
          <w:rFonts w:ascii="Times New Roman" w:hAnsi="Times New Roman" w:cs="Times New Roman"/>
        </w:rPr>
        <w:t xml:space="preserve"> </w:t>
      </w:r>
    </w:p>
    <w:p w14:paraId="0A6B0305" w14:textId="77777777" w:rsidR="00087234" w:rsidRPr="006433A6" w:rsidRDefault="009259BB" w:rsidP="00853C44">
      <w:pPr>
        <w:pStyle w:val="SubsubsectionHeading"/>
        <w:spacing w:before="0" w:after="0" w:line="480" w:lineRule="auto"/>
        <w:outlineLvl w:val="0"/>
        <w:rPr>
          <w:rFonts w:ascii="Times New Roman" w:hAnsi="Times New Roman" w:cs="Times New Roman"/>
        </w:rPr>
      </w:pPr>
      <w:r w:rsidRPr="006433A6">
        <w:rPr>
          <w:rFonts w:ascii="Times New Roman" w:hAnsi="Times New Roman" w:cs="Times New Roman"/>
        </w:rPr>
        <w:t>Acceptance and Commitment Therapy</w:t>
      </w:r>
    </w:p>
    <w:p w14:paraId="465F8AE4" w14:textId="77777777" w:rsidR="00312D96" w:rsidRPr="006433A6" w:rsidRDefault="009259BB" w:rsidP="006F1E9D">
      <w:pPr>
        <w:pStyle w:val="BodyText1"/>
        <w:spacing w:before="0" w:after="0"/>
        <w:ind w:firstLine="720"/>
        <w:rPr>
          <w:rFonts w:ascii="Times New Roman" w:hAnsi="Times New Roman" w:cs="Times New Roman"/>
        </w:rPr>
      </w:pPr>
      <w:r w:rsidRPr="006433A6">
        <w:rPr>
          <w:rFonts w:ascii="Times New Roman" w:hAnsi="Times New Roman" w:cs="Times New Roman"/>
        </w:rPr>
        <w:t xml:space="preserve">The ACT intervention was conducted by master and </w:t>
      </w:r>
      <w:r w:rsidR="00A34C96">
        <w:rPr>
          <w:rFonts w:ascii="Times New Roman" w:hAnsi="Times New Roman" w:cs="Times New Roman"/>
        </w:rPr>
        <w:t>doctoral</w:t>
      </w:r>
      <w:r w:rsidRPr="006433A6">
        <w:rPr>
          <w:rFonts w:ascii="Times New Roman" w:hAnsi="Times New Roman" w:cs="Times New Roman"/>
        </w:rPr>
        <w:t xml:space="preserve"> level therapists who had been trained in ACT. The last author provided regular supervision and treatment integrity checks throughout the study. Treatment consisted of a 10-session ACT protocol developed by the </w:t>
      </w:r>
      <w:r w:rsidR="00AE009C">
        <w:rPr>
          <w:rFonts w:ascii="Times New Roman" w:hAnsi="Times New Roman" w:cs="Times New Roman"/>
        </w:rPr>
        <w:t>last</w:t>
      </w:r>
      <w:r w:rsidRPr="006433A6">
        <w:rPr>
          <w:rFonts w:ascii="Times New Roman" w:hAnsi="Times New Roman" w:cs="Times New Roman"/>
        </w:rPr>
        <w:t xml:space="preserve"> author. The following is a general outline of the protocol; however, because of the flexible nature of ACT and the tendency for participants to struggle with different ACT processes, session order and length of time spent on each topic varied slightly for each participant.</w:t>
      </w:r>
      <w:r w:rsidR="00ED46ED">
        <w:rPr>
          <w:rFonts w:ascii="Times New Roman" w:hAnsi="Times New Roman" w:cs="Times New Roman"/>
        </w:rPr>
        <w:t xml:space="preserve"> Specifically,</w:t>
      </w:r>
      <w:r w:rsidR="00E35198">
        <w:rPr>
          <w:rFonts w:ascii="Times New Roman" w:hAnsi="Times New Roman" w:cs="Times New Roman"/>
        </w:rPr>
        <w:t xml:space="preserve"> as determined by the therapist for each participant,</w:t>
      </w:r>
      <w:r w:rsidR="00ED46ED">
        <w:rPr>
          <w:rFonts w:ascii="Times New Roman" w:hAnsi="Times New Roman" w:cs="Times New Roman"/>
        </w:rPr>
        <w:t xml:space="preserve"> </w:t>
      </w:r>
      <w:r w:rsidR="00A67DE1">
        <w:rPr>
          <w:rFonts w:ascii="Times New Roman" w:hAnsi="Times New Roman" w:cs="Times New Roman"/>
        </w:rPr>
        <w:t xml:space="preserve">some </w:t>
      </w:r>
      <w:r w:rsidR="00ED46ED">
        <w:rPr>
          <w:rFonts w:ascii="Times New Roman" w:hAnsi="Times New Roman" w:cs="Times New Roman"/>
        </w:rPr>
        <w:t xml:space="preserve">modifications were made for younger participants that included parental support and involvement and exercises and metaphors that were </w:t>
      </w:r>
      <w:r w:rsidR="00A8318A">
        <w:rPr>
          <w:rFonts w:ascii="Times New Roman" w:hAnsi="Times New Roman" w:cs="Times New Roman"/>
        </w:rPr>
        <w:t xml:space="preserve">more </w:t>
      </w:r>
      <w:r w:rsidR="00ED46ED">
        <w:rPr>
          <w:rFonts w:ascii="Times New Roman" w:hAnsi="Times New Roman" w:cs="Times New Roman"/>
        </w:rPr>
        <w:t>developmentally appropriate.</w:t>
      </w:r>
      <w:r w:rsidR="00312D96">
        <w:rPr>
          <w:rFonts w:ascii="Times New Roman" w:hAnsi="Times New Roman" w:cs="Times New Roman"/>
        </w:rPr>
        <w:t xml:space="preserve"> Similar exercises were used, but described more concretely and less metaphorically.</w:t>
      </w:r>
      <w:r w:rsidR="00A67DE1">
        <w:rPr>
          <w:rFonts w:ascii="Times New Roman" w:hAnsi="Times New Roman" w:cs="Times New Roman"/>
        </w:rPr>
        <w:t xml:space="preserve"> When available, parents were encouraged to be involved in treatment. Parents would be invited to participate in approximately 10 minutes at the end of sessions</w:t>
      </w:r>
      <w:r w:rsidR="009B5D15">
        <w:rPr>
          <w:rFonts w:ascii="Times New Roman" w:hAnsi="Times New Roman" w:cs="Times New Roman"/>
        </w:rPr>
        <w:t>.</w:t>
      </w:r>
      <w:r w:rsidR="00A67DE1">
        <w:rPr>
          <w:rFonts w:ascii="Times New Roman" w:hAnsi="Times New Roman" w:cs="Times New Roman"/>
        </w:rPr>
        <w:t xml:space="preserve"> </w:t>
      </w:r>
      <w:r w:rsidR="009B5D15">
        <w:rPr>
          <w:rFonts w:ascii="Times New Roman" w:hAnsi="Times New Roman" w:cs="Times New Roman"/>
        </w:rPr>
        <w:t>Here,</w:t>
      </w:r>
      <w:r w:rsidR="00A67DE1">
        <w:rPr>
          <w:rFonts w:ascii="Times New Roman" w:hAnsi="Times New Roman" w:cs="Times New Roman"/>
        </w:rPr>
        <w:t xml:space="preserve"> participants would review what they had learned </w:t>
      </w:r>
      <w:r w:rsidR="009B5D15">
        <w:rPr>
          <w:rFonts w:ascii="Times New Roman" w:hAnsi="Times New Roman" w:cs="Times New Roman"/>
        </w:rPr>
        <w:t xml:space="preserve">in the session </w:t>
      </w:r>
      <w:r w:rsidR="00A67DE1">
        <w:rPr>
          <w:rFonts w:ascii="Times New Roman" w:hAnsi="Times New Roman" w:cs="Times New Roman"/>
        </w:rPr>
        <w:t>and c</w:t>
      </w:r>
      <w:r w:rsidR="009B5D15">
        <w:rPr>
          <w:rFonts w:ascii="Times New Roman" w:hAnsi="Times New Roman" w:cs="Times New Roman"/>
        </w:rPr>
        <w:t>larify goals with parents in an attempt to help parents to be able to better support their child between sessions.</w:t>
      </w:r>
      <w:r w:rsidR="00312D96">
        <w:rPr>
          <w:rFonts w:ascii="Times New Roman" w:hAnsi="Times New Roman" w:cs="Times New Roman"/>
        </w:rPr>
        <w:t xml:space="preserve"> </w:t>
      </w:r>
      <w:r w:rsidR="009B5D15">
        <w:rPr>
          <w:rFonts w:ascii="Times New Roman" w:hAnsi="Times New Roman" w:cs="Times New Roman"/>
        </w:rPr>
        <w:t>Overall, modifications to treatment were relatively minor</w:t>
      </w:r>
      <w:r w:rsidR="00E35198">
        <w:rPr>
          <w:rFonts w:ascii="Times New Roman" w:hAnsi="Times New Roman" w:cs="Times New Roman"/>
        </w:rPr>
        <w:t xml:space="preserve"> and the treatment protocol was followed regardless of participant age</w:t>
      </w:r>
      <w:r w:rsidR="009B5D15">
        <w:rPr>
          <w:rFonts w:ascii="Times New Roman" w:hAnsi="Times New Roman" w:cs="Times New Roman"/>
        </w:rPr>
        <w:t xml:space="preserve">. </w:t>
      </w:r>
      <w:r w:rsidR="00881108">
        <w:rPr>
          <w:rFonts w:ascii="Times New Roman" w:hAnsi="Times New Roman" w:cs="Times New Roman"/>
        </w:rPr>
        <w:t>Similar modifications have</w:t>
      </w:r>
      <w:r w:rsidR="00312D96">
        <w:rPr>
          <w:rFonts w:ascii="Times New Roman" w:hAnsi="Times New Roman" w:cs="Times New Roman"/>
        </w:rPr>
        <w:t xml:space="preserve"> been successfully demonstrated in an OCD trial for adolescents</w:t>
      </w:r>
      <w:r w:rsidR="006F1E9D">
        <w:rPr>
          <w:rFonts w:ascii="Times New Roman" w:hAnsi="Times New Roman" w:cs="Times New Roman"/>
        </w:rPr>
        <w:t xml:space="preserve"> </w:t>
      </w:r>
      <w:r w:rsidR="00EA1BEC">
        <w:rPr>
          <w:rFonts w:ascii="Times New Roman" w:hAnsi="Times New Roman" w:cs="Times New Roman"/>
        </w:rPr>
        <w:t>(</w:t>
      </w:r>
      <w:r w:rsidR="00EA1BEC">
        <w:rPr>
          <w:rFonts w:ascii="Times New Roman" w:hAnsi="Times New Roman" w:cs="Times New Roman"/>
          <w:noProof/>
        </w:rPr>
        <w:t xml:space="preserve">Armstrong, </w:t>
      </w:r>
      <w:r w:rsidR="00EA1BEC" w:rsidRPr="00EA1BEC">
        <w:rPr>
          <w:rFonts w:ascii="Times New Roman" w:hAnsi="Times New Roman" w:cs="Times New Roman"/>
          <w:noProof/>
        </w:rPr>
        <w:t>Mo</w:t>
      </w:r>
      <w:r w:rsidR="00EA1BEC">
        <w:rPr>
          <w:rFonts w:ascii="Times New Roman" w:hAnsi="Times New Roman" w:cs="Times New Roman"/>
          <w:noProof/>
        </w:rPr>
        <w:t xml:space="preserve">rrison, &amp; Twohig, </w:t>
      </w:r>
      <w:r w:rsidR="00EA1BEC" w:rsidRPr="00EA1BEC">
        <w:rPr>
          <w:rFonts w:ascii="Times New Roman" w:hAnsi="Times New Roman" w:cs="Times New Roman"/>
          <w:noProof/>
        </w:rPr>
        <w:t xml:space="preserve">2013). </w:t>
      </w:r>
      <w:r w:rsidRPr="006433A6">
        <w:rPr>
          <w:rFonts w:ascii="Times New Roman" w:hAnsi="Times New Roman" w:cs="Times New Roman"/>
        </w:rPr>
        <w:t>Sessions 1 and 2 included general assessment of trichotillomania symptoms and behaviors and an ACT technique known as creative hopelessness. Sessions 3, 4, and 5 introduced the problem of attempting to control thoughts, emotions, and urges and discussion of willingness or acceptance as an alternative to control. Sessions 6 and 7 introduced the ACT processes self as context and defusion. Session 8, 9, and 10 introduced values and values-directed behavior.</w:t>
      </w:r>
      <w:r w:rsidR="009F7BE6">
        <w:rPr>
          <w:rFonts w:ascii="Times New Roman" w:hAnsi="Times New Roman" w:cs="Times New Roman"/>
        </w:rPr>
        <w:t xml:space="preserve"> Table 2 describes the session-by-session components and exercises used.</w:t>
      </w:r>
      <w:r w:rsidR="00312D96">
        <w:rPr>
          <w:rFonts w:ascii="Times New Roman" w:hAnsi="Times New Roman" w:cs="Times New Roman"/>
        </w:rPr>
        <w:t xml:space="preserve"> </w:t>
      </w:r>
    </w:p>
    <w:p w14:paraId="5A602FE2" w14:textId="77777777" w:rsidR="00087234" w:rsidRPr="006433A6" w:rsidRDefault="009259BB" w:rsidP="00853C44">
      <w:pPr>
        <w:pStyle w:val="SubsectionHeading"/>
        <w:spacing w:before="0" w:after="0" w:line="480" w:lineRule="auto"/>
        <w:outlineLvl w:val="0"/>
        <w:rPr>
          <w:rFonts w:ascii="Times New Roman" w:hAnsi="Times New Roman" w:cs="Times New Roman"/>
          <w:sz w:val="24"/>
        </w:rPr>
      </w:pPr>
      <w:r w:rsidRPr="006433A6">
        <w:rPr>
          <w:rFonts w:ascii="Times New Roman" w:hAnsi="Times New Roman" w:cs="Times New Roman"/>
          <w:sz w:val="24"/>
        </w:rPr>
        <w:t>Measures</w:t>
      </w:r>
    </w:p>
    <w:p w14:paraId="3719CFE3" w14:textId="77777777" w:rsidR="00087234" w:rsidRPr="006433A6" w:rsidRDefault="009259BB" w:rsidP="00F60D71">
      <w:pPr>
        <w:pStyle w:val="BodyText1"/>
        <w:spacing w:before="0" w:after="0"/>
        <w:ind w:firstLine="720"/>
        <w:rPr>
          <w:rFonts w:ascii="Times New Roman" w:hAnsi="Times New Roman" w:cs="Times New Roman"/>
        </w:rPr>
      </w:pPr>
      <w:r w:rsidRPr="006433A6">
        <w:rPr>
          <w:rFonts w:ascii="Times New Roman" w:hAnsi="Times New Roman" w:cs="Times New Roman"/>
          <w:b/>
        </w:rPr>
        <w:t>Massachusetts General Hospital Hair Pulling Scale</w:t>
      </w:r>
      <w:r w:rsidRPr="006433A6">
        <w:rPr>
          <w:rFonts w:ascii="Times New Roman" w:hAnsi="Times New Roman" w:cs="Times New Roman"/>
        </w:rPr>
        <w:t xml:space="preserve"> </w:t>
      </w:r>
      <w:r w:rsidR="0068689D">
        <w:rPr>
          <w:rFonts w:ascii="Times New Roman" w:hAnsi="Times New Roman" w:cs="Times New Roman"/>
          <w:noProof/>
        </w:rPr>
        <w:t>(MGH-HS; Keuthen, O'Sullivan, Ricciardi, &amp; Shera, 1995)</w:t>
      </w:r>
      <w:r w:rsidR="0068689D">
        <w:rPr>
          <w:rFonts w:ascii="Times New Roman" w:hAnsi="Times New Roman" w:cs="Times New Roman"/>
        </w:rPr>
        <w:t>. The MGH-H</w:t>
      </w:r>
      <w:r w:rsidR="00873E32">
        <w:rPr>
          <w:rFonts w:ascii="Times New Roman" w:hAnsi="Times New Roman" w:cs="Times New Roman"/>
        </w:rPr>
        <w:t>S is a 7-item</w:t>
      </w:r>
      <w:r w:rsidR="006433A6">
        <w:rPr>
          <w:rFonts w:ascii="Times New Roman" w:hAnsi="Times New Roman" w:cs="Times New Roman"/>
        </w:rPr>
        <w:t xml:space="preserve"> </w:t>
      </w:r>
      <w:r w:rsidR="00873E32">
        <w:rPr>
          <w:rFonts w:ascii="Times New Roman" w:hAnsi="Times New Roman" w:cs="Times New Roman"/>
        </w:rPr>
        <w:t>self-report</w:t>
      </w:r>
      <w:r w:rsidR="006433A6">
        <w:rPr>
          <w:rFonts w:ascii="Times New Roman" w:hAnsi="Times New Roman" w:cs="Times New Roman"/>
        </w:rPr>
        <w:t xml:space="preserve"> measure of hair-pulling severity. It includes questions related to urges to pull hair, pulling behavior, and consequences of pulling. </w:t>
      </w:r>
      <w:r w:rsidR="00CF4F7E">
        <w:rPr>
          <w:rFonts w:ascii="Times New Roman" w:hAnsi="Times New Roman" w:cs="Times New Roman"/>
        </w:rPr>
        <w:t xml:space="preserve">Items are rated from 0 to 4 and are then summed into a </w:t>
      </w:r>
      <w:r w:rsidR="006433A6">
        <w:rPr>
          <w:rFonts w:ascii="Times New Roman" w:hAnsi="Times New Roman" w:cs="Times New Roman"/>
        </w:rPr>
        <w:t xml:space="preserve">0 to </w:t>
      </w:r>
      <w:r w:rsidR="0097257D">
        <w:rPr>
          <w:rFonts w:ascii="Times New Roman" w:hAnsi="Times New Roman" w:cs="Times New Roman"/>
        </w:rPr>
        <w:t>28-point</w:t>
      </w:r>
      <w:r w:rsidR="00CF4F7E">
        <w:rPr>
          <w:rFonts w:ascii="Times New Roman" w:hAnsi="Times New Roman" w:cs="Times New Roman"/>
        </w:rPr>
        <w:t xml:space="preserve"> total score</w:t>
      </w:r>
      <w:r w:rsidR="006433A6">
        <w:rPr>
          <w:rFonts w:ascii="Times New Roman" w:hAnsi="Times New Roman" w:cs="Times New Roman"/>
        </w:rPr>
        <w:t>, with higher scores reflecting greater hair-pulling severity.</w:t>
      </w:r>
      <w:r w:rsidR="00BB3A93">
        <w:rPr>
          <w:rFonts w:ascii="Times New Roman" w:hAnsi="Times New Roman" w:cs="Times New Roman"/>
        </w:rPr>
        <w:t xml:space="preserve"> </w:t>
      </w:r>
      <w:r w:rsidR="007A1E87">
        <w:rPr>
          <w:rFonts w:ascii="Times New Roman" w:hAnsi="Times New Roman" w:cs="Times New Roman"/>
        </w:rPr>
        <w:t xml:space="preserve">Changes of seven points or more </w:t>
      </w:r>
      <w:r w:rsidR="00065F7B">
        <w:rPr>
          <w:rFonts w:ascii="Times New Roman" w:hAnsi="Times New Roman" w:cs="Times New Roman"/>
        </w:rPr>
        <w:t>are</w:t>
      </w:r>
      <w:r w:rsidR="007A1E87">
        <w:rPr>
          <w:rFonts w:ascii="Times New Roman" w:hAnsi="Times New Roman" w:cs="Times New Roman"/>
        </w:rPr>
        <w:t xml:space="preserve"> considered to be</w:t>
      </w:r>
      <w:r w:rsidR="00065F7B">
        <w:rPr>
          <w:rFonts w:ascii="Times New Roman" w:hAnsi="Times New Roman" w:cs="Times New Roman"/>
        </w:rPr>
        <w:t xml:space="preserve"> indicative of clinically significant treatment response and disorder </w:t>
      </w:r>
      <w:r w:rsidR="00E3758E">
        <w:rPr>
          <w:rFonts w:ascii="Times New Roman" w:hAnsi="Times New Roman" w:cs="Times New Roman"/>
        </w:rPr>
        <w:t>remission (</w:t>
      </w:r>
      <w:r w:rsidR="00446AAC" w:rsidRPr="00446AAC">
        <w:rPr>
          <w:rFonts w:ascii="Times New Roman" w:hAnsi="Times New Roman" w:cs="Times New Roman"/>
          <w:noProof/>
        </w:rPr>
        <w:t>Houghton</w:t>
      </w:r>
      <w:r w:rsidR="00446AAC">
        <w:rPr>
          <w:rFonts w:ascii="Times New Roman" w:hAnsi="Times New Roman" w:cs="Times New Roman"/>
          <w:noProof/>
        </w:rPr>
        <w:t xml:space="preserve"> et al., 2015</w:t>
      </w:r>
      <w:r w:rsidR="00E3758E">
        <w:rPr>
          <w:rFonts w:ascii="Times New Roman" w:hAnsi="Times New Roman" w:cs="Times New Roman"/>
        </w:rPr>
        <w:t>)</w:t>
      </w:r>
      <w:r w:rsidR="00065F7B">
        <w:rPr>
          <w:rFonts w:ascii="Times New Roman" w:hAnsi="Times New Roman" w:cs="Times New Roman"/>
        </w:rPr>
        <w:t>.</w:t>
      </w:r>
      <w:r w:rsidR="007A1E87">
        <w:rPr>
          <w:rFonts w:ascii="Times New Roman" w:hAnsi="Times New Roman" w:cs="Times New Roman"/>
        </w:rPr>
        <w:t xml:space="preserve"> </w:t>
      </w:r>
      <w:r w:rsidR="00CF4F7E">
        <w:rPr>
          <w:rFonts w:ascii="Times New Roman" w:hAnsi="Times New Roman" w:cs="Times New Roman"/>
        </w:rPr>
        <w:t xml:space="preserve">The MGH-HS has demonstrated good internal consistency, test-retest reliability, and convergent and divergent validity </w:t>
      </w:r>
      <w:r w:rsidR="0068689D">
        <w:rPr>
          <w:rFonts w:ascii="Times New Roman" w:hAnsi="Times New Roman" w:cs="Times New Roman"/>
          <w:noProof/>
        </w:rPr>
        <w:t>(Keuthen et al., 2007; O'Sullivan et al., 1995)</w:t>
      </w:r>
      <w:r w:rsidR="0068689D">
        <w:rPr>
          <w:rFonts w:ascii="Times New Roman" w:hAnsi="Times New Roman" w:cs="Times New Roman"/>
        </w:rPr>
        <w:t xml:space="preserve">. </w:t>
      </w:r>
      <w:r w:rsidR="003D6ABC">
        <w:rPr>
          <w:rFonts w:ascii="Times New Roman" w:hAnsi="Times New Roman" w:cs="Times New Roman"/>
        </w:rPr>
        <w:t xml:space="preserve">The MGH-HS was chosen in order to use a single scale for comparisons between adolescents and adults. While the measure’s psychometric properties are </w:t>
      </w:r>
      <w:r w:rsidR="00527CD4" w:rsidRPr="007974D8">
        <w:rPr>
          <w:rFonts w:ascii="Times New Roman" w:hAnsi="Times New Roman" w:cs="Times New Roman"/>
        </w:rPr>
        <w:t>not well</w:t>
      </w:r>
      <w:r w:rsidR="003D6ABC" w:rsidRPr="007974D8">
        <w:rPr>
          <w:rFonts w:ascii="Times New Roman" w:hAnsi="Times New Roman" w:cs="Times New Roman"/>
        </w:rPr>
        <w:t xml:space="preserve"> understood for adolescents, it has been successfully utilized in multiple child and adolescent studies </w:t>
      </w:r>
      <w:r w:rsidR="00446AAC" w:rsidRPr="007974D8">
        <w:rPr>
          <w:rFonts w:ascii="Times New Roman" w:hAnsi="Times New Roman" w:cs="Times New Roman"/>
        </w:rPr>
        <w:t>(</w:t>
      </w:r>
      <w:r w:rsidR="001E4D85" w:rsidRPr="007974D8">
        <w:rPr>
          <w:rFonts w:ascii="Times New Roman" w:hAnsi="Times New Roman" w:cs="Times New Roman"/>
        </w:rPr>
        <w:t xml:space="preserve">e.g., </w:t>
      </w:r>
      <w:r w:rsidR="00446AAC" w:rsidRPr="007974D8">
        <w:rPr>
          <w:rFonts w:ascii="Times New Roman" w:hAnsi="Times New Roman" w:cs="Times New Roman"/>
          <w:noProof/>
        </w:rPr>
        <w:t>Bloch, Panza, Grant, Pittenger, &amp; Leckman, 2013; Rahman, McGuire, Storch, &amp; Lewin, 2017</w:t>
      </w:r>
      <w:r w:rsidR="00446AAC" w:rsidRPr="007974D8">
        <w:rPr>
          <w:rFonts w:ascii="Times New Roman" w:hAnsi="Times New Roman" w:cs="Times New Roman"/>
        </w:rPr>
        <w:t xml:space="preserve">. </w:t>
      </w:r>
      <w:r w:rsidR="0068689D" w:rsidRPr="007974D8">
        <w:rPr>
          <w:rFonts w:ascii="Times New Roman" w:hAnsi="Times New Roman" w:cs="Times New Roman"/>
        </w:rPr>
        <w:t>The MGH-H</w:t>
      </w:r>
      <w:r w:rsidR="00873E32" w:rsidRPr="007974D8">
        <w:rPr>
          <w:rFonts w:ascii="Times New Roman" w:hAnsi="Times New Roman" w:cs="Times New Roman"/>
        </w:rPr>
        <w:t xml:space="preserve">S displayed </w:t>
      </w:r>
      <w:r w:rsidR="005407C0" w:rsidRPr="007974D8">
        <w:rPr>
          <w:rFonts w:ascii="Times New Roman" w:hAnsi="Times New Roman" w:cs="Times New Roman"/>
        </w:rPr>
        <w:t>good</w:t>
      </w:r>
      <w:r w:rsidR="00873E32" w:rsidRPr="007974D8">
        <w:rPr>
          <w:rFonts w:ascii="Times New Roman" w:hAnsi="Times New Roman" w:cs="Times New Roman"/>
        </w:rPr>
        <w:t xml:space="preserve"> internal reliability in the current study (</w:t>
      </w:r>
      <w:r w:rsidR="00873E32" w:rsidRPr="00DB5792">
        <w:rPr>
          <w:rFonts w:ascii="Times New Roman" w:hAnsi="Times New Roman" w:cs="Times New Roman"/>
          <w:i/>
          <w:color w:val="1A1A1A"/>
        </w:rPr>
        <w:t>α</w:t>
      </w:r>
      <w:r w:rsidR="005407C0">
        <w:rPr>
          <w:rFonts w:ascii="Times New Roman" w:hAnsi="Times New Roman" w:cs="Times New Roman"/>
          <w:iCs/>
          <w:color w:val="1A1A1A"/>
        </w:rPr>
        <w:t>s</w:t>
      </w:r>
      <w:r w:rsidR="00873E32">
        <w:rPr>
          <w:rFonts w:ascii="Times New Roman" w:hAnsi="Times New Roman" w:cs="Times New Roman"/>
          <w:color w:val="1A1A1A"/>
        </w:rPr>
        <w:t xml:space="preserve"> =</w:t>
      </w:r>
      <w:r w:rsidR="003F1ECE">
        <w:rPr>
          <w:rFonts w:ascii="Times New Roman" w:hAnsi="Times New Roman" w:cs="Times New Roman"/>
          <w:color w:val="1A1A1A"/>
        </w:rPr>
        <w:t xml:space="preserve"> .85</w:t>
      </w:r>
      <w:r w:rsidR="00873E32">
        <w:rPr>
          <w:rFonts w:ascii="Times New Roman" w:hAnsi="Times New Roman" w:cs="Times New Roman"/>
        </w:rPr>
        <w:t>).</w:t>
      </w:r>
    </w:p>
    <w:p w14:paraId="744908AF" w14:textId="77777777" w:rsidR="00087234" w:rsidRPr="006433A6" w:rsidRDefault="009259BB" w:rsidP="00F60D71">
      <w:pPr>
        <w:pStyle w:val="BodyText1"/>
        <w:spacing w:before="0" w:after="0"/>
        <w:ind w:firstLine="720"/>
        <w:rPr>
          <w:rFonts w:ascii="Times New Roman" w:hAnsi="Times New Roman" w:cs="Times New Roman"/>
        </w:rPr>
      </w:pPr>
      <w:r w:rsidRPr="006433A6">
        <w:rPr>
          <w:rFonts w:ascii="Times New Roman" w:hAnsi="Times New Roman" w:cs="Times New Roman"/>
          <w:b/>
        </w:rPr>
        <w:t>Acceptance and Action Questionnaire-II</w:t>
      </w:r>
      <w:r w:rsidRPr="006433A6">
        <w:rPr>
          <w:rFonts w:ascii="Times New Roman" w:hAnsi="Times New Roman" w:cs="Times New Roman"/>
        </w:rPr>
        <w:t xml:space="preserve"> </w:t>
      </w:r>
      <w:r w:rsidR="0068689D">
        <w:rPr>
          <w:rFonts w:ascii="Times New Roman" w:hAnsi="Times New Roman" w:cs="Times New Roman"/>
          <w:noProof/>
        </w:rPr>
        <w:t>(AAQ-II; Bond et al., 2011)</w:t>
      </w:r>
      <w:r w:rsidR="0068689D">
        <w:rPr>
          <w:rFonts w:ascii="Times New Roman" w:hAnsi="Times New Roman" w:cs="Times New Roman"/>
        </w:rPr>
        <w:t xml:space="preserve">. </w:t>
      </w:r>
      <w:r w:rsidR="00701B41">
        <w:rPr>
          <w:rFonts w:ascii="Times New Roman" w:hAnsi="Times New Roman" w:cs="Times New Roman"/>
        </w:rPr>
        <w:t xml:space="preserve">The AAQ-II is a 7-item </w:t>
      </w:r>
      <w:r w:rsidR="00873E32">
        <w:rPr>
          <w:rFonts w:ascii="Times New Roman" w:hAnsi="Times New Roman" w:cs="Times New Roman"/>
        </w:rPr>
        <w:t xml:space="preserve">self-report </w:t>
      </w:r>
      <w:r w:rsidR="00701B41">
        <w:rPr>
          <w:rFonts w:ascii="Times New Roman" w:hAnsi="Times New Roman" w:cs="Times New Roman"/>
        </w:rPr>
        <w:t>measure of psychological inflexibility or experiential avoidance.</w:t>
      </w:r>
      <w:r w:rsidR="00873E32">
        <w:rPr>
          <w:rFonts w:ascii="Times New Roman" w:hAnsi="Times New Roman" w:cs="Times New Roman"/>
        </w:rPr>
        <w:t xml:space="preserve"> </w:t>
      </w:r>
      <w:r w:rsidR="00873E32" w:rsidRPr="00DD0C53">
        <w:rPr>
          <w:rFonts w:ascii="Times New Roman" w:hAnsi="Times New Roman" w:cs="Times New Roman"/>
        </w:rPr>
        <w:t xml:space="preserve">Items are rated on a </w:t>
      </w:r>
      <w:r w:rsidR="00873E32">
        <w:rPr>
          <w:rFonts w:ascii="Times New Roman" w:hAnsi="Times New Roman" w:cs="Times New Roman"/>
        </w:rPr>
        <w:t>seven-point Likert-type scale (</w:t>
      </w:r>
      <w:r w:rsidR="00873E32" w:rsidRPr="00DD0C53">
        <w:rPr>
          <w:rFonts w:ascii="Times New Roman" w:hAnsi="Times New Roman" w:cs="Times New Roman"/>
        </w:rPr>
        <w:t xml:space="preserve">1 = </w:t>
      </w:r>
      <w:r w:rsidR="00873E32" w:rsidRPr="00873E32">
        <w:rPr>
          <w:rFonts w:ascii="Times New Roman" w:hAnsi="Times New Roman" w:cs="Times New Roman"/>
          <w:i/>
        </w:rPr>
        <w:t>never true</w:t>
      </w:r>
      <w:r w:rsidR="00873E32">
        <w:rPr>
          <w:rFonts w:ascii="Times New Roman" w:hAnsi="Times New Roman" w:cs="Times New Roman"/>
        </w:rPr>
        <w:t xml:space="preserve"> to</w:t>
      </w:r>
      <w:r w:rsidR="00873E32" w:rsidRPr="00DD0C53">
        <w:rPr>
          <w:rFonts w:ascii="Times New Roman" w:hAnsi="Times New Roman" w:cs="Times New Roman"/>
        </w:rPr>
        <w:t xml:space="preserve"> 7 = </w:t>
      </w:r>
      <w:r w:rsidR="00873E32" w:rsidRPr="00873E32">
        <w:rPr>
          <w:rFonts w:ascii="Times New Roman" w:hAnsi="Times New Roman" w:cs="Times New Roman"/>
          <w:i/>
        </w:rPr>
        <w:t>always true</w:t>
      </w:r>
      <w:r w:rsidR="00873E32" w:rsidRPr="00DD0C53">
        <w:rPr>
          <w:rFonts w:ascii="Times New Roman" w:hAnsi="Times New Roman" w:cs="Times New Roman"/>
        </w:rPr>
        <w:t>).</w:t>
      </w:r>
      <w:r w:rsidR="00873E32">
        <w:rPr>
          <w:rFonts w:ascii="Times New Roman" w:hAnsi="Times New Roman" w:cs="Times New Roman"/>
        </w:rPr>
        <w:t xml:space="preserve"> Items are summed into a 7 to </w:t>
      </w:r>
      <w:r w:rsidR="00077FA8">
        <w:rPr>
          <w:rFonts w:ascii="Times New Roman" w:hAnsi="Times New Roman" w:cs="Times New Roman"/>
        </w:rPr>
        <w:t>49-point</w:t>
      </w:r>
      <w:r w:rsidR="00873E32">
        <w:rPr>
          <w:rFonts w:ascii="Times New Roman" w:hAnsi="Times New Roman" w:cs="Times New Roman"/>
        </w:rPr>
        <w:t xml:space="preserve"> total score, with higher scores reflecting greater levels of psychological flexibility. The AAQ-II has demonstrated satisfactory reliability and validity </w:t>
      </w:r>
      <w:r w:rsidR="0068689D">
        <w:rPr>
          <w:rFonts w:ascii="Times New Roman" w:hAnsi="Times New Roman" w:cs="Times New Roman"/>
          <w:noProof/>
        </w:rPr>
        <w:t>(Bond et al., 2011)</w:t>
      </w:r>
      <w:r w:rsidR="0068689D">
        <w:rPr>
          <w:rFonts w:ascii="Times New Roman" w:hAnsi="Times New Roman" w:cs="Times New Roman"/>
        </w:rPr>
        <w:t>.</w:t>
      </w:r>
      <w:r w:rsidR="00B41BD1">
        <w:rPr>
          <w:rFonts w:ascii="Times New Roman" w:hAnsi="Times New Roman" w:cs="Times New Roman"/>
        </w:rPr>
        <w:t xml:space="preserve"> </w:t>
      </w:r>
      <w:r w:rsidR="00873E32">
        <w:rPr>
          <w:rFonts w:ascii="Times New Roman" w:hAnsi="Times New Roman" w:cs="Times New Roman"/>
        </w:rPr>
        <w:t xml:space="preserve">The AAQ-II displayed </w:t>
      </w:r>
      <w:r w:rsidR="005407C0">
        <w:rPr>
          <w:rFonts w:ascii="Times New Roman" w:hAnsi="Times New Roman" w:cs="Times New Roman"/>
        </w:rPr>
        <w:t>good</w:t>
      </w:r>
      <w:r w:rsidR="00873E32">
        <w:rPr>
          <w:rFonts w:ascii="Times New Roman" w:hAnsi="Times New Roman" w:cs="Times New Roman"/>
        </w:rPr>
        <w:t xml:space="preserve"> internal reliability in the current study (</w:t>
      </w:r>
      <w:r w:rsidR="00873E32" w:rsidRPr="00DB5792">
        <w:rPr>
          <w:rFonts w:ascii="Times New Roman" w:hAnsi="Times New Roman" w:cs="Times New Roman"/>
          <w:i/>
          <w:color w:val="1A1A1A"/>
        </w:rPr>
        <w:t>α</w:t>
      </w:r>
      <w:r w:rsidR="00077FA8">
        <w:rPr>
          <w:rFonts w:ascii="Times New Roman" w:hAnsi="Times New Roman" w:cs="Times New Roman"/>
          <w:iCs/>
          <w:color w:val="1A1A1A"/>
        </w:rPr>
        <w:t>s</w:t>
      </w:r>
      <w:r w:rsidR="00873E32">
        <w:rPr>
          <w:rFonts w:ascii="Times New Roman" w:hAnsi="Times New Roman" w:cs="Times New Roman"/>
          <w:color w:val="1A1A1A"/>
        </w:rPr>
        <w:t xml:space="preserve"> =</w:t>
      </w:r>
      <w:r w:rsidR="003F1ECE">
        <w:rPr>
          <w:rFonts w:ascii="Times New Roman" w:hAnsi="Times New Roman" w:cs="Times New Roman"/>
          <w:color w:val="1A1A1A"/>
        </w:rPr>
        <w:t xml:space="preserve"> .91</w:t>
      </w:r>
      <w:r w:rsidR="00873E32">
        <w:rPr>
          <w:rFonts w:ascii="Times New Roman" w:hAnsi="Times New Roman" w:cs="Times New Roman"/>
        </w:rPr>
        <w:t>)</w:t>
      </w:r>
      <w:r w:rsidR="000625B2">
        <w:rPr>
          <w:rFonts w:ascii="Times New Roman" w:hAnsi="Times New Roman" w:cs="Times New Roman"/>
        </w:rPr>
        <w:t>.</w:t>
      </w:r>
    </w:p>
    <w:p w14:paraId="30DF1DE2" w14:textId="438B13F5" w:rsidR="006433A6" w:rsidRDefault="009259BB" w:rsidP="00F60D71">
      <w:pPr>
        <w:pStyle w:val="BodyText1"/>
        <w:spacing w:before="0" w:after="0"/>
        <w:ind w:firstLine="720"/>
        <w:rPr>
          <w:rFonts w:ascii="Times New Roman" w:hAnsi="Times New Roman" w:cs="Times New Roman"/>
        </w:rPr>
      </w:pPr>
      <w:r w:rsidRPr="006433A6">
        <w:rPr>
          <w:rFonts w:ascii="Times New Roman" w:hAnsi="Times New Roman" w:cs="Times New Roman"/>
          <w:b/>
        </w:rPr>
        <w:t>Daily Tracking For</w:t>
      </w:r>
      <w:r w:rsidR="002F0A2A" w:rsidRPr="006433A6">
        <w:rPr>
          <w:rFonts w:ascii="Times New Roman" w:hAnsi="Times New Roman" w:cs="Times New Roman"/>
          <w:b/>
        </w:rPr>
        <w:t>m</w:t>
      </w:r>
      <w:r w:rsidRPr="006433A6">
        <w:rPr>
          <w:rFonts w:ascii="Times New Roman" w:hAnsi="Times New Roman" w:cs="Times New Roman"/>
        </w:rPr>
        <w:t xml:space="preserve"> Following each session</w:t>
      </w:r>
      <w:r w:rsidR="009D76EC">
        <w:rPr>
          <w:rFonts w:ascii="Times New Roman" w:hAnsi="Times New Roman" w:cs="Times New Roman"/>
        </w:rPr>
        <w:t>,</w:t>
      </w:r>
      <w:r w:rsidRPr="006433A6">
        <w:rPr>
          <w:rFonts w:ascii="Times New Roman" w:hAnsi="Times New Roman" w:cs="Times New Roman"/>
        </w:rPr>
        <w:t xml:space="preserve"> participants were given a form to record their daily behavior and experiences with trichotillomania symptoms each day between sessions. The form assessed the number of urges to pull experienced</w:t>
      </w:r>
      <w:r w:rsidR="00890910">
        <w:rPr>
          <w:rFonts w:ascii="Times New Roman" w:hAnsi="Times New Roman" w:cs="Times New Roman"/>
        </w:rPr>
        <w:t xml:space="preserve"> and </w:t>
      </w:r>
      <w:r w:rsidRPr="006433A6">
        <w:rPr>
          <w:rFonts w:ascii="Times New Roman" w:hAnsi="Times New Roman" w:cs="Times New Roman"/>
        </w:rPr>
        <w:t>number of hairs pulled</w:t>
      </w:r>
      <w:r w:rsidR="00890910">
        <w:rPr>
          <w:rFonts w:ascii="Times New Roman" w:hAnsi="Times New Roman" w:cs="Times New Roman"/>
        </w:rPr>
        <w:t xml:space="preserve"> </w:t>
      </w:r>
      <w:r w:rsidR="008A0DA9">
        <w:rPr>
          <w:rFonts w:ascii="Times New Roman" w:hAnsi="Times New Roman" w:cs="Times New Roman"/>
        </w:rPr>
        <w:t>daily</w:t>
      </w:r>
      <w:r w:rsidR="00890910">
        <w:rPr>
          <w:rFonts w:ascii="Times New Roman" w:hAnsi="Times New Roman" w:cs="Times New Roman"/>
        </w:rPr>
        <w:t xml:space="preserve">. </w:t>
      </w:r>
      <w:r w:rsidR="00DF176E">
        <w:rPr>
          <w:rFonts w:ascii="Times New Roman" w:hAnsi="Times New Roman" w:cs="Times New Roman"/>
        </w:rPr>
        <w:t>This simple form has not been validated and relies on the self-report of participants</w:t>
      </w:r>
      <w:r w:rsidR="00845558">
        <w:rPr>
          <w:rFonts w:ascii="Times New Roman" w:hAnsi="Times New Roman" w:cs="Times New Roman"/>
        </w:rPr>
        <w:t>, and has been used in many studies</w:t>
      </w:r>
      <w:r w:rsidR="00DF176E">
        <w:rPr>
          <w:rFonts w:ascii="Times New Roman" w:hAnsi="Times New Roman" w:cs="Times New Roman"/>
        </w:rPr>
        <w:t xml:space="preserve">. </w:t>
      </w:r>
      <w:r w:rsidR="00890910">
        <w:rPr>
          <w:rFonts w:ascii="Times New Roman" w:hAnsi="Times New Roman" w:cs="Times New Roman"/>
        </w:rPr>
        <w:t>The weekly totals from the week prior to the intake session and the post-assessment were averaged and used for times 1 and 2.</w:t>
      </w:r>
    </w:p>
    <w:p w14:paraId="7A8A27C3" w14:textId="77777777" w:rsidR="0010224E" w:rsidRDefault="0010224E" w:rsidP="00CA0E2D">
      <w:pPr>
        <w:pStyle w:val="BodyText1"/>
        <w:spacing w:before="0" w:after="0"/>
        <w:rPr>
          <w:rFonts w:ascii="Times New Roman" w:hAnsi="Times New Roman" w:cs="Times New Roman"/>
          <w:b/>
        </w:rPr>
      </w:pPr>
      <w:r>
        <w:rPr>
          <w:rFonts w:ascii="Times New Roman" w:hAnsi="Times New Roman" w:cs="Times New Roman"/>
          <w:b/>
        </w:rPr>
        <w:t>Treatment Integrity</w:t>
      </w:r>
    </w:p>
    <w:p w14:paraId="21245AAE" w14:textId="77777777" w:rsidR="0010224E" w:rsidRDefault="00946B3E" w:rsidP="00CA0E2D">
      <w:pPr>
        <w:pStyle w:val="BodyText1"/>
        <w:spacing w:before="0" w:after="0"/>
        <w:rPr>
          <w:rFonts w:ascii="Times New Roman" w:hAnsi="Times New Roman" w:cs="Times New Roman"/>
        </w:rPr>
      </w:pPr>
      <w:r>
        <w:rPr>
          <w:rFonts w:ascii="Times New Roman" w:hAnsi="Times New Roman" w:cs="Times New Roman"/>
        </w:rPr>
        <w:tab/>
        <w:t>All sessions were video recorded</w:t>
      </w:r>
      <w:r w:rsidR="00182801">
        <w:rPr>
          <w:rFonts w:ascii="Times New Roman" w:hAnsi="Times New Roman" w:cs="Times New Roman"/>
        </w:rPr>
        <w:t xml:space="preserve">, and 15% were scored for treatment integrity by the first and </w:t>
      </w:r>
      <w:r w:rsidR="00ED37CA">
        <w:rPr>
          <w:rFonts w:ascii="Times New Roman" w:hAnsi="Times New Roman" w:cs="Times New Roman"/>
        </w:rPr>
        <w:t>fourth</w:t>
      </w:r>
      <w:r w:rsidR="00182801">
        <w:rPr>
          <w:rFonts w:ascii="Times New Roman" w:hAnsi="Times New Roman" w:cs="Times New Roman"/>
        </w:rPr>
        <w:t xml:space="preserve"> author.</w:t>
      </w:r>
      <w:r w:rsidR="008E62FC">
        <w:rPr>
          <w:rFonts w:ascii="Times New Roman" w:hAnsi="Times New Roman" w:cs="Times New Roman"/>
        </w:rPr>
        <w:t xml:space="preserve"> Of note, the first author also treated participants, but did not score any of his own treatment sessions. </w:t>
      </w:r>
      <w:r w:rsidR="00182801">
        <w:rPr>
          <w:rFonts w:ascii="Times New Roman" w:hAnsi="Times New Roman" w:cs="Times New Roman"/>
        </w:rPr>
        <w:t xml:space="preserve">Sessions for review were selected using a systematically random method that ensured that </w:t>
      </w:r>
      <w:r w:rsidR="000B7600">
        <w:rPr>
          <w:rFonts w:ascii="Times New Roman" w:hAnsi="Times New Roman" w:cs="Times New Roman"/>
        </w:rPr>
        <w:t>at least two sessions were reviewed for each participant and that</w:t>
      </w:r>
      <w:r w:rsidR="00AB0828">
        <w:rPr>
          <w:rFonts w:ascii="Times New Roman" w:hAnsi="Times New Roman" w:cs="Times New Roman"/>
        </w:rPr>
        <w:t xml:space="preserve"> each session number was reviewed approximately the same amount across participants.</w:t>
      </w:r>
      <w:r w:rsidR="00CE2D98">
        <w:rPr>
          <w:rFonts w:ascii="Times New Roman" w:hAnsi="Times New Roman" w:cs="Times New Roman"/>
        </w:rPr>
        <w:t xml:space="preserve"> The sessions were scored for the quantity and quality of the overage of each ACT component using a system shown to be reliable and valid in previous research (</w:t>
      </w:r>
      <w:r w:rsidR="00590CBC" w:rsidRPr="00B71F46">
        <w:rPr>
          <w:rFonts w:ascii="Times New Roman" w:hAnsi="Times New Roman" w:cs="Times New Roman"/>
        </w:rPr>
        <w:t xml:space="preserve">Twohig &amp; Crosby, 2010; </w:t>
      </w:r>
      <w:r w:rsidR="00CE2D98" w:rsidRPr="00B71F46">
        <w:rPr>
          <w:rFonts w:ascii="Times New Roman" w:hAnsi="Times New Roman" w:cs="Times New Roman"/>
        </w:rPr>
        <w:t>Twohig, Hayes, &amp; 2006</w:t>
      </w:r>
      <w:r w:rsidR="00CE2D98">
        <w:rPr>
          <w:rFonts w:ascii="Times New Roman" w:hAnsi="Times New Roman" w:cs="Times New Roman"/>
        </w:rPr>
        <w:t>).</w:t>
      </w:r>
      <w:r w:rsidR="00F34FEB">
        <w:rPr>
          <w:rFonts w:ascii="Times New Roman" w:hAnsi="Times New Roman" w:cs="Times New Roman"/>
        </w:rPr>
        <w:t xml:space="preserve"> For every session, each ACT process (i.e., acceptance, defusion, contact with the present moment, self as context, values, and committed action) was rated on a five-point scale (1 = </w:t>
      </w:r>
      <w:r w:rsidR="00F34FEB" w:rsidRPr="00F34FEB">
        <w:rPr>
          <w:rFonts w:ascii="Times New Roman" w:hAnsi="Times New Roman" w:cs="Times New Roman"/>
          <w:i/>
        </w:rPr>
        <w:t>the variable was never explicitly covered</w:t>
      </w:r>
      <w:r w:rsidR="00F34FEB">
        <w:rPr>
          <w:rFonts w:ascii="Times New Roman" w:hAnsi="Times New Roman" w:cs="Times New Roman"/>
        </w:rPr>
        <w:t xml:space="preserve"> to 5 = </w:t>
      </w:r>
      <w:r w:rsidR="00F34FEB" w:rsidRPr="00F34FEB">
        <w:rPr>
          <w:rFonts w:ascii="Times New Roman" w:hAnsi="Times New Roman" w:cs="Times New Roman"/>
          <w:i/>
        </w:rPr>
        <w:t>the variable occurred with high frequency and was covered in a very in-depth manner</w:t>
      </w:r>
      <w:r w:rsidR="00F34FEB">
        <w:rPr>
          <w:rFonts w:ascii="Times New Roman" w:hAnsi="Times New Roman" w:cs="Times New Roman"/>
        </w:rPr>
        <w:t>).</w:t>
      </w:r>
      <w:r w:rsidR="002D7453">
        <w:rPr>
          <w:rFonts w:ascii="Times New Roman" w:hAnsi="Times New Roman" w:cs="Times New Roman"/>
        </w:rPr>
        <w:t xml:space="preserve"> </w:t>
      </w:r>
      <w:r w:rsidR="00F34FEB">
        <w:rPr>
          <w:rFonts w:ascii="Times New Roman" w:hAnsi="Times New Roman" w:cs="Times New Roman"/>
        </w:rPr>
        <w:t xml:space="preserve">The means for each process over the </w:t>
      </w:r>
      <w:r w:rsidR="00A34C96">
        <w:rPr>
          <w:rFonts w:ascii="Times New Roman" w:hAnsi="Times New Roman" w:cs="Times New Roman"/>
        </w:rPr>
        <w:t>10</w:t>
      </w:r>
      <w:r w:rsidR="00F34FEB">
        <w:rPr>
          <w:rFonts w:ascii="Times New Roman" w:hAnsi="Times New Roman" w:cs="Times New Roman"/>
        </w:rPr>
        <w:t xml:space="preserve"> sessions are as follows: acceptance M = </w:t>
      </w:r>
      <w:r w:rsidR="00ED6F8F">
        <w:rPr>
          <w:rFonts w:ascii="Times New Roman" w:hAnsi="Times New Roman" w:cs="Times New Roman"/>
        </w:rPr>
        <w:t xml:space="preserve">3.45 </w:t>
      </w:r>
      <w:r w:rsidR="00F34FEB">
        <w:rPr>
          <w:rFonts w:ascii="Times New Roman" w:hAnsi="Times New Roman" w:cs="Times New Roman"/>
        </w:rPr>
        <w:t xml:space="preserve">(SD = </w:t>
      </w:r>
      <w:r w:rsidR="002D7453">
        <w:rPr>
          <w:rFonts w:ascii="Times New Roman" w:hAnsi="Times New Roman" w:cs="Times New Roman"/>
        </w:rPr>
        <w:t>1.22</w:t>
      </w:r>
      <w:r w:rsidR="00F34FEB">
        <w:rPr>
          <w:rFonts w:ascii="Times New Roman" w:hAnsi="Times New Roman" w:cs="Times New Roman"/>
        </w:rPr>
        <w:t xml:space="preserve">), defusion M = </w:t>
      </w:r>
      <w:r w:rsidR="002D7453">
        <w:rPr>
          <w:rFonts w:ascii="Times New Roman" w:hAnsi="Times New Roman" w:cs="Times New Roman"/>
        </w:rPr>
        <w:t xml:space="preserve">2.47 </w:t>
      </w:r>
      <w:r w:rsidR="00F34FEB">
        <w:rPr>
          <w:rFonts w:ascii="Times New Roman" w:hAnsi="Times New Roman" w:cs="Times New Roman"/>
        </w:rPr>
        <w:t xml:space="preserve">(SD = </w:t>
      </w:r>
      <w:r w:rsidR="002D7453">
        <w:rPr>
          <w:rFonts w:ascii="Times New Roman" w:hAnsi="Times New Roman" w:cs="Times New Roman"/>
        </w:rPr>
        <w:t>1.35</w:t>
      </w:r>
      <w:r w:rsidR="00F34FEB">
        <w:rPr>
          <w:rFonts w:ascii="Times New Roman" w:hAnsi="Times New Roman" w:cs="Times New Roman"/>
        </w:rPr>
        <w:t xml:space="preserve">), contact with the present moment M = </w:t>
      </w:r>
      <w:r w:rsidR="002D7453">
        <w:rPr>
          <w:rFonts w:ascii="Times New Roman" w:hAnsi="Times New Roman" w:cs="Times New Roman"/>
        </w:rPr>
        <w:t xml:space="preserve">1.66 </w:t>
      </w:r>
      <w:r w:rsidR="00F34FEB">
        <w:rPr>
          <w:rFonts w:ascii="Times New Roman" w:hAnsi="Times New Roman" w:cs="Times New Roman"/>
        </w:rPr>
        <w:t xml:space="preserve">(SD = </w:t>
      </w:r>
      <w:r w:rsidR="002D7453">
        <w:rPr>
          <w:rFonts w:ascii="Times New Roman" w:hAnsi="Times New Roman" w:cs="Times New Roman"/>
        </w:rPr>
        <w:t>0.99</w:t>
      </w:r>
      <w:r w:rsidR="00F34FEB">
        <w:rPr>
          <w:rFonts w:ascii="Times New Roman" w:hAnsi="Times New Roman" w:cs="Times New Roman"/>
        </w:rPr>
        <w:t xml:space="preserve">), self as context M = </w:t>
      </w:r>
      <w:r w:rsidR="002D7453">
        <w:rPr>
          <w:rFonts w:ascii="Times New Roman" w:hAnsi="Times New Roman" w:cs="Times New Roman"/>
        </w:rPr>
        <w:t xml:space="preserve">1.47 </w:t>
      </w:r>
      <w:r w:rsidR="00F34FEB">
        <w:rPr>
          <w:rFonts w:ascii="Times New Roman" w:hAnsi="Times New Roman" w:cs="Times New Roman"/>
        </w:rPr>
        <w:t xml:space="preserve">(SD = </w:t>
      </w:r>
      <w:r w:rsidR="002D7453">
        <w:rPr>
          <w:rFonts w:ascii="Times New Roman" w:hAnsi="Times New Roman" w:cs="Times New Roman"/>
        </w:rPr>
        <w:t>1.08</w:t>
      </w:r>
      <w:r w:rsidR="00F34FEB">
        <w:rPr>
          <w:rFonts w:ascii="Times New Roman" w:hAnsi="Times New Roman" w:cs="Times New Roman"/>
        </w:rPr>
        <w:t xml:space="preserve">), values M = </w:t>
      </w:r>
      <w:r w:rsidR="002D7453">
        <w:rPr>
          <w:rFonts w:ascii="Times New Roman" w:hAnsi="Times New Roman" w:cs="Times New Roman"/>
        </w:rPr>
        <w:t xml:space="preserve">1.92 </w:t>
      </w:r>
      <w:r w:rsidR="00F34FEB">
        <w:rPr>
          <w:rFonts w:ascii="Times New Roman" w:hAnsi="Times New Roman" w:cs="Times New Roman"/>
        </w:rPr>
        <w:t xml:space="preserve">(SD = </w:t>
      </w:r>
      <w:r w:rsidR="002D7453">
        <w:rPr>
          <w:rFonts w:ascii="Times New Roman" w:hAnsi="Times New Roman" w:cs="Times New Roman"/>
        </w:rPr>
        <w:t>1.24</w:t>
      </w:r>
      <w:r w:rsidR="00F34FEB">
        <w:rPr>
          <w:rFonts w:ascii="Times New Roman" w:hAnsi="Times New Roman" w:cs="Times New Roman"/>
        </w:rPr>
        <w:t xml:space="preserve">), committed action M = </w:t>
      </w:r>
      <w:r w:rsidR="002D7453">
        <w:rPr>
          <w:rFonts w:ascii="Times New Roman" w:hAnsi="Times New Roman" w:cs="Times New Roman"/>
        </w:rPr>
        <w:t xml:space="preserve">2.55 </w:t>
      </w:r>
      <w:r w:rsidR="00F34FEB">
        <w:rPr>
          <w:rFonts w:ascii="Times New Roman" w:hAnsi="Times New Roman" w:cs="Times New Roman"/>
        </w:rPr>
        <w:t xml:space="preserve">(SD = </w:t>
      </w:r>
      <w:r w:rsidR="002D7453">
        <w:rPr>
          <w:rFonts w:ascii="Times New Roman" w:hAnsi="Times New Roman" w:cs="Times New Roman"/>
        </w:rPr>
        <w:t>0.72</w:t>
      </w:r>
      <w:r w:rsidR="00F34FEB">
        <w:rPr>
          <w:rFonts w:ascii="Times New Roman" w:hAnsi="Times New Roman" w:cs="Times New Roman"/>
        </w:rPr>
        <w:t>).</w:t>
      </w:r>
      <w:r w:rsidR="002D7453">
        <w:rPr>
          <w:rFonts w:ascii="Times New Roman" w:hAnsi="Times New Roman" w:cs="Times New Roman"/>
        </w:rPr>
        <w:t xml:space="preserve"> Each process was rated as a “5” for at least one session</w:t>
      </w:r>
      <w:r w:rsidR="005639FD">
        <w:rPr>
          <w:rFonts w:ascii="Times New Roman" w:hAnsi="Times New Roman" w:cs="Times New Roman"/>
        </w:rPr>
        <w:t xml:space="preserve"> for all participants</w:t>
      </w:r>
      <w:r w:rsidR="002D7453">
        <w:rPr>
          <w:rFonts w:ascii="Times New Roman" w:hAnsi="Times New Roman" w:cs="Times New Roman"/>
        </w:rPr>
        <w:t>, indicating that all processes</w:t>
      </w:r>
      <w:r w:rsidR="005C669A">
        <w:rPr>
          <w:rFonts w:ascii="Times New Roman" w:hAnsi="Times New Roman" w:cs="Times New Roman"/>
        </w:rPr>
        <w:t xml:space="preserve"> were thoroughly covered.</w:t>
      </w:r>
      <w:r w:rsidR="00CB28B0">
        <w:rPr>
          <w:rFonts w:ascii="Times New Roman" w:hAnsi="Times New Roman" w:cs="Times New Roman"/>
        </w:rPr>
        <w:t xml:space="preserve"> </w:t>
      </w:r>
      <w:r w:rsidR="005639FD">
        <w:rPr>
          <w:rFonts w:ascii="Times New Roman" w:hAnsi="Times New Roman" w:cs="Times New Roman"/>
        </w:rPr>
        <w:t>Therapist</w:t>
      </w:r>
      <w:r w:rsidR="00CB28B0">
        <w:rPr>
          <w:rFonts w:ascii="Times New Roman" w:hAnsi="Times New Roman" w:cs="Times New Roman"/>
        </w:rPr>
        <w:t xml:space="preserve"> adherence to the ACT model and therapist competency were also rated</w:t>
      </w:r>
      <w:r w:rsidR="007F58D8">
        <w:rPr>
          <w:rFonts w:ascii="Times New Roman" w:hAnsi="Times New Roman" w:cs="Times New Roman"/>
        </w:rPr>
        <w:t xml:space="preserve"> very highly</w:t>
      </w:r>
      <w:r w:rsidR="00CB28B0">
        <w:rPr>
          <w:rFonts w:ascii="Times New Roman" w:hAnsi="Times New Roman" w:cs="Times New Roman"/>
        </w:rPr>
        <w:t xml:space="preserve"> on a five-point scale, M = 4.42 (SD = 0.60) and M = 4.42 (SD = 0.68)</w:t>
      </w:r>
      <w:r w:rsidR="007F58D8">
        <w:rPr>
          <w:rFonts w:ascii="Times New Roman" w:hAnsi="Times New Roman" w:cs="Times New Roman"/>
        </w:rPr>
        <w:t>, respectively. Finally, therapeutic practices that were inconsistent with ACT were scored on a five-point scale. These included cognitive challenging, offering experiential avoidant change strategies, and indicating that thoughts and feelings cause overt behavior. Each of these received a score of “1” indicating that they were not present in the sessions.</w:t>
      </w:r>
    </w:p>
    <w:p w14:paraId="0AB77BFD" w14:textId="77777777" w:rsidR="00BA4D14" w:rsidRDefault="00BA4D14" w:rsidP="00BA4D14">
      <w:pPr>
        <w:pStyle w:val="BodyText1"/>
        <w:spacing w:before="0" w:after="0"/>
        <w:outlineLvl w:val="0"/>
        <w:rPr>
          <w:rFonts w:ascii="Times New Roman" w:hAnsi="Times New Roman" w:cs="Times New Roman"/>
          <w:b/>
          <w:bCs/>
        </w:rPr>
      </w:pPr>
      <w:r>
        <w:rPr>
          <w:rFonts w:ascii="Times New Roman" w:hAnsi="Times New Roman" w:cs="Times New Roman"/>
          <w:b/>
          <w:bCs/>
        </w:rPr>
        <w:t>Data Analysis</w:t>
      </w:r>
    </w:p>
    <w:p w14:paraId="3C1C43EB" w14:textId="77777777" w:rsidR="000C77DB" w:rsidRDefault="00BA4D14" w:rsidP="00BA4D14">
      <w:pPr>
        <w:pStyle w:val="BodyText1"/>
        <w:spacing w:before="0" w:after="0"/>
        <w:ind w:firstLine="720"/>
        <w:rPr>
          <w:rFonts w:ascii="Times New Roman" w:hAnsi="Times New Roman" w:cs="Times New Roman"/>
        </w:rPr>
      </w:pPr>
      <w:r>
        <w:rPr>
          <w:rFonts w:ascii="Times New Roman" w:hAnsi="Times New Roman" w:cs="Times New Roman"/>
        </w:rPr>
        <w:t xml:space="preserve">Multiple mixed models repeated measures (MMRM) analyses were used to evaluate changes in MGH-HS and AAQ-II scores as well as self-reported number of hairs pulled and urges experienced from pre-treatment to post-treatment </w:t>
      </w:r>
      <w:r w:rsidR="000C77DB">
        <w:rPr>
          <w:rFonts w:ascii="Times New Roman" w:hAnsi="Times New Roman" w:cs="Times New Roman"/>
        </w:rPr>
        <w:t>between</w:t>
      </w:r>
      <w:r>
        <w:rPr>
          <w:rFonts w:ascii="Times New Roman" w:hAnsi="Times New Roman" w:cs="Times New Roman"/>
        </w:rPr>
        <w:t xml:space="preserve"> groups. This method </w:t>
      </w:r>
      <w:r w:rsidR="00BA5E47">
        <w:rPr>
          <w:rFonts w:ascii="Times New Roman" w:hAnsi="Times New Roman" w:cs="Times New Roman"/>
        </w:rPr>
        <w:t>utilizes all available data while allowing for</w:t>
      </w:r>
      <w:r>
        <w:rPr>
          <w:rFonts w:ascii="Times New Roman" w:hAnsi="Times New Roman" w:cs="Times New Roman"/>
        </w:rPr>
        <w:t xml:space="preserve"> the analysis of the full intent-to-treat sample.</w:t>
      </w:r>
      <w:r w:rsidR="00C9545B">
        <w:rPr>
          <w:rFonts w:ascii="Times New Roman" w:hAnsi="Times New Roman" w:cs="Times New Roman"/>
        </w:rPr>
        <w:t xml:space="preserve"> Thus, missing data are accounted for in a way that is less biased than methods such as listwise deletion or last observation carried forward</w:t>
      </w:r>
      <w:r w:rsidR="005C106F">
        <w:rPr>
          <w:rFonts w:ascii="Times New Roman" w:hAnsi="Times New Roman" w:cs="Times New Roman"/>
        </w:rPr>
        <w:t xml:space="preserve"> </w:t>
      </w:r>
      <w:r w:rsidR="005C106F">
        <w:rPr>
          <w:rFonts w:ascii="Times New Roman" w:hAnsi="Times New Roman" w:cs="Times New Roman"/>
        </w:rPr>
        <w:fldChar w:fldCharType="begin"/>
      </w:r>
      <w:r w:rsidR="005C106F">
        <w:rPr>
          <w:rFonts w:ascii="Times New Roman" w:hAnsi="Times New Roman" w:cs="Times New Roman"/>
        </w:rPr>
        <w:instrText xml:space="preserve"> ADDIN EN.CITE &lt;EndNote&gt;&lt;Cite&gt;&lt;Author&gt;Salim&lt;/Author&gt;&lt;Year&gt;2008&lt;/Year&gt;&lt;RecNum&gt;2519&lt;/RecNum&gt;&lt;DisplayText&gt;(Salim, Mackinnon, Christensen, &amp;amp; Griffiths, 2008)&lt;/DisplayText&gt;&lt;record&gt;&lt;rec-number&gt;2519&lt;/rec-number&gt;&lt;foreign-keys&gt;&lt;key app="EN" db-id="2v200vasqv9ttfes2zoxf092sstsfexszx90" timestamp="1513188369"&gt;2519&lt;/key&gt;&lt;/foreign-keys&gt;&lt;ref-type name="Journal Article"&gt;17&lt;/ref-type&gt;&lt;contributors&gt;&lt;authors&gt;&lt;author&gt;Salim, Agus&lt;/author&gt;&lt;author&gt;Mackinnon, Andrew&lt;/author&gt;&lt;author&gt;Christensen, Helen&lt;/author&gt;&lt;author&gt;Griffiths, Kathleen&lt;/author&gt;&lt;/authors&gt;&lt;/contributors&gt;&lt;titles&gt;&lt;title&gt;Comparison of data analysis strategies for intent-to-treat analysis in pre-test–post-test designs with substantial dropout rates&lt;/title&gt;&lt;secondary-title&gt;Psychiatry research&lt;/secondary-title&gt;&lt;/titles&gt;&lt;periodical&gt;&lt;full-title&gt;Psychiatry Research&lt;/full-title&gt;&lt;/periodical&gt;&lt;pages&gt;335-345&lt;/pages&gt;&lt;volume&gt;160&lt;/volume&gt;&lt;number&gt;3&lt;/number&gt;&lt;dates&gt;&lt;year&gt;2008&lt;/year&gt;&lt;/dates&gt;&lt;isbn&gt;0165-1781&lt;/isbn&gt;&lt;urls&gt;&lt;/urls&gt;&lt;/record&gt;&lt;/Cite&gt;&lt;/EndNote&gt;</w:instrText>
      </w:r>
      <w:r w:rsidR="005C106F">
        <w:rPr>
          <w:rFonts w:ascii="Times New Roman" w:hAnsi="Times New Roman" w:cs="Times New Roman"/>
        </w:rPr>
        <w:fldChar w:fldCharType="separate"/>
      </w:r>
      <w:r w:rsidR="005C106F">
        <w:rPr>
          <w:rFonts w:ascii="Times New Roman" w:hAnsi="Times New Roman" w:cs="Times New Roman"/>
          <w:noProof/>
        </w:rPr>
        <w:t>(Salim, Mackinnon, Christensen, &amp; Griffiths, 2008)</w:t>
      </w:r>
      <w:r w:rsidR="005C106F">
        <w:rPr>
          <w:rFonts w:ascii="Times New Roman" w:hAnsi="Times New Roman" w:cs="Times New Roman"/>
        </w:rPr>
        <w:fldChar w:fldCharType="end"/>
      </w:r>
      <w:r w:rsidR="005C106F">
        <w:rPr>
          <w:rFonts w:ascii="Times New Roman" w:hAnsi="Times New Roman" w:cs="Times New Roman"/>
        </w:rPr>
        <w:t>.</w:t>
      </w:r>
      <w:r>
        <w:rPr>
          <w:rFonts w:ascii="Times New Roman" w:hAnsi="Times New Roman" w:cs="Times New Roman"/>
        </w:rPr>
        <w:t xml:space="preserve"> </w:t>
      </w:r>
      <w:r w:rsidR="008856A8">
        <w:rPr>
          <w:rFonts w:ascii="Times New Roman" w:hAnsi="Times New Roman" w:cs="Times New Roman"/>
        </w:rPr>
        <w:t xml:space="preserve">Results </w:t>
      </w:r>
      <w:r w:rsidR="0073471F">
        <w:rPr>
          <w:rFonts w:ascii="Times New Roman" w:hAnsi="Times New Roman" w:cs="Times New Roman"/>
        </w:rPr>
        <w:t xml:space="preserve">were </w:t>
      </w:r>
      <w:r w:rsidR="008856A8">
        <w:rPr>
          <w:rFonts w:ascii="Times New Roman" w:hAnsi="Times New Roman" w:cs="Times New Roman"/>
        </w:rPr>
        <w:t xml:space="preserve">consistent with a completer analysis using ANOVAs, with the exception of the AAQ-II which moved from near significant to significant. </w:t>
      </w:r>
      <w:r w:rsidR="0010596D">
        <w:rPr>
          <w:rFonts w:ascii="Times New Roman" w:hAnsi="Times New Roman" w:cs="Times New Roman"/>
        </w:rPr>
        <w:t>Additionally,</w:t>
      </w:r>
      <w:r w:rsidR="00B104D8">
        <w:rPr>
          <w:rFonts w:ascii="Times New Roman" w:hAnsi="Times New Roman" w:cs="Times New Roman"/>
        </w:rPr>
        <w:t xml:space="preserve"> results are similar with age entered as a covariate with regard to statistical significance and effect size.</w:t>
      </w:r>
    </w:p>
    <w:p w14:paraId="23667241" w14:textId="77777777" w:rsidR="00BA4D14" w:rsidRDefault="00BA4D14" w:rsidP="00BA4D14">
      <w:pPr>
        <w:pStyle w:val="BodyText1"/>
        <w:spacing w:before="0" w:after="0"/>
        <w:ind w:firstLine="720"/>
        <w:rPr>
          <w:rFonts w:ascii="Times New Roman" w:hAnsi="Times New Roman" w:cs="Times New Roman"/>
        </w:rPr>
      </w:pPr>
      <w:r>
        <w:rPr>
          <w:rFonts w:ascii="Times New Roman" w:hAnsi="Times New Roman" w:cs="Times New Roman"/>
        </w:rPr>
        <w:t>Statistical assumptions were examined before analyzing the data. All data were normally distributed, as assessed by Shapiro-Wilk’s test (</w:t>
      </w:r>
      <w:r w:rsidRPr="000900FD">
        <w:rPr>
          <w:rFonts w:ascii="Times New Roman" w:hAnsi="Times New Roman" w:cs="Times New Roman"/>
          <w:i/>
          <w:iCs/>
        </w:rPr>
        <w:t>p</w:t>
      </w:r>
      <w:r>
        <w:rPr>
          <w:rFonts w:ascii="Times New Roman" w:hAnsi="Times New Roman" w:cs="Times New Roman"/>
        </w:rPr>
        <w:t xml:space="preserve"> &gt;.05.) and Normal Q-Q Plots, except for number of urges experienced (</w:t>
      </w:r>
      <w:r>
        <w:rPr>
          <w:rFonts w:ascii="Times New Roman" w:hAnsi="Times New Roman" w:cs="Times New Roman"/>
          <w:i/>
          <w:iCs/>
        </w:rPr>
        <w:t xml:space="preserve">ps </w:t>
      </w:r>
      <w:r>
        <w:rPr>
          <w:rFonts w:ascii="Times New Roman" w:hAnsi="Times New Roman" w:cs="Times New Roman"/>
        </w:rPr>
        <w:t>&lt; .01). Additionally,</w:t>
      </w:r>
      <w:r w:rsidRPr="0076593C">
        <w:rPr>
          <w:rFonts w:ascii="Times New Roman" w:hAnsi="Times New Roman" w:cs="Times New Roman"/>
        </w:rPr>
        <w:t xml:space="preserve"> no outliers</w:t>
      </w:r>
      <w:r>
        <w:rPr>
          <w:rFonts w:ascii="Times New Roman" w:hAnsi="Times New Roman" w:cs="Times New Roman"/>
        </w:rPr>
        <w:t xml:space="preserve"> were found</w:t>
      </w:r>
      <w:r w:rsidRPr="0076593C">
        <w:rPr>
          <w:rFonts w:ascii="Times New Roman" w:hAnsi="Times New Roman" w:cs="Times New Roman"/>
        </w:rPr>
        <w:t>, as assessed by examination of studentized residuals for values greater than ±3</w:t>
      </w:r>
      <w:r>
        <w:rPr>
          <w:rFonts w:ascii="Times New Roman" w:hAnsi="Times New Roman" w:cs="Times New Roman"/>
        </w:rPr>
        <w:t xml:space="preserve">. </w:t>
      </w:r>
      <w:r w:rsidRPr="00736782">
        <w:rPr>
          <w:rFonts w:ascii="Times New Roman" w:hAnsi="Times New Roman" w:cs="Times New Roman"/>
        </w:rPr>
        <w:t>There was homogeneity of variances</w:t>
      </w:r>
      <w:r>
        <w:rPr>
          <w:rFonts w:ascii="Times New Roman" w:hAnsi="Times New Roman" w:cs="Times New Roman"/>
        </w:rPr>
        <w:t xml:space="preserve"> between the treatment and waitlist groups at time 1</w:t>
      </w:r>
      <w:r w:rsidRPr="00736782">
        <w:rPr>
          <w:rFonts w:ascii="Times New Roman" w:hAnsi="Times New Roman" w:cs="Times New Roman"/>
        </w:rPr>
        <w:t>, as assessed by Levene's test of homogeneity of variance (</w:t>
      </w:r>
      <w:r w:rsidRPr="00736782">
        <w:rPr>
          <w:rFonts w:ascii="Times New Roman" w:hAnsi="Times New Roman" w:cs="Times New Roman"/>
          <w:i/>
          <w:iCs/>
        </w:rPr>
        <w:t>p</w:t>
      </w:r>
      <w:r w:rsidRPr="00736782">
        <w:rPr>
          <w:rFonts w:ascii="Times New Roman" w:hAnsi="Times New Roman" w:cs="Times New Roman"/>
        </w:rPr>
        <w:t xml:space="preserve"> &gt; .05).</w:t>
      </w:r>
      <w:r>
        <w:rPr>
          <w:rFonts w:ascii="Times New Roman" w:hAnsi="Times New Roman" w:cs="Times New Roman"/>
        </w:rPr>
        <w:t xml:space="preserve"> However, there was heterogeneity of variance between the groups for MGH-HS scores and number of daily hairs pulled at time 2 (</w:t>
      </w:r>
      <w:r w:rsidRPr="00070EE9">
        <w:rPr>
          <w:rFonts w:ascii="Times New Roman" w:hAnsi="Times New Roman" w:cs="Times New Roman"/>
          <w:i/>
          <w:iCs/>
        </w:rPr>
        <w:t>p</w:t>
      </w:r>
      <w:r>
        <w:rPr>
          <w:rFonts w:ascii="Times New Roman" w:hAnsi="Times New Roman" w:cs="Times New Roman"/>
        </w:rPr>
        <w:t xml:space="preserve"> = .037 and </w:t>
      </w:r>
      <w:r>
        <w:rPr>
          <w:rFonts w:ascii="Times New Roman" w:hAnsi="Times New Roman" w:cs="Times New Roman"/>
          <w:i/>
          <w:iCs/>
        </w:rPr>
        <w:t>p</w:t>
      </w:r>
      <w:r>
        <w:rPr>
          <w:rFonts w:ascii="Times New Roman" w:hAnsi="Times New Roman" w:cs="Times New Roman"/>
        </w:rPr>
        <w:t xml:space="preserve"> &lt; .001, respectively). Because of the nonnormal urges data and the heterogeneous variance in the MGH-HS and hairs pulled data, these variables were transformed using a reflect and logarithmic transformation for the negatively skewed MGH-HS scores and a logarithmic transformation for the positively skewed urges experienced and hairs pulled data. Following, the transformations the variables met all required assumptions. Finally, homogeneity of covariance was found for MGH-HS and AAQ-II scores and self-reported number of hairs pulled and urges experienced</w:t>
      </w:r>
      <w:r w:rsidRPr="00736782">
        <w:rPr>
          <w:rFonts w:ascii="Times New Roman" w:hAnsi="Times New Roman" w:cs="Times New Roman"/>
        </w:rPr>
        <w:t>, as assessed by Box's test of equality of covariance matrices (</w:t>
      </w:r>
      <w:r w:rsidRPr="00736782">
        <w:rPr>
          <w:rFonts w:ascii="Times New Roman" w:hAnsi="Times New Roman" w:cs="Times New Roman"/>
          <w:i/>
          <w:iCs/>
        </w:rPr>
        <w:t>p</w:t>
      </w:r>
      <w:r>
        <w:rPr>
          <w:rFonts w:ascii="Times New Roman" w:hAnsi="Times New Roman" w:cs="Times New Roman"/>
        </w:rPr>
        <w:t>s</w:t>
      </w:r>
      <w:r w:rsidRPr="00736782">
        <w:rPr>
          <w:rFonts w:ascii="Times New Roman" w:hAnsi="Times New Roman" w:cs="Times New Roman"/>
        </w:rPr>
        <w:t xml:space="preserve"> = .</w:t>
      </w:r>
      <w:r>
        <w:rPr>
          <w:rFonts w:ascii="Times New Roman" w:hAnsi="Times New Roman" w:cs="Times New Roman"/>
        </w:rPr>
        <w:t>782, .485, .197, and .765, respectively</w:t>
      </w:r>
      <w:r w:rsidRPr="00736782">
        <w:rPr>
          <w:rFonts w:ascii="Times New Roman" w:hAnsi="Times New Roman" w:cs="Times New Roman"/>
        </w:rPr>
        <w:t>).</w:t>
      </w:r>
    </w:p>
    <w:p w14:paraId="2C39DFF6" w14:textId="26D23594" w:rsidR="00BA4D14" w:rsidRPr="0010224E" w:rsidRDefault="00255372" w:rsidP="00BA4D14">
      <w:pPr>
        <w:pStyle w:val="BodyText1"/>
        <w:spacing w:before="0" w:after="0"/>
        <w:ind w:firstLine="720"/>
        <w:outlineLvl w:val="0"/>
        <w:rPr>
          <w:rFonts w:ascii="Times New Roman" w:hAnsi="Times New Roman" w:cs="Times New Roman"/>
        </w:rPr>
      </w:pPr>
      <w:r>
        <w:rPr>
          <w:rFonts w:ascii="Times New Roman" w:hAnsi="Times New Roman" w:cs="Times New Roman"/>
        </w:rPr>
        <w:t>Independent sample t-tests were performed using all available demographic and outcome variables between participants in the treatment and control conditions at intake to assess for proper randomization. Of the 13 variables examined, no statistically significant differences were demonstrated between the conditions for any variable (</w:t>
      </w:r>
      <w:r>
        <w:rPr>
          <w:rFonts w:ascii="Times New Roman" w:hAnsi="Times New Roman" w:cs="Times New Roman"/>
          <w:i/>
        </w:rPr>
        <w:t>p</w:t>
      </w:r>
      <w:r>
        <w:rPr>
          <w:rFonts w:ascii="Times New Roman" w:hAnsi="Times New Roman" w:cs="Times New Roman"/>
        </w:rPr>
        <w:t xml:space="preserve">s &gt; .05). </w:t>
      </w:r>
      <w:r w:rsidR="00BA4D14">
        <w:rPr>
          <w:rFonts w:ascii="Times New Roman" w:hAnsi="Times New Roman" w:cs="Times New Roman"/>
        </w:rPr>
        <w:t>To assess for potential attrition bias,</w:t>
      </w:r>
      <w:r>
        <w:rPr>
          <w:rFonts w:ascii="Times New Roman" w:hAnsi="Times New Roman" w:cs="Times New Roman"/>
        </w:rPr>
        <w:t xml:space="preserve"> additional</w:t>
      </w:r>
      <w:r w:rsidR="00BA4D14">
        <w:rPr>
          <w:rFonts w:ascii="Times New Roman" w:hAnsi="Times New Roman" w:cs="Times New Roman"/>
        </w:rPr>
        <w:t xml:space="preserve"> independent samples t-tests were performed between treatment completers and noncompleters using</w:t>
      </w:r>
      <w:r>
        <w:rPr>
          <w:rFonts w:ascii="Times New Roman" w:hAnsi="Times New Roman" w:cs="Times New Roman"/>
        </w:rPr>
        <w:t xml:space="preserve"> the same demographic and outcome variables</w:t>
      </w:r>
      <w:r w:rsidR="00BA4D14">
        <w:rPr>
          <w:rFonts w:ascii="Times New Roman" w:hAnsi="Times New Roman" w:cs="Times New Roman"/>
        </w:rPr>
        <w:t>.</w:t>
      </w:r>
      <w:r>
        <w:rPr>
          <w:rFonts w:ascii="Times New Roman" w:hAnsi="Times New Roman" w:cs="Times New Roman"/>
        </w:rPr>
        <w:t xml:space="preserve"> O</w:t>
      </w:r>
      <w:r w:rsidR="00BA4D14">
        <w:rPr>
          <w:rFonts w:ascii="Times New Roman" w:hAnsi="Times New Roman" w:cs="Times New Roman"/>
        </w:rPr>
        <w:t>nly age (</w:t>
      </w:r>
      <w:r w:rsidR="00BA4D14">
        <w:rPr>
          <w:rFonts w:ascii="Times New Roman" w:hAnsi="Times New Roman" w:cs="Times New Roman"/>
          <w:i/>
          <w:iCs/>
        </w:rPr>
        <w:t>p</w:t>
      </w:r>
      <w:r w:rsidR="00BA4D14">
        <w:rPr>
          <w:rFonts w:ascii="Times New Roman" w:hAnsi="Times New Roman" w:cs="Times New Roman"/>
        </w:rPr>
        <w:t xml:space="preserve"> =.003) and years of education (</w:t>
      </w:r>
      <w:r w:rsidR="00BA4D14">
        <w:rPr>
          <w:rFonts w:ascii="Times New Roman" w:hAnsi="Times New Roman" w:cs="Times New Roman"/>
          <w:i/>
          <w:iCs/>
        </w:rPr>
        <w:t>p</w:t>
      </w:r>
      <w:r w:rsidR="00BA4D14">
        <w:rPr>
          <w:rFonts w:ascii="Times New Roman" w:hAnsi="Times New Roman" w:cs="Times New Roman"/>
        </w:rPr>
        <w:t xml:space="preserve"> = .035) were significantly different between the groups. This indicates that older participants were more likely to dropout.</w:t>
      </w:r>
      <w:r w:rsidR="00CB031D">
        <w:rPr>
          <w:rFonts w:ascii="Times New Roman" w:hAnsi="Times New Roman" w:cs="Times New Roman"/>
        </w:rPr>
        <w:t xml:space="preserve"> </w:t>
      </w:r>
      <w:r>
        <w:rPr>
          <w:rFonts w:ascii="Times New Roman" w:hAnsi="Times New Roman" w:cs="Times New Roman"/>
        </w:rPr>
        <w:t>Sample characteristics for participant groups are displayed in Table 1.</w:t>
      </w:r>
    </w:p>
    <w:p w14:paraId="4351AA9F" w14:textId="77777777" w:rsidR="00027753" w:rsidRDefault="00AC41BA" w:rsidP="00853C44">
      <w:pPr>
        <w:pStyle w:val="BodyText1"/>
        <w:spacing w:before="0" w:after="0"/>
        <w:jc w:val="center"/>
        <w:outlineLvl w:val="0"/>
        <w:rPr>
          <w:rFonts w:ascii="Times New Roman" w:hAnsi="Times New Roman" w:cs="Times New Roman"/>
          <w:b/>
        </w:rPr>
      </w:pPr>
      <w:r>
        <w:rPr>
          <w:rFonts w:ascii="Times New Roman" w:hAnsi="Times New Roman" w:cs="Times New Roman"/>
          <w:b/>
        </w:rPr>
        <w:t>Results</w:t>
      </w:r>
    </w:p>
    <w:p w14:paraId="193EB5AC" w14:textId="63FFFB78" w:rsidR="008A3F6A" w:rsidRPr="008A3F6A" w:rsidRDefault="008A3F6A" w:rsidP="008A3F6A">
      <w:pPr>
        <w:pStyle w:val="BodyText1"/>
        <w:spacing w:before="0" w:after="0"/>
        <w:ind w:firstLine="720"/>
        <w:outlineLvl w:val="0"/>
        <w:rPr>
          <w:rFonts w:ascii="Times New Roman" w:hAnsi="Times New Roman" w:cs="Times New Roman"/>
          <w:bCs/>
        </w:rPr>
      </w:pPr>
      <w:r w:rsidRPr="008A3F6A">
        <w:rPr>
          <w:rFonts w:ascii="Times New Roman" w:hAnsi="Times New Roman" w:cs="Times New Roman"/>
          <w:bCs/>
          <w:iCs/>
        </w:rPr>
        <w:t>Means</w:t>
      </w:r>
      <w:r>
        <w:rPr>
          <w:rFonts w:ascii="Times New Roman" w:hAnsi="Times New Roman" w:cs="Times New Roman"/>
          <w:bCs/>
          <w:iCs/>
        </w:rPr>
        <w:t xml:space="preserve"> and standard d</w:t>
      </w:r>
      <w:r w:rsidRPr="008A3F6A">
        <w:rPr>
          <w:rFonts w:ascii="Times New Roman" w:hAnsi="Times New Roman" w:cs="Times New Roman"/>
          <w:bCs/>
          <w:iCs/>
        </w:rPr>
        <w:t>eviations for</w:t>
      </w:r>
      <w:r>
        <w:rPr>
          <w:rFonts w:ascii="Times New Roman" w:hAnsi="Times New Roman" w:cs="Times New Roman"/>
          <w:bCs/>
          <w:iCs/>
        </w:rPr>
        <w:t xml:space="preserve"> adolescents and adults for all outcome m</w:t>
      </w:r>
      <w:r w:rsidRPr="008A3F6A">
        <w:rPr>
          <w:rFonts w:ascii="Times New Roman" w:hAnsi="Times New Roman" w:cs="Times New Roman"/>
          <w:bCs/>
          <w:iCs/>
        </w:rPr>
        <w:t>easures</w:t>
      </w:r>
      <w:r>
        <w:rPr>
          <w:rFonts w:ascii="Times New Roman" w:hAnsi="Times New Roman" w:cs="Times New Roman"/>
          <w:bCs/>
          <w:iCs/>
        </w:rPr>
        <w:t xml:space="preserve"> at time 1 and t</w:t>
      </w:r>
      <w:r w:rsidRPr="008A3F6A">
        <w:rPr>
          <w:rFonts w:ascii="Times New Roman" w:hAnsi="Times New Roman" w:cs="Times New Roman"/>
          <w:bCs/>
          <w:iCs/>
        </w:rPr>
        <w:t>ime 2</w:t>
      </w:r>
      <w:r>
        <w:rPr>
          <w:rFonts w:ascii="Times New Roman" w:hAnsi="Times New Roman" w:cs="Times New Roman"/>
          <w:bCs/>
          <w:iCs/>
        </w:rPr>
        <w:t xml:space="preserve"> are displayed in Table 3.</w:t>
      </w:r>
    </w:p>
    <w:p w14:paraId="2F0B6FD4" w14:textId="1B7CAE7D" w:rsidR="00FB4FD9" w:rsidRPr="00FB4FD9" w:rsidRDefault="00FB4FD9" w:rsidP="00853C44">
      <w:pPr>
        <w:pStyle w:val="BodyText1"/>
        <w:spacing w:before="0" w:after="0"/>
        <w:outlineLvl w:val="0"/>
        <w:rPr>
          <w:rFonts w:ascii="Times New Roman" w:hAnsi="Times New Roman" w:cs="Times New Roman"/>
          <w:b/>
          <w:bCs/>
        </w:rPr>
      </w:pPr>
      <w:r>
        <w:rPr>
          <w:rFonts w:ascii="Times New Roman" w:hAnsi="Times New Roman" w:cs="Times New Roman"/>
          <w:b/>
          <w:bCs/>
        </w:rPr>
        <w:t>Effects on Hair Pulling Severity</w:t>
      </w:r>
    </w:p>
    <w:p w14:paraId="64CDD83A" w14:textId="77777777" w:rsidR="00FB5D25" w:rsidRDefault="00127E9B" w:rsidP="00B74E49">
      <w:pPr>
        <w:spacing w:line="480" w:lineRule="auto"/>
        <w:ind w:left="90" w:firstLine="630"/>
      </w:pPr>
      <w:r>
        <w:t>MMRM an</w:t>
      </w:r>
      <w:r w:rsidR="00775781">
        <w:t>alysis indicated a significant t</w:t>
      </w:r>
      <w:r>
        <w:t xml:space="preserve">ime </w:t>
      </w:r>
      <w:r w:rsidRPr="00A40229">
        <w:rPr>
          <w:lang w:bidi="fa-IR"/>
        </w:rPr>
        <w:t>×</w:t>
      </w:r>
      <w:r>
        <w:t xml:space="preserve"> </w:t>
      </w:r>
      <w:r w:rsidR="00775781">
        <w:t>group</w:t>
      </w:r>
      <w:r>
        <w:t xml:space="preserve"> interaction for MGH-</w:t>
      </w:r>
      <w:r w:rsidR="00A72BB5">
        <w:t>H</w:t>
      </w:r>
      <w:r>
        <w:t xml:space="preserve">S scores, </w:t>
      </w:r>
      <w:r w:rsidRPr="00A40229">
        <w:t>F</w:t>
      </w:r>
      <w:r w:rsidR="007A2B64">
        <w:t>(1</w:t>
      </w:r>
      <w:r w:rsidRPr="007A2B64">
        <w:t xml:space="preserve">, </w:t>
      </w:r>
      <w:r w:rsidR="007A2B64">
        <w:t>30.7</w:t>
      </w:r>
      <w:r w:rsidR="00775781">
        <w:t>3</w:t>
      </w:r>
      <w:r w:rsidRPr="007A2B64">
        <w:t>)</w:t>
      </w:r>
      <w:r>
        <w:rPr>
          <w:vertAlign w:val="subscript"/>
        </w:rPr>
        <w:t xml:space="preserve"> </w:t>
      </w:r>
      <w:r w:rsidRPr="00A40229">
        <w:t>=</w:t>
      </w:r>
      <w:r>
        <w:t xml:space="preserve"> </w:t>
      </w:r>
      <w:r w:rsidR="007A2B64">
        <w:t>12.5</w:t>
      </w:r>
      <w:r w:rsidR="00775781">
        <w:t>9</w:t>
      </w:r>
      <w:r>
        <w:t xml:space="preserve">, </w:t>
      </w:r>
      <w:r>
        <w:rPr>
          <w:i/>
        </w:rPr>
        <w:t>p</w:t>
      </w:r>
      <w:r w:rsidR="00775781">
        <w:t xml:space="preserve"> =</w:t>
      </w:r>
      <w:r>
        <w:t xml:space="preserve"> .001</w:t>
      </w:r>
      <w:r w:rsidRPr="00A40229">
        <w:t>,</w:t>
      </w:r>
      <w:r>
        <w:t xml:space="preserve"> Cohen’s </w:t>
      </w:r>
      <w:r>
        <w:rPr>
          <w:i/>
        </w:rPr>
        <w:t xml:space="preserve">d </w:t>
      </w:r>
      <w:r>
        <w:rPr>
          <w:vertAlign w:val="superscript"/>
          <w:lang w:bidi="fa-IR"/>
        </w:rPr>
        <w:t xml:space="preserve"> </w:t>
      </w:r>
      <w:r w:rsidRPr="00A40229">
        <w:rPr>
          <w:lang w:bidi="fa-IR"/>
        </w:rPr>
        <w:t>=</w:t>
      </w:r>
      <w:r>
        <w:rPr>
          <w:lang w:bidi="fa-IR"/>
        </w:rPr>
        <w:t xml:space="preserve"> </w:t>
      </w:r>
      <w:r w:rsidR="00775781">
        <w:rPr>
          <w:lang w:bidi="fa-IR"/>
        </w:rPr>
        <w:t>1.28</w:t>
      </w:r>
      <w:r>
        <w:rPr>
          <w:lang w:bidi="fa-IR"/>
        </w:rPr>
        <w:t xml:space="preserve">. </w:t>
      </w:r>
      <w:r w:rsidR="00FB5D25">
        <w:rPr>
          <w:lang w:bidi="fa-IR"/>
        </w:rPr>
        <w:t xml:space="preserve">Between-group comparisons indicated </w:t>
      </w:r>
      <w:r w:rsidR="00FB5D25">
        <w:t>no</w:t>
      </w:r>
      <w:r w:rsidR="00FB5D25" w:rsidRPr="00B47DA8">
        <w:t xml:space="preserve"> significant difference between </w:t>
      </w:r>
      <w:r w:rsidR="00FB5D25">
        <w:t>groups</w:t>
      </w:r>
      <w:r w:rsidR="00FB5D25" w:rsidRPr="00B47DA8">
        <w:t xml:space="preserve"> at </w:t>
      </w:r>
      <w:r w:rsidR="00FB5D25">
        <w:t>time 1</w:t>
      </w:r>
      <w:r w:rsidR="00FB5D25" w:rsidRPr="00B47DA8">
        <w:t xml:space="preserve">, </w:t>
      </w:r>
      <w:r w:rsidR="00FB5D25">
        <w:rPr>
          <w:i/>
          <w:iCs/>
        </w:rPr>
        <w:t>t</w:t>
      </w:r>
      <w:r w:rsidR="00FB5D25">
        <w:t>(</w:t>
      </w:r>
      <w:r w:rsidR="00F87D53" w:rsidRPr="00F87D53">
        <w:t>37</w:t>
      </w:r>
      <w:r w:rsidR="00FB5D25">
        <w:t>.00) = -</w:t>
      </w:r>
      <w:r w:rsidR="00F87D53">
        <w:t>59</w:t>
      </w:r>
      <w:r w:rsidR="00FB5D25" w:rsidRPr="00B47DA8">
        <w:t xml:space="preserve">, </w:t>
      </w:r>
      <w:r w:rsidR="00FB5D25" w:rsidRPr="00B47DA8">
        <w:rPr>
          <w:i/>
          <w:iCs/>
        </w:rPr>
        <w:t>p</w:t>
      </w:r>
      <w:r w:rsidR="00FB5D25" w:rsidRPr="00B47DA8">
        <w:t xml:space="preserve"> = .</w:t>
      </w:r>
      <w:r w:rsidR="00F87D53">
        <w:t>560</w:t>
      </w:r>
      <w:r w:rsidR="00FB5D25" w:rsidRPr="00B47DA8">
        <w:t xml:space="preserve">, </w:t>
      </w:r>
      <w:r w:rsidR="00FB5D25" w:rsidRPr="00FE416A">
        <w:rPr>
          <w:i/>
        </w:rPr>
        <w:t>d</w:t>
      </w:r>
      <w:r w:rsidR="00FB5D25" w:rsidRPr="00B47DA8">
        <w:t xml:space="preserve"> = .</w:t>
      </w:r>
      <w:r w:rsidR="00393C57">
        <w:t>19</w:t>
      </w:r>
      <w:r w:rsidR="00FB5D25">
        <w:t>, however</w:t>
      </w:r>
      <w:r w:rsidR="00266C7C">
        <w:t>,</w:t>
      </w:r>
      <w:r w:rsidR="00FB5D25">
        <w:t xml:space="preserve"> </w:t>
      </w:r>
      <w:r w:rsidR="00FB5D25" w:rsidRPr="00120587">
        <w:t>a significant difference</w:t>
      </w:r>
      <w:r w:rsidR="00FB5D25">
        <w:t xml:space="preserve"> was found</w:t>
      </w:r>
      <w:r w:rsidR="00FB5D25" w:rsidRPr="00120587">
        <w:t xml:space="preserve"> </w:t>
      </w:r>
      <w:r w:rsidR="00FB5D25">
        <w:t>at time 2</w:t>
      </w:r>
      <w:r w:rsidR="00FB5D25">
        <w:rPr>
          <w:lang w:bidi="fa-IR"/>
        </w:rPr>
        <w:t xml:space="preserve"> </w:t>
      </w:r>
      <w:r w:rsidR="00266C7C">
        <w:rPr>
          <w:i/>
          <w:lang w:bidi="fa-IR"/>
        </w:rPr>
        <w:t>t</w:t>
      </w:r>
      <w:r w:rsidR="00266C7C">
        <w:rPr>
          <w:lang w:bidi="fa-IR"/>
        </w:rPr>
        <w:t xml:space="preserve">(23.11) = -4.37, </w:t>
      </w:r>
      <w:r w:rsidR="00266C7C">
        <w:rPr>
          <w:i/>
          <w:lang w:bidi="fa-IR"/>
        </w:rPr>
        <w:t>p</w:t>
      </w:r>
      <w:r w:rsidR="00266C7C">
        <w:rPr>
          <w:lang w:bidi="fa-IR"/>
        </w:rPr>
        <w:t xml:space="preserve"> &lt; .001, </w:t>
      </w:r>
      <w:r w:rsidR="00266C7C">
        <w:rPr>
          <w:i/>
          <w:lang w:bidi="fa-IR"/>
        </w:rPr>
        <w:t xml:space="preserve">d </w:t>
      </w:r>
      <w:r w:rsidR="00266C7C">
        <w:rPr>
          <w:vertAlign w:val="superscript"/>
          <w:lang w:bidi="fa-IR"/>
        </w:rPr>
        <w:t xml:space="preserve"> </w:t>
      </w:r>
      <w:r w:rsidR="00266C7C" w:rsidRPr="00A40229">
        <w:rPr>
          <w:lang w:bidi="fa-IR"/>
        </w:rPr>
        <w:t>=</w:t>
      </w:r>
      <w:r w:rsidR="00266C7C">
        <w:rPr>
          <w:lang w:bidi="fa-IR"/>
        </w:rPr>
        <w:t xml:space="preserve"> 1.78</w:t>
      </w:r>
      <w:r w:rsidR="00B86F17">
        <w:rPr>
          <w:lang w:bidi="fa-IR"/>
        </w:rPr>
        <w:t>.</w:t>
      </w:r>
      <w:r w:rsidR="00FB5D25">
        <w:rPr>
          <w:lang w:bidi="fa-IR"/>
        </w:rPr>
        <w:t xml:space="preserve"> A w</w:t>
      </w:r>
      <w:r w:rsidR="00FB5D25" w:rsidRPr="00FB5D25">
        <w:rPr>
          <w:lang w:bidi="fa-IR"/>
        </w:rPr>
        <w:t>ithin</w:t>
      </w:r>
      <w:r w:rsidR="00FB5D25">
        <w:rPr>
          <w:lang w:bidi="fa-IR"/>
        </w:rPr>
        <w:t>-group comparison</w:t>
      </w:r>
      <w:r w:rsidR="00FB5D25" w:rsidRPr="00FB5D25">
        <w:rPr>
          <w:lang w:bidi="fa-IR"/>
        </w:rPr>
        <w:t xml:space="preserve"> indicated a significant difference for the treatment group from pre- to post-treatment </w:t>
      </w:r>
      <w:r w:rsidR="00FB5D25" w:rsidRPr="00FB5D25">
        <w:rPr>
          <w:i/>
          <w:lang w:bidi="fa-IR"/>
        </w:rPr>
        <w:t>t</w:t>
      </w:r>
      <w:r w:rsidR="00FB5D25" w:rsidRPr="00FB5D25">
        <w:rPr>
          <w:lang w:bidi="fa-IR"/>
        </w:rPr>
        <w:t>(</w:t>
      </w:r>
      <w:r w:rsidR="00F87D53">
        <w:rPr>
          <w:lang w:bidi="fa-IR"/>
        </w:rPr>
        <w:t>17.22</w:t>
      </w:r>
      <w:r w:rsidR="00FB5D25" w:rsidRPr="00FB5D25">
        <w:rPr>
          <w:lang w:bidi="fa-IR"/>
        </w:rPr>
        <w:t>) = -</w:t>
      </w:r>
      <w:r w:rsidR="00F87D53">
        <w:rPr>
          <w:lang w:bidi="fa-IR"/>
        </w:rPr>
        <w:t>5.83</w:t>
      </w:r>
      <w:r w:rsidR="00FB5D25" w:rsidRPr="00FB5D25">
        <w:rPr>
          <w:lang w:bidi="fa-IR"/>
        </w:rPr>
        <w:t xml:space="preserve">, </w:t>
      </w:r>
      <w:r w:rsidR="00FB5D25" w:rsidRPr="00FB5D25">
        <w:rPr>
          <w:i/>
          <w:lang w:bidi="fa-IR"/>
        </w:rPr>
        <w:t>p</w:t>
      </w:r>
      <w:r w:rsidR="00F87D53">
        <w:rPr>
          <w:lang w:bidi="fa-IR"/>
        </w:rPr>
        <w:t xml:space="preserve"> &lt; .001</w:t>
      </w:r>
      <w:r w:rsidR="00FB5D25" w:rsidRPr="00FB5D25">
        <w:rPr>
          <w:lang w:bidi="fa-IR"/>
        </w:rPr>
        <w:t xml:space="preserve">, </w:t>
      </w:r>
      <w:r w:rsidR="00FB5D25" w:rsidRPr="00FB5D25">
        <w:rPr>
          <w:i/>
          <w:lang w:bidi="fa-IR"/>
        </w:rPr>
        <w:t xml:space="preserve">d </w:t>
      </w:r>
      <w:r w:rsidR="00FB5D25" w:rsidRPr="00FB5D25">
        <w:rPr>
          <w:vertAlign w:val="superscript"/>
          <w:lang w:bidi="fa-IR"/>
        </w:rPr>
        <w:t xml:space="preserve"> </w:t>
      </w:r>
      <w:r w:rsidR="00FB5D25" w:rsidRPr="00FB5D25">
        <w:rPr>
          <w:lang w:bidi="fa-IR"/>
        </w:rPr>
        <w:t>= .</w:t>
      </w:r>
      <w:r w:rsidR="00F87D53">
        <w:rPr>
          <w:lang w:bidi="fa-IR"/>
        </w:rPr>
        <w:t>1.38</w:t>
      </w:r>
      <w:r w:rsidR="00FB5D25">
        <w:rPr>
          <w:lang w:bidi="fa-IR"/>
        </w:rPr>
        <w:t>.</w:t>
      </w:r>
      <w:r w:rsidR="005A39FF">
        <w:rPr>
          <w:lang w:bidi="fa-IR"/>
        </w:rPr>
        <w:t xml:space="preserve"> </w:t>
      </w:r>
      <w:r w:rsidR="005A39FF">
        <w:t>Moreover, the treatment group saw a 46.6% decrease in MGH-HS scores, while the waitlist group saw no change in scores from time 1 to time 2.</w:t>
      </w:r>
      <w:r w:rsidR="00B74E49">
        <w:t xml:space="preserve"> </w:t>
      </w:r>
      <w:r w:rsidR="00065F7B">
        <w:t>Nine of the 15 (60%) treatment completers saw MGH-HS score reductions of seven points or greater, indicating clinically significant improvement.</w:t>
      </w:r>
      <w:r w:rsidR="00F214DA">
        <w:t xml:space="preserve"> </w:t>
      </w:r>
      <w:r w:rsidR="005A39FF">
        <w:rPr>
          <w:lang w:bidi="fa-IR"/>
        </w:rPr>
        <w:t xml:space="preserve">These findings indicate that </w:t>
      </w:r>
      <w:r w:rsidR="00065F7B">
        <w:rPr>
          <w:lang w:bidi="fa-IR"/>
        </w:rPr>
        <w:t xml:space="preserve">on average, </w:t>
      </w:r>
      <w:r w:rsidR="005A39FF">
        <w:rPr>
          <w:lang w:bidi="fa-IR"/>
        </w:rPr>
        <w:t>treatment had a significant, large effect on hair pulling severity.</w:t>
      </w:r>
    </w:p>
    <w:p w14:paraId="47ED1C76" w14:textId="77777777" w:rsidR="00745D57" w:rsidRDefault="00745D57" w:rsidP="00853C44">
      <w:pPr>
        <w:pStyle w:val="BodyText1"/>
        <w:spacing w:before="0" w:after="0"/>
        <w:outlineLvl w:val="0"/>
        <w:rPr>
          <w:rFonts w:ascii="Times New Roman" w:hAnsi="Times New Roman" w:cs="Times New Roman"/>
          <w:b/>
          <w:bCs/>
        </w:rPr>
      </w:pPr>
      <w:r>
        <w:rPr>
          <w:rFonts w:ascii="Times New Roman" w:hAnsi="Times New Roman" w:cs="Times New Roman"/>
          <w:b/>
          <w:bCs/>
        </w:rPr>
        <w:t xml:space="preserve">Effects on Self-Reported </w:t>
      </w:r>
      <w:r w:rsidR="00050242">
        <w:rPr>
          <w:rFonts w:ascii="Times New Roman" w:hAnsi="Times New Roman" w:cs="Times New Roman"/>
          <w:b/>
          <w:bCs/>
        </w:rPr>
        <w:t xml:space="preserve">Daily </w:t>
      </w:r>
      <w:r>
        <w:rPr>
          <w:rFonts w:ascii="Times New Roman" w:hAnsi="Times New Roman" w:cs="Times New Roman"/>
          <w:b/>
          <w:bCs/>
        </w:rPr>
        <w:t>Hairs Pulled</w:t>
      </w:r>
    </w:p>
    <w:p w14:paraId="6E69AA37" w14:textId="7444BC23" w:rsidR="00FE416A" w:rsidRDefault="008A3F6A" w:rsidP="00FE416A">
      <w:pPr>
        <w:spacing w:line="480" w:lineRule="auto"/>
        <w:ind w:left="90" w:firstLine="630"/>
        <w:rPr>
          <w:lang w:bidi="fa-IR"/>
        </w:rPr>
      </w:pPr>
      <w:r>
        <w:t>The s</w:t>
      </w:r>
      <w:r w:rsidR="00FE416A">
        <w:t xml:space="preserve">elf-reported daily hairs pulled time </w:t>
      </w:r>
      <w:r w:rsidR="00FE416A" w:rsidRPr="00A40229">
        <w:rPr>
          <w:lang w:bidi="fa-IR"/>
        </w:rPr>
        <w:t>×</w:t>
      </w:r>
      <w:r w:rsidR="00FE416A">
        <w:t xml:space="preserve"> group interaction</w:t>
      </w:r>
      <w:r>
        <w:t xml:space="preserve"> was nonsignficant</w:t>
      </w:r>
      <w:r w:rsidR="00FE416A">
        <w:t xml:space="preserve">, </w:t>
      </w:r>
      <w:r w:rsidR="00FE416A" w:rsidRPr="00A40229">
        <w:t>F</w:t>
      </w:r>
      <w:r w:rsidR="00FE416A">
        <w:t>(1</w:t>
      </w:r>
      <w:r w:rsidR="00FE416A" w:rsidRPr="007A2B64">
        <w:t xml:space="preserve">, </w:t>
      </w:r>
      <w:r w:rsidR="00331896">
        <w:t>32.79</w:t>
      </w:r>
      <w:r w:rsidR="00FE416A" w:rsidRPr="007A2B64">
        <w:t>)</w:t>
      </w:r>
      <w:r w:rsidR="00FE416A">
        <w:rPr>
          <w:vertAlign w:val="subscript"/>
        </w:rPr>
        <w:t xml:space="preserve"> </w:t>
      </w:r>
      <w:r w:rsidR="00FE416A" w:rsidRPr="00A40229">
        <w:t>=</w:t>
      </w:r>
      <w:r w:rsidR="00FE416A">
        <w:t xml:space="preserve"> </w:t>
      </w:r>
      <w:r w:rsidR="00331896">
        <w:t>.45</w:t>
      </w:r>
      <w:r w:rsidR="00FE416A">
        <w:t xml:space="preserve">, </w:t>
      </w:r>
      <w:r w:rsidR="00FE416A">
        <w:rPr>
          <w:i/>
        </w:rPr>
        <w:t>p</w:t>
      </w:r>
      <w:r w:rsidR="00FE416A">
        <w:t xml:space="preserve"> =</w:t>
      </w:r>
      <w:r w:rsidR="00331896">
        <w:t xml:space="preserve"> </w:t>
      </w:r>
      <w:r w:rsidR="005F50B1">
        <w:t>.</w:t>
      </w:r>
      <w:r w:rsidR="00331896">
        <w:t>508</w:t>
      </w:r>
      <w:r w:rsidR="00FE416A" w:rsidRPr="00A40229">
        <w:t>,</w:t>
      </w:r>
      <w:r w:rsidR="00FE416A">
        <w:t xml:space="preserve"> Cohen’s </w:t>
      </w:r>
      <w:r w:rsidR="00FE416A">
        <w:rPr>
          <w:i/>
        </w:rPr>
        <w:t xml:space="preserve">d </w:t>
      </w:r>
      <w:r w:rsidR="00FE416A">
        <w:rPr>
          <w:vertAlign w:val="superscript"/>
          <w:lang w:bidi="fa-IR"/>
        </w:rPr>
        <w:t xml:space="preserve"> </w:t>
      </w:r>
      <w:r w:rsidR="00FE416A" w:rsidRPr="00A40229">
        <w:rPr>
          <w:lang w:bidi="fa-IR"/>
        </w:rPr>
        <w:t>=</w:t>
      </w:r>
      <w:r w:rsidR="00FE416A">
        <w:rPr>
          <w:lang w:bidi="fa-IR"/>
        </w:rPr>
        <w:t xml:space="preserve"> </w:t>
      </w:r>
      <w:r w:rsidR="00D6731A">
        <w:rPr>
          <w:lang w:bidi="fa-IR"/>
        </w:rPr>
        <w:t>.23</w:t>
      </w:r>
      <w:r w:rsidR="00FE416A">
        <w:rPr>
          <w:lang w:bidi="fa-IR"/>
        </w:rPr>
        <w:t xml:space="preserve">. </w:t>
      </w:r>
      <w:r w:rsidR="00C279B5">
        <w:rPr>
          <w:lang w:bidi="fa-IR"/>
        </w:rPr>
        <w:t>Additionally, there was no significant main effect for time</w:t>
      </w:r>
      <w:r w:rsidR="00C279B5" w:rsidRPr="00A40229">
        <w:rPr>
          <w:lang w:bidi="fa-IR"/>
        </w:rPr>
        <w:t>, F</w:t>
      </w:r>
      <w:r w:rsidR="00C279B5">
        <w:rPr>
          <w:lang w:bidi="fa-IR"/>
        </w:rPr>
        <w:t>(1</w:t>
      </w:r>
      <w:r w:rsidR="00C279B5" w:rsidRPr="00775781">
        <w:rPr>
          <w:lang w:bidi="fa-IR"/>
        </w:rPr>
        <w:t xml:space="preserve">, </w:t>
      </w:r>
      <w:r w:rsidR="00C279B5">
        <w:rPr>
          <w:lang w:bidi="fa-IR"/>
        </w:rPr>
        <w:t>32.79</w:t>
      </w:r>
      <w:r w:rsidR="00C279B5" w:rsidRPr="00775781">
        <w:rPr>
          <w:lang w:bidi="fa-IR"/>
        </w:rPr>
        <w:t xml:space="preserve">) </w:t>
      </w:r>
      <w:r w:rsidR="00C279B5" w:rsidRPr="00A40229">
        <w:rPr>
          <w:lang w:bidi="fa-IR"/>
        </w:rPr>
        <w:t>=</w:t>
      </w:r>
      <w:r w:rsidR="00C279B5">
        <w:rPr>
          <w:lang w:bidi="fa-IR"/>
        </w:rPr>
        <w:t xml:space="preserve"> 3.52</w:t>
      </w:r>
      <w:r w:rsidR="00C279B5" w:rsidRPr="00A40229">
        <w:rPr>
          <w:lang w:bidi="fa-IR"/>
        </w:rPr>
        <w:t xml:space="preserve">, </w:t>
      </w:r>
      <w:r w:rsidR="00C279B5">
        <w:rPr>
          <w:i/>
        </w:rPr>
        <w:t>p</w:t>
      </w:r>
      <w:r w:rsidR="00C279B5">
        <w:t xml:space="preserve"> = .070</w:t>
      </w:r>
      <w:r w:rsidR="00C279B5" w:rsidRPr="00A40229">
        <w:t xml:space="preserve">, </w:t>
      </w:r>
      <w:r w:rsidR="00C279B5">
        <w:rPr>
          <w:i/>
          <w:lang w:bidi="fa-IR"/>
        </w:rPr>
        <w:t xml:space="preserve">d </w:t>
      </w:r>
      <w:r w:rsidR="00C279B5">
        <w:rPr>
          <w:vertAlign w:val="superscript"/>
          <w:lang w:bidi="fa-IR"/>
        </w:rPr>
        <w:t xml:space="preserve"> </w:t>
      </w:r>
      <w:r w:rsidR="00C279B5" w:rsidRPr="00A40229">
        <w:rPr>
          <w:lang w:bidi="fa-IR"/>
        </w:rPr>
        <w:t>=</w:t>
      </w:r>
      <w:r w:rsidR="00C279B5">
        <w:rPr>
          <w:lang w:bidi="fa-IR"/>
        </w:rPr>
        <w:t xml:space="preserve"> </w:t>
      </w:r>
      <w:r w:rsidR="000E3AA0">
        <w:rPr>
          <w:lang w:bidi="fa-IR"/>
        </w:rPr>
        <w:t>.66</w:t>
      </w:r>
      <w:r w:rsidR="00C279B5">
        <w:rPr>
          <w:lang w:bidi="fa-IR"/>
        </w:rPr>
        <w:t>, but a significant main effect for</w:t>
      </w:r>
      <w:r w:rsidR="00C279B5" w:rsidRPr="00A40229">
        <w:rPr>
          <w:lang w:bidi="fa-IR"/>
        </w:rPr>
        <w:t xml:space="preserve"> </w:t>
      </w:r>
      <w:r w:rsidR="00C279B5">
        <w:rPr>
          <w:lang w:bidi="fa-IR"/>
        </w:rPr>
        <w:t>group</w:t>
      </w:r>
      <w:r w:rsidR="00C279B5" w:rsidRPr="00A40229">
        <w:rPr>
          <w:lang w:bidi="fa-IR"/>
        </w:rPr>
        <w:t>, F</w:t>
      </w:r>
      <w:r w:rsidR="00C279B5" w:rsidRPr="00775781">
        <w:rPr>
          <w:lang w:bidi="fa-IR"/>
        </w:rPr>
        <w:t xml:space="preserve">(1, </w:t>
      </w:r>
      <w:r w:rsidR="00C279B5">
        <w:rPr>
          <w:lang w:bidi="fa-IR"/>
        </w:rPr>
        <w:t>33.62</w:t>
      </w:r>
      <w:r w:rsidR="00C279B5" w:rsidRPr="00775781">
        <w:rPr>
          <w:lang w:bidi="fa-IR"/>
        </w:rPr>
        <w:t>)</w:t>
      </w:r>
      <w:r w:rsidR="00C279B5">
        <w:rPr>
          <w:vertAlign w:val="subscript"/>
          <w:lang w:bidi="fa-IR"/>
        </w:rPr>
        <w:t xml:space="preserve"> </w:t>
      </w:r>
      <w:r w:rsidR="00C279B5" w:rsidRPr="00A40229">
        <w:rPr>
          <w:lang w:bidi="fa-IR"/>
        </w:rPr>
        <w:t>=</w:t>
      </w:r>
      <w:r w:rsidR="00C279B5">
        <w:rPr>
          <w:lang w:bidi="fa-IR"/>
        </w:rPr>
        <w:t xml:space="preserve"> </w:t>
      </w:r>
      <w:r w:rsidR="00C279B5">
        <w:t>7.06</w:t>
      </w:r>
      <w:r w:rsidR="00C279B5" w:rsidRPr="00A40229">
        <w:rPr>
          <w:lang w:bidi="fa-IR"/>
        </w:rPr>
        <w:t xml:space="preserve">, </w:t>
      </w:r>
      <w:r w:rsidR="00C279B5">
        <w:rPr>
          <w:i/>
        </w:rPr>
        <w:t>p</w:t>
      </w:r>
      <w:r w:rsidR="00C279B5">
        <w:t xml:space="preserve"> = .012</w:t>
      </w:r>
      <w:r w:rsidR="00C279B5" w:rsidRPr="00A40229">
        <w:t xml:space="preserve">, </w:t>
      </w:r>
      <w:r w:rsidR="00C279B5">
        <w:rPr>
          <w:i/>
          <w:lang w:bidi="fa-IR"/>
        </w:rPr>
        <w:t xml:space="preserve">d </w:t>
      </w:r>
      <w:r w:rsidR="00C279B5">
        <w:rPr>
          <w:vertAlign w:val="superscript"/>
          <w:lang w:bidi="fa-IR"/>
        </w:rPr>
        <w:t xml:space="preserve"> </w:t>
      </w:r>
      <w:r w:rsidR="00C279B5" w:rsidRPr="00A40229">
        <w:rPr>
          <w:lang w:bidi="fa-IR"/>
        </w:rPr>
        <w:t>=</w:t>
      </w:r>
      <w:r w:rsidR="00C279B5">
        <w:rPr>
          <w:lang w:bidi="fa-IR"/>
        </w:rPr>
        <w:t xml:space="preserve"> .</w:t>
      </w:r>
      <w:r w:rsidR="000E3AA0">
        <w:rPr>
          <w:lang w:bidi="fa-IR"/>
        </w:rPr>
        <w:t>92</w:t>
      </w:r>
      <w:r w:rsidR="00C279B5">
        <w:rPr>
          <w:lang w:bidi="fa-IR"/>
        </w:rPr>
        <w:t xml:space="preserve">. </w:t>
      </w:r>
      <w:r w:rsidR="005A39FF">
        <w:t xml:space="preserve">The treatment group saw a 77.4% decrease in self-reported daily hairs pulled, while the waitlist group saw a 10.0% increase from time 1 to time 2. </w:t>
      </w:r>
    </w:p>
    <w:p w14:paraId="66B3E788" w14:textId="77777777" w:rsidR="003B64AC" w:rsidRPr="00BA4D14" w:rsidRDefault="00F37899" w:rsidP="00050242">
      <w:pPr>
        <w:pStyle w:val="BodyText1"/>
        <w:spacing w:before="0" w:after="0"/>
        <w:rPr>
          <w:rFonts w:ascii="Times New Roman" w:hAnsi="Times New Roman" w:cs="Times New Roman"/>
          <w:b/>
          <w:bCs/>
        </w:rPr>
      </w:pPr>
      <w:r>
        <w:rPr>
          <w:rFonts w:ascii="Times New Roman" w:hAnsi="Times New Roman" w:cs="Times New Roman"/>
          <w:b/>
          <w:bCs/>
        </w:rPr>
        <w:t xml:space="preserve">Effects of Self-Reported </w:t>
      </w:r>
      <w:r w:rsidR="00050242">
        <w:rPr>
          <w:rFonts w:ascii="Times New Roman" w:hAnsi="Times New Roman" w:cs="Times New Roman"/>
          <w:b/>
          <w:bCs/>
        </w:rPr>
        <w:t>Daily Urges Experienced</w:t>
      </w:r>
    </w:p>
    <w:p w14:paraId="1EC62772" w14:textId="77777777" w:rsidR="003B64AC" w:rsidRDefault="003B64AC" w:rsidP="003B64AC">
      <w:pPr>
        <w:spacing w:line="480" w:lineRule="auto"/>
        <w:ind w:left="90" w:firstLine="630"/>
        <w:rPr>
          <w:lang w:bidi="fa-IR"/>
        </w:rPr>
      </w:pPr>
      <w:r>
        <w:t xml:space="preserve">Self-reported daily urges experience demonstrated a nonsignificant time </w:t>
      </w:r>
      <w:r w:rsidRPr="00A40229">
        <w:rPr>
          <w:lang w:bidi="fa-IR"/>
        </w:rPr>
        <w:t>×</w:t>
      </w:r>
      <w:r>
        <w:t xml:space="preserve"> group interaction, </w:t>
      </w:r>
      <w:r w:rsidRPr="00A40229">
        <w:t>F</w:t>
      </w:r>
      <w:r>
        <w:t>(1</w:t>
      </w:r>
      <w:r w:rsidRPr="007A2B64">
        <w:t xml:space="preserve">, </w:t>
      </w:r>
      <w:r w:rsidR="005F50B1">
        <w:t>22.00</w:t>
      </w:r>
      <w:r w:rsidRPr="007A2B64">
        <w:t>)</w:t>
      </w:r>
      <w:r>
        <w:rPr>
          <w:vertAlign w:val="subscript"/>
        </w:rPr>
        <w:t xml:space="preserve"> </w:t>
      </w:r>
      <w:r w:rsidRPr="00A40229">
        <w:t>=</w:t>
      </w:r>
      <w:r>
        <w:t xml:space="preserve"> .</w:t>
      </w:r>
      <w:r w:rsidR="005F50B1">
        <w:t>06</w:t>
      </w:r>
      <w:r>
        <w:t xml:space="preserve">, </w:t>
      </w:r>
      <w:r>
        <w:rPr>
          <w:i/>
        </w:rPr>
        <w:t>p</w:t>
      </w:r>
      <w:r>
        <w:t xml:space="preserve"> = </w:t>
      </w:r>
      <w:r w:rsidR="005F50B1">
        <w:t>.803</w:t>
      </w:r>
      <w:r w:rsidRPr="00A40229">
        <w:t>,</w:t>
      </w:r>
      <w:r>
        <w:t xml:space="preserve"> Cohen’s </w:t>
      </w:r>
      <w:r>
        <w:rPr>
          <w:i/>
        </w:rPr>
        <w:t xml:space="preserve">d </w:t>
      </w:r>
      <w:r>
        <w:rPr>
          <w:vertAlign w:val="superscript"/>
          <w:lang w:bidi="fa-IR"/>
        </w:rPr>
        <w:t xml:space="preserve"> </w:t>
      </w:r>
      <w:r w:rsidRPr="00A40229">
        <w:rPr>
          <w:lang w:bidi="fa-IR"/>
        </w:rPr>
        <w:t>=</w:t>
      </w:r>
      <w:r>
        <w:rPr>
          <w:lang w:bidi="fa-IR"/>
        </w:rPr>
        <w:t xml:space="preserve"> .</w:t>
      </w:r>
      <w:r w:rsidR="005F50B1">
        <w:rPr>
          <w:lang w:bidi="fa-IR"/>
        </w:rPr>
        <w:t>11</w:t>
      </w:r>
      <w:r>
        <w:rPr>
          <w:lang w:bidi="fa-IR"/>
        </w:rPr>
        <w:t xml:space="preserve">. </w:t>
      </w:r>
      <w:r w:rsidR="000E3AA0">
        <w:rPr>
          <w:lang w:bidi="fa-IR"/>
        </w:rPr>
        <w:t>Additionally, there was no significant main effect for time</w:t>
      </w:r>
      <w:r w:rsidR="000E3AA0" w:rsidRPr="00A40229">
        <w:rPr>
          <w:lang w:bidi="fa-IR"/>
        </w:rPr>
        <w:t>, F</w:t>
      </w:r>
      <w:r w:rsidR="000E3AA0">
        <w:rPr>
          <w:lang w:bidi="fa-IR"/>
        </w:rPr>
        <w:t>(1</w:t>
      </w:r>
      <w:r w:rsidR="000E3AA0" w:rsidRPr="00775781">
        <w:rPr>
          <w:lang w:bidi="fa-IR"/>
        </w:rPr>
        <w:t xml:space="preserve">, </w:t>
      </w:r>
      <w:r w:rsidR="000E3AA0">
        <w:rPr>
          <w:lang w:bidi="fa-IR"/>
        </w:rPr>
        <w:t>22.00</w:t>
      </w:r>
      <w:r w:rsidR="000E3AA0" w:rsidRPr="00775781">
        <w:rPr>
          <w:lang w:bidi="fa-IR"/>
        </w:rPr>
        <w:t xml:space="preserve">) </w:t>
      </w:r>
      <w:r w:rsidR="000E3AA0" w:rsidRPr="00A40229">
        <w:rPr>
          <w:lang w:bidi="fa-IR"/>
        </w:rPr>
        <w:t>=</w:t>
      </w:r>
      <w:r w:rsidR="000E3AA0">
        <w:rPr>
          <w:lang w:bidi="fa-IR"/>
        </w:rPr>
        <w:t xml:space="preserve"> 2.10</w:t>
      </w:r>
      <w:r w:rsidR="000E3AA0" w:rsidRPr="00A40229">
        <w:rPr>
          <w:lang w:bidi="fa-IR"/>
        </w:rPr>
        <w:t xml:space="preserve">, </w:t>
      </w:r>
      <w:r w:rsidR="000E3AA0">
        <w:rPr>
          <w:i/>
        </w:rPr>
        <w:t>p</w:t>
      </w:r>
      <w:r w:rsidR="000E3AA0">
        <w:t xml:space="preserve"> = .162</w:t>
      </w:r>
      <w:r w:rsidR="000E3AA0" w:rsidRPr="00A40229">
        <w:t xml:space="preserve">, </w:t>
      </w:r>
      <w:r w:rsidR="000E3AA0">
        <w:rPr>
          <w:i/>
          <w:lang w:bidi="fa-IR"/>
        </w:rPr>
        <w:t xml:space="preserve">d </w:t>
      </w:r>
      <w:r w:rsidR="000E3AA0">
        <w:rPr>
          <w:vertAlign w:val="superscript"/>
          <w:lang w:bidi="fa-IR"/>
        </w:rPr>
        <w:t xml:space="preserve"> </w:t>
      </w:r>
      <w:r w:rsidR="000E3AA0" w:rsidRPr="00A40229">
        <w:rPr>
          <w:lang w:bidi="fa-IR"/>
        </w:rPr>
        <w:t>=</w:t>
      </w:r>
      <w:r w:rsidR="000E3AA0">
        <w:rPr>
          <w:lang w:bidi="fa-IR"/>
        </w:rPr>
        <w:t xml:space="preserve"> .62, or</w:t>
      </w:r>
      <w:r w:rsidR="000E3AA0" w:rsidRPr="00A40229">
        <w:rPr>
          <w:lang w:bidi="fa-IR"/>
        </w:rPr>
        <w:t xml:space="preserve"> </w:t>
      </w:r>
      <w:r w:rsidR="000E3AA0">
        <w:rPr>
          <w:lang w:bidi="fa-IR"/>
        </w:rPr>
        <w:t>group</w:t>
      </w:r>
      <w:r w:rsidR="000E3AA0" w:rsidRPr="00A40229">
        <w:rPr>
          <w:lang w:bidi="fa-IR"/>
        </w:rPr>
        <w:t>, F</w:t>
      </w:r>
      <w:r w:rsidR="000E3AA0" w:rsidRPr="00775781">
        <w:rPr>
          <w:lang w:bidi="fa-IR"/>
        </w:rPr>
        <w:t xml:space="preserve">(1, </w:t>
      </w:r>
      <w:r w:rsidR="000E3AA0">
        <w:rPr>
          <w:lang w:bidi="fa-IR"/>
        </w:rPr>
        <w:t>19.81</w:t>
      </w:r>
      <w:r w:rsidR="000E3AA0" w:rsidRPr="00775781">
        <w:rPr>
          <w:lang w:bidi="fa-IR"/>
        </w:rPr>
        <w:t>)</w:t>
      </w:r>
      <w:r w:rsidR="000E3AA0">
        <w:rPr>
          <w:vertAlign w:val="subscript"/>
          <w:lang w:bidi="fa-IR"/>
        </w:rPr>
        <w:t xml:space="preserve"> </w:t>
      </w:r>
      <w:r w:rsidR="000E3AA0" w:rsidRPr="00A40229">
        <w:rPr>
          <w:lang w:bidi="fa-IR"/>
        </w:rPr>
        <w:t>=</w:t>
      </w:r>
      <w:r w:rsidR="000E3AA0">
        <w:rPr>
          <w:lang w:bidi="fa-IR"/>
        </w:rPr>
        <w:t xml:space="preserve"> </w:t>
      </w:r>
      <w:r w:rsidR="000E3AA0">
        <w:t>.32</w:t>
      </w:r>
      <w:r w:rsidR="000E3AA0" w:rsidRPr="00A40229">
        <w:rPr>
          <w:lang w:bidi="fa-IR"/>
        </w:rPr>
        <w:t xml:space="preserve">, </w:t>
      </w:r>
      <w:r w:rsidR="000E3AA0">
        <w:rPr>
          <w:i/>
        </w:rPr>
        <w:t>p</w:t>
      </w:r>
      <w:r w:rsidR="000E3AA0">
        <w:t xml:space="preserve"> = .576</w:t>
      </w:r>
      <w:r w:rsidR="000E3AA0" w:rsidRPr="00A40229">
        <w:t xml:space="preserve">, </w:t>
      </w:r>
      <w:r w:rsidR="000E3AA0">
        <w:rPr>
          <w:i/>
          <w:lang w:bidi="fa-IR"/>
        </w:rPr>
        <w:t xml:space="preserve">d </w:t>
      </w:r>
      <w:r w:rsidR="000E3AA0">
        <w:rPr>
          <w:vertAlign w:val="superscript"/>
          <w:lang w:bidi="fa-IR"/>
        </w:rPr>
        <w:t xml:space="preserve"> </w:t>
      </w:r>
      <w:r w:rsidR="000E3AA0" w:rsidRPr="00A40229">
        <w:rPr>
          <w:lang w:bidi="fa-IR"/>
        </w:rPr>
        <w:t>=</w:t>
      </w:r>
      <w:r w:rsidR="000E3AA0">
        <w:rPr>
          <w:lang w:bidi="fa-IR"/>
        </w:rPr>
        <w:t xml:space="preserve"> .26. </w:t>
      </w:r>
      <w:r w:rsidR="005A39FF">
        <w:rPr>
          <w:lang w:bidi="fa-IR"/>
        </w:rPr>
        <w:t>These findings indicate that participants in both the treatment and waitlist groups saw no significant changes in the number of daily urges to pull. In addition, treatment did not have a significant impact on the number of urges experienced.</w:t>
      </w:r>
    </w:p>
    <w:p w14:paraId="32E40E7E" w14:textId="77777777" w:rsidR="0089080B" w:rsidRPr="00FB4FD9" w:rsidRDefault="0089080B" w:rsidP="0089080B">
      <w:pPr>
        <w:pStyle w:val="BodyText1"/>
        <w:spacing w:before="0" w:after="0"/>
        <w:outlineLvl w:val="0"/>
        <w:rPr>
          <w:rFonts w:ascii="Times New Roman" w:hAnsi="Times New Roman" w:cs="Times New Roman"/>
          <w:b/>
          <w:bCs/>
        </w:rPr>
      </w:pPr>
      <w:r>
        <w:rPr>
          <w:rFonts w:ascii="Times New Roman" w:hAnsi="Times New Roman" w:cs="Times New Roman"/>
          <w:b/>
          <w:bCs/>
        </w:rPr>
        <w:t>Effects on Psychological Flexibility</w:t>
      </w:r>
    </w:p>
    <w:p w14:paraId="720CB596" w14:textId="77777777" w:rsidR="0089080B" w:rsidRDefault="00FC4EC5" w:rsidP="005A39FF">
      <w:pPr>
        <w:spacing w:line="480" w:lineRule="auto"/>
        <w:ind w:left="90" w:firstLine="630"/>
        <w:rPr>
          <w:lang w:bidi="fa-IR"/>
        </w:rPr>
      </w:pPr>
      <w:r>
        <w:t xml:space="preserve">AAQ-II scores demonstrated a nonsignificant time </w:t>
      </w:r>
      <w:r w:rsidRPr="00A40229">
        <w:rPr>
          <w:lang w:bidi="fa-IR"/>
        </w:rPr>
        <w:t>×</w:t>
      </w:r>
      <w:r>
        <w:t xml:space="preserve"> group interaction, </w:t>
      </w:r>
      <w:r w:rsidRPr="00A40229">
        <w:t>F</w:t>
      </w:r>
      <w:r>
        <w:t>(1</w:t>
      </w:r>
      <w:r w:rsidRPr="007A2B64">
        <w:t xml:space="preserve">, </w:t>
      </w:r>
      <w:r>
        <w:t>28.16</w:t>
      </w:r>
      <w:r w:rsidRPr="007A2B64">
        <w:t>)</w:t>
      </w:r>
      <w:r>
        <w:rPr>
          <w:vertAlign w:val="subscript"/>
        </w:rPr>
        <w:t xml:space="preserve"> </w:t>
      </w:r>
      <w:r w:rsidRPr="00A40229">
        <w:t>=</w:t>
      </w:r>
      <w:r>
        <w:t xml:space="preserve"> 2.57, </w:t>
      </w:r>
      <w:r>
        <w:rPr>
          <w:i/>
        </w:rPr>
        <w:t>p</w:t>
      </w:r>
      <w:r>
        <w:t xml:space="preserve"> = .120</w:t>
      </w:r>
      <w:r w:rsidRPr="00A40229">
        <w:t>,</w:t>
      </w:r>
      <w:r>
        <w:t xml:space="preserve"> Cohen’s </w:t>
      </w:r>
      <w:r>
        <w:rPr>
          <w:i/>
        </w:rPr>
        <w:t xml:space="preserve">d </w:t>
      </w:r>
      <w:r>
        <w:rPr>
          <w:vertAlign w:val="superscript"/>
          <w:lang w:bidi="fa-IR"/>
        </w:rPr>
        <w:t xml:space="preserve"> </w:t>
      </w:r>
      <w:r w:rsidRPr="00A40229">
        <w:rPr>
          <w:lang w:bidi="fa-IR"/>
        </w:rPr>
        <w:t>=</w:t>
      </w:r>
      <w:r>
        <w:rPr>
          <w:lang w:bidi="fa-IR"/>
        </w:rPr>
        <w:t xml:space="preserve"> .60. </w:t>
      </w:r>
      <w:r w:rsidR="00741941">
        <w:rPr>
          <w:lang w:bidi="fa-IR"/>
        </w:rPr>
        <w:t>Additionally, there was a significant main effect for time</w:t>
      </w:r>
      <w:r w:rsidR="00741941" w:rsidRPr="00A40229">
        <w:rPr>
          <w:lang w:bidi="fa-IR"/>
        </w:rPr>
        <w:t>, F</w:t>
      </w:r>
      <w:r w:rsidR="00741941">
        <w:rPr>
          <w:lang w:bidi="fa-IR"/>
        </w:rPr>
        <w:t>(1</w:t>
      </w:r>
      <w:r w:rsidR="00741941" w:rsidRPr="00775781">
        <w:rPr>
          <w:lang w:bidi="fa-IR"/>
        </w:rPr>
        <w:t xml:space="preserve">, </w:t>
      </w:r>
      <w:r w:rsidR="00741941">
        <w:rPr>
          <w:lang w:bidi="fa-IR"/>
        </w:rPr>
        <w:t>28.16</w:t>
      </w:r>
      <w:r w:rsidR="00741941" w:rsidRPr="00775781">
        <w:rPr>
          <w:lang w:bidi="fa-IR"/>
        </w:rPr>
        <w:t xml:space="preserve">) </w:t>
      </w:r>
      <w:r w:rsidR="00741941" w:rsidRPr="00A40229">
        <w:rPr>
          <w:lang w:bidi="fa-IR"/>
        </w:rPr>
        <w:t>=</w:t>
      </w:r>
      <w:r w:rsidR="00741941">
        <w:rPr>
          <w:lang w:bidi="fa-IR"/>
        </w:rPr>
        <w:t xml:space="preserve"> 5.63</w:t>
      </w:r>
      <w:r w:rsidR="00741941" w:rsidRPr="00A40229">
        <w:rPr>
          <w:lang w:bidi="fa-IR"/>
        </w:rPr>
        <w:t xml:space="preserve">, </w:t>
      </w:r>
      <w:r w:rsidR="00741941">
        <w:rPr>
          <w:i/>
        </w:rPr>
        <w:t>p</w:t>
      </w:r>
      <w:r w:rsidR="00741941">
        <w:t xml:space="preserve"> = .025</w:t>
      </w:r>
      <w:r w:rsidR="00741941" w:rsidRPr="00A40229">
        <w:t xml:space="preserve">, </w:t>
      </w:r>
      <w:r w:rsidR="00741941">
        <w:rPr>
          <w:i/>
          <w:lang w:bidi="fa-IR"/>
        </w:rPr>
        <w:t xml:space="preserve">d </w:t>
      </w:r>
      <w:r w:rsidR="00741941">
        <w:rPr>
          <w:vertAlign w:val="superscript"/>
          <w:lang w:bidi="fa-IR"/>
        </w:rPr>
        <w:t xml:space="preserve"> </w:t>
      </w:r>
      <w:r w:rsidR="00741941" w:rsidRPr="00A40229">
        <w:rPr>
          <w:lang w:bidi="fa-IR"/>
        </w:rPr>
        <w:t>=</w:t>
      </w:r>
      <w:r w:rsidR="00741941">
        <w:rPr>
          <w:lang w:bidi="fa-IR"/>
        </w:rPr>
        <w:t xml:space="preserve"> .</w:t>
      </w:r>
      <w:r w:rsidR="001D6BA5">
        <w:rPr>
          <w:lang w:bidi="fa-IR"/>
        </w:rPr>
        <w:t>89</w:t>
      </w:r>
      <w:r w:rsidR="00741941">
        <w:rPr>
          <w:lang w:bidi="fa-IR"/>
        </w:rPr>
        <w:t>, but no significant main effect for</w:t>
      </w:r>
      <w:r w:rsidR="00741941" w:rsidRPr="00A40229">
        <w:rPr>
          <w:lang w:bidi="fa-IR"/>
        </w:rPr>
        <w:t xml:space="preserve"> </w:t>
      </w:r>
      <w:r w:rsidR="00741941">
        <w:rPr>
          <w:lang w:bidi="fa-IR"/>
        </w:rPr>
        <w:t>group</w:t>
      </w:r>
      <w:r w:rsidR="00741941" w:rsidRPr="00A40229">
        <w:rPr>
          <w:lang w:bidi="fa-IR"/>
        </w:rPr>
        <w:t>, F</w:t>
      </w:r>
      <w:r w:rsidR="00741941" w:rsidRPr="00775781">
        <w:rPr>
          <w:lang w:bidi="fa-IR"/>
        </w:rPr>
        <w:t xml:space="preserve">(1, </w:t>
      </w:r>
      <w:r w:rsidR="00741941">
        <w:rPr>
          <w:lang w:bidi="fa-IR"/>
        </w:rPr>
        <w:t>34.769</w:t>
      </w:r>
      <w:r w:rsidR="00741941" w:rsidRPr="00775781">
        <w:rPr>
          <w:lang w:bidi="fa-IR"/>
        </w:rPr>
        <w:t>)</w:t>
      </w:r>
      <w:r w:rsidR="00741941">
        <w:rPr>
          <w:vertAlign w:val="subscript"/>
          <w:lang w:bidi="fa-IR"/>
        </w:rPr>
        <w:t xml:space="preserve"> </w:t>
      </w:r>
      <w:r w:rsidR="00741941" w:rsidRPr="00A40229">
        <w:rPr>
          <w:lang w:bidi="fa-IR"/>
        </w:rPr>
        <w:t>=</w:t>
      </w:r>
      <w:r w:rsidR="00741941">
        <w:rPr>
          <w:lang w:bidi="fa-IR"/>
        </w:rPr>
        <w:t xml:space="preserve"> 3.438</w:t>
      </w:r>
      <w:r w:rsidR="00741941" w:rsidRPr="00A40229">
        <w:rPr>
          <w:lang w:bidi="fa-IR"/>
        </w:rPr>
        <w:t xml:space="preserve">, </w:t>
      </w:r>
      <w:r w:rsidR="00741941">
        <w:rPr>
          <w:i/>
        </w:rPr>
        <w:t>p</w:t>
      </w:r>
      <w:r w:rsidR="00741941">
        <w:t xml:space="preserve"> = .072</w:t>
      </w:r>
      <w:r w:rsidR="00741941" w:rsidRPr="00A40229">
        <w:t xml:space="preserve">, </w:t>
      </w:r>
      <w:r w:rsidR="00741941">
        <w:rPr>
          <w:i/>
          <w:lang w:bidi="fa-IR"/>
        </w:rPr>
        <w:t xml:space="preserve">d </w:t>
      </w:r>
      <w:r w:rsidR="00741941">
        <w:rPr>
          <w:vertAlign w:val="superscript"/>
          <w:lang w:bidi="fa-IR"/>
        </w:rPr>
        <w:t xml:space="preserve"> </w:t>
      </w:r>
      <w:r w:rsidR="00741941" w:rsidRPr="00A40229">
        <w:rPr>
          <w:lang w:bidi="fa-IR"/>
        </w:rPr>
        <w:t>=</w:t>
      </w:r>
      <w:r w:rsidR="00741941">
        <w:rPr>
          <w:lang w:bidi="fa-IR"/>
        </w:rPr>
        <w:t xml:space="preserve"> .26. </w:t>
      </w:r>
      <w:r w:rsidR="005A39FF">
        <w:t>T</w:t>
      </w:r>
      <w:r w:rsidR="0089080B">
        <w:t>he treatment group saw a 24.5% decrease in AAQ-II scores, while the waitlist group saw only a 2.2% decrease from time 1 to time 2.</w:t>
      </w:r>
    </w:p>
    <w:p w14:paraId="6C9F3613" w14:textId="77777777" w:rsidR="00C246DF" w:rsidRDefault="00C246DF" w:rsidP="00050242">
      <w:pPr>
        <w:pStyle w:val="BodyText1"/>
        <w:spacing w:before="0" w:after="0"/>
        <w:rPr>
          <w:rFonts w:ascii="Times New Roman" w:hAnsi="Times New Roman" w:cs="Times New Roman"/>
          <w:b/>
        </w:rPr>
      </w:pPr>
      <w:r>
        <w:rPr>
          <w:rFonts w:ascii="Times New Roman" w:hAnsi="Times New Roman" w:cs="Times New Roman"/>
          <w:b/>
        </w:rPr>
        <w:t>Session-by-Session Self-Reported Data</w:t>
      </w:r>
    </w:p>
    <w:p w14:paraId="32EA5709" w14:textId="77777777" w:rsidR="002F2D9B" w:rsidRDefault="00C246DF" w:rsidP="00050242">
      <w:pPr>
        <w:pStyle w:val="BodyText1"/>
        <w:spacing w:before="0" w:after="0"/>
        <w:rPr>
          <w:rFonts w:ascii="Times New Roman" w:hAnsi="Times New Roman" w:cs="Times New Roman"/>
        </w:rPr>
      </w:pPr>
      <w:r>
        <w:rPr>
          <w:rFonts w:ascii="Times New Roman" w:hAnsi="Times New Roman" w:cs="Times New Roman"/>
        </w:rPr>
        <w:tab/>
      </w:r>
      <w:r w:rsidR="00F55997">
        <w:rPr>
          <w:rFonts w:ascii="Times New Roman" w:hAnsi="Times New Roman" w:cs="Times New Roman"/>
        </w:rPr>
        <w:t xml:space="preserve">The daily tracking forms for each session were used </w:t>
      </w:r>
      <w:r w:rsidR="00654F9D">
        <w:rPr>
          <w:rFonts w:ascii="Times New Roman" w:hAnsi="Times New Roman" w:cs="Times New Roman"/>
        </w:rPr>
        <w:t>t</w:t>
      </w:r>
      <w:r w:rsidR="001001AF">
        <w:rPr>
          <w:rFonts w:ascii="Times New Roman" w:hAnsi="Times New Roman" w:cs="Times New Roman"/>
        </w:rPr>
        <w:t>o t</w:t>
      </w:r>
      <w:r w:rsidR="00654F9D">
        <w:rPr>
          <w:rFonts w:ascii="Times New Roman" w:hAnsi="Times New Roman" w:cs="Times New Roman"/>
        </w:rPr>
        <w:t>rack the number of self-reported hairs pulled and urges experienced between each of the 10 sessions</w:t>
      </w:r>
      <w:r w:rsidR="00E2469E">
        <w:rPr>
          <w:rFonts w:ascii="Times New Roman" w:hAnsi="Times New Roman" w:cs="Times New Roman"/>
        </w:rPr>
        <w:t xml:space="preserve"> including all participants</w:t>
      </w:r>
      <w:r w:rsidR="00654F9D">
        <w:rPr>
          <w:rFonts w:ascii="Times New Roman" w:hAnsi="Times New Roman" w:cs="Times New Roman"/>
        </w:rPr>
        <w:t xml:space="preserve">. </w:t>
      </w:r>
      <w:r w:rsidR="00254B17">
        <w:rPr>
          <w:rFonts w:ascii="Times New Roman" w:hAnsi="Times New Roman" w:cs="Times New Roman"/>
        </w:rPr>
        <w:t>These data were collected for clinical purposes throughout the study and were examined following the completion of the trial in an exploratory manner</w:t>
      </w:r>
      <w:r w:rsidR="00425F40">
        <w:rPr>
          <w:rFonts w:ascii="Times New Roman" w:hAnsi="Times New Roman" w:cs="Times New Roman"/>
        </w:rPr>
        <w:t xml:space="preserve"> as they were potentially clinically useful</w:t>
      </w:r>
      <w:r w:rsidR="00254B17">
        <w:rPr>
          <w:rFonts w:ascii="Times New Roman" w:hAnsi="Times New Roman" w:cs="Times New Roman"/>
        </w:rPr>
        <w:t xml:space="preserve">. </w:t>
      </w:r>
      <w:r w:rsidR="00654F9D">
        <w:rPr>
          <w:rFonts w:ascii="Times New Roman" w:hAnsi="Times New Roman" w:cs="Times New Roman"/>
        </w:rPr>
        <w:t xml:space="preserve">Totals were averaged for each session and are displayed in Figure </w:t>
      </w:r>
      <w:r w:rsidR="0083265B">
        <w:rPr>
          <w:rFonts w:ascii="Times New Roman" w:hAnsi="Times New Roman" w:cs="Times New Roman"/>
        </w:rPr>
        <w:t>2</w:t>
      </w:r>
      <w:r w:rsidR="00654F9D">
        <w:rPr>
          <w:rFonts w:ascii="Times New Roman" w:hAnsi="Times New Roman" w:cs="Times New Roman"/>
        </w:rPr>
        <w:t>.</w:t>
      </w:r>
      <w:r w:rsidR="001E3CFC">
        <w:rPr>
          <w:rFonts w:ascii="Times New Roman" w:hAnsi="Times New Roman" w:cs="Times New Roman"/>
        </w:rPr>
        <w:t xml:space="preserve"> </w:t>
      </w:r>
      <w:r w:rsidR="00425F40">
        <w:rPr>
          <w:rFonts w:ascii="Times New Roman" w:hAnsi="Times New Roman" w:cs="Times New Roman"/>
        </w:rPr>
        <w:t>Visual inspection reveals that the number of hairs pulled generally reduces over the course of treatment while urges increase at sessions one and three and then remain relatively stable. Of note, t</w:t>
      </w:r>
      <w:r w:rsidR="001001AF">
        <w:rPr>
          <w:rFonts w:ascii="Times New Roman" w:hAnsi="Times New Roman" w:cs="Times New Roman"/>
        </w:rPr>
        <w:t>he number of reported urges experienced at pre-treatment was lower than any time throughout the course of treatment. This is likely due to the difficulty that many participants have in identifying urges and the lack of awareness of urges before beginning treatment. The spike in urges at sessions one and three might be, in part, explained by the awareness training and psychoeducation that occurs in early sessions.</w:t>
      </w:r>
    </w:p>
    <w:p w14:paraId="6319CFE8" w14:textId="77777777" w:rsidR="00571369" w:rsidRDefault="00571369" w:rsidP="00050242">
      <w:pPr>
        <w:pStyle w:val="BodyText1"/>
        <w:spacing w:before="0" w:after="0"/>
        <w:rPr>
          <w:rFonts w:ascii="Times New Roman" w:hAnsi="Times New Roman" w:cs="Times New Roman"/>
          <w:b/>
        </w:rPr>
      </w:pPr>
      <w:r>
        <w:rPr>
          <w:rFonts w:ascii="Times New Roman" w:hAnsi="Times New Roman" w:cs="Times New Roman"/>
          <w:b/>
        </w:rPr>
        <w:t>Differences in Adolescents and Adults</w:t>
      </w:r>
    </w:p>
    <w:p w14:paraId="7049D6BD" w14:textId="17D2BE86" w:rsidR="00571369" w:rsidRPr="00187BD6" w:rsidRDefault="00571369" w:rsidP="00050242">
      <w:pPr>
        <w:pStyle w:val="BodyText1"/>
        <w:spacing w:before="0" w:after="0"/>
        <w:rPr>
          <w:rFonts w:ascii="Times New Roman" w:hAnsi="Times New Roman" w:cs="Times New Roman"/>
        </w:rPr>
      </w:pPr>
      <w:r>
        <w:rPr>
          <w:rFonts w:ascii="Times New Roman" w:hAnsi="Times New Roman" w:cs="Times New Roman"/>
        </w:rPr>
        <w:tab/>
      </w:r>
      <w:bookmarkStart w:id="1" w:name="OLE_LINK8"/>
      <w:bookmarkStart w:id="2" w:name="OLE_LINK9"/>
      <w:r w:rsidR="00DD6ED9">
        <w:rPr>
          <w:rFonts w:ascii="Times New Roman" w:hAnsi="Times New Roman" w:cs="Times New Roman"/>
        </w:rPr>
        <w:t>Although the study’s sample</w:t>
      </w:r>
      <w:r w:rsidR="009E61E7">
        <w:rPr>
          <w:rFonts w:ascii="Times New Roman" w:hAnsi="Times New Roman" w:cs="Times New Roman"/>
        </w:rPr>
        <w:t xml:space="preserve"> size precluded formal statistical analysis of the differences between adults and adolescents</w:t>
      </w:r>
      <w:r w:rsidR="00B67E94">
        <w:rPr>
          <w:rFonts w:ascii="Times New Roman" w:hAnsi="Times New Roman" w:cs="Times New Roman"/>
        </w:rPr>
        <w:t>,</w:t>
      </w:r>
      <w:r w:rsidR="009E61E7">
        <w:rPr>
          <w:rFonts w:ascii="Times New Roman" w:hAnsi="Times New Roman" w:cs="Times New Roman"/>
        </w:rPr>
        <w:t xml:space="preserve"> the descriptive data are </w:t>
      </w:r>
      <w:r w:rsidR="00B67E94">
        <w:rPr>
          <w:rFonts w:ascii="Times New Roman" w:hAnsi="Times New Roman" w:cs="Times New Roman"/>
        </w:rPr>
        <w:t xml:space="preserve">worth </w:t>
      </w:r>
      <w:r w:rsidR="00343C9F">
        <w:rPr>
          <w:rFonts w:ascii="Times New Roman" w:hAnsi="Times New Roman" w:cs="Times New Roman"/>
        </w:rPr>
        <w:t xml:space="preserve">cautious </w:t>
      </w:r>
      <w:r w:rsidR="00B67E94">
        <w:rPr>
          <w:rFonts w:ascii="Times New Roman" w:hAnsi="Times New Roman" w:cs="Times New Roman"/>
        </w:rPr>
        <w:t>consideration</w:t>
      </w:r>
      <w:r w:rsidR="009E61E7">
        <w:rPr>
          <w:rFonts w:ascii="Times New Roman" w:hAnsi="Times New Roman" w:cs="Times New Roman"/>
        </w:rPr>
        <w:t xml:space="preserve">. </w:t>
      </w:r>
      <w:bookmarkEnd w:id="1"/>
      <w:bookmarkEnd w:id="2"/>
      <w:r w:rsidR="000E0672">
        <w:rPr>
          <w:rFonts w:ascii="Times New Roman" w:hAnsi="Times New Roman" w:cs="Times New Roman"/>
        </w:rPr>
        <w:t xml:space="preserve">Descriptive statistics broken down by age group and treatment group are displayed in Table 3. </w:t>
      </w:r>
      <w:r w:rsidR="009E61E7">
        <w:rPr>
          <w:rFonts w:ascii="Times New Roman" w:hAnsi="Times New Roman" w:cs="Times New Roman"/>
        </w:rPr>
        <w:t xml:space="preserve">The full sample of 39 </w:t>
      </w:r>
      <w:r w:rsidR="00B67E94">
        <w:rPr>
          <w:rFonts w:ascii="Times New Roman" w:hAnsi="Times New Roman" w:cs="Times New Roman"/>
        </w:rPr>
        <w:t xml:space="preserve">participants </w:t>
      </w:r>
      <w:r w:rsidR="009E61E7">
        <w:rPr>
          <w:rFonts w:ascii="Times New Roman" w:hAnsi="Times New Roman" w:cs="Times New Roman"/>
        </w:rPr>
        <w:t>consisted of 1</w:t>
      </w:r>
      <w:r w:rsidR="00B67E94">
        <w:rPr>
          <w:rFonts w:ascii="Times New Roman" w:hAnsi="Times New Roman" w:cs="Times New Roman"/>
        </w:rPr>
        <w:t xml:space="preserve">4 adolescents </w:t>
      </w:r>
      <w:r w:rsidR="009E61E7">
        <w:rPr>
          <w:rFonts w:ascii="Times New Roman" w:hAnsi="Times New Roman" w:cs="Times New Roman"/>
        </w:rPr>
        <w:t>(35.9%) that were evenly distributed between the treatment and waitlist conditions by percent (36.4% and 35.3%, respectively).</w:t>
      </w:r>
      <w:r w:rsidR="00B67E94">
        <w:rPr>
          <w:rFonts w:ascii="Times New Roman" w:hAnsi="Times New Roman" w:cs="Times New Roman"/>
        </w:rPr>
        <w:t xml:space="preserve"> Overall, a</w:t>
      </w:r>
      <w:r w:rsidR="009E61E7">
        <w:rPr>
          <w:rFonts w:ascii="Times New Roman" w:hAnsi="Times New Roman" w:cs="Times New Roman"/>
        </w:rPr>
        <w:t>dults appeared to be more responsive to treatment</w:t>
      </w:r>
      <w:r w:rsidR="00B67E94">
        <w:rPr>
          <w:rFonts w:ascii="Times New Roman" w:hAnsi="Times New Roman" w:cs="Times New Roman"/>
        </w:rPr>
        <w:t xml:space="preserve"> than adolescents</w:t>
      </w:r>
      <w:r w:rsidR="009E61E7">
        <w:rPr>
          <w:rFonts w:ascii="Times New Roman" w:hAnsi="Times New Roman" w:cs="Times New Roman"/>
        </w:rPr>
        <w:t xml:space="preserve">. </w:t>
      </w:r>
      <w:r w:rsidR="00B67E94">
        <w:rPr>
          <w:rFonts w:ascii="Times New Roman" w:hAnsi="Times New Roman" w:cs="Times New Roman"/>
        </w:rPr>
        <w:t xml:space="preserve">On average, </w:t>
      </w:r>
      <w:r w:rsidR="009E61E7">
        <w:rPr>
          <w:rFonts w:ascii="Times New Roman" w:hAnsi="Times New Roman" w:cs="Times New Roman"/>
        </w:rPr>
        <w:t>MGH-HS scores were reduced by 56.7% in adults and 30.8% in adolescents. Moreover, seven of the eight adults who completed treatment saw a clinically significant reduction (seven points or more) in MGH-HS scores, while only two of the seven adolescents did.</w:t>
      </w:r>
      <w:r w:rsidR="00187BD6">
        <w:rPr>
          <w:rFonts w:ascii="Times New Roman" w:hAnsi="Times New Roman" w:cs="Times New Roman"/>
        </w:rPr>
        <w:t xml:space="preserve"> Furthermore, the adults saw meaningful reductions in the number of hairs pulled (90.1%</w:t>
      </w:r>
      <w:r w:rsidR="00B67E94">
        <w:rPr>
          <w:rFonts w:ascii="Times New Roman" w:hAnsi="Times New Roman" w:cs="Times New Roman"/>
        </w:rPr>
        <w:t xml:space="preserve"> on average</w:t>
      </w:r>
      <w:r w:rsidR="00187BD6">
        <w:rPr>
          <w:rFonts w:ascii="Times New Roman" w:hAnsi="Times New Roman" w:cs="Times New Roman"/>
        </w:rPr>
        <w:t xml:space="preserve">), while adolescents saw a small </w:t>
      </w:r>
      <w:r w:rsidR="00187BD6">
        <w:rPr>
          <w:rFonts w:ascii="Times New Roman" w:hAnsi="Times New Roman" w:cs="Times New Roman"/>
          <w:i/>
        </w:rPr>
        <w:t>increase</w:t>
      </w:r>
      <w:r w:rsidR="00187BD6">
        <w:rPr>
          <w:rFonts w:ascii="Times New Roman" w:hAnsi="Times New Roman" w:cs="Times New Roman"/>
        </w:rPr>
        <w:t xml:space="preserve"> in the number of hairs pulled (3.8%</w:t>
      </w:r>
      <w:r w:rsidR="00B67E94">
        <w:rPr>
          <w:rFonts w:ascii="Times New Roman" w:hAnsi="Times New Roman" w:cs="Times New Roman"/>
        </w:rPr>
        <w:t xml:space="preserve"> on average</w:t>
      </w:r>
      <w:r w:rsidR="00187BD6">
        <w:rPr>
          <w:rFonts w:ascii="Times New Roman" w:hAnsi="Times New Roman" w:cs="Times New Roman"/>
        </w:rPr>
        <w:t xml:space="preserve">). This pattern </w:t>
      </w:r>
      <w:r w:rsidR="00B67E94">
        <w:rPr>
          <w:rFonts w:ascii="Times New Roman" w:hAnsi="Times New Roman" w:cs="Times New Roman"/>
        </w:rPr>
        <w:t>continued for psychological flexibility. On average, adults saw a 35.6% improvement on AAQ-II scores, while adolescents saw a</w:t>
      </w:r>
      <w:r w:rsidR="00B07150">
        <w:rPr>
          <w:rFonts w:ascii="Times New Roman" w:hAnsi="Times New Roman" w:cs="Times New Roman"/>
        </w:rPr>
        <w:t>n</w:t>
      </w:r>
      <w:r w:rsidR="00117362">
        <w:rPr>
          <w:rFonts w:ascii="Times New Roman" w:hAnsi="Times New Roman" w:cs="Times New Roman"/>
        </w:rPr>
        <w:t xml:space="preserve"> 11.3% improvement. </w:t>
      </w:r>
      <w:r w:rsidR="00B67E94">
        <w:rPr>
          <w:rFonts w:ascii="Times New Roman" w:hAnsi="Times New Roman" w:cs="Times New Roman"/>
        </w:rPr>
        <w:t>These findings indicate that while overall, the treatment produced significant improvements, the majority of these improvements were made by the adult participants.</w:t>
      </w:r>
    </w:p>
    <w:p w14:paraId="5BBFFA3C" w14:textId="77777777" w:rsidR="00B24474" w:rsidRPr="00B24474" w:rsidRDefault="00B24474" w:rsidP="00B24474">
      <w:pPr>
        <w:pStyle w:val="BodyText1"/>
        <w:spacing w:before="0" w:after="0"/>
        <w:jc w:val="center"/>
        <w:rPr>
          <w:rFonts w:ascii="Times New Roman" w:hAnsi="Times New Roman" w:cs="Times New Roman"/>
          <w:b/>
          <w:bCs/>
        </w:rPr>
      </w:pPr>
      <w:r>
        <w:rPr>
          <w:rFonts w:ascii="Times New Roman" w:hAnsi="Times New Roman" w:cs="Times New Roman"/>
          <w:b/>
          <w:bCs/>
        </w:rPr>
        <w:t>Discussion</w:t>
      </w:r>
    </w:p>
    <w:p w14:paraId="6EEFA716" w14:textId="041D2120" w:rsidR="000D3D93" w:rsidRDefault="00CB44D5" w:rsidP="00CA5AC8">
      <w:pPr>
        <w:pStyle w:val="BodyText1"/>
        <w:numPr>
          <w:ilvl w:val="0"/>
          <w:numId w:val="0"/>
        </w:numPr>
        <w:spacing w:before="0" w:after="0"/>
        <w:ind w:firstLine="720"/>
        <w:rPr>
          <w:rFonts w:ascii="Times New Roman" w:hAnsi="Times New Roman" w:cs="Times New Roman"/>
        </w:rPr>
      </w:pPr>
      <w:r>
        <w:rPr>
          <w:rFonts w:ascii="Times New Roman" w:hAnsi="Times New Roman" w:cs="Times New Roman"/>
        </w:rPr>
        <w:t xml:space="preserve">ACT has been used as a </w:t>
      </w:r>
      <w:r w:rsidR="0083265B">
        <w:rPr>
          <w:rFonts w:ascii="Times New Roman" w:hAnsi="Times New Roman" w:cs="Times New Roman"/>
        </w:rPr>
        <w:t xml:space="preserve">treatment </w:t>
      </w:r>
      <w:r>
        <w:rPr>
          <w:rFonts w:ascii="Times New Roman" w:hAnsi="Times New Roman" w:cs="Times New Roman"/>
        </w:rPr>
        <w:t xml:space="preserve">component in many successful trichotillomania </w:t>
      </w:r>
      <w:r w:rsidR="00C948F3">
        <w:rPr>
          <w:rFonts w:ascii="Times New Roman" w:hAnsi="Times New Roman" w:cs="Times New Roman"/>
        </w:rPr>
        <w:t>trials</w:t>
      </w:r>
      <w:r w:rsidR="001F0DA0">
        <w:rPr>
          <w:rFonts w:ascii="Times New Roman" w:hAnsi="Times New Roman" w:cs="Times New Roman"/>
        </w:rPr>
        <w:t xml:space="preserve"> </w:t>
      </w:r>
      <w:r w:rsidR="0068689D">
        <w:rPr>
          <w:rFonts w:ascii="Times New Roman" w:hAnsi="Times New Roman" w:cs="Times New Roman"/>
          <w:noProof/>
        </w:rPr>
        <w:t>(</w:t>
      </w:r>
      <w:r w:rsidR="00B86F17">
        <w:rPr>
          <w:rFonts w:ascii="Times New Roman" w:hAnsi="Times New Roman" w:cs="Times New Roman"/>
          <w:noProof/>
        </w:rPr>
        <w:t xml:space="preserve">e.g., </w:t>
      </w:r>
      <w:r w:rsidR="0068689D">
        <w:rPr>
          <w:rFonts w:ascii="Times New Roman" w:hAnsi="Times New Roman" w:cs="Times New Roman"/>
          <w:noProof/>
        </w:rPr>
        <w:t>Crosby et al., 2012; Fine et al., 2012)</w:t>
      </w:r>
      <w:r w:rsidR="0068689D">
        <w:rPr>
          <w:rFonts w:ascii="Times New Roman" w:hAnsi="Times New Roman" w:cs="Times New Roman"/>
        </w:rPr>
        <w:t xml:space="preserve">. </w:t>
      </w:r>
      <w:r w:rsidR="00C948F3">
        <w:rPr>
          <w:rFonts w:ascii="Times New Roman" w:hAnsi="Times New Roman" w:cs="Times New Roman"/>
        </w:rPr>
        <w:t>However,</w:t>
      </w:r>
      <w:r>
        <w:rPr>
          <w:rFonts w:ascii="Times New Roman" w:hAnsi="Times New Roman" w:cs="Times New Roman"/>
        </w:rPr>
        <w:t xml:space="preserve"> </w:t>
      </w:r>
      <w:r w:rsidR="00C948F3">
        <w:rPr>
          <w:rFonts w:ascii="Times New Roman" w:hAnsi="Times New Roman" w:cs="Times New Roman"/>
        </w:rPr>
        <w:t xml:space="preserve">until now, </w:t>
      </w:r>
      <w:r w:rsidR="0083265B">
        <w:rPr>
          <w:rFonts w:ascii="Times New Roman" w:hAnsi="Times New Roman" w:cs="Times New Roman"/>
        </w:rPr>
        <w:t>ACT</w:t>
      </w:r>
      <w:r>
        <w:rPr>
          <w:rFonts w:ascii="Times New Roman" w:hAnsi="Times New Roman" w:cs="Times New Roman"/>
        </w:rPr>
        <w:t xml:space="preserve"> has not been examined as an independent treatment, thus making it difficult to understand what </w:t>
      </w:r>
      <w:r w:rsidR="00CA5AC8">
        <w:rPr>
          <w:rFonts w:ascii="Times New Roman" w:hAnsi="Times New Roman" w:cs="Times New Roman"/>
        </w:rPr>
        <w:t>it</w:t>
      </w:r>
      <w:r w:rsidR="0083265B">
        <w:rPr>
          <w:rFonts w:ascii="Times New Roman" w:hAnsi="Times New Roman" w:cs="Times New Roman"/>
        </w:rPr>
        <w:t xml:space="preserve"> might contribute</w:t>
      </w:r>
      <w:r>
        <w:rPr>
          <w:rFonts w:ascii="Times New Roman" w:hAnsi="Times New Roman" w:cs="Times New Roman"/>
        </w:rPr>
        <w:t xml:space="preserve"> </w:t>
      </w:r>
      <w:r w:rsidR="00C948F3">
        <w:rPr>
          <w:rFonts w:ascii="Times New Roman" w:hAnsi="Times New Roman" w:cs="Times New Roman"/>
        </w:rPr>
        <w:t xml:space="preserve">to </w:t>
      </w:r>
      <w:r w:rsidR="0089080B">
        <w:rPr>
          <w:rFonts w:ascii="Times New Roman" w:hAnsi="Times New Roman" w:cs="Times New Roman"/>
        </w:rPr>
        <w:t xml:space="preserve">the </w:t>
      </w:r>
      <w:r w:rsidR="00C948F3">
        <w:rPr>
          <w:rFonts w:ascii="Times New Roman" w:hAnsi="Times New Roman" w:cs="Times New Roman"/>
        </w:rPr>
        <w:t>treatment</w:t>
      </w:r>
      <w:r w:rsidR="0089080B">
        <w:rPr>
          <w:rFonts w:ascii="Times New Roman" w:hAnsi="Times New Roman" w:cs="Times New Roman"/>
        </w:rPr>
        <w:t xml:space="preserve"> of </w:t>
      </w:r>
      <w:r w:rsidR="0076149E">
        <w:rPr>
          <w:rFonts w:ascii="Times New Roman" w:hAnsi="Times New Roman" w:cs="Times New Roman"/>
        </w:rPr>
        <w:t>trichotillomania</w:t>
      </w:r>
      <w:r w:rsidR="00C948F3">
        <w:rPr>
          <w:rFonts w:ascii="Times New Roman" w:hAnsi="Times New Roman" w:cs="Times New Roman"/>
        </w:rPr>
        <w:t xml:space="preserve">. The current study </w:t>
      </w:r>
      <w:r w:rsidR="00111892">
        <w:rPr>
          <w:rFonts w:ascii="Times New Roman" w:hAnsi="Times New Roman" w:cs="Times New Roman"/>
        </w:rPr>
        <w:t>was an attempt to examine</w:t>
      </w:r>
      <w:r w:rsidR="00C948F3">
        <w:rPr>
          <w:rFonts w:ascii="Times New Roman" w:hAnsi="Times New Roman" w:cs="Times New Roman"/>
        </w:rPr>
        <w:t xml:space="preserve"> ACT alone as a treatment for trichotillomania in </w:t>
      </w:r>
      <w:r w:rsidR="00EA423F">
        <w:rPr>
          <w:rFonts w:ascii="Times New Roman" w:hAnsi="Times New Roman" w:cs="Times New Roman"/>
        </w:rPr>
        <w:t>a</w:t>
      </w:r>
      <w:r w:rsidR="00C948F3">
        <w:rPr>
          <w:rFonts w:ascii="Times New Roman" w:hAnsi="Times New Roman" w:cs="Times New Roman"/>
        </w:rPr>
        <w:t xml:space="preserve"> trial that included adults and adolescents. In addition, </w:t>
      </w:r>
      <w:r w:rsidR="00111892">
        <w:rPr>
          <w:rFonts w:ascii="Times New Roman" w:hAnsi="Times New Roman" w:cs="Times New Roman"/>
        </w:rPr>
        <w:t>the role of psychological flexibility in treatment outcomes was examined.</w:t>
      </w:r>
      <w:r w:rsidR="00CA5AC8">
        <w:rPr>
          <w:rFonts w:ascii="Times New Roman" w:hAnsi="Times New Roman" w:cs="Times New Roman"/>
        </w:rPr>
        <w:t xml:space="preserve"> </w:t>
      </w:r>
      <w:r w:rsidR="000D3D93">
        <w:rPr>
          <w:rFonts w:ascii="Times New Roman" w:hAnsi="Times New Roman" w:cs="Times New Roman"/>
        </w:rPr>
        <w:t>The results indicate that</w:t>
      </w:r>
      <w:r w:rsidR="00F26929">
        <w:rPr>
          <w:rFonts w:ascii="Times New Roman" w:hAnsi="Times New Roman" w:cs="Times New Roman"/>
        </w:rPr>
        <w:t xml:space="preserve"> some, but not all, adults and adolescents respond to</w:t>
      </w:r>
      <w:r w:rsidR="000D3D93">
        <w:rPr>
          <w:rFonts w:ascii="Times New Roman" w:hAnsi="Times New Roman" w:cs="Times New Roman"/>
        </w:rPr>
        <w:t xml:space="preserve"> ACT alone </w:t>
      </w:r>
      <w:r w:rsidR="00F26929">
        <w:rPr>
          <w:rFonts w:ascii="Times New Roman" w:hAnsi="Times New Roman" w:cs="Times New Roman"/>
        </w:rPr>
        <w:t xml:space="preserve">as a treatment for trichotillomania with </w:t>
      </w:r>
      <w:r w:rsidR="00B67E94">
        <w:rPr>
          <w:rFonts w:ascii="Times New Roman" w:hAnsi="Times New Roman" w:cs="Times New Roman"/>
        </w:rPr>
        <w:t xml:space="preserve">adolescents </w:t>
      </w:r>
      <w:r w:rsidR="00F26929">
        <w:rPr>
          <w:rFonts w:ascii="Times New Roman" w:hAnsi="Times New Roman" w:cs="Times New Roman"/>
        </w:rPr>
        <w:t>demonstrating overall less improvement</w:t>
      </w:r>
      <w:r w:rsidR="00B67E94">
        <w:rPr>
          <w:rFonts w:ascii="Times New Roman" w:hAnsi="Times New Roman" w:cs="Times New Roman"/>
        </w:rPr>
        <w:t xml:space="preserve"> than adults</w:t>
      </w:r>
      <w:r w:rsidR="000D3D93">
        <w:rPr>
          <w:rFonts w:ascii="Times New Roman" w:hAnsi="Times New Roman" w:cs="Times New Roman"/>
        </w:rPr>
        <w:t>. The measured outcomes appear to be similar to trial</w:t>
      </w:r>
      <w:r w:rsidR="0083265B">
        <w:rPr>
          <w:rFonts w:ascii="Times New Roman" w:hAnsi="Times New Roman" w:cs="Times New Roman"/>
        </w:rPr>
        <w:t>s</w:t>
      </w:r>
      <w:r w:rsidR="00CA5AC8">
        <w:rPr>
          <w:rFonts w:ascii="Times New Roman" w:hAnsi="Times New Roman" w:cs="Times New Roman"/>
        </w:rPr>
        <w:t xml:space="preserve"> that combined ACT and HRT with hair pulling severity and the number of daily hairs pulled seeing significant reductions from pre- to post-treatment.</w:t>
      </w:r>
      <w:r w:rsidR="00D10202">
        <w:rPr>
          <w:rFonts w:ascii="Times New Roman" w:hAnsi="Times New Roman" w:cs="Times New Roman"/>
        </w:rPr>
        <w:t xml:space="preserve"> For example, the largest randomized trial of ACT/HRT for trichotillomania to date demonstrated a 45% reduction in hair pulling severity (MGH-HS) scores from pre- to post-treatment</w:t>
      </w:r>
      <w:r w:rsidR="00CA56AF">
        <w:rPr>
          <w:rFonts w:ascii="Times New Roman" w:hAnsi="Times New Roman" w:cs="Times New Roman"/>
        </w:rPr>
        <w:t>, compared to 47</w:t>
      </w:r>
      <w:r w:rsidR="00D10202">
        <w:rPr>
          <w:rFonts w:ascii="Times New Roman" w:hAnsi="Times New Roman" w:cs="Times New Roman"/>
        </w:rPr>
        <w:t>% in the current study</w:t>
      </w:r>
      <w:r w:rsidR="00CA56AF">
        <w:rPr>
          <w:rFonts w:ascii="Times New Roman" w:hAnsi="Times New Roman" w:cs="Times New Roman"/>
        </w:rPr>
        <w:t xml:space="preserve"> </w:t>
      </w:r>
      <w:r w:rsidR="00CA56AF">
        <w:rPr>
          <w:rFonts w:ascii="Times New Roman" w:hAnsi="Times New Roman" w:cs="Times New Roman"/>
        </w:rPr>
        <w:fldChar w:fldCharType="begin"/>
      </w:r>
      <w:r w:rsidR="00CA56AF">
        <w:rPr>
          <w:rFonts w:ascii="Times New Roman" w:hAnsi="Times New Roman" w:cs="Times New Roman"/>
        </w:rPr>
        <w:instrText xml:space="preserve"> ADDIN EN.CITE &lt;EndNote&gt;&lt;Cite&gt;&lt;Author&gt;Woods&lt;/Author&gt;&lt;Year&gt;2006&lt;/Year&gt;&lt;RecNum&gt;1719&lt;/RecNum&gt;&lt;DisplayText&gt;(Woods et al., 2006)&lt;/DisplayText&gt;&lt;record&gt;&lt;rec-number&gt;1719&lt;/rec-number&gt;&lt;foreign-keys&gt;&lt;key app="EN" db-id="2v200vasqv9ttfes2zoxf092sstsfexszx90" timestamp="1489168299"&gt;1719&lt;/key&gt;&lt;/foreign-keys&gt;&lt;ref-type name="Journal Article"&gt;17&lt;/ref-type&gt;&lt;contributors&gt;&lt;authors&gt;&lt;author&gt;Woods, Douglas W.&lt;/author&gt;&lt;author&gt;Wetterneck, Chad T.&lt;/author&gt;&lt;author&gt;Flessner, Christopher A.&lt;/author&gt;&lt;/authors&gt;&lt;/contributors&gt;&lt;auth-address&gt;Woods, Douglas W., Department of Psychology, University of Wisconsin-Milwaukee, Grand Hall, P.O. Box 413, Milwaukee, WI, US, 53201 0413, dwoods@uwm.edu&lt;/auth-address&gt;&lt;titles&gt;&lt;title&gt;A controlled evaluation of acceptance and commitment therapy plus habit reversal for trichotillomania&lt;/title&gt;&lt;secondary-title&gt;Behaviour Research and Therapy&lt;/secondary-title&gt;&lt;/titles&gt;&lt;periodical&gt;&lt;full-title&gt;Behaviour Research and Therapy&lt;/full-title&gt;&lt;/periodical&gt;&lt;pages&gt;639-656&lt;/pages&gt;&lt;volume&gt;44&lt;/volume&gt;&lt;number&gt;5&lt;/number&gt;&lt;keywords&gt;&lt;keyword&gt;acceptance and commitment therapy&lt;/keyword&gt;&lt;keyword&gt;habit reversal training&lt;/keyword&gt;&lt;keyword&gt;trichotillomania&lt;/keyword&gt;&lt;keyword&gt;Commitment&lt;/keyword&gt;&lt;keyword&gt;Habits&lt;/keyword&gt;&lt;keyword&gt;Intervention&lt;/keyword&gt;&lt;/keywords&gt;&lt;dates&gt;&lt;year&gt;2006&lt;/year&gt;&lt;/dates&gt;&lt;pub-location&gt;Netherlands&lt;/pub-location&gt;&lt;publisher&gt;Elsevier Science&lt;/publisher&gt;&lt;isbn&gt;0005-7967&lt;/isbn&gt;&lt;urls&gt;&lt;related-urls&gt;&lt;url&gt;10.1016/j.brat.2005.05.006&lt;/url&gt;&lt;url&gt;http://search.ebscohost.com/login.aspx?direct=true&amp;amp;db=psyh&amp;amp;AN=2006-03658-002&amp;amp;site=ehost-live&lt;/url&gt;&lt;url&gt;dwoods@uwm.edu&lt;/url&gt;&lt;/related-urls&gt;&lt;/urls&gt;&lt;/record&gt;&lt;/Cite&gt;&lt;/EndNote&gt;</w:instrText>
      </w:r>
      <w:r w:rsidR="00CA56AF">
        <w:rPr>
          <w:rFonts w:ascii="Times New Roman" w:hAnsi="Times New Roman" w:cs="Times New Roman"/>
        </w:rPr>
        <w:fldChar w:fldCharType="separate"/>
      </w:r>
      <w:r w:rsidR="00CA56AF">
        <w:rPr>
          <w:rFonts w:ascii="Times New Roman" w:hAnsi="Times New Roman" w:cs="Times New Roman"/>
          <w:noProof/>
        </w:rPr>
        <w:t>(Woods et al., 2006)</w:t>
      </w:r>
      <w:r w:rsidR="00CA56AF">
        <w:rPr>
          <w:rFonts w:ascii="Times New Roman" w:hAnsi="Times New Roman" w:cs="Times New Roman"/>
        </w:rPr>
        <w:fldChar w:fldCharType="end"/>
      </w:r>
      <w:r w:rsidR="00D10202">
        <w:rPr>
          <w:rFonts w:ascii="Times New Roman" w:hAnsi="Times New Roman" w:cs="Times New Roman"/>
        </w:rPr>
        <w:t xml:space="preserve">. Moreover, </w:t>
      </w:r>
      <w:r w:rsidR="00CA56AF">
        <w:rPr>
          <w:rFonts w:ascii="Times New Roman" w:hAnsi="Times New Roman" w:cs="Times New Roman"/>
        </w:rPr>
        <w:t>the self-reported number of hairs pulled fell 58% in the ACT/HRT trial compared to 77</w:t>
      </w:r>
      <w:r w:rsidR="00D10202">
        <w:rPr>
          <w:rFonts w:ascii="Times New Roman" w:hAnsi="Times New Roman" w:cs="Times New Roman"/>
        </w:rPr>
        <w:t>%</w:t>
      </w:r>
      <w:r w:rsidR="00CA56AF">
        <w:rPr>
          <w:rFonts w:ascii="Times New Roman" w:hAnsi="Times New Roman" w:cs="Times New Roman"/>
        </w:rPr>
        <w:t xml:space="preserve"> in the current study.</w:t>
      </w:r>
    </w:p>
    <w:p w14:paraId="7AE9E848" w14:textId="7FD321C8" w:rsidR="002D7841" w:rsidRDefault="00B86F17" w:rsidP="000D3D93">
      <w:pPr>
        <w:pStyle w:val="BodyText1"/>
        <w:numPr>
          <w:ilvl w:val="0"/>
          <w:numId w:val="0"/>
        </w:numPr>
        <w:spacing w:before="0" w:after="0"/>
        <w:ind w:firstLine="720"/>
        <w:rPr>
          <w:rFonts w:ascii="Times New Roman" w:hAnsi="Times New Roman" w:cs="Times New Roman"/>
        </w:rPr>
      </w:pPr>
      <w:r>
        <w:rPr>
          <w:rFonts w:ascii="Times New Roman" w:hAnsi="Times New Roman" w:cs="Times New Roman"/>
        </w:rPr>
        <w:t>As a field, we need to continue to investigate the processes of change that these interventions work through</w:t>
      </w:r>
      <w:r w:rsidR="00591479">
        <w:rPr>
          <w:rFonts w:ascii="Times New Roman" w:hAnsi="Times New Roman" w:cs="Times New Roman"/>
        </w:rPr>
        <w:t>.</w:t>
      </w:r>
      <w:r>
        <w:rPr>
          <w:rFonts w:ascii="Times New Roman" w:hAnsi="Times New Roman" w:cs="Times New Roman"/>
        </w:rPr>
        <w:t xml:space="preserve"> For example, surface level comparisons of ACT and HRT might indicate process similarities, but only empirical work will really answer this question.</w:t>
      </w:r>
      <w:r w:rsidR="00591479">
        <w:rPr>
          <w:rFonts w:ascii="Times New Roman" w:hAnsi="Times New Roman" w:cs="Times New Roman"/>
        </w:rPr>
        <w:t xml:space="preserve"> </w:t>
      </w:r>
      <w:r w:rsidR="00CC3EEC">
        <w:rPr>
          <w:rFonts w:ascii="Times New Roman" w:hAnsi="Times New Roman" w:cs="Times New Roman"/>
        </w:rPr>
        <w:t>Contacting the present moment in ACT emphasizes awareness</w:t>
      </w:r>
      <w:r w:rsidR="00F07FFC">
        <w:rPr>
          <w:rFonts w:ascii="Times New Roman" w:hAnsi="Times New Roman" w:cs="Times New Roman"/>
        </w:rPr>
        <w:t xml:space="preserve"> and openness to experiences and often includes describing th</w:t>
      </w:r>
      <w:r w:rsidR="003D1AF1">
        <w:rPr>
          <w:rFonts w:ascii="Times New Roman" w:hAnsi="Times New Roman" w:cs="Times New Roman"/>
        </w:rPr>
        <w:t>oughts, urges, and sensations</w:t>
      </w:r>
      <w:r w:rsidR="00AC25BF">
        <w:rPr>
          <w:rFonts w:ascii="Times New Roman" w:hAnsi="Times New Roman" w:cs="Times New Roman"/>
        </w:rPr>
        <w:t xml:space="preserve"> without attempts to change or control them while engaging in valued behavior. This process is similar to awareness training found in HRT that attempts to bring greater attention to urges to reduce automatic pulling. </w:t>
      </w:r>
      <w:r w:rsidR="00CF4688">
        <w:rPr>
          <w:rFonts w:ascii="Times New Roman" w:hAnsi="Times New Roman" w:cs="Times New Roman"/>
        </w:rPr>
        <w:t xml:space="preserve">In addition, components of HRT, like stimulus control and competing responses functionally reflect the </w:t>
      </w:r>
      <w:r w:rsidR="00FF09F5">
        <w:rPr>
          <w:rFonts w:ascii="Times New Roman" w:hAnsi="Times New Roman" w:cs="Times New Roman"/>
        </w:rPr>
        <w:t xml:space="preserve">acceptance, </w:t>
      </w:r>
      <w:r w:rsidR="00CF4688">
        <w:rPr>
          <w:rFonts w:ascii="Times New Roman" w:hAnsi="Times New Roman" w:cs="Times New Roman"/>
        </w:rPr>
        <w:t>values</w:t>
      </w:r>
      <w:r w:rsidR="00FF09F5">
        <w:rPr>
          <w:rFonts w:ascii="Times New Roman" w:hAnsi="Times New Roman" w:cs="Times New Roman"/>
        </w:rPr>
        <w:t>,</w:t>
      </w:r>
      <w:r w:rsidR="00CF4688">
        <w:rPr>
          <w:rFonts w:ascii="Times New Roman" w:hAnsi="Times New Roman" w:cs="Times New Roman"/>
        </w:rPr>
        <w:t xml:space="preserve"> and committed action processes in ACT</w:t>
      </w:r>
      <w:r w:rsidR="00A4687D">
        <w:rPr>
          <w:rFonts w:ascii="Times New Roman" w:hAnsi="Times New Roman" w:cs="Times New Roman"/>
        </w:rPr>
        <w:t xml:space="preserve"> that encourage commitments to engage in meaningful behavior while </w:t>
      </w:r>
      <w:r w:rsidR="00FF09F5">
        <w:rPr>
          <w:rFonts w:ascii="Times New Roman" w:hAnsi="Times New Roman" w:cs="Times New Roman"/>
        </w:rPr>
        <w:t>at the same time being willing to experience urges to pull</w:t>
      </w:r>
      <w:r w:rsidR="00CF4688">
        <w:rPr>
          <w:rFonts w:ascii="Times New Roman" w:hAnsi="Times New Roman" w:cs="Times New Roman"/>
        </w:rPr>
        <w:t>.</w:t>
      </w:r>
      <w:r w:rsidR="00A4687D">
        <w:rPr>
          <w:rFonts w:ascii="Times New Roman" w:hAnsi="Times New Roman" w:cs="Times New Roman"/>
        </w:rPr>
        <w:t xml:space="preserve"> </w:t>
      </w:r>
    </w:p>
    <w:p w14:paraId="7A810492" w14:textId="77777777" w:rsidR="00FF09F5" w:rsidRDefault="00FF09F5" w:rsidP="00AD095A">
      <w:pPr>
        <w:pStyle w:val="BodyText1"/>
        <w:numPr>
          <w:ilvl w:val="0"/>
          <w:numId w:val="0"/>
        </w:numPr>
        <w:spacing w:before="0" w:after="0"/>
        <w:ind w:firstLine="720"/>
        <w:rPr>
          <w:rFonts w:ascii="Times New Roman" w:hAnsi="Times New Roman" w:cs="Times New Roman"/>
        </w:rPr>
      </w:pPr>
      <w:r>
        <w:rPr>
          <w:rFonts w:ascii="Times New Roman" w:hAnsi="Times New Roman" w:cs="Times New Roman"/>
        </w:rPr>
        <w:t xml:space="preserve">ACT alone and ACT/HRT appear to be quality treatments for </w:t>
      </w:r>
      <w:r w:rsidR="00F26929">
        <w:rPr>
          <w:rFonts w:ascii="Times New Roman" w:hAnsi="Times New Roman" w:cs="Times New Roman"/>
        </w:rPr>
        <w:t xml:space="preserve">at least a significant portion of individuals with </w:t>
      </w:r>
      <w:r>
        <w:rPr>
          <w:rFonts w:ascii="Times New Roman" w:hAnsi="Times New Roman" w:cs="Times New Roman"/>
        </w:rPr>
        <w:t xml:space="preserve">trichotillomania. It is likely that both share </w:t>
      </w:r>
      <w:r w:rsidR="00C8450D">
        <w:rPr>
          <w:rFonts w:ascii="Times New Roman" w:hAnsi="Times New Roman" w:cs="Times New Roman"/>
        </w:rPr>
        <w:t>some processes of change</w:t>
      </w:r>
      <w:r>
        <w:rPr>
          <w:rFonts w:ascii="Times New Roman" w:hAnsi="Times New Roman" w:cs="Times New Roman"/>
        </w:rPr>
        <w:t xml:space="preserve"> and target the major components of trichotillomania. </w:t>
      </w:r>
      <w:r w:rsidR="00266C91">
        <w:rPr>
          <w:rFonts w:ascii="Times New Roman" w:hAnsi="Times New Roman" w:cs="Times New Roman"/>
        </w:rPr>
        <w:t xml:space="preserve">This </w:t>
      </w:r>
      <w:r w:rsidR="00A11FEE">
        <w:rPr>
          <w:rFonts w:ascii="Times New Roman" w:hAnsi="Times New Roman" w:cs="Times New Roman"/>
        </w:rPr>
        <w:t xml:space="preserve">may also be the case for other treatments, such as DBT, that have produced similar results. </w:t>
      </w:r>
      <w:r>
        <w:rPr>
          <w:rFonts w:ascii="Times New Roman" w:hAnsi="Times New Roman" w:cs="Times New Roman"/>
        </w:rPr>
        <w:t>Therefore, it may not matter which treatment is used, so long as the automatic and focused elements of the pulling behavior are addressed.</w:t>
      </w:r>
      <w:r w:rsidR="00266C91">
        <w:rPr>
          <w:rFonts w:ascii="Times New Roman" w:hAnsi="Times New Roman" w:cs="Times New Roman"/>
        </w:rPr>
        <w:t xml:space="preserve"> </w:t>
      </w:r>
      <w:r w:rsidR="009A6E7A">
        <w:rPr>
          <w:rFonts w:ascii="Times New Roman" w:hAnsi="Times New Roman" w:cs="Times New Roman"/>
        </w:rPr>
        <w:t>However, this small trial is the only examination of ACT alone for trichotillomania and these results should be i</w:t>
      </w:r>
      <w:r w:rsidR="009F73C6">
        <w:rPr>
          <w:rFonts w:ascii="Times New Roman" w:hAnsi="Times New Roman" w:cs="Times New Roman"/>
        </w:rPr>
        <w:t xml:space="preserve">nterpreted with caution. It appears that ACT alone is potentially comparable to ACT/HRT; however, ACT/HRT has </w:t>
      </w:r>
      <w:r w:rsidR="004C2E8A">
        <w:rPr>
          <w:rFonts w:ascii="Times New Roman" w:hAnsi="Times New Roman" w:cs="Times New Roman"/>
        </w:rPr>
        <w:t>substantially more evidence for its efficacy at this time.</w:t>
      </w:r>
      <w:r w:rsidR="009F73C6">
        <w:rPr>
          <w:rFonts w:ascii="Times New Roman" w:hAnsi="Times New Roman" w:cs="Times New Roman"/>
        </w:rPr>
        <w:t xml:space="preserve"> </w:t>
      </w:r>
    </w:p>
    <w:p w14:paraId="42993CF7" w14:textId="11E19934" w:rsidR="00AD095A" w:rsidRDefault="00F26929" w:rsidP="00AD095A">
      <w:pPr>
        <w:pStyle w:val="BodyText1"/>
        <w:numPr>
          <w:ilvl w:val="0"/>
          <w:numId w:val="0"/>
        </w:numPr>
        <w:spacing w:before="0" w:after="0"/>
        <w:ind w:firstLine="720"/>
        <w:rPr>
          <w:rFonts w:ascii="Times New Roman" w:hAnsi="Times New Roman" w:cs="Times New Roman"/>
        </w:rPr>
      </w:pPr>
      <w:r>
        <w:rPr>
          <w:rFonts w:ascii="Times New Roman" w:hAnsi="Times New Roman" w:cs="Times New Roman"/>
        </w:rPr>
        <w:t>On average, p</w:t>
      </w:r>
      <w:r w:rsidR="00AD095A">
        <w:rPr>
          <w:rFonts w:ascii="Times New Roman" w:hAnsi="Times New Roman" w:cs="Times New Roman"/>
        </w:rPr>
        <w:t xml:space="preserve">sychological flexibility </w:t>
      </w:r>
      <w:r w:rsidR="00CB3598">
        <w:rPr>
          <w:rFonts w:ascii="Times New Roman" w:hAnsi="Times New Roman" w:cs="Times New Roman"/>
        </w:rPr>
        <w:t xml:space="preserve">saw </w:t>
      </w:r>
      <w:r w:rsidR="005F6307">
        <w:rPr>
          <w:rFonts w:ascii="Times New Roman" w:hAnsi="Times New Roman" w:cs="Times New Roman"/>
        </w:rPr>
        <w:t xml:space="preserve">a </w:t>
      </w:r>
      <w:r>
        <w:rPr>
          <w:rFonts w:ascii="Times New Roman" w:hAnsi="Times New Roman" w:cs="Times New Roman"/>
        </w:rPr>
        <w:t>non</w:t>
      </w:r>
      <w:r w:rsidR="00CB3598">
        <w:rPr>
          <w:rFonts w:ascii="Times New Roman" w:hAnsi="Times New Roman" w:cs="Times New Roman"/>
        </w:rPr>
        <w:t>significant</w:t>
      </w:r>
      <w:r w:rsidR="00D914E2">
        <w:rPr>
          <w:rFonts w:ascii="Times New Roman" w:hAnsi="Times New Roman" w:cs="Times New Roman"/>
        </w:rPr>
        <w:t xml:space="preserve"> </w:t>
      </w:r>
      <w:r w:rsidR="00CB3598">
        <w:rPr>
          <w:rFonts w:ascii="Times New Roman" w:hAnsi="Times New Roman" w:cs="Times New Roman"/>
        </w:rPr>
        <w:t>improvement from pre- to post-treatment</w:t>
      </w:r>
      <w:r w:rsidR="00AD095A">
        <w:rPr>
          <w:rFonts w:ascii="Times New Roman" w:hAnsi="Times New Roman" w:cs="Times New Roman"/>
        </w:rPr>
        <w:t>.</w:t>
      </w:r>
      <w:r w:rsidR="00D914E2">
        <w:rPr>
          <w:rFonts w:ascii="Times New Roman" w:hAnsi="Times New Roman" w:cs="Times New Roman"/>
        </w:rPr>
        <w:t xml:space="preserve"> However, on average participants demonstrated improvement in psychological flexibility at what is considered clinically significant levels. While these data should be interpreted with caution, we feel that they are worth consideration. </w:t>
      </w:r>
      <w:r w:rsidR="00CB3598">
        <w:rPr>
          <w:rFonts w:ascii="Times New Roman" w:hAnsi="Times New Roman" w:cs="Times New Roman"/>
        </w:rPr>
        <w:t>T</w:t>
      </w:r>
      <w:r w:rsidR="00AD095A">
        <w:rPr>
          <w:rFonts w:ascii="Times New Roman" w:hAnsi="Times New Roman" w:cs="Times New Roman"/>
        </w:rPr>
        <w:t xml:space="preserve">he 24.5% decrease in the treatment group reduced mean psychological </w:t>
      </w:r>
      <w:r w:rsidR="00B86F17">
        <w:rPr>
          <w:rFonts w:ascii="Times New Roman" w:hAnsi="Times New Roman" w:cs="Times New Roman"/>
        </w:rPr>
        <w:t>in</w:t>
      </w:r>
      <w:r w:rsidR="00AD095A">
        <w:rPr>
          <w:rFonts w:ascii="Times New Roman" w:hAnsi="Times New Roman" w:cs="Times New Roman"/>
        </w:rPr>
        <w:t xml:space="preserve">flexibility scores from clinical (25.2) to subclinical (19.0) levels over the course of treatment. </w:t>
      </w:r>
      <w:r w:rsidR="00A97E7B">
        <w:rPr>
          <w:rFonts w:ascii="Times New Roman" w:hAnsi="Times New Roman" w:cs="Times New Roman"/>
        </w:rPr>
        <w:t>These findings</w:t>
      </w:r>
      <w:r w:rsidR="008E234B">
        <w:rPr>
          <w:rFonts w:ascii="Times New Roman" w:hAnsi="Times New Roman" w:cs="Times New Roman"/>
        </w:rPr>
        <w:t xml:space="preserve"> are in line with previous findings indicating</w:t>
      </w:r>
      <w:r w:rsidR="00A97E7B">
        <w:rPr>
          <w:rFonts w:ascii="Times New Roman" w:hAnsi="Times New Roman" w:cs="Times New Roman"/>
        </w:rPr>
        <w:t xml:space="preserve"> that</w:t>
      </w:r>
      <w:r w:rsidR="00AD095A">
        <w:rPr>
          <w:rFonts w:ascii="Times New Roman" w:hAnsi="Times New Roman" w:cs="Times New Roman"/>
        </w:rPr>
        <w:t xml:space="preserve"> psychological flexibility </w:t>
      </w:r>
      <w:r w:rsidR="00A97E7B">
        <w:rPr>
          <w:rFonts w:ascii="Times New Roman" w:hAnsi="Times New Roman" w:cs="Times New Roman"/>
        </w:rPr>
        <w:t xml:space="preserve">may </w:t>
      </w:r>
      <w:r w:rsidR="00AD095A">
        <w:rPr>
          <w:rFonts w:ascii="Times New Roman" w:hAnsi="Times New Roman" w:cs="Times New Roman"/>
        </w:rPr>
        <w:t xml:space="preserve">play </w:t>
      </w:r>
      <w:r w:rsidR="00FC2432">
        <w:rPr>
          <w:rFonts w:ascii="Times New Roman" w:hAnsi="Times New Roman" w:cs="Times New Roman"/>
        </w:rPr>
        <w:t>a</w:t>
      </w:r>
      <w:r w:rsidR="00AD095A">
        <w:rPr>
          <w:rFonts w:ascii="Times New Roman" w:hAnsi="Times New Roman" w:cs="Times New Roman"/>
        </w:rPr>
        <w:t xml:space="preserve"> role in treatment</w:t>
      </w:r>
      <w:r w:rsidR="00380F17">
        <w:rPr>
          <w:rFonts w:ascii="Times New Roman" w:hAnsi="Times New Roman" w:cs="Times New Roman"/>
        </w:rPr>
        <w:t xml:space="preserve"> </w:t>
      </w:r>
      <w:r w:rsidR="0068689D">
        <w:rPr>
          <w:rFonts w:ascii="Times New Roman" w:hAnsi="Times New Roman" w:cs="Times New Roman"/>
          <w:noProof/>
        </w:rPr>
        <w:t>(Houghton et al., 2014)</w:t>
      </w:r>
      <w:r w:rsidR="0068689D">
        <w:rPr>
          <w:rFonts w:ascii="Times New Roman" w:hAnsi="Times New Roman" w:cs="Times New Roman"/>
        </w:rPr>
        <w:t xml:space="preserve">. </w:t>
      </w:r>
      <w:r w:rsidR="00AD095A">
        <w:rPr>
          <w:rFonts w:ascii="Times New Roman" w:hAnsi="Times New Roman" w:cs="Times New Roman"/>
        </w:rPr>
        <w:t>Further research on this component of treatment is needed. The use of the trichotillomania-specific version of the AAQ</w:t>
      </w:r>
      <w:r w:rsidR="00ED1252">
        <w:rPr>
          <w:rFonts w:ascii="Times New Roman" w:hAnsi="Times New Roman" w:cs="Times New Roman"/>
        </w:rPr>
        <w:t xml:space="preserve"> </w:t>
      </w:r>
      <w:r w:rsidR="0068689D">
        <w:rPr>
          <w:rFonts w:ascii="Times New Roman" w:hAnsi="Times New Roman" w:cs="Times New Roman"/>
          <w:noProof/>
        </w:rPr>
        <w:t>(Houghton et al., 2014)</w:t>
      </w:r>
      <w:r w:rsidR="0068689D">
        <w:rPr>
          <w:rFonts w:ascii="Times New Roman" w:hAnsi="Times New Roman" w:cs="Times New Roman"/>
        </w:rPr>
        <w:t xml:space="preserve"> </w:t>
      </w:r>
      <w:r w:rsidR="00AD095A">
        <w:rPr>
          <w:rFonts w:ascii="Times New Roman" w:hAnsi="Times New Roman" w:cs="Times New Roman"/>
        </w:rPr>
        <w:t>would likely be more sensitive to change and should be used in future research</w:t>
      </w:r>
      <w:r w:rsidR="00571028">
        <w:rPr>
          <w:rFonts w:ascii="Times New Roman" w:hAnsi="Times New Roman" w:cs="Times New Roman"/>
        </w:rPr>
        <w:t xml:space="preserve"> to better examine the role of psychological flexibility in trichotillomania</w:t>
      </w:r>
      <w:r w:rsidR="00AD095A">
        <w:rPr>
          <w:rFonts w:ascii="Times New Roman" w:hAnsi="Times New Roman" w:cs="Times New Roman"/>
        </w:rPr>
        <w:t>.</w:t>
      </w:r>
    </w:p>
    <w:p w14:paraId="0BC4A72D" w14:textId="77777777" w:rsidR="00B67E94" w:rsidRDefault="00B67E94" w:rsidP="00AD095A">
      <w:pPr>
        <w:pStyle w:val="BodyText1"/>
        <w:numPr>
          <w:ilvl w:val="0"/>
          <w:numId w:val="0"/>
        </w:numPr>
        <w:spacing w:before="0" w:after="0"/>
        <w:ind w:firstLine="720"/>
        <w:rPr>
          <w:rFonts w:ascii="Times New Roman" w:hAnsi="Times New Roman" w:cs="Times New Roman"/>
        </w:rPr>
      </w:pPr>
      <w:r>
        <w:rPr>
          <w:rFonts w:ascii="Times New Roman" w:hAnsi="Times New Roman" w:cs="Times New Roman"/>
        </w:rPr>
        <w:t xml:space="preserve">The findings indicate that the treatment was more effective for adults than adolescents, with adults seeing greater </w:t>
      </w:r>
      <w:r w:rsidR="006D4544">
        <w:rPr>
          <w:rFonts w:ascii="Times New Roman" w:hAnsi="Times New Roman" w:cs="Times New Roman"/>
        </w:rPr>
        <w:t>improvement</w:t>
      </w:r>
      <w:r>
        <w:rPr>
          <w:rFonts w:ascii="Times New Roman" w:hAnsi="Times New Roman" w:cs="Times New Roman"/>
        </w:rPr>
        <w:t xml:space="preserve"> in hair pulling severity and</w:t>
      </w:r>
      <w:r w:rsidR="006D4544">
        <w:rPr>
          <w:rFonts w:ascii="Times New Roman" w:hAnsi="Times New Roman" w:cs="Times New Roman"/>
        </w:rPr>
        <w:t xml:space="preserve"> psychological flexibility than adolescents, on average.</w:t>
      </w:r>
      <w:r w:rsidR="001A5948">
        <w:rPr>
          <w:rFonts w:ascii="Times New Roman" w:hAnsi="Times New Roman" w:cs="Times New Roman"/>
        </w:rPr>
        <w:t xml:space="preserve"> Although modifications were made to the treatment based on developmental needs, it appears that</w:t>
      </w:r>
      <w:r w:rsidR="0051385C">
        <w:rPr>
          <w:rFonts w:ascii="Times New Roman" w:hAnsi="Times New Roman" w:cs="Times New Roman"/>
        </w:rPr>
        <w:t xml:space="preserve"> </w:t>
      </w:r>
      <w:r w:rsidR="00405702">
        <w:rPr>
          <w:rFonts w:ascii="Times New Roman" w:hAnsi="Times New Roman" w:cs="Times New Roman"/>
        </w:rPr>
        <w:t xml:space="preserve">further modification to the protocol might be needed. </w:t>
      </w:r>
      <w:r w:rsidR="0051385C">
        <w:rPr>
          <w:rFonts w:ascii="Times New Roman" w:hAnsi="Times New Roman" w:cs="Times New Roman"/>
        </w:rPr>
        <w:t>Moreover,</w:t>
      </w:r>
      <w:r w:rsidR="001A5948">
        <w:rPr>
          <w:rFonts w:ascii="Times New Roman" w:hAnsi="Times New Roman" w:cs="Times New Roman"/>
        </w:rPr>
        <w:t xml:space="preserve"> other treatment components </w:t>
      </w:r>
      <w:r w:rsidR="0051385C">
        <w:rPr>
          <w:rFonts w:ascii="Times New Roman" w:hAnsi="Times New Roman" w:cs="Times New Roman"/>
        </w:rPr>
        <w:t>might be</w:t>
      </w:r>
      <w:r w:rsidR="00067FA3">
        <w:rPr>
          <w:rFonts w:ascii="Times New Roman" w:hAnsi="Times New Roman" w:cs="Times New Roman"/>
        </w:rPr>
        <w:t xml:space="preserve"> needed when</w:t>
      </w:r>
      <w:r w:rsidR="001A5948">
        <w:rPr>
          <w:rFonts w:ascii="Times New Roman" w:hAnsi="Times New Roman" w:cs="Times New Roman"/>
        </w:rPr>
        <w:t xml:space="preserve"> treating adolescents with trichotillomania. These components might include a greater emphasis on family involvement, support, and contingency management that might reinforce target behavior beyond the intrinsic reinforcement from treatment and self-improvement, more likely seen in adults.</w:t>
      </w:r>
      <w:r w:rsidR="00C72E34">
        <w:rPr>
          <w:rFonts w:ascii="Times New Roman" w:hAnsi="Times New Roman" w:cs="Times New Roman"/>
        </w:rPr>
        <w:t xml:space="preserve"> Unfortunately, research related to the role of developmental factors on trichotillomania and its treatment is severely lacking.</w:t>
      </w:r>
      <w:r w:rsidR="00F56BC9">
        <w:rPr>
          <w:rFonts w:ascii="Times New Roman" w:hAnsi="Times New Roman" w:cs="Times New Roman"/>
        </w:rPr>
        <w:t xml:space="preserve"> Although, a</w:t>
      </w:r>
      <w:r w:rsidR="0051385C">
        <w:rPr>
          <w:rFonts w:ascii="Times New Roman" w:hAnsi="Times New Roman" w:cs="Times New Roman"/>
        </w:rPr>
        <w:t xml:space="preserve"> recent trial of 12 children and adolescents (ages 7–17) demonstrated significant reductions in trichotillomania severity using </w:t>
      </w:r>
      <w:r w:rsidR="0051385C" w:rsidRPr="00845558">
        <w:rPr>
          <w:rFonts w:ascii="Times New Roman" w:hAnsi="Times New Roman" w:cs="Times New Roman"/>
        </w:rPr>
        <w:t>HRT</w:t>
      </w:r>
      <w:r w:rsidR="00711678" w:rsidRPr="00845558">
        <w:rPr>
          <w:rFonts w:ascii="Times New Roman" w:hAnsi="Times New Roman" w:cs="Times New Roman"/>
        </w:rPr>
        <w:t xml:space="preserve"> </w:t>
      </w:r>
      <w:r w:rsidR="00B71F46" w:rsidRPr="00845558">
        <w:rPr>
          <w:rFonts w:ascii="Times New Roman" w:hAnsi="Times New Roman" w:cs="Times New Roman"/>
        </w:rPr>
        <w:t>(</w:t>
      </w:r>
      <w:r w:rsidR="00B71F46" w:rsidRPr="004A3FE3">
        <w:rPr>
          <w:rFonts w:ascii="Times New Roman" w:hAnsi="Times New Roman" w:cs="Times New Roman"/>
          <w:noProof/>
        </w:rPr>
        <w:t>Franklin, Edson, &amp; Freeman, 2010)</w:t>
      </w:r>
      <w:r w:rsidR="00B71F46">
        <w:rPr>
          <w:noProof/>
        </w:rPr>
        <w:t xml:space="preserve">. </w:t>
      </w:r>
      <w:r w:rsidR="00F56BC9">
        <w:rPr>
          <w:rFonts w:ascii="Times New Roman" w:hAnsi="Times New Roman" w:cs="Times New Roman"/>
        </w:rPr>
        <w:t>This provides further evidence that t</w:t>
      </w:r>
      <w:r w:rsidR="0051385C">
        <w:rPr>
          <w:rFonts w:ascii="Times New Roman" w:hAnsi="Times New Roman" w:cs="Times New Roman"/>
        </w:rPr>
        <w:t xml:space="preserve">he </w:t>
      </w:r>
      <w:r w:rsidR="00F56BC9">
        <w:rPr>
          <w:rFonts w:ascii="Times New Roman" w:hAnsi="Times New Roman" w:cs="Times New Roman"/>
        </w:rPr>
        <w:t xml:space="preserve">more basic </w:t>
      </w:r>
      <w:r w:rsidR="0051385C">
        <w:rPr>
          <w:rFonts w:ascii="Times New Roman" w:hAnsi="Times New Roman" w:cs="Times New Roman"/>
        </w:rPr>
        <w:t xml:space="preserve">components of HRT </w:t>
      </w:r>
      <w:r w:rsidR="00F56BC9">
        <w:rPr>
          <w:rFonts w:ascii="Times New Roman" w:hAnsi="Times New Roman" w:cs="Times New Roman"/>
        </w:rPr>
        <w:t>might be more</w:t>
      </w:r>
      <w:r w:rsidR="0051385C">
        <w:rPr>
          <w:rFonts w:ascii="Times New Roman" w:hAnsi="Times New Roman" w:cs="Times New Roman"/>
        </w:rPr>
        <w:t xml:space="preserve"> easily </w:t>
      </w:r>
      <w:r w:rsidR="00F56BC9">
        <w:rPr>
          <w:rFonts w:ascii="Times New Roman" w:hAnsi="Times New Roman" w:cs="Times New Roman"/>
        </w:rPr>
        <w:t>understood by</w:t>
      </w:r>
      <w:r w:rsidR="0051385C">
        <w:rPr>
          <w:rFonts w:ascii="Times New Roman" w:hAnsi="Times New Roman" w:cs="Times New Roman"/>
        </w:rPr>
        <w:t xml:space="preserve"> children and adolescents than the more abstract components of ACT. </w:t>
      </w:r>
      <w:r w:rsidR="001A5948">
        <w:rPr>
          <w:rFonts w:ascii="Times New Roman" w:hAnsi="Times New Roman" w:cs="Times New Roman"/>
        </w:rPr>
        <w:t>Further study is needed to better understand the differential mechanisms of action in adult and adolescent treatment of trichotillomania</w:t>
      </w:r>
    </w:p>
    <w:p w14:paraId="124E1BDA" w14:textId="3B317081" w:rsidR="00581515" w:rsidRDefault="00ED1252" w:rsidP="000D3D93">
      <w:pPr>
        <w:pStyle w:val="BodyText1"/>
        <w:numPr>
          <w:ilvl w:val="0"/>
          <w:numId w:val="0"/>
        </w:numPr>
        <w:spacing w:before="0" w:after="0"/>
        <w:ind w:firstLine="720"/>
        <w:rPr>
          <w:rFonts w:ascii="Times New Roman" w:hAnsi="Times New Roman" w:cs="Times New Roman"/>
        </w:rPr>
      </w:pPr>
      <w:r>
        <w:rPr>
          <w:rFonts w:ascii="Times New Roman" w:hAnsi="Times New Roman" w:cs="Times New Roman"/>
        </w:rPr>
        <w:t xml:space="preserve">The current study has some limitations. The community, self-referred nature of the study </w:t>
      </w:r>
      <w:r w:rsidR="006D13EA">
        <w:rPr>
          <w:rFonts w:ascii="Times New Roman" w:hAnsi="Times New Roman" w:cs="Times New Roman"/>
        </w:rPr>
        <w:t xml:space="preserve">led </w:t>
      </w:r>
      <w:r>
        <w:rPr>
          <w:rFonts w:ascii="Times New Roman" w:hAnsi="Times New Roman" w:cs="Times New Roman"/>
        </w:rPr>
        <w:t xml:space="preserve">to higher than average dropout and incomplete post-treatment assessments. It does appear that those who dropped out and were not included in the study were similar </w:t>
      </w:r>
      <w:r w:rsidR="00963E3F">
        <w:rPr>
          <w:rFonts w:ascii="Times New Roman" w:hAnsi="Times New Roman" w:cs="Times New Roman"/>
        </w:rPr>
        <w:t xml:space="preserve">to those who completed the study </w:t>
      </w:r>
      <w:r w:rsidR="00FA3424">
        <w:rPr>
          <w:rFonts w:ascii="Times New Roman" w:hAnsi="Times New Roman" w:cs="Times New Roman"/>
        </w:rPr>
        <w:t>with regard to most demographic</w:t>
      </w:r>
      <w:r w:rsidR="00963E3F">
        <w:rPr>
          <w:rFonts w:ascii="Times New Roman" w:hAnsi="Times New Roman" w:cs="Times New Roman"/>
        </w:rPr>
        <w:t xml:space="preserve"> and </w:t>
      </w:r>
      <w:r w:rsidR="00FA3424">
        <w:rPr>
          <w:rFonts w:ascii="Times New Roman" w:hAnsi="Times New Roman" w:cs="Times New Roman"/>
        </w:rPr>
        <w:t xml:space="preserve">all </w:t>
      </w:r>
      <w:r w:rsidR="00963E3F">
        <w:rPr>
          <w:rFonts w:ascii="Times New Roman" w:hAnsi="Times New Roman" w:cs="Times New Roman"/>
        </w:rPr>
        <w:t>outcome variables</w:t>
      </w:r>
      <w:r w:rsidR="00296361">
        <w:rPr>
          <w:rFonts w:ascii="Times New Roman" w:hAnsi="Times New Roman" w:cs="Times New Roman"/>
        </w:rPr>
        <w:t>; however, older participants were less likely to complete treatment.</w:t>
      </w:r>
      <w:r w:rsidR="00963E3F">
        <w:rPr>
          <w:rFonts w:ascii="Times New Roman" w:hAnsi="Times New Roman" w:cs="Times New Roman"/>
        </w:rPr>
        <w:t xml:space="preserve"> This provides some assurance that those who dropped out would have performed similarly to those who remained in the study.</w:t>
      </w:r>
      <w:r w:rsidR="002B6855">
        <w:rPr>
          <w:rFonts w:ascii="Times New Roman" w:hAnsi="Times New Roman" w:cs="Times New Roman"/>
        </w:rPr>
        <w:t xml:space="preserve"> However, the relatively small sample size makes comparisons between groups difficult and it is impossible to conclude that drop out was entirely random.</w:t>
      </w:r>
      <w:r w:rsidR="00711678">
        <w:rPr>
          <w:rFonts w:ascii="Times New Roman" w:hAnsi="Times New Roman" w:cs="Times New Roman"/>
        </w:rPr>
        <w:t xml:space="preserve"> </w:t>
      </w:r>
      <w:r w:rsidR="00711678" w:rsidRPr="00716F32">
        <w:rPr>
          <w:rFonts w:ascii="Times New Roman" w:hAnsi="Times New Roman" w:cs="Times New Roman"/>
        </w:rPr>
        <w:t>Also, while the sample size was sufficient for basic analysis between the two treatment groups, it did not allow for statistical analysis of potential differences between adolescents and adults.</w:t>
      </w:r>
      <w:r w:rsidR="00711678">
        <w:rPr>
          <w:rFonts w:ascii="Times New Roman" w:hAnsi="Times New Roman" w:cs="Times New Roman"/>
        </w:rPr>
        <w:t xml:space="preserve"> The descriptive data provide enough information to understand that age was an important differential factor in this study, however, a larger sample is needed to more systematically analyze and more fully </w:t>
      </w:r>
      <w:r w:rsidR="00596A35">
        <w:rPr>
          <w:rFonts w:ascii="Times New Roman" w:hAnsi="Times New Roman" w:cs="Times New Roman"/>
        </w:rPr>
        <w:t>understand what role age plays in ACT for trichotillomania.</w:t>
      </w:r>
      <w:r w:rsidR="00961EBE">
        <w:rPr>
          <w:rFonts w:ascii="Times New Roman" w:hAnsi="Times New Roman" w:cs="Times New Roman"/>
        </w:rPr>
        <w:t xml:space="preserve"> Moreover, </w:t>
      </w:r>
      <w:r w:rsidR="004C0E1F">
        <w:rPr>
          <w:rFonts w:ascii="Times New Roman" w:hAnsi="Times New Roman" w:cs="Times New Roman"/>
        </w:rPr>
        <w:t xml:space="preserve">while </w:t>
      </w:r>
      <w:r w:rsidR="00961EBE">
        <w:rPr>
          <w:rFonts w:ascii="Times New Roman" w:hAnsi="Times New Roman" w:cs="Times New Roman"/>
        </w:rPr>
        <w:t>the waitlist control design of the study</w:t>
      </w:r>
      <w:r w:rsidR="00275970">
        <w:rPr>
          <w:rFonts w:ascii="Times New Roman" w:hAnsi="Times New Roman" w:cs="Times New Roman"/>
        </w:rPr>
        <w:t xml:space="preserve"> controls for changes due to the passage of time, it</w:t>
      </w:r>
      <w:r w:rsidR="00961EBE">
        <w:rPr>
          <w:rFonts w:ascii="Times New Roman" w:hAnsi="Times New Roman" w:cs="Times New Roman"/>
        </w:rPr>
        <w:t xml:space="preserve"> does not control for common therapeutic factors that could play a role in the treatment gains seen in the ACT condition.</w:t>
      </w:r>
      <w:r w:rsidR="00275970">
        <w:rPr>
          <w:rFonts w:ascii="Times New Roman" w:hAnsi="Times New Roman" w:cs="Times New Roman"/>
        </w:rPr>
        <w:t xml:space="preserve"> This study design is useful to answer whether ACT alone can effectively treat trichotillomania, but it does not answer whether this modality is better than other treatments or common factors. Future research in this area should consider comparisons to active treatments.</w:t>
      </w:r>
      <w:r w:rsidR="00961EBE">
        <w:rPr>
          <w:rFonts w:ascii="Times New Roman" w:hAnsi="Times New Roman" w:cs="Times New Roman"/>
        </w:rPr>
        <w:t xml:space="preserve"> </w:t>
      </w:r>
      <w:r w:rsidR="00963E3F">
        <w:rPr>
          <w:rFonts w:ascii="Times New Roman" w:hAnsi="Times New Roman" w:cs="Times New Roman"/>
        </w:rPr>
        <w:t>Finally</w:t>
      </w:r>
      <w:r w:rsidR="00CE62F0">
        <w:rPr>
          <w:rFonts w:ascii="Times New Roman" w:hAnsi="Times New Roman" w:cs="Times New Roman"/>
        </w:rPr>
        <w:t>, the lack of follow-</w:t>
      </w:r>
      <w:r>
        <w:rPr>
          <w:rFonts w:ascii="Times New Roman" w:hAnsi="Times New Roman" w:cs="Times New Roman"/>
        </w:rPr>
        <w:t>up data</w:t>
      </w:r>
      <w:r w:rsidR="00E55D31">
        <w:rPr>
          <w:rFonts w:ascii="Times New Roman" w:hAnsi="Times New Roman" w:cs="Times New Roman"/>
        </w:rPr>
        <w:t xml:space="preserve"> is a major limitation as it</w:t>
      </w:r>
      <w:r>
        <w:rPr>
          <w:rFonts w:ascii="Times New Roman" w:hAnsi="Times New Roman" w:cs="Times New Roman"/>
        </w:rPr>
        <w:t xml:space="preserve"> </w:t>
      </w:r>
      <w:r w:rsidR="00E55D31">
        <w:rPr>
          <w:rFonts w:ascii="Times New Roman" w:hAnsi="Times New Roman" w:cs="Times New Roman"/>
        </w:rPr>
        <w:t xml:space="preserve">does not allow for </w:t>
      </w:r>
      <w:r>
        <w:rPr>
          <w:rFonts w:ascii="Times New Roman" w:hAnsi="Times New Roman" w:cs="Times New Roman"/>
        </w:rPr>
        <w:t>the ability to assess for treatment gains over time</w:t>
      </w:r>
      <w:r w:rsidR="00963E3F">
        <w:rPr>
          <w:rFonts w:ascii="Times New Roman" w:hAnsi="Times New Roman" w:cs="Times New Roman"/>
        </w:rPr>
        <w:t xml:space="preserve"> and the limited</w:t>
      </w:r>
      <w:r>
        <w:rPr>
          <w:rFonts w:ascii="Times New Roman" w:hAnsi="Times New Roman" w:cs="Times New Roman"/>
        </w:rPr>
        <w:t xml:space="preserve"> process data </w:t>
      </w:r>
      <w:r w:rsidR="00963E3F">
        <w:rPr>
          <w:rFonts w:ascii="Times New Roman" w:hAnsi="Times New Roman" w:cs="Times New Roman"/>
        </w:rPr>
        <w:t>makes mediational models impossible.</w:t>
      </w:r>
      <w:r w:rsidR="00E55D31">
        <w:rPr>
          <w:rFonts w:ascii="Times New Roman" w:hAnsi="Times New Roman" w:cs="Times New Roman"/>
        </w:rPr>
        <w:t xml:space="preserve"> This limitation is notable as relapse from treatment gains is a major concern for trichotillomania. Although the results of the current study were quite promising, we unfortunately cannot know if these results had a lasting effect.</w:t>
      </w:r>
      <w:r w:rsidR="00963E3F">
        <w:rPr>
          <w:rFonts w:ascii="Times New Roman" w:hAnsi="Times New Roman" w:cs="Times New Roman"/>
        </w:rPr>
        <w:t xml:space="preserve"> Further research that more fully examines long-term treatment gains and mechanisms of action are needed.</w:t>
      </w:r>
    </w:p>
    <w:p w14:paraId="362D62E9" w14:textId="61C3E440" w:rsidR="00542A4C" w:rsidRPr="00714638" w:rsidRDefault="00963E3F" w:rsidP="00714638">
      <w:pPr>
        <w:pStyle w:val="BodyText1"/>
        <w:spacing w:before="0" w:after="0"/>
        <w:rPr>
          <w:rFonts w:ascii="Times New Roman" w:hAnsi="Times New Roman" w:cs="Times New Roman"/>
        </w:rPr>
      </w:pPr>
      <w:r>
        <w:rPr>
          <w:rFonts w:ascii="Times New Roman" w:hAnsi="Times New Roman" w:cs="Times New Roman"/>
        </w:rPr>
        <w:tab/>
        <w:t xml:space="preserve">The findings provide additional evidence for the utility of ACT as a component </w:t>
      </w:r>
      <w:r w:rsidR="00897505">
        <w:rPr>
          <w:rFonts w:ascii="Times New Roman" w:hAnsi="Times New Roman" w:cs="Times New Roman"/>
        </w:rPr>
        <w:t>of</w:t>
      </w:r>
      <w:r>
        <w:rPr>
          <w:rFonts w:ascii="Times New Roman" w:hAnsi="Times New Roman" w:cs="Times New Roman"/>
        </w:rPr>
        <w:t xml:space="preserve"> trichotillomania</w:t>
      </w:r>
      <w:r w:rsidR="00897505">
        <w:rPr>
          <w:rFonts w:ascii="Times New Roman" w:hAnsi="Times New Roman" w:cs="Times New Roman"/>
        </w:rPr>
        <w:t xml:space="preserve"> treatment</w:t>
      </w:r>
      <w:r w:rsidR="00BF4CAE">
        <w:rPr>
          <w:rFonts w:ascii="Times New Roman" w:hAnsi="Times New Roman" w:cs="Times New Roman"/>
        </w:rPr>
        <w:t>, especially in adults</w:t>
      </w:r>
      <w:r>
        <w:rPr>
          <w:rFonts w:ascii="Times New Roman" w:hAnsi="Times New Roman" w:cs="Times New Roman"/>
        </w:rPr>
        <w:t>.</w:t>
      </w:r>
      <w:r w:rsidR="00897505">
        <w:rPr>
          <w:rFonts w:ascii="Times New Roman" w:hAnsi="Times New Roman" w:cs="Times New Roman"/>
        </w:rPr>
        <w:t xml:space="preserve"> Moreover, the findings indicate that ACT alone is a </w:t>
      </w:r>
      <w:r w:rsidR="00807CD9">
        <w:rPr>
          <w:rFonts w:ascii="Times New Roman" w:hAnsi="Times New Roman" w:cs="Times New Roman"/>
        </w:rPr>
        <w:t xml:space="preserve">potentially </w:t>
      </w:r>
      <w:r w:rsidR="00897505">
        <w:rPr>
          <w:rFonts w:ascii="Times New Roman" w:hAnsi="Times New Roman" w:cs="Times New Roman"/>
        </w:rPr>
        <w:t xml:space="preserve">viable treatment, with or without explicit HRT components. </w:t>
      </w:r>
      <w:r w:rsidR="0055114F">
        <w:rPr>
          <w:rFonts w:ascii="Times New Roman" w:hAnsi="Times New Roman" w:cs="Times New Roman"/>
        </w:rPr>
        <w:t>For adults i</w:t>
      </w:r>
      <w:r w:rsidR="00897505">
        <w:rPr>
          <w:rFonts w:ascii="Times New Roman" w:hAnsi="Times New Roman" w:cs="Times New Roman"/>
        </w:rPr>
        <w:t xml:space="preserve">t appears that the specific methods </w:t>
      </w:r>
      <w:r w:rsidR="0083265B">
        <w:rPr>
          <w:rFonts w:ascii="Times New Roman" w:hAnsi="Times New Roman" w:cs="Times New Roman"/>
        </w:rPr>
        <w:t>of</w:t>
      </w:r>
      <w:r w:rsidR="00897505">
        <w:rPr>
          <w:rFonts w:ascii="Times New Roman" w:hAnsi="Times New Roman" w:cs="Times New Roman"/>
        </w:rPr>
        <w:t xml:space="preserve"> trichotillomania treatment are less important</w:t>
      </w:r>
      <w:r w:rsidR="0083265B">
        <w:rPr>
          <w:rFonts w:ascii="Times New Roman" w:hAnsi="Times New Roman" w:cs="Times New Roman"/>
        </w:rPr>
        <w:t xml:space="preserve"> than the processes they target, </w:t>
      </w:r>
      <w:r w:rsidR="00897505">
        <w:rPr>
          <w:rFonts w:ascii="Times New Roman" w:hAnsi="Times New Roman" w:cs="Times New Roman"/>
        </w:rPr>
        <w:t xml:space="preserve">so long as the automatic and focused components of hair pulling behavior are properly addressed. </w:t>
      </w:r>
      <w:r w:rsidR="0055114F">
        <w:rPr>
          <w:rFonts w:ascii="Times New Roman" w:hAnsi="Times New Roman" w:cs="Times New Roman"/>
        </w:rPr>
        <w:t xml:space="preserve">For adolescents, the evidence is less clear. Further research is needed to improve treatment and outcomes in youth. </w:t>
      </w:r>
      <w:r w:rsidR="007B3B13">
        <w:rPr>
          <w:rFonts w:ascii="Times New Roman" w:hAnsi="Times New Roman" w:cs="Times New Roman"/>
        </w:rPr>
        <w:t xml:space="preserve">While a </w:t>
      </w:r>
      <w:r w:rsidR="00897505">
        <w:rPr>
          <w:rFonts w:ascii="Times New Roman" w:hAnsi="Times New Roman" w:cs="Times New Roman"/>
        </w:rPr>
        <w:t>comparison of ACT</w:t>
      </w:r>
      <w:r w:rsidR="005639FD">
        <w:rPr>
          <w:rFonts w:ascii="Times New Roman" w:hAnsi="Times New Roman" w:cs="Times New Roman"/>
        </w:rPr>
        <w:t>, HRT,</w:t>
      </w:r>
      <w:r w:rsidR="00897505">
        <w:rPr>
          <w:rFonts w:ascii="Times New Roman" w:hAnsi="Times New Roman" w:cs="Times New Roman"/>
        </w:rPr>
        <w:t xml:space="preserve"> and ACT/HRT </w:t>
      </w:r>
      <w:r w:rsidR="007B3B13">
        <w:rPr>
          <w:rFonts w:ascii="Times New Roman" w:hAnsi="Times New Roman" w:cs="Times New Roman"/>
        </w:rPr>
        <w:t xml:space="preserve">would </w:t>
      </w:r>
      <w:r w:rsidR="00633865">
        <w:rPr>
          <w:rFonts w:ascii="Times New Roman" w:hAnsi="Times New Roman" w:cs="Times New Roman"/>
        </w:rPr>
        <w:t>perhaps clarify</w:t>
      </w:r>
      <w:r w:rsidR="00897505">
        <w:rPr>
          <w:rFonts w:ascii="Times New Roman" w:hAnsi="Times New Roman" w:cs="Times New Roman"/>
        </w:rPr>
        <w:t xml:space="preserve"> potential differences between the treatments</w:t>
      </w:r>
      <w:r w:rsidR="007B3B13">
        <w:rPr>
          <w:rFonts w:ascii="Times New Roman" w:hAnsi="Times New Roman" w:cs="Times New Roman"/>
        </w:rPr>
        <w:t xml:space="preserve">, this may not be </w:t>
      </w:r>
      <w:r w:rsidR="00A57D58">
        <w:rPr>
          <w:rFonts w:ascii="Times New Roman" w:hAnsi="Times New Roman" w:cs="Times New Roman"/>
        </w:rPr>
        <w:t>the most</w:t>
      </w:r>
      <w:r w:rsidR="007B3B13">
        <w:rPr>
          <w:rFonts w:ascii="Times New Roman" w:hAnsi="Times New Roman" w:cs="Times New Roman"/>
        </w:rPr>
        <w:t xml:space="preserve"> expedient course of action. Rather, it appears that focus should be placed more on specific processes of change and less on the overall treatment package.</w:t>
      </w:r>
      <w:r w:rsidR="00897505">
        <w:rPr>
          <w:rFonts w:ascii="Times New Roman" w:hAnsi="Times New Roman" w:cs="Times New Roman"/>
        </w:rPr>
        <w:br w:type="page"/>
      </w:r>
    </w:p>
    <w:p w14:paraId="7157EF6E" w14:textId="77777777" w:rsidR="00CA56AF" w:rsidRPr="00CA56AF" w:rsidRDefault="00542A4C" w:rsidP="00CA56AF">
      <w:pPr>
        <w:pStyle w:val="EndNoteBibliographyTitle"/>
        <w:rPr>
          <w:noProof/>
        </w:rPr>
      </w:pPr>
      <w:r>
        <w:rPr>
          <w:noProof/>
        </w:rPr>
        <w:fldChar w:fldCharType="begin"/>
      </w:r>
      <w:r>
        <w:rPr>
          <w:noProof/>
        </w:rPr>
        <w:instrText xml:space="preserve"> ADDIN EN.REFLIST </w:instrText>
      </w:r>
      <w:r>
        <w:rPr>
          <w:noProof/>
        </w:rPr>
        <w:fldChar w:fldCharType="separate"/>
      </w:r>
      <w:r w:rsidR="00CA56AF" w:rsidRPr="00CA56AF">
        <w:rPr>
          <w:noProof/>
        </w:rPr>
        <w:t>References</w:t>
      </w:r>
    </w:p>
    <w:p w14:paraId="0DF9E3AA" w14:textId="77777777" w:rsidR="00CA56AF" w:rsidRPr="00CA56AF" w:rsidRDefault="00CA56AF" w:rsidP="00CA56AF">
      <w:pPr>
        <w:pStyle w:val="EndNoteBibliographyTitle"/>
        <w:rPr>
          <w:noProof/>
        </w:rPr>
      </w:pPr>
    </w:p>
    <w:p w14:paraId="03B2397F" w14:textId="77777777" w:rsidR="00CA56AF" w:rsidRPr="00CA56AF" w:rsidRDefault="00CA56AF" w:rsidP="00CA56AF">
      <w:pPr>
        <w:pStyle w:val="EndNoteBibliography"/>
        <w:ind w:left="720" w:hanging="720"/>
        <w:rPr>
          <w:noProof/>
        </w:rPr>
      </w:pPr>
      <w:r w:rsidRPr="00CA56AF">
        <w:rPr>
          <w:noProof/>
        </w:rPr>
        <w:t xml:space="preserve">Alexander, J. R., Houghton, D. C., Twohig, M. P., Franklin, M. E., Saunders, S. M., Neal-Barnett, A. M., . . . Woods, D. W. (2016). Factor analysis of the Milwaukee Inventory for subtypes of Trichotillomania-Adult Version. </w:t>
      </w:r>
      <w:r w:rsidRPr="00CA56AF">
        <w:rPr>
          <w:i/>
          <w:noProof/>
        </w:rPr>
        <w:t>Journal of Obsessive-Compulsive and Related Disorders, 11</w:t>
      </w:r>
      <w:r w:rsidRPr="00CA56AF">
        <w:rPr>
          <w:noProof/>
        </w:rPr>
        <w:t xml:space="preserve">, 31-38. </w:t>
      </w:r>
    </w:p>
    <w:p w14:paraId="4319D334" w14:textId="77777777" w:rsidR="00CA56AF" w:rsidRPr="00CA56AF" w:rsidRDefault="00CA56AF" w:rsidP="00CA56AF">
      <w:pPr>
        <w:pStyle w:val="EndNoteBibliography"/>
        <w:ind w:left="720" w:hanging="720"/>
        <w:rPr>
          <w:noProof/>
        </w:rPr>
      </w:pPr>
      <w:r w:rsidRPr="00CA56AF">
        <w:rPr>
          <w:noProof/>
        </w:rPr>
        <w:t xml:space="preserve">Azrin, N. H., Nunn, R. G., &amp; Frantz, S. E. (1980). Treatment of hairpulling (trichotillomania): A comparative study of habit reversal and negative practice training. </w:t>
      </w:r>
      <w:r w:rsidRPr="00CA56AF">
        <w:rPr>
          <w:i/>
          <w:noProof/>
        </w:rPr>
        <w:t>Journal of Behavior Therapy and Experimental Psychiatry, 11</w:t>
      </w:r>
      <w:r w:rsidRPr="00CA56AF">
        <w:rPr>
          <w:noProof/>
        </w:rPr>
        <w:t xml:space="preserve">(1), 13-20. </w:t>
      </w:r>
    </w:p>
    <w:p w14:paraId="6C3176F5" w14:textId="77777777" w:rsidR="00CA56AF" w:rsidRPr="00CA56AF" w:rsidRDefault="00CA56AF" w:rsidP="00CA56AF">
      <w:pPr>
        <w:pStyle w:val="EndNoteBibliography"/>
        <w:ind w:left="720" w:hanging="720"/>
        <w:rPr>
          <w:noProof/>
        </w:rPr>
      </w:pPr>
      <w:r w:rsidRPr="00CA56AF">
        <w:rPr>
          <w:noProof/>
        </w:rPr>
        <w:t xml:space="preserve">Begotka, A. M., Woods, D. W., &amp; Wetterneck, C. T. (2004). The relationship between experiential avoidance and the severity of trichotillomania in a nonreferred sample. </w:t>
      </w:r>
      <w:r w:rsidRPr="00CA56AF">
        <w:rPr>
          <w:i/>
          <w:noProof/>
        </w:rPr>
        <w:t>Journal of Behavior Therapy and Experimental Psychiatry, 35</w:t>
      </w:r>
      <w:r w:rsidRPr="00CA56AF">
        <w:rPr>
          <w:noProof/>
        </w:rPr>
        <w:t>(1), 17-24. doi: 10.1016/j.jbtep.2004.02.001</w:t>
      </w:r>
    </w:p>
    <w:p w14:paraId="115F59A3" w14:textId="77777777" w:rsidR="00CA56AF" w:rsidRPr="00CA56AF" w:rsidRDefault="00CA56AF" w:rsidP="00CA56AF">
      <w:pPr>
        <w:pStyle w:val="EndNoteBibliography"/>
        <w:ind w:left="720" w:hanging="720"/>
        <w:rPr>
          <w:noProof/>
        </w:rPr>
      </w:pPr>
      <w:r w:rsidRPr="00CA56AF">
        <w:rPr>
          <w:noProof/>
        </w:rPr>
        <w:t xml:space="preserve">Bluett, E. J., Homan, K. J., Morrison, K. L., Levin, M. E., &amp; Twohig, M. P. (2014). Acceptance and commitment therapy for anxiety and OCD spectrum disorders: An empirical review. </w:t>
      </w:r>
      <w:r w:rsidRPr="00CA56AF">
        <w:rPr>
          <w:i/>
          <w:noProof/>
        </w:rPr>
        <w:t>Journal of Anxiety Disorders, 28</w:t>
      </w:r>
      <w:r w:rsidRPr="00CA56AF">
        <w:rPr>
          <w:noProof/>
        </w:rPr>
        <w:t xml:space="preserve">(6), 612-624. doi: 10.1016/j.janxdis.2014.06.008 </w:t>
      </w:r>
    </w:p>
    <w:p w14:paraId="6E2B8F38" w14:textId="77777777" w:rsidR="00CA56AF" w:rsidRPr="00CA56AF" w:rsidRDefault="00CA56AF" w:rsidP="00CA56AF">
      <w:pPr>
        <w:pStyle w:val="EndNoteBibliography"/>
        <w:ind w:left="720" w:hanging="720"/>
        <w:rPr>
          <w:noProof/>
        </w:rPr>
      </w:pPr>
      <w:r w:rsidRPr="00CA56AF">
        <w:rPr>
          <w:noProof/>
        </w:rPr>
        <w:t xml:space="preserve">Crosby, J. M., Dehlin, J. P., Mitchell, P. R., &amp; Twohig, M. P. (2012). Acceptance and Commitment Therapy and Habit Reversal Training for the Treatment of Trichotillomania. </w:t>
      </w:r>
      <w:r w:rsidRPr="00CA56AF">
        <w:rPr>
          <w:i/>
          <w:noProof/>
        </w:rPr>
        <w:t>Cognitive and Behavioral Practice, 19</w:t>
      </w:r>
      <w:r w:rsidRPr="00CA56AF">
        <w:rPr>
          <w:noProof/>
        </w:rPr>
        <w:t xml:space="preserve">(4), 595-605. </w:t>
      </w:r>
    </w:p>
    <w:p w14:paraId="7820CC0E" w14:textId="77777777" w:rsidR="00CA56AF" w:rsidRPr="00CA56AF" w:rsidRDefault="00CA56AF" w:rsidP="00CA56AF">
      <w:pPr>
        <w:pStyle w:val="EndNoteBibliography"/>
        <w:ind w:left="720" w:hanging="720"/>
        <w:rPr>
          <w:noProof/>
        </w:rPr>
      </w:pPr>
      <w:r w:rsidRPr="00CA56AF">
        <w:rPr>
          <w:noProof/>
        </w:rPr>
        <w:t xml:space="preserve">Fine, K. M., Walther, M. R., Joseph, J. M., Robinson, J., Ricketts, E. J., Bowe, W. E., &amp; Woods, D. W. (2012). Acceptance-Enhanced Behavior Therapy for Trichotillomania in Adolescents. </w:t>
      </w:r>
      <w:r w:rsidRPr="00CA56AF">
        <w:rPr>
          <w:i/>
          <w:noProof/>
        </w:rPr>
        <w:t>Cognitive and Behavioral Practice, 19</w:t>
      </w:r>
      <w:r w:rsidRPr="00CA56AF">
        <w:rPr>
          <w:noProof/>
        </w:rPr>
        <w:t xml:space="preserve">(3), 463-471. </w:t>
      </w:r>
    </w:p>
    <w:p w14:paraId="712B7FAB" w14:textId="77777777" w:rsidR="00CA56AF" w:rsidRPr="00CA56AF" w:rsidRDefault="00CA56AF" w:rsidP="00CA56AF">
      <w:pPr>
        <w:pStyle w:val="EndNoteBibliography"/>
        <w:ind w:left="720" w:hanging="720"/>
        <w:rPr>
          <w:noProof/>
        </w:rPr>
      </w:pPr>
      <w:r w:rsidRPr="00CA56AF">
        <w:rPr>
          <w:noProof/>
        </w:rPr>
        <w:t xml:space="preserve">Flessner, C. A., Busch, A. M., Heideman, P. W., &amp; Woods, D. W. (2008). Acceptance-enhanced behavior therapy (AEBT) for trichotillomania and chronic skin picking: Exploring the effects of component sequencing. </w:t>
      </w:r>
      <w:r w:rsidRPr="00CA56AF">
        <w:rPr>
          <w:i/>
          <w:noProof/>
        </w:rPr>
        <w:t>Behavior Modification, 32</w:t>
      </w:r>
      <w:r w:rsidRPr="00CA56AF">
        <w:rPr>
          <w:noProof/>
        </w:rPr>
        <w:t>(5), 579-594. doi: 10.1177/0145445507313800</w:t>
      </w:r>
    </w:p>
    <w:p w14:paraId="69E29A51" w14:textId="77777777" w:rsidR="00CA56AF" w:rsidRPr="00CA56AF" w:rsidRDefault="00CA56AF" w:rsidP="00CA56AF">
      <w:pPr>
        <w:pStyle w:val="EndNoteBibliography"/>
        <w:ind w:left="720" w:hanging="720"/>
        <w:rPr>
          <w:noProof/>
        </w:rPr>
      </w:pPr>
      <w:r w:rsidRPr="00CA56AF">
        <w:rPr>
          <w:noProof/>
        </w:rPr>
        <w:t xml:space="preserve">Flessner, C. A., Penzel, F., &amp; Keuthen, N. J. (2010). Current treatment practices for children and adults with trichotillomania: Consensus among experts. </w:t>
      </w:r>
      <w:r w:rsidRPr="00CA56AF">
        <w:rPr>
          <w:i/>
          <w:noProof/>
        </w:rPr>
        <w:t>Cognitive and Behavioral Practice, 17</w:t>
      </w:r>
      <w:r w:rsidRPr="00CA56AF">
        <w:rPr>
          <w:noProof/>
        </w:rPr>
        <w:t xml:space="preserve">(3), 290-300. </w:t>
      </w:r>
    </w:p>
    <w:p w14:paraId="250D45E4" w14:textId="77777777" w:rsidR="00CA56AF" w:rsidRPr="00CA56AF" w:rsidRDefault="00CA56AF" w:rsidP="00CA56AF">
      <w:pPr>
        <w:pStyle w:val="EndNoteBibliography"/>
        <w:ind w:left="720" w:hanging="720"/>
        <w:rPr>
          <w:noProof/>
        </w:rPr>
      </w:pPr>
      <w:r w:rsidRPr="00CA56AF">
        <w:rPr>
          <w:noProof/>
        </w:rPr>
        <w:t>The Milwaukee Inventory for Subtypes of Trichotillomania-Adult Version (MIST-A): Development of an instrument for the assessment of &amp;apos;focused&amp;apos; and &amp;apos;automatic&amp;apos; hair pulling., 1, 30 Cong. Rec.  20-30  (2008).</w:t>
      </w:r>
    </w:p>
    <w:p w14:paraId="0D2E556E" w14:textId="77777777" w:rsidR="00CA56AF" w:rsidRPr="00CA56AF" w:rsidRDefault="00CA56AF" w:rsidP="00CA56AF">
      <w:pPr>
        <w:pStyle w:val="EndNoteBibliography"/>
        <w:ind w:left="720" w:hanging="720"/>
        <w:rPr>
          <w:noProof/>
        </w:rPr>
      </w:pPr>
      <w:r w:rsidRPr="00CA56AF">
        <w:rPr>
          <w:noProof/>
        </w:rPr>
        <w:t xml:space="preserve">Franklin, M. E., Zagrabbe, K., &amp; Benavides, K. L. (2011). Trichotillomania and its treatment: a review and recommendations. </w:t>
      </w:r>
    </w:p>
    <w:p w14:paraId="25A76A93" w14:textId="77777777" w:rsidR="00CA56AF" w:rsidRPr="00CA56AF" w:rsidRDefault="00CA56AF" w:rsidP="00CA56AF">
      <w:pPr>
        <w:pStyle w:val="EndNoteBibliography"/>
        <w:ind w:left="720" w:hanging="720"/>
        <w:rPr>
          <w:noProof/>
        </w:rPr>
      </w:pPr>
      <w:r w:rsidRPr="00CA56AF">
        <w:rPr>
          <w:noProof/>
        </w:rPr>
        <w:t xml:space="preserve">Kraus, S. W., Potenza, M. N., Martino, S., &amp; Grant, J. E. (2015). Examining the psychometric properties of the Yale–Brown Obsessive–Compulsive Scale in a sample of compulsive pornography users. </w:t>
      </w:r>
      <w:r w:rsidRPr="00CA56AF">
        <w:rPr>
          <w:i/>
          <w:noProof/>
        </w:rPr>
        <w:t>Comprehensive psychiatry, 59</w:t>
      </w:r>
      <w:r w:rsidRPr="00CA56AF">
        <w:rPr>
          <w:noProof/>
        </w:rPr>
        <w:t xml:space="preserve">, 117-122. </w:t>
      </w:r>
    </w:p>
    <w:p w14:paraId="5E58B2B1" w14:textId="77777777" w:rsidR="00CA56AF" w:rsidRPr="00CA56AF" w:rsidRDefault="00CA56AF" w:rsidP="00CA56AF">
      <w:pPr>
        <w:pStyle w:val="EndNoteBibliography"/>
        <w:ind w:left="720" w:hanging="720"/>
        <w:rPr>
          <w:noProof/>
        </w:rPr>
      </w:pPr>
      <w:r w:rsidRPr="00CA56AF">
        <w:rPr>
          <w:noProof/>
        </w:rPr>
        <w:t xml:space="preserve">Kraus, S. W., Voon, V., Kor, A., &amp; Potenza, M. N. (2016). Searching for clarity in muddy water: future considerations for classifying compulsive sexual behavior as an addiction. </w:t>
      </w:r>
      <w:r w:rsidRPr="00CA56AF">
        <w:rPr>
          <w:i/>
          <w:noProof/>
        </w:rPr>
        <w:t>Addiction, 111</w:t>
      </w:r>
      <w:r w:rsidRPr="00CA56AF">
        <w:rPr>
          <w:noProof/>
        </w:rPr>
        <w:t xml:space="preserve">(12), 2113-2114. </w:t>
      </w:r>
    </w:p>
    <w:p w14:paraId="0A863424" w14:textId="77777777" w:rsidR="00CA56AF" w:rsidRPr="00CA56AF" w:rsidRDefault="00CA56AF" w:rsidP="00CA56AF">
      <w:pPr>
        <w:pStyle w:val="EndNoteBibliography"/>
        <w:ind w:left="720" w:hanging="720"/>
        <w:rPr>
          <w:noProof/>
        </w:rPr>
      </w:pPr>
      <w:r w:rsidRPr="00CA56AF">
        <w:rPr>
          <w:noProof/>
        </w:rPr>
        <w:t xml:space="preserve">Lerner, J., Franklin, M. E., Meadows, E. A., Hembree, E., &amp; Foa, E. B. (1998). Effectiveness of a cognitive behavioral treatment program for trichotillomania: An uncontrolled evaluation. </w:t>
      </w:r>
      <w:r w:rsidRPr="00CA56AF">
        <w:rPr>
          <w:i/>
          <w:noProof/>
        </w:rPr>
        <w:t>Behavior Therapy, 29</w:t>
      </w:r>
      <w:r w:rsidRPr="00CA56AF">
        <w:rPr>
          <w:noProof/>
        </w:rPr>
        <w:t xml:space="preserve">(1), 157-171. </w:t>
      </w:r>
    </w:p>
    <w:p w14:paraId="36F7CA40" w14:textId="77777777" w:rsidR="00CA56AF" w:rsidRPr="00CA56AF" w:rsidRDefault="00CA56AF" w:rsidP="00CA56AF">
      <w:pPr>
        <w:pStyle w:val="EndNoteBibliography"/>
        <w:ind w:left="720" w:hanging="720"/>
        <w:rPr>
          <w:noProof/>
        </w:rPr>
      </w:pPr>
      <w:r w:rsidRPr="00CA56AF">
        <w:rPr>
          <w:noProof/>
        </w:rPr>
        <w:t xml:space="preserve">Lootens, C. M., &amp; Nelson-Gray, R. O. (2016). Treating Trichotillomania: Successful Application of Manualized Cognitive-Behavioral Therapy. </w:t>
      </w:r>
      <w:r w:rsidRPr="00CA56AF">
        <w:rPr>
          <w:i/>
          <w:noProof/>
        </w:rPr>
        <w:t>Clinical Case Studies, 15</w:t>
      </w:r>
      <w:r w:rsidRPr="00CA56AF">
        <w:rPr>
          <w:noProof/>
        </w:rPr>
        <w:t xml:space="preserve">(5), 376-391. </w:t>
      </w:r>
    </w:p>
    <w:p w14:paraId="14842341" w14:textId="77777777" w:rsidR="00CA56AF" w:rsidRPr="00CA56AF" w:rsidRDefault="00CA56AF" w:rsidP="00CA56AF">
      <w:pPr>
        <w:pStyle w:val="EndNoteBibliography"/>
        <w:ind w:left="720" w:hanging="720"/>
        <w:rPr>
          <w:noProof/>
        </w:rPr>
      </w:pPr>
      <w:r w:rsidRPr="00CA56AF">
        <w:rPr>
          <w:noProof/>
        </w:rPr>
        <w:t xml:space="preserve">Potenza, M. N. (2017). OP-87: How might compulsive sexual behaviors be considered in ICD-11 and what are the clinical implications? </w:t>
      </w:r>
      <w:r w:rsidRPr="00CA56AF">
        <w:rPr>
          <w:i/>
          <w:noProof/>
        </w:rPr>
        <w:t>Journal of Behavioral Addictions, 6</w:t>
      </w:r>
      <w:r w:rsidRPr="00CA56AF">
        <w:rPr>
          <w:noProof/>
        </w:rPr>
        <w:t xml:space="preserve">(S1), 42-43. </w:t>
      </w:r>
    </w:p>
    <w:p w14:paraId="05AE9489" w14:textId="77777777" w:rsidR="00CA56AF" w:rsidRPr="00CA56AF" w:rsidRDefault="00CA56AF" w:rsidP="00CA56AF">
      <w:pPr>
        <w:pStyle w:val="EndNoteBibliography"/>
        <w:ind w:left="720" w:hanging="720"/>
        <w:rPr>
          <w:noProof/>
        </w:rPr>
      </w:pPr>
      <w:r w:rsidRPr="00CA56AF">
        <w:rPr>
          <w:noProof/>
        </w:rPr>
        <w:t xml:space="preserve">Salim, A., Mackinnon, A., Christensen, H., &amp; Griffiths, K. (2008). Comparison of data analysis strategies for intent-to-treat analysis in pre-test–post-test designs with substantial dropout rates. </w:t>
      </w:r>
      <w:r w:rsidRPr="00CA56AF">
        <w:rPr>
          <w:i/>
          <w:noProof/>
        </w:rPr>
        <w:t>Psychiatry Research, 160</w:t>
      </w:r>
      <w:r w:rsidRPr="00CA56AF">
        <w:rPr>
          <w:noProof/>
        </w:rPr>
        <w:t xml:space="preserve">(3), 335-345. </w:t>
      </w:r>
    </w:p>
    <w:p w14:paraId="7F83703F" w14:textId="77777777" w:rsidR="00CA56AF" w:rsidRPr="00CA56AF" w:rsidRDefault="00CA56AF" w:rsidP="00CA56AF">
      <w:pPr>
        <w:pStyle w:val="EndNoteBibliography"/>
        <w:ind w:left="720" w:hanging="720"/>
        <w:rPr>
          <w:noProof/>
        </w:rPr>
      </w:pPr>
      <w:r w:rsidRPr="00CA56AF">
        <w:rPr>
          <w:noProof/>
        </w:rPr>
        <w:t xml:space="preserve">Tolin, D. F., Franklin, M. E., Diefenbach, G. J., Anderson, E., &amp; Meunier, S. A. (2007). Pediatric trichotillomania: descriptive psychopathology and an open trial of cognitive behavioral therapy. </w:t>
      </w:r>
      <w:r w:rsidRPr="00CA56AF">
        <w:rPr>
          <w:i/>
          <w:noProof/>
        </w:rPr>
        <w:t>Cognitive Behaviour Therapy, 36</w:t>
      </w:r>
      <w:r w:rsidRPr="00CA56AF">
        <w:rPr>
          <w:noProof/>
        </w:rPr>
        <w:t xml:space="preserve">(3), 129-144. </w:t>
      </w:r>
    </w:p>
    <w:p w14:paraId="0113A7C2" w14:textId="77777777" w:rsidR="00CA56AF" w:rsidRPr="00CA56AF" w:rsidRDefault="00CA56AF" w:rsidP="00CA56AF">
      <w:pPr>
        <w:pStyle w:val="EndNoteBibliography"/>
        <w:ind w:left="720" w:hanging="720"/>
        <w:rPr>
          <w:noProof/>
        </w:rPr>
      </w:pPr>
      <w:r w:rsidRPr="00CA56AF">
        <w:rPr>
          <w:noProof/>
        </w:rPr>
        <w:t xml:space="preserve">Twohig, M., Morrison, K., &amp; Bluett, E. (2014). Acceptance and commitment therapy for obsessive compulsive disorder and obsessive compulsive spectrum disorders: A review. </w:t>
      </w:r>
      <w:r w:rsidRPr="00CA56AF">
        <w:rPr>
          <w:i/>
          <w:noProof/>
        </w:rPr>
        <w:t>Current Psychiatry Reviews, 10</w:t>
      </w:r>
      <w:r w:rsidRPr="00CA56AF">
        <w:rPr>
          <w:noProof/>
        </w:rPr>
        <w:t xml:space="preserve">(4), 296-307. </w:t>
      </w:r>
    </w:p>
    <w:p w14:paraId="532D3D5B" w14:textId="77777777" w:rsidR="00CA56AF" w:rsidRPr="00CA56AF" w:rsidRDefault="00CA56AF" w:rsidP="00CA56AF">
      <w:pPr>
        <w:pStyle w:val="EndNoteBibliography"/>
        <w:ind w:left="720" w:hanging="720"/>
        <w:rPr>
          <w:noProof/>
        </w:rPr>
      </w:pPr>
      <w:r w:rsidRPr="00CA56AF">
        <w:rPr>
          <w:noProof/>
        </w:rPr>
        <w:t xml:space="preserve">Woods, D. W., Wetterneck, C. T., &amp; Flessner, C. A. (2006). A controlled evaluation of acceptance and commitment therapy plus habit reversal for trichotillomania. </w:t>
      </w:r>
      <w:r w:rsidRPr="00CA56AF">
        <w:rPr>
          <w:i/>
          <w:noProof/>
        </w:rPr>
        <w:t>Behaviour Research and Therapy, 44</w:t>
      </w:r>
      <w:r w:rsidRPr="00CA56AF">
        <w:rPr>
          <w:noProof/>
        </w:rPr>
        <w:t xml:space="preserve">(5), 639-656. </w:t>
      </w:r>
    </w:p>
    <w:p w14:paraId="06653DFE" w14:textId="72ED0264" w:rsidR="00745FBA" w:rsidRDefault="00542A4C" w:rsidP="0068689D">
      <w:pPr>
        <w:pStyle w:val="EndNoteBibliography"/>
        <w:ind w:left="720" w:hanging="720"/>
        <w:rPr>
          <w:noProof/>
        </w:rPr>
      </w:pPr>
      <w:r>
        <w:rPr>
          <w:noProof/>
        </w:rPr>
        <w:fldChar w:fldCharType="end"/>
      </w:r>
    </w:p>
    <w:p w14:paraId="0981BA5B" w14:textId="77777777" w:rsidR="00745FBA" w:rsidRDefault="00745FBA">
      <w:pPr>
        <w:rPr>
          <w:noProof/>
        </w:rPr>
      </w:pPr>
      <w:r>
        <w:rPr>
          <w:noProof/>
        </w:rPr>
        <w:br w:type="page"/>
      </w:r>
    </w:p>
    <w:p w14:paraId="50D6EAA2" w14:textId="77777777" w:rsidR="00745FBA" w:rsidRDefault="00745FBA" w:rsidP="00745FBA">
      <w:pPr>
        <w:pStyle w:val="BodyText1"/>
        <w:spacing w:before="0" w:after="0" w:line="240" w:lineRule="auto"/>
        <w:rPr>
          <w:rFonts w:ascii="Times New Roman" w:hAnsi="Times New Roman" w:cs="Times New Roman"/>
        </w:rPr>
      </w:pPr>
      <w:r>
        <w:rPr>
          <w:rFonts w:ascii="Times New Roman" w:hAnsi="Times New Roman" w:cs="Times New Roman"/>
        </w:rPr>
        <w:t>Figure 1</w:t>
      </w:r>
    </w:p>
    <w:p w14:paraId="5FF41DD2" w14:textId="77777777" w:rsidR="00745FBA" w:rsidRDefault="00745FBA" w:rsidP="00745FBA">
      <w:pPr>
        <w:pStyle w:val="BodyText1"/>
        <w:spacing w:before="0" w:after="0" w:line="240" w:lineRule="auto"/>
        <w:rPr>
          <w:rFonts w:ascii="Times New Roman" w:hAnsi="Times New Roman" w:cs="Times New Roman"/>
        </w:rPr>
      </w:pPr>
      <w:r>
        <w:rPr>
          <w:rFonts w:ascii="Times New Roman" w:hAnsi="Times New Roman" w:cs="Times New Roman"/>
          <w:i/>
          <w:iCs/>
        </w:rPr>
        <w:t>Participant Flowchart</w:t>
      </w:r>
      <w:r>
        <w:rPr>
          <w:rFonts w:ascii="Times New Roman" w:hAnsi="Times New Roman" w:cs="Times New Roman"/>
          <w:noProof/>
        </w:rPr>
        <w:drawing>
          <wp:inline distT="0" distB="0" distL="0" distR="0" wp14:anchorId="7E8ED3E0" wp14:editId="48632938">
            <wp:extent cx="5237043" cy="5938180"/>
            <wp:effectExtent l="0" t="0" r="0" b="5715"/>
            <wp:docPr id="3" name="Picture 3" descr="/Users/eric/Documents/ Projects/TTM Trial/Participant flow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eric/Documents/ Projects/TTM Trial/Participant flow cha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780" cy="5948086"/>
                    </a:xfrm>
                    <a:prstGeom prst="rect">
                      <a:avLst/>
                    </a:prstGeom>
                    <a:noFill/>
                    <a:ln>
                      <a:noFill/>
                    </a:ln>
                  </pic:spPr>
                </pic:pic>
              </a:graphicData>
            </a:graphic>
          </wp:inline>
        </w:drawing>
      </w:r>
    </w:p>
    <w:p w14:paraId="3328DA61" w14:textId="77777777" w:rsidR="00745FBA" w:rsidRDefault="00745FBA" w:rsidP="00745FBA">
      <w:pPr>
        <w:pStyle w:val="BodyText1"/>
        <w:spacing w:before="0" w:after="0"/>
        <w:rPr>
          <w:rFonts w:ascii="Times New Roman" w:hAnsi="Times New Roman" w:cs="Times New Roman"/>
        </w:rPr>
      </w:pPr>
    </w:p>
    <w:p w14:paraId="414E93F4" w14:textId="77777777" w:rsidR="00745FBA" w:rsidRDefault="00745FBA" w:rsidP="00745FBA"/>
    <w:p w14:paraId="458DFB43" w14:textId="51C1C6C3" w:rsidR="00ED481D" w:rsidRDefault="00ED481D">
      <w:pPr>
        <w:rPr>
          <w:noProof/>
        </w:rPr>
      </w:pPr>
      <w:r>
        <w:rPr>
          <w:noProof/>
        </w:rPr>
        <w:br w:type="page"/>
      </w:r>
    </w:p>
    <w:p w14:paraId="22C074CB" w14:textId="77777777" w:rsidR="00ED481D" w:rsidRDefault="00ED481D" w:rsidP="00ED481D">
      <w:r>
        <w:t>Figure 2</w:t>
      </w:r>
    </w:p>
    <w:p w14:paraId="4C4D5D39" w14:textId="77777777" w:rsidR="00ED481D" w:rsidRPr="007D2FA6" w:rsidRDefault="00ED481D" w:rsidP="00ED481D">
      <w:pPr>
        <w:rPr>
          <w:i/>
        </w:rPr>
      </w:pPr>
      <w:r>
        <w:rPr>
          <w:i/>
        </w:rPr>
        <w:t>Self-Reported Daily Number of Hairs Pulled and Urges Experienced Throughout Treatment</w:t>
      </w:r>
    </w:p>
    <w:p w14:paraId="4EFE2681" w14:textId="77777777" w:rsidR="00ED481D" w:rsidRPr="00B55E7E" w:rsidRDefault="00ED481D" w:rsidP="00ED481D">
      <w:pPr>
        <w:rPr>
          <w:color w:val="000000"/>
        </w:rPr>
      </w:pPr>
      <w:r w:rsidRPr="0076149E">
        <w:rPr>
          <w:noProof/>
        </w:rPr>
        <w:drawing>
          <wp:inline distT="0" distB="0" distL="0" distR="0" wp14:anchorId="3C9FCA13" wp14:editId="59180C46">
            <wp:extent cx="5051041" cy="4011945"/>
            <wp:effectExtent l="0" t="0" r="3810"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17F1B1" w14:textId="77777777" w:rsidR="00ED481D" w:rsidRPr="00716C1B" w:rsidRDefault="00ED481D" w:rsidP="00ED481D">
      <w:pPr>
        <w:rPr>
          <w:rFonts w:ascii="Charter-Roman" w:hAnsi="Charter-Roman"/>
        </w:rPr>
      </w:pPr>
    </w:p>
    <w:p w14:paraId="11F30554" w14:textId="3D643BA8" w:rsidR="009F4E07" w:rsidRDefault="009F4E07">
      <w:pPr>
        <w:rPr>
          <w:noProof/>
        </w:rPr>
      </w:pPr>
      <w:r>
        <w:rPr>
          <w:noProof/>
        </w:rPr>
        <w:br w:type="page"/>
      </w:r>
    </w:p>
    <w:tbl>
      <w:tblPr>
        <w:tblStyle w:val="TableGrid"/>
        <w:tblW w:w="9175" w:type="dxa"/>
        <w:tblLook w:val="04A0" w:firstRow="1" w:lastRow="0" w:firstColumn="1" w:lastColumn="0" w:noHBand="0" w:noVBand="1"/>
      </w:tblPr>
      <w:tblGrid>
        <w:gridCol w:w="1980"/>
        <w:gridCol w:w="1055"/>
        <w:gridCol w:w="1683"/>
        <w:gridCol w:w="1361"/>
        <w:gridCol w:w="1339"/>
        <w:gridCol w:w="1757"/>
      </w:tblGrid>
      <w:tr w:rsidR="009F4E07" w:rsidRPr="00BA695B" w14:paraId="3660E3D0" w14:textId="77777777" w:rsidTr="00854D84">
        <w:tc>
          <w:tcPr>
            <w:tcW w:w="9175" w:type="dxa"/>
            <w:gridSpan w:val="6"/>
            <w:tcBorders>
              <w:top w:val="nil"/>
              <w:left w:val="nil"/>
              <w:bottom w:val="single" w:sz="4" w:space="0" w:color="auto"/>
              <w:right w:val="nil"/>
            </w:tcBorders>
          </w:tcPr>
          <w:p w14:paraId="562F11A8" w14:textId="77777777" w:rsidR="009F4E07" w:rsidRDefault="009F4E07" w:rsidP="00854D84">
            <w:r>
              <w:t>Table 1</w:t>
            </w:r>
          </w:p>
          <w:p w14:paraId="66C533CB" w14:textId="77777777" w:rsidR="009F4E07" w:rsidRPr="009A453C" w:rsidRDefault="009F4E07" w:rsidP="00854D84">
            <w:pPr>
              <w:rPr>
                <w:i/>
                <w:iCs/>
              </w:rPr>
            </w:pPr>
            <w:r>
              <w:rPr>
                <w:i/>
                <w:iCs/>
              </w:rPr>
              <w:t>Pre-Treatment Sample Characteristics</w:t>
            </w:r>
          </w:p>
        </w:tc>
      </w:tr>
      <w:tr w:rsidR="009F4E07" w:rsidRPr="00BA695B" w14:paraId="069A8286" w14:textId="77777777" w:rsidTr="00854D84">
        <w:trPr>
          <w:trHeight w:val="332"/>
        </w:trPr>
        <w:tc>
          <w:tcPr>
            <w:tcW w:w="1980" w:type="dxa"/>
            <w:tcBorders>
              <w:left w:val="nil"/>
              <w:bottom w:val="single" w:sz="4" w:space="0" w:color="auto"/>
              <w:right w:val="nil"/>
            </w:tcBorders>
            <w:vAlign w:val="center"/>
          </w:tcPr>
          <w:p w14:paraId="3E108013" w14:textId="77777777" w:rsidR="009F4E07" w:rsidRPr="00BA695B" w:rsidRDefault="009F4E07" w:rsidP="00854D84">
            <w:pPr>
              <w:jc w:val="center"/>
            </w:pPr>
          </w:p>
        </w:tc>
        <w:tc>
          <w:tcPr>
            <w:tcW w:w="1055" w:type="dxa"/>
            <w:tcBorders>
              <w:left w:val="nil"/>
              <w:bottom w:val="single" w:sz="4" w:space="0" w:color="auto"/>
              <w:right w:val="nil"/>
            </w:tcBorders>
            <w:vAlign w:val="center"/>
          </w:tcPr>
          <w:p w14:paraId="1A0E26C1" w14:textId="77777777" w:rsidR="009F4E07" w:rsidRDefault="009F4E07" w:rsidP="00854D84">
            <w:pPr>
              <w:jc w:val="center"/>
            </w:pPr>
            <w:r w:rsidRPr="00BA695B">
              <w:t>Enrolled</w:t>
            </w:r>
          </w:p>
          <w:p w14:paraId="2BF18964" w14:textId="77777777" w:rsidR="009F4E07" w:rsidRPr="009F0F04" w:rsidRDefault="009F4E07" w:rsidP="00854D84">
            <w:pPr>
              <w:jc w:val="center"/>
            </w:pPr>
            <w:r>
              <w:t>(</w:t>
            </w:r>
            <w:r>
              <w:rPr>
                <w:i/>
                <w:iCs/>
              </w:rPr>
              <w:t>n</w:t>
            </w:r>
            <w:r>
              <w:t xml:space="preserve"> = 39)</w:t>
            </w:r>
          </w:p>
        </w:tc>
        <w:tc>
          <w:tcPr>
            <w:tcW w:w="1683" w:type="dxa"/>
            <w:tcBorders>
              <w:left w:val="nil"/>
              <w:bottom w:val="single" w:sz="4" w:space="0" w:color="auto"/>
              <w:right w:val="nil"/>
            </w:tcBorders>
            <w:vAlign w:val="center"/>
          </w:tcPr>
          <w:p w14:paraId="6C307B8C" w14:textId="77777777" w:rsidR="009F4E07" w:rsidRDefault="009F4E07" w:rsidP="00854D84">
            <w:pPr>
              <w:jc w:val="center"/>
            </w:pPr>
            <w:r w:rsidRPr="00BA695B">
              <w:t>Noncompleters</w:t>
            </w:r>
          </w:p>
          <w:p w14:paraId="1B0088DF" w14:textId="77777777" w:rsidR="009F4E07" w:rsidRPr="00BA695B" w:rsidRDefault="009F4E07" w:rsidP="00854D84">
            <w:pPr>
              <w:jc w:val="center"/>
            </w:pPr>
            <w:r>
              <w:t>(</w:t>
            </w:r>
            <w:r>
              <w:rPr>
                <w:i/>
                <w:iCs/>
              </w:rPr>
              <w:t>n</w:t>
            </w:r>
            <w:r>
              <w:t xml:space="preserve"> = 14)</w:t>
            </w:r>
          </w:p>
        </w:tc>
        <w:tc>
          <w:tcPr>
            <w:tcW w:w="1361" w:type="dxa"/>
            <w:tcBorders>
              <w:left w:val="nil"/>
              <w:bottom w:val="single" w:sz="4" w:space="0" w:color="auto"/>
              <w:right w:val="nil"/>
            </w:tcBorders>
            <w:vAlign w:val="center"/>
          </w:tcPr>
          <w:p w14:paraId="7E8F92C6" w14:textId="77777777" w:rsidR="009F4E07" w:rsidRDefault="009F4E07" w:rsidP="00854D84">
            <w:pPr>
              <w:jc w:val="center"/>
            </w:pPr>
            <w:r w:rsidRPr="00BA695B">
              <w:t>ACT Completers</w:t>
            </w:r>
          </w:p>
          <w:p w14:paraId="64FEA5DF" w14:textId="77777777" w:rsidR="009F4E07" w:rsidRPr="00BA695B" w:rsidRDefault="009F4E07" w:rsidP="00854D84">
            <w:pPr>
              <w:jc w:val="center"/>
            </w:pPr>
            <w:r>
              <w:t>(</w:t>
            </w:r>
            <w:r>
              <w:rPr>
                <w:i/>
                <w:iCs/>
              </w:rPr>
              <w:t>n</w:t>
            </w:r>
            <w:r>
              <w:t xml:space="preserve"> = 15)</w:t>
            </w:r>
          </w:p>
        </w:tc>
        <w:tc>
          <w:tcPr>
            <w:tcW w:w="1339" w:type="dxa"/>
            <w:tcBorders>
              <w:left w:val="nil"/>
              <w:bottom w:val="single" w:sz="4" w:space="0" w:color="auto"/>
              <w:right w:val="nil"/>
            </w:tcBorders>
            <w:vAlign w:val="center"/>
          </w:tcPr>
          <w:p w14:paraId="182E443D" w14:textId="77777777" w:rsidR="009F4E07" w:rsidRDefault="009F4E07" w:rsidP="00854D84">
            <w:pPr>
              <w:jc w:val="center"/>
            </w:pPr>
            <w:r w:rsidRPr="00BA695B">
              <w:t>Waitlist Completers</w:t>
            </w:r>
          </w:p>
          <w:p w14:paraId="41FCA509" w14:textId="77777777" w:rsidR="009F4E07" w:rsidRPr="00BA695B" w:rsidRDefault="009F4E07" w:rsidP="00854D84">
            <w:pPr>
              <w:jc w:val="center"/>
            </w:pPr>
            <w:r>
              <w:t>(</w:t>
            </w:r>
            <w:r>
              <w:rPr>
                <w:i/>
                <w:iCs/>
              </w:rPr>
              <w:t>n</w:t>
            </w:r>
            <w:r>
              <w:t xml:space="preserve"> = 10)</w:t>
            </w:r>
          </w:p>
        </w:tc>
        <w:tc>
          <w:tcPr>
            <w:tcW w:w="1757" w:type="dxa"/>
            <w:tcBorders>
              <w:left w:val="nil"/>
              <w:bottom w:val="single" w:sz="4" w:space="0" w:color="auto"/>
              <w:right w:val="nil"/>
            </w:tcBorders>
            <w:vAlign w:val="center"/>
          </w:tcPr>
          <w:p w14:paraId="1454320C" w14:textId="77777777" w:rsidR="009F4E07" w:rsidRDefault="009F4E07" w:rsidP="00854D84">
            <w:pPr>
              <w:jc w:val="center"/>
            </w:pPr>
            <w:r w:rsidRPr="00BA695B">
              <w:t>Completers Overall</w:t>
            </w:r>
          </w:p>
          <w:p w14:paraId="7D10BFC9" w14:textId="77777777" w:rsidR="009F4E07" w:rsidRPr="00BA695B" w:rsidRDefault="009F4E07" w:rsidP="00854D84">
            <w:pPr>
              <w:jc w:val="center"/>
            </w:pPr>
            <w:r>
              <w:t>(</w:t>
            </w:r>
            <w:r>
              <w:rPr>
                <w:i/>
                <w:iCs/>
              </w:rPr>
              <w:t>n</w:t>
            </w:r>
            <w:r>
              <w:t xml:space="preserve"> = 25)</w:t>
            </w:r>
          </w:p>
        </w:tc>
      </w:tr>
      <w:tr w:rsidR="009F4E07" w:rsidRPr="00BA695B" w14:paraId="4641BBBC" w14:textId="77777777" w:rsidTr="00854D84">
        <w:trPr>
          <w:trHeight w:val="864"/>
        </w:trPr>
        <w:tc>
          <w:tcPr>
            <w:tcW w:w="1980" w:type="dxa"/>
            <w:tcBorders>
              <w:left w:val="nil"/>
              <w:bottom w:val="nil"/>
              <w:right w:val="nil"/>
            </w:tcBorders>
            <w:vAlign w:val="center"/>
          </w:tcPr>
          <w:p w14:paraId="708E15EF" w14:textId="77777777" w:rsidR="009F4E07" w:rsidRDefault="009F4E07" w:rsidP="00854D84">
            <w:pPr>
              <w:spacing w:after="20"/>
              <w:rPr>
                <w:i/>
              </w:rPr>
            </w:pPr>
            <w:r w:rsidRPr="00BA695B">
              <w:t xml:space="preserve">Age </w:t>
            </w:r>
            <w:r w:rsidRPr="00BA695B">
              <w:rPr>
                <w:i/>
              </w:rPr>
              <w:t xml:space="preserve">M </w:t>
            </w:r>
          </w:p>
          <w:p w14:paraId="15EC6810" w14:textId="77777777" w:rsidR="009F4E07" w:rsidRPr="00BA695B" w:rsidRDefault="009F4E07" w:rsidP="00854D84">
            <w:pPr>
              <w:spacing w:after="20"/>
              <w:rPr>
                <w:i/>
              </w:rPr>
            </w:pPr>
            <w:r w:rsidRPr="0039424B">
              <w:rPr>
                <w:iCs/>
              </w:rPr>
              <w:t>(</w:t>
            </w:r>
            <w:r w:rsidRPr="00BA695B">
              <w:rPr>
                <w:i/>
              </w:rPr>
              <w:t>SD</w:t>
            </w:r>
            <w:r>
              <w:rPr>
                <w:i/>
              </w:rPr>
              <w:t xml:space="preserve">; </w:t>
            </w:r>
            <w:r>
              <w:rPr>
                <w:iCs/>
              </w:rPr>
              <w:t>R</w:t>
            </w:r>
            <w:r w:rsidRPr="0039424B">
              <w:rPr>
                <w:iCs/>
              </w:rPr>
              <w:t>ange)</w:t>
            </w:r>
          </w:p>
        </w:tc>
        <w:tc>
          <w:tcPr>
            <w:tcW w:w="1055" w:type="dxa"/>
            <w:tcBorders>
              <w:left w:val="nil"/>
              <w:bottom w:val="nil"/>
              <w:right w:val="nil"/>
            </w:tcBorders>
            <w:vAlign w:val="center"/>
          </w:tcPr>
          <w:p w14:paraId="2960F991" w14:textId="77777777" w:rsidR="009F4E07" w:rsidRDefault="009F4E07" w:rsidP="00854D84">
            <w:pPr>
              <w:spacing w:after="20"/>
              <w:jc w:val="center"/>
            </w:pPr>
            <w:r>
              <w:t xml:space="preserve">21.00 (8.23; </w:t>
            </w:r>
          </w:p>
          <w:p w14:paraId="0852FBA8" w14:textId="77777777" w:rsidR="009F4E07" w:rsidRPr="00BA695B" w:rsidRDefault="009F4E07" w:rsidP="00854D84">
            <w:pPr>
              <w:spacing w:after="20"/>
              <w:jc w:val="center"/>
            </w:pPr>
            <w:r>
              <w:t>12–45)</w:t>
            </w:r>
          </w:p>
        </w:tc>
        <w:tc>
          <w:tcPr>
            <w:tcW w:w="1683" w:type="dxa"/>
            <w:tcBorders>
              <w:left w:val="nil"/>
              <w:bottom w:val="nil"/>
              <w:right w:val="nil"/>
            </w:tcBorders>
            <w:vAlign w:val="center"/>
          </w:tcPr>
          <w:p w14:paraId="728D168C" w14:textId="77777777" w:rsidR="009F4E07" w:rsidRDefault="009F4E07" w:rsidP="00854D84">
            <w:pPr>
              <w:spacing w:after="20"/>
              <w:jc w:val="center"/>
            </w:pPr>
            <w:r>
              <w:t xml:space="preserve">26.07 </w:t>
            </w:r>
          </w:p>
          <w:p w14:paraId="29A6F3BE" w14:textId="77777777" w:rsidR="009F4E07" w:rsidRDefault="009F4E07" w:rsidP="00854D84">
            <w:pPr>
              <w:spacing w:after="20"/>
              <w:jc w:val="center"/>
            </w:pPr>
            <w:r>
              <w:t xml:space="preserve">(10.41; </w:t>
            </w:r>
          </w:p>
          <w:p w14:paraId="04E195AC" w14:textId="77777777" w:rsidR="009F4E07" w:rsidRPr="00BA695B" w:rsidRDefault="009F4E07" w:rsidP="00854D84">
            <w:pPr>
              <w:spacing w:after="20"/>
              <w:jc w:val="center"/>
            </w:pPr>
            <w:r>
              <w:t>14–45)</w:t>
            </w:r>
          </w:p>
        </w:tc>
        <w:tc>
          <w:tcPr>
            <w:tcW w:w="1361" w:type="dxa"/>
            <w:tcBorders>
              <w:left w:val="nil"/>
              <w:bottom w:val="nil"/>
              <w:right w:val="nil"/>
            </w:tcBorders>
            <w:vAlign w:val="center"/>
          </w:tcPr>
          <w:p w14:paraId="5D378C33" w14:textId="77777777" w:rsidR="009F4E07" w:rsidRDefault="009F4E07" w:rsidP="00854D84">
            <w:pPr>
              <w:spacing w:after="20"/>
              <w:jc w:val="center"/>
            </w:pPr>
            <w:r>
              <w:t xml:space="preserve">17.87 (5.37; </w:t>
            </w:r>
          </w:p>
          <w:p w14:paraId="370A5A84" w14:textId="77777777" w:rsidR="009F4E07" w:rsidRPr="00BA695B" w:rsidRDefault="009F4E07" w:rsidP="00854D84">
            <w:pPr>
              <w:spacing w:after="20"/>
              <w:jc w:val="center"/>
            </w:pPr>
            <w:r>
              <w:t>12–28)</w:t>
            </w:r>
          </w:p>
        </w:tc>
        <w:tc>
          <w:tcPr>
            <w:tcW w:w="1339" w:type="dxa"/>
            <w:tcBorders>
              <w:left w:val="nil"/>
              <w:bottom w:val="nil"/>
              <w:right w:val="nil"/>
            </w:tcBorders>
            <w:vAlign w:val="center"/>
          </w:tcPr>
          <w:p w14:paraId="233F5990" w14:textId="77777777" w:rsidR="009F4E07" w:rsidRDefault="009F4E07" w:rsidP="00854D84">
            <w:pPr>
              <w:spacing w:after="20"/>
              <w:jc w:val="center"/>
            </w:pPr>
            <w:r>
              <w:t xml:space="preserve">18.60 (4.70; </w:t>
            </w:r>
          </w:p>
          <w:p w14:paraId="505BBA76" w14:textId="77777777" w:rsidR="009F4E07" w:rsidRPr="00BA695B" w:rsidRDefault="009F4E07" w:rsidP="00854D84">
            <w:pPr>
              <w:spacing w:after="20"/>
              <w:jc w:val="center"/>
            </w:pPr>
            <w:r>
              <w:t>12–27)</w:t>
            </w:r>
          </w:p>
        </w:tc>
        <w:tc>
          <w:tcPr>
            <w:tcW w:w="1757" w:type="dxa"/>
            <w:tcBorders>
              <w:left w:val="nil"/>
              <w:bottom w:val="nil"/>
              <w:right w:val="nil"/>
            </w:tcBorders>
            <w:vAlign w:val="center"/>
          </w:tcPr>
          <w:p w14:paraId="6A0D0FD7" w14:textId="77777777" w:rsidR="009F4E07" w:rsidRDefault="009F4E07" w:rsidP="00854D84">
            <w:pPr>
              <w:spacing w:after="20"/>
              <w:jc w:val="center"/>
            </w:pPr>
            <w:r>
              <w:t xml:space="preserve">18.16 </w:t>
            </w:r>
          </w:p>
          <w:p w14:paraId="1225962E" w14:textId="77777777" w:rsidR="009F4E07" w:rsidRDefault="009F4E07" w:rsidP="00854D84">
            <w:pPr>
              <w:spacing w:after="20"/>
              <w:jc w:val="center"/>
            </w:pPr>
            <w:r>
              <w:t xml:space="preserve">(5.02; </w:t>
            </w:r>
          </w:p>
          <w:p w14:paraId="46FF2BD7" w14:textId="77777777" w:rsidR="009F4E07" w:rsidRPr="00BA695B" w:rsidRDefault="009F4E07" w:rsidP="00854D84">
            <w:pPr>
              <w:spacing w:after="20"/>
              <w:jc w:val="center"/>
            </w:pPr>
            <w:r>
              <w:t>12–28)</w:t>
            </w:r>
          </w:p>
        </w:tc>
      </w:tr>
      <w:tr w:rsidR="009F4E07" w:rsidRPr="00BA695B" w14:paraId="56C563ED" w14:textId="77777777" w:rsidTr="00854D84">
        <w:trPr>
          <w:trHeight w:val="864"/>
        </w:trPr>
        <w:tc>
          <w:tcPr>
            <w:tcW w:w="1980" w:type="dxa"/>
            <w:tcBorders>
              <w:top w:val="nil"/>
              <w:left w:val="nil"/>
              <w:bottom w:val="nil"/>
              <w:right w:val="nil"/>
            </w:tcBorders>
            <w:vAlign w:val="center"/>
          </w:tcPr>
          <w:p w14:paraId="62CBF2F6" w14:textId="77777777" w:rsidR="009F4E07" w:rsidRPr="00BA695B" w:rsidRDefault="009F4E07" w:rsidP="00854D84">
            <w:pPr>
              <w:spacing w:after="20"/>
            </w:pPr>
            <w:r>
              <w:t>Percent &lt; 18 years old</w:t>
            </w:r>
          </w:p>
        </w:tc>
        <w:tc>
          <w:tcPr>
            <w:tcW w:w="1055" w:type="dxa"/>
            <w:tcBorders>
              <w:top w:val="nil"/>
              <w:left w:val="nil"/>
              <w:bottom w:val="nil"/>
              <w:right w:val="nil"/>
            </w:tcBorders>
            <w:vAlign w:val="center"/>
          </w:tcPr>
          <w:p w14:paraId="4534B523" w14:textId="77777777" w:rsidR="009F4E07" w:rsidRDefault="009F4E07" w:rsidP="00854D84">
            <w:pPr>
              <w:spacing w:after="20"/>
              <w:jc w:val="center"/>
            </w:pPr>
            <w:r>
              <w:t>35.90</w:t>
            </w:r>
          </w:p>
        </w:tc>
        <w:tc>
          <w:tcPr>
            <w:tcW w:w="1683" w:type="dxa"/>
            <w:tcBorders>
              <w:top w:val="nil"/>
              <w:left w:val="nil"/>
              <w:bottom w:val="nil"/>
              <w:right w:val="nil"/>
            </w:tcBorders>
            <w:vAlign w:val="center"/>
          </w:tcPr>
          <w:p w14:paraId="1215DD87" w14:textId="77777777" w:rsidR="009F4E07" w:rsidRDefault="009F4E07" w:rsidP="00854D84">
            <w:pPr>
              <w:spacing w:after="20"/>
              <w:jc w:val="center"/>
            </w:pPr>
            <w:r>
              <w:t>21.43</w:t>
            </w:r>
          </w:p>
        </w:tc>
        <w:tc>
          <w:tcPr>
            <w:tcW w:w="1361" w:type="dxa"/>
            <w:tcBorders>
              <w:top w:val="nil"/>
              <w:left w:val="nil"/>
              <w:bottom w:val="nil"/>
              <w:right w:val="nil"/>
            </w:tcBorders>
            <w:vAlign w:val="center"/>
          </w:tcPr>
          <w:p w14:paraId="6BE04767" w14:textId="77777777" w:rsidR="009F4E07" w:rsidRDefault="009F4E07" w:rsidP="00854D84">
            <w:pPr>
              <w:spacing w:after="20"/>
              <w:jc w:val="center"/>
            </w:pPr>
            <w:r>
              <w:t>46.70</w:t>
            </w:r>
          </w:p>
        </w:tc>
        <w:tc>
          <w:tcPr>
            <w:tcW w:w="1339" w:type="dxa"/>
            <w:tcBorders>
              <w:top w:val="nil"/>
              <w:left w:val="nil"/>
              <w:bottom w:val="nil"/>
              <w:right w:val="nil"/>
            </w:tcBorders>
            <w:vAlign w:val="center"/>
          </w:tcPr>
          <w:p w14:paraId="16201F93" w14:textId="77777777" w:rsidR="009F4E07" w:rsidRDefault="009F4E07" w:rsidP="00854D84">
            <w:pPr>
              <w:spacing w:after="20"/>
              <w:jc w:val="center"/>
            </w:pPr>
            <w:r>
              <w:t>40.00</w:t>
            </w:r>
          </w:p>
        </w:tc>
        <w:tc>
          <w:tcPr>
            <w:tcW w:w="1757" w:type="dxa"/>
            <w:tcBorders>
              <w:top w:val="nil"/>
              <w:left w:val="nil"/>
              <w:bottom w:val="nil"/>
              <w:right w:val="nil"/>
            </w:tcBorders>
            <w:vAlign w:val="center"/>
          </w:tcPr>
          <w:p w14:paraId="69680645" w14:textId="77777777" w:rsidR="009F4E07" w:rsidRDefault="009F4E07" w:rsidP="00854D84">
            <w:pPr>
              <w:spacing w:after="20"/>
              <w:jc w:val="center"/>
            </w:pPr>
            <w:r>
              <w:t>44.00</w:t>
            </w:r>
          </w:p>
        </w:tc>
      </w:tr>
      <w:tr w:rsidR="009F4E07" w:rsidRPr="00BA695B" w14:paraId="2184D04A" w14:textId="77777777" w:rsidTr="00854D84">
        <w:trPr>
          <w:trHeight w:val="864"/>
        </w:trPr>
        <w:tc>
          <w:tcPr>
            <w:tcW w:w="1980" w:type="dxa"/>
            <w:tcBorders>
              <w:top w:val="nil"/>
              <w:left w:val="nil"/>
              <w:bottom w:val="nil"/>
              <w:right w:val="nil"/>
            </w:tcBorders>
            <w:vAlign w:val="center"/>
          </w:tcPr>
          <w:p w14:paraId="6D975349" w14:textId="77777777" w:rsidR="009F4E07" w:rsidRPr="00BA695B" w:rsidRDefault="009F4E07" w:rsidP="00854D84">
            <w:pPr>
              <w:spacing w:after="20"/>
            </w:pPr>
            <w:r>
              <w:t>Percent Female</w:t>
            </w:r>
          </w:p>
        </w:tc>
        <w:tc>
          <w:tcPr>
            <w:tcW w:w="1055" w:type="dxa"/>
            <w:tcBorders>
              <w:top w:val="nil"/>
              <w:left w:val="nil"/>
              <w:bottom w:val="nil"/>
              <w:right w:val="nil"/>
            </w:tcBorders>
            <w:vAlign w:val="center"/>
          </w:tcPr>
          <w:p w14:paraId="61630FB4" w14:textId="77777777" w:rsidR="009F4E07" w:rsidRDefault="009F4E07" w:rsidP="00854D84">
            <w:pPr>
              <w:spacing w:after="20"/>
              <w:jc w:val="center"/>
            </w:pPr>
            <w:r>
              <w:t>87.20</w:t>
            </w:r>
          </w:p>
        </w:tc>
        <w:tc>
          <w:tcPr>
            <w:tcW w:w="1683" w:type="dxa"/>
            <w:tcBorders>
              <w:top w:val="nil"/>
              <w:left w:val="nil"/>
              <w:bottom w:val="nil"/>
              <w:right w:val="nil"/>
            </w:tcBorders>
            <w:vAlign w:val="center"/>
          </w:tcPr>
          <w:p w14:paraId="305E53B8" w14:textId="77777777" w:rsidR="009F4E07" w:rsidRPr="00BA695B" w:rsidRDefault="009F4E07" w:rsidP="00854D84">
            <w:pPr>
              <w:spacing w:after="20"/>
              <w:jc w:val="center"/>
            </w:pPr>
            <w:r>
              <w:t>92.90</w:t>
            </w:r>
          </w:p>
        </w:tc>
        <w:tc>
          <w:tcPr>
            <w:tcW w:w="1361" w:type="dxa"/>
            <w:tcBorders>
              <w:top w:val="nil"/>
              <w:left w:val="nil"/>
              <w:bottom w:val="nil"/>
              <w:right w:val="nil"/>
            </w:tcBorders>
            <w:vAlign w:val="center"/>
          </w:tcPr>
          <w:p w14:paraId="2DBE7FD4" w14:textId="77777777" w:rsidR="009F4E07" w:rsidRPr="00BA695B" w:rsidRDefault="009F4E07" w:rsidP="00854D84">
            <w:pPr>
              <w:spacing w:after="20"/>
              <w:jc w:val="center"/>
            </w:pPr>
            <w:r>
              <w:t>93.30</w:t>
            </w:r>
          </w:p>
        </w:tc>
        <w:tc>
          <w:tcPr>
            <w:tcW w:w="1339" w:type="dxa"/>
            <w:tcBorders>
              <w:top w:val="nil"/>
              <w:left w:val="nil"/>
              <w:bottom w:val="nil"/>
              <w:right w:val="nil"/>
            </w:tcBorders>
            <w:vAlign w:val="center"/>
          </w:tcPr>
          <w:p w14:paraId="003AB486" w14:textId="77777777" w:rsidR="009F4E07" w:rsidRPr="00BA695B" w:rsidRDefault="009F4E07" w:rsidP="00854D84">
            <w:pPr>
              <w:spacing w:after="20"/>
              <w:jc w:val="center"/>
            </w:pPr>
            <w:r>
              <w:t>70.00</w:t>
            </w:r>
          </w:p>
        </w:tc>
        <w:tc>
          <w:tcPr>
            <w:tcW w:w="1757" w:type="dxa"/>
            <w:tcBorders>
              <w:top w:val="nil"/>
              <w:left w:val="nil"/>
              <w:bottom w:val="nil"/>
              <w:right w:val="nil"/>
            </w:tcBorders>
            <w:vAlign w:val="center"/>
          </w:tcPr>
          <w:p w14:paraId="672C1740" w14:textId="77777777" w:rsidR="009F4E07" w:rsidRPr="00BA695B" w:rsidRDefault="009F4E07" w:rsidP="00854D84">
            <w:pPr>
              <w:spacing w:after="20"/>
              <w:jc w:val="center"/>
            </w:pPr>
            <w:r>
              <w:t>84.00</w:t>
            </w:r>
          </w:p>
        </w:tc>
      </w:tr>
      <w:tr w:rsidR="009F4E07" w:rsidRPr="00BA695B" w14:paraId="10EECD04" w14:textId="77777777" w:rsidTr="00854D84">
        <w:trPr>
          <w:trHeight w:val="864"/>
        </w:trPr>
        <w:tc>
          <w:tcPr>
            <w:tcW w:w="1980" w:type="dxa"/>
            <w:tcBorders>
              <w:top w:val="nil"/>
              <w:left w:val="nil"/>
              <w:bottom w:val="nil"/>
              <w:right w:val="nil"/>
            </w:tcBorders>
            <w:vAlign w:val="center"/>
          </w:tcPr>
          <w:p w14:paraId="7F37672B" w14:textId="77777777" w:rsidR="009F4E07" w:rsidRDefault="009F4E07" w:rsidP="00854D84">
            <w:pPr>
              <w:spacing w:after="20"/>
            </w:pPr>
            <w:r>
              <w:t>Percent White</w:t>
            </w:r>
          </w:p>
        </w:tc>
        <w:tc>
          <w:tcPr>
            <w:tcW w:w="1055" w:type="dxa"/>
            <w:tcBorders>
              <w:top w:val="nil"/>
              <w:left w:val="nil"/>
              <w:bottom w:val="nil"/>
              <w:right w:val="nil"/>
            </w:tcBorders>
            <w:vAlign w:val="center"/>
          </w:tcPr>
          <w:p w14:paraId="0B7DD6FC" w14:textId="77777777" w:rsidR="009F4E07" w:rsidRDefault="009F4E07" w:rsidP="00854D84">
            <w:pPr>
              <w:spacing w:after="20"/>
              <w:jc w:val="center"/>
            </w:pPr>
            <w:r>
              <w:t>87.20</w:t>
            </w:r>
          </w:p>
        </w:tc>
        <w:tc>
          <w:tcPr>
            <w:tcW w:w="1683" w:type="dxa"/>
            <w:tcBorders>
              <w:top w:val="nil"/>
              <w:left w:val="nil"/>
              <w:bottom w:val="nil"/>
              <w:right w:val="nil"/>
            </w:tcBorders>
            <w:vAlign w:val="center"/>
          </w:tcPr>
          <w:p w14:paraId="75AD267C" w14:textId="77777777" w:rsidR="009F4E07" w:rsidRPr="00BA695B" w:rsidRDefault="009F4E07" w:rsidP="00854D84">
            <w:pPr>
              <w:spacing w:after="20"/>
              <w:jc w:val="center"/>
            </w:pPr>
            <w:r>
              <w:t>85.70</w:t>
            </w:r>
          </w:p>
        </w:tc>
        <w:tc>
          <w:tcPr>
            <w:tcW w:w="1361" w:type="dxa"/>
            <w:tcBorders>
              <w:top w:val="nil"/>
              <w:left w:val="nil"/>
              <w:bottom w:val="nil"/>
              <w:right w:val="nil"/>
            </w:tcBorders>
            <w:vAlign w:val="center"/>
          </w:tcPr>
          <w:p w14:paraId="0EAA51F2" w14:textId="77777777" w:rsidR="009F4E07" w:rsidRPr="00BA695B" w:rsidRDefault="009F4E07" w:rsidP="00854D84">
            <w:pPr>
              <w:spacing w:after="20"/>
              <w:jc w:val="center"/>
            </w:pPr>
            <w:r>
              <w:t>93.30</w:t>
            </w:r>
          </w:p>
        </w:tc>
        <w:tc>
          <w:tcPr>
            <w:tcW w:w="1339" w:type="dxa"/>
            <w:tcBorders>
              <w:top w:val="nil"/>
              <w:left w:val="nil"/>
              <w:bottom w:val="nil"/>
              <w:right w:val="nil"/>
            </w:tcBorders>
            <w:vAlign w:val="center"/>
          </w:tcPr>
          <w:p w14:paraId="37165DCC" w14:textId="77777777" w:rsidR="009F4E07" w:rsidRPr="00BA695B" w:rsidRDefault="009F4E07" w:rsidP="00854D84">
            <w:pPr>
              <w:spacing w:after="20"/>
              <w:jc w:val="center"/>
            </w:pPr>
            <w:r>
              <w:t>80.00</w:t>
            </w:r>
          </w:p>
        </w:tc>
        <w:tc>
          <w:tcPr>
            <w:tcW w:w="1757" w:type="dxa"/>
            <w:tcBorders>
              <w:top w:val="nil"/>
              <w:left w:val="nil"/>
              <w:bottom w:val="nil"/>
              <w:right w:val="nil"/>
            </w:tcBorders>
            <w:vAlign w:val="center"/>
          </w:tcPr>
          <w:p w14:paraId="70192D61" w14:textId="77777777" w:rsidR="009F4E07" w:rsidRPr="00BA695B" w:rsidRDefault="009F4E07" w:rsidP="00854D84">
            <w:pPr>
              <w:spacing w:after="20"/>
              <w:jc w:val="center"/>
            </w:pPr>
            <w:r>
              <w:t>88.00</w:t>
            </w:r>
          </w:p>
        </w:tc>
      </w:tr>
      <w:tr w:rsidR="009F4E07" w:rsidRPr="00BA695B" w14:paraId="59A68DF5" w14:textId="77777777" w:rsidTr="00854D84">
        <w:trPr>
          <w:trHeight w:val="864"/>
        </w:trPr>
        <w:tc>
          <w:tcPr>
            <w:tcW w:w="1980" w:type="dxa"/>
            <w:tcBorders>
              <w:top w:val="nil"/>
              <w:left w:val="nil"/>
              <w:bottom w:val="nil"/>
              <w:right w:val="nil"/>
            </w:tcBorders>
            <w:vAlign w:val="center"/>
          </w:tcPr>
          <w:p w14:paraId="343BBFC9" w14:textId="77777777" w:rsidR="009F4E07" w:rsidRPr="00100B04" w:rsidRDefault="009F4E07" w:rsidP="00854D84">
            <w:pPr>
              <w:spacing w:after="20"/>
              <w:rPr>
                <w:i/>
                <w:iCs/>
              </w:rPr>
            </w:pPr>
            <w:r w:rsidRPr="00BA695B">
              <w:t>Education</w:t>
            </w:r>
            <w:r>
              <w:t xml:space="preserve"> (years) </w:t>
            </w:r>
            <w:r>
              <w:rPr>
                <w:i/>
                <w:iCs/>
              </w:rPr>
              <w:t>M (SD)</w:t>
            </w:r>
          </w:p>
        </w:tc>
        <w:tc>
          <w:tcPr>
            <w:tcW w:w="1055" w:type="dxa"/>
            <w:tcBorders>
              <w:top w:val="nil"/>
              <w:left w:val="nil"/>
              <w:bottom w:val="nil"/>
              <w:right w:val="nil"/>
            </w:tcBorders>
            <w:vAlign w:val="center"/>
          </w:tcPr>
          <w:p w14:paraId="733957BC" w14:textId="77777777" w:rsidR="009F4E07" w:rsidRPr="00BA695B" w:rsidRDefault="009F4E07" w:rsidP="00854D84">
            <w:pPr>
              <w:spacing w:after="20"/>
              <w:jc w:val="center"/>
            </w:pPr>
            <w:r>
              <w:t>12.10 (3.75)</w:t>
            </w:r>
          </w:p>
        </w:tc>
        <w:tc>
          <w:tcPr>
            <w:tcW w:w="1683" w:type="dxa"/>
            <w:tcBorders>
              <w:top w:val="nil"/>
              <w:left w:val="nil"/>
              <w:bottom w:val="nil"/>
              <w:right w:val="nil"/>
            </w:tcBorders>
            <w:vAlign w:val="center"/>
          </w:tcPr>
          <w:p w14:paraId="79E7BFB4" w14:textId="77777777" w:rsidR="009F4E07" w:rsidRDefault="009F4E07" w:rsidP="00854D84">
            <w:pPr>
              <w:spacing w:after="20"/>
              <w:jc w:val="center"/>
            </w:pPr>
            <w:r>
              <w:t xml:space="preserve">13.64 </w:t>
            </w:r>
          </w:p>
          <w:p w14:paraId="4AB258B2" w14:textId="77777777" w:rsidR="009F4E07" w:rsidRPr="00BA695B" w:rsidRDefault="009F4E07" w:rsidP="00854D84">
            <w:pPr>
              <w:spacing w:after="20"/>
              <w:jc w:val="center"/>
            </w:pPr>
            <w:r>
              <w:t>(3.48)</w:t>
            </w:r>
          </w:p>
        </w:tc>
        <w:tc>
          <w:tcPr>
            <w:tcW w:w="1361" w:type="dxa"/>
            <w:tcBorders>
              <w:top w:val="nil"/>
              <w:left w:val="nil"/>
              <w:bottom w:val="nil"/>
              <w:right w:val="nil"/>
            </w:tcBorders>
            <w:vAlign w:val="center"/>
          </w:tcPr>
          <w:p w14:paraId="37018BB1" w14:textId="77777777" w:rsidR="009F4E07" w:rsidRPr="00BA695B" w:rsidRDefault="009F4E07" w:rsidP="00854D84">
            <w:pPr>
              <w:spacing w:after="20"/>
              <w:jc w:val="center"/>
            </w:pPr>
            <w:r>
              <w:t>11.20 (4.06)</w:t>
            </w:r>
          </w:p>
        </w:tc>
        <w:tc>
          <w:tcPr>
            <w:tcW w:w="1339" w:type="dxa"/>
            <w:tcBorders>
              <w:top w:val="nil"/>
              <w:left w:val="nil"/>
              <w:bottom w:val="nil"/>
              <w:right w:val="nil"/>
            </w:tcBorders>
            <w:vAlign w:val="center"/>
          </w:tcPr>
          <w:p w14:paraId="5158D5C6" w14:textId="77777777" w:rsidR="009F4E07" w:rsidRPr="00BA695B" w:rsidRDefault="009F4E07" w:rsidP="00854D84">
            <w:pPr>
              <w:spacing w:after="20"/>
              <w:jc w:val="center"/>
            </w:pPr>
            <w:r>
              <w:t>11.30 (3.23)</w:t>
            </w:r>
          </w:p>
        </w:tc>
        <w:tc>
          <w:tcPr>
            <w:tcW w:w="1757" w:type="dxa"/>
            <w:tcBorders>
              <w:top w:val="nil"/>
              <w:left w:val="nil"/>
              <w:bottom w:val="nil"/>
              <w:right w:val="nil"/>
            </w:tcBorders>
            <w:vAlign w:val="center"/>
          </w:tcPr>
          <w:p w14:paraId="580DE9EA" w14:textId="77777777" w:rsidR="009F4E07" w:rsidRDefault="009F4E07" w:rsidP="00854D84">
            <w:pPr>
              <w:spacing w:after="20"/>
              <w:jc w:val="center"/>
            </w:pPr>
            <w:r>
              <w:t xml:space="preserve">11.24 </w:t>
            </w:r>
          </w:p>
          <w:p w14:paraId="28D39FCF" w14:textId="77777777" w:rsidR="009F4E07" w:rsidRPr="00BA695B" w:rsidRDefault="009F4E07" w:rsidP="00854D84">
            <w:pPr>
              <w:spacing w:after="20"/>
              <w:jc w:val="center"/>
            </w:pPr>
            <w:r>
              <w:t>(3.68)</w:t>
            </w:r>
          </w:p>
        </w:tc>
      </w:tr>
      <w:tr w:rsidR="009F4E07" w:rsidRPr="00BA695B" w14:paraId="12855427" w14:textId="77777777" w:rsidTr="00854D84">
        <w:trPr>
          <w:trHeight w:val="864"/>
        </w:trPr>
        <w:tc>
          <w:tcPr>
            <w:tcW w:w="1980" w:type="dxa"/>
            <w:tcBorders>
              <w:top w:val="nil"/>
              <w:left w:val="nil"/>
              <w:bottom w:val="nil"/>
              <w:right w:val="nil"/>
            </w:tcBorders>
            <w:vAlign w:val="center"/>
          </w:tcPr>
          <w:p w14:paraId="65A0CDF6" w14:textId="77777777" w:rsidR="009F4E07" w:rsidRPr="00A360B1" w:rsidRDefault="009F4E07" w:rsidP="00854D84">
            <w:pPr>
              <w:spacing w:after="20"/>
              <w:rPr>
                <w:i/>
                <w:iCs/>
              </w:rPr>
            </w:pPr>
            <w:r>
              <w:t xml:space="preserve">MGH-HS </w:t>
            </w:r>
            <w:r>
              <w:rPr>
                <w:i/>
                <w:iCs/>
              </w:rPr>
              <w:t>M (SD)</w:t>
            </w:r>
          </w:p>
        </w:tc>
        <w:tc>
          <w:tcPr>
            <w:tcW w:w="1055" w:type="dxa"/>
            <w:tcBorders>
              <w:top w:val="nil"/>
              <w:left w:val="nil"/>
              <w:bottom w:val="nil"/>
              <w:right w:val="nil"/>
            </w:tcBorders>
            <w:vAlign w:val="center"/>
          </w:tcPr>
          <w:p w14:paraId="650A4E07" w14:textId="77777777" w:rsidR="009F4E07" w:rsidRPr="00BA695B" w:rsidRDefault="009F4E07" w:rsidP="00854D84">
            <w:pPr>
              <w:spacing w:after="20"/>
              <w:jc w:val="center"/>
            </w:pPr>
            <w:r>
              <w:t>16.56 (4.67)</w:t>
            </w:r>
          </w:p>
        </w:tc>
        <w:tc>
          <w:tcPr>
            <w:tcW w:w="1683" w:type="dxa"/>
            <w:tcBorders>
              <w:top w:val="nil"/>
              <w:left w:val="nil"/>
              <w:bottom w:val="nil"/>
              <w:right w:val="nil"/>
            </w:tcBorders>
            <w:vAlign w:val="center"/>
          </w:tcPr>
          <w:p w14:paraId="57603F74" w14:textId="77777777" w:rsidR="009F4E07" w:rsidRDefault="009F4E07" w:rsidP="00854D84">
            <w:pPr>
              <w:spacing w:after="20"/>
              <w:jc w:val="center"/>
            </w:pPr>
            <w:r>
              <w:t xml:space="preserve">17.43 </w:t>
            </w:r>
          </w:p>
          <w:p w14:paraId="226F27F9" w14:textId="77777777" w:rsidR="009F4E07" w:rsidRPr="00BA695B" w:rsidRDefault="009F4E07" w:rsidP="00854D84">
            <w:pPr>
              <w:spacing w:after="20"/>
              <w:jc w:val="center"/>
            </w:pPr>
            <w:r>
              <w:t>(5.03)</w:t>
            </w:r>
          </w:p>
        </w:tc>
        <w:tc>
          <w:tcPr>
            <w:tcW w:w="1361" w:type="dxa"/>
            <w:tcBorders>
              <w:top w:val="nil"/>
              <w:left w:val="nil"/>
              <w:bottom w:val="nil"/>
              <w:right w:val="nil"/>
            </w:tcBorders>
            <w:vAlign w:val="center"/>
          </w:tcPr>
          <w:p w14:paraId="1D5D4557" w14:textId="77777777" w:rsidR="009F4E07" w:rsidRPr="00BA695B" w:rsidRDefault="009F4E07" w:rsidP="00854D84">
            <w:pPr>
              <w:spacing w:after="20"/>
              <w:jc w:val="center"/>
            </w:pPr>
            <w:r>
              <w:t>16.80 (3.73)</w:t>
            </w:r>
          </w:p>
        </w:tc>
        <w:tc>
          <w:tcPr>
            <w:tcW w:w="1339" w:type="dxa"/>
            <w:tcBorders>
              <w:top w:val="nil"/>
              <w:left w:val="nil"/>
              <w:bottom w:val="nil"/>
              <w:right w:val="nil"/>
            </w:tcBorders>
            <w:vAlign w:val="center"/>
          </w:tcPr>
          <w:p w14:paraId="1E39D1D4" w14:textId="77777777" w:rsidR="009F4E07" w:rsidRPr="00BA695B" w:rsidRDefault="009F4E07" w:rsidP="00854D84">
            <w:pPr>
              <w:spacing w:after="20"/>
              <w:jc w:val="center"/>
            </w:pPr>
            <w:r>
              <w:t>15.00 (5.48)</w:t>
            </w:r>
          </w:p>
        </w:tc>
        <w:tc>
          <w:tcPr>
            <w:tcW w:w="1757" w:type="dxa"/>
            <w:tcBorders>
              <w:top w:val="nil"/>
              <w:left w:val="nil"/>
              <w:bottom w:val="nil"/>
              <w:right w:val="nil"/>
            </w:tcBorders>
            <w:vAlign w:val="center"/>
          </w:tcPr>
          <w:p w14:paraId="2B3386D6" w14:textId="77777777" w:rsidR="009F4E07" w:rsidRDefault="009F4E07" w:rsidP="00854D84">
            <w:pPr>
              <w:spacing w:after="20"/>
              <w:jc w:val="center"/>
            </w:pPr>
            <w:r>
              <w:t xml:space="preserve">16.08 </w:t>
            </w:r>
          </w:p>
          <w:p w14:paraId="72C88AE4" w14:textId="77777777" w:rsidR="009F4E07" w:rsidRPr="00BA695B" w:rsidRDefault="009F4E07" w:rsidP="00854D84">
            <w:pPr>
              <w:spacing w:after="20"/>
              <w:jc w:val="center"/>
            </w:pPr>
            <w:r>
              <w:t>(4.49)</w:t>
            </w:r>
          </w:p>
        </w:tc>
      </w:tr>
      <w:tr w:rsidR="009F4E07" w:rsidRPr="00BA695B" w14:paraId="3B973E37" w14:textId="77777777" w:rsidTr="00854D84">
        <w:trPr>
          <w:trHeight w:val="864"/>
        </w:trPr>
        <w:tc>
          <w:tcPr>
            <w:tcW w:w="1980" w:type="dxa"/>
            <w:tcBorders>
              <w:top w:val="nil"/>
              <w:left w:val="nil"/>
              <w:bottom w:val="nil"/>
              <w:right w:val="nil"/>
            </w:tcBorders>
            <w:vAlign w:val="center"/>
          </w:tcPr>
          <w:p w14:paraId="1FFA1172" w14:textId="77777777" w:rsidR="009F4E07" w:rsidRPr="00A360B1" w:rsidRDefault="009F4E07" w:rsidP="00854D84">
            <w:pPr>
              <w:spacing w:after="20"/>
              <w:rPr>
                <w:i/>
                <w:iCs/>
              </w:rPr>
            </w:pPr>
            <w:r w:rsidRPr="00BA695B">
              <w:t>AAQ-II</w:t>
            </w:r>
            <w:r>
              <w:t xml:space="preserve"> </w:t>
            </w:r>
            <w:r>
              <w:rPr>
                <w:i/>
                <w:iCs/>
              </w:rPr>
              <w:t>M (SD)</w:t>
            </w:r>
          </w:p>
        </w:tc>
        <w:tc>
          <w:tcPr>
            <w:tcW w:w="1055" w:type="dxa"/>
            <w:tcBorders>
              <w:top w:val="nil"/>
              <w:left w:val="nil"/>
              <w:bottom w:val="nil"/>
              <w:right w:val="nil"/>
            </w:tcBorders>
            <w:vAlign w:val="center"/>
          </w:tcPr>
          <w:p w14:paraId="577BFB82" w14:textId="77777777" w:rsidR="009F4E07" w:rsidRPr="00BA695B" w:rsidRDefault="009F4E07" w:rsidP="00854D84">
            <w:pPr>
              <w:spacing w:after="20"/>
              <w:jc w:val="center"/>
            </w:pPr>
            <w:r>
              <w:t>27.59 (10.12)</w:t>
            </w:r>
          </w:p>
        </w:tc>
        <w:tc>
          <w:tcPr>
            <w:tcW w:w="1683" w:type="dxa"/>
            <w:tcBorders>
              <w:top w:val="nil"/>
              <w:left w:val="nil"/>
              <w:bottom w:val="nil"/>
              <w:right w:val="nil"/>
            </w:tcBorders>
            <w:vAlign w:val="center"/>
          </w:tcPr>
          <w:p w14:paraId="4A6C93CD" w14:textId="77777777" w:rsidR="009F4E07" w:rsidRDefault="009F4E07" w:rsidP="00854D84">
            <w:pPr>
              <w:spacing w:after="20"/>
              <w:jc w:val="center"/>
            </w:pPr>
            <w:r>
              <w:t xml:space="preserve">30.14 </w:t>
            </w:r>
          </w:p>
          <w:p w14:paraId="426EF6B0" w14:textId="77777777" w:rsidR="009F4E07" w:rsidRPr="00BA695B" w:rsidRDefault="009F4E07" w:rsidP="00854D84">
            <w:pPr>
              <w:spacing w:after="20"/>
              <w:jc w:val="center"/>
            </w:pPr>
            <w:r>
              <w:t>(10.00)</w:t>
            </w:r>
          </w:p>
        </w:tc>
        <w:tc>
          <w:tcPr>
            <w:tcW w:w="1361" w:type="dxa"/>
            <w:tcBorders>
              <w:top w:val="nil"/>
              <w:left w:val="nil"/>
              <w:bottom w:val="nil"/>
              <w:right w:val="nil"/>
            </w:tcBorders>
            <w:vAlign w:val="center"/>
          </w:tcPr>
          <w:p w14:paraId="35FAA843" w14:textId="77777777" w:rsidR="009F4E07" w:rsidRPr="00BA695B" w:rsidRDefault="009F4E07" w:rsidP="00854D84">
            <w:pPr>
              <w:spacing w:after="20"/>
              <w:jc w:val="center"/>
            </w:pPr>
            <w:r>
              <w:t>25.20 (10.69)</w:t>
            </w:r>
          </w:p>
        </w:tc>
        <w:tc>
          <w:tcPr>
            <w:tcW w:w="1339" w:type="dxa"/>
            <w:tcBorders>
              <w:top w:val="nil"/>
              <w:left w:val="nil"/>
              <w:bottom w:val="nil"/>
              <w:right w:val="nil"/>
            </w:tcBorders>
            <w:vAlign w:val="center"/>
          </w:tcPr>
          <w:p w14:paraId="6C15E283" w14:textId="77777777" w:rsidR="009F4E07" w:rsidRPr="00BA695B" w:rsidRDefault="009F4E07" w:rsidP="00854D84">
            <w:pPr>
              <w:spacing w:after="20"/>
              <w:jc w:val="center"/>
            </w:pPr>
            <w:r>
              <w:t>27.60 (8.95)</w:t>
            </w:r>
          </w:p>
        </w:tc>
        <w:tc>
          <w:tcPr>
            <w:tcW w:w="1757" w:type="dxa"/>
            <w:tcBorders>
              <w:top w:val="nil"/>
              <w:left w:val="nil"/>
              <w:bottom w:val="nil"/>
              <w:right w:val="nil"/>
            </w:tcBorders>
            <w:vAlign w:val="center"/>
          </w:tcPr>
          <w:p w14:paraId="1E9FA311" w14:textId="77777777" w:rsidR="009F4E07" w:rsidRDefault="009F4E07" w:rsidP="00854D84">
            <w:pPr>
              <w:spacing w:after="20"/>
              <w:jc w:val="center"/>
            </w:pPr>
            <w:r>
              <w:t xml:space="preserve">26.16 </w:t>
            </w:r>
          </w:p>
          <w:p w14:paraId="6D3F972B" w14:textId="77777777" w:rsidR="009F4E07" w:rsidRPr="00BA695B" w:rsidRDefault="009F4E07" w:rsidP="00854D84">
            <w:pPr>
              <w:spacing w:after="20"/>
              <w:jc w:val="center"/>
            </w:pPr>
            <w:r>
              <w:t>(9.90)</w:t>
            </w:r>
          </w:p>
        </w:tc>
      </w:tr>
      <w:tr w:rsidR="009F4E07" w:rsidRPr="00BA695B" w14:paraId="01C94A30" w14:textId="77777777" w:rsidTr="00854D84">
        <w:trPr>
          <w:trHeight w:val="864"/>
        </w:trPr>
        <w:tc>
          <w:tcPr>
            <w:tcW w:w="1980" w:type="dxa"/>
            <w:tcBorders>
              <w:top w:val="nil"/>
              <w:left w:val="nil"/>
              <w:bottom w:val="nil"/>
              <w:right w:val="nil"/>
            </w:tcBorders>
            <w:vAlign w:val="center"/>
          </w:tcPr>
          <w:p w14:paraId="343A858B" w14:textId="77777777" w:rsidR="009F4E07" w:rsidRDefault="009F4E07" w:rsidP="00854D84">
            <w:pPr>
              <w:spacing w:after="20"/>
            </w:pPr>
            <w:r w:rsidRPr="00BA695B">
              <w:t>Hairs pulled</w:t>
            </w:r>
            <w:r>
              <w:t xml:space="preserve"> </w:t>
            </w:r>
          </w:p>
          <w:p w14:paraId="4421FCDD" w14:textId="77777777" w:rsidR="009F4E07" w:rsidRPr="00100B04" w:rsidRDefault="009F4E07" w:rsidP="00854D84">
            <w:pPr>
              <w:spacing w:after="20"/>
              <w:rPr>
                <w:i/>
                <w:iCs/>
              </w:rPr>
            </w:pPr>
            <w:r>
              <w:t xml:space="preserve">per Day </w:t>
            </w:r>
            <w:r>
              <w:rPr>
                <w:i/>
                <w:iCs/>
              </w:rPr>
              <w:t>M (SD)</w:t>
            </w:r>
          </w:p>
        </w:tc>
        <w:tc>
          <w:tcPr>
            <w:tcW w:w="1055" w:type="dxa"/>
            <w:tcBorders>
              <w:top w:val="nil"/>
              <w:left w:val="nil"/>
              <w:bottom w:val="nil"/>
              <w:right w:val="nil"/>
            </w:tcBorders>
            <w:vAlign w:val="center"/>
          </w:tcPr>
          <w:p w14:paraId="66EE7C2E" w14:textId="77777777" w:rsidR="009F4E07" w:rsidRPr="00BA695B" w:rsidRDefault="009F4E07" w:rsidP="00854D84">
            <w:pPr>
              <w:spacing w:after="20"/>
              <w:jc w:val="center"/>
            </w:pPr>
            <w:r>
              <w:t>18.46 (19.24)</w:t>
            </w:r>
          </w:p>
        </w:tc>
        <w:tc>
          <w:tcPr>
            <w:tcW w:w="1683" w:type="dxa"/>
            <w:tcBorders>
              <w:top w:val="nil"/>
              <w:left w:val="nil"/>
              <w:bottom w:val="nil"/>
              <w:right w:val="nil"/>
            </w:tcBorders>
            <w:vAlign w:val="center"/>
          </w:tcPr>
          <w:p w14:paraId="661EDF01" w14:textId="77777777" w:rsidR="009F4E07" w:rsidRDefault="009F4E07" w:rsidP="00854D84">
            <w:pPr>
              <w:spacing w:after="20"/>
              <w:jc w:val="center"/>
            </w:pPr>
            <w:r>
              <w:t xml:space="preserve">21.78 </w:t>
            </w:r>
          </w:p>
          <w:p w14:paraId="495E1197" w14:textId="77777777" w:rsidR="009F4E07" w:rsidRPr="00BA695B" w:rsidRDefault="009F4E07" w:rsidP="00854D84">
            <w:pPr>
              <w:spacing w:after="20"/>
              <w:jc w:val="center"/>
            </w:pPr>
            <w:r>
              <w:t>(20.50)</w:t>
            </w:r>
          </w:p>
        </w:tc>
        <w:tc>
          <w:tcPr>
            <w:tcW w:w="1361" w:type="dxa"/>
            <w:tcBorders>
              <w:top w:val="nil"/>
              <w:left w:val="nil"/>
              <w:bottom w:val="nil"/>
              <w:right w:val="nil"/>
            </w:tcBorders>
            <w:vAlign w:val="center"/>
          </w:tcPr>
          <w:p w14:paraId="38D59ABC" w14:textId="77777777" w:rsidR="009F4E07" w:rsidRPr="00BA695B" w:rsidRDefault="009F4E07" w:rsidP="00854D84">
            <w:pPr>
              <w:spacing w:after="20"/>
              <w:jc w:val="center"/>
            </w:pPr>
            <w:r>
              <w:t>17.06 (21.49)</w:t>
            </w:r>
          </w:p>
        </w:tc>
        <w:tc>
          <w:tcPr>
            <w:tcW w:w="1339" w:type="dxa"/>
            <w:tcBorders>
              <w:top w:val="nil"/>
              <w:left w:val="nil"/>
              <w:bottom w:val="nil"/>
              <w:right w:val="nil"/>
            </w:tcBorders>
            <w:vAlign w:val="center"/>
          </w:tcPr>
          <w:p w14:paraId="759DDFB5" w14:textId="77777777" w:rsidR="009F4E07" w:rsidRPr="00BA695B" w:rsidRDefault="009F4E07" w:rsidP="00854D84">
            <w:pPr>
              <w:spacing w:after="20"/>
              <w:jc w:val="center"/>
            </w:pPr>
            <w:r>
              <w:t>16.26 (14.78)</w:t>
            </w:r>
          </w:p>
        </w:tc>
        <w:tc>
          <w:tcPr>
            <w:tcW w:w="1757" w:type="dxa"/>
            <w:tcBorders>
              <w:top w:val="nil"/>
              <w:left w:val="nil"/>
              <w:bottom w:val="nil"/>
              <w:right w:val="nil"/>
            </w:tcBorders>
            <w:vAlign w:val="center"/>
          </w:tcPr>
          <w:p w14:paraId="449C128C" w14:textId="77777777" w:rsidR="009F4E07" w:rsidRDefault="009F4E07" w:rsidP="00854D84">
            <w:pPr>
              <w:spacing w:after="20"/>
              <w:jc w:val="center"/>
            </w:pPr>
            <w:r>
              <w:t xml:space="preserve">16.75 </w:t>
            </w:r>
          </w:p>
          <w:p w14:paraId="32805F00" w14:textId="77777777" w:rsidR="009F4E07" w:rsidRPr="00BA695B" w:rsidRDefault="009F4E07" w:rsidP="00854D84">
            <w:pPr>
              <w:spacing w:after="20"/>
              <w:jc w:val="center"/>
            </w:pPr>
            <w:r>
              <w:t>(18.75)</w:t>
            </w:r>
          </w:p>
        </w:tc>
      </w:tr>
      <w:tr w:rsidR="009F4E07" w:rsidRPr="00BA695B" w14:paraId="12B38DB3" w14:textId="77777777" w:rsidTr="00854D84">
        <w:trPr>
          <w:trHeight w:val="864"/>
        </w:trPr>
        <w:tc>
          <w:tcPr>
            <w:tcW w:w="1980" w:type="dxa"/>
            <w:tcBorders>
              <w:top w:val="nil"/>
              <w:left w:val="nil"/>
              <w:bottom w:val="nil"/>
              <w:right w:val="nil"/>
            </w:tcBorders>
            <w:vAlign w:val="center"/>
          </w:tcPr>
          <w:p w14:paraId="222FB5FB" w14:textId="77777777" w:rsidR="009F4E07" w:rsidRDefault="009F4E07" w:rsidP="00854D84">
            <w:pPr>
              <w:spacing w:after="20"/>
            </w:pPr>
            <w:r w:rsidRPr="00BA695B">
              <w:t>Urges</w:t>
            </w:r>
            <w:r>
              <w:t xml:space="preserve"> to Pull </w:t>
            </w:r>
          </w:p>
          <w:p w14:paraId="1B652DEA" w14:textId="77777777" w:rsidR="009F4E07" w:rsidRPr="00100B04" w:rsidRDefault="009F4E07" w:rsidP="00854D84">
            <w:pPr>
              <w:spacing w:after="20"/>
              <w:rPr>
                <w:i/>
                <w:iCs/>
              </w:rPr>
            </w:pPr>
            <w:r>
              <w:t xml:space="preserve">per Day </w:t>
            </w:r>
            <w:r>
              <w:rPr>
                <w:i/>
                <w:iCs/>
              </w:rPr>
              <w:t>M (SD)</w:t>
            </w:r>
          </w:p>
        </w:tc>
        <w:tc>
          <w:tcPr>
            <w:tcW w:w="1055" w:type="dxa"/>
            <w:tcBorders>
              <w:top w:val="nil"/>
              <w:left w:val="nil"/>
              <w:bottom w:val="nil"/>
              <w:right w:val="nil"/>
            </w:tcBorders>
            <w:vAlign w:val="center"/>
          </w:tcPr>
          <w:p w14:paraId="139F1851" w14:textId="77777777" w:rsidR="009F4E07" w:rsidRPr="00BA695B" w:rsidRDefault="009F4E07" w:rsidP="00854D84">
            <w:pPr>
              <w:spacing w:after="20"/>
              <w:jc w:val="center"/>
            </w:pPr>
            <w:r>
              <w:t>6.92 (7.71)</w:t>
            </w:r>
          </w:p>
        </w:tc>
        <w:tc>
          <w:tcPr>
            <w:tcW w:w="1683" w:type="dxa"/>
            <w:tcBorders>
              <w:top w:val="nil"/>
              <w:left w:val="nil"/>
              <w:bottom w:val="nil"/>
              <w:right w:val="nil"/>
            </w:tcBorders>
            <w:vAlign w:val="center"/>
          </w:tcPr>
          <w:p w14:paraId="597498A4" w14:textId="77777777" w:rsidR="009F4E07" w:rsidRDefault="009F4E07" w:rsidP="00854D84">
            <w:pPr>
              <w:spacing w:after="20"/>
              <w:jc w:val="center"/>
            </w:pPr>
            <w:r>
              <w:t xml:space="preserve">9.62 </w:t>
            </w:r>
          </w:p>
          <w:p w14:paraId="6910B4C6" w14:textId="77777777" w:rsidR="009F4E07" w:rsidRPr="00BA695B" w:rsidRDefault="009F4E07" w:rsidP="00854D84">
            <w:pPr>
              <w:spacing w:after="20"/>
              <w:jc w:val="center"/>
            </w:pPr>
            <w:r>
              <w:t>(11.35)</w:t>
            </w:r>
          </w:p>
        </w:tc>
        <w:tc>
          <w:tcPr>
            <w:tcW w:w="1361" w:type="dxa"/>
            <w:tcBorders>
              <w:top w:val="nil"/>
              <w:left w:val="nil"/>
              <w:bottom w:val="nil"/>
              <w:right w:val="nil"/>
            </w:tcBorders>
            <w:vAlign w:val="center"/>
          </w:tcPr>
          <w:p w14:paraId="40F41108" w14:textId="77777777" w:rsidR="009F4E07" w:rsidRDefault="009F4E07" w:rsidP="00854D84">
            <w:pPr>
              <w:spacing w:after="20"/>
              <w:jc w:val="center"/>
            </w:pPr>
            <w:r>
              <w:t xml:space="preserve">5.70 </w:t>
            </w:r>
          </w:p>
          <w:p w14:paraId="6E3E3878" w14:textId="77777777" w:rsidR="009F4E07" w:rsidRPr="00BA695B" w:rsidRDefault="009F4E07" w:rsidP="00854D84">
            <w:pPr>
              <w:spacing w:after="20"/>
              <w:jc w:val="center"/>
            </w:pPr>
            <w:r>
              <w:t>(4.68)</w:t>
            </w:r>
          </w:p>
        </w:tc>
        <w:tc>
          <w:tcPr>
            <w:tcW w:w="1339" w:type="dxa"/>
            <w:tcBorders>
              <w:top w:val="nil"/>
              <w:left w:val="nil"/>
              <w:bottom w:val="nil"/>
              <w:right w:val="nil"/>
            </w:tcBorders>
            <w:vAlign w:val="center"/>
          </w:tcPr>
          <w:p w14:paraId="64094841" w14:textId="77777777" w:rsidR="009F4E07" w:rsidRDefault="009F4E07" w:rsidP="00854D84">
            <w:pPr>
              <w:spacing w:after="20"/>
              <w:jc w:val="center"/>
            </w:pPr>
            <w:r>
              <w:t xml:space="preserve">5.24 </w:t>
            </w:r>
          </w:p>
          <w:p w14:paraId="5325DEC5" w14:textId="77777777" w:rsidR="009F4E07" w:rsidRPr="00BA695B" w:rsidRDefault="009F4E07" w:rsidP="00854D84">
            <w:pPr>
              <w:spacing w:after="20"/>
              <w:jc w:val="center"/>
            </w:pPr>
            <w:r>
              <w:t>(4.75)</w:t>
            </w:r>
          </w:p>
        </w:tc>
        <w:tc>
          <w:tcPr>
            <w:tcW w:w="1757" w:type="dxa"/>
            <w:tcBorders>
              <w:top w:val="nil"/>
              <w:left w:val="nil"/>
              <w:bottom w:val="nil"/>
              <w:right w:val="nil"/>
            </w:tcBorders>
            <w:vAlign w:val="center"/>
          </w:tcPr>
          <w:p w14:paraId="6EE020C0" w14:textId="77777777" w:rsidR="009F4E07" w:rsidRDefault="009F4E07" w:rsidP="00854D84">
            <w:pPr>
              <w:spacing w:after="20"/>
              <w:jc w:val="center"/>
            </w:pPr>
            <w:r>
              <w:t xml:space="preserve">5.52 </w:t>
            </w:r>
          </w:p>
          <w:p w14:paraId="27556940" w14:textId="77777777" w:rsidR="009F4E07" w:rsidRPr="00BA695B" w:rsidRDefault="009F4E07" w:rsidP="00854D84">
            <w:pPr>
              <w:spacing w:after="20"/>
              <w:jc w:val="center"/>
            </w:pPr>
            <w:r>
              <w:t>(4.62)</w:t>
            </w:r>
          </w:p>
        </w:tc>
      </w:tr>
      <w:tr w:rsidR="009F4E07" w:rsidRPr="00BA695B" w14:paraId="31A0EEE8" w14:textId="77777777" w:rsidTr="00854D84">
        <w:trPr>
          <w:trHeight w:val="864"/>
        </w:trPr>
        <w:tc>
          <w:tcPr>
            <w:tcW w:w="1980" w:type="dxa"/>
            <w:tcBorders>
              <w:top w:val="nil"/>
              <w:left w:val="nil"/>
              <w:right w:val="nil"/>
            </w:tcBorders>
            <w:vAlign w:val="center"/>
          </w:tcPr>
          <w:p w14:paraId="0D4FD084" w14:textId="77777777" w:rsidR="009F4E07" w:rsidRPr="00BA695B" w:rsidRDefault="009F4E07" w:rsidP="00854D84">
            <w:pPr>
              <w:spacing w:after="20"/>
            </w:pPr>
            <w:r>
              <w:t>Percent on Psychotropic Mediation</w:t>
            </w:r>
          </w:p>
        </w:tc>
        <w:tc>
          <w:tcPr>
            <w:tcW w:w="1055" w:type="dxa"/>
            <w:tcBorders>
              <w:top w:val="nil"/>
              <w:left w:val="nil"/>
              <w:right w:val="nil"/>
            </w:tcBorders>
            <w:vAlign w:val="center"/>
          </w:tcPr>
          <w:p w14:paraId="49FF0C2E" w14:textId="77777777" w:rsidR="009F4E07" w:rsidRPr="00BA695B" w:rsidRDefault="009F4E07" w:rsidP="00854D84">
            <w:pPr>
              <w:spacing w:after="20"/>
              <w:jc w:val="center"/>
            </w:pPr>
            <w:r>
              <w:t>35.90</w:t>
            </w:r>
          </w:p>
        </w:tc>
        <w:tc>
          <w:tcPr>
            <w:tcW w:w="1683" w:type="dxa"/>
            <w:tcBorders>
              <w:top w:val="nil"/>
              <w:left w:val="nil"/>
              <w:right w:val="nil"/>
            </w:tcBorders>
            <w:vAlign w:val="center"/>
          </w:tcPr>
          <w:p w14:paraId="58830B57" w14:textId="77777777" w:rsidR="009F4E07" w:rsidRPr="00BA695B" w:rsidRDefault="009F4E07" w:rsidP="00854D84">
            <w:pPr>
              <w:spacing w:after="20"/>
              <w:jc w:val="center"/>
            </w:pPr>
            <w:r>
              <w:t>57.10</w:t>
            </w:r>
          </w:p>
        </w:tc>
        <w:tc>
          <w:tcPr>
            <w:tcW w:w="1361" w:type="dxa"/>
            <w:tcBorders>
              <w:top w:val="nil"/>
              <w:left w:val="nil"/>
              <w:right w:val="nil"/>
            </w:tcBorders>
            <w:vAlign w:val="center"/>
          </w:tcPr>
          <w:p w14:paraId="3656DF26" w14:textId="77777777" w:rsidR="009F4E07" w:rsidRPr="00BA695B" w:rsidRDefault="009F4E07" w:rsidP="00854D84">
            <w:pPr>
              <w:spacing w:after="20"/>
              <w:jc w:val="center"/>
            </w:pPr>
            <w:r>
              <w:t>26.70</w:t>
            </w:r>
          </w:p>
        </w:tc>
        <w:tc>
          <w:tcPr>
            <w:tcW w:w="1339" w:type="dxa"/>
            <w:tcBorders>
              <w:top w:val="nil"/>
              <w:left w:val="nil"/>
              <w:right w:val="nil"/>
            </w:tcBorders>
            <w:vAlign w:val="center"/>
          </w:tcPr>
          <w:p w14:paraId="3DBB86C7" w14:textId="77777777" w:rsidR="009F4E07" w:rsidRPr="00BA695B" w:rsidRDefault="009F4E07" w:rsidP="00854D84">
            <w:pPr>
              <w:spacing w:after="20"/>
              <w:jc w:val="center"/>
            </w:pPr>
            <w:r>
              <w:t>20.00</w:t>
            </w:r>
          </w:p>
        </w:tc>
        <w:tc>
          <w:tcPr>
            <w:tcW w:w="1757" w:type="dxa"/>
            <w:tcBorders>
              <w:top w:val="nil"/>
              <w:left w:val="nil"/>
              <w:right w:val="nil"/>
            </w:tcBorders>
            <w:vAlign w:val="center"/>
          </w:tcPr>
          <w:p w14:paraId="5E2E4F31" w14:textId="77777777" w:rsidR="009F4E07" w:rsidRPr="00BA695B" w:rsidRDefault="009F4E07" w:rsidP="00854D84">
            <w:pPr>
              <w:spacing w:after="20"/>
              <w:jc w:val="center"/>
            </w:pPr>
            <w:r>
              <w:t>24.00</w:t>
            </w:r>
          </w:p>
        </w:tc>
      </w:tr>
    </w:tbl>
    <w:p w14:paraId="05FA0789" w14:textId="77777777" w:rsidR="009F4E07" w:rsidRPr="0014722C" w:rsidRDefault="009F4E07" w:rsidP="009F4E07">
      <w:r w:rsidRPr="0014722C">
        <w:rPr>
          <w:i/>
        </w:rPr>
        <w:t>Note</w:t>
      </w:r>
      <w:r>
        <w:rPr>
          <w:i/>
        </w:rPr>
        <w:t xml:space="preserve">. </w:t>
      </w:r>
      <w:r>
        <w:t>AAQ-II = Acceptance and Action Questionnaire–II; MGH-HS = Massachusetts General Hospital Hair Pulling Scale.</w:t>
      </w:r>
    </w:p>
    <w:p w14:paraId="49517CD7" w14:textId="061B7B21" w:rsidR="00D56A19" w:rsidRDefault="00D56A19">
      <w:pPr>
        <w:rPr>
          <w:noProof/>
        </w:rPr>
      </w:pPr>
      <w:r>
        <w:rPr>
          <w:noProof/>
        </w:rPr>
        <w:br w:type="page"/>
      </w:r>
    </w:p>
    <w:p w14:paraId="6A0363EB" w14:textId="77777777" w:rsidR="00D56A19" w:rsidRDefault="00D56A19" w:rsidP="00D56A19"/>
    <w:tbl>
      <w:tblPr>
        <w:tblW w:w="0" w:type="auto"/>
        <w:tblLook w:val="04A0" w:firstRow="1" w:lastRow="0" w:firstColumn="1" w:lastColumn="0" w:noHBand="0" w:noVBand="1"/>
      </w:tblPr>
      <w:tblGrid>
        <w:gridCol w:w="1005"/>
        <w:gridCol w:w="3283"/>
        <w:gridCol w:w="5072"/>
      </w:tblGrid>
      <w:tr w:rsidR="00D56A19" w:rsidRPr="00F836B6" w14:paraId="38E4C4E0" w14:textId="77777777" w:rsidTr="00854D84">
        <w:tc>
          <w:tcPr>
            <w:tcW w:w="9360" w:type="dxa"/>
            <w:gridSpan w:val="3"/>
            <w:tcBorders>
              <w:bottom w:val="single" w:sz="4" w:space="0" w:color="000000"/>
            </w:tcBorders>
          </w:tcPr>
          <w:p w14:paraId="1F1D0F68" w14:textId="77777777" w:rsidR="00D56A19" w:rsidRPr="00F836B6" w:rsidRDefault="00D56A19" w:rsidP="00854D84">
            <w:r>
              <w:t>Table 2</w:t>
            </w:r>
            <w:r w:rsidRPr="00F836B6">
              <w:br/>
            </w:r>
            <w:r w:rsidRPr="00762D39">
              <w:rPr>
                <w:i/>
              </w:rPr>
              <w:t>ACT for Trichotillomania: Abbreviated Treatment Manual</w:t>
            </w:r>
          </w:p>
        </w:tc>
      </w:tr>
      <w:tr w:rsidR="00D56A19" w:rsidRPr="00F836B6" w14:paraId="6E514E03" w14:textId="77777777" w:rsidTr="00854D84">
        <w:tc>
          <w:tcPr>
            <w:tcW w:w="1005" w:type="dxa"/>
            <w:tcBorders>
              <w:top w:val="single" w:sz="4" w:space="0" w:color="000000"/>
              <w:bottom w:val="single" w:sz="4" w:space="0" w:color="000000"/>
            </w:tcBorders>
          </w:tcPr>
          <w:p w14:paraId="3B6192C7" w14:textId="77777777" w:rsidR="00D56A19" w:rsidRPr="00F836B6" w:rsidRDefault="00D56A19" w:rsidP="00854D84">
            <w:r w:rsidRPr="00F836B6">
              <w:t>Session</w:t>
            </w:r>
          </w:p>
        </w:tc>
        <w:tc>
          <w:tcPr>
            <w:tcW w:w="3283" w:type="dxa"/>
            <w:tcBorders>
              <w:top w:val="single" w:sz="4" w:space="0" w:color="000000"/>
              <w:bottom w:val="single" w:sz="4" w:space="0" w:color="000000"/>
            </w:tcBorders>
          </w:tcPr>
          <w:p w14:paraId="2948A81F" w14:textId="77777777" w:rsidR="00D56A19" w:rsidRPr="00F836B6" w:rsidRDefault="00D56A19" w:rsidP="00854D84">
            <w:r w:rsidRPr="00F836B6">
              <w:t>Treatment Components</w:t>
            </w:r>
          </w:p>
        </w:tc>
        <w:tc>
          <w:tcPr>
            <w:tcW w:w="5072" w:type="dxa"/>
            <w:tcBorders>
              <w:top w:val="single" w:sz="4" w:space="0" w:color="000000"/>
              <w:bottom w:val="single" w:sz="4" w:space="0" w:color="000000"/>
            </w:tcBorders>
          </w:tcPr>
          <w:p w14:paraId="63668035" w14:textId="77777777" w:rsidR="00D56A19" w:rsidRPr="00F836B6" w:rsidRDefault="00D56A19" w:rsidP="00854D84">
            <w:r w:rsidRPr="00F836B6">
              <w:t>Exercises/Content</w:t>
            </w:r>
          </w:p>
        </w:tc>
      </w:tr>
      <w:tr w:rsidR="00D56A19" w:rsidRPr="00F836B6" w14:paraId="05B07E94" w14:textId="77777777" w:rsidTr="00854D84">
        <w:tc>
          <w:tcPr>
            <w:tcW w:w="1005" w:type="dxa"/>
            <w:tcBorders>
              <w:top w:val="single" w:sz="4" w:space="0" w:color="000000"/>
            </w:tcBorders>
          </w:tcPr>
          <w:p w14:paraId="402AC459" w14:textId="77777777" w:rsidR="00D56A19" w:rsidRPr="00F836B6" w:rsidRDefault="00D56A19" w:rsidP="00854D84">
            <w:r w:rsidRPr="00F836B6">
              <w:t>1</w:t>
            </w:r>
          </w:p>
        </w:tc>
        <w:tc>
          <w:tcPr>
            <w:tcW w:w="3283" w:type="dxa"/>
            <w:tcBorders>
              <w:top w:val="single" w:sz="4" w:space="0" w:color="000000"/>
            </w:tcBorders>
          </w:tcPr>
          <w:p w14:paraId="43BB5C87" w14:textId="77777777" w:rsidR="00D56A19" w:rsidRPr="00F836B6" w:rsidRDefault="00D56A19" w:rsidP="00854D84">
            <w:r w:rsidRPr="00F836B6">
              <w:t>Introduction</w:t>
            </w:r>
          </w:p>
        </w:tc>
        <w:tc>
          <w:tcPr>
            <w:tcW w:w="5072" w:type="dxa"/>
            <w:tcBorders>
              <w:top w:val="single" w:sz="4" w:space="0" w:color="000000"/>
            </w:tcBorders>
          </w:tcPr>
          <w:p w14:paraId="05D98ADA" w14:textId="77777777" w:rsidR="00D56A19" w:rsidRPr="00F836B6" w:rsidRDefault="00D56A19" w:rsidP="00D56A19">
            <w:pPr>
              <w:pStyle w:val="DarkList-Accent51"/>
              <w:numPr>
                <w:ilvl w:val="0"/>
                <w:numId w:val="4"/>
              </w:numPr>
            </w:pPr>
            <w:r>
              <w:t xml:space="preserve">Agreement to participate in 10, weekly </w:t>
            </w:r>
            <w:r w:rsidRPr="00F836B6">
              <w:t>sessions of therapy</w:t>
            </w:r>
          </w:p>
        </w:tc>
      </w:tr>
      <w:tr w:rsidR="00D56A19" w:rsidRPr="00F836B6" w14:paraId="1B1B00CA" w14:textId="77777777" w:rsidTr="00854D84">
        <w:tc>
          <w:tcPr>
            <w:tcW w:w="1005" w:type="dxa"/>
          </w:tcPr>
          <w:p w14:paraId="5EF49BC7" w14:textId="77777777" w:rsidR="00D56A19" w:rsidRPr="00F836B6" w:rsidRDefault="00D56A19" w:rsidP="00854D84"/>
        </w:tc>
        <w:tc>
          <w:tcPr>
            <w:tcW w:w="3283" w:type="dxa"/>
          </w:tcPr>
          <w:p w14:paraId="6908FAFB" w14:textId="77777777" w:rsidR="00D56A19" w:rsidRPr="00F836B6" w:rsidRDefault="00D56A19" w:rsidP="00854D84">
            <w:r w:rsidRPr="00F836B6">
              <w:t>Discuss limits to confidentiality</w:t>
            </w:r>
          </w:p>
        </w:tc>
        <w:tc>
          <w:tcPr>
            <w:tcW w:w="5072" w:type="dxa"/>
          </w:tcPr>
          <w:p w14:paraId="18915949" w14:textId="77777777" w:rsidR="00D56A19" w:rsidRPr="00F836B6" w:rsidRDefault="00D56A19" w:rsidP="00D56A19">
            <w:pPr>
              <w:pStyle w:val="DarkList-Accent51"/>
              <w:numPr>
                <w:ilvl w:val="0"/>
                <w:numId w:val="4"/>
              </w:numPr>
            </w:pPr>
            <w:r w:rsidRPr="00F836B6">
              <w:t>Exceptions to confidentiality will follow APA ethical guidelines</w:t>
            </w:r>
          </w:p>
        </w:tc>
      </w:tr>
      <w:tr w:rsidR="00D56A19" w:rsidRPr="00F836B6" w14:paraId="1853553E" w14:textId="77777777" w:rsidTr="00854D84">
        <w:tc>
          <w:tcPr>
            <w:tcW w:w="1005" w:type="dxa"/>
          </w:tcPr>
          <w:p w14:paraId="75FA12DB" w14:textId="77777777" w:rsidR="00D56A19" w:rsidRPr="00F836B6" w:rsidRDefault="00D56A19" w:rsidP="00854D84"/>
        </w:tc>
        <w:tc>
          <w:tcPr>
            <w:tcW w:w="3283" w:type="dxa"/>
          </w:tcPr>
          <w:p w14:paraId="15B254B8" w14:textId="77777777" w:rsidR="00D56A19" w:rsidRPr="00F836B6" w:rsidRDefault="00D56A19" w:rsidP="00854D84">
            <w:r w:rsidRPr="00F836B6">
              <w:t>Getting participant on board</w:t>
            </w:r>
          </w:p>
        </w:tc>
        <w:tc>
          <w:tcPr>
            <w:tcW w:w="5072" w:type="dxa"/>
          </w:tcPr>
          <w:p w14:paraId="7568E5BE" w14:textId="77777777" w:rsidR="00D56A19" w:rsidRPr="00F836B6" w:rsidRDefault="00D56A19" w:rsidP="00D56A19">
            <w:pPr>
              <w:pStyle w:val="DarkList-Accent51"/>
              <w:numPr>
                <w:ilvl w:val="0"/>
                <w:numId w:val="4"/>
              </w:numPr>
            </w:pPr>
            <w:r w:rsidRPr="00F836B6">
              <w:t>Acknowledgment that treatment can be uncomfortable</w:t>
            </w:r>
          </w:p>
          <w:p w14:paraId="54428E20" w14:textId="77777777" w:rsidR="00D56A19" w:rsidRPr="00F836B6" w:rsidRDefault="00D56A19" w:rsidP="00D56A19">
            <w:pPr>
              <w:pStyle w:val="DarkList-Accent51"/>
              <w:numPr>
                <w:ilvl w:val="0"/>
                <w:numId w:val="4"/>
              </w:numPr>
            </w:pPr>
            <w:r w:rsidRPr="00F836B6">
              <w:t>Two Mountains Metaphor</w:t>
            </w:r>
          </w:p>
        </w:tc>
      </w:tr>
      <w:tr w:rsidR="00D56A19" w:rsidRPr="00F836B6" w14:paraId="6D614DFC" w14:textId="77777777" w:rsidTr="00854D84">
        <w:tc>
          <w:tcPr>
            <w:tcW w:w="1005" w:type="dxa"/>
          </w:tcPr>
          <w:p w14:paraId="4FF9E96A" w14:textId="77777777" w:rsidR="00D56A19" w:rsidRPr="00F836B6" w:rsidRDefault="00D56A19" w:rsidP="00854D84"/>
        </w:tc>
        <w:tc>
          <w:tcPr>
            <w:tcW w:w="3283" w:type="dxa"/>
          </w:tcPr>
          <w:p w14:paraId="417C62B2" w14:textId="77777777" w:rsidR="00D56A19" w:rsidRDefault="00D56A19" w:rsidP="00854D84">
            <w:r w:rsidRPr="00F836B6">
              <w:t xml:space="preserve">General assessment of </w:t>
            </w:r>
            <w:r>
              <w:t>trichotillomania</w:t>
            </w:r>
          </w:p>
          <w:p w14:paraId="5BE322AD" w14:textId="77777777" w:rsidR="00D56A19" w:rsidRPr="00F836B6" w:rsidRDefault="00D56A19" w:rsidP="00854D84"/>
        </w:tc>
        <w:tc>
          <w:tcPr>
            <w:tcW w:w="5072" w:type="dxa"/>
          </w:tcPr>
          <w:p w14:paraId="33B622C9" w14:textId="77777777" w:rsidR="00D56A19" w:rsidRPr="00F836B6" w:rsidRDefault="00D56A19" w:rsidP="00D56A19">
            <w:pPr>
              <w:pStyle w:val="DarkList-Accent51"/>
              <w:numPr>
                <w:ilvl w:val="0"/>
                <w:numId w:val="5"/>
              </w:numPr>
            </w:pPr>
            <w:r w:rsidRPr="00F836B6">
              <w:t xml:space="preserve">Asking client to describe </w:t>
            </w:r>
            <w:r>
              <w:t>pulling behavior and accompanying urges</w:t>
            </w:r>
          </w:p>
        </w:tc>
      </w:tr>
      <w:tr w:rsidR="00D56A19" w:rsidRPr="00F836B6" w14:paraId="682C8DF5" w14:textId="77777777" w:rsidTr="00854D84">
        <w:tc>
          <w:tcPr>
            <w:tcW w:w="1005" w:type="dxa"/>
          </w:tcPr>
          <w:p w14:paraId="48F9BC00" w14:textId="77777777" w:rsidR="00D56A19" w:rsidRPr="00F836B6" w:rsidRDefault="00D56A19" w:rsidP="00854D84"/>
        </w:tc>
        <w:tc>
          <w:tcPr>
            <w:tcW w:w="3283" w:type="dxa"/>
          </w:tcPr>
          <w:p w14:paraId="2FAE24CB" w14:textId="77777777" w:rsidR="00D56A19" w:rsidRPr="00F836B6" w:rsidRDefault="00D56A19" w:rsidP="00854D84">
            <w:r>
              <w:t>Introduction to creative h</w:t>
            </w:r>
            <w:r w:rsidRPr="00F836B6">
              <w:t>opelessness</w:t>
            </w:r>
          </w:p>
        </w:tc>
        <w:tc>
          <w:tcPr>
            <w:tcW w:w="5072" w:type="dxa"/>
          </w:tcPr>
          <w:p w14:paraId="46C63C96" w14:textId="77777777" w:rsidR="00D56A19" w:rsidRPr="00F836B6" w:rsidRDefault="00D56A19" w:rsidP="00D56A19">
            <w:pPr>
              <w:pStyle w:val="DarkList-Accent51"/>
              <w:numPr>
                <w:ilvl w:val="0"/>
                <w:numId w:val="6"/>
              </w:numPr>
            </w:pPr>
            <w:r w:rsidRPr="00F836B6">
              <w:t>Challenge client’s change agenda</w:t>
            </w:r>
          </w:p>
          <w:p w14:paraId="3E0F3337" w14:textId="77777777" w:rsidR="00D56A19" w:rsidRPr="00F836B6" w:rsidRDefault="00D56A19" w:rsidP="00D56A19">
            <w:pPr>
              <w:pStyle w:val="DarkList-Accent51"/>
              <w:numPr>
                <w:ilvl w:val="0"/>
                <w:numId w:val="6"/>
              </w:numPr>
            </w:pPr>
            <w:r w:rsidRPr="00F836B6">
              <w:t>Highlight difference between obsession and compulsion</w:t>
            </w:r>
          </w:p>
        </w:tc>
      </w:tr>
      <w:tr w:rsidR="00D56A19" w:rsidRPr="00F836B6" w14:paraId="36286778" w14:textId="77777777" w:rsidTr="00854D84">
        <w:tc>
          <w:tcPr>
            <w:tcW w:w="1005" w:type="dxa"/>
          </w:tcPr>
          <w:p w14:paraId="104EED10" w14:textId="77777777" w:rsidR="00D56A19" w:rsidRPr="00F836B6" w:rsidRDefault="00D56A19" w:rsidP="00854D84">
            <w:r w:rsidRPr="00F836B6">
              <w:t>2</w:t>
            </w:r>
          </w:p>
        </w:tc>
        <w:tc>
          <w:tcPr>
            <w:tcW w:w="3283" w:type="dxa"/>
          </w:tcPr>
          <w:p w14:paraId="3EE9385C" w14:textId="77777777" w:rsidR="00D56A19" w:rsidRDefault="00D56A19" w:rsidP="00854D84">
            <w:r>
              <w:t>Continue with creative h</w:t>
            </w:r>
            <w:r w:rsidRPr="00F836B6">
              <w:t>opelessness</w:t>
            </w:r>
          </w:p>
          <w:p w14:paraId="1423E815" w14:textId="77777777" w:rsidR="00D56A19" w:rsidRPr="00F836B6" w:rsidRDefault="00D56A19" w:rsidP="00854D84"/>
        </w:tc>
        <w:tc>
          <w:tcPr>
            <w:tcW w:w="5072" w:type="dxa"/>
          </w:tcPr>
          <w:p w14:paraId="408B2C1F" w14:textId="77777777" w:rsidR="00D56A19" w:rsidRPr="00F836B6" w:rsidRDefault="00D56A19" w:rsidP="00D56A19">
            <w:pPr>
              <w:pStyle w:val="DarkList-Accent51"/>
              <w:numPr>
                <w:ilvl w:val="0"/>
                <w:numId w:val="7"/>
              </w:numPr>
            </w:pPr>
            <w:r w:rsidRPr="00F836B6">
              <w:t>Digging hole and tug-of war metaphors</w:t>
            </w:r>
          </w:p>
        </w:tc>
      </w:tr>
      <w:tr w:rsidR="00D56A19" w:rsidRPr="00F836B6" w14:paraId="2E3452B0" w14:textId="77777777" w:rsidTr="00854D84">
        <w:tc>
          <w:tcPr>
            <w:tcW w:w="1005" w:type="dxa"/>
          </w:tcPr>
          <w:p w14:paraId="47164800" w14:textId="77777777" w:rsidR="00D56A19" w:rsidRPr="00F836B6" w:rsidRDefault="00D56A19" w:rsidP="00854D84">
            <w:r>
              <w:t>3,</w:t>
            </w:r>
            <w:r w:rsidRPr="00F836B6">
              <w:t xml:space="preserve"> 4</w:t>
            </w:r>
            <w:r>
              <w:t>, 5</w:t>
            </w:r>
          </w:p>
        </w:tc>
        <w:tc>
          <w:tcPr>
            <w:tcW w:w="3283" w:type="dxa"/>
          </w:tcPr>
          <w:p w14:paraId="3CD506EF" w14:textId="77777777" w:rsidR="00D56A19" w:rsidRPr="00F836B6" w:rsidRDefault="00D56A19" w:rsidP="00854D84">
            <w:r w:rsidRPr="00F836B6">
              <w:t>Intr</w:t>
            </w:r>
            <w:r>
              <w:t>oduce control as the p</w:t>
            </w:r>
            <w:r w:rsidRPr="00F836B6">
              <w:t>roblem</w:t>
            </w:r>
          </w:p>
        </w:tc>
        <w:tc>
          <w:tcPr>
            <w:tcW w:w="5072" w:type="dxa"/>
          </w:tcPr>
          <w:p w14:paraId="5377DDFB" w14:textId="77777777" w:rsidR="00D56A19" w:rsidRPr="00F836B6" w:rsidRDefault="00D56A19" w:rsidP="00D56A19">
            <w:pPr>
              <w:pStyle w:val="DarkList-Accent51"/>
              <w:numPr>
                <w:ilvl w:val="0"/>
                <w:numId w:val="8"/>
              </w:numPr>
            </w:pPr>
            <w:r w:rsidRPr="00F836B6">
              <w:t>Outside vs. inside world</w:t>
            </w:r>
          </w:p>
          <w:p w14:paraId="388BDA40" w14:textId="77777777" w:rsidR="00D56A19" w:rsidRPr="00F836B6" w:rsidRDefault="00D56A19" w:rsidP="00D56A19">
            <w:pPr>
              <w:pStyle w:val="DarkList-Accent51"/>
              <w:numPr>
                <w:ilvl w:val="0"/>
                <w:numId w:val="8"/>
              </w:numPr>
            </w:pPr>
            <w:r w:rsidRPr="00F836B6">
              <w:t>If you’re not willing to have it, you’ve got it</w:t>
            </w:r>
          </w:p>
          <w:p w14:paraId="68408A96" w14:textId="77777777" w:rsidR="00D56A19" w:rsidRPr="00F836B6" w:rsidRDefault="00D56A19" w:rsidP="00D56A19">
            <w:pPr>
              <w:pStyle w:val="DarkList-Accent51"/>
              <w:numPr>
                <w:ilvl w:val="0"/>
                <w:numId w:val="8"/>
              </w:numPr>
            </w:pPr>
            <w:r w:rsidRPr="00F836B6">
              <w:t>Polygraph, fall in love, jelly donut metaphors</w:t>
            </w:r>
          </w:p>
          <w:p w14:paraId="0F118552" w14:textId="77777777" w:rsidR="00D56A19" w:rsidRPr="00F836B6" w:rsidRDefault="00D56A19" w:rsidP="00D56A19">
            <w:pPr>
              <w:pStyle w:val="DarkList-Accent51"/>
              <w:numPr>
                <w:ilvl w:val="0"/>
                <w:numId w:val="8"/>
              </w:numPr>
            </w:pPr>
            <w:r w:rsidRPr="00F836B6">
              <w:t>Cost of unwillingness</w:t>
            </w:r>
          </w:p>
        </w:tc>
      </w:tr>
      <w:tr w:rsidR="00D56A19" w:rsidRPr="00F836B6" w14:paraId="330BC570" w14:textId="77777777" w:rsidTr="00854D84">
        <w:tc>
          <w:tcPr>
            <w:tcW w:w="1005" w:type="dxa"/>
          </w:tcPr>
          <w:p w14:paraId="2854F0BF" w14:textId="77777777" w:rsidR="00D56A19" w:rsidRPr="00F836B6" w:rsidRDefault="00D56A19" w:rsidP="00854D84"/>
        </w:tc>
        <w:tc>
          <w:tcPr>
            <w:tcW w:w="3283" w:type="dxa"/>
          </w:tcPr>
          <w:p w14:paraId="5DA49BD0" w14:textId="77777777" w:rsidR="00D56A19" w:rsidRDefault="00D56A19" w:rsidP="00854D84">
            <w:r>
              <w:t>Acceptance/w</w:t>
            </w:r>
            <w:r w:rsidRPr="00F836B6">
              <w:t>illingness</w:t>
            </w:r>
          </w:p>
          <w:p w14:paraId="0EFA5EE5" w14:textId="77777777" w:rsidR="00D56A19" w:rsidRPr="00F836B6" w:rsidRDefault="00D56A19" w:rsidP="00854D84"/>
        </w:tc>
        <w:tc>
          <w:tcPr>
            <w:tcW w:w="5072" w:type="dxa"/>
          </w:tcPr>
          <w:p w14:paraId="361732FC" w14:textId="77777777" w:rsidR="00D56A19" w:rsidRPr="00F836B6" w:rsidRDefault="00D56A19" w:rsidP="00D56A19">
            <w:pPr>
              <w:pStyle w:val="DarkList-Accent51"/>
              <w:numPr>
                <w:ilvl w:val="0"/>
                <w:numId w:val="8"/>
              </w:numPr>
            </w:pPr>
            <w:r w:rsidRPr="00F836B6">
              <w:t>Two scales metaphor</w:t>
            </w:r>
          </w:p>
        </w:tc>
      </w:tr>
      <w:tr w:rsidR="00D56A19" w:rsidRPr="00F836B6" w14:paraId="13977418" w14:textId="77777777" w:rsidTr="00854D84">
        <w:tc>
          <w:tcPr>
            <w:tcW w:w="1005" w:type="dxa"/>
          </w:tcPr>
          <w:p w14:paraId="65A235FF" w14:textId="77777777" w:rsidR="00D56A19" w:rsidRPr="00F836B6" w:rsidRDefault="00D56A19" w:rsidP="00854D84"/>
        </w:tc>
        <w:tc>
          <w:tcPr>
            <w:tcW w:w="3283" w:type="dxa"/>
          </w:tcPr>
          <w:p w14:paraId="1AFE6F73" w14:textId="77777777" w:rsidR="00D56A19" w:rsidRDefault="00D56A19" w:rsidP="00854D84">
            <w:r w:rsidRPr="00F836B6">
              <w:t>Behavioral commitments</w:t>
            </w:r>
          </w:p>
          <w:p w14:paraId="2E065343" w14:textId="77777777" w:rsidR="00D56A19" w:rsidRPr="00F836B6" w:rsidRDefault="00D56A19" w:rsidP="00854D84"/>
        </w:tc>
        <w:tc>
          <w:tcPr>
            <w:tcW w:w="5072" w:type="dxa"/>
          </w:tcPr>
          <w:p w14:paraId="43B50BEE" w14:textId="77777777" w:rsidR="00D56A19" w:rsidRPr="00F836B6" w:rsidRDefault="00D56A19" w:rsidP="00D56A19">
            <w:pPr>
              <w:pStyle w:val="DarkList-Accent51"/>
              <w:numPr>
                <w:ilvl w:val="0"/>
                <w:numId w:val="8"/>
              </w:numPr>
            </w:pPr>
            <w:r w:rsidRPr="00F836B6">
              <w:t>Characteristics of a commitment</w:t>
            </w:r>
          </w:p>
        </w:tc>
      </w:tr>
      <w:tr w:rsidR="00D56A19" w:rsidRPr="00F836B6" w14:paraId="1B6FB3A8" w14:textId="77777777" w:rsidTr="00854D84">
        <w:tc>
          <w:tcPr>
            <w:tcW w:w="1005" w:type="dxa"/>
          </w:tcPr>
          <w:p w14:paraId="344D6CE6" w14:textId="77777777" w:rsidR="00D56A19" w:rsidRPr="00F836B6" w:rsidRDefault="00D56A19" w:rsidP="00854D84">
            <w:r w:rsidRPr="00F836B6">
              <w:t>6</w:t>
            </w:r>
            <w:r>
              <w:t>, 7</w:t>
            </w:r>
          </w:p>
        </w:tc>
        <w:tc>
          <w:tcPr>
            <w:tcW w:w="3283" w:type="dxa"/>
          </w:tcPr>
          <w:p w14:paraId="19578587" w14:textId="77777777" w:rsidR="00D56A19" w:rsidRPr="00F836B6" w:rsidRDefault="00D56A19" w:rsidP="00854D84">
            <w:r w:rsidRPr="00F836B6">
              <w:t>Self as context and defusion</w:t>
            </w:r>
          </w:p>
        </w:tc>
        <w:tc>
          <w:tcPr>
            <w:tcW w:w="5072" w:type="dxa"/>
          </w:tcPr>
          <w:p w14:paraId="4DAA5AF1" w14:textId="77777777" w:rsidR="00D56A19" w:rsidRPr="00F836B6" w:rsidRDefault="00D56A19" w:rsidP="00D56A19">
            <w:pPr>
              <w:pStyle w:val="DarkList-Accent51"/>
              <w:numPr>
                <w:ilvl w:val="0"/>
                <w:numId w:val="8"/>
              </w:numPr>
            </w:pPr>
            <w:r w:rsidRPr="00F836B6">
              <w:t>What are the numbers exercise</w:t>
            </w:r>
          </w:p>
        </w:tc>
      </w:tr>
      <w:tr w:rsidR="00D56A19" w:rsidRPr="00F836B6" w14:paraId="08D304C5" w14:textId="77777777" w:rsidTr="00854D84">
        <w:tc>
          <w:tcPr>
            <w:tcW w:w="1005" w:type="dxa"/>
          </w:tcPr>
          <w:p w14:paraId="274C0149" w14:textId="77777777" w:rsidR="00D56A19" w:rsidRPr="00F836B6" w:rsidRDefault="00D56A19" w:rsidP="00854D84"/>
        </w:tc>
        <w:tc>
          <w:tcPr>
            <w:tcW w:w="3283" w:type="dxa"/>
          </w:tcPr>
          <w:p w14:paraId="29DA0B69" w14:textId="77777777" w:rsidR="00D56A19" w:rsidRPr="00F836B6" w:rsidRDefault="00D56A19" w:rsidP="00854D84"/>
        </w:tc>
        <w:tc>
          <w:tcPr>
            <w:tcW w:w="5072" w:type="dxa"/>
          </w:tcPr>
          <w:p w14:paraId="2CF49655" w14:textId="77777777" w:rsidR="00D56A19" w:rsidRPr="00F836B6" w:rsidRDefault="00D56A19" w:rsidP="00D56A19">
            <w:pPr>
              <w:pStyle w:val="DarkList-Accent51"/>
              <w:numPr>
                <w:ilvl w:val="0"/>
                <w:numId w:val="8"/>
              </w:numPr>
            </w:pPr>
            <w:r w:rsidRPr="00F836B6">
              <w:t>Chessboard metaphor</w:t>
            </w:r>
          </w:p>
          <w:p w14:paraId="3E3816E4" w14:textId="77777777" w:rsidR="00D56A19" w:rsidRPr="00F836B6" w:rsidRDefault="00D56A19" w:rsidP="00D56A19">
            <w:pPr>
              <w:pStyle w:val="DarkList-Accent51"/>
              <w:numPr>
                <w:ilvl w:val="0"/>
                <w:numId w:val="8"/>
              </w:numPr>
            </w:pPr>
            <w:r w:rsidRPr="00F836B6">
              <w:t>Reformulating language conventions</w:t>
            </w:r>
          </w:p>
        </w:tc>
      </w:tr>
      <w:tr w:rsidR="00D56A19" w:rsidRPr="00F836B6" w14:paraId="251452C5" w14:textId="77777777" w:rsidTr="00854D84">
        <w:tc>
          <w:tcPr>
            <w:tcW w:w="1005" w:type="dxa"/>
          </w:tcPr>
          <w:p w14:paraId="226AA82D" w14:textId="77777777" w:rsidR="00D56A19" w:rsidRPr="00F836B6" w:rsidRDefault="00D56A19" w:rsidP="00854D84"/>
        </w:tc>
        <w:tc>
          <w:tcPr>
            <w:tcW w:w="3283" w:type="dxa"/>
          </w:tcPr>
          <w:p w14:paraId="70C27912" w14:textId="77777777" w:rsidR="00D56A19" w:rsidRPr="00F836B6" w:rsidRDefault="00D56A19" w:rsidP="00854D84"/>
        </w:tc>
        <w:tc>
          <w:tcPr>
            <w:tcW w:w="5072" w:type="dxa"/>
          </w:tcPr>
          <w:p w14:paraId="6FABA69D" w14:textId="77777777" w:rsidR="00D56A19" w:rsidRPr="00F836B6" w:rsidRDefault="00D56A19" w:rsidP="00D56A19">
            <w:pPr>
              <w:pStyle w:val="DarkList-Accent51"/>
              <w:numPr>
                <w:ilvl w:val="0"/>
                <w:numId w:val="8"/>
              </w:numPr>
            </w:pPr>
            <w:r w:rsidRPr="00F836B6">
              <w:t>Passengers on the bus metaphor</w:t>
            </w:r>
          </w:p>
          <w:p w14:paraId="2723D7A3" w14:textId="77777777" w:rsidR="00D56A19" w:rsidRPr="00F836B6" w:rsidRDefault="00D56A19" w:rsidP="00D56A19">
            <w:pPr>
              <w:pStyle w:val="DarkList-Accent51"/>
              <w:numPr>
                <w:ilvl w:val="0"/>
                <w:numId w:val="8"/>
              </w:numPr>
            </w:pPr>
            <w:r w:rsidRPr="00F836B6">
              <w:t>Tichener’s Milk, Milk, Milk exercise</w:t>
            </w:r>
          </w:p>
        </w:tc>
      </w:tr>
      <w:tr w:rsidR="00D56A19" w:rsidRPr="00F836B6" w14:paraId="6A005EDA" w14:textId="77777777" w:rsidTr="00854D84">
        <w:tc>
          <w:tcPr>
            <w:tcW w:w="1005" w:type="dxa"/>
          </w:tcPr>
          <w:p w14:paraId="17B81F25" w14:textId="77777777" w:rsidR="00D56A19" w:rsidRPr="00F836B6" w:rsidRDefault="00D56A19" w:rsidP="00854D84"/>
        </w:tc>
        <w:tc>
          <w:tcPr>
            <w:tcW w:w="3283" w:type="dxa"/>
          </w:tcPr>
          <w:p w14:paraId="0D8F7E2D" w14:textId="77777777" w:rsidR="00D56A19" w:rsidRPr="00F836B6" w:rsidRDefault="00D56A19" w:rsidP="00854D84"/>
        </w:tc>
        <w:tc>
          <w:tcPr>
            <w:tcW w:w="5072" w:type="dxa"/>
          </w:tcPr>
          <w:p w14:paraId="54E82C82" w14:textId="77777777" w:rsidR="00D56A19" w:rsidRPr="00F836B6" w:rsidRDefault="00D56A19" w:rsidP="00D56A19">
            <w:pPr>
              <w:pStyle w:val="DarkList-Accent51"/>
              <w:numPr>
                <w:ilvl w:val="0"/>
                <w:numId w:val="8"/>
              </w:numPr>
            </w:pPr>
            <w:r w:rsidRPr="00F836B6">
              <w:t>Observer exercise</w:t>
            </w:r>
          </w:p>
        </w:tc>
      </w:tr>
      <w:tr w:rsidR="00D56A19" w:rsidRPr="00F836B6" w14:paraId="2F3D9488" w14:textId="77777777" w:rsidTr="00854D84">
        <w:tc>
          <w:tcPr>
            <w:tcW w:w="1005" w:type="dxa"/>
          </w:tcPr>
          <w:p w14:paraId="2B43B30E" w14:textId="77777777" w:rsidR="00D56A19" w:rsidRPr="00F836B6" w:rsidRDefault="00D56A19" w:rsidP="00854D84">
            <w:r w:rsidRPr="00F836B6">
              <w:t>8</w:t>
            </w:r>
            <w:r>
              <w:t>, 9, 10</w:t>
            </w:r>
          </w:p>
        </w:tc>
        <w:tc>
          <w:tcPr>
            <w:tcW w:w="3283" w:type="dxa"/>
          </w:tcPr>
          <w:p w14:paraId="5F38DC1A" w14:textId="77777777" w:rsidR="00D56A19" w:rsidRDefault="00D56A19" w:rsidP="00854D84">
            <w:r w:rsidRPr="00F836B6">
              <w:t>Values</w:t>
            </w:r>
          </w:p>
          <w:p w14:paraId="2360BE3E" w14:textId="77777777" w:rsidR="00D56A19" w:rsidRPr="00F836B6" w:rsidRDefault="00D56A19" w:rsidP="00854D84"/>
        </w:tc>
        <w:tc>
          <w:tcPr>
            <w:tcW w:w="5072" w:type="dxa"/>
          </w:tcPr>
          <w:p w14:paraId="516F2079" w14:textId="77777777" w:rsidR="00D56A19" w:rsidRPr="00F836B6" w:rsidRDefault="00D56A19" w:rsidP="00D56A19">
            <w:pPr>
              <w:pStyle w:val="DarkList-Accent51"/>
              <w:numPr>
                <w:ilvl w:val="0"/>
                <w:numId w:val="8"/>
              </w:numPr>
            </w:pPr>
            <w:r w:rsidRPr="00F836B6">
              <w:t>Values assessment exercise</w:t>
            </w:r>
          </w:p>
        </w:tc>
      </w:tr>
      <w:tr w:rsidR="00D56A19" w:rsidRPr="00F836B6" w14:paraId="77DDF973" w14:textId="77777777" w:rsidTr="00854D84">
        <w:tc>
          <w:tcPr>
            <w:tcW w:w="1005" w:type="dxa"/>
            <w:tcBorders>
              <w:bottom w:val="single" w:sz="4" w:space="0" w:color="auto"/>
            </w:tcBorders>
          </w:tcPr>
          <w:p w14:paraId="6877DF53" w14:textId="77777777" w:rsidR="00D56A19" w:rsidRPr="00F836B6" w:rsidRDefault="00D56A19" w:rsidP="00854D84"/>
        </w:tc>
        <w:tc>
          <w:tcPr>
            <w:tcW w:w="3283" w:type="dxa"/>
            <w:tcBorders>
              <w:bottom w:val="single" w:sz="4" w:space="0" w:color="auto"/>
            </w:tcBorders>
          </w:tcPr>
          <w:p w14:paraId="59BF5CA6" w14:textId="77777777" w:rsidR="00D56A19" w:rsidRPr="00F836B6" w:rsidRDefault="00D56A19" w:rsidP="00854D84">
            <w:r w:rsidRPr="00F836B6">
              <w:t>Increase focus on behavioral commitment</w:t>
            </w:r>
          </w:p>
        </w:tc>
        <w:tc>
          <w:tcPr>
            <w:tcW w:w="5072" w:type="dxa"/>
            <w:tcBorders>
              <w:bottom w:val="single" w:sz="4" w:space="0" w:color="auto"/>
            </w:tcBorders>
          </w:tcPr>
          <w:p w14:paraId="1D5242EB" w14:textId="77777777" w:rsidR="00D56A19" w:rsidRPr="00F836B6" w:rsidRDefault="00D56A19" w:rsidP="00D56A19">
            <w:pPr>
              <w:pStyle w:val="DarkList-Accent51"/>
              <w:numPr>
                <w:ilvl w:val="0"/>
                <w:numId w:val="8"/>
              </w:numPr>
            </w:pPr>
            <w:r>
              <w:t>Unwanted party guest</w:t>
            </w:r>
            <w:r w:rsidRPr="00F836B6">
              <w:t>, moving through a</w:t>
            </w:r>
            <w:r>
              <w:t xml:space="preserve"> swamp, coke vs. 7-up metaphors</w:t>
            </w:r>
          </w:p>
        </w:tc>
      </w:tr>
      <w:tr w:rsidR="00D56A19" w:rsidRPr="00F836B6" w14:paraId="358C3043" w14:textId="77777777" w:rsidTr="00854D84">
        <w:tc>
          <w:tcPr>
            <w:tcW w:w="9360" w:type="dxa"/>
            <w:gridSpan w:val="3"/>
            <w:tcBorders>
              <w:top w:val="single" w:sz="4" w:space="0" w:color="auto"/>
            </w:tcBorders>
          </w:tcPr>
          <w:p w14:paraId="19B7A6F1" w14:textId="77777777" w:rsidR="00D56A19" w:rsidRPr="003549D2" w:rsidRDefault="00D56A19" w:rsidP="00854D84">
            <w:pPr>
              <w:pStyle w:val="DarkList-Accent51"/>
              <w:ind w:left="0"/>
            </w:pPr>
            <w:r>
              <w:rPr>
                <w:i/>
              </w:rPr>
              <w:t xml:space="preserve">Note. </w:t>
            </w:r>
            <w:r>
              <w:t>All exercise available in Hayes, Strosahl, &amp; Wilson (1999).</w:t>
            </w:r>
          </w:p>
        </w:tc>
      </w:tr>
      <w:tr w:rsidR="00D56A19" w:rsidRPr="00F836B6" w14:paraId="3916F348" w14:textId="77777777" w:rsidTr="00854D84">
        <w:tc>
          <w:tcPr>
            <w:tcW w:w="1005" w:type="dxa"/>
          </w:tcPr>
          <w:p w14:paraId="5E244378" w14:textId="77777777" w:rsidR="00D56A19" w:rsidRPr="00F836B6" w:rsidRDefault="00D56A19" w:rsidP="00854D84"/>
        </w:tc>
        <w:tc>
          <w:tcPr>
            <w:tcW w:w="3283" w:type="dxa"/>
          </w:tcPr>
          <w:p w14:paraId="303D3739" w14:textId="77777777" w:rsidR="00D56A19" w:rsidRPr="00F836B6" w:rsidRDefault="00D56A19" w:rsidP="00854D84"/>
        </w:tc>
        <w:tc>
          <w:tcPr>
            <w:tcW w:w="5072" w:type="dxa"/>
          </w:tcPr>
          <w:p w14:paraId="377C5D60" w14:textId="77777777" w:rsidR="00D56A19" w:rsidRPr="00F836B6" w:rsidRDefault="00D56A19" w:rsidP="00854D84">
            <w:pPr>
              <w:pStyle w:val="DarkList-Accent51"/>
              <w:ind w:left="0"/>
            </w:pPr>
          </w:p>
        </w:tc>
      </w:tr>
    </w:tbl>
    <w:p w14:paraId="407FEEF7" w14:textId="77777777" w:rsidR="00D56A19" w:rsidRDefault="00D56A19" w:rsidP="00D56A19"/>
    <w:p w14:paraId="674F5882" w14:textId="3F8069DE" w:rsidR="00A54643" w:rsidRDefault="00A54643">
      <w:pPr>
        <w:rPr>
          <w:noProof/>
        </w:rPr>
      </w:pPr>
      <w:r>
        <w:rPr>
          <w:noProof/>
        </w:rPr>
        <w:br w:type="page"/>
      </w:r>
    </w:p>
    <w:tbl>
      <w:tblPr>
        <w:tblStyle w:val="TableGrid"/>
        <w:tblW w:w="11250" w:type="dxa"/>
        <w:tblInd w:w="-1170" w:type="dxa"/>
        <w:tblLook w:val="04A0" w:firstRow="1" w:lastRow="0" w:firstColumn="1" w:lastColumn="0" w:noHBand="0" w:noVBand="1"/>
      </w:tblPr>
      <w:tblGrid>
        <w:gridCol w:w="1440"/>
        <w:gridCol w:w="1635"/>
        <w:gridCol w:w="871"/>
        <w:gridCol w:w="764"/>
        <w:gridCol w:w="471"/>
        <w:gridCol w:w="1164"/>
        <w:gridCol w:w="52"/>
        <w:gridCol w:w="1583"/>
        <w:gridCol w:w="88"/>
        <w:gridCol w:w="1246"/>
        <w:gridCol w:w="301"/>
        <w:gridCol w:w="1635"/>
      </w:tblGrid>
      <w:tr w:rsidR="00A54643" w:rsidRPr="00BA695B" w14:paraId="22DB3F88" w14:textId="77777777" w:rsidTr="00854D84">
        <w:tc>
          <w:tcPr>
            <w:tcW w:w="11250" w:type="dxa"/>
            <w:gridSpan w:val="12"/>
            <w:tcBorders>
              <w:top w:val="nil"/>
              <w:left w:val="nil"/>
              <w:bottom w:val="single" w:sz="4" w:space="0" w:color="auto"/>
              <w:right w:val="nil"/>
            </w:tcBorders>
          </w:tcPr>
          <w:p w14:paraId="51981C02" w14:textId="77777777" w:rsidR="00A54643" w:rsidRPr="00BA695B" w:rsidRDefault="00A54643" w:rsidP="00854D84">
            <w:r w:rsidRPr="00BA695B">
              <w:t xml:space="preserve">Table </w:t>
            </w:r>
            <w:r>
              <w:t>3</w:t>
            </w:r>
          </w:p>
          <w:p w14:paraId="53774D3F" w14:textId="77777777" w:rsidR="00A54643" w:rsidRPr="00BA695B" w:rsidRDefault="00A54643" w:rsidP="00854D84">
            <w:r w:rsidRPr="00BA695B">
              <w:rPr>
                <w:i/>
                <w:iCs/>
              </w:rPr>
              <w:t>Means</w:t>
            </w:r>
            <w:r>
              <w:rPr>
                <w:i/>
                <w:iCs/>
              </w:rPr>
              <w:t xml:space="preserve"> and Standard Deviations for Adolescents and Adults on Outcome Measures</w:t>
            </w:r>
            <w:r w:rsidRPr="00BA695B">
              <w:rPr>
                <w:i/>
                <w:iCs/>
              </w:rPr>
              <w:t xml:space="preserve"> at Time 1 and Time 2</w:t>
            </w:r>
          </w:p>
        </w:tc>
      </w:tr>
      <w:tr w:rsidR="00A54643" w:rsidRPr="00BA695B" w14:paraId="1EA752E3" w14:textId="77777777" w:rsidTr="00854D84">
        <w:tc>
          <w:tcPr>
            <w:tcW w:w="1440" w:type="dxa"/>
            <w:tcBorders>
              <w:top w:val="single" w:sz="4" w:space="0" w:color="auto"/>
              <w:left w:val="nil"/>
              <w:bottom w:val="nil"/>
              <w:right w:val="nil"/>
            </w:tcBorders>
          </w:tcPr>
          <w:p w14:paraId="50210F7C" w14:textId="77777777" w:rsidR="00A54643" w:rsidRPr="00BA695B" w:rsidRDefault="00A54643" w:rsidP="00854D84"/>
        </w:tc>
        <w:tc>
          <w:tcPr>
            <w:tcW w:w="4957" w:type="dxa"/>
            <w:gridSpan w:val="6"/>
            <w:tcBorders>
              <w:top w:val="single" w:sz="4" w:space="0" w:color="auto"/>
              <w:left w:val="nil"/>
              <w:bottom w:val="single" w:sz="4" w:space="0" w:color="auto"/>
              <w:right w:val="nil"/>
            </w:tcBorders>
          </w:tcPr>
          <w:p w14:paraId="1F5BE20A" w14:textId="77777777" w:rsidR="00A54643" w:rsidRDefault="00A54643" w:rsidP="00854D84">
            <w:pPr>
              <w:jc w:val="center"/>
            </w:pPr>
            <w:r>
              <w:t>Time 1</w:t>
            </w:r>
          </w:p>
        </w:tc>
        <w:tc>
          <w:tcPr>
            <w:tcW w:w="4853" w:type="dxa"/>
            <w:gridSpan w:val="5"/>
            <w:tcBorders>
              <w:top w:val="single" w:sz="4" w:space="0" w:color="auto"/>
              <w:left w:val="nil"/>
              <w:bottom w:val="single" w:sz="4" w:space="0" w:color="auto"/>
              <w:right w:val="nil"/>
            </w:tcBorders>
          </w:tcPr>
          <w:p w14:paraId="22FB52E1" w14:textId="77777777" w:rsidR="00A54643" w:rsidRDefault="00A54643" w:rsidP="00854D84">
            <w:pPr>
              <w:jc w:val="center"/>
            </w:pPr>
            <w:r>
              <w:t>Time 2</w:t>
            </w:r>
          </w:p>
        </w:tc>
      </w:tr>
      <w:tr w:rsidR="00A54643" w:rsidRPr="00BA695B" w14:paraId="342A2088" w14:textId="77777777" w:rsidTr="00854D84">
        <w:trPr>
          <w:trHeight w:val="1205"/>
        </w:trPr>
        <w:tc>
          <w:tcPr>
            <w:tcW w:w="1440" w:type="dxa"/>
            <w:tcBorders>
              <w:top w:val="nil"/>
              <w:left w:val="nil"/>
              <w:bottom w:val="single" w:sz="4" w:space="0" w:color="auto"/>
              <w:right w:val="nil"/>
            </w:tcBorders>
          </w:tcPr>
          <w:p w14:paraId="14239D71" w14:textId="77777777" w:rsidR="00A54643" w:rsidRPr="00BA695B" w:rsidRDefault="00A54643" w:rsidP="00854D84"/>
        </w:tc>
        <w:tc>
          <w:tcPr>
            <w:tcW w:w="1635" w:type="dxa"/>
            <w:tcBorders>
              <w:top w:val="single" w:sz="4" w:space="0" w:color="auto"/>
              <w:left w:val="nil"/>
              <w:bottom w:val="single" w:sz="4" w:space="0" w:color="auto"/>
              <w:right w:val="nil"/>
            </w:tcBorders>
          </w:tcPr>
          <w:p w14:paraId="355BBCC3" w14:textId="77777777" w:rsidR="00A54643" w:rsidRDefault="00A54643" w:rsidP="00854D84">
            <w:pPr>
              <w:jc w:val="center"/>
            </w:pPr>
            <w:r>
              <w:t xml:space="preserve">Adolescents </w:t>
            </w:r>
          </w:p>
          <w:p w14:paraId="1B654DF9" w14:textId="77777777" w:rsidR="00A54643" w:rsidRDefault="00A54643" w:rsidP="00854D84">
            <w:pPr>
              <w:jc w:val="center"/>
            </w:pPr>
            <w:r>
              <w:t>(n = 14)</w:t>
            </w:r>
          </w:p>
          <w:p w14:paraId="186D07BA" w14:textId="77777777" w:rsidR="00A54643" w:rsidRDefault="00A54643" w:rsidP="00854D84">
            <w:pPr>
              <w:jc w:val="center"/>
            </w:pPr>
            <w:r>
              <w:t>(ACT = 8;</w:t>
            </w:r>
          </w:p>
          <w:p w14:paraId="29CE1BE0" w14:textId="77777777" w:rsidR="00A54643" w:rsidRPr="00BA695B" w:rsidRDefault="00A54643" w:rsidP="00854D84">
            <w:pPr>
              <w:jc w:val="center"/>
            </w:pPr>
            <w:r>
              <w:t>Waitlist = 6)</w:t>
            </w:r>
          </w:p>
        </w:tc>
        <w:tc>
          <w:tcPr>
            <w:tcW w:w="1635" w:type="dxa"/>
            <w:gridSpan w:val="2"/>
            <w:tcBorders>
              <w:top w:val="single" w:sz="4" w:space="0" w:color="auto"/>
              <w:left w:val="nil"/>
              <w:bottom w:val="single" w:sz="4" w:space="0" w:color="auto"/>
              <w:right w:val="nil"/>
            </w:tcBorders>
          </w:tcPr>
          <w:p w14:paraId="631027C8" w14:textId="77777777" w:rsidR="00A54643" w:rsidRDefault="00A54643" w:rsidP="00854D84">
            <w:pPr>
              <w:jc w:val="center"/>
            </w:pPr>
            <w:r>
              <w:t>Adults</w:t>
            </w:r>
          </w:p>
          <w:p w14:paraId="7DD30177" w14:textId="77777777" w:rsidR="00A54643" w:rsidRDefault="00A54643" w:rsidP="00854D84">
            <w:pPr>
              <w:jc w:val="center"/>
            </w:pPr>
            <w:r>
              <w:t>(n = 25)</w:t>
            </w:r>
          </w:p>
          <w:p w14:paraId="22EC1BF5" w14:textId="77777777" w:rsidR="00A54643" w:rsidRDefault="00A54643" w:rsidP="00854D84">
            <w:pPr>
              <w:jc w:val="center"/>
            </w:pPr>
            <w:r>
              <w:t>(ACT = 14;</w:t>
            </w:r>
          </w:p>
          <w:p w14:paraId="56F944DE" w14:textId="77777777" w:rsidR="00A54643" w:rsidRPr="00BA695B" w:rsidRDefault="00A54643" w:rsidP="00854D84">
            <w:pPr>
              <w:jc w:val="center"/>
            </w:pPr>
            <w:r>
              <w:t>Waitlist = 11)</w:t>
            </w:r>
          </w:p>
        </w:tc>
        <w:tc>
          <w:tcPr>
            <w:tcW w:w="1635" w:type="dxa"/>
            <w:gridSpan w:val="2"/>
            <w:tcBorders>
              <w:top w:val="single" w:sz="4" w:space="0" w:color="auto"/>
              <w:left w:val="nil"/>
              <w:bottom w:val="single" w:sz="4" w:space="0" w:color="auto"/>
              <w:right w:val="nil"/>
            </w:tcBorders>
          </w:tcPr>
          <w:p w14:paraId="33D3E1B3" w14:textId="77777777" w:rsidR="00A54643" w:rsidRDefault="00A54643" w:rsidP="00854D84">
            <w:pPr>
              <w:jc w:val="center"/>
            </w:pPr>
            <w:r>
              <w:t>Combined</w:t>
            </w:r>
          </w:p>
          <w:p w14:paraId="62865CD4" w14:textId="77777777" w:rsidR="00A54643" w:rsidRDefault="00A54643" w:rsidP="00854D84">
            <w:pPr>
              <w:jc w:val="center"/>
            </w:pPr>
            <w:r>
              <w:t xml:space="preserve">(n = 39) </w:t>
            </w:r>
          </w:p>
          <w:p w14:paraId="57A411D2" w14:textId="77777777" w:rsidR="00A54643" w:rsidRDefault="00A54643" w:rsidP="00854D84">
            <w:pPr>
              <w:jc w:val="center"/>
            </w:pPr>
            <w:r>
              <w:t>(ACT = 22; Waitlist = 17)</w:t>
            </w:r>
          </w:p>
        </w:tc>
        <w:tc>
          <w:tcPr>
            <w:tcW w:w="1635" w:type="dxa"/>
            <w:gridSpan w:val="2"/>
            <w:tcBorders>
              <w:top w:val="single" w:sz="4" w:space="0" w:color="auto"/>
              <w:left w:val="nil"/>
              <w:bottom w:val="single" w:sz="4" w:space="0" w:color="auto"/>
              <w:right w:val="nil"/>
            </w:tcBorders>
          </w:tcPr>
          <w:p w14:paraId="4C4C9934" w14:textId="77777777" w:rsidR="00A54643" w:rsidRDefault="00A54643" w:rsidP="00854D84">
            <w:pPr>
              <w:jc w:val="center"/>
            </w:pPr>
            <w:r>
              <w:t>Adolescents</w:t>
            </w:r>
          </w:p>
          <w:p w14:paraId="319E39A8" w14:textId="77777777" w:rsidR="00A54643" w:rsidRDefault="00A54643" w:rsidP="00854D84">
            <w:pPr>
              <w:jc w:val="center"/>
            </w:pPr>
            <w:r>
              <w:t>(n = 11)</w:t>
            </w:r>
          </w:p>
          <w:p w14:paraId="1E16ACBD" w14:textId="77777777" w:rsidR="00A54643" w:rsidRDefault="00A54643" w:rsidP="00854D84">
            <w:pPr>
              <w:jc w:val="center"/>
            </w:pPr>
            <w:r>
              <w:t>(ACT = 7;</w:t>
            </w:r>
          </w:p>
          <w:p w14:paraId="66ED85CE" w14:textId="77777777" w:rsidR="00A54643" w:rsidRPr="00BA695B" w:rsidRDefault="00A54643" w:rsidP="00854D84">
            <w:pPr>
              <w:jc w:val="center"/>
            </w:pPr>
            <w:r>
              <w:t>Waitlist = 4)</w:t>
            </w:r>
          </w:p>
        </w:tc>
        <w:tc>
          <w:tcPr>
            <w:tcW w:w="1635" w:type="dxa"/>
            <w:gridSpan w:val="3"/>
            <w:tcBorders>
              <w:top w:val="single" w:sz="4" w:space="0" w:color="auto"/>
              <w:left w:val="nil"/>
              <w:bottom w:val="single" w:sz="4" w:space="0" w:color="auto"/>
              <w:right w:val="nil"/>
            </w:tcBorders>
          </w:tcPr>
          <w:p w14:paraId="4133240D" w14:textId="77777777" w:rsidR="00A54643" w:rsidRDefault="00A54643" w:rsidP="00854D84">
            <w:pPr>
              <w:jc w:val="center"/>
            </w:pPr>
            <w:r>
              <w:t>Adults</w:t>
            </w:r>
          </w:p>
          <w:p w14:paraId="61FAD5FF" w14:textId="77777777" w:rsidR="00A54643" w:rsidRDefault="00A54643" w:rsidP="00854D84">
            <w:pPr>
              <w:jc w:val="center"/>
            </w:pPr>
            <w:r>
              <w:t>(n = 14)</w:t>
            </w:r>
          </w:p>
          <w:p w14:paraId="6EF07837" w14:textId="77777777" w:rsidR="00A54643" w:rsidRDefault="00A54643" w:rsidP="00854D84">
            <w:pPr>
              <w:jc w:val="center"/>
            </w:pPr>
            <w:r>
              <w:t>(ACT = 8;</w:t>
            </w:r>
          </w:p>
          <w:p w14:paraId="1A40DB5B" w14:textId="77777777" w:rsidR="00A54643" w:rsidRPr="00BA695B" w:rsidRDefault="00A54643" w:rsidP="00854D84">
            <w:pPr>
              <w:jc w:val="center"/>
            </w:pPr>
            <w:r>
              <w:t>Waitlist = 6)</w:t>
            </w:r>
          </w:p>
        </w:tc>
        <w:tc>
          <w:tcPr>
            <w:tcW w:w="1635" w:type="dxa"/>
            <w:tcBorders>
              <w:top w:val="single" w:sz="4" w:space="0" w:color="auto"/>
              <w:left w:val="nil"/>
              <w:bottom w:val="single" w:sz="4" w:space="0" w:color="auto"/>
              <w:right w:val="nil"/>
            </w:tcBorders>
          </w:tcPr>
          <w:p w14:paraId="452BF1D3" w14:textId="77777777" w:rsidR="00A54643" w:rsidRDefault="00A54643" w:rsidP="00854D84">
            <w:pPr>
              <w:jc w:val="center"/>
            </w:pPr>
            <w:r>
              <w:t>Combined</w:t>
            </w:r>
          </w:p>
          <w:p w14:paraId="41E8F53B" w14:textId="77777777" w:rsidR="00A54643" w:rsidRDefault="00A54643" w:rsidP="00854D84">
            <w:pPr>
              <w:jc w:val="center"/>
            </w:pPr>
            <w:r>
              <w:t>(n = 25)</w:t>
            </w:r>
          </w:p>
          <w:p w14:paraId="2114C083" w14:textId="77777777" w:rsidR="00A54643" w:rsidRDefault="00A54643" w:rsidP="00854D84">
            <w:pPr>
              <w:jc w:val="center"/>
            </w:pPr>
            <w:r>
              <w:t>(ACT = 15; Waitlist = 10)</w:t>
            </w:r>
          </w:p>
        </w:tc>
      </w:tr>
      <w:tr w:rsidR="00A54643" w:rsidRPr="00BA695B" w14:paraId="2FBC72EE" w14:textId="77777777" w:rsidTr="00854D84">
        <w:tc>
          <w:tcPr>
            <w:tcW w:w="1440" w:type="dxa"/>
            <w:tcBorders>
              <w:left w:val="nil"/>
              <w:bottom w:val="nil"/>
              <w:right w:val="nil"/>
            </w:tcBorders>
          </w:tcPr>
          <w:p w14:paraId="4F2ECB0F" w14:textId="77777777" w:rsidR="00A54643" w:rsidRPr="00BA695B" w:rsidRDefault="00A54643" w:rsidP="00854D84">
            <w:r>
              <w:t>MGH-HS</w:t>
            </w:r>
          </w:p>
        </w:tc>
        <w:tc>
          <w:tcPr>
            <w:tcW w:w="1635" w:type="dxa"/>
            <w:tcBorders>
              <w:left w:val="nil"/>
              <w:bottom w:val="nil"/>
              <w:right w:val="nil"/>
            </w:tcBorders>
          </w:tcPr>
          <w:p w14:paraId="5130ED7E" w14:textId="77777777" w:rsidR="00A54643" w:rsidRPr="00BA695B" w:rsidRDefault="00A54643" w:rsidP="00854D84"/>
        </w:tc>
        <w:tc>
          <w:tcPr>
            <w:tcW w:w="1635" w:type="dxa"/>
            <w:gridSpan w:val="2"/>
            <w:tcBorders>
              <w:left w:val="nil"/>
              <w:bottom w:val="nil"/>
              <w:right w:val="nil"/>
            </w:tcBorders>
          </w:tcPr>
          <w:p w14:paraId="5D13DBF4" w14:textId="77777777" w:rsidR="00A54643" w:rsidRPr="00BA695B" w:rsidRDefault="00A54643" w:rsidP="00854D84"/>
        </w:tc>
        <w:tc>
          <w:tcPr>
            <w:tcW w:w="1635" w:type="dxa"/>
            <w:gridSpan w:val="2"/>
            <w:tcBorders>
              <w:left w:val="nil"/>
              <w:bottom w:val="nil"/>
              <w:right w:val="nil"/>
            </w:tcBorders>
          </w:tcPr>
          <w:p w14:paraId="5DEA1008" w14:textId="77777777" w:rsidR="00A54643" w:rsidRPr="00BA695B" w:rsidRDefault="00A54643" w:rsidP="00854D84"/>
        </w:tc>
        <w:tc>
          <w:tcPr>
            <w:tcW w:w="1635" w:type="dxa"/>
            <w:gridSpan w:val="2"/>
            <w:tcBorders>
              <w:left w:val="nil"/>
              <w:bottom w:val="nil"/>
              <w:right w:val="nil"/>
            </w:tcBorders>
          </w:tcPr>
          <w:p w14:paraId="7775EE6D" w14:textId="77777777" w:rsidR="00A54643" w:rsidRPr="00BA695B" w:rsidRDefault="00A54643" w:rsidP="00854D84"/>
        </w:tc>
        <w:tc>
          <w:tcPr>
            <w:tcW w:w="1635" w:type="dxa"/>
            <w:gridSpan w:val="3"/>
            <w:tcBorders>
              <w:left w:val="nil"/>
              <w:bottom w:val="nil"/>
              <w:right w:val="nil"/>
            </w:tcBorders>
          </w:tcPr>
          <w:p w14:paraId="0248BE8B" w14:textId="77777777" w:rsidR="00A54643" w:rsidRPr="00BA695B" w:rsidRDefault="00A54643" w:rsidP="00854D84"/>
        </w:tc>
        <w:tc>
          <w:tcPr>
            <w:tcW w:w="1635" w:type="dxa"/>
            <w:tcBorders>
              <w:left w:val="nil"/>
              <w:bottom w:val="nil"/>
              <w:right w:val="nil"/>
            </w:tcBorders>
          </w:tcPr>
          <w:p w14:paraId="3BC28030" w14:textId="77777777" w:rsidR="00A54643" w:rsidRPr="00BA695B" w:rsidRDefault="00A54643" w:rsidP="00854D84"/>
        </w:tc>
      </w:tr>
      <w:tr w:rsidR="00A54643" w:rsidRPr="00BA695B" w14:paraId="6C142A14" w14:textId="77777777" w:rsidTr="00854D84">
        <w:tc>
          <w:tcPr>
            <w:tcW w:w="1440" w:type="dxa"/>
            <w:tcBorders>
              <w:top w:val="nil"/>
              <w:left w:val="nil"/>
              <w:bottom w:val="nil"/>
              <w:right w:val="nil"/>
            </w:tcBorders>
          </w:tcPr>
          <w:p w14:paraId="6B91D57F" w14:textId="77777777" w:rsidR="00A54643" w:rsidRPr="00BA695B" w:rsidRDefault="00A54643" w:rsidP="00854D84">
            <w:r w:rsidRPr="00BA695B">
              <w:t xml:space="preserve">     ACT</w:t>
            </w:r>
          </w:p>
        </w:tc>
        <w:tc>
          <w:tcPr>
            <w:tcW w:w="1635" w:type="dxa"/>
            <w:tcBorders>
              <w:top w:val="nil"/>
              <w:left w:val="nil"/>
              <w:bottom w:val="nil"/>
              <w:right w:val="nil"/>
            </w:tcBorders>
          </w:tcPr>
          <w:p w14:paraId="54B85C73" w14:textId="77777777" w:rsidR="00A54643" w:rsidRPr="00BA695B" w:rsidRDefault="00A54643" w:rsidP="00854D84">
            <w:pPr>
              <w:jc w:val="center"/>
            </w:pPr>
            <w:r>
              <w:t>14.75 (2.82)</w:t>
            </w:r>
          </w:p>
        </w:tc>
        <w:tc>
          <w:tcPr>
            <w:tcW w:w="1635" w:type="dxa"/>
            <w:gridSpan w:val="2"/>
            <w:tcBorders>
              <w:top w:val="nil"/>
              <w:left w:val="nil"/>
              <w:bottom w:val="nil"/>
              <w:right w:val="nil"/>
            </w:tcBorders>
          </w:tcPr>
          <w:p w14:paraId="3FBF9699" w14:textId="77777777" w:rsidR="00A54643" w:rsidRPr="00BA695B" w:rsidRDefault="00A54643" w:rsidP="00854D84">
            <w:pPr>
              <w:jc w:val="center"/>
            </w:pPr>
            <w:r>
              <w:t>18.21 (3.81)</w:t>
            </w:r>
          </w:p>
        </w:tc>
        <w:tc>
          <w:tcPr>
            <w:tcW w:w="1635" w:type="dxa"/>
            <w:gridSpan w:val="2"/>
            <w:tcBorders>
              <w:top w:val="nil"/>
              <w:left w:val="nil"/>
              <w:bottom w:val="nil"/>
              <w:right w:val="nil"/>
            </w:tcBorders>
          </w:tcPr>
          <w:p w14:paraId="340137DC" w14:textId="77777777" w:rsidR="00A54643" w:rsidRPr="00BA695B" w:rsidRDefault="00A54643" w:rsidP="00854D84">
            <w:pPr>
              <w:jc w:val="center"/>
            </w:pPr>
            <w:r w:rsidRPr="00BA695B">
              <w:t>16.</w:t>
            </w:r>
            <w:r>
              <w:t>95</w:t>
            </w:r>
            <w:r w:rsidRPr="00BA695B">
              <w:t xml:space="preserve"> (3.</w:t>
            </w:r>
            <w:r>
              <w:t>81</w:t>
            </w:r>
            <w:r w:rsidRPr="00BA695B">
              <w:t>)</w:t>
            </w:r>
          </w:p>
        </w:tc>
        <w:tc>
          <w:tcPr>
            <w:tcW w:w="1635" w:type="dxa"/>
            <w:gridSpan w:val="2"/>
            <w:tcBorders>
              <w:top w:val="nil"/>
              <w:left w:val="nil"/>
              <w:bottom w:val="nil"/>
              <w:right w:val="nil"/>
            </w:tcBorders>
          </w:tcPr>
          <w:p w14:paraId="2DC8C951" w14:textId="77777777" w:rsidR="00A54643" w:rsidRPr="00BA695B" w:rsidRDefault="00A54643" w:rsidP="00854D84">
            <w:pPr>
              <w:jc w:val="center"/>
            </w:pPr>
            <w:r>
              <w:t>10.21 (4.38)</w:t>
            </w:r>
          </w:p>
        </w:tc>
        <w:tc>
          <w:tcPr>
            <w:tcW w:w="1635" w:type="dxa"/>
            <w:gridSpan w:val="3"/>
            <w:tcBorders>
              <w:top w:val="nil"/>
              <w:left w:val="nil"/>
              <w:bottom w:val="nil"/>
              <w:right w:val="nil"/>
            </w:tcBorders>
          </w:tcPr>
          <w:p w14:paraId="0ADFEC77" w14:textId="77777777" w:rsidR="00A54643" w:rsidRPr="00BA695B" w:rsidRDefault="00A54643" w:rsidP="00854D84">
            <w:pPr>
              <w:jc w:val="center"/>
            </w:pPr>
            <w:r>
              <w:t>7.88 (3.91)</w:t>
            </w:r>
          </w:p>
        </w:tc>
        <w:tc>
          <w:tcPr>
            <w:tcW w:w="1635" w:type="dxa"/>
            <w:tcBorders>
              <w:top w:val="nil"/>
              <w:left w:val="nil"/>
              <w:bottom w:val="nil"/>
              <w:right w:val="nil"/>
            </w:tcBorders>
          </w:tcPr>
          <w:p w14:paraId="4B7F4202" w14:textId="77777777" w:rsidR="00A54643" w:rsidRPr="00BA695B" w:rsidRDefault="00A54643" w:rsidP="00854D84">
            <w:pPr>
              <w:jc w:val="center"/>
            </w:pPr>
            <w:r w:rsidRPr="00BA695B">
              <w:t>8.97 (4.16)</w:t>
            </w:r>
          </w:p>
        </w:tc>
      </w:tr>
      <w:tr w:rsidR="00A54643" w:rsidRPr="00BA695B" w14:paraId="580DA84C" w14:textId="77777777" w:rsidTr="00854D84">
        <w:tc>
          <w:tcPr>
            <w:tcW w:w="1440" w:type="dxa"/>
            <w:tcBorders>
              <w:top w:val="nil"/>
              <w:left w:val="nil"/>
              <w:bottom w:val="nil"/>
              <w:right w:val="nil"/>
            </w:tcBorders>
          </w:tcPr>
          <w:p w14:paraId="5C9F3BEC" w14:textId="77777777" w:rsidR="00A54643" w:rsidRPr="00BA695B" w:rsidRDefault="00A54643" w:rsidP="00854D84">
            <w:r w:rsidRPr="00BA695B">
              <w:t xml:space="preserve">     Waitlist</w:t>
            </w:r>
          </w:p>
        </w:tc>
        <w:tc>
          <w:tcPr>
            <w:tcW w:w="1635" w:type="dxa"/>
            <w:tcBorders>
              <w:top w:val="nil"/>
              <w:left w:val="nil"/>
              <w:bottom w:val="nil"/>
              <w:right w:val="nil"/>
            </w:tcBorders>
          </w:tcPr>
          <w:p w14:paraId="63CAB3E9" w14:textId="77777777" w:rsidR="00A54643" w:rsidRPr="00BA695B" w:rsidRDefault="00A54643" w:rsidP="00854D84">
            <w:pPr>
              <w:jc w:val="center"/>
            </w:pPr>
            <w:r>
              <w:t>14.50 (5.54)</w:t>
            </w:r>
          </w:p>
        </w:tc>
        <w:tc>
          <w:tcPr>
            <w:tcW w:w="1635" w:type="dxa"/>
            <w:gridSpan w:val="2"/>
            <w:tcBorders>
              <w:top w:val="nil"/>
              <w:left w:val="nil"/>
              <w:bottom w:val="nil"/>
              <w:right w:val="nil"/>
            </w:tcBorders>
          </w:tcPr>
          <w:p w14:paraId="7264D00D" w14:textId="77777777" w:rsidR="00A54643" w:rsidRPr="00BA695B" w:rsidRDefault="00A54643" w:rsidP="00854D84">
            <w:pPr>
              <w:jc w:val="center"/>
            </w:pPr>
            <w:r>
              <w:t>16.91 (5.84)</w:t>
            </w:r>
          </w:p>
        </w:tc>
        <w:tc>
          <w:tcPr>
            <w:tcW w:w="1635" w:type="dxa"/>
            <w:gridSpan w:val="2"/>
            <w:tcBorders>
              <w:top w:val="nil"/>
              <w:left w:val="nil"/>
              <w:bottom w:val="nil"/>
              <w:right w:val="nil"/>
            </w:tcBorders>
          </w:tcPr>
          <w:p w14:paraId="208E7DD5" w14:textId="77777777" w:rsidR="00A54643" w:rsidRPr="00BA695B" w:rsidRDefault="00A54643" w:rsidP="00854D84">
            <w:pPr>
              <w:jc w:val="center"/>
            </w:pPr>
            <w:r w:rsidRPr="00BA695B">
              <w:t>1</w:t>
            </w:r>
            <w:r>
              <w:t>6.06</w:t>
            </w:r>
            <w:r w:rsidRPr="00BA695B">
              <w:t xml:space="preserve"> (5.</w:t>
            </w:r>
            <w:r>
              <w:t>6</w:t>
            </w:r>
            <w:r w:rsidRPr="00BA695B">
              <w:t>8)</w:t>
            </w:r>
          </w:p>
        </w:tc>
        <w:tc>
          <w:tcPr>
            <w:tcW w:w="1635" w:type="dxa"/>
            <w:gridSpan w:val="2"/>
            <w:tcBorders>
              <w:top w:val="nil"/>
              <w:left w:val="nil"/>
              <w:bottom w:val="nil"/>
              <w:right w:val="nil"/>
            </w:tcBorders>
          </w:tcPr>
          <w:p w14:paraId="157E18A4" w14:textId="77777777" w:rsidR="00A54643" w:rsidRPr="00BA695B" w:rsidRDefault="00A54643" w:rsidP="00854D84">
            <w:pPr>
              <w:jc w:val="center"/>
            </w:pPr>
            <w:r>
              <w:t>13.75 (2.22)</w:t>
            </w:r>
          </w:p>
        </w:tc>
        <w:tc>
          <w:tcPr>
            <w:tcW w:w="1635" w:type="dxa"/>
            <w:gridSpan w:val="3"/>
            <w:tcBorders>
              <w:top w:val="nil"/>
              <w:left w:val="nil"/>
              <w:bottom w:val="nil"/>
              <w:right w:val="nil"/>
            </w:tcBorders>
          </w:tcPr>
          <w:p w14:paraId="21841143" w14:textId="77777777" w:rsidR="00A54643" w:rsidRPr="00BA695B" w:rsidRDefault="00A54643" w:rsidP="00854D84">
            <w:pPr>
              <w:jc w:val="center"/>
            </w:pPr>
            <w:r>
              <w:t>15.83 (0.75)</w:t>
            </w:r>
          </w:p>
        </w:tc>
        <w:tc>
          <w:tcPr>
            <w:tcW w:w="1635" w:type="dxa"/>
            <w:tcBorders>
              <w:top w:val="nil"/>
              <w:left w:val="nil"/>
              <w:bottom w:val="nil"/>
              <w:right w:val="nil"/>
            </w:tcBorders>
          </w:tcPr>
          <w:p w14:paraId="62970E54" w14:textId="77777777" w:rsidR="00A54643" w:rsidRPr="00BA695B" w:rsidRDefault="00A54643" w:rsidP="00854D84">
            <w:pPr>
              <w:jc w:val="center"/>
            </w:pPr>
            <w:r w:rsidRPr="00BA695B">
              <w:t>15.00 (1.76)</w:t>
            </w:r>
          </w:p>
        </w:tc>
      </w:tr>
      <w:tr w:rsidR="00A54643" w:rsidRPr="00BA695B" w14:paraId="0EEEAE13" w14:textId="77777777" w:rsidTr="00854D84">
        <w:tc>
          <w:tcPr>
            <w:tcW w:w="1440" w:type="dxa"/>
            <w:tcBorders>
              <w:top w:val="nil"/>
              <w:left w:val="nil"/>
              <w:bottom w:val="nil"/>
              <w:right w:val="nil"/>
            </w:tcBorders>
          </w:tcPr>
          <w:p w14:paraId="1EFE4826" w14:textId="77777777" w:rsidR="00A54643" w:rsidRPr="00BA695B" w:rsidRDefault="00A54643" w:rsidP="00854D84">
            <w:r w:rsidRPr="00BA695B">
              <w:t>AAQ-II</w:t>
            </w:r>
          </w:p>
        </w:tc>
        <w:tc>
          <w:tcPr>
            <w:tcW w:w="1635" w:type="dxa"/>
            <w:tcBorders>
              <w:top w:val="nil"/>
              <w:left w:val="nil"/>
              <w:bottom w:val="nil"/>
              <w:right w:val="nil"/>
            </w:tcBorders>
          </w:tcPr>
          <w:p w14:paraId="1C2299CC" w14:textId="77777777" w:rsidR="00A54643" w:rsidRPr="00BA695B" w:rsidRDefault="00A54643" w:rsidP="00854D84">
            <w:pPr>
              <w:jc w:val="center"/>
            </w:pPr>
          </w:p>
        </w:tc>
        <w:tc>
          <w:tcPr>
            <w:tcW w:w="1635" w:type="dxa"/>
            <w:gridSpan w:val="2"/>
            <w:tcBorders>
              <w:top w:val="nil"/>
              <w:left w:val="nil"/>
              <w:bottom w:val="nil"/>
              <w:right w:val="nil"/>
            </w:tcBorders>
          </w:tcPr>
          <w:p w14:paraId="7672DF3A" w14:textId="77777777" w:rsidR="00A54643" w:rsidRPr="00BA695B" w:rsidRDefault="00A54643" w:rsidP="00854D84">
            <w:pPr>
              <w:jc w:val="center"/>
            </w:pPr>
          </w:p>
        </w:tc>
        <w:tc>
          <w:tcPr>
            <w:tcW w:w="1635" w:type="dxa"/>
            <w:gridSpan w:val="2"/>
            <w:tcBorders>
              <w:top w:val="nil"/>
              <w:left w:val="nil"/>
              <w:bottom w:val="nil"/>
              <w:right w:val="nil"/>
            </w:tcBorders>
          </w:tcPr>
          <w:p w14:paraId="2FEAB626" w14:textId="77777777" w:rsidR="00A54643" w:rsidRPr="00BA695B" w:rsidRDefault="00A54643" w:rsidP="00854D84">
            <w:pPr>
              <w:jc w:val="center"/>
            </w:pPr>
          </w:p>
        </w:tc>
        <w:tc>
          <w:tcPr>
            <w:tcW w:w="1635" w:type="dxa"/>
            <w:gridSpan w:val="2"/>
            <w:tcBorders>
              <w:top w:val="nil"/>
              <w:left w:val="nil"/>
              <w:bottom w:val="nil"/>
              <w:right w:val="nil"/>
            </w:tcBorders>
          </w:tcPr>
          <w:p w14:paraId="5A5A8FDE" w14:textId="77777777" w:rsidR="00A54643" w:rsidRPr="00BA695B" w:rsidRDefault="00A54643" w:rsidP="00854D84">
            <w:pPr>
              <w:jc w:val="center"/>
            </w:pPr>
          </w:p>
        </w:tc>
        <w:tc>
          <w:tcPr>
            <w:tcW w:w="1635" w:type="dxa"/>
            <w:gridSpan w:val="3"/>
            <w:tcBorders>
              <w:top w:val="nil"/>
              <w:left w:val="nil"/>
              <w:bottom w:val="nil"/>
              <w:right w:val="nil"/>
            </w:tcBorders>
          </w:tcPr>
          <w:p w14:paraId="5F4E1D1A" w14:textId="77777777" w:rsidR="00A54643" w:rsidRPr="00BA695B" w:rsidRDefault="00A54643" w:rsidP="00854D84">
            <w:pPr>
              <w:jc w:val="center"/>
            </w:pPr>
          </w:p>
        </w:tc>
        <w:tc>
          <w:tcPr>
            <w:tcW w:w="1635" w:type="dxa"/>
            <w:tcBorders>
              <w:top w:val="nil"/>
              <w:left w:val="nil"/>
              <w:bottom w:val="nil"/>
              <w:right w:val="nil"/>
            </w:tcBorders>
          </w:tcPr>
          <w:p w14:paraId="52BF4609" w14:textId="77777777" w:rsidR="00A54643" w:rsidRPr="00BA695B" w:rsidRDefault="00A54643" w:rsidP="00854D84">
            <w:pPr>
              <w:jc w:val="center"/>
            </w:pPr>
          </w:p>
        </w:tc>
      </w:tr>
      <w:tr w:rsidR="00A54643" w:rsidRPr="00BA695B" w14:paraId="10F976E6" w14:textId="77777777" w:rsidTr="00854D84">
        <w:tc>
          <w:tcPr>
            <w:tcW w:w="1440" w:type="dxa"/>
            <w:tcBorders>
              <w:top w:val="nil"/>
              <w:left w:val="nil"/>
              <w:bottom w:val="nil"/>
              <w:right w:val="nil"/>
            </w:tcBorders>
          </w:tcPr>
          <w:p w14:paraId="7598CA78" w14:textId="77777777" w:rsidR="00A54643" w:rsidRPr="00BA695B" w:rsidRDefault="00A54643" w:rsidP="00854D84">
            <w:r w:rsidRPr="00BA695B">
              <w:t xml:space="preserve">     ACT</w:t>
            </w:r>
          </w:p>
        </w:tc>
        <w:tc>
          <w:tcPr>
            <w:tcW w:w="1635" w:type="dxa"/>
            <w:tcBorders>
              <w:top w:val="nil"/>
              <w:left w:val="nil"/>
              <w:bottom w:val="nil"/>
              <w:right w:val="nil"/>
            </w:tcBorders>
          </w:tcPr>
          <w:p w14:paraId="019C46F2" w14:textId="77777777" w:rsidR="00A54643" w:rsidRPr="00BA695B" w:rsidRDefault="00A54643" w:rsidP="00854D84">
            <w:pPr>
              <w:jc w:val="center"/>
            </w:pPr>
            <w:r>
              <w:t>21.50 (10.47)</w:t>
            </w:r>
          </w:p>
        </w:tc>
        <w:tc>
          <w:tcPr>
            <w:tcW w:w="1635" w:type="dxa"/>
            <w:gridSpan w:val="2"/>
            <w:tcBorders>
              <w:top w:val="nil"/>
              <w:left w:val="nil"/>
              <w:bottom w:val="nil"/>
              <w:right w:val="nil"/>
            </w:tcBorders>
          </w:tcPr>
          <w:p w14:paraId="635A7460" w14:textId="77777777" w:rsidR="00A54643" w:rsidRPr="00BA695B" w:rsidRDefault="00A54643" w:rsidP="00854D84">
            <w:pPr>
              <w:jc w:val="center"/>
            </w:pPr>
            <w:r>
              <w:t>29.50 (10.43)</w:t>
            </w:r>
          </w:p>
        </w:tc>
        <w:tc>
          <w:tcPr>
            <w:tcW w:w="1635" w:type="dxa"/>
            <w:gridSpan w:val="2"/>
            <w:tcBorders>
              <w:top w:val="nil"/>
              <w:left w:val="nil"/>
              <w:bottom w:val="nil"/>
              <w:right w:val="nil"/>
            </w:tcBorders>
          </w:tcPr>
          <w:p w14:paraId="202F6523" w14:textId="77777777" w:rsidR="00A54643" w:rsidRPr="00BA695B" w:rsidRDefault="00A54643" w:rsidP="00854D84">
            <w:pPr>
              <w:jc w:val="center"/>
            </w:pPr>
            <w:r w:rsidRPr="00BA695B">
              <w:t>2</w:t>
            </w:r>
            <w:r>
              <w:t>6.59</w:t>
            </w:r>
            <w:r w:rsidRPr="00BA695B">
              <w:t xml:space="preserve"> (10.</w:t>
            </w:r>
            <w:r>
              <w:t>93</w:t>
            </w:r>
            <w:r w:rsidRPr="00BA695B">
              <w:t>)</w:t>
            </w:r>
          </w:p>
        </w:tc>
        <w:tc>
          <w:tcPr>
            <w:tcW w:w="1635" w:type="dxa"/>
            <w:gridSpan w:val="2"/>
            <w:tcBorders>
              <w:top w:val="nil"/>
              <w:left w:val="nil"/>
              <w:bottom w:val="nil"/>
              <w:right w:val="nil"/>
            </w:tcBorders>
          </w:tcPr>
          <w:p w14:paraId="5547C1FC" w14:textId="77777777" w:rsidR="00A54643" w:rsidRPr="00BA695B" w:rsidRDefault="00A54643" w:rsidP="00854D84">
            <w:pPr>
              <w:jc w:val="center"/>
            </w:pPr>
            <w:r>
              <w:t>19.07 (8.63)</w:t>
            </w:r>
          </w:p>
        </w:tc>
        <w:tc>
          <w:tcPr>
            <w:tcW w:w="1635" w:type="dxa"/>
            <w:gridSpan w:val="3"/>
            <w:tcBorders>
              <w:top w:val="nil"/>
              <w:left w:val="nil"/>
              <w:bottom w:val="nil"/>
              <w:right w:val="nil"/>
            </w:tcBorders>
          </w:tcPr>
          <w:p w14:paraId="3CE9CB52" w14:textId="77777777" w:rsidR="00A54643" w:rsidRPr="00BA695B" w:rsidRDefault="00A54643" w:rsidP="00854D84">
            <w:pPr>
              <w:jc w:val="center"/>
            </w:pPr>
            <w:r>
              <w:t>19.00 (8.28)</w:t>
            </w:r>
          </w:p>
        </w:tc>
        <w:tc>
          <w:tcPr>
            <w:tcW w:w="1635" w:type="dxa"/>
            <w:tcBorders>
              <w:top w:val="nil"/>
              <w:left w:val="nil"/>
              <w:bottom w:val="nil"/>
              <w:right w:val="nil"/>
            </w:tcBorders>
          </w:tcPr>
          <w:p w14:paraId="7029DC68" w14:textId="77777777" w:rsidR="00A54643" w:rsidRPr="00BA695B" w:rsidRDefault="00A54643" w:rsidP="00854D84">
            <w:pPr>
              <w:jc w:val="center"/>
            </w:pPr>
            <w:r w:rsidRPr="00BA695B">
              <w:t>19.03 (8.14)</w:t>
            </w:r>
          </w:p>
        </w:tc>
      </w:tr>
      <w:tr w:rsidR="00A54643" w:rsidRPr="00BA695B" w14:paraId="78DF60A4" w14:textId="77777777" w:rsidTr="00854D84">
        <w:tc>
          <w:tcPr>
            <w:tcW w:w="1440" w:type="dxa"/>
            <w:tcBorders>
              <w:top w:val="nil"/>
              <w:left w:val="nil"/>
              <w:bottom w:val="nil"/>
              <w:right w:val="nil"/>
            </w:tcBorders>
          </w:tcPr>
          <w:p w14:paraId="4D53056F" w14:textId="77777777" w:rsidR="00A54643" w:rsidRPr="00BA695B" w:rsidRDefault="00A54643" w:rsidP="00854D84">
            <w:r w:rsidRPr="00BA695B">
              <w:t xml:space="preserve">     Waitlist</w:t>
            </w:r>
          </w:p>
        </w:tc>
        <w:tc>
          <w:tcPr>
            <w:tcW w:w="1635" w:type="dxa"/>
            <w:tcBorders>
              <w:top w:val="nil"/>
              <w:left w:val="nil"/>
              <w:bottom w:val="nil"/>
              <w:right w:val="nil"/>
            </w:tcBorders>
          </w:tcPr>
          <w:p w14:paraId="05044FCA" w14:textId="77777777" w:rsidR="00A54643" w:rsidRPr="00BA695B" w:rsidRDefault="00A54643" w:rsidP="00854D84">
            <w:pPr>
              <w:jc w:val="center"/>
            </w:pPr>
            <w:r>
              <w:t>25.67 (10.44)</w:t>
            </w:r>
          </w:p>
        </w:tc>
        <w:tc>
          <w:tcPr>
            <w:tcW w:w="1635" w:type="dxa"/>
            <w:gridSpan w:val="2"/>
            <w:tcBorders>
              <w:top w:val="nil"/>
              <w:left w:val="nil"/>
              <w:bottom w:val="nil"/>
              <w:right w:val="nil"/>
            </w:tcBorders>
          </w:tcPr>
          <w:p w14:paraId="1175B168" w14:textId="77777777" w:rsidR="00A54643" w:rsidRPr="00BA695B" w:rsidRDefault="00A54643" w:rsidP="00854D84">
            <w:pPr>
              <w:jc w:val="center"/>
            </w:pPr>
            <w:r>
              <w:t>30.64 (8.33)</w:t>
            </w:r>
          </w:p>
        </w:tc>
        <w:tc>
          <w:tcPr>
            <w:tcW w:w="1635" w:type="dxa"/>
            <w:gridSpan w:val="2"/>
            <w:tcBorders>
              <w:top w:val="nil"/>
              <w:left w:val="nil"/>
              <w:bottom w:val="nil"/>
              <w:right w:val="nil"/>
            </w:tcBorders>
          </w:tcPr>
          <w:p w14:paraId="6B239F05" w14:textId="77777777" w:rsidR="00A54643" w:rsidRPr="00BA695B" w:rsidRDefault="00A54643" w:rsidP="00854D84">
            <w:pPr>
              <w:jc w:val="center"/>
            </w:pPr>
            <w:r w:rsidRPr="00BA695B">
              <w:t>2</w:t>
            </w:r>
            <w:r>
              <w:t>8.88</w:t>
            </w:r>
            <w:r w:rsidRPr="00BA695B">
              <w:t xml:space="preserve"> (</w:t>
            </w:r>
            <w:r>
              <w:t>9.14</w:t>
            </w:r>
            <w:r w:rsidRPr="00BA695B">
              <w:t>)</w:t>
            </w:r>
          </w:p>
        </w:tc>
        <w:tc>
          <w:tcPr>
            <w:tcW w:w="1635" w:type="dxa"/>
            <w:gridSpan w:val="2"/>
            <w:tcBorders>
              <w:top w:val="nil"/>
              <w:left w:val="nil"/>
              <w:bottom w:val="nil"/>
              <w:right w:val="nil"/>
            </w:tcBorders>
          </w:tcPr>
          <w:p w14:paraId="50988484" w14:textId="77777777" w:rsidR="00A54643" w:rsidRPr="00BA695B" w:rsidRDefault="00A54643" w:rsidP="00854D84">
            <w:pPr>
              <w:jc w:val="center"/>
            </w:pPr>
            <w:r>
              <w:t>22.50 (9.75)</w:t>
            </w:r>
          </w:p>
        </w:tc>
        <w:tc>
          <w:tcPr>
            <w:tcW w:w="1635" w:type="dxa"/>
            <w:gridSpan w:val="3"/>
            <w:tcBorders>
              <w:top w:val="nil"/>
              <w:left w:val="nil"/>
              <w:bottom w:val="nil"/>
              <w:right w:val="nil"/>
            </w:tcBorders>
          </w:tcPr>
          <w:p w14:paraId="0620A5FB" w14:textId="77777777" w:rsidR="00A54643" w:rsidRPr="00BA695B" w:rsidRDefault="00A54643" w:rsidP="00854D84">
            <w:pPr>
              <w:jc w:val="center"/>
            </w:pPr>
            <w:r>
              <w:t>30.00 (6.99)</w:t>
            </w:r>
          </w:p>
        </w:tc>
        <w:tc>
          <w:tcPr>
            <w:tcW w:w="1635" w:type="dxa"/>
            <w:tcBorders>
              <w:top w:val="nil"/>
              <w:left w:val="nil"/>
              <w:bottom w:val="nil"/>
              <w:right w:val="nil"/>
            </w:tcBorders>
          </w:tcPr>
          <w:p w14:paraId="2D8C427C" w14:textId="77777777" w:rsidR="00A54643" w:rsidRPr="00BA695B" w:rsidRDefault="00A54643" w:rsidP="00854D84">
            <w:pPr>
              <w:jc w:val="center"/>
            </w:pPr>
            <w:r w:rsidRPr="00BA695B">
              <w:t>27.00 (8.14)</w:t>
            </w:r>
          </w:p>
        </w:tc>
      </w:tr>
      <w:tr w:rsidR="00A54643" w:rsidRPr="00BA695B" w14:paraId="7C4D3429" w14:textId="77777777" w:rsidTr="00854D84">
        <w:tc>
          <w:tcPr>
            <w:tcW w:w="1440" w:type="dxa"/>
            <w:tcBorders>
              <w:top w:val="nil"/>
              <w:left w:val="nil"/>
              <w:bottom w:val="nil"/>
              <w:right w:val="nil"/>
            </w:tcBorders>
          </w:tcPr>
          <w:p w14:paraId="2C8B6C5D" w14:textId="77777777" w:rsidR="00A54643" w:rsidRPr="00BA695B" w:rsidRDefault="00A54643" w:rsidP="00854D84">
            <w:r w:rsidRPr="00BA695B">
              <w:t>Hairs pulled</w:t>
            </w:r>
          </w:p>
        </w:tc>
        <w:tc>
          <w:tcPr>
            <w:tcW w:w="1635" w:type="dxa"/>
            <w:tcBorders>
              <w:top w:val="nil"/>
              <w:left w:val="nil"/>
              <w:bottom w:val="nil"/>
              <w:right w:val="nil"/>
            </w:tcBorders>
          </w:tcPr>
          <w:p w14:paraId="7BC8FE21" w14:textId="77777777" w:rsidR="00A54643" w:rsidRPr="00BA695B" w:rsidRDefault="00A54643" w:rsidP="00854D84">
            <w:pPr>
              <w:jc w:val="center"/>
            </w:pPr>
          </w:p>
        </w:tc>
        <w:tc>
          <w:tcPr>
            <w:tcW w:w="1635" w:type="dxa"/>
            <w:gridSpan w:val="2"/>
            <w:tcBorders>
              <w:top w:val="nil"/>
              <w:left w:val="nil"/>
              <w:bottom w:val="nil"/>
              <w:right w:val="nil"/>
            </w:tcBorders>
          </w:tcPr>
          <w:p w14:paraId="68CA29BA" w14:textId="77777777" w:rsidR="00A54643" w:rsidRPr="00BA695B" w:rsidRDefault="00A54643" w:rsidP="00854D84">
            <w:pPr>
              <w:jc w:val="center"/>
            </w:pPr>
          </w:p>
        </w:tc>
        <w:tc>
          <w:tcPr>
            <w:tcW w:w="1635" w:type="dxa"/>
            <w:gridSpan w:val="2"/>
            <w:tcBorders>
              <w:top w:val="nil"/>
              <w:left w:val="nil"/>
              <w:bottom w:val="nil"/>
              <w:right w:val="nil"/>
            </w:tcBorders>
          </w:tcPr>
          <w:p w14:paraId="2EAFBA95" w14:textId="77777777" w:rsidR="00A54643" w:rsidRPr="00BA695B" w:rsidRDefault="00A54643" w:rsidP="00854D84">
            <w:pPr>
              <w:jc w:val="center"/>
            </w:pPr>
          </w:p>
        </w:tc>
        <w:tc>
          <w:tcPr>
            <w:tcW w:w="1635" w:type="dxa"/>
            <w:gridSpan w:val="2"/>
            <w:tcBorders>
              <w:top w:val="nil"/>
              <w:left w:val="nil"/>
              <w:bottom w:val="nil"/>
              <w:right w:val="nil"/>
            </w:tcBorders>
          </w:tcPr>
          <w:p w14:paraId="2695C331" w14:textId="77777777" w:rsidR="00A54643" w:rsidRPr="00BA695B" w:rsidRDefault="00A54643" w:rsidP="00854D84">
            <w:pPr>
              <w:jc w:val="center"/>
            </w:pPr>
          </w:p>
        </w:tc>
        <w:tc>
          <w:tcPr>
            <w:tcW w:w="1635" w:type="dxa"/>
            <w:gridSpan w:val="3"/>
            <w:tcBorders>
              <w:top w:val="nil"/>
              <w:left w:val="nil"/>
              <w:bottom w:val="nil"/>
              <w:right w:val="nil"/>
            </w:tcBorders>
          </w:tcPr>
          <w:p w14:paraId="5A6DF934" w14:textId="77777777" w:rsidR="00A54643" w:rsidRPr="00BA695B" w:rsidRDefault="00A54643" w:rsidP="00854D84">
            <w:pPr>
              <w:jc w:val="center"/>
            </w:pPr>
          </w:p>
        </w:tc>
        <w:tc>
          <w:tcPr>
            <w:tcW w:w="1635" w:type="dxa"/>
            <w:tcBorders>
              <w:top w:val="nil"/>
              <w:left w:val="nil"/>
              <w:bottom w:val="nil"/>
              <w:right w:val="nil"/>
            </w:tcBorders>
          </w:tcPr>
          <w:p w14:paraId="47FE27E4" w14:textId="77777777" w:rsidR="00A54643" w:rsidRPr="00BA695B" w:rsidRDefault="00A54643" w:rsidP="00854D84">
            <w:pPr>
              <w:jc w:val="center"/>
            </w:pPr>
          </w:p>
        </w:tc>
      </w:tr>
      <w:tr w:rsidR="00A54643" w:rsidRPr="00BA695B" w14:paraId="2E334318" w14:textId="77777777" w:rsidTr="00854D84">
        <w:tc>
          <w:tcPr>
            <w:tcW w:w="1440" w:type="dxa"/>
            <w:tcBorders>
              <w:top w:val="nil"/>
              <w:left w:val="nil"/>
              <w:bottom w:val="nil"/>
              <w:right w:val="nil"/>
            </w:tcBorders>
          </w:tcPr>
          <w:p w14:paraId="38D6FD09" w14:textId="77777777" w:rsidR="00A54643" w:rsidRPr="00BA695B" w:rsidRDefault="00A54643" w:rsidP="00854D84">
            <w:r w:rsidRPr="00BA695B">
              <w:t xml:space="preserve">     ACT</w:t>
            </w:r>
          </w:p>
        </w:tc>
        <w:tc>
          <w:tcPr>
            <w:tcW w:w="1635" w:type="dxa"/>
            <w:tcBorders>
              <w:top w:val="nil"/>
              <w:left w:val="nil"/>
              <w:bottom w:val="nil"/>
              <w:right w:val="nil"/>
            </w:tcBorders>
          </w:tcPr>
          <w:p w14:paraId="2AB60ABA" w14:textId="77777777" w:rsidR="00A54643" w:rsidRPr="00BA695B" w:rsidRDefault="00A54643" w:rsidP="00854D84">
            <w:pPr>
              <w:jc w:val="center"/>
            </w:pPr>
            <w:r>
              <w:t>8.35 (7.42)</w:t>
            </w:r>
          </w:p>
        </w:tc>
        <w:tc>
          <w:tcPr>
            <w:tcW w:w="1635" w:type="dxa"/>
            <w:gridSpan w:val="2"/>
            <w:tcBorders>
              <w:top w:val="nil"/>
              <w:left w:val="nil"/>
              <w:bottom w:val="nil"/>
              <w:right w:val="nil"/>
            </w:tcBorders>
          </w:tcPr>
          <w:p w14:paraId="24C64DD9" w14:textId="77777777" w:rsidR="00A54643" w:rsidRDefault="00A54643" w:rsidP="00854D84">
            <w:pPr>
              <w:jc w:val="center"/>
            </w:pPr>
            <w:r>
              <w:t>18.57 (22.37)</w:t>
            </w:r>
          </w:p>
        </w:tc>
        <w:tc>
          <w:tcPr>
            <w:tcW w:w="1635" w:type="dxa"/>
            <w:gridSpan w:val="2"/>
            <w:tcBorders>
              <w:top w:val="nil"/>
              <w:left w:val="nil"/>
              <w:bottom w:val="nil"/>
              <w:right w:val="nil"/>
            </w:tcBorders>
          </w:tcPr>
          <w:p w14:paraId="66A55439" w14:textId="77777777" w:rsidR="00A54643" w:rsidRDefault="00A54643" w:rsidP="00854D84">
            <w:pPr>
              <w:jc w:val="center"/>
            </w:pPr>
            <w:r>
              <w:t>14.67 (18.59)</w:t>
            </w:r>
          </w:p>
        </w:tc>
        <w:tc>
          <w:tcPr>
            <w:tcW w:w="1635" w:type="dxa"/>
            <w:gridSpan w:val="2"/>
            <w:tcBorders>
              <w:top w:val="nil"/>
              <w:left w:val="nil"/>
              <w:bottom w:val="nil"/>
              <w:right w:val="nil"/>
            </w:tcBorders>
          </w:tcPr>
          <w:p w14:paraId="6F9CF91A" w14:textId="77777777" w:rsidR="00A54643" w:rsidRPr="00BA695B" w:rsidRDefault="00A54643" w:rsidP="00854D84">
            <w:pPr>
              <w:jc w:val="center"/>
            </w:pPr>
            <w:r>
              <w:t>8.68 (9.79)</w:t>
            </w:r>
          </w:p>
        </w:tc>
        <w:tc>
          <w:tcPr>
            <w:tcW w:w="1635" w:type="dxa"/>
            <w:gridSpan w:val="3"/>
            <w:tcBorders>
              <w:top w:val="nil"/>
              <w:left w:val="nil"/>
              <w:bottom w:val="nil"/>
              <w:right w:val="nil"/>
            </w:tcBorders>
          </w:tcPr>
          <w:p w14:paraId="740D57F3" w14:textId="77777777" w:rsidR="00A54643" w:rsidRDefault="00A54643" w:rsidP="00854D84">
            <w:pPr>
              <w:jc w:val="center"/>
            </w:pPr>
            <w:r>
              <w:t>1.84 (3.07)</w:t>
            </w:r>
          </w:p>
        </w:tc>
        <w:tc>
          <w:tcPr>
            <w:tcW w:w="1635" w:type="dxa"/>
            <w:tcBorders>
              <w:top w:val="nil"/>
              <w:left w:val="nil"/>
              <w:bottom w:val="nil"/>
              <w:right w:val="nil"/>
            </w:tcBorders>
          </w:tcPr>
          <w:p w14:paraId="3EF3E8B5" w14:textId="77777777" w:rsidR="00A54643" w:rsidRDefault="00A54643" w:rsidP="00854D84">
            <w:pPr>
              <w:jc w:val="center"/>
            </w:pPr>
            <w:r>
              <w:t>5.03 (7.63)</w:t>
            </w:r>
          </w:p>
        </w:tc>
      </w:tr>
      <w:tr w:rsidR="00A54643" w:rsidRPr="00BA695B" w14:paraId="27C05340" w14:textId="77777777" w:rsidTr="00854D84">
        <w:tc>
          <w:tcPr>
            <w:tcW w:w="1440" w:type="dxa"/>
            <w:tcBorders>
              <w:top w:val="nil"/>
              <w:left w:val="nil"/>
              <w:bottom w:val="nil"/>
              <w:right w:val="nil"/>
            </w:tcBorders>
          </w:tcPr>
          <w:p w14:paraId="7FA1B34D" w14:textId="77777777" w:rsidR="00A54643" w:rsidRPr="00BA695B" w:rsidRDefault="00A54643" w:rsidP="00854D84">
            <w:r w:rsidRPr="00BA695B">
              <w:t xml:space="preserve">     Waitlist</w:t>
            </w:r>
          </w:p>
        </w:tc>
        <w:tc>
          <w:tcPr>
            <w:tcW w:w="1635" w:type="dxa"/>
            <w:tcBorders>
              <w:top w:val="nil"/>
              <w:left w:val="nil"/>
              <w:bottom w:val="nil"/>
              <w:right w:val="nil"/>
            </w:tcBorders>
          </w:tcPr>
          <w:p w14:paraId="79688B07" w14:textId="77777777" w:rsidR="00A54643" w:rsidRPr="00BA695B" w:rsidRDefault="00A54643" w:rsidP="00854D84">
            <w:pPr>
              <w:jc w:val="center"/>
            </w:pPr>
            <w:r>
              <w:t>21.03 (19.67)</w:t>
            </w:r>
          </w:p>
        </w:tc>
        <w:tc>
          <w:tcPr>
            <w:tcW w:w="1635" w:type="dxa"/>
            <w:gridSpan w:val="2"/>
            <w:tcBorders>
              <w:top w:val="nil"/>
              <w:left w:val="nil"/>
              <w:bottom w:val="nil"/>
              <w:right w:val="nil"/>
            </w:tcBorders>
          </w:tcPr>
          <w:p w14:paraId="3AAA87B3" w14:textId="77777777" w:rsidR="00A54643" w:rsidRDefault="00A54643" w:rsidP="00854D84">
            <w:pPr>
              <w:jc w:val="center"/>
            </w:pPr>
            <w:r>
              <w:t>24.29 (20.34)</w:t>
            </w:r>
          </w:p>
        </w:tc>
        <w:tc>
          <w:tcPr>
            <w:tcW w:w="1635" w:type="dxa"/>
            <w:gridSpan w:val="2"/>
            <w:tcBorders>
              <w:top w:val="nil"/>
              <w:left w:val="nil"/>
              <w:bottom w:val="nil"/>
              <w:right w:val="nil"/>
            </w:tcBorders>
          </w:tcPr>
          <w:p w14:paraId="3B24B71E" w14:textId="77777777" w:rsidR="00A54643" w:rsidRDefault="00A54643" w:rsidP="00854D84">
            <w:pPr>
              <w:jc w:val="center"/>
            </w:pPr>
            <w:r>
              <w:t>23.14 (19.55)</w:t>
            </w:r>
          </w:p>
        </w:tc>
        <w:tc>
          <w:tcPr>
            <w:tcW w:w="1635" w:type="dxa"/>
            <w:gridSpan w:val="2"/>
            <w:tcBorders>
              <w:top w:val="nil"/>
              <w:left w:val="nil"/>
              <w:bottom w:val="nil"/>
              <w:right w:val="nil"/>
            </w:tcBorders>
          </w:tcPr>
          <w:p w14:paraId="0A91D29E" w14:textId="77777777" w:rsidR="00A54643" w:rsidRPr="00BA695B" w:rsidRDefault="00A54643" w:rsidP="00854D84">
            <w:pPr>
              <w:jc w:val="center"/>
            </w:pPr>
            <w:r>
              <w:t>15.35 (13.40)</w:t>
            </w:r>
          </w:p>
        </w:tc>
        <w:tc>
          <w:tcPr>
            <w:tcW w:w="1635" w:type="dxa"/>
            <w:gridSpan w:val="3"/>
            <w:tcBorders>
              <w:top w:val="nil"/>
              <w:left w:val="nil"/>
              <w:bottom w:val="nil"/>
              <w:right w:val="nil"/>
            </w:tcBorders>
          </w:tcPr>
          <w:p w14:paraId="1749AD46" w14:textId="77777777" w:rsidR="00A54643" w:rsidRDefault="00A54643" w:rsidP="00854D84">
            <w:pPr>
              <w:jc w:val="center"/>
            </w:pPr>
            <w:r>
              <w:t>19.87 (20.74)</w:t>
            </w:r>
          </w:p>
        </w:tc>
        <w:tc>
          <w:tcPr>
            <w:tcW w:w="1635" w:type="dxa"/>
            <w:tcBorders>
              <w:top w:val="nil"/>
              <w:left w:val="nil"/>
              <w:bottom w:val="nil"/>
              <w:right w:val="nil"/>
            </w:tcBorders>
          </w:tcPr>
          <w:p w14:paraId="008920EA" w14:textId="77777777" w:rsidR="00A54643" w:rsidRDefault="00A54643" w:rsidP="00854D84">
            <w:pPr>
              <w:jc w:val="center"/>
            </w:pPr>
            <w:r>
              <w:t>18.06 (17.44)</w:t>
            </w:r>
          </w:p>
        </w:tc>
      </w:tr>
      <w:tr w:rsidR="00A54643" w:rsidRPr="00BA695B" w14:paraId="1C18ECEF" w14:textId="77777777" w:rsidTr="00854D84">
        <w:tc>
          <w:tcPr>
            <w:tcW w:w="1440" w:type="dxa"/>
            <w:tcBorders>
              <w:top w:val="nil"/>
              <w:left w:val="nil"/>
              <w:bottom w:val="nil"/>
              <w:right w:val="nil"/>
            </w:tcBorders>
          </w:tcPr>
          <w:p w14:paraId="18469878" w14:textId="77777777" w:rsidR="00A54643" w:rsidRPr="00BA695B" w:rsidRDefault="00A54643" w:rsidP="00854D84">
            <w:r w:rsidRPr="00BA695B">
              <w:t>Urges</w:t>
            </w:r>
          </w:p>
        </w:tc>
        <w:tc>
          <w:tcPr>
            <w:tcW w:w="1635" w:type="dxa"/>
            <w:tcBorders>
              <w:top w:val="nil"/>
              <w:left w:val="nil"/>
              <w:bottom w:val="nil"/>
              <w:right w:val="nil"/>
            </w:tcBorders>
          </w:tcPr>
          <w:p w14:paraId="6753E6E1" w14:textId="77777777" w:rsidR="00A54643" w:rsidRPr="00BA695B" w:rsidRDefault="00A54643" w:rsidP="00854D84">
            <w:pPr>
              <w:jc w:val="center"/>
            </w:pPr>
          </w:p>
        </w:tc>
        <w:tc>
          <w:tcPr>
            <w:tcW w:w="1635" w:type="dxa"/>
            <w:gridSpan w:val="2"/>
            <w:tcBorders>
              <w:top w:val="nil"/>
              <w:left w:val="nil"/>
              <w:bottom w:val="nil"/>
              <w:right w:val="nil"/>
            </w:tcBorders>
          </w:tcPr>
          <w:p w14:paraId="18CD3F89" w14:textId="77777777" w:rsidR="00A54643" w:rsidRPr="00BA695B" w:rsidRDefault="00A54643" w:rsidP="00854D84">
            <w:pPr>
              <w:jc w:val="center"/>
            </w:pPr>
          </w:p>
        </w:tc>
        <w:tc>
          <w:tcPr>
            <w:tcW w:w="1635" w:type="dxa"/>
            <w:gridSpan w:val="2"/>
            <w:tcBorders>
              <w:top w:val="nil"/>
              <w:left w:val="nil"/>
              <w:bottom w:val="nil"/>
              <w:right w:val="nil"/>
            </w:tcBorders>
          </w:tcPr>
          <w:p w14:paraId="150B3B3F" w14:textId="77777777" w:rsidR="00A54643" w:rsidRPr="00BA695B" w:rsidRDefault="00A54643" w:rsidP="00854D84">
            <w:pPr>
              <w:jc w:val="center"/>
            </w:pPr>
          </w:p>
        </w:tc>
        <w:tc>
          <w:tcPr>
            <w:tcW w:w="1635" w:type="dxa"/>
            <w:gridSpan w:val="2"/>
            <w:tcBorders>
              <w:top w:val="nil"/>
              <w:left w:val="nil"/>
              <w:bottom w:val="nil"/>
              <w:right w:val="nil"/>
            </w:tcBorders>
          </w:tcPr>
          <w:p w14:paraId="6AEC9682" w14:textId="77777777" w:rsidR="00A54643" w:rsidRPr="00BA695B" w:rsidRDefault="00A54643" w:rsidP="00854D84">
            <w:pPr>
              <w:jc w:val="center"/>
            </w:pPr>
          </w:p>
        </w:tc>
        <w:tc>
          <w:tcPr>
            <w:tcW w:w="1635" w:type="dxa"/>
            <w:gridSpan w:val="3"/>
            <w:tcBorders>
              <w:top w:val="nil"/>
              <w:left w:val="nil"/>
              <w:bottom w:val="nil"/>
              <w:right w:val="nil"/>
            </w:tcBorders>
          </w:tcPr>
          <w:p w14:paraId="1156E307" w14:textId="77777777" w:rsidR="00A54643" w:rsidRPr="00BA695B" w:rsidRDefault="00A54643" w:rsidP="00854D84">
            <w:pPr>
              <w:jc w:val="center"/>
            </w:pPr>
          </w:p>
        </w:tc>
        <w:tc>
          <w:tcPr>
            <w:tcW w:w="1635" w:type="dxa"/>
            <w:tcBorders>
              <w:top w:val="nil"/>
              <w:left w:val="nil"/>
              <w:bottom w:val="nil"/>
              <w:right w:val="nil"/>
            </w:tcBorders>
          </w:tcPr>
          <w:p w14:paraId="4D50494D" w14:textId="77777777" w:rsidR="00A54643" w:rsidRPr="00BA695B" w:rsidRDefault="00A54643" w:rsidP="00854D84">
            <w:pPr>
              <w:jc w:val="center"/>
            </w:pPr>
          </w:p>
        </w:tc>
      </w:tr>
      <w:tr w:rsidR="00A54643" w:rsidRPr="00BA695B" w14:paraId="6D4C5466" w14:textId="77777777" w:rsidTr="00854D84">
        <w:tc>
          <w:tcPr>
            <w:tcW w:w="1440" w:type="dxa"/>
            <w:tcBorders>
              <w:top w:val="nil"/>
              <w:left w:val="nil"/>
              <w:bottom w:val="nil"/>
              <w:right w:val="nil"/>
            </w:tcBorders>
          </w:tcPr>
          <w:p w14:paraId="03465E20" w14:textId="77777777" w:rsidR="00A54643" w:rsidRPr="00BA695B" w:rsidRDefault="00A54643" w:rsidP="00854D84">
            <w:r w:rsidRPr="00BA695B">
              <w:t xml:space="preserve">     ACT</w:t>
            </w:r>
          </w:p>
        </w:tc>
        <w:tc>
          <w:tcPr>
            <w:tcW w:w="1635" w:type="dxa"/>
            <w:tcBorders>
              <w:top w:val="nil"/>
              <w:left w:val="nil"/>
              <w:bottom w:val="nil"/>
              <w:right w:val="nil"/>
            </w:tcBorders>
          </w:tcPr>
          <w:p w14:paraId="3D95A82C" w14:textId="77777777" w:rsidR="00A54643" w:rsidRPr="00BA695B" w:rsidRDefault="00A54643" w:rsidP="00854D84">
            <w:pPr>
              <w:jc w:val="center"/>
            </w:pPr>
            <w:r>
              <w:t>3.86 (2.73)</w:t>
            </w:r>
          </w:p>
        </w:tc>
        <w:tc>
          <w:tcPr>
            <w:tcW w:w="1635" w:type="dxa"/>
            <w:gridSpan w:val="2"/>
            <w:tcBorders>
              <w:top w:val="nil"/>
              <w:left w:val="nil"/>
              <w:bottom w:val="nil"/>
              <w:right w:val="nil"/>
            </w:tcBorders>
          </w:tcPr>
          <w:p w14:paraId="316182D1" w14:textId="77777777" w:rsidR="00A54643" w:rsidRDefault="00A54643" w:rsidP="00854D84">
            <w:pPr>
              <w:jc w:val="center"/>
            </w:pPr>
            <w:r>
              <w:t>7.15 (4.96)</w:t>
            </w:r>
          </w:p>
        </w:tc>
        <w:tc>
          <w:tcPr>
            <w:tcW w:w="1635" w:type="dxa"/>
            <w:gridSpan w:val="2"/>
            <w:tcBorders>
              <w:top w:val="nil"/>
              <w:left w:val="nil"/>
              <w:bottom w:val="nil"/>
              <w:right w:val="nil"/>
            </w:tcBorders>
          </w:tcPr>
          <w:p w14:paraId="04E46CD0" w14:textId="77777777" w:rsidR="00A54643" w:rsidRDefault="00A54643" w:rsidP="00854D84">
            <w:pPr>
              <w:jc w:val="center"/>
            </w:pPr>
            <w:r>
              <w:t>5.90 (4.48)</w:t>
            </w:r>
          </w:p>
        </w:tc>
        <w:tc>
          <w:tcPr>
            <w:tcW w:w="1635" w:type="dxa"/>
            <w:gridSpan w:val="2"/>
            <w:tcBorders>
              <w:top w:val="nil"/>
              <w:left w:val="nil"/>
              <w:bottom w:val="nil"/>
              <w:right w:val="nil"/>
            </w:tcBorders>
          </w:tcPr>
          <w:p w14:paraId="4A2F15B8" w14:textId="77777777" w:rsidR="00A54643" w:rsidRPr="00BA695B" w:rsidRDefault="00A54643" w:rsidP="00854D84">
            <w:pPr>
              <w:jc w:val="center"/>
            </w:pPr>
            <w:r>
              <w:t>8.50 (9.73)</w:t>
            </w:r>
          </w:p>
        </w:tc>
        <w:tc>
          <w:tcPr>
            <w:tcW w:w="1635" w:type="dxa"/>
            <w:gridSpan w:val="3"/>
            <w:tcBorders>
              <w:top w:val="nil"/>
              <w:left w:val="nil"/>
              <w:bottom w:val="nil"/>
              <w:right w:val="nil"/>
            </w:tcBorders>
          </w:tcPr>
          <w:p w14:paraId="0B61097E" w14:textId="77777777" w:rsidR="00A54643" w:rsidRDefault="00A54643" w:rsidP="00854D84">
            <w:pPr>
              <w:jc w:val="center"/>
            </w:pPr>
            <w:r>
              <w:t>9.44 (11.41)</w:t>
            </w:r>
          </w:p>
        </w:tc>
        <w:tc>
          <w:tcPr>
            <w:tcW w:w="1635" w:type="dxa"/>
            <w:tcBorders>
              <w:top w:val="nil"/>
              <w:left w:val="nil"/>
              <w:bottom w:val="nil"/>
              <w:right w:val="nil"/>
            </w:tcBorders>
          </w:tcPr>
          <w:p w14:paraId="24B5CB7E" w14:textId="77777777" w:rsidR="00A54643" w:rsidRDefault="00A54643" w:rsidP="00854D84">
            <w:pPr>
              <w:jc w:val="center"/>
            </w:pPr>
            <w:r>
              <w:t>9.00 (10.29)</w:t>
            </w:r>
          </w:p>
        </w:tc>
      </w:tr>
      <w:tr w:rsidR="00A54643" w:rsidRPr="00BA695B" w14:paraId="5A5D3B02" w14:textId="77777777" w:rsidTr="00854D84">
        <w:trPr>
          <w:trHeight w:val="306"/>
        </w:trPr>
        <w:tc>
          <w:tcPr>
            <w:tcW w:w="1440" w:type="dxa"/>
            <w:tcBorders>
              <w:top w:val="nil"/>
              <w:left w:val="nil"/>
              <w:bottom w:val="single" w:sz="4" w:space="0" w:color="auto"/>
              <w:right w:val="nil"/>
            </w:tcBorders>
          </w:tcPr>
          <w:p w14:paraId="244EACAA" w14:textId="77777777" w:rsidR="00A54643" w:rsidRPr="00BA695B" w:rsidRDefault="00A54643" w:rsidP="00854D84">
            <w:r w:rsidRPr="00BA695B">
              <w:t xml:space="preserve">     Waitlist</w:t>
            </w:r>
          </w:p>
        </w:tc>
        <w:tc>
          <w:tcPr>
            <w:tcW w:w="1635" w:type="dxa"/>
            <w:tcBorders>
              <w:top w:val="nil"/>
              <w:left w:val="nil"/>
              <w:bottom w:val="single" w:sz="4" w:space="0" w:color="auto"/>
              <w:right w:val="nil"/>
            </w:tcBorders>
          </w:tcPr>
          <w:p w14:paraId="7942C6E7" w14:textId="77777777" w:rsidR="00A54643" w:rsidRPr="00BA695B" w:rsidRDefault="00A54643" w:rsidP="00854D84">
            <w:pPr>
              <w:jc w:val="center"/>
            </w:pPr>
            <w:r>
              <w:t>2.23 (0.83)</w:t>
            </w:r>
          </w:p>
        </w:tc>
        <w:tc>
          <w:tcPr>
            <w:tcW w:w="1635" w:type="dxa"/>
            <w:gridSpan w:val="2"/>
            <w:tcBorders>
              <w:top w:val="nil"/>
              <w:left w:val="nil"/>
              <w:bottom w:val="single" w:sz="4" w:space="0" w:color="auto"/>
              <w:right w:val="nil"/>
            </w:tcBorders>
          </w:tcPr>
          <w:p w14:paraId="11D58142" w14:textId="77777777" w:rsidR="00A54643" w:rsidRDefault="00A54643" w:rsidP="00854D84">
            <w:pPr>
              <w:jc w:val="center"/>
            </w:pPr>
            <w:r>
              <w:t>11.44 (11.91)</w:t>
            </w:r>
          </w:p>
        </w:tc>
        <w:tc>
          <w:tcPr>
            <w:tcW w:w="1635" w:type="dxa"/>
            <w:gridSpan w:val="2"/>
            <w:tcBorders>
              <w:top w:val="nil"/>
              <w:left w:val="nil"/>
              <w:bottom w:val="single" w:sz="4" w:space="0" w:color="auto"/>
              <w:right w:val="nil"/>
            </w:tcBorders>
          </w:tcPr>
          <w:p w14:paraId="46CC85D6" w14:textId="77777777" w:rsidR="00A54643" w:rsidRDefault="00A54643" w:rsidP="00854D84">
            <w:pPr>
              <w:jc w:val="center"/>
            </w:pPr>
            <w:r>
              <w:t>8.19 (10.46)</w:t>
            </w:r>
          </w:p>
        </w:tc>
        <w:tc>
          <w:tcPr>
            <w:tcW w:w="1635" w:type="dxa"/>
            <w:gridSpan w:val="2"/>
            <w:tcBorders>
              <w:top w:val="nil"/>
              <w:left w:val="nil"/>
              <w:bottom w:val="single" w:sz="4" w:space="0" w:color="auto"/>
              <w:right w:val="nil"/>
            </w:tcBorders>
          </w:tcPr>
          <w:p w14:paraId="2F3739CF" w14:textId="77777777" w:rsidR="00A54643" w:rsidRPr="00BA695B" w:rsidRDefault="00A54643" w:rsidP="00854D84">
            <w:pPr>
              <w:jc w:val="center"/>
            </w:pPr>
            <w:r>
              <w:t>5.68 (2.34)</w:t>
            </w:r>
          </w:p>
        </w:tc>
        <w:tc>
          <w:tcPr>
            <w:tcW w:w="1635" w:type="dxa"/>
            <w:gridSpan w:val="3"/>
            <w:tcBorders>
              <w:top w:val="nil"/>
              <w:left w:val="nil"/>
              <w:bottom w:val="single" w:sz="4" w:space="0" w:color="auto"/>
              <w:right w:val="nil"/>
            </w:tcBorders>
          </w:tcPr>
          <w:p w14:paraId="74B19695" w14:textId="77777777" w:rsidR="00A54643" w:rsidRDefault="00A54643" w:rsidP="00854D84">
            <w:pPr>
              <w:jc w:val="center"/>
            </w:pPr>
            <w:r>
              <w:t>8.70 (14.39)</w:t>
            </w:r>
          </w:p>
        </w:tc>
        <w:tc>
          <w:tcPr>
            <w:tcW w:w="1635" w:type="dxa"/>
            <w:tcBorders>
              <w:top w:val="nil"/>
              <w:left w:val="nil"/>
              <w:bottom w:val="single" w:sz="4" w:space="0" w:color="auto"/>
              <w:right w:val="nil"/>
            </w:tcBorders>
          </w:tcPr>
          <w:p w14:paraId="5BEAD0E8" w14:textId="77777777" w:rsidR="00A54643" w:rsidRDefault="00A54643" w:rsidP="00854D84">
            <w:pPr>
              <w:jc w:val="center"/>
            </w:pPr>
            <w:r>
              <w:t>7.36 (10.40)</w:t>
            </w:r>
          </w:p>
        </w:tc>
      </w:tr>
      <w:tr w:rsidR="00A54643" w:rsidRPr="00BA695B" w14:paraId="14DA3D16" w14:textId="77777777" w:rsidTr="00854D84">
        <w:trPr>
          <w:trHeight w:val="306"/>
        </w:trPr>
        <w:tc>
          <w:tcPr>
            <w:tcW w:w="11250" w:type="dxa"/>
            <w:gridSpan w:val="12"/>
            <w:tcBorders>
              <w:top w:val="single" w:sz="4" w:space="0" w:color="auto"/>
              <w:left w:val="nil"/>
              <w:bottom w:val="nil"/>
              <w:right w:val="nil"/>
            </w:tcBorders>
          </w:tcPr>
          <w:p w14:paraId="45AD96B1" w14:textId="77777777" w:rsidR="00A54643" w:rsidRPr="00EA5431" w:rsidRDefault="00A54643" w:rsidP="00854D84">
            <w:r w:rsidRPr="00EA5431">
              <w:rPr>
                <w:i/>
              </w:rPr>
              <w:t>Note</w:t>
            </w:r>
            <w:r>
              <w:rPr>
                <w:i/>
              </w:rPr>
              <w:t xml:space="preserve">. </w:t>
            </w:r>
            <w:r>
              <w:t>MMRM analyses modeled data for participants who did not complete the post assessment. This table reports only non-missing data. AAQ-II = Acceptance and Action Questionnaire–II; MGH-HS = Massachusetts General Hospital Hair Pulling Scale.</w:t>
            </w:r>
          </w:p>
          <w:p w14:paraId="2F7ACB69" w14:textId="77777777" w:rsidR="00A54643" w:rsidRPr="00EA5431" w:rsidRDefault="00A54643" w:rsidP="00854D84">
            <w:pPr>
              <w:rPr>
                <w:i/>
              </w:rPr>
            </w:pPr>
          </w:p>
        </w:tc>
      </w:tr>
      <w:tr w:rsidR="00A54643" w:rsidRPr="00BA695B" w14:paraId="652EE74A" w14:textId="77777777" w:rsidTr="00854D84">
        <w:trPr>
          <w:trHeight w:val="234"/>
        </w:trPr>
        <w:tc>
          <w:tcPr>
            <w:tcW w:w="1440" w:type="dxa"/>
            <w:tcBorders>
              <w:top w:val="nil"/>
              <w:left w:val="nil"/>
              <w:bottom w:val="nil"/>
              <w:right w:val="nil"/>
            </w:tcBorders>
          </w:tcPr>
          <w:p w14:paraId="1366227A" w14:textId="77777777" w:rsidR="00A54643" w:rsidRPr="00BA695B" w:rsidRDefault="00A54643" w:rsidP="00854D84"/>
        </w:tc>
        <w:tc>
          <w:tcPr>
            <w:tcW w:w="2506" w:type="dxa"/>
            <w:gridSpan w:val="2"/>
            <w:tcBorders>
              <w:top w:val="nil"/>
              <w:left w:val="nil"/>
              <w:bottom w:val="nil"/>
              <w:right w:val="nil"/>
            </w:tcBorders>
          </w:tcPr>
          <w:p w14:paraId="50455F9C" w14:textId="77777777" w:rsidR="00A54643" w:rsidRPr="00BA695B" w:rsidRDefault="00A54643" w:rsidP="00854D84"/>
        </w:tc>
        <w:tc>
          <w:tcPr>
            <w:tcW w:w="1235" w:type="dxa"/>
            <w:gridSpan w:val="2"/>
            <w:tcBorders>
              <w:top w:val="nil"/>
              <w:left w:val="nil"/>
              <w:bottom w:val="nil"/>
              <w:right w:val="nil"/>
            </w:tcBorders>
          </w:tcPr>
          <w:p w14:paraId="1071D3D8" w14:textId="77777777" w:rsidR="00A54643" w:rsidRPr="00BA695B" w:rsidRDefault="00A54643" w:rsidP="00854D84"/>
        </w:tc>
        <w:tc>
          <w:tcPr>
            <w:tcW w:w="1216" w:type="dxa"/>
            <w:gridSpan w:val="2"/>
            <w:tcBorders>
              <w:top w:val="nil"/>
              <w:left w:val="nil"/>
              <w:bottom w:val="nil"/>
              <w:right w:val="nil"/>
            </w:tcBorders>
          </w:tcPr>
          <w:p w14:paraId="79D8B5B8" w14:textId="77777777" w:rsidR="00A54643" w:rsidRPr="00BA695B" w:rsidRDefault="00A54643" w:rsidP="00854D84"/>
        </w:tc>
        <w:tc>
          <w:tcPr>
            <w:tcW w:w="1671" w:type="dxa"/>
            <w:gridSpan w:val="2"/>
            <w:tcBorders>
              <w:top w:val="nil"/>
              <w:left w:val="nil"/>
              <w:bottom w:val="nil"/>
              <w:right w:val="nil"/>
            </w:tcBorders>
          </w:tcPr>
          <w:p w14:paraId="09C05327" w14:textId="77777777" w:rsidR="00A54643" w:rsidRPr="00BA695B" w:rsidRDefault="00A54643" w:rsidP="00854D84"/>
        </w:tc>
        <w:tc>
          <w:tcPr>
            <w:tcW w:w="1246" w:type="dxa"/>
            <w:tcBorders>
              <w:top w:val="nil"/>
              <w:left w:val="nil"/>
              <w:bottom w:val="nil"/>
              <w:right w:val="nil"/>
            </w:tcBorders>
          </w:tcPr>
          <w:p w14:paraId="3242A3A9" w14:textId="77777777" w:rsidR="00A54643" w:rsidRPr="00BA695B" w:rsidRDefault="00A54643" w:rsidP="00854D84"/>
        </w:tc>
        <w:tc>
          <w:tcPr>
            <w:tcW w:w="1936" w:type="dxa"/>
            <w:gridSpan w:val="2"/>
            <w:tcBorders>
              <w:top w:val="nil"/>
              <w:left w:val="nil"/>
              <w:bottom w:val="nil"/>
              <w:right w:val="nil"/>
            </w:tcBorders>
          </w:tcPr>
          <w:p w14:paraId="418D4F7B" w14:textId="77777777" w:rsidR="00A54643" w:rsidRPr="00BA695B" w:rsidRDefault="00A54643" w:rsidP="00854D84"/>
        </w:tc>
      </w:tr>
    </w:tbl>
    <w:p w14:paraId="536BF845" w14:textId="77777777" w:rsidR="00A54643" w:rsidRDefault="00A54643" w:rsidP="00A54643"/>
    <w:p w14:paraId="3C6A35A0" w14:textId="77777777" w:rsidR="00087234" w:rsidRPr="006433A6" w:rsidRDefault="00087234" w:rsidP="0068689D">
      <w:pPr>
        <w:pStyle w:val="EndNoteBibliography"/>
        <w:ind w:left="720" w:hanging="720"/>
        <w:rPr>
          <w:noProof/>
        </w:rPr>
      </w:pPr>
    </w:p>
    <w:sectPr w:rsidR="00087234" w:rsidRPr="006433A6" w:rsidSect="00EA7658">
      <w:headerReference w:type="even" r:id="rId10"/>
      <w:headerReference w:type="default" r:id="rId11"/>
      <w:headerReference w:type="first" r:id="rId12"/>
      <w:pgSz w:w="11906" w:h="16838"/>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01289" w14:textId="77777777" w:rsidR="00CC0FEE" w:rsidRDefault="00CC0FEE" w:rsidP="002F221B">
      <w:r>
        <w:separator/>
      </w:r>
    </w:p>
  </w:endnote>
  <w:endnote w:type="continuationSeparator" w:id="0">
    <w:p w14:paraId="16F6F0C2" w14:textId="77777777" w:rsidR="00CC0FEE" w:rsidRDefault="00CC0FEE" w:rsidP="002F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harter-Roman">
    <w:altName w:val="Arial"/>
    <w:charset w:val="00"/>
    <w:family w:val="roman"/>
    <w:pitch w:val="variable"/>
    <w:sig w:usb0="00000001" w:usb1="1000204A" w:usb2="00000000" w:usb3="00000000" w:csb0="00000011"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2F94C" w14:textId="77777777" w:rsidR="00CC0FEE" w:rsidRDefault="00CC0FEE" w:rsidP="002F221B">
      <w:r>
        <w:separator/>
      </w:r>
    </w:p>
  </w:footnote>
  <w:footnote w:type="continuationSeparator" w:id="0">
    <w:p w14:paraId="3A59DFDB" w14:textId="77777777" w:rsidR="00CC0FEE" w:rsidRDefault="00CC0FEE" w:rsidP="002F2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C0E8" w14:textId="77777777" w:rsidR="00226428" w:rsidRDefault="00226428" w:rsidP="009F25B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12A92" w14:textId="77777777" w:rsidR="00226428" w:rsidRDefault="00226428" w:rsidP="006670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C171" w14:textId="446D4141" w:rsidR="00226428" w:rsidRPr="0066703C" w:rsidRDefault="00226428" w:rsidP="009F25B1">
    <w:pPr>
      <w:pStyle w:val="Header"/>
      <w:framePr w:wrap="none" w:vAnchor="text" w:hAnchor="margin" w:xAlign="right" w:y="1"/>
      <w:rPr>
        <w:rStyle w:val="PageNumber"/>
        <w:rFonts w:ascii="Times New Roman" w:hAnsi="Times New Roman" w:cs="Times New Roman"/>
      </w:rPr>
    </w:pPr>
    <w:r w:rsidRPr="0066703C">
      <w:rPr>
        <w:rStyle w:val="PageNumber"/>
        <w:rFonts w:ascii="Times New Roman" w:hAnsi="Times New Roman" w:cs="Times New Roman"/>
      </w:rPr>
      <w:fldChar w:fldCharType="begin"/>
    </w:r>
    <w:r w:rsidRPr="0066703C">
      <w:rPr>
        <w:rStyle w:val="PageNumber"/>
        <w:rFonts w:ascii="Times New Roman" w:hAnsi="Times New Roman" w:cs="Times New Roman"/>
      </w:rPr>
      <w:instrText xml:space="preserve">PAGE  </w:instrText>
    </w:r>
    <w:r w:rsidRPr="0066703C">
      <w:rPr>
        <w:rStyle w:val="PageNumber"/>
        <w:rFonts w:ascii="Times New Roman" w:hAnsi="Times New Roman" w:cs="Times New Roman"/>
      </w:rPr>
      <w:fldChar w:fldCharType="separate"/>
    </w:r>
    <w:r w:rsidR="00F704A9">
      <w:rPr>
        <w:rStyle w:val="PageNumber"/>
        <w:rFonts w:ascii="Times New Roman" w:hAnsi="Times New Roman" w:cs="Times New Roman"/>
        <w:noProof/>
      </w:rPr>
      <w:t>1</w:t>
    </w:r>
    <w:r w:rsidRPr="0066703C">
      <w:rPr>
        <w:rStyle w:val="PageNumber"/>
        <w:rFonts w:ascii="Times New Roman" w:hAnsi="Times New Roman" w:cs="Times New Roman"/>
      </w:rPr>
      <w:fldChar w:fldCharType="end"/>
    </w:r>
  </w:p>
  <w:p w14:paraId="47B1BEB4" w14:textId="77777777" w:rsidR="00226428" w:rsidRPr="0066703C" w:rsidRDefault="00226428" w:rsidP="0066703C">
    <w:pPr>
      <w:pStyle w:val="Header"/>
      <w:ind w:right="360"/>
      <w:rPr>
        <w:rFonts w:ascii="Times New Roman" w:hAnsi="Times New Roman" w:cs="Times New Roman"/>
      </w:rPr>
    </w:pPr>
    <w:r w:rsidRPr="0066703C">
      <w:rPr>
        <w:rFonts w:ascii="Times New Roman" w:hAnsi="Times New Roman" w:cs="Times New Roman"/>
      </w:rPr>
      <w:t xml:space="preserve">ACT </w:t>
    </w:r>
    <w:r>
      <w:rPr>
        <w:rFonts w:ascii="Times New Roman" w:hAnsi="Times New Roman" w:cs="Times New Roman"/>
      </w:rPr>
      <w:t>FOR TRICHOTILLOMANIA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0C13" w14:textId="77777777" w:rsidR="00226428" w:rsidRPr="0066703C" w:rsidRDefault="00226428" w:rsidP="009F25B1">
    <w:pPr>
      <w:pStyle w:val="Header"/>
      <w:framePr w:wrap="none" w:vAnchor="text" w:hAnchor="margin" w:xAlign="right" w:y="1"/>
      <w:rPr>
        <w:rStyle w:val="PageNumber"/>
        <w:rFonts w:ascii="Times New Roman" w:hAnsi="Times New Roman" w:cs="Times New Roman"/>
      </w:rPr>
    </w:pPr>
    <w:r w:rsidRPr="0066703C">
      <w:rPr>
        <w:rStyle w:val="PageNumber"/>
        <w:rFonts w:ascii="Times New Roman" w:hAnsi="Times New Roman" w:cs="Times New Roman"/>
      </w:rPr>
      <w:fldChar w:fldCharType="begin"/>
    </w:r>
    <w:r w:rsidRPr="0066703C">
      <w:rPr>
        <w:rStyle w:val="PageNumber"/>
        <w:rFonts w:ascii="Times New Roman" w:hAnsi="Times New Roman" w:cs="Times New Roman"/>
      </w:rPr>
      <w:instrText xml:space="preserve">PAGE  </w:instrText>
    </w:r>
    <w:r w:rsidRPr="0066703C">
      <w:rPr>
        <w:rStyle w:val="PageNumber"/>
        <w:rFonts w:ascii="Times New Roman" w:hAnsi="Times New Roman" w:cs="Times New Roman"/>
      </w:rPr>
      <w:fldChar w:fldCharType="separate"/>
    </w:r>
    <w:r w:rsidR="00EA7658">
      <w:rPr>
        <w:rStyle w:val="PageNumber"/>
        <w:rFonts w:ascii="Times New Roman" w:hAnsi="Times New Roman" w:cs="Times New Roman"/>
        <w:noProof/>
      </w:rPr>
      <w:t>1</w:t>
    </w:r>
    <w:r w:rsidRPr="0066703C">
      <w:rPr>
        <w:rStyle w:val="PageNumber"/>
        <w:rFonts w:ascii="Times New Roman" w:hAnsi="Times New Roman" w:cs="Times New Roman"/>
      </w:rPr>
      <w:fldChar w:fldCharType="end"/>
    </w:r>
  </w:p>
  <w:p w14:paraId="2644FF02" w14:textId="77777777" w:rsidR="00226428" w:rsidRPr="0066703C" w:rsidRDefault="00994BEF" w:rsidP="0066703C">
    <w:pPr>
      <w:pStyle w:val="Header"/>
      <w:ind w:right="360"/>
      <w:rPr>
        <w:rFonts w:ascii="Times New Roman" w:hAnsi="Times New Roman" w:cs="Times New Roman"/>
      </w:rPr>
    </w:pPr>
    <w:r>
      <w:rPr>
        <w:rFonts w:ascii="Times New Roman" w:hAnsi="Times New Roman" w:cs="Times New Roman"/>
      </w:rPr>
      <w:t xml:space="preserve">Running head: </w:t>
    </w:r>
    <w:r w:rsidR="00226428">
      <w:rPr>
        <w:rFonts w:ascii="Times New Roman" w:hAnsi="Times New Roman" w:cs="Times New Roman"/>
      </w:rPr>
      <w:t>ACT FOR TRICHOTILLOMANIA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C6D11"/>
    <w:multiLevelType w:val="hybridMultilevel"/>
    <w:tmpl w:val="C542F72C"/>
    <w:lvl w:ilvl="0" w:tplc="F26EEC82">
      <w:start w:val="1"/>
      <w:numFmt w:val="bullet"/>
      <w:lvlText w:val="*"/>
      <w:lvlJc w:val="left"/>
      <w:pPr>
        <w:ind w:left="1200" w:hanging="360"/>
      </w:pPr>
      <w:rPr>
        <w:rFonts w:ascii="Symbol" w:hAnsi="Symbol" w:hint="default"/>
      </w:rPr>
    </w:lvl>
    <w:lvl w:ilvl="1" w:tplc="C2502A06">
      <w:start w:val="1"/>
      <w:numFmt w:val="bullet"/>
      <w:lvlText w:val="o"/>
      <w:lvlJc w:val="left"/>
      <w:pPr>
        <w:ind w:left="1800" w:hanging="360"/>
      </w:pPr>
      <w:rPr>
        <w:rFonts w:ascii="Symbol" w:hAnsi="Symbol" w:hint="default"/>
      </w:rPr>
    </w:lvl>
    <w:lvl w:ilvl="2" w:tplc="7F10E6AA">
      <w:start w:val="1"/>
      <w:numFmt w:val="bullet"/>
      <w:lvlText w:val="o"/>
      <w:lvlJc w:val="left"/>
      <w:pPr>
        <w:ind w:left="2400" w:hanging="360"/>
      </w:pPr>
      <w:rPr>
        <w:rFonts w:ascii="Symbol" w:hAnsi="Symbol" w:hint="default"/>
      </w:rPr>
    </w:lvl>
    <w:lvl w:ilvl="3" w:tplc="B616035E">
      <w:start w:val="1"/>
      <w:numFmt w:val="bullet"/>
      <w:lvlText w:val="o"/>
      <w:lvlJc w:val="left"/>
      <w:pPr>
        <w:ind w:left="3000" w:hanging="360"/>
      </w:pPr>
      <w:rPr>
        <w:rFonts w:ascii="Symbol" w:hAnsi="Symbol" w:hint="default"/>
      </w:rPr>
    </w:lvl>
    <w:lvl w:ilvl="4" w:tplc="A9440A5A">
      <w:start w:val="1"/>
      <w:numFmt w:val="bullet"/>
      <w:lvlText w:val="o"/>
      <w:lvlJc w:val="left"/>
      <w:pPr>
        <w:ind w:left="3600" w:hanging="360"/>
      </w:pPr>
      <w:rPr>
        <w:rFonts w:ascii="Symbol" w:hAnsi="Symbol" w:hint="default"/>
      </w:rPr>
    </w:lvl>
    <w:lvl w:ilvl="5" w:tplc="782499E8">
      <w:start w:val="1"/>
      <w:numFmt w:val="bullet"/>
      <w:lvlText w:val="o"/>
      <w:lvlJc w:val="left"/>
      <w:pPr>
        <w:ind w:left="4200" w:hanging="360"/>
      </w:pPr>
      <w:rPr>
        <w:rFonts w:ascii="Symbol" w:hAnsi="Symbol" w:hint="default"/>
      </w:rPr>
    </w:lvl>
    <w:lvl w:ilvl="6" w:tplc="D45A2F8A">
      <w:start w:val="1"/>
      <w:numFmt w:val="bullet"/>
      <w:lvlText w:val="o"/>
      <w:lvlJc w:val="left"/>
      <w:pPr>
        <w:ind w:left="4800" w:hanging="360"/>
      </w:pPr>
      <w:rPr>
        <w:rFonts w:ascii="Symbol" w:hAnsi="Symbol" w:hint="default"/>
      </w:rPr>
    </w:lvl>
    <w:lvl w:ilvl="7" w:tplc="223248DC">
      <w:start w:val="1"/>
      <w:numFmt w:val="bullet"/>
      <w:lvlText w:val="o"/>
      <w:lvlJc w:val="left"/>
      <w:pPr>
        <w:ind w:left="5400" w:hanging="360"/>
      </w:pPr>
      <w:rPr>
        <w:rFonts w:ascii="Symbol" w:hAnsi="Symbol" w:hint="default"/>
      </w:rPr>
    </w:lvl>
    <w:lvl w:ilvl="8" w:tplc="7FF2DCAC">
      <w:start w:val="1"/>
      <w:numFmt w:val="bullet"/>
      <w:lvlText w:val="o"/>
      <w:lvlJc w:val="left"/>
      <w:pPr>
        <w:ind w:left="6000" w:hanging="360"/>
      </w:pPr>
      <w:rPr>
        <w:rFonts w:ascii="Symbol" w:hAnsi="Symbol" w:hint="default"/>
      </w:rPr>
    </w:lvl>
  </w:abstractNum>
  <w:abstractNum w:abstractNumId="1" w15:restartNumberingAfterBreak="0">
    <w:nsid w:val="1CE00512"/>
    <w:multiLevelType w:val="hybridMultilevel"/>
    <w:tmpl w:val="70B8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53D0A"/>
    <w:multiLevelType w:val="hybridMultilevel"/>
    <w:tmpl w:val="CA04A652"/>
    <w:lvl w:ilvl="0" w:tplc="4C1881AA">
      <w:start w:val="1"/>
      <w:numFmt w:val="decimal"/>
      <w:lvlText w:val="%1."/>
      <w:lvlJc w:val="left"/>
      <w:pPr>
        <w:ind w:left="1200" w:hanging="360"/>
      </w:pPr>
    </w:lvl>
    <w:lvl w:ilvl="1" w:tplc="EC6806B4">
      <w:start w:val="1"/>
      <w:numFmt w:val="decimal"/>
      <w:lvlText w:val="%2."/>
      <w:lvlJc w:val="left"/>
      <w:pPr>
        <w:ind w:left="1800" w:hanging="360"/>
      </w:pPr>
    </w:lvl>
    <w:lvl w:ilvl="2" w:tplc="80F26BD4">
      <w:start w:val="1"/>
      <w:numFmt w:val="decimal"/>
      <w:lvlText w:val="%3."/>
      <w:lvlJc w:val="left"/>
      <w:pPr>
        <w:ind w:left="2400" w:hanging="360"/>
      </w:pPr>
    </w:lvl>
    <w:lvl w:ilvl="3" w:tplc="12909ADC">
      <w:start w:val="1"/>
      <w:numFmt w:val="decimal"/>
      <w:lvlText w:val="%4."/>
      <w:lvlJc w:val="left"/>
      <w:pPr>
        <w:ind w:left="3000" w:hanging="360"/>
      </w:pPr>
    </w:lvl>
    <w:lvl w:ilvl="4" w:tplc="56A43E1A">
      <w:start w:val="1"/>
      <w:numFmt w:val="decimal"/>
      <w:lvlText w:val="%5."/>
      <w:lvlJc w:val="left"/>
      <w:pPr>
        <w:ind w:left="3600" w:hanging="360"/>
      </w:pPr>
    </w:lvl>
    <w:lvl w:ilvl="5" w:tplc="D7A6A382">
      <w:start w:val="1"/>
      <w:numFmt w:val="decimal"/>
      <w:lvlText w:val="%6."/>
      <w:lvlJc w:val="left"/>
      <w:pPr>
        <w:ind w:left="4200" w:hanging="360"/>
      </w:pPr>
    </w:lvl>
    <w:lvl w:ilvl="6" w:tplc="373A1FB2">
      <w:start w:val="1"/>
      <w:numFmt w:val="decimal"/>
      <w:lvlText w:val="%7."/>
      <w:lvlJc w:val="left"/>
      <w:pPr>
        <w:ind w:left="4800" w:hanging="360"/>
      </w:pPr>
    </w:lvl>
    <w:lvl w:ilvl="7" w:tplc="449EB0DE">
      <w:start w:val="1"/>
      <w:numFmt w:val="decimal"/>
      <w:lvlText w:val="%8."/>
      <w:lvlJc w:val="left"/>
      <w:pPr>
        <w:ind w:left="5400" w:hanging="360"/>
      </w:pPr>
    </w:lvl>
    <w:lvl w:ilvl="8" w:tplc="AAEE017A">
      <w:start w:val="1"/>
      <w:numFmt w:val="decimal"/>
      <w:lvlText w:val="%9."/>
      <w:lvlJc w:val="left"/>
      <w:pPr>
        <w:ind w:left="6000" w:hanging="360"/>
      </w:pPr>
    </w:lvl>
  </w:abstractNum>
  <w:abstractNum w:abstractNumId="3" w15:restartNumberingAfterBreak="0">
    <w:nsid w:val="35E8486A"/>
    <w:multiLevelType w:val="hybridMultilevel"/>
    <w:tmpl w:val="AC2EE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780E12"/>
    <w:multiLevelType w:val="hybridMultilevel"/>
    <w:tmpl w:val="02F26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021791"/>
    <w:multiLevelType w:val="hybridMultilevel"/>
    <w:tmpl w:val="A768C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A53D55"/>
    <w:multiLevelType w:val="hybridMultilevel"/>
    <w:tmpl w:val="5170A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0E7C7A"/>
    <w:multiLevelType w:val="hybridMultilevel"/>
    <w:tmpl w:val="514A0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fixed references&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2v200vasqv9ttfes2zoxf092sstsfexszx90&quot;&gt;My EndNote Library&lt;record-ids&gt;&lt;item&gt;51&lt;/item&gt;&lt;item&gt;165&lt;/item&gt;&lt;item&gt;236&lt;/item&gt;&lt;item&gt;377&lt;/item&gt;&lt;item&gt;380&lt;/item&gt;&lt;item&gt;440&lt;/item&gt;&lt;item&gt;474&lt;/item&gt;&lt;item&gt;481&lt;/item&gt;&lt;item&gt;1512&lt;/item&gt;&lt;item&gt;1636&lt;/item&gt;&lt;item&gt;1719&lt;/item&gt;&lt;item&gt;1826&lt;/item&gt;&lt;item&gt;2512&lt;/item&gt;&lt;item&gt;2514&lt;/item&gt;&lt;item&gt;2515&lt;/item&gt;&lt;item&gt;2517&lt;/item&gt;&lt;item&gt;2518&lt;/item&gt;&lt;item&gt;2519&lt;/item&gt;&lt;item&gt;2545&lt;/item&gt;&lt;item&gt;2546&lt;/item&gt;&lt;/record-ids&gt;&lt;/item&gt;&lt;/Libraries&gt;"/>
  </w:docVars>
  <w:rsids>
    <w:rsidRoot w:val="00D070F8"/>
    <w:rsid w:val="000058F1"/>
    <w:rsid w:val="00006F5C"/>
    <w:rsid w:val="00007355"/>
    <w:rsid w:val="00015ADA"/>
    <w:rsid w:val="00015E9C"/>
    <w:rsid w:val="0002247A"/>
    <w:rsid w:val="000225F4"/>
    <w:rsid w:val="00027753"/>
    <w:rsid w:val="000452E7"/>
    <w:rsid w:val="00050242"/>
    <w:rsid w:val="00053B76"/>
    <w:rsid w:val="000625B2"/>
    <w:rsid w:val="00062A6A"/>
    <w:rsid w:val="000631C1"/>
    <w:rsid w:val="00065F7B"/>
    <w:rsid w:val="00067BE0"/>
    <w:rsid w:val="00067FA3"/>
    <w:rsid w:val="00070EE9"/>
    <w:rsid w:val="000750F5"/>
    <w:rsid w:val="00077FA8"/>
    <w:rsid w:val="00080A8B"/>
    <w:rsid w:val="00082493"/>
    <w:rsid w:val="00082E2E"/>
    <w:rsid w:val="000866D9"/>
    <w:rsid w:val="00087234"/>
    <w:rsid w:val="000900FD"/>
    <w:rsid w:val="00091598"/>
    <w:rsid w:val="00091A28"/>
    <w:rsid w:val="00091BFB"/>
    <w:rsid w:val="00092990"/>
    <w:rsid w:val="00095659"/>
    <w:rsid w:val="000A57D4"/>
    <w:rsid w:val="000A7D4E"/>
    <w:rsid w:val="000B009E"/>
    <w:rsid w:val="000B620D"/>
    <w:rsid w:val="000B7600"/>
    <w:rsid w:val="000B7F2D"/>
    <w:rsid w:val="000C2EE3"/>
    <w:rsid w:val="000C77DB"/>
    <w:rsid w:val="000D233C"/>
    <w:rsid w:val="000D3D93"/>
    <w:rsid w:val="000D4E9F"/>
    <w:rsid w:val="000D5A39"/>
    <w:rsid w:val="000E0672"/>
    <w:rsid w:val="000E2455"/>
    <w:rsid w:val="000E3AA0"/>
    <w:rsid w:val="000E49B0"/>
    <w:rsid w:val="000F5287"/>
    <w:rsid w:val="001001AF"/>
    <w:rsid w:val="00100B04"/>
    <w:rsid w:val="0010224E"/>
    <w:rsid w:val="001022C1"/>
    <w:rsid w:val="00104AA2"/>
    <w:rsid w:val="0010596D"/>
    <w:rsid w:val="00111335"/>
    <w:rsid w:val="00111892"/>
    <w:rsid w:val="00117362"/>
    <w:rsid w:val="00120587"/>
    <w:rsid w:val="001239BF"/>
    <w:rsid w:val="001239CE"/>
    <w:rsid w:val="00124479"/>
    <w:rsid w:val="00124FD6"/>
    <w:rsid w:val="00127E9B"/>
    <w:rsid w:val="00131336"/>
    <w:rsid w:val="00135704"/>
    <w:rsid w:val="001372B5"/>
    <w:rsid w:val="00137CB9"/>
    <w:rsid w:val="001403BA"/>
    <w:rsid w:val="00146084"/>
    <w:rsid w:val="00153DF8"/>
    <w:rsid w:val="0015425F"/>
    <w:rsid w:val="00154DA8"/>
    <w:rsid w:val="00157BC0"/>
    <w:rsid w:val="0016351F"/>
    <w:rsid w:val="00164A52"/>
    <w:rsid w:val="00164EE3"/>
    <w:rsid w:val="00171F25"/>
    <w:rsid w:val="001752FA"/>
    <w:rsid w:val="00176BCE"/>
    <w:rsid w:val="0018115C"/>
    <w:rsid w:val="00182801"/>
    <w:rsid w:val="00184C97"/>
    <w:rsid w:val="00187BD6"/>
    <w:rsid w:val="00194A56"/>
    <w:rsid w:val="001978B8"/>
    <w:rsid w:val="001A5948"/>
    <w:rsid w:val="001B1751"/>
    <w:rsid w:val="001B2821"/>
    <w:rsid w:val="001B683A"/>
    <w:rsid w:val="001C0129"/>
    <w:rsid w:val="001C129B"/>
    <w:rsid w:val="001C1B0B"/>
    <w:rsid w:val="001C1F40"/>
    <w:rsid w:val="001C27F4"/>
    <w:rsid w:val="001D00CA"/>
    <w:rsid w:val="001D1358"/>
    <w:rsid w:val="001D6BA5"/>
    <w:rsid w:val="001D6F87"/>
    <w:rsid w:val="001E3CFC"/>
    <w:rsid w:val="001E4D85"/>
    <w:rsid w:val="001F0DA0"/>
    <w:rsid w:val="001F12B5"/>
    <w:rsid w:val="001F5B78"/>
    <w:rsid w:val="00206C99"/>
    <w:rsid w:val="00206D9F"/>
    <w:rsid w:val="00215957"/>
    <w:rsid w:val="002208F9"/>
    <w:rsid w:val="002243D4"/>
    <w:rsid w:val="00226428"/>
    <w:rsid w:val="00227AD7"/>
    <w:rsid w:val="00232659"/>
    <w:rsid w:val="00234E9A"/>
    <w:rsid w:val="002350FC"/>
    <w:rsid w:val="0024153B"/>
    <w:rsid w:val="00254B17"/>
    <w:rsid w:val="00255372"/>
    <w:rsid w:val="00262950"/>
    <w:rsid w:val="002629BC"/>
    <w:rsid w:val="00266C7C"/>
    <w:rsid w:val="00266C91"/>
    <w:rsid w:val="00272EAA"/>
    <w:rsid w:val="00275970"/>
    <w:rsid w:val="00275EA4"/>
    <w:rsid w:val="0027612B"/>
    <w:rsid w:val="0027679D"/>
    <w:rsid w:val="0028101A"/>
    <w:rsid w:val="00296361"/>
    <w:rsid w:val="002A4ECB"/>
    <w:rsid w:val="002B0FF8"/>
    <w:rsid w:val="002B6855"/>
    <w:rsid w:val="002B704C"/>
    <w:rsid w:val="002C65D1"/>
    <w:rsid w:val="002C6BE2"/>
    <w:rsid w:val="002D1BDB"/>
    <w:rsid w:val="002D7453"/>
    <w:rsid w:val="002D7841"/>
    <w:rsid w:val="002E26ED"/>
    <w:rsid w:val="002E389C"/>
    <w:rsid w:val="002F0A2A"/>
    <w:rsid w:val="002F14EF"/>
    <w:rsid w:val="002F221B"/>
    <w:rsid w:val="002F2D9B"/>
    <w:rsid w:val="002F53CA"/>
    <w:rsid w:val="00303144"/>
    <w:rsid w:val="003032A7"/>
    <w:rsid w:val="00304349"/>
    <w:rsid w:val="00306F43"/>
    <w:rsid w:val="00312219"/>
    <w:rsid w:val="00312D96"/>
    <w:rsid w:val="00317867"/>
    <w:rsid w:val="003244B1"/>
    <w:rsid w:val="003308CA"/>
    <w:rsid w:val="00330ABC"/>
    <w:rsid w:val="003312F4"/>
    <w:rsid w:val="00331896"/>
    <w:rsid w:val="0033416B"/>
    <w:rsid w:val="00343C9F"/>
    <w:rsid w:val="00351E0A"/>
    <w:rsid w:val="00357040"/>
    <w:rsid w:val="0037026B"/>
    <w:rsid w:val="00380F17"/>
    <w:rsid w:val="003867E4"/>
    <w:rsid w:val="00391290"/>
    <w:rsid w:val="00393C57"/>
    <w:rsid w:val="0039424B"/>
    <w:rsid w:val="0039547C"/>
    <w:rsid w:val="003954F4"/>
    <w:rsid w:val="003974F9"/>
    <w:rsid w:val="003A2899"/>
    <w:rsid w:val="003A41D8"/>
    <w:rsid w:val="003A7A74"/>
    <w:rsid w:val="003B088B"/>
    <w:rsid w:val="003B0A18"/>
    <w:rsid w:val="003B367B"/>
    <w:rsid w:val="003B62E1"/>
    <w:rsid w:val="003B64AC"/>
    <w:rsid w:val="003C61AF"/>
    <w:rsid w:val="003D1AF1"/>
    <w:rsid w:val="003D1B0D"/>
    <w:rsid w:val="003D6542"/>
    <w:rsid w:val="003D6ABC"/>
    <w:rsid w:val="003D738A"/>
    <w:rsid w:val="003E052E"/>
    <w:rsid w:val="003E1C22"/>
    <w:rsid w:val="003E49EA"/>
    <w:rsid w:val="003E7201"/>
    <w:rsid w:val="003F195C"/>
    <w:rsid w:val="003F1ECE"/>
    <w:rsid w:val="003F2188"/>
    <w:rsid w:val="0040042E"/>
    <w:rsid w:val="00402F97"/>
    <w:rsid w:val="00405702"/>
    <w:rsid w:val="00417417"/>
    <w:rsid w:val="00422768"/>
    <w:rsid w:val="00422A00"/>
    <w:rsid w:val="004246AF"/>
    <w:rsid w:val="00425F40"/>
    <w:rsid w:val="0043361A"/>
    <w:rsid w:val="00440885"/>
    <w:rsid w:val="00440E07"/>
    <w:rsid w:val="00441EB0"/>
    <w:rsid w:val="004422DA"/>
    <w:rsid w:val="00446AAC"/>
    <w:rsid w:val="00451F65"/>
    <w:rsid w:val="00461F17"/>
    <w:rsid w:val="00477ECE"/>
    <w:rsid w:val="0048235C"/>
    <w:rsid w:val="00482554"/>
    <w:rsid w:val="0048521A"/>
    <w:rsid w:val="00485632"/>
    <w:rsid w:val="004928CC"/>
    <w:rsid w:val="00492CA2"/>
    <w:rsid w:val="004963AC"/>
    <w:rsid w:val="004A11F8"/>
    <w:rsid w:val="004A3FE3"/>
    <w:rsid w:val="004A410A"/>
    <w:rsid w:val="004A49FA"/>
    <w:rsid w:val="004A4ACA"/>
    <w:rsid w:val="004B6AB2"/>
    <w:rsid w:val="004C0E1F"/>
    <w:rsid w:val="004C18C4"/>
    <w:rsid w:val="004C1BC7"/>
    <w:rsid w:val="004C1E67"/>
    <w:rsid w:val="004C2E8A"/>
    <w:rsid w:val="004C607B"/>
    <w:rsid w:val="004D10B3"/>
    <w:rsid w:val="004D1821"/>
    <w:rsid w:val="004D5734"/>
    <w:rsid w:val="004E2D50"/>
    <w:rsid w:val="004F11F8"/>
    <w:rsid w:val="004F14B9"/>
    <w:rsid w:val="004F3E3B"/>
    <w:rsid w:val="004F4EE4"/>
    <w:rsid w:val="004F77BF"/>
    <w:rsid w:val="00510A16"/>
    <w:rsid w:val="0051385C"/>
    <w:rsid w:val="00520A0A"/>
    <w:rsid w:val="00521A06"/>
    <w:rsid w:val="00527CD4"/>
    <w:rsid w:val="00531A7A"/>
    <w:rsid w:val="005407C0"/>
    <w:rsid w:val="00542A4C"/>
    <w:rsid w:val="00543159"/>
    <w:rsid w:val="00543AFB"/>
    <w:rsid w:val="0054610A"/>
    <w:rsid w:val="0055114F"/>
    <w:rsid w:val="00551436"/>
    <w:rsid w:val="00560966"/>
    <w:rsid w:val="00560A53"/>
    <w:rsid w:val="005639FD"/>
    <w:rsid w:val="005664AA"/>
    <w:rsid w:val="00571028"/>
    <w:rsid w:val="00571369"/>
    <w:rsid w:val="005721B6"/>
    <w:rsid w:val="005809F9"/>
    <w:rsid w:val="00581515"/>
    <w:rsid w:val="0058798E"/>
    <w:rsid w:val="00590CBC"/>
    <w:rsid w:val="00591479"/>
    <w:rsid w:val="00596A35"/>
    <w:rsid w:val="005971B4"/>
    <w:rsid w:val="00597CD5"/>
    <w:rsid w:val="005A1CA9"/>
    <w:rsid w:val="005A33FB"/>
    <w:rsid w:val="005A39FF"/>
    <w:rsid w:val="005A53DF"/>
    <w:rsid w:val="005B10AE"/>
    <w:rsid w:val="005B5B46"/>
    <w:rsid w:val="005C106F"/>
    <w:rsid w:val="005C1791"/>
    <w:rsid w:val="005C3AE3"/>
    <w:rsid w:val="005C4347"/>
    <w:rsid w:val="005C4F12"/>
    <w:rsid w:val="005C669A"/>
    <w:rsid w:val="005E0982"/>
    <w:rsid w:val="005F1BD8"/>
    <w:rsid w:val="005F23E0"/>
    <w:rsid w:val="005F50B1"/>
    <w:rsid w:val="005F6307"/>
    <w:rsid w:val="00605CEC"/>
    <w:rsid w:val="006137CB"/>
    <w:rsid w:val="00622547"/>
    <w:rsid w:val="00624A8F"/>
    <w:rsid w:val="00627B9D"/>
    <w:rsid w:val="00630A54"/>
    <w:rsid w:val="00633865"/>
    <w:rsid w:val="00636E81"/>
    <w:rsid w:val="006433A6"/>
    <w:rsid w:val="00645068"/>
    <w:rsid w:val="006460ED"/>
    <w:rsid w:val="0065012F"/>
    <w:rsid w:val="006504F3"/>
    <w:rsid w:val="00650CDF"/>
    <w:rsid w:val="006536E8"/>
    <w:rsid w:val="00654F9D"/>
    <w:rsid w:val="00660651"/>
    <w:rsid w:val="006660DB"/>
    <w:rsid w:val="00666825"/>
    <w:rsid w:val="0066703C"/>
    <w:rsid w:val="00676DC6"/>
    <w:rsid w:val="00684002"/>
    <w:rsid w:val="0068689D"/>
    <w:rsid w:val="00694289"/>
    <w:rsid w:val="006A09DB"/>
    <w:rsid w:val="006A64C5"/>
    <w:rsid w:val="006B2EE6"/>
    <w:rsid w:val="006D13EA"/>
    <w:rsid w:val="006D21BD"/>
    <w:rsid w:val="006D3192"/>
    <w:rsid w:val="006D4544"/>
    <w:rsid w:val="006E0012"/>
    <w:rsid w:val="006E5D48"/>
    <w:rsid w:val="006F1E9D"/>
    <w:rsid w:val="006F52CE"/>
    <w:rsid w:val="006F5358"/>
    <w:rsid w:val="006F5A37"/>
    <w:rsid w:val="00701B41"/>
    <w:rsid w:val="007065DB"/>
    <w:rsid w:val="00711678"/>
    <w:rsid w:val="00711B6E"/>
    <w:rsid w:val="007123FA"/>
    <w:rsid w:val="00714638"/>
    <w:rsid w:val="00715CEB"/>
    <w:rsid w:val="00716F32"/>
    <w:rsid w:val="007302E9"/>
    <w:rsid w:val="00730346"/>
    <w:rsid w:val="00730BC7"/>
    <w:rsid w:val="00731724"/>
    <w:rsid w:val="0073471F"/>
    <w:rsid w:val="00734E42"/>
    <w:rsid w:val="00736782"/>
    <w:rsid w:val="00737DF3"/>
    <w:rsid w:val="00741941"/>
    <w:rsid w:val="007439C0"/>
    <w:rsid w:val="00745D57"/>
    <w:rsid w:val="00745FBA"/>
    <w:rsid w:val="00747140"/>
    <w:rsid w:val="007471D6"/>
    <w:rsid w:val="007524EB"/>
    <w:rsid w:val="00756C5A"/>
    <w:rsid w:val="0076149E"/>
    <w:rsid w:val="0076593C"/>
    <w:rsid w:val="0076599E"/>
    <w:rsid w:val="007679CC"/>
    <w:rsid w:val="00771B99"/>
    <w:rsid w:val="00775781"/>
    <w:rsid w:val="00777A69"/>
    <w:rsid w:val="00784DE6"/>
    <w:rsid w:val="0079387F"/>
    <w:rsid w:val="007960E8"/>
    <w:rsid w:val="007974D8"/>
    <w:rsid w:val="007A1E87"/>
    <w:rsid w:val="007A1F28"/>
    <w:rsid w:val="007A2B64"/>
    <w:rsid w:val="007A464E"/>
    <w:rsid w:val="007A6B12"/>
    <w:rsid w:val="007A7AA4"/>
    <w:rsid w:val="007B3B13"/>
    <w:rsid w:val="007B56A7"/>
    <w:rsid w:val="007C074F"/>
    <w:rsid w:val="007C34FD"/>
    <w:rsid w:val="007D2418"/>
    <w:rsid w:val="007D2FA6"/>
    <w:rsid w:val="007D5B95"/>
    <w:rsid w:val="007D7E7F"/>
    <w:rsid w:val="007E0A91"/>
    <w:rsid w:val="007E1939"/>
    <w:rsid w:val="007E21AE"/>
    <w:rsid w:val="007E2EC6"/>
    <w:rsid w:val="007E782F"/>
    <w:rsid w:val="007F577B"/>
    <w:rsid w:val="007F58D8"/>
    <w:rsid w:val="007F7BE7"/>
    <w:rsid w:val="00807CD9"/>
    <w:rsid w:val="00811BAC"/>
    <w:rsid w:val="0081338F"/>
    <w:rsid w:val="0081723C"/>
    <w:rsid w:val="00823716"/>
    <w:rsid w:val="00823CF1"/>
    <w:rsid w:val="0082544B"/>
    <w:rsid w:val="0083265B"/>
    <w:rsid w:val="00834885"/>
    <w:rsid w:val="008364FF"/>
    <w:rsid w:val="008445CF"/>
    <w:rsid w:val="0084522D"/>
    <w:rsid w:val="00845558"/>
    <w:rsid w:val="00847697"/>
    <w:rsid w:val="00853C44"/>
    <w:rsid w:val="00860FB3"/>
    <w:rsid w:val="00865DDE"/>
    <w:rsid w:val="00865E2C"/>
    <w:rsid w:val="00873E32"/>
    <w:rsid w:val="0087407C"/>
    <w:rsid w:val="008757ED"/>
    <w:rsid w:val="0088102F"/>
    <w:rsid w:val="00881108"/>
    <w:rsid w:val="00881E20"/>
    <w:rsid w:val="0088270E"/>
    <w:rsid w:val="008856A8"/>
    <w:rsid w:val="00887A81"/>
    <w:rsid w:val="0089080B"/>
    <w:rsid w:val="00890910"/>
    <w:rsid w:val="00897259"/>
    <w:rsid w:val="00897505"/>
    <w:rsid w:val="008A0DA9"/>
    <w:rsid w:val="008A2348"/>
    <w:rsid w:val="008A3F6A"/>
    <w:rsid w:val="008A4FD9"/>
    <w:rsid w:val="008A61B6"/>
    <w:rsid w:val="008B3340"/>
    <w:rsid w:val="008C2892"/>
    <w:rsid w:val="008C34D2"/>
    <w:rsid w:val="008C5CDA"/>
    <w:rsid w:val="008D13C7"/>
    <w:rsid w:val="008D176F"/>
    <w:rsid w:val="008D1866"/>
    <w:rsid w:val="008D2F4F"/>
    <w:rsid w:val="008E234B"/>
    <w:rsid w:val="008E4A54"/>
    <w:rsid w:val="008E5170"/>
    <w:rsid w:val="008E62FC"/>
    <w:rsid w:val="008E7BC0"/>
    <w:rsid w:val="008F2E7C"/>
    <w:rsid w:val="0090108F"/>
    <w:rsid w:val="00904C17"/>
    <w:rsid w:val="00906673"/>
    <w:rsid w:val="009119E3"/>
    <w:rsid w:val="0091241D"/>
    <w:rsid w:val="00921F73"/>
    <w:rsid w:val="009259BB"/>
    <w:rsid w:val="009307B1"/>
    <w:rsid w:val="0093149A"/>
    <w:rsid w:val="009371EA"/>
    <w:rsid w:val="009372D1"/>
    <w:rsid w:val="00937F44"/>
    <w:rsid w:val="00946B3E"/>
    <w:rsid w:val="0095011A"/>
    <w:rsid w:val="009533CA"/>
    <w:rsid w:val="009550C9"/>
    <w:rsid w:val="00955DBA"/>
    <w:rsid w:val="00961EBE"/>
    <w:rsid w:val="00963E3F"/>
    <w:rsid w:val="00964037"/>
    <w:rsid w:val="0097210F"/>
    <w:rsid w:val="0097257D"/>
    <w:rsid w:val="009727DA"/>
    <w:rsid w:val="009746EA"/>
    <w:rsid w:val="00975B7F"/>
    <w:rsid w:val="0097605B"/>
    <w:rsid w:val="00980D2D"/>
    <w:rsid w:val="00982738"/>
    <w:rsid w:val="009878AA"/>
    <w:rsid w:val="00994BEF"/>
    <w:rsid w:val="00997D9B"/>
    <w:rsid w:val="009A26B1"/>
    <w:rsid w:val="009A6E7A"/>
    <w:rsid w:val="009A6F32"/>
    <w:rsid w:val="009B1F08"/>
    <w:rsid w:val="009B2C3D"/>
    <w:rsid w:val="009B5D15"/>
    <w:rsid w:val="009B6CB1"/>
    <w:rsid w:val="009B6DF5"/>
    <w:rsid w:val="009C49CF"/>
    <w:rsid w:val="009C49EB"/>
    <w:rsid w:val="009D3F87"/>
    <w:rsid w:val="009D76EC"/>
    <w:rsid w:val="009E61E7"/>
    <w:rsid w:val="009F0426"/>
    <w:rsid w:val="009F0BB4"/>
    <w:rsid w:val="009F183C"/>
    <w:rsid w:val="009F25B1"/>
    <w:rsid w:val="009F4E07"/>
    <w:rsid w:val="009F73C6"/>
    <w:rsid w:val="009F7BE6"/>
    <w:rsid w:val="00A05EA0"/>
    <w:rsid w:val="00A10F9F"/>
    <w:rsid w:val="00A11FEE"/>
    <w:rsid w:val="00A2458D"/>
    <w:rsid w:val="00A322FD"/>
    <w:rsid w:val="00A33FB7"/>
    <w:rsid w:val="00A34589"/>
    <w:rsid w:val="00A34C96"/>
    <w:rsid w:val="00A3678B"/>
    <w:rsid w:val="00A427C0"/>
    <w:rsid w:val="00A43F4A"/>
    <w:rsid w:val="00A446C3"/>
    <w:rsid w:val="00A4687D"/>
    <w:rsid w:val="00A544AD"/>
    <w:rsid w:val="00A54643"/>
    <w:rsid w:val="00A57D58"/>
    <w:rsid w:val="00A60FBD"/>
    <w:rsid w:val="00A6174E"/>
    <w:rsid w:val="00A67DE1"/>
    <w:rsid w:val="00A72BB5"/>
    <w:rsid w:val="00A73C47"/>
    <w:rsid w:val="00A740CD"/>
    <w:rsid w:val="00A74A5A"/>
    <w:rsid w:val="00A75865"/>
    <w:rsid w:val="00A8318A"/>
    <w:rsid w:val="00A97E7B"/>
    <w:rsid w:val="00AA6A3B"/>
    <w:rsid w:val="00AB0828"/>
    <w:rsid w:val="00AC25BF"/>
    <w:rsid w:val="00AC335C"/>
    <w:rsid w:val="00AC41BA"/>
    <w:rsid w:val="00AC54C0"/>
    <w:rsid w:val="00AC7A39"/>
    <w:rsid w:val="00AD054A"/>
    <w:rsid w:val="00AD095A"/>
    <w:rsid w:val="00AE009C"/>
    <w:rsid w:val="00AE0D3C"/>
    <w:rsid w:val="00AF7A9A"/>
    <w:rsid w:val="00B008C3"/>
    <w:rsid w:val="00B01A91"/>
    <w:rsid w:val="00B059FB"/>
    <w:rsid w:val="00B07150"/>
    <w:rsid w:val="00B104D8"/>
    <w:rsid w:val="00B111AE"/>
    <w:rsid w:val="00B1205D"/>
    <w:rsid w:val="00B15F24"/>
    <w:rsid w:val="00B24474"/>
    <w:rsid w:val="00B2776B"/>
    <w:rsid w:val="00B41BD1"/>
    <w:rsid w:val="00B43BCF"/>
    <w:rsid w:val="00B457C6"/>
    <w:rsid w:val="00B47DA8"/>
    <w:rsid w:val="00B543C5"/>
    <w:rsid w:val="00B55E7E"/>
    <w:rsid w:val="00B57A7B"/>
    <w:rsid w:val="00B67E94"/>
    <w:rsid w:val="00B70F9A"/>
    <w:rsid w:val="00B71F46"/>
    <w:rsid w:val="00B74E49"/>
    <w:rsid w:val="00B86F17"/>
    <w:rsid w:val="00B873E2"/>
    <w:rsid w:val="00B94874"/>
    <w:rsid w:val="00B9588F"/>
    <w:rsid w:val="00B97C6C"/>
    <w:rsid w:val="00BA0063"/>
    <w:rsid w:val="00BA1667"/>
    <w:rsid w:val="00BA3834"/>
    <w:rsid w:val="00BA3FB3"/>
    <w:rsid w:val="00BA4D14"/>
    <w:rsid w:val="00BA560E"/>
    <w:rsid w:val="00BA5E47"/>
    <w:rsid w:val="00BB260A"/>
    <w:rsid w:val="00BB3A93"/>
    <w:rsid w:val="00BB41BD"/>
    <w:rsid w:val="00BC4E7B"/>
    <w:rsid w:val="00BE133C"/>
    <w:rsid w:val="00BE5FD1"/>
    <w:rsid w:val="00BE66D0"/>
    <w:rsid w:val="00BE7022"/>
    <w:rsid w:val="00BF3CDB"/>
    <w:rsid w:val="00BF4CAE"/>
    <w:rsid w:val="00BF63C0"/>
    <w:rsid w:val="00C04073"/>
    <w:rsid w:val="00C15747"/>
    <w:rsid w:val="00C246DF"/>
    <w:rsid w:val="00C279B5"/>
    <w:rsid w:val="00C27B3A"/>
    <w:rsid w:val="00C37D01"/>
    <w:rsid w:val="00C44EC2"/>
    <w:rsid w:val="00C45D81"/>
    <w:rsid w:val="00C45E5A"/>
    <w:rsid w:val="00C5438A"/>
    <w:rsid w:val="00C564B2"/>
    <w:rsid w:val="00C56EE7"/>
    <w:rsid w:val="00C61C50"/>
    <w:rsid w:val="00C6597F"/>
    <w:rsid w:val="00C72E34"/>
    <w:rsid w:val="00C77651"/>
    <w:rsid w:val="00C83A8E"/>
    <w:rsid w:val="00C8450D"/>
    <w:rsid w:val="00C92609"/>
    <w:rsid w:val="00C94810"/>
    <w:rsid w:val="00C948F3"/>
    <w:rsid w:val="00C9545B"/>
    <w:rsid w:val="00CA0E2D"/>
    <w:rsid w:val="00CA1DFE"/>
    <w:rsid w:val="00CA56AF"/>
    <w:rsid w:val="00CA5AC8"/>
    <w:rsid w:val="00CB031D"/>
    <w:rsid w:val="00CB28B0"/>
    <w:rsid w:val="00CB3598"/>
    <w:rsid w:val="00CB44D5"/>
    <w:rsid w:val="00CB5DB0"/>
    <w:rsid w:val="00CB611B"/>
    <w:rsid w:val="00CB7113"/>
    <w:rsid w:val="00CC0FEE"/>
    <w:rsid w:val="00CC3EEC"/>
    <w:rsid w:val="00CD0AD4"/>
    <w:rsid w:val="00CE0C14"/>
    <w:rsid w:val="00CE2D98"/>
    <w:rsid w:val="00CE4599"/>
    <w:rsid w:val="00CE4EFD"/>
    <w:rsid w:val="00CE5950"/>
    <w:rsid w:val="00CE62F0"/>
    <w:rsid w:val="00CF021D"/>
    <w:rsid w:val="00CF2F47"/>
    <w:rsid w:val="00CF4688"/>
    <w:rsid w:val="00CF4F7E"/>
    <w:rsid w:val="00CF4F96"/>
    <w:rsid w:val="00D005FE"/>
    <w:rsid w:val="00D070F8"/>
    <w:rsid w:val="00D101AB"/>
    <w:rsid w:val="00D10202"/>
    <w:rsid w:val="00D22F40"/>
    <w:rsid w:val="00D26859"/>
    <w:rsid w:val="00D31673"/>
    <w:rsid w:val="00D31CD0"/>
    <w:rsid w:val="00D321B6"/>
    <w:rsid w:val="00D32DD1"/>
    <w:rsid w:val="00D37D98"/>
    <w:rsid w:val="00D44C4C"/>
    <w:rsid w:val="00D5525C"/>
    <w:rsid w:val="00D56A19"/>
    <w:rsid w:val="00D66830"/>
    <w:rsid w:val="00D6731A"/>
    <w:rsid w:val="00D7235C"/>
    <w:rsid w:val="00D83C63"/>
    <w:rsid w:val="00D86EA9"/>
    <w:rsid w:val="00D90F6A"/>
    <w:rsid w:val="00D914E2"/>
    <w:rsid w:val="00D91FCE"/>
    <w:rsid w:val="00D95574"/>
    <w:rsid w:val="00DA7900"/>
    <w:rsid w:val="00DB12CE"/>
    <w:rsid w:val="00DB2871"/>
    <w:rsid w:val="00DB52BF"/>
    <w:rsid w:val="00DB5DB1"/>
    <w:rsid w:val="00DD6ED9"/>
    <w:rsid w:val="00DE0FC2"/>
    <w:rsid w:val="00DE1D3F"/>
    <w:rsid w:val="00DF176E"/>
    <w:rsid w:val="00DF34A6"/>
    <w:rsid w:val="00E06643"/>
    <w:rsid w:val="00E07A3C"/>
    <w:rsid w:val="00E1327E"/>
    <w:rsid w:val="00E13EC7"/>
    <w:rsid w:val="00E165E4"/>
    <w:rsid w:val="00E16688"/>
    <w:rsid w:val="00E1695F"/>
    <w:rsid w:val="00E211BE"/>
    <w:rsid w:val="00E2469E"/>
    <w:rsid w:val="00E35198"/>
    <w:rsid w:val="00E3758E"/>
    <w:rsid w:val="00E4387E"/>
    <w:rsid w:val="00E45BFC"/>
    <w:rsid w:val="00E46B37"/>
    <w:rsid w:val="00E46BA0"/>
    <w:rsid w:val="00E5191F"/>
    <w:rsid w:val="00E55D31"/>
    <w:rsid w:val="00E72EBC"/>
    <w:rsid w:val="00E851EE"/>
    <w:rsid w:val="00E8550B"/>
    <w:rsid w:val="00E92B27"/>
    <w:rsid w:val="00E964F2"/>
    <w:rsid w:val="00E96ED7"/>
    <w:rsid w:val="00E97D84"/>
    <w:rsid w:val="00EA1419"/>
    <w:rsid w:val="00EA1BEC"/>
    <w:rsid w:val="00EA3087"/>
    <w:rsid w:val="00EA3F1D"/>
    <w:rsid w:val="00EA423F"/>
    <w:rsid w:val="00EA5CB3"/>
    <w:rsid w:val="00EA7658"/>
    <w:rsid w:val="00EB47DC"/>
    <w:rsid w:val="00EB6E4F"/>
    <w:rsid w:val="00EC039D"/>
    <w:rsid w:val="00ED1252"/>
    <w:rsid w:val="00ED1286"/>
    <w:rsid w:val="00ED37CA"/>
    <w:rsid w:val="00ED46ED"/>
    <w:rsid w:val="00ED481D"/>
    <w:rsid w:val="00ED6F8F"/>
    <w:rsid w:val="00ED76B2"/>
    <w:rsid w:val="00EE1209"/>
    <w:rsid w:val="00EE4345"/>
    <w:rsid w:val="00EE49FB"/>
    <w:rsid w:val="00EF119B"/>
    <w:rsid w:val="00EF7080"/>
    <w:rsid w:val="00F0015B"/>
    <w:rsid w:val="00F07FFC"/>
    <w:rsid w:val="00F214DA"/>
    <w:rsid w:val="00F26929"/>
    <w:rsid w:val="00F278F2"/>
    <w:rsid w:val="00F34FEB"/>
    <w:rsid w:val="00F37899"/>
    <w:rsid w:val="00F467A5"/>
    <w:rsid w:val="00F510EB"/>
    <w:rsid w:val="00F55997"/>
    <w:rsid w:val="00F56BC9"/>
    <w:rsid w:val="00F60D71"/>
    <w:rsid w:val="00F704A9"/>
    <w:rsid w:val="00F76C23"/>
    <w:rsid w:val="00F778FE"/>
    <w:rsid w:val="00F836B6"/>
    <w:rsid w:val="00F85234"/>
    <w:rsid w:val="00F87D53"/>
    <w:rsid w:val="00F926B6"/>
    <w:rsid w:val="00F9364A"/>
    <w:rsid w:val="00F9699A"/>
    <w:rsid w:val="00FA3424"/>
    <w:rsid w:val="00FA3A24"/>
    <w:rsid w:val="00FA5193"/>
    <w:rsid w:val="00FB154D"/>
    <w:rsid w:val="00FB27E9"/>
    <w:rsid w:val="00FB289F"/>
    <w:rsid w:val="00FB4FD9"/>
    <w:rsid w:val="00FB5D25"/>
    <w:rsid w:val="00FC03C0"/>
    <w:rsid w:val="00FC2432"/>
    <w:rsid w:val="00FC4EC5"/>
    <w:rsid w:val="00FE416A"/>
    <w:rsid w:val="00FE7F61"/>
    <w:rsid w:val="00FF09F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58BA3"/>
  <w14:defaultImageDpi w14:val="300"/>
  <w15:docId w15:val="{EC53EF6F-76D3-44AC-B787-6E056A49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imes New Roman" w:hAnsi="Helvetica" w:cs="Helvetic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F4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qFormat/>
    <w:pPr>
      <w:numPr>
        <w:ilvl w:val="1"/>
      </w:numPr>
      <w:spacing w:before="160" w:after="100" w:line="480" w:lineRule="auto"/>
    </w:pPr>
    <w:rPr>
      <w:rFonts w:ascii="Charter-Roman" w:hAnsi="Charter-Roman"/>
      <w:b/>
      <w:bCs/>
      <w:color w:val="000000"/>
      <w:sz w:val="32"/>
    </w:rPr>
  </w:style>
  <w:style w:type="paragraph" w:customStyle="1" w:styleId="SectionHeadingList">
    <w:name w:val="Section Heading List"/>
    <w:basedOn w:val="SectionHeading"/>
    <w:qFormat/>
  </w:style>
  <w:style w:type="paragraph" w:customStyle="1" w:styleId="SectionHeadingCaption">
    <w:name w:val="Section Heading Caption"/>
    <w:basedOn w:val="SectionHeading"/>
    <w:next w:val="SectionHeading"/>
    <w:qFormat/>
  </w:style>
  <w:style w:type="paragraph" w:customStyle="1" w:styleId="SubsectionHeading">
    <w:name w:val="Subsection Heading"/>
    <w:qFormat/>
    <w:pPr>
      <w:numPr>
        <w:ilvl w:val="1"/>
      </w:numPr>
      <w:spacing w:before="160" w:after="100" w:line="420" w:lineRule="auto"/>
    </w:pPr>
    <w:rPr>
      <w:rFonts w:ascii="Charter-Roman" w:hAnsi="Charter-Roman"/>
      <w:b/>
      <w:bCs/>
      <w:color w:val="000000"/>
      <w:sz w:val="28"/>
    </w:rPr>
  </w:style>
  <w:style w:type="paragraph" w:customStyle="1" w:styleId="SubsectionHeadingList">
    <w:name w:val="Subsection Heading List"/>
    <w:basedOn w:val="SubsectionHeading"/>
    <w:qFormat/>
  </w:style>
  <w:style w:type="paragraph" w:customStyle="1" w:styleId="SubsectionHeadingCaption">
    <w:name w:val="Subsection Heading Caption"/>
    <w:basedOn w:val="SubsectionHeading"/>
    <w:next w:val="SubsectionHeading"/>
    <w:qFormat/>
  </w:style>
  <w:style w:type="paragraph" w:customStyle="1" w:styleId="SubsubsectionHeading">
    <w:name w:val="Subsubsection Heading"/>
    <w:qFormat/>
    <w:pPr>
      <w:numPr>
        <w:ilvl w:val="1"/>
      </w:numPr>
      <w:spacing w:before="160" w:after="100" w:line="360" w:lineRule="auto"/>
    </w:pPr>
    <w:rPr>
      <w:rFonts w:ascii="Charter-Roman" w:hAnsi="Charter-Roman"/>
      <w:b/>
      <w:bCs/>
      <w:color w:val="000000"/>
    </w:rPr>
  </w:style>
  <w:style w:type="paragraph" w:customStyle="1" w:styleId="SubsubsectionHeadingList">
    <w:name w:val="Subsubsection Heading List"/>
    <w:basedOn w:val="SubsubsectionHeading"/>
    <w:qFormat/>
  </w:style>
  <w:style w:type="paragraph" w:customStyle="1" w:styleId="SubsubsectionHeadingCaption">
    <w:name w:val="Subsubsection Heading Caption"/>
    <w:basedOn w:val="SubsubsectionHeading"/>
    <w:next w:val="SubsubsectionHeading"/>
    <w:qFormat/>
  </w:style>
  <w:style w:type="paragraph" w:customStyle="1" w:styleId="BodyText1">
    <w:name w:val="Body Text1"/>
    <w:qFormat/>
    <w:pPr>
      <w:numPr>
        <w:ilvl w:val="1"/>
      </w:numPr>
      <w:spacing w:before="200" w:after="200" w:line="480" w:lineRule="auto"/>
    </w:pPr>
    <w:rPr>
      <w:rFonts w:ascii="Charter-Roman" w:hAnsi="Charter-Roman"/>
      <w:color w:val="000000"/>
    </w:rPr>
  </w:style>
  <w:style w:type="paragraph" w:customStyle="1" w:styleId="BodyTextList">
    <w:name w:val="Body Text List"/>
    <w:basedOn w:val="BodyText1"/>
    <w:qFormat/>
  </w:style>
  <w:style w:type="paragraph" w:customStyle="1" w:styleId="BodyTextCaption">
    <w:name w:val="Body Text Caption"/>
    <w:basedOn w:val="BodyText1"/>
    <w:next w:val="BodyText1"/>
    <w:qFormat/>
  </w:style>
  <w:style w:type="paragraph" w:customStyle="1" w:styleId="ManuscriptTitle">
    <w:name w:val="Manuscript Title"/>
    <w:qFormat/>
    <w:pPr>
      <w:numPr>
        <w:ilvl w:val="1"/>
      </w:numPr>
      <w:spacing w:before="200" w:after="200" w:line="600" w:lineRule="auto"/>
    </w:pPr>
    <w:rPr>
      <w:rFonts w:ascii="Charter-Roman" w:hAnsi="Charter-Roman"/>
      <w:b/>
      <w:bCs/>
      <w:color w:val="000000"/>
      <w:sz w:val="40"/>
    </w:rPr>
  </w:style>
  <w:style w:type="paragraph" w:customStyle="1" w:styleId="ManuscriptTitleList">
    <w:name w:val="Manuscript Title List"/>
    <w:basedOn w:val="ManuscriptTitle"/>
    <w:qFormat/>
  </w:style>
  <w:style w:type="paragraph" w:customStyle="1" w:styleId="ManuscriptTitleCaption">
    <w:name w:val="Manuscript Title Caption"/>
    <w:basedOn w:val="ManuscriptTitle"/>
    <w:next w:val="ManuscriptTitle"/>
    <w:qFormat/>
  </w:style>
  <w:style w:type="paragraph" w:customStyle="1" w:styleId="EndNoteBibliographyTitle">
    <w:name w:val="EndNote Bibliography Title"/>
    <w:basedOn w:val="Normal"/>
    <w:rsid w:val="006433A6"/>
    <w:pPr>
      <w:jc w:val="center"/>
    </w:pPr>
  </w:style>
  <w:style w:type="paragraph" w:customStyle="1" w:styleId="EndNoteBibliography">
    <w:name w:val="EndNote Bibliography"/>
    <w:basedOn w:val="Normal"/>
    <w:rsid w:val="006433A6"/>
    <w:pPr>
      <w:spacing w:line="480" w:lineRule="auto"/>
    </w:pPr>
  </w:style>
  <w:style w:type="paragraph" w:styleId="BalloonText">
    <w:name w:val="Balloon Text"/>
    <w:basedOn w:val="Normal"/>
    <w:link w:val="BalloonTextChar"/>
    <w:uiPriority w:val="99"/>
    <w:semiHidden/>
    <w:unhideWhenUsed/>
    <w:rsid w:val="00CF4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F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D91FCE"/>
    <w:rPr>
      <w:sz w:val="16"/>
      <w:szCs w:val="16"/>
    </w:rPr>
  </w:style>
  <w:style w:type="paragraph" w:styleId="CommentText">
    <w:name w:val="annotation text"/>
    <w:basedOn w:val="Normal"/>
    <w:link w:val="CommentTextChar"/>
    <w:uiPriority w:val="99"/>
    <w:semiHidden/>
    <w:unhideWhenUsed/>
    <w:rsid w:val="00D91FCE"/>
    <w:rPr>
      <w:rFonts w:ascii="Helvetica" w:hAnsi="Helvetica" w:cs="Helvetica"/>
      <w:sz w:val="20"/>
      <w:szCs w:val="20"/>
    </w:rPr>
  </w:style>
  <w:style w:type="character" w:customStyle="1" w:styleId="CommentTextChar">
    <w:name w:val="Comment Text Char"/>
    <w:basedOn w:val="DefaultParagraphFont"/>
    <w:link w:val="CommentText"/>
    <w:uiPriority w:val="99"/>
    <w:semiHidden/>
    <w:rsid w:val="00D91FCE"/>
    <w:rPr>
      <w:sz w:val="20"/>
      <w:szCs w:val="20"/>
    </w:rPr>
  </w:style>
  <w:style w:type="paragraph" w:styleId="CommentSubject">
    <w:name w:val="annotation subject"/>
    <w:basedOn w:val="CommentText"/>
    <w:next w:val="CommentText"/>
    <w:link w:val="CommentSubjectChar"/>
    <w:uiPriority w:val="99"/>
    <w:semiHidden/>
    <w:unhideWhenUsed/>
    <w:rsid w:val="00D91FCE"/>
    <w:rPr>
      <w:b/>
      <w:bCs/>
    </w:rPr>
  </w:style>
  <w:style w:type="character" w:customStyle="1" w:styleId="CommentSubjectChar">
    <w:name w:val="Comment Subject Char"/>
    <w:basedOn w:val="CommentTextChar"/>
    <w:link w:val="CommentSubject"/>
    <w:uiPriority w:val="99"/>
    <w:semiHidden/>
    <w:rsid w:val="00D91FCE"/>
    <w:rPr>
      <w:b/>
      <w:bCs/>
      <w:sz w:val="20"/>
      <w:szCs w:val="20"/>
    </w:rPr>
  </w:style>
  <w:style w:type="paragraph" w:styleId="Header">
    <w:name w:val="header"/>
    <w:basedOn w:val="Normal"/>
    <w:link w:val="HeaderChar"/>
    <w:uiPriority w:val="99"/>
    <w:unhideWhenUsed/>
    <w:rsid w:val="002F221B"/>
    <w:pPr>
      <w:tabs>
        <w:tab w:val="center" w:pos="4680"/>
        <w:tab w:val="right" w:pos="9360"/>
      </w:tabs>
    </w:pPr>
    <w:rPr>
      <w:rFonts w:ascii="Helvetica" w:hAnsi="Helvetica" w:cs="Helvetica"/>
    </w:rPr>
  </w:style>
  <w:style w:type="character" w:customStyle="1" w:styleId="HeaderChar">
    <w:name w:val="Header Char"/>
    <w:basedOn w:val="DefaultParagraphFont"/>
    <w:link w:val="Header"/>
    <w:uiPriority w:val="99"/>
    <w:rsid w:val="002F221B"/>
  </w:style>
  <w:style w:type="paragraph" w:styleId="Footer">
    <w:name w:val="footer"/>
    <w:basedOn w:val="Normal"/>
    <w:link w:val="FooterChar"/>
    <w:uiPriority w:val="99"/>
    <w:unhideWhenUsed/>
    <w:rsid w:val="002F221B"/>
    <w:pPr>
      <w:tabs>
        <w:tab w:val="center" w:pos="4680"/>
        <w:tab w:val="right" w:pos="9360"/>
      </w:tabs>
    </w:pPr>
    <w:rPr>
      <w:rFonts w:ascii="Helvetica" w:hAnsi="Helvetica" w:cs="Helvetica"/>
    </w:rPr>
  </w:style>
  <w:style w:type="character" w:customStyle="1" w:styleId="FooterChar">
    <w:name w:val="Footer Char"/>
    <w:basedOn w:val="DefaultParagraphFont"/>
    <w:link w:val="Footer"/>
    <w:uiPriority w:val="99"/>
    <w:rsid w:val="002F221B"/>
  </w:style>
  <w:style w:type="character" w:styleId="PageNumber">
    <w:name w:val="page number"/>
    <w:basedOn w:val="DefaultParagraphFont"/>
    <w:uiPriority w:val="99"/>
    <w:semiHidden/>
    <w:unhideWhenUsed/>
    <w:rsid w:val="0066703C"/>
  </w:style>
  <w:style w:type="table" w:styleId="TableGrid">
    <w:name w:val="Table Grid"/>
    <w:basedOn w:val="TableNormal"/>
    <w:uiPriority w:val="39"/>
    <w:rsid w:val="00DE1D3F"/>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53C44"/>
    <w:rPr>
      <w:rFonts w:cs="Helvetica"/>
    </w:rPr>
  </w:style>
  <w:style w:type="character" w:customStyle="1" w:styleId="DocumentMapChar">
    <w:name w:val="Document Map Char"/>
    <w:basedOn w:val="DefaultParagraphFont"/>
    <w:link w:val="DocumentMap"/>
    <w:uiPriority w:val="99"/>
    <w:semiHidden/>
    <w:rsid w:val="00853C44"/>
    <w:rPr>
      <w:rFonts w:ascii="Times New Roman" w:hAnsi="Times New Roman"/>
    </w:rPr>
  </w:style>
  <w:style w:type="paragraph" w:customStyle="1" w:styleId="DarkList-Accent51">
    <w:name w:val="Dark List - Accent 51"/>
    <w:basedOn w:val="Normal"/>
    <w:rsid w:val="00F836B6"/>
    <w:pPr>
      <w:ind w:left="720"/>
      <w:contextualSpacing/>
    </w:pPr>
  </w:style>
  <w:style w:type="character" w:customStyle="1" w:styleId="tgc">
    <w:name w:val="_tgc"/>
    <w:basedOn w:val="DefaultParagraphFont"/>
    <w:rsid w:val="00734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7489">
      <w:bodyDiv w:val="1"/>
      <w:marLeft w:val="0"/>
      <w:marRight w:val="0"/>
      <w:marTop w:val="0"/>
      <w:marBottom w:val="0"/>
      <w:divBdr>
        <w:top w:val="none" w:sz="0" w:space="0" w:color="auto"/>
        <w:left w:val="none" w:sz="0" w:space="0" w:color="auto"/>
        <w:bottom w:val="none" w:sz="0" w:space="0" w:color="auto"/>
        <w:right w:val="none" w:sz="0" w:space="0" w:color="auto"/>
      </w:divBdr>
    </w:div>
    <w:div w:id="48768819">
      <w:bodyDiv w:val="1"/>
      <w:marLeft w:val="0"/>
      <w:marRight w:val="0"/>
      <w:marTop w:val="0"/>
      <w:marBottom w:val="0"/>
      <w:divBdr>
        <w:top w:val="none" w:sz="0" w:space="0" w:color="auto"/>
        <w:left w:val="none" w:sz="0" w:space="0" w:color="auto"/>
        <w:bottom w:val="none" w:sz="0" w:space="0" w:color="auto"/>
        <w:right w:val="none" w:sz="0" w:space="0" w:color="auto"/>
      </w:divBdr>
    </w:div>
    <w:div w:id="132799249">
      <w:bodyDiv w:val="1"/>
      <w:marLeft w:val="0"/>
      <w:marRight w:val="0"/>
      <w:marTop w:val="0"/>
      <w:marBottom w:val="0"/>
      <w:divBdr>
        <w:top w:val="none" w:sz="0" w:space="0" w:color="auto"/>
        <w:left w:val="none" w:sz="0" w:space="0" w:color="auto"/>
        <w:bottom w:val="none" w:sz="0" w:space="0" w:color="auto"/>
        <w:right w:val="none" w:sz="0" w:space="0" w:color="auto"/>
      </w:divBdr>
    </w:div>
    <w:div w:id="271018623">
      <w:bodyDiv w:val="1"/>
      <w:marLeft w:val="0"/>
      <w:marRight w:val="0"/>
      <w:marTop w:val="0"/>
      <w:marBottom w:val="0"/>
      <w:divBdr>
        <w:top w:val="none" w:sz="0" w:space="0" w:color="auto"/>
        <w:left w:val="none" w:sz="0" w:space="0" w:color="auto"/>
        <w:bottom w:val="none" w:sz="0" w:space="0" w:color="auto"/>
        <w:right w:val="none" w:sz="0" w:space="0" w:color="auto"/>
      </w:divBdr>
    </w:div>
    <w:div w:id="441875621">
      <w:bodyDiv w:val="1"/>
      <w:marLeft w:val="0"/>
      <w:marRight w:val="0"/>
      <w:marTop w:val="0"/>
      <w:marBottom w:val="0"/>
      <w:divBdr>
        <w:top w:val="none" w:sz="0" w:space="0" w:color="auto"/>
        <w:left w:val="none" w:sz="0" w:space="0" w:color="auto"/>
        <w:bottom w:val="none" w:sz="0" w:space="0" w:color="auto"/>
        <w:right w:val="none" w:sz="0" w:space="0" w:color="auto"/>
      </w:divBdr>
    </w:div>
    <w:div w:id="456920645">
      <w:bodyDiv w:val="1"/>
      <w:marLeft w:val="0"/>
      <w:marRight w:val="0"/>
      <w:marTop w:val="0"/>
      <w:marBottom w:val="0"/>
      <w:divBdr>
        <w:top w:val="none" w:sz="0" w:space="0" w:color="auto"/>
        <w:left w:val="none" w:sz="0" w:space="0" w:color="auto"/>
        <w:bottom w:val="none" w:sz="0" w:space="0" w:color="auto"/>
        <w:right w:val="none" w:sz="0" w:space="0" w:color="auto"/>
      </w:divBdr>
    </w:div>
    <w:div w:id="479344831">
      <w:bodyDiv w:val="1"/>
      <w:marLeft w:val="0"/>
      <w:marRight w:val="0"/>
      <w:marTop w:val="0"/>
      <w:marBottom w:val="0"/>
      <w:divBdr>
        <w:top w:val="none" w:sz="0" w:space="0" w:color="auto"/>
        <w:left w:val="none" w:sz="0" w:space="0" w:color="auto"/>
        <w:bottom w:val="none" w:sz="0" w:space="0" w:color="auto"/>
        <w:right w:val="none" w:sz="0" w:space="0" w:color="auto"/>
      </w:divBdr>
    </w:div>
    <w:div w:id="501624613">
      <w:bodyDiv w:val="1"/>
      <w:marLeft w:val="0"/>
      <w:marRight w:val="0"/>
      <w:marTop w:val="0"/>
      <w:marBottom w:val="0"/>
      <w:divBdr>
        <w:top w:val="none" w:sz="0" w:space="0" w:color="auto"/>
        <w:left w:val="none" w:sz="0" w:space="0" w:color="auto"/>
        <w:bottom w:val="none" w:sz="0" w:space="0" w:color="auto"/>
        <w:right w:val="none" w:sz="0" w:space="0" w:color="auto"/>
      </w:divBdr>
    </w:div>
    <w:div w:id="643586052">
      <w:bodyDiv w:val="1"/>
      <w:marLeft w:val="0"/>
      <w:marRight w:val="0"/>
      <w:marTop w:val="0"/>
      <w:marBottom w:val="0"/>
      <w:divBdr>
        <w:top w:val="none" w:sz="0" w:space="0" w:color="auto"/>
        <w:left w:val="none" w:sz="0" w:space="0" w:color="auto"/>
        <w:bottom w:val="none" w:sz="0" w:space="0" w:color="auto"/>
        <w:right w:val="none" w:sz="0" w:space="0" w:color="auto"/>
      </w:divBdr>
    </w:div>
    <w:div w:id="749739639">
      <w:bodyDiv w:val="1"/>
      <w:marLeft w:val="0"/>
      <w:marRight w:val="0"/>
      <w:marTop w:val="0"/>
      <w:marBottom w:val="0"/>
      <w:divBdr>
        <w:top w:val="none" w:sz="0" w:space="0" w:color="auto"/>
        <w:left w:val="none" w:sz="0" w:space="0" w:color="auto"/>
        <w:bottom w:val="none" w:sz="0" w:space="0" w:color="auto"/>
        <w:right w:val="none" w:sz="0" w:space="0" w:color="auto"/>
      </w:divBdr>
    </w:div>
    <w:div w:id="987048741">
      <w:bodyDiv w:val="1"/>
      <w:marLeft w:val="0"/>
      <w:marRight w:val="0"/>
      <w:marTop w:val="0"/>
      <w:marBottom w:val="0"/>
      <w:divBdr>
        <w:top w:val="none" w:sz="0" w:space="0" w:color="auto"/>
        <w:left w:val="none" w:sz="0" w:space="0" w:color="auto"/>
        <w:bottom w:val="none" w:sz="0" w:space="0" w:color="auto"/>
        <w:right w:val="none" w:sz="0" w:space="0" w:color="auto"/>
      </w:divBdr>
    </w:div>
    <w:div w:id="1085221485">
      <w:bodyDiv w:val="1"/>
      <w:marLeft w:val="0"/>
      <w:marRight w:val="0"/>
      <w:marTop w:val="0"/>
      <w:marBottom w:val="0"/>
      <w:divBdr>
        <w:top w:val="none" w:sz="0" w:space="0" w:color="auto"/>
        <w:left w:val="none" w:sz="0" w:space="0" w:color="auto"/>
        <w:bottom w:val="none" w:sz="0" w:space="0" w:color="auto"/>
        <w:right w:val="none" w:sz="0" w:space="0" w:color="auto"/>
      </w:divBdr>
      <w:divsChild>
        <w:div w:id="103502018">
          <w:marLeft w:val="0"/>
          <w:marRight w:val="0"/>
          <w:marTop w:val="0"/>
          <w:marBottom w:val="0"/>
          <w:divBdr>
            <w:top w:val="none" w:sz="0" w:space="0" w:color="auto"/>
            <w:left w:val="none" w:sz="0" w:space="0" w:color="auto"/>
            <w:bottom w:val="none" w:sz="0" w:space="0" w:color="auto"/>
            <w:right w:val="none" w:sz="0" w:space="0" w:color="auto"/>
          </w:divBdr>
          <w:divsChild>
            <w:div w:id="616911544">
              <w:marLeft w:val="0"/>
              <w:marRight w:val="0"/>
              <w:marTop w:val="0"/>
              <w:marBottom w:val="0"/>
              <w:divBdr>
                <w:top w:val="none" w:sz="0" w:space="0" w:color="auto"/>
                <w:left w:val="none" w:sz="0" w:space="0" w:color="auto"/>
                <w:bottom w:val="none" w:sz="0" w:space="0" w:color="auto"/>
                <w:right w:val="none" w:sz="0" w:space="0" w:color="auto"/>
              </w:divBdr>
              <w:divsChild>
                <w:div w:id="20802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09873">
      <w:bodyDiv w:val="1"/>
      <w:marLeft w:val="0"/>
      <w:marRight w:val="0"/>
      <w:marTop w:val="0"/>
      <w:marBottom w:val="0"/>
      <w:divBdr>
        <w:top w:val="none" w:sz="0" w:space="0" w:color="auto"/>
        <w:left w:val="none" w:sz="0" w:space="0" w:color="auto"/>
        <w:bottom w:val="none" w:sz="0" w:space="0" w:color="auto"/>
        <w:right w:val="none" w:sz="0" w:space="0" w:color="auto"/>
      </w:divBdr>
    </w:div>
    <w:div w:id="1442257654">
      <w:bodyDiv w:val="1"/>
      <w:marLeft w:val="0"/>
      <w:marRight w:val="0"/>
      <w:marTop w:val="0"/>
      <w:marBottom w:val="0"/>
      <w:divBdr>
        <w:top w:val="none" w:sz="0" w:space="0" w:color="auto"/>
        <w:left w:val="none" w:sz="0" w:space="0" w:color="auto"/>
        <w:bottom w:val="none" w:sz="0" w:space="0" w:color="auto"/>
        <w:right w:val="none" w:sz="0" w:space="0" w:color="auto"/>
      </w:divBdr>
    </w:div>
    <w:div w:id="1554536711">
      <w:bodyDiv w:val="1"/>
      <w:marLeft w:val="0"/>
      <w:marRight w:val="0"/>
      <w:marTop w:val="0"/>
      <w:marBottom w:val="0"/>
      <w:divBdr>
        <w:top w:val="none" w:sz="0" w:space="0" w:color="auto"/>
        <w:left w:val="none" w:sz="0" w:space="0" w:color="auto"/>
        <w:bottom w:val="none" w:sz="0" w:space="0" w:color="auto"/>
        <w:right w:val="none" w:sz="0" w:space="0" w:color="auto"/>
      </w:divBdr>
    </w:div>
    <w:div w:id="1632711157">
      <w:bodyDiv w:val="1"/>
      <w:marLeft w:val="0"/>
      <w:marRight w:val="0"/>
      <w:marTop w:val="0"/>
      <w:marBottom w:val="0"/>
      <w:divBdr>
        <w:top w:val="none" w:sz="0" w:space="0" w:color="auto"/>
        <w:left w:val="none" w:sz="0" w:space="0" w:color="auto"/>
        <w:bottom w:val="none" w:sz="0" w:space="0" w:color="auto"/>
        <w:right w:val="none" w:sz="0" w:space="0" w:color="auto"/>
      </w:divBdr>
    </w:div>
    <w:div w:id="1743210733">
      <w:bodyDiv w:val="1"/>
      <w:marLeft w:val="0"/>
      <w:marRight w:val="0"/>
      <w:marTop w:val="0"/>
      <w:marBottom w:val="0"/>
      <w:divBdr>
        <w:top w:val="none" w:sz="0" w:space="0" w:color="auto"/>
        <w:left w:val="none" w:sz="0" w:space="0" w:color="auto"/>
        <w:bottom w:val="none" w:sz="0" w:space="0" w:color="auto"/>
        <w:right w:val="none" w:sz="0" w:space="0" w:color="auto"/>
      </w:divBdr>
    </w:div>
    <w:div w:id="1954095362">
      <w:bodyDiv w:val="1"/>
      <w:marLeft w:val="0"/>
      <w:marRight w:val="0"/>
      <w:marTop w:val="0"/>
      <w:marBottom w:val="0"/>
      <w:divBdr>
        <w:top w:val="none" w:sz="0" w:space="0" w:color="auto"/>
        <w:left w:val="none" w:sz="0" w:space="0" w:color="auto"/>
        <w:bottom w:val="none" w:sz="0" w:space="0" w:color="auto"/>
        <w:right w:val="none" w:sz="0" w:space="0" w:color="auto"/>
      </w:divBdr>
    </w:div>
    <w:div w:id="2082823677">
      <w:bodyDiv w:val="1"/>
      <w:marLeft w:val="0"/>
      <w:marRight w:val="0"/>
      <w:marTop w:val="0"/>
      <w:marBottom w:val="0"/>
      <w:divBdr>
        <w:top w:val="none" w:sz="0" w:space="0" w:color="auto"/>
        <w:left w:val="none" w:sz="0" w:space="0" w:color="auto"/>
        <w:bottom w:val="none" w:sz="0" w:space="0" w:color="auto"/>
        <w:right w:val="none" w:sz="0" w:space="0" w:color="auto"/>
      </w:divBdr>
    </w:div>
    <w:div w:id="2146703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Sheet1!$A$2</c:f>
              <c:strCache>
                <c:ptCount val="1"/>
                <c:pt idx="0">
                  <c:v>Hairs Pulled</c:v>
                </c:pt>
              </c:strCache>
            </c:strRef>
          </c:tx>
          <c:spPr>
            <a:ln w="28575" cap="rnd">
              <a:solidFill>
                <a:schemeClr val="tx1">
                  <a:lumMod val="85000"/>
                  <a:lumOff val="15000"/>
                </a:schemeClr>
              </a:solidFill>
              <a:round/>
            </a:ln>
            <a:effectLst/>
          </c:spPr>
          <c:marker>
            <c:symbol val="circle"/>
            <c:size val="10"/>
            <c:spPr>
              <a:solidFill>
                <a:schemeClr val="tx1">
                  <a:lumMod val="85000"/>
                  <a:lumOff val="15000"/>
                </a:schemeClr>
              </a:solidFill>
              <a:ln w="9525">
                <a:solidFill>
                  <a:schemeClr val="tx1">
                    <a:lumMod val="85000"/>
                    <a:lumOff val="15000"/>
                  </a:schemeClr>
                </a:solidFill>
              </a:ln>
              <a:effectLst/>
            </c:spPr>
          </c:marker>
          <c:cat>
            <c:strRef>
              <c:f>Sheet1!$B$1:$L$1</c:f>
              <c:strCache>
                <c:ptCount val="11"/>
                <c:pt idx="0">
                  <c:v>Pre</c:v>
                </c:pt>
                <c:pt idx="1">
                  <c:v>1</c:v>
                </c:pt>
                <c:pt idx="2">
                  <c:v>2</c:v>
                </c:pt>
                <c:pt idx="3">
                  <c:v>3</c:v>
                </c:pt>
                <c:pt idx="4">
                  <c:v>4</c:v>
                </c:pt>
                <c:pt idx="5">
                  <c:v>5</c:v>
                </c:pt>
                <c:pt idx="6">
                  <c:v>6</c:v>
                </c:pt>
                <c:pt idx="7">
                  <c:v>7</c:v>
                </c:pt>
                <c:pt idx="8">
                  <c:v>8</c:v>
                </c:pt>
                <c:pt idx="9">
                  <c:v>9</c:v>
                </c:pt>
                <c:pt idx="10">
                  <c:v>10</c:v>
                </c:pt>
              </c:strCache>
            </c:strRef>
          </c:cat>
          <c:val>
            <c:numRef>
              <c:f>Sheet1!$B$2:$L$2</c:f>
              <c:numCache>
                <c:formatCode>General</c:formatCode>
                <c:ptCount val="11"/>
                <c:pt idx="0">
                  <c:v>16.75</c:v>
                </c:pt>
                <c:pt idx="1">
                  <c:v>16.149999999999999</c:v>
                </c:pt>
                <c:pt idx="2">
                  <c:v>15.47</c:v>
                </c:pt>
                <c:pt idx="3">
                  <c:v>14.64</c:v>
                </c:pt>
                <c:pt idx="4">
                  <c:v>10.96</c:v>
                </c:pt>
                <c:pt idx="5" formatCode="0.00">
                  <c:v>10.72</c:v>
                </c:pt>
                <c:pt idx="6">
                  <c:v>11.89</c:v>
                </c:pt>
                <c:pt idx="7">
                  <c:v>10.09</c:v>
                </c:pt>
                <c:pt idx="8">
                  <c:v>6.27</c:v>
                </c:pt>
                <c:pt idx="9">
                  <c:v>5.78</c:v>
                </c:pt>
                <c:pt idx="10">
                  <c:v>7.8</c:v>
                </c:pt>
              </c:numCache>
            </c:numRef>
          </c:val>
          <c:smooth val="0"/>
          <c:extLst>
            <c:ext xmlns:c16="http://schemas.microsoft.com/office/drawing/2014/chart" uri="{C3380CC4-5D6E-409C-BE32-E72D297353CC}">
              <c16:uniqueId val="{00000000-C74B-224F-9B92-3F12C7EA5EB3}"/>
            </c:ext>
          </c:extLst>
        </c:ser>
        <c:ser>
          <c:idx val="1"/>
          <c:order val="1"/>
          <c:tx>
            <c:strRef>
              <c:f>Sheet1!$A$3</c:f>
              <c:strCache>
                <c:ptCount val="1"/>
                <c:pt idx="0">
                  <c:v>Urges</c:v>
                </c:pt>
              </c:strCache>
            </c:strRef>
          </c:tx>
          <c:spPr>
            <a:ln w="28575" cap="rnd">
              <a:solidFill>
                <a:schemeClr val="tx1">
                  <a:lumMod val="50000"/>
                  <a:lumOff val="50000"/>
                </a:schemeClr>
              </a:solidFill>
              <a:prstDash val="sysDot"/>
              <a:round/>
            </a:ln>
            <a:effectLst/>
          </c:spPr>
          <c:marker>
            <c:symbol val="diamond"/>
            <c:size val="10"/>
            <c:spPr>
              <a:solidFill>
                <a:schemeClr val="tx1">
                  <a:lumMod val="50000"/>
                  <a:lumOff val="50000"/>
                </a:schemeClr>
              </a:solidFill>
              <a:ln w="9525">
                <a:solidFill>
                  <a:schemeClr val="tx1">
                    <a:lumMod val="50000"/>
                    <a:lumOff val="50000"/>
                  </a:schemeClr>
                </a:solidFill>
              </a:ln>
              <a:effectLst/>
            </c:spPr>
          </c:marker>
          <c:cat>
            <c:strRef>
              <c:f>Sheet1!$B$1:$L$1</c:f>
              <c:strCache>
                <c:ptCount val="11"/>
                <c:pt idx="0">
                  <c:v>Pre</c:v>
                </c:pt>
                <c:pt idx="1">
                  <c:v>1</c:v>
                </c:pt>
                <c:pt idx="2">
                  <c:v>2</c:v>
                </c:pt>
                <c:pt idx="3">
                  <c:v>3</c:v>
                </c:pt>
                <c:pt idx="4">
                  <c:v>4</c:v>
                </c:pt>
                <c:pt idx="5">
                  <c:v>5</c:v>
                </c:pt>
                <c:pt idx="6">
                  <c:v>6</c:v>
                </c:pt>
                <c:pt idx="7">
                  <c:v>7</c:v>
                </c:pt>
                <c:pt idx="8">
                  <c:v>8</c:v>
                </c:pt>
                <c:pt idx="9">
                  <c:v>9</c:v>
                </c:pt>
                <c:pt idx="10">
                  <c:v>10</c:v>
                </c:pt>
              </c:strCache>
            </c:strRef>
          </c:cat>
          <c:val>
            <c:numRef>
              <c:f>Sheet1!$B$3:$L$3</c:f>
              <c:numCache>
                <c:formatCode>General</c:formatCode>
                <c:ptCount val="11"/>
                <c:pt idx="0">
                  <c:v>5.52</c:v>
                </c:pt>
                <c:pt idx="1">
                  <c:v>14.03</c:v>
                </c:pt>
                <c:pt idx="2">
                  <c:v>7.48</c:v>
                </c:pt>
                <c:pt idx="3">
                  <c:v>19.12</c:v>
                </c:pt>
                <c:pt idx="4">
                  <c:v>10.5</c:v>
                </c:pt>
                <c:pt idx="5">
                  <c:v>8.41</c:v>
                </c:pt>
                <c:pt idx="6">
                  <c:v>10.199999999999999</c:v>
                </c:pt>
                <c:pt idx="7">
                  <c:v>10.97</c:v>
                </c:pt>
                <c:pt idx="8">
                  <c:v>9.0400000000000009</c:v>
                </c:pt>
                <c:pt idx="9">
                  <c:v>9.09</c:v>
                </c:pt>
                <c:pt idx="10">
                  <c:v>7.97</c:v>
                </c:pt>
              </c:numCache>
            </c:numRef>
          </c:val>
          <c:smooth val="0"/>
          <c:extLst>
            <c:ext xmlns:c16="http://schemas.microsoft.com/office/drawing/2014/chart" uri="{C3380CC4-5D6E-409C-BE32-E72D297353CC}">
              <c16:uniqueId val="{00000001-C74B-224F-9B92-3F12C7EA5EB3}"/>
            </c:ext>
          </c:extLst>
        </c:ser>
        <c:dLbls>
          <c:showLegendKey val="0"/>
          <c:showVal val="0"/>
          <c:showCatName val="0"/>
          <c:showSerName val="0"/>
          <c:showPercent val="0"/>
          <c:showBubbleSize val="0"/>
        </c:dLbls>
        <c:marker val="1"/>
        <c:smooth val="0"/>
        <c:axId val="213853056"/>
        <c:axId val="213855760"/>
      </c:lineChart>
      <c:catAx>
        <c:axId val="213853056"/>
        <c:scaling>
          <c:orientation val="minMax"/>
        </c:scaling>
        <c:delete val="0"/>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Times New Roman" charset="0"/>
                    <a:ea typeface="Times New Roman" charset="0"/>
                    <a:cs typeface="Times New Roman" charset="0"/>
                  </a:defRPr>
                </a:pPr>
                <a:r>
                  <a:rPr lang="en-US" sz="1600"/>
                  <a:t>Session Number</a:t>
                </a: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13855760"/>
        <c:crosses val="autoZero"/>
        <c:auto val="1"/>
        <c:lblAlgn val="ctr"/>
        <c:lblOffset val="100"/>
        <c:noMultiLvlLbl val="0"/>
      </c:catAx>
      <c:valAx>
        <c:axId val="213855760"/>
        <c:scaling>
          <c:orientation val="minMax"/>
          <c:max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Times New Roman" charset="0"/>
                    <a:ea typeface="Times New Roman" charset="0"/>
                    <a:cs typeface="Times New Roman" charset="0"/>
                  </a:defRPr>
                </a:pPr>
                <a:r>
                  <a:rPr lang="en-US" sz="1600"/>
                  <a:t>Reported Daily Value (Mean)</a:t>
                </a:r>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1385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charset="0"/>
          <a:ea typeface="Times New Roman" charset="0"/>
          <a:cs typeface="Times New Roman"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68DE96-EF52-4A37-8F7F-2887BB49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8894</Words>
  <Characters>50696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Morrison</dc:creator>
  <cp:keywords/>
  <dc:description/>
  <cp:lastModifiedBy>Michael Levin</cp:lastModifiedBy>
  <cp:revision>2</cp:revision>
  <dcterms:created xsi:type="dcterms:W3CDTF">2018-02-20T21:56:00Z</dcterms:created>
  <dcterms:modified xsi:type="dcterms:W3CDTF">2018-02-20T21:56:00Z</dcterms:modified>
  <cp:category/>
</cp:coreProperties>
</file>