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3DC0" w14:textId="23A9FE16" w:rsidR="00103FFC" w:rsidRPr="00073171" w:rsidRDefault="00103FFC" w:rsidP="00CF466F">
      <w:pPr>
        <w:spacing w:line="480" w:lineRule="auto"/>
        <w:jc w:val="center"/>
        <w:rPr>
          <w:b/>
          <w:bCs/>
          <w:color w:val="000000" w:themeColor="text1"/>
        </w:rPr>
      </w:pPr>
      <w:r w:rsidRPr="00073171">
        <w:rPr>
          <w:b/>
          <w:bCs/>
          <w:color w:val="000000" w:themeColor="text1"/>
        </w:rPr>
        <w:t>Abstract</w:t>
      </w:r>
    </w:p>
    <w:p w14:paraId="5E769A91" w14:textId="648CC1E1" w:rsidR="00E422AD" w:rsidRPr="00073171" w:rsidRDefault="00A61128" w:rsidP="00717731">
      <w:pPr>
        <w:spacing w:line="480" w:lineRule="auto"/>
        <w:ind w:firstLine="720"/>
        <w:rPr>
          <w:color w:val="000000" w:themeColor="text1"/>
        </w:rPr>
      </w:pPr>
      <w:r w:rsidRPr="00073171">
        <w:rPr>
          <w:color w:val="000000" w:themeColor="text1"/>
        </w:rPr>
        <w:t>Anxiety disorders are one of the most prevalent diagnoses in youth</w:t>
      </w:r>
      <w:r w:rsidR="00B64207" w:rsidRPr="00073171">
        <w:rPr>
          <w:color w:val="000000" w:themeColor="text1"/>
        </w:rPr>
        <w:t>, often resulting in impaired social and school functioning</w:t>
      </w:r>
      <w:r w:rsidRPr="00073171">
        <w:rPr>
          <w:color w:val="000000" w:themeColor="text1"/>
        </w:rPr>
        <w:t xml:space="preserve">. Research on treatments for youth anxiety is primarily based </w:t>
      </w:r>
      <w:r w:rsidR="00F36DE8" w:rsidRPr="00073171">
        <w:rPr>
          <w:color w:val="000000" w:themeColor="text1"/>
        </w:rPr>
        <w:t xml:space="preserve">in </w:t>
      </w:r>
      <w:r w:rsidR="00E20F2C" w:rsidRPr="00073171">
        <w:rPr>
          <w:color w:val="000000" w:themeColor="text1"/>
        </w:rPr>
        <w:t xml:space="preserve">traditional </w:t>
      </w:r>
      <w:r w:rsidR="00F36DE8" w:rsidRPr="00073171">
        <w:rPr>
          <w:color w:val="000000" w:themeColor="text1"/>
        </w:rPr>
        <w:t>clinical settings</w:t>
      </w:r>
      <w:r w:rsidRPr="00073171">
        <w:rPr>
          <w:color w:val="000000" w:themeColor="text1"/>
        </w:rPr>
        <w:t>.</w:t>
      </w:r>
      <w:r w:rsidR="000B4E4F" w:rsidRPr="00073171">
        <w:rPr>
          <w:color w:val="000000" w:themeColor="text1"/>
        </w:rPr>
        <w:t xml:space="preserve"> Howe</w:t>
      </w:r>
      <w:r w:rsidR="00B77F09" w:rsidRPr="00073171">
        <w:rPr>
          <w:color w:val="000000" w:themeColor="text1"/>
        </w:rPr>
        <w:t>ver, integrating youth psychotherapies into the school environment improve</w:t>
      </w:r>
      <w:r w:rsidR="00442284" w:rsidRPr="00073171">
        <w:rPr>
          <w:color w:val="000000" w:themeColor="text1"/>
        </w:rPr>
        <w:t>s</w:t>
      </w:r>
      <w:r w:rsidR="00B77F09" w:rsidRPr="00073171">
        <w:rPr>
          <w:color w:val="000000" w:themeColor="text1"/>
        </w:rPr>
        <w:t xml:space="preserve"> access </w:t>
      </w:r>
      <w:r w:rsidR="00C24F52" w:rsidRPr="00073171">
        <w:rPr>
          <w:color w:val="000000" w:themeColor="text1"/>
        </w:rPr>
        <w:t>to evidence-based</w:t>
      </w:r>
      <w:r w:rsidR="00B77F09" w:rsidRPr="00073171">
        <w:rPr>
          <w:color w:val="000000" w:themeColor="text1"/>
        </w:rPr>
        <w:t xml:space="preserve"> care. </w:t>
      </w:r>
      <w:r w:rsidRPr="00073171">
        <w:rPr>
          <w:color w:val="000000" w:themeColor="text1"/>
        </w:rPr>
        <w:t>Th</w:t>
      </w:r>
      <w:r w:rsidR="00B5557B" w:rsidRPr="00073171">
        <w:rPr>
          <w:color w:val="000000" w:themeColor="text1"/>
        </w:rPr>
        <w:t xml:space="preserve">e present study is a pilot, randomized waitlist-controlled trial of a </w:t>
      </w:r>
      <w:r w:rsidRPr="00073171">
        <w:rPr>
          <w:color w:val="000000" w:themeColor="text1"/>
        </w:rPr>
        <w:t xml:space="preserve">school-based, group </w:t>
      </w:r>
      <w:r w:rsidR="0057595D" w:rsidRPr="00073171">
        <w:rPr>
          <w:color w:val="000000" w:themeColor="text1"/>
        </w:rPr>
        <w:t>acceptance and commitment therapy-based</w:t>
      </w:r>
      <w:r w:rsidR="003E1612" w:rsidRPr="00073171">
        <w:rPr>
          <w:color w:val="000000" w:themeColor="text1"/>
        </w:rPr>
        <w:t xml:space="preserve"> (ACT)</w:t>
      </w:r>
      <w:r w:rsidR="0057595D" w:rsidRPr="00073171">
        <w:rPr>
          <w:color w:val="000000" w:themeColor="text1"/>
        </w:rPr>
        <w:t xml:space="preserve"> intervention</w:t>
      </w:r>
      <w:r w:rsidRPr="00073171">
        <w:rPr>
          <w:color w:val="000000" w:themeColor="text1"/>
        </w:rPr>
        <w:t xml:space="preserve"> for adolescents with anxiety</w:t>
      </w:r>
      <w:r w:rsidR="00331057" w:rsidRPr="00073171">
        <w:rPr>
          <w:color w:val="000000" w:themeColor="text1"/>
        </w:rPr>
        <w:t>.</w:t>
      </w:r>
      <w:r w:rsidR="0032561B" w:rsidRPr="00073171">
        <w:rPr>
          <w:color w:val="000000" w:themeColor="text1"/>
        </w:rPr>
        <w:t xml:space="preserve"> </w:t>
      </w:r>
      <w:r w:rsidR="003E1612" w:rsidRPr="00073171">
        <w:rPr>
          <w:color w:val="000000" w:themeColor="text1"/>
        </w:rPr>
        <w:t>Students at two separate schools</w:t>
      </w:r>
      <w:r w:rsidRPr="00073171">
        <w:rPr>
          <w:color w:val="000000" w:themeColor="text1"/>
        </w:rPr>
        <w:t xml:space="preserve"> (</w:t>
      </w:r>
      <w:r w:rsidRPr="00073171">
        <w:rPr>
          <w:i/>
          <w:iCs/>
          <w:color w:val="000000" w:themeColor="text1"/>
        </w:rPr>
        <w:t>N</w:t>
      </w:r>
      <w:r w:rsidRPr="00073171">
        <w:rPr>
          <w:color w:val="000000" w:themeColor="text1"/>
        </w:rPr>
        <w:t xml:space="preserve"> = 26) with elevated anxiety were randomized to a</w:t>
      </w:r>
      <w:r w:rsidR="007B4750" w:rsidRPr="00073171">
        <w:rPr>
          <w:color w:val="000000" w:themeColor="text1"/>
        </w:rPr>
        <w:t xml:space="preserve"> 12-week</w:t>
      </w:r>
      <w:r w:rsidRPr="00073171">
        <w:rPr>
          <w:color w:val="000000" w:themeColor="text1"/>
        </w:rPr>
        <w:t xml:space="preserve"> waitlist or to </w:t>
      </w:r>
      <w:r w:rsidR="006C0AC4" w:rsidRPr="00073171">
        <w:rPr>
          <w:color w:val="000000" w:themeColor="text1"/>
        </w:rPr>
        <w:t>immediate treatment</w:t>
      </w:r>
      <w:r w:rsidRPr="00073171">
        <w:rPr>
          <w:color w:val="000000" w:themeColor="text1"/>
        </w:rPr>
        <w:t xml:space="preserve">. </w:t>
      </w:r>
      <w:r w:rsidR="008D6413" w:rsidRPr="00073171">
        <w:rPr>
          <w:color w:val="000000" w:themeColor="text1"/>
        </w:rPr>
        <w:t xml:space="preserve">Participants in the </w:t>
      </w:r>
      <w:r w:rsidR="00DA6184" w:rsidRPr="00073171">
        <w:rPr>
          <w:color w:val="000000" w:themeColor="text1"/>
        </w:rPr>
        <w:t xml:space="preserve">immediate treatment </w:t>
      </w:r>
      <w:r w:rsidR="008D6413" w:rsidRPr="00073171">
        <w:rPr>
          <w:color w:val="000000" w:themeColor="text1"/>
        </w:rPr>
        <w:t xml:space="preserve">condition reported </w:t>
      </w:r>
      <w:r w:rsidR="00DA6184" w:rsidRPr="00073171">
        <w:rPr>
          <w:color w:val="000000" w:themeColor="text1"/>
        </w:rPr>
        <w:t xml:space="preserve">statistically </w:t>
      </w:r>
      <w:r w:rsidR="008D6413" w:rsidRPr="00073171">
        <w:rPr>
          <w:color w:val="000000" w:themeColor="text1"/>
        </w:rPr>
        <w:t>significant decrease</w:t>
      </w:r>
      <w:r w:rsidR="00DA6184" w:rsidRPr="00073171">
        <w:rPr>
          <w:color w:val="000000" w:themeColor="text1"/>
        </w:rPr>
        <w:t>s</w:t>
      </w:r>
      <w:r w:rsidR="004650DE" w:rsidRPr="00073171">
        <w:rPr>
          <w:color w:val="000000" w:themeColor="text1"/>
        </w:rPr>
        <w:t xml:space="preserve"> in</w:t>
      </w:r>
      <w:r w:rsidR="008D6413" w:rsidRPr="00073171">
        <w:rPr>
          <w:color w:val="000000" w:themeColor="text1"/>
        </w:rPr>
        <w:t xml:space="preserve"> anxiety and class absences at posttreatment and follow-up compared to the waitlist group. </w:t>
      </w:r>
      <w:r w:rsidR="00E13F1F" w:rsidRPr="00073171">
        <w:rPr>
          <w:color w:val="000000" w:themeColor="text1"/>
        </w:rPr>
        <w:t>No</w:t>
      </w:r>
      <w:r w:rsidR="00331C6D" w:rsidRPr="00073171">
        <w:rPr>
          <w:color w:val="000000" w:themeColor="text1"/>
        </w:rPr>
        <w:t xml:space="preserve"> statistically significant</w:t>
      </w:r>
      <w:r w:rsidR="00E13F1F" w:rsidRPr="00073171">
        <w:rPr>
          <w:color w:val="000000" w:themeColor="text1"/>
        </w:rPr>
        <w:t xml:space="preserve"> differences were found </w:t>
      </w:r>
      <w:r w:rsidR="00483887" w:rsidRPr="00073171">
        <w:rPr>
          <w:color w:val="000000" w:themeColor="text1"/>
        </w:rPr>
        <w:t xml:space="preserve">between groups </w:t>
      </w:r>
      <w:r w:rsidR="00E13F1F" w:rsidRPr="00073171">
        <w:rPr>
          <w:color w:val="000000" w:themeColor="text1"/>
        </w:rPr>
        <w:t xml:space="preserve">for depression, psychological flexibility, </w:t>
      </w:r>
      <w:r w:rsidR="00910147" w:rsidRPr="00073171">
        <w:rPr>
          <w:color w:val="000000" w:themeColor="text1"/>
        </w:rPr>
        <w:t xml:space="preserve">positive mental health, and student well-being. </w:t>
      </w:r>
      <w:r w:rsidR="002E6690" w:rsidRPr="00073171">
        <w:rPr>
          <w:color w:val="000000" w:themeColor="text1"/>
        </w:rPr>
        <w:t xml:space="preserve">However, medium </w:t>
      </w:r>
      <w:r w:rsidR="008B20F0" w:rsidRPr="00073171">
        <w:rPr>
          <w:color w:val="000000" w:themeColor="text1"/>
        </w:rPr>
        <w:t xml:space="preserve">within-condition </w:t>
      </w:r>
      <w:r w:rsidR="002E6690" w:rsidRPr="00073171">
        <w:rPr>
          <w:color w:val="000000" w:themeColor="text1"/>
        </w:rPr>
        <w:t xml:space="preserve">effect sizes were seen in the treatment group for all outcomes. </w:t>
      </w:r>
      <w:r w:rsidR="00B33644" w:rsidRPr="00073171">
        <w:rPr>
          <w:color w:val="000000" w:themeColor="text1"/>
        </w:rPr>
        <w:t xml:space="preserve">Participants reported the treatment as favorable with good acceptance ratings. </w:t>
      </w:r>
      <w:r w:rsidR="00086383" w:rsidRPr="00073171">
        <w:rPr>
          <w:color w:val="000000" w:themeColor="text1"/>
        </w:rPr>
        <w:t xml:space="preserve">Overall, this study </w:t>
      </w:r>
      <w:r w:rsidR="005F332F" w:rsidRPr="00073171">
        <w:rPr>
          <w:color w:val="000000" w:themeColor="text1"/>
        </w:rPr>
        <w:t>supports</w:t>
      </w:r>
      <w:r w:rsidR="00086383" w:rsidRPr="00073171">
        <w:rPr>
          <w:color w:val="000000" w:themeColor="text1"/>
        </w:rPr>
        <w:t xml:space="preserve"> ACT as a </w:t>
      </w:r>
      <w:r w:rsidR="006E14CC" w:rsidRPr="00073171">
        <w:rPr>
          <w:color w:val="000000" w:themeColor="text1"/>
        </w:rPr>
        <w:t xml:space="preserve">viable </w:t>
      </w:r>
      <w:r w:rsidR="00086383" w:rsidRPr="00073171">
        <w:rPr>
          <w:color w:val="000000" w:themeColor="text1"/>
        </w:rPr>
        <w:t>intervention for schools</w:t>
      </w:r>
      <w:r w:rsidR="00353A1C" w:rsidRPr="00073171">
        <w:rPr>
          <w:color w:val="000000" w:themeColor="text1"/>
        </w:rPr>
        <w:t xml:space="preserve"> and other clinical settings providing services to</w:t>
      </w:r>
      <w:r w:rsidR="00086383" w:rsidRPr="00073171">
        <w:rPr>
          <w:color w:val="000000" w:themeColor="text1"/>
        </w:rPr>
        <w:t xml:space="preserve"> adolescent</w:t>
      </w:r>
      <w:r w:rsidR="00FF1CD6" w:rsidRPr="00073171">
        <w:rPr>
          <w:color w:val="000000" w:themeColor="text1"/>
        </w:rPr>
        <w:t xml:space="preserve">s with </w:t>
      </w:r>
      <w:r w:rsidR="00086383" w:rsidRPr="00073171">
        <w:rPr>
          <w:color w:val="000000" w:themeColor="text1"/>
        </w:rPr>
        <w:t>anxiety.</w:t>
      </w:r>
    </w:p>
    <w:p w14:paraId="0FCECB8A" w14:textId="136904DE" w:rsidR="004B3E26" w:rsidRPr="00073171" w:rsidRDefault="004B3E26" w:rsidP="00717731">
      <w:pPr>
        <w:spacing w:line="480" w:lineRule="auto"/>
        <w:ind w:firstLine="720"/>
        <w:rPr>
          <w:color w:val="000000" w:themeColor="text1"/>
        </w:rPr>
      </w:pPr>
      <w:r w:rsidRPr="00073171">
        <w:rPr>
          <w:i/>
          <w:iCs/>
          <w:color w:val="000000" w:themeColor="text1"/>
        </w:rPr>
        <w:t>Keywords</w:t>
      </w:r>
      <w:r w:rsidRPr="00073171">
        <w:rPr>
          <w:color w:val="000000" w:themeColor="text1"/>
        </w:rPr>
        <w:t>: acceptance and commitment therapy, adolescents, anxiety, school</w:t>
      </w:r>
      <w:r w:rsidR="00483887" w:rsidRPr="00073171">
        <w:rPr>
          <w:color w:val="000000" w:themeColor="text1"/>
        </w:rPr>
        <w:t xml:space="preserve"> mental health</w:t>
      </w:r>
      <w:r w:rsidR="0082616D" w:rsidRPr="00073171">
        <w:rPr>
          <w:color w:val="000000" w:themeColor="text1"/>
        </w:rPr>
        <w:t>, DNA-V, transdiagnostic</w:t>
      </w:r>
    </w:p>
    <w:p w14:paraId="0A7238EC" w14:textId="34D4BD51" w:rsidR="002D5DFD" w:rsidRPr="00073171" w:rsidRDefault="00E422AD" w:rsidP="002D5DFD">
      <w:pPr>
        <w:rPr>
          <w:color w:val="000000" w:themeColor="text1"/>
        </w:rPr>
      </w:pPr>
      <w:r w:rsidRPr="00073171">
        <w:rPr>
          <w:color w:val="000000" w:themeColor="text1"/>
        </w:rPr>
        <w:br w:type="page"/>
      </w:r>
    </w:p>
    <w:p w14:paraId="6D000F52" w14:textId="634A4F65" w:rsidR="002D5DFD" w:rsidRPr="00073171" w:rsidRDefault="002D5DFD" w:rsidP="002D5DFD">
      <w:pPr>
        <w:pStyle w:val="NoSpacing"/>
        <w:spacing w:line="480" w:lineRule="auto"/>
        <w:jc w:val="center"/>
        <w:outlineLvl w:val="0"/>
        <w:rPr>
          <w:rFonts w:cs="Times New Roman"/>
          <w:b/>
          <w:bCs/>
          <w:color w:val="000000" w:themeColor="text1"/>
        </w:rPr>
      </w:pPr>
      <w:r w:rsidRPr="00073171">
        <w:rPr>
          <w:rFonts w:cs="Times New Roman"/>
          <w:b/>
          <w:bCs/>
          <w:color w:val="000000" w:themeColor="text1"/>
        </w:rPr>
        <w:lastRenderedPageBreak/>
        <w:t>School-based acceptance and commitment therapy for adolescents with anxiety</w:t>
      </w:r>
    </w:p>
    <w:p w14:paraId="399BC09B" w14:textId="691FAB36" w:rsidR="001522CC" w:rsidRPr="00073171" w:rsidRDefault="008F4FDF" w:rsidP="00E422AD">
      <w:pPr>
        <w:spacing w:line="480" w:lineRule="auto"/>
        <w:ind w:firstLine="720"/>
        <w:rPr>
          <w:color w:val="000000" w:themeColor="text1"/>
        </w:rPr>
      </w:pPr>
      <w:r w:rsidRPr="00073171">
        <w:rPr>
          <w:color w:val="000000" w:themeColor="text1"/>
        </w:rPr>
        <w:t>A</w:t>
      </w:r>
      <w:r w:rsidR="00946E03" w:rsidRPr="00073171">
        <w:rPr>
          <w:color w:val="000000" w:themeColor="text1"/>
        </w:rPr>
        <w:t>mong</w:t>
      </w:r>
      <w:r w:rsidR="002777EB" w:rsidRPr="00073171">
        <w:rPr>
          <w:color w:val="000000" w:themeColor="text1"/>
        </w:rPr>
        <w:t xml:space="preserve"> all </w:t>
      </w:r>
      <w:r w:rsidR="000E31D9" w:rsidRPr="00073171">
        <w:rPr>
          <w:color w:val="000000" w:themeColor="text1"/>
        </w:rPr>
        <w:t xml:space="preserve">adolescent </w:t>
      </w:r>
      <w:r w:rsidR="002777EB" w:rsidRPr="00073171">
        <w:rPr>
          <w:color w:val="000000" w:themeColor="text1"/>
        </w:rPr>
        <w:t>mental health issues, anxiety disorders are the most common</w:t>
      </w:r>
      <w:r w:rsidR="00382736" w:rsidRPr="00073171">
        <w:rPr>
          <w:color w:val="000000" w:themeColor="text1"/>
        </w:rPr>
        <w:t xml:space="preserve"> and often one of the earliest form</w:t>
      </w:r>
      <w:r w:rsidR="00BF02C2" w:rsidRPr="00073171">
        <w:rPr>
          <w:color w:val="000000" w:themeColor="text1"/>
        </w:rPr>
        <w:t>s</w:t>
      </w:r>
      <w:r w:rsidR="00382736" w:rsidRPr="00073171">
        <w:rPr>
          <w:color w:val="000000" w:themeColor="text1"/>
        </w:rPr>
        <w:t xml:space="preserve"> of psychopathology </w:t>
      </w:r>
      <w:r w:rsidR="00630A80" w:rsidRPr="00073171">
        <w:rPr>
          <w:color w:val="000000" w:themeColor="text1"/>
        </w:rPr>
        <w:t>to develop</w:t>
      </w:r>
      <w:r w:rsidR="002777EB" w:rsidRPr="00073171">
        <w:rPr>
          <w:color w:val="000000" w:themeColor="text1"/>
        </w:rPr>
        <w:t xml:space="preserve"> </w:t>
      </w:r>
      <w:r w:rsidR="00382736" w:rsidRPr="00073171">
        <w:rPr>
          <w:noProof/>
          <w:color w:val="000000" w:themeColor="text1"/>
        </w:rPr>
        <w:t>(Wehry</w:t>
      </w:r>
      <w:r w:rsidR="00A265B0" w:rsidRPr="00073171">
        <w:rPr>
          <w:noProof/>
          <w:color w:val="000000" w:themeColor="text1"/>
        </w:rPr>
        <w:t xml:space="preserve"> et al., </w:t>
      </w:r>
      <w:r w:rsidR="00382736" w:rsidRPr="00073171">
        <w:rPr>
          <w:noProof/>
          <w:color w:val="000000" w:themeColor="text1"/>
        </w:rPr>
        <w:t>2015)</w:t>
      </w:r>
      <w:r w:rsidR="002777EB" w:rsidRPr="00073171">
        <w:rPr>
          <w:color w:val="000000" w:themeColor="text1"/>
        </w:rPr>
        <w:t>.</w:t>
      </w:r>
      <w:r w:rsidR="001F0306" w:rsidRPr="00073171">
        <w:rPr>
          <w:color w:val="000000" w:themeColor="text1"/>
        </w:rPr>
        <w:t xml:space="preserve"> While anxiety disorders have a lifetime prevalence of 15-20%, </w:t>
      </w:r>
      <w:r w:rsidR="00BE42B4" w:rsidRPr="00073171">
        <w:rPr>
          <w:color w:val="000000" w:themeColor="text1"/>
        </w:rPr>
        <w:t xml:space="preserve">epidemiological estimates of diagnosed adolescent anxiety disorders are as high as 31.9% </w:t>
      </w:r>
      <w:r w:rsidR="00537631" w:rsidRPr="00073171">
        <w:rPr>
          <w:noProof/>
          <w:color w:val="000000" w:themeColor="text1"/>
        </w:rPr>
        <w:t>(Beesdo, Knappe, &amp; Pine, 2009; Merikangas et al., 2010)</w:t>
      </w:r>
      <w:r w:rsidR="001F0306" w:rsidRPr="00073171">
        <w:rPr>
          <w:color w:val="000000" w:themeColor="text1"/>
        </w:rPr>
        <w:t>.</w:t>
      </w:r>
      <w:r w:rsidR="002777EB" w:rsidRPr="00073171">
        <w:rPr>
          <w:color w:val="000000" w:themeColor="text1"/>
        </w:rPr>
        <w:t xml:space="preserve"> </w:t>
      </w:r>
      <w:r w:rsidR="00AE0B77" w:rsidRPr="00073171">
        <w:rPr>
          <w:color w:val="000000" w:themeColor="text1"/>
        </w:rPr>
        <w:t>Y</w:t>
      </w:r>
      <w:r w:rsidR="005068E9" w:rsidRPr="00073171">
        <w:rPr>
          <w:color w:val="000000" w:themeColor="text1"/>
        </w:rPr>
        <w:t xml:space="preserve">outh with anxiety disorders </w:t>
      </w:r>
      <w:r w:rsidR="006E14CC" w:rsidRPr="00073171">
        <w:rPr>
          <w:color w:val="000000" w:themeColor="text1"/>
        </w:rPr>
        <w:t xml:space="preserve">also </w:t>
      </w:r>
      <w:r w:rsidR="005068E9" w:rsidRPr="00073171">
        <w:rPr>
          <w:color w:val="000000" w:themeColor="text1"/>
        </w:rPr>
        <w:t>have an increased risk of developing depression, substance use, and other mental disorders later in life</w:t>
      </w:r>
      <w:r w:rsidR="00F52215" w:rsidRPr="00073171">
        <w:rPr>
          <w:color w:val="000000" w:themeColor="text1"/>
        </w:rPr>
        <w:t xml:space="preserve"> </w:t>
      </w:r>
      <w:r w:rsidR="00F24F77" w:rsidRPr="00073171">
        <w:rPr>
          <w:noProof/>
          <w:color w:val="000000" w:themeColor="text1"/>
        </w:rPr>
        <w:t>(Beesdo</w:t>
      </w:r>
      <w:r w:rsidR="00734831" w:rsidRPr="00073171">
        <w:rPr>
          <w:noProof/>
          <w:color w:val="000000" w:themeColor="text1"/>
        </w:rPr>
        <w:t>,</w:t>
      </w:r>
      <w:r w:rsidR="00F24F77" w:rsidRPr="00073171">
        <w:rPr>
          <w:noProof/>
          <w:color w:val="000000" w:themeColor="text1"/>
        </w:rPr>
        <w:t xml:space="preserve"> </w:t>
      </w:r>
      <w:r w:rsidR="00734831" w:rsidRPr="00073171">
        <w:rPr>
          <w:noProof/>
          <w:color w:val="000000" w:themeColor="text1"/>
        </w:rPr>
        <w:t xml:space="preserve">Knappe, &amp; Pine, </w:t>
      </w:r>
      <w:r w:rsidR="00F24F77" w:rsidRPr="00073171">
        <w:rPr>
          <w:noProof/>
          <w:color w:val="000000" w:themeColor="text1"/>
        </w:rPr>
        <w:t>2009)</w:t>
      </w:r>
      <w:r w:rsidR="005068E9" w:rsidRPr="00073171">
        <w:rPr>
          <w:color w:val="000000" w:themeColor="text1"/>
        </w:rPr>
        <w:t>.</w:t>
      </w:r>
      <w:r w:rsidR="00E422AD" w:rsidRPr="00073171">
        <w:rPr>
          <w:color w:val="000000" w:themeColor="text1"/>
        </w:rPr>
        <w:t xml:space="preserve"> </w:t>
      </w:r>
      <w:r w:rsidR="00EB4572" w:rsidRPr="00073171">
        <w:rPr>
          <w:color w:val="000000" w:themeColor="text1"/>
        </w:rPr>
        <w:t xml:space="preserve">Additionally, </w:t>
      </w:r>
      <w:r w:rsidR="006C5495" w:rsidRPr="00073171">
        <w:rPr>
          <w:color w:val="000000" w:themeColor="text1"/>
        </w:rPr>
        <w:t>youth with anxiety</w:t>
      </w:r>
      <w:r w:rsidR="009F675A" w:rsidRPr="00073171">
        <w:rPr>
          <w:color w:val="000000" w:themeColor="text1"/>
        </w:rPr>
        <w:t xml:space="preserve"> </w:t>
      </w:r>
      <w:r w:rsidR="00EB4572" w:rsidRPr="00073171">
        <w:rPr>
          <w:color w:val="000000" w:themeColor="text1"/>
        </w:rPr>
        <w:t xml:space="preserve">have </w:t>
      </w:r>
      <w:r w:rsidR="00E422AD" w:rsidRPr="00073171">
        <w:rPr>
          <w:color w:val="000000" w:themeColor="text1"/>
        </w:rPr>
        <w:t xml:space="preserve">greater functional impairment and lower </w:t>
      </w:r>
      <w:r w:rsidR="00EB4572" w:rsidRPr="00073171">
        <w:rPr>
          <w:color w:val="000000" w:themeColor="text1"/>
        </w:rPr>
        <w:t>social skills and peer acceptance</w:t>
      </w:r>
      <w:r w:rsidR="005D1AB3" w:rsidRPr="00073171">
        <w:rPr>
          <w:color w:val="000000" w:themeColor="text1"/>
        </w:rPr>
        <w:t xml:space="preserve"> combined with greater interpersonal difficulties</w:t>
      </w:r>
      <w:r w:rsidR="00F66C60" w:rsidRPr="00073171">
        <w:rPr>
          <w:color w:val="000000" w:themeColor="text1"/>
        </w:rPr>
        <w:t>, victimization,</w:t>
      </w:r>
      <w:r w:rsidR="005D1AB3" w:rsidRPr="00073171">
        <w:rPr>
          <w:color w:val="000000" w:themeColor="text1"/>
        </w:rPr>
        <w:t xml:space="preserve"> and loneliness</w:t>
      </w:r>
      <w:r w:rsidR="00EB4572" w:rsidRPr="00073171">
        <w:rPr>
          <w:color w:val="000000" w:themeColor="text1"/>
        </w:rPr>
        <w:t xml:space="preserve"> than </w:t>
      </w:r>
      <w:r w:rsidR="0055299D" w:rsidRPr="00073171">
        <w:rPr>
          <w:color w:val="000000" w:themeColor="text1"/>
        </w:rPr>
        <w:t xml:space="preserve">youth without anxiety </w:t>
      </w:r>
      <w:r w:rsidR="00EB4572" w:rsidRPr="00073171">
        <w:rPr>
          <w:noProof/>
          <w:color w:val="000000" w:themeColor="text1"/>
        </w:rPr>
        <w:t>(de Lijster et al., 2018; Greco &amp; Morris, 2005)</w:t>
      </w:r>
      <w:r w:rsidR="00EB4572" w:rsidRPr="00073171">
        <w:rPr>
          <w:color w:val="000000" w:themeColor="text1"/>
        </w:rPr>
        <w:t>.</w:t>
      </w:r>
    </w:p>
    <w:p w14:paraId="49CAEC01" w14:textId="4969A40A" w:rsidR="00CB1861" w:rsidRPr="00073171" w:rsidRDefault="00311E45" w:rsidP="00CD7963">
      <w:pPr>
        <w:spacing w:line="480" w:lineRule="auto"/>
        <w:rPr>
          <w:color w:val="000000" w:themeColor="text1"/>
        </w:rPr>
      </w:pPr>
      <w:r w:rsidRPr="00073171">
        <w:rPr>
          <w:b/>
          <w:color w:val="000000" w:themeColor="text1"/>
        </w:rPr>
        <w:tab/>
      </w:r>
      <w:r w:rsidRPr="00073171">
        <w:rPr>
          <w:color w:val="000000" w:themeColor="text1"/>
        </w:rPr>
        <w:t xml:space="preserve">Anxiety disorders </w:t>
      </w:r>
      <w:r w:rsidR="006E14CC" w:rsidRPr="00073171">
        <w:rPr>
          <w:color w:val="000000" w:themeColor="text1"/>
        </w:rPr>
        <w:t>are often</w:t>
      </w:r>
      <w:r w:rsidRPr="00073171">
        <w:rPr>
          <w:color w:val="000000" w:themeColor="text1"/>
        </w:rPr>
        <w:t xml:space="preserve"> treated in children and adolescents using cognitive behavioral therapy</w:t>
      </w:r>
      <w:r w:rsidR="001B0C27" w:rsidRPr="00073171">
        <w:rPr>
          <w:color w:val="000000" w:themeColor="text1"/>
        </w:rPr>
        <w:t xml:space="preserve"> (CBT)</w:t>
      </w:r>
      <w:r w:rsidRPr="00073171">
        <w:rPr>
          <w:color w:val="000000" w:themeColor="text1"/>
        </w:rPr>
        <w:t xml:space="preserve">. </w:t>
      </w:r>
      <w:r w:rsidR="00A57DAD" w:rsidRPr="00073171">
        <w:rPr>
          <w:color w:val="000000" w:themeColor="text1"/>
        </w:rPr>
        <w:t xml:space="preserve">Researchers have demonstrated that </w:t>
      </w:r>
      <w:r w:rsidR="00AD5DB2" w:rsidRPr="00073171">
        <w:rPr>
          <w:color w:val="000000" w:themeColor="text1"/>
        </w:rPr>
        <w:t>group and individual</w:t>
      </w:r>
      <w:r w:rsidR="00B53F1D" w:rsidRPr="00073171">
        <w:rPr>
          <w:color w:val="000000" w:themeColor="text1"/>
        </w:rPr>
        <w:t xml:space="preserve"> CBT</w:t>
      </w:r>
      <w:r w:rsidR="00A57DAD" w:rsidRPr="00073171">
        <w:rPr>
          <w:color w:val="000000" w:themeColor="text1"/>
        </w:rPr>
        <w:t xml:space="preserve"> are</w:t>
      </w:r>
      <w:r w:rsidR="00B53F1D" w:rsidRPr="00073171">
        <w:rPr>
          <w:color w:val="000000" w:themeColor="text1"/>
        </w:rPr>
        <w:t xml:space="preserve"> efficacious for youth anxiety disorders</w:t>
      </w:r>
      <w:r w:rsidR="00A57DAD" w:rsidRPr="00073171">
        <w:rPr>
          <w:color w:val="000000" w:themeColor="text1"/>
        </w:rPr>
        <w:t xml:space="preserve"> in several large reviews and meta-analyses</w:t>
      </w:r>
      <w:r w:rsidR="00B53F1D" w:rsidRPr="00073171">
        <w:rPr>
          <w:color w:val="000000" w:themeColor="text1"/>
        </w:rPr>
        <w:t xml:space="preserve"> </w:t>
      </w:r>
      <w:r w:rsidR="005623CC" w:rsidRPr="00073171">
        <w:rPr>
          <w:noProof/>
          <w:color w:val="000000" w:themeColor="text1"/>
        </w:rPr>
        <w:t>(</w:t>
      </w:r>
      <w:r w:rsidR="000F7EF2" w:rsidRPr="00073171">
        <w:rPr>
          <w:noProof/>
          <w:color w:val="000000" w:themeColor="text1"/>
        </w:rPr>
        <w:t xml:space="preserve">e.g., </w:t>
      </w:r>
      <w:r w:rsidR="005623CC" w:rsidRPr="00073171">
        <w:rPr>
          <w:noProof/>
          <w:color w:val="000000" w:themeColor="text1"/>
        </w:rPr>
        <w:t>Cartwright-Hatton</w:t>
      </w:r>
      <w:r w:rsidR="001C1D88" w:rsidRPr="00073171">
        <w:rPr>
          <w:noProof/>
          <w:color w:val="000000" w:themeColor="text1"/>
        </w:rPr>
        <w:t xml:space="preserve"> et al., </w:t>
      </w:r>
      <w:r w:rsidR="005623CC" w:rsidRPr="00073171">
        <w:rPr>
          <w:noProof/>
          <w:color w:val="000000" w:themeColor="text1"/>
        </w:rPr>
        <w:t>2004; Jame</w:t>
      </w:r>
      <w:r w:rsidR="001C1D88" w:rsidRPr="00073171">
        <w:rPr>
          <w:noProof/>
          <w:color w:val="000000" w:themeColor="text1"/>
        </w:rPr>
        <w:t>s</w:t>
      </w:r>
      <w:r w:rsidR="005623CC" w:rsidRPr="00073171">
        <w:rPr>
          <w:noProof/>
          <w:color w:val="000000" w:themeColor="text1"/>
        </w:rPr>
        <w:t xml:space="preserve"> </w:t>
      </w:r>
      <w:r w:rsidR="001C1D88" w:rsidRPr="00073171">
        <w:rPr>
          <w:noProof/>
          <w:color w:val="000000" w:themeColor="text1"/>
        </w:rPr>
        <w:t>et al.,</w:t>
      </w:r>
      <w:r w:rsidR="005623CC" w:rsidRPr="00073171">
        <w:rPr>
          <w:noProof/>
          <w:color w:val="000000" w:themeColor="text1"/>
        </w:rPr>
        <w:t xml:space="preserve"> 2015)</w:t>
      </w:r>
      <w:r w:rsidR="00B53F1D" w:rsidRPr="00073171">
        <w:rPr>
          <w:color w:val="000000" w:themeColor="text1"/>
        </w:rPr>
        <w:t>.</w:t>
      </w:r>
      <w:r w:rsidR="0085012C" w:rsidRPr="00073171">
        <w:rPr>
          <w:color w:val="000000" w:themeColor="text1"/>
        </w:rPr>
        <w:t xml:space="preserve"> </w:t>
      </w:r>
      <w:r w:rsidR="00B53F1D" w:rsidRPr="00073171">
        <w:rPr>
          <w:color w:val="000000" w:themeColor="text1"/>
        </w:rPr>
        <w:t xml:space="preserve">CBT has a documented </w:t>
      </w:r>
      <w:r w:rsidR="006E14CC" w:rsidRPr="00073171">
        <w:rPr>
          <w:color w:val="000000" w:themeColor="text1"/>
        </w:rPr>
        <w:t xml:space="preserve">anxiety </w:t>
      </w:r>
      <w:r w:rsidR="00B53F1D" w:rsidRPr="00073171">
        <w:rPr>
          <w:color w:val="000000" w:themeColor="text1"/>
        </w:rPr>
        <w:t>remission rate of 56.5%</w:t>
      </w:r>
      <w:r w:rsidR="00CB19E0" w:rsidRPr="00073171">
        <w:rPr>
          <w:color w:val="000000" w:themeColor="text1"/>
        </w:rPr>
        <w:t>; however,</w:t>
      </w:r>
      <w:r w:rsidR="00447931" w:rsidRPr="00073171">
        <w:rPr>
          <w:color w:val="000000" w:themeColor="text1"/>
        </w:rPr>
        <w:t xml:space="preserve"> almost one-third</w:t>
      </w:r>
      <w:r w:rsidR="00B53F1D" w:rsidRPr="00073171">
        <w:rPr>
          <w:color w:val="000000" w:themeColor="text1"/>
        </w:rPr>
        <w:t xml:space="preserve"> of youth still hold an anxiety disorder diagnosis at the end of treatment </w:t>
      </w:r>
      <w:r w:rsidR="00B53F1D" w:rsidRPr="00073171">
        <w:rPr>
          <w:noProof/>
          <w:color w:val="000000" w:themeColor="text1"/>
        </w:rPr>
        <w:t>(Cartwright-Hatton et al., 2004)</w:t>
      </w:r>
      <w:r w:rsidR="00B53F1D" w:rsidRPr="00073171">
        <w:rPr>
          <w:color w:val="000000" w:themeColor="text1"/>
        </w:rPr>
        <w:t>.</w:t>
      </w:r>
      <w:r w:rsidR="001949BB" w:rsidRPr="00073171">
        <w:rPr>
          <w:color w:val="000000" w:themeColor="text1"/>
        </w:rPr>
        <w:t xml:space="preserve"> </w:t>
      </w:r>
      <w:r w:rsidR="00DA1B6E" w:rsidRPr="00073171">
        <w:rPr>
          <w:color w:val="000000" w:themeColor="text1"/>
        </w:rPr>
        <w:t>Furthermore</w:t>
      </w:r>
      <w:r w:rsidR="006606B8" w:rsidRPr="00073171">
        <w:rPr>
          <w:color w:val="000000" w:themeColor="text1"/>
        </w:rPr>
        <w:t xml:space="preserve">, </w:t>
      </w:r>
      <w:r w:rsidR="002717A3" w:rsidRPr="00073171">
        <w:rPr>
          <w:color w:val="000000" w:themeColor="text1"/>
        </w:rPr>
        <w:t>t</w:t>
      </w:r>
      <w:r w:rsidR="00B779DA" w:rsidRPr="00073171">
        <w:rPr>
          <w:color w:val="000000" w:themeColor="text1"/>
        </w:rPr>
        <w:t xml:space="preserve">he majority of these studies </w:t>
      </w:r>
      <w:r w:rsidR="00A57DAD" w:rsidRPr="00073171">
        <w:rPr>
          <w:color w:val="000000" w:themeColor="text1"/>
        </w:rPr>
        <w:t>t</w:t>
      </w:r>
      <w:r w:rsidR="00DA1B6E" w:rsidRPr="00073171">
        <w:rPr>
          <w:color w:val="000000" w:themeColor="text1"/>
        </w:rPr>
        <w:t>ook</w:t>
      </w:r>
      <w:r w:rsidR="00A57DAD" w:rsidRPr="00073171">
        <w:rPr>
          <w:color w:val="000000" w:themeColor="text1"/>
        </w:rPr>
        <w:t xml:space="preserve"> place </w:t>
      </w:r>
      <w:r w:rsidR="00B779DA" w:rsidRPr="00073171">
        <w:rPr>
          <w:color w:val="000000" w:themeColor="text1"/>
        </w:rPr>
        <w:t xml:space="preserve">in clinics or university settings. </w:t>
      </w:r>
      <w:r w:rsidR="002717A3" w:rsidRPr="00073171">
        <w:rPr>
          <w:color w:val="000000" w:themeColor="text1"/>
        </w:rPr>
        <w:t>There</w:t>
      </w:r>
      <w:r w:rsidR="007A0EC8" w:rsidRPr="00073171">
        <w:rPr>
          <w:color w:val="000000" w:themeColor="text1"/>
        </w:rPr>
        <w:t xml:space="preserve"> is a need to </w:t>
      </w:r>
      <w:r w:rsidR="002717A3" w:rsidRPr="00073171">
        <w:rPr>
          <w:color w:val="000000" w:themeColor="text1"/>
        </w:rPr>
        <w:t xml:space="preserve">explore how to best adapt and implement </w:t>
      </w:r>
      <w:r w:rsidR="00483887" w:rsidRPr="00073171">
        <w:rPr>
          <w:color w:val="000000" w:themeColor="text1"/>
        </w:rPr>
        <w:t xml:space="preserve">treatments </w:t>
      </w:r>
      <w:r w:rsidR="002717A3" w:rsidRPr="00073171">
        <w:rPr>
          <w:color w:val="000000" w:themeColor="text1"/>
        </w:rPr>
        <w:t>for adolescent anxiety in more naturalistic environments, such as schools</w:t>
      </w:r>
      <w:r w:rsidR="00FA085A" w:rsidRPr="00073171">
        <w:rPr>
          <w:color w:val="000000" w:themeColor="text1"/>
        </w:rPr>
        <w:t>, to improve external validity of evidence-based care.</w:t>
      </w:r>
    </w:p>
    <w:p w14:paraId="58A65A8D" w14:textId="1C046AFA" w:rsidR="004D4C09" w:rsidRPr="00073171" w:rsidRDefault="00EA10D2" w:rsidP="00CD7963">
      <w:pPr>
        <w:spacing w:line="480" w:lineRule="auto"/>
        <w:rPr>
          <w:color w:val="000000" w:themeColor="text1"/>
        </w:rPr>
      </w:pPr>
      <w:r w:rsidRPr="00073171">
        <w:rPr>
          <w:color w:val="000000" w:themeColor="text1"/>
        </w:rPr>
        <w:tab/>
      </w:r>
      <w:r w:rsidR="00CB492C" w:rsidRPr="00073171">
        <w:rPr>
          <w:color w:val="000000" w:themeColor="text1"/>
        </w:rPr>
        <w:t xml:space="preserve">Schools are the focal point for youth </w:t>
      </w:r>
      <w:r w:rsidR="00F12098" w:rsidRPr="00073171">
        <w:rPr>
          <w:color w:val="000000" w:themeColor="text1"/>
        </w:rPr>
        <w:t xml:space="preserve">entering the mental health care system and receiving treatment </w:t>
      </w:r>
      <w:r w:rsidR="00F12098" w:rsidRPr="00073171">
        <w:rPr>
          <w:noProof/>
          <w:color w:val="000000" w:themeColor="text1"/>
        </w:rPr>
        <w:t>(Farmer</w:t>
      </w:r>
      <w:r w:rsidR="00FA085A" w:rsidRPr="00073171">
        <w:rPr>
          <w:noProof/>
          <w:color w:val="000000" w:themeColor="text1"/>
        </w:rPr>
        <w:t xml:space="preserve"> et al.,</w:t>
      </w:r>
      <w:r w:rsidR="00F12098" w:rsidRPr="00073171">
        <w:rPr>
          <w:noProof/>
          <w:color w:val="000000" w:themeColor="text1"/>
        </w:rPr>
        <w:t xml:space="preserve"> 2003)</w:t>
      </w:r>
      <w:r w:rsidR="00F12098" w:rsidRPr="00073171">
        <w:rPr>
          <w:color w:val="000000" w:themeColor="text1"/>
        </w:rPr>
        <w:t>. Scho</w:t>
      </w:r>
      <w:r w:rsidR="00434038" w:rsidRPr="00073171">
        <w:rPr>
          <w:color w:val="000000" w:themeColor="text1"/>
        </w:rPr>
        <w:t>ol mental health systems</w:t>
      </w:r>
      <w:r w:rsidR="00F12098" w:rsidRPr="00073171">
        <w:rPr>
          <w:color w:val="000000" w:themeColor="text1"/>
        </w:rPr>
        <w:t xml:space="preserve"> have</w:t>
      </w:r>
      <w:r w:rsidR="007A0EC8" w:rsidRPr="00073171">
        <w:rPr>
          <w:color w:val="000000" w:themeColor="text1"/>
        </w:rPr>
        <w:t xml:space="preserve"> documented</w:t>
      </w:r>
      <w:r w:rsidR="00F12098" w:rsidRPr="00073171">
        <w:rPr>
          <w:color w:val="000000" w:themeColor="text1"/>
        </w:rPr>
        <w:t xml:space="preserve"> positive impacts on students</w:t>
      </w:r>
      <w:r w:rsidR="008C2C8C" w:rsidRPr="00073171">
        <w:rPr>
          <w:color w:val="000000" w:themeColor="text1"/>
        </w:rPr>
        <w:t xml:space="preserve">, </w:t>
      </w:r>
      <w:r w:rsidR="00F12098" w:rsidRPr="00073171">
        <w:rPr>
          <w:color w:val="000000" w:themeColor="text1"/>
        </w:rPr>
        <w:t xml:space="preserve">their families, </w:t>
      </w:r>
      <w:r w:rsidR="008C2C8C" w:rsidRPr="00073171">
        <w:rPr>
          <w:color w:val="000000" w:themeColor="text1"/>
        </w:rPr>
        <w:t>and</w:t>
      </w:r>
      <w:r w:rsidR="00F12098" w:rsidRPr="00073171">
        <w:rPr>
          <w:color w:val="000000" w:themeColor="text1"/>
        </w:rPr>
        <w:t xml:space="preserve"> stigma</w:t>
      </w:r>
      <w:r w:rsidR="00312574" w:rsidRPr="00073171">
        <w:rPr>
          <w:color w:val="000000" w:themeColor="text1"/>
        </w:rPr>
        <w:t xml:space="preserve"> surrounding</w:t>
      </w:r>
      <w:r w:rsidR="005C3C33" w:rsidRPr="00073171">
        <w:rPr>
          <w:color w:val="000000" w:themeColor="text1"/>
        </w:rPr>
        <w:t xml:space="preserve"> </w:t>
      </w:r>
      <w:r w:rsidR="00312574" w:rsidRPr="00073171">
        <w:rPr>
          <w:color w:val="000000" w:themeColor="text1"/>
        </w:rPr>
        <w:t xml:space="preserve">mental health treatment </w:t>
      </w:r>
      <w:r w:rsidR="00F12098" w:rsidRPr="00073171">
        <w:rPr>
          <w:noProof/>
          <w:color w:val="000000" w:themeColor="text1"/>
        </w:rPr>
        <w:t>(Stephan</w:t>
      </w:r>
      <w:r w:rsidR="00281F38" w:rsidRPr="00073171">
        <w:rPr>
          <w:noProof/>
          <w:color w:val="000000" w:themeColor="text1"/>
        </w:rPr>
        <w:t xml:space="preserve"> et al., </w:t>
      </w:r>
      <w:r w:rsidR="00F12098" w:rsidRPr="00073171">
        <w:rPr>
          <w:noProof/>
          <w:color w:val="000000" w:themeColor="text1"/>
        </w:rPr>
        <w:t>2007)</w:t>
      </w:r>
      <w:r w:rsidR="00F12098" w:rsidRPr="00073171">
        <w:rPr>
          <w:color w:val="000000" w:themeColor="text1"/>
        </w:rPr>
        <w:t xml:space="preserve">. </w:t>
      </w:r>
      <w:r w:rsidR="00B674D0" w:rsidRPr="00073171">
        <w:rPr>
          <w:color w:val="000000" w:themeColor="text1"/>
        </w:rPr>
        <w:t>Mychailyszyn and colleagues</w:t>
      </w:r>
      <w:r w:rsidR="00543F57" w:rsidRPr="00073171">
        <w:rPr>
          <w:color w:val="000000" w:themeColor="text1"/>
        </w:rPr>
        <w:t xml:space="preserve"> </w:t>
      </w:r>
      <w:r w:rsidR="00543F57" w:rsidRPr="00073171">
        <w:rPr>
          <w:noProof/>
          <w:color w:val="000000" w:themeColor="text1"/>
        </w:rPr>
        <w:t>(2012)</w:t>
      </w:r>
      <w:r w:rsidR="00543F57" w:rsidRPr="00073171">
        <w:rPr>
          <w:color w:val="000000" w:themeColor="text1"/>
        </w:rPr>
        <w:t xml:space="preserve"> found in</w:t>
      </w:r>
      <w:r w:rsidR="00B674D0" w:rsidRPr="00073171">
        <w:rPr>
          <w:color w:val="000000" w:themeColor="text1"/>
        </w:rPr>
        <w:t xml:space="preserve"> a</w:t>
      </w:r>
      <w:r w:rsidR="00647C66" w:rsidRPr="00073171">
        <w:rPr>
          <w:color w:val="000000" w:themeColor="text1"/>
        </w:rPr>
        <w:t xml:space="preserve"> </w:t>
      </w:r>
      <w:r w:rsidR="00A23AEA" w:rsidRPr="00073171">
        <w:rPr>
          <w:color w:val="000000" w:themeColor="text1"/>
        </w:rPr>
        <w:t>review of 63 studies spanning</w:t>
      </w:r>
      <w:r w:rsidR="00360344" w:rsidRPr="00073171">
        <w:rPr>
          <w:color w:val="000000" w:themeColor="text1"/>
        </w:rPr>
        <w:t xml:space="preserve"> 8,225 </w:t>
      </w:r>
      <w:r w:rsidR="00360344" w:rsidRPr="00073171">
        <w:rPr>
          <w:color w:val="000000" w:themeColor="text1"/>
        </w:rPr>
        <w:lastRenderedPageBreak/>
        <w:t xml:space="preserve">participants </w:t>
      </w:r>
      <w:r w:rsidR="00543F57" w:rsidRPr="00073171">
        <w:rPr>
          <w:color w:val="000000" w:themeColor="text1"/>
        </w:rPr>
        <w:t xml:space="preserve">that </w:t>
      </w:r>
      <w:r w:rsidR="00360344" w:rsidRPr="00073171">
        <w:rPr>
          <w:color w:val="000000" w:themeColor="text1"/>
        </w:rPr>
        <w:t>CBT delivered in</w:t>
      </w:r>
      <w:r w:rsidR="00A23AEA" w:rsidRPr="00073171">
        <w:rPr>
          <w:color w:val="000000" w:themeColor="text1"/>
        </w:rPr>
        <w:t xml:space="preserve"> schools</w:t>
      </w:r>
      <w:r w:rsidR="002D6C1D" w:rsidRPr="00073171">
        <w:rPr>
          <w:color w:val="000000" w:themeColor="text1"/>
        </w:rPr>
        <w:t xml:space="preserve"> was</w:t>
      </w:r>
      <w:r w:rsidR="00A23AEA" w:rsidRPr="00073171">
        <w:rPr>
          <w:color w:val="000000" w:themeColor="text1"/>
        </w:rPr>
        <w:t xml:space="preserve"> moderately effective for anxiety</w:t>
      </w:r>
      <w:r w:rsidR="000576DD" w:rsidRPr="00073171">
        <w:rPr>
          <w:color w:val="000000" w:themeColor="text1"/>
        </w:rPr>
        <w:t xml:space="preserve"> (</w:t>
      </w:r>
      <w:r w:rsidR="000576DD" w:rsidRPr="00073171">
        <w:rPr>
          <w:rFonts w:ascii="Calibri" w:hAnsi="Calibri" w:cs="Calibri"/>
          <w:color w:val="000000" w:themeColor="text1"/>
        </w:rPr>
        <w:t>﻿</w:t>
      </w:r>
      <w:r w:rsidR="000576DD" w:rsidRPr="00073171">
        <w:rPr>
          <w:color w:val="000000" w:themeColor="text1"/>
        </w:rPr>
        <w:t xml:space="preserve">Hedge’s </w:t>
      </w:r>
      <w:r w:rsidR="000576DD" w:rsidRPr="00073171">
        <w:rPr>
          <w:i/>
          <w:iCs/>
          <w:color w:val="000000" w:themeColor="text1"/>
        </w:rPr>
        <w:t>g</w:t>
      </w:r>
      <w:r w:rsidR="000576DD" w:rsidRPr="00073171">
        <w:rPr>
          <w:color w:val="000000" w:themeColor="text1"/>
        </w:rPr>
        <w:t xml:space="preserve"> = 0.50)</w:t>
      </w:r>
      <w:r w:rsidR="005B4E27" w:rsidRPr="00073171">
        <w:rPr>
          <w:color w:val="000000" w:themeColor="text1"/>
        </w:rPr>
        <w:t xml:space="preserve">. However, </w:t>
      </w:r>
      <w:r w:rsidR="00A57DAD" w:rsidRPr="00073171">
        <w:rPr>
          <w:color w:val="000000" w:themeColor="text1"/>
        </w:rPr>
        <w:t xml:space="preserve">only a few </w:t>
      </w:r>
      <w:r w:rsidR="007A63F1" w:rsidRPr="00073171">
        <w:rPr>
          <w:color w:val="000000" w:themeColor="text1"/>
        </w:rPr>
        <w:t xml:space="preserve">studies </w:t>
      </w:r>
      <w:r w:rsidR="00503F95" w:rsidRPr="00073171">
        <w:rPr>
          <w:color w:val="000000" w:themeColor="text1"/>
        </w:rPr>
        <w:t xml:space="preserve">have examined </w:t>
      </w:r>
      <w:r w:rsidR="00032328" w:rsidRPr="00073171">
        <w:rPr>
          <w:color w:val="000000" w:themeColor="text1"/>
        </w:rPr>
        <w:t>CBT for</w:t>
      </w:r>
      <w:r w:rsidR="00F36009" w:rsidRPr="00073171">
        <w:rPr>
          <w:color w:val="000000" w:themeColor="text1"/>
        </w:rPr>
        <w:t xml:space="preserve"> adolescent anxiety </w:t>
      </w:r>
      <w:r w:rsidR="00665FB0" w:rsidRPr="00073171">
        <w:rPr>
          <w:color w:val="000000" w:themeColor="text1"/>
        </w:rPr>
        <w:t>with</w:t>
      </w:r>
      <w:r w:rsidR="00F36009" w:rsidRPr="00073171">
        <w:rPr>
          <w:color w:val="000000" w:themeColor="text1"/>
        </w:rPr>
        <w:t>in a</w:t>
      </w:r>
      <w:r w:rsidR="00A0068C" w:rsidRPr="00073171">
        <w:rPr>
          <w:color w:val="000000" w:themeColor="text1"/>
        </w:rPr>
        <w:t xml:space="preserve"> high</w:t>
      </w:r>
      <w:r w:rsidR="00F36009" w:rsidRPr="00073171">
        <w:rPr>
          <w:color w:val="000000" w:themeColor="text1"/>
        </w:rPr>
        <w:t xml:space="preserve"> school setting </w:t>
      </w:r>
      <w:r w:rsidR="00DB67AC" w:rsidRPr="00073171">
        <w:rPr>
          <w:noProof/>
          <w:color w:val="000000" w:themeColor="text1"/>
        </w:rPr>
        <w:t>(</w:t>
      </w:r>
      <w:r w:rsidR="004F36EB" w:rsidRPr="00073171">
        <w:rPr>
          <w:noProof/>
          <w:color w:val="000000" w:themeColor="text1"/>
        </w:rPr>
        <w:t xml:space="preserve">e.g., </w:t>
      </w:r>
      <w:r w:rsidR="00DB67AC" w:rsidRPr="00073171">
        <w:rPr>
          <w:noProof/>
          <w:color w:val="000000" w:themeColor="text1"/>
        </w:rPr>
        <w:t>Chu et al., 2016)</w:t>
      </w:r>
      <w:r w:rsidR="00503F95" w:rsidRPr="00073171">
        <w:rPr>
          <w:color w:val="000000" w:themeColor="text1"/>
        </w:rPr>
        <w:t>, with mo</w:t>
      </w:r>
      <w:r w:rsidR="00884F83" w:rsidRPr="00073171">
        <w:rPr>
          <w:color w:val="000000" w:themeColor="text1"/>
        </w:rPr>
        <w:t>st</w:t>
      </w:r>
      <w:r w:rsidR="00503F95" w:rsidRPr="00073171">
        <w:rPr>
          <w:color w:val="000000" w:themeColor="text1"/>
        </w:rPr>
        <w:t xml:space="preserve"> targeted to </w:t>
      </w:r>
      <w:r w:rsidR="00A15192" w:rsidRPr="00073171">
        <w:rPr>
          <w:color w:val="000000" w:themeColor="text1"/>
        </w:rPr>
        <w:t>elementary-school aged children</w:t>
      </w:r>
      <w:r w:rsidR="0057394B" w:rsidRPr="00073171">
        <w:rPr>
          <w:color w:val="000000" w:themeColor="text1"/>
        </w:rPr>
        <w:t xml:space="preserve"> </w:t>
      </w:r>
      <w:r w:rsidR="004A43C2" w:rsidRPr="00073171">
        <w:rPr>
          <w:noProof/>
          <w:color w:val="000000" w:themeColor="text1"/>
        </w:rPr>
        <w:t>(Bernstein et al., 2005; Ginsburg et al., 2012</w:t>
      </w:r>
      <w:r w:rsidR="007A63F1" w:rsidRPr="00073171">
        <w:rPr>
          <w:noProof/>
          <w:color w:val="000000" w:themeColor="text1"/>
        </w:rPr>
        <w:t xml:space="preserve">). </w:t>
      </w:r>
      <w:r w:rsidR="00503F95" w:rsidRPr="00073171">
        <w:rPr>
          <w:noProof/>
          <w:color w:val="000000" w:themeColor="text1"/>
        </w:rPr>
        <w:t>There is thus a need for</w:t>
      </w:r>
      <w:r w:rsidR="00032328" w:rsidRPr="00073171">
        <w:rPr>
          <w:color w:val="000000" w:themeColor="text1"/>
        </w:rPr>
        <w:t xml:space="preserve"> further exploration of </w:t>
      </w:r>
      <w:r w:rsidR="00503F95" w:rsidRPr="00073171">
        <w:rPr>
          <w:color w:val="000000" w:themeColor="text1"/>
        </w:rPr>
        <w:t>school</w:t>
      </w:r>
      <w:r w:rsidR="002E1E8E" w:rsidRPr="00073171">
        <w:rPr>
          <w:color w:val="000000" w:themeColor="text1"/>
        </w:rPr>
        <w:t>-based</w:t>
      </w:r>
      <w:r w:rsidR="00032328" w:rsidRPr="00073171">
        <w:rPr>
          <w:color w:val="000000" w:themeColor="text1"/>
        </w:rPr>
        <w:t xml:space="preserve"> treatment of adolescent anxiety</w:t>
      </w:r>
      <w:r w:rsidR="00503F95" w:rsidRPr="00073171">
        <w:rPr>
          <w:color w:val="000000" w:themeColor="text1"/>
        </w:rPr>
        <w:t>.</w:t>
      </w:r>
      <w:r w:rsidR="005D6C21">
        <w:rPr>
          <w:color w:val="000000" w:themeColor="text1"/>
        </w:rPr>
        <w:t xml:space="preserve"> </w:t>
      </w:r>
    </w:p>
    <w:p w14:paraId="61FB6C33" w14:textId="020E57A1" w:rsidR="00174047" w:rsidRDefault="004D4C09" w:rsidP="00481DCE">
      <w:pPr>
        <w:spacing w:line="480" w:lineRule="auto"/>
        <w:rPr>
          <w:color w:val="000000" w:themeColor="text1"/>
        </w:rPr>
      </w:pPr>
      <w:r w:rsidRPr="00073171">
        <w:rPr>
          <w:color w:val="000000" w:themeColor="text1"/>
        </w:rPr>
        <w:tab/>
      </w:r>
      <w:r w:rsidR="00020520">
        <w:rPr>
          <w:color w:val="000000" w:themeColor="text1"/>
        </w:rPr>
        <w:t>ACT</w:t>
      </w:r>
      <w:r w:rsidR="004B7E4A" w:rsidRPr="00073171">
        <w:rPr>
          <w:color w:val="000000" w:themeColor="text1"/>
        </w:rPr>
        <w:t xml:space="preserve"> is a </w:t>
      </w:r>
      <w:r w:rsidR="005C7EB1">
        <w:rPr>
          <w:color w:val="000000" w:themeColor="text1"/>
        </w:rPr>
        <w:t xml:space="preserve">form of </w:t>
      </w:r>
      <w:r w:rsidR="00884F83" w:rsidRPr="00073171">
        <w:rPr>
          <w:color w:val="000000" w:themeColor="text1"/>
        </w:rPr>
        <w:t>CBT</w:t>
      </w:r>
      <w:r w:rsidR="004B7E4A" w:rsidRPr="00073171">
        <w:rPr>
          <w:color w:val="000000" w:themeColor="text1"/>
        </w:rPr>
        <w:t xml:space="preserve"> </w:t>
      </w:r>
      <w:r w:rsidR="000B0204" w:rsidRPr="00073171">
        <w:rPr>
          <w:color w:val="000000" w:themeColor="text1"/>
        </w:rPr>
        <w:t xml:space="preserve">combining elements of acceptance, mindfulness, and behavior </w:t>
      </w:r>
      <w:r w:rsidR="00503F95" w:rsidRPr="00073171">
        <w:rPr>
          <w:color w:val="000000" w:themeColor="text1"/>
        </w:rPr>
        <w:t xml:space="preserve">change methods </w:t>
      </w:r>
      <w:r w:rsidR="002237AE" w:rsidRPr="00073171">
        <w:rPr>
          <w:color w:val="000000" w:themeColor="text1"/>
        </w:rPr>
        <w:t>in order to improve psychological flexibility</w:t>
      </w:r>
      <w:r w:rsidR="00492BA2" w:rsidRPr="00073171">
        <w:rPr>
          <w:color w:val="000000" w:themeColor="text1"/>
        </w:rPr>
        <w:t xml:space="preserve">, </w:t>
      </w:r>
      <w:r w:rsidR="00503F95" w:rsidRPr="00073171">
        <w:rPr>
          <w:color w:val="000000" w:themeColor="text1"/>
        </w:rPr>
        <w:t xml:space="preserve">or </w:t>
      </w:r>
      <w:r w:rsidR="00492BA2" w:rsidRPr="00073171">
        <w:rPr>
          <w:color w:val="000000" w:themeColor="text1"/>
        </w:rPr>
        <w:t xml:space="preserve">the ability to remain in the present </w:t>
      </w:r>
      <w:r w:rsidR="00503F95" w:rsidRPr="00073171">
        <w:rPr>
          <w:color w:val="000000" w:themeColor="text1"/>
        </w:rPr>
        <w:t xml:space="preserve">moment while </w:t>
      </w:r>
      <w:r w:rsidR="00503F95" w:rsidRPr="0087133F">
        <w:rPr>
          <w:color w:val="000000" w:themeColor="text1"/>
        </w:rPr>
        <w:t xml:space="preserve">acting </w:t>
      </w:r>
      <w:r w:rsidR="00884F83" w:rsidRPr="0087133F">
        <w:rPr>
          <w:color w:val="000000" w:themeColor="text1"/>
        </w:rPr>
        <w:t>consistently</w:t>
      </w:r>
      <w:r w:rsidR="00492BA2" w:rsidRPr="0087133F">
        <w:rPr>
          <w:color w:val="000000" w:themeColor="text1"/>
        </w:rPr>
        <w:t xml:space="preserve"> with one’s values</w:t>
      </w:r>
      <w:r w:rsidR="00884F83" w:rsidRPr="0087133F">
        <w:rPr>
          <w:color w:val="000000" w:themeColor="text1"/>
        </w:rPr>
        <w:t xml:space="preserve"> independent of whatever thoughts and feelings arise</w:t>
      </w:r>
      <w:r w:rsidR="009506D2" w:rsidRPr="0087133F">
        <w:rPr>
          <w:color w:val="000000" w:themeColor="text1"/>
        </w:rPr>
        <w:t xml:space="preserve"> </w:t>
      </w:r>
      <w:r w:rsidR="00AD38E1" w:rsidRPr="0087133F">
        <w:rPr>
          <w:noProof/>
          <w:color w:val="000000" w:themeColor="text1"/>
        </w:rPr>
        <w:t>(Hayes</w:t>
      </w:r>
      <w:r w:rsidR="005D062D" w:rsidRPr="0087133F">
        <w:rPr>
          <w:noProof/>
          <w:color w:val="000000" w:themeColor="text1"/>
        </w:rPr>
        <w:t xml:space="preserve"> et al., </w:t>
      </w:r>
      <w:r w:rsidR="00AD38E1" w:rsidRPr="0087133F">
        <w:rPr>
          <w:noProof/>
          <w:color w:val="000000" w:themeColor="text1"/>
        </w:rPr>
        <w:t>2006)</w:t>
      </w:r>
      <w:r w:rsidR="004B7E4A" w:rsidRPr="0087133F">
        <w:rPr>
          <w:color w:val="000000" w:themeColor="text1"/>
        </w:rPr>
        <w:t>.</w:t>
      </w:r>
      <w:r w:rsidR="00CD12A5" w:rsidRPr="0087133F">
        <w:rPr>
          <w:color w:val="000000" w:themeColor="text1"/>
        </w:rPr>
        <w:t xml:space="preserve"> </w:t>
      </w:r>
      <w:r w:rsidR="00381B59" w:rsidRPr="0087133F">
        <w:rPr>
          <w:color w:val="000000" w:themeColor="text1"/>
          <w:shd w:val="clear" w:color="auto" w:fill="FFFFFF"/>
        </w:rPr>
        <w:t>In adolescence, psychological inflexibility (i.e., the opposite of psychological flexibility) may look like rigid rule following (e.g., insistence on attaining all As in school to prevent feelings of failure), avoidance of important activities (e.g., not attending a party because of thoughts like “I will just embarrass myself” or “Nobody wants me there anyway”), and/or unhelpful fusion with labels or identities (e.g., “I am bad at violin and shouldn’t bother practicing”, “I am the athlete so I can’t try out for the musical”).</w:t>
      </w:r>
      <w:r w:rsidR="00381B59" w:rsidRPr="0087133F">
        <w:rPr>
          <w:i/>
          <w:iCs/>
          <w:color w:val="000000" w:themeColor="text1"/>
          <w:shd w:val="clear" w:color="auto" w:fill="FFFFFF"/>
        </w:rPr>
        <w:t xml:space="preserve"> </w:t>
      </w:r>
      <w:r w:rsidR="00503F95" w:rsidRPr="0087133F">
        <w:rPr>
          <w:color w:val="000000" w:themeColor="text1"/>
        </w:rPr>
        <w:t xml:space="preserve">Overall, </w:t>
      </w:r>
      <w:r w:rsidR="00A169B4" w:rsidRPr="0087133F">
        <w:rPr>
          <w:color w:val="000000" w:themeColor="text1"/>
        </w:rPr>
        <w:t xml:space="preserve">ACT aims to </w:t>
      </w:r>
      <w:r w:rsidR="00503F95" w:rsidRPr="0087133F">
        <w:rPr>
          <w:color w:val="000000" w:themeColor="text1"/>
        </w:rPr>
        <w:t>change</w:t>
      </w:r>
      <w:r w:rsidR="00A169B4" w:rsidRPr="0087133F">
        <w:rPr>
          <w:color w:val="000000" w:themeColor="text1"/>
        </w:rPr>
        <w:t xml:space="preserve"> the client’s relationship with their </w:t>
      </w:r>
      <w:r w:rsidR="00A169B4" w:rsidRPr="00073171">
        <w:rPr>
          <w:color w:val="000000" w:themeColor="text1"/>
        </w:rPr>
        <w:t xml:space="preserve">thoughts and feelings in service of a more meaningful life, rather than focusing </w:t>
      </w:r>
      <w:r w:rsidR="00503F95" w:rsidRPr="00073171">
        <w:rPr>
          <w:color w:val="000000" w:themeColor="text1"/>
        </w:rPr>
        <w:t xml:space="preserve">on </w:t>
      </w:r>
      <w:r w:rsidR="00A169B4" w:rsidRPr="00073171">
        <w:rPr>
          <w:color w:val="000000" w:themeColor="text1"/>
        </w:rPr>
        <w:t>attempts to regulate or change</w:t>
      </w:r>
      <w:r w:rsidR="009D2E3B">
        <w:rPr>
          <w:color w:val="000000" w:themeColor="text1"/>
        </w:rPr>
        <w:t xml:space="preserve"> these</w:t>
      </w:r>
      <w:r w:rsidR="00A169B4" w:rsidRPr="00073171">
        <w:rPr>
          <w:color w:val="000000" w:themeColor="text1"/>
        </w:rPr>
        <w:t xml:space="preserve"> internal experiences </w:t>
      </w:r>
      <w:r w:rsidR="00A169B4" w:rsidRPr="00073171">
        <w:rPr>
          <w:noProof/>
          <w:color w:val="000000" w:themeColor="text1"/>
        </w:rPr>
        <w:t>(Hayes et al., 2006)</w:t>
      </w:r>
      <w:r w:rsidR="00A169B4" w:rsidRPr="00073171">
        <w:rPr>
          <w:color w:val="000000" w:themeColor="text1"/>
        </w:rPr>
        <w:t>.</w:t>
      </w:r>
    </w:p>
    <w:p w14:paraId="28DD40B6" w14:textId="2109B8EE" w:rsidR="002F7E28" w:rsidRPr="00073171" w:rsidRDefault="00A169B4" w:rsidP="00481DCE">
      <w:pPr>
        <w:spacing w:line="480" w:lineRule="auto"/>
        <w:rPr>
          <w:color w:val="000000" w:themeColor="text1"/>
        </w:rPr>
      </w:pPr>
      <w:r w:rsidRPr="00073171">
        <w:rPr>
          <w:color w:val="000000" w:themeColor="text1"/>
        </w:rPr>
        <w:t xml:space="preserve"> </w:t>
      </w:r>
      <w:r w:rsidR="009D2E3B">
        <w:rPr>
          <w:color w:val="000000" w:themeColor="text1"/>
        </w:rPr>
        <w:tab/>
      </w:r>
      <w:r w:rsidR="00692112" w:rsidRPr="00073171">
        <w:rPr>
          <w:color w:val="000000" w:themeColor="text1"/>
        </w:rPr>
        <w:t>Psychological flexibility is a particularly important issue for the treatment of anxiety</w:t>
      </w:r>
      <w:r w:rsidR="00CD3232">
        <w:rPr>
          <w:color w:val="000000" w:themeColor="text1"/>
        </w:rPr>
        <w:t xml:space="preserve"> in youth (</w:t>
      </w:r>
      <w:r w:rsidR="00692112" w:rsidRPr="00073171">
        <w:rPr>
          <w:color w:val="000000" w:themeColor="text1"/>
        </w:rPr>
        <w:t xml:space="preserve">Bluett </w:t>
      </w:r>
      <w:r w:rsidR="00CD3232">
        <w:rPr>
          <w:color w:val="000000" w:themeColor="text1"/>
        </w:rPr>
        <w:t xml:space="preserve">et al., </w:t>
      </w:r>
      <w:r w:rsidR="00692112" w:rsidRPr="00073171">
        <w:rPr>
          <w:color w:val="000000" w:themeColor="text1"/>
        </w:rPr>
        <w:t>2014)</w:t>
      </w:r>
      <w:r w:rsidR="00CD3232">
        <w:rPr>
          <w:color w:val="000000" w:themeColor="text1"/>
        </w:rPr>
        <w:t xml:space="preserve">. </w:t>
      </w:r>
      <w:r w:rsidR="00692112" w:rsidRPr="00073171">
        <w:rPr>
          <w:color w:val="000000" w:themeColor="text1"/>
        </w:rPr>
        <w:t xml:space="preserve">Although less research has examined psychological flexibility in </w:t>
      </w:r>
      <w:r w:rsidR="00595EC7" w:rsidRPr="00073171">
        <w:rPr>
          <w:color w:val="000000" w:themeColor="text1"/>
        </w:rPr>
        <w:t>youth</w:t>
      </w:r>
      <w:r w:rsidR="00692112" w:rsidRPr="00073171">
        <w:rPr>
          <w:color w:val="000000" w:themeColor="text1"/>
        </w:rPr>
        <w:t>,</w:t>
      </w:r>
      <w:r w:rsidR="00503F95" w:rsidRPr="00073171">
        <w:rPr>
          <w:color w:val="000000" w:themeColor="text1"/>
        </w:rPr>
        <w:t xml:space="preserve"> there are signs that</w:t>
      </w:r>
      <w:r w:rsidR="00692112" w:rsidRPr="00073171">
        <w:rPr>
          <w:color w:val="000000" w:themeColor="text1"/>
        </w:rPr>
        <w:t xml:space="preserve"> </w:t>
      </w:r>
      <w:r w:rsidR="00252E75" w:rsidRPr="00073171">
        <w:rPr>
          <w:color w:val="000000" w:themeColor="text1"/>
        </w:rPr>
        <w:t>this construct</w:t>
      </w:r>
      <w:r w:rsidR="00692112" w:rsidRPr="00073171">
        <w:rPr>
          <w:color w:val="000000" w:themeColor="text1"/>
        </w:rPr>
        <w:t xml:space="preserve"> is just as important</w:t>
      </w:r>
      <w:r w:rsidR="00252E75" w:rsidRPr="00073171">
        <w:rPr>
          <w:color w:val="000000" w:themeColor="text1"/>
        </w:rPr>
        <w:t xml:space="preserve"> as in adults</w:t>
      </w:r>
      <w:r w:rsidR="00692112" w:rsidRPr="00073171">
        <w:rPr>
          <w:color w:val="000000" w:themeColor="text1"/>
        </w:rPr>
        <w:t>.</w:t>
      </w:r>
      <w:r w:rsidR="00C55E1A" w:rsidRPr="00073171">
        <w:rPr>
          <w:color w:val="000000" w:themeColor="text1"/>
        </w:rPr>
        <w:t xml:space="preserve"> </w:t>
      </w:r>
      <w:r w:rsidR="00EE69D2">
        <w:rPr>
          <w:color w:val="000000" w:themeColor="text1"/>
        </w:rPr>
        <w:t xml:space="preserve">Previous studies have established association between </w:t>
      </w:r>
      <w:r w:rsidR="00692112" w:rsidRPr="00073171">
        <w:rPr>
          <w:color w:val="000000" w:themeColor="text1"/>
        </w:rPr>
        <w:t xml:space="preserve">psychological inflexibility </w:t>
      </w:r>
      <w:r w:rsidR="00EE69D2">
        <w:rPr>
          <w:color w:val="000000" w:themeColor="text1"/>
        </w:rPr>
        <w:t>and</w:t>
      </w:r>
      <w:r w:rsidR="00692112" w:rsidRPr="00073171">
        <w:rPr>
          <w:color w:val="000000" w:themeColor="text1"/>
        </w:rPr>
        <w:t xml:space="preserve"> anxiety</w:t>
      </w:r>
      <w:r w:rsidR="00EE69D2">
        <w:rPr>
          <w:color w:val="000000" w:themeColor="text1"/>
        </w:rPr>
        <w:t>, d</w:t>
      </w:r>
      <w:r w:rsidR="00692112" w:rsidRPr="00073171">
        <w:rPr>
          <w:color w:val="000000" w:themeColor="text1"/>
        </w:rPr>
        <w:t>epression, low</w:t>
      </w:r>
      <w:r w:rsidR="00EE69D2">
        <w:rPr>
          <w:color w:val="000000" w:themeColor="text1"/>
        </w:rPr>
        <w:t xml:space="preserve"> </w:t>
      </w:r>
      <w:r w:rsidR="00692112" w:rsidRPr="00073171">
        <w:rPr>
          <w:color w:val="000000" w:themeColor="text1"/>
        </w:rPr>
        <w:t>self-esteem</w:t>
      </w:r>
      <w:r w:rsidR="00EE69D2">
        <w:rPr>
          <w:color w:val="000000" w:themeColor="text1"/>
        </w:rPr>
        <w:t xml:space="preserve">, </w:t>
      </w:r>
      <w:r w:rsidR="00557AC1">
        <w:rPr>
          <w:color w:val="000000" w:themeColor="text1"/>
        </w:rPr>
        <w:t xml:space="preserve">poor academic and social skills, </w:t>
      </w:r>
      <w:r w:rsidR="00EE69D2">
        <w:rPr>
          <w:color w:val="000000" w:themeColor="text1"/>
        </w:rPr>
        <w:t xml:space="preserve">and </w:t>
      </w:r>
      <w:r w:rsidR="00A77C07">
        <w:rPr>
          <w:color w:val="000000" w:themeColor="text1"/>
        </w:rPr>
        <w:t xml:space="preserve">overall </w:t>
      </w:r>
      <w:r w:rsidR="00EE69D2">
        <w:rPr>
          <w:color w:val="000000" w:themeColor="text1"/>
        </w:rPr>
        <w:t>reduced quality of life</w:t>
      </w:r>
      <w:r w:rsidR="00692112" w:rsidRPr="00073171">
        <w:rPr>
          <w:color w:val="000000" w:themeColor="text1"/>
        </w:rPr>
        <w:t xml:space="preserve"> </w:t>
      </w:r>
      <w:r w:rsidR="00692112" w:rsidRPr="00073171">
        <w:rPr>
          <w:noProof/>
          <w:color w:val="000000" w:themeColor="text1"/>
        </w:rPr>
        <w:t>(Tan &amp; Martin, 2016</w:t>
      </w:r>
      <w:r w:rsidR="00EE69D2">
        <w:rPr>
          <w:noProof/>
          <w:color w:val="000000" w:themeColor="text1"/>
        </w:rPr>
        <w:t xml:space="preserve">; </w:t>
      </w:r>
      <w:r w:rsidR="00692112" w:rsidRPr="00073171">
        <w:rPr>
          <w:noProof/>
          <w:color w:val="000000" w:themeColor="text1"/>
        </w:rPr>
        <w:t>Greco, Lambert, &amp; Baer, 2008)</w:t>
      </w:r>
      <w:r w:rsidR="00692112" w:rsidRPr="00073171">
        <w:rPr>
          <w:color w:val="000000" w:themeColor="text1"/>
        </w:rPr>
        <w:t xml:space="preserve">. </w:t>
      </w:r>
      <w:r w:rsidR="00BC21EC" w:rsidRPr="00073171">
        <w:rPr>
          <w:color w:val="000000" w:themeColor="text1"/>
        </w:rPr>
        <w:t>Because of the</w:t>
      </w:r>
      <w:r w:rsidR="00341C6E" w:rsidRPr="00073171">
        <w:rPr>
          <w:color w:val="000000" w:themeColor="text1"/>
        </w:rPr>
        <w:t xml:space="preserve"> potential</w:t>
      </w:r>
      <w:r w:rsidR="00BC21EC" w:rsidRPr="00073171">
        <w:rPr>
          <w:color w:val="000000" w:themeColor="text1"/>
        </w:rPr>
        <w:t xml:space="preserve"> negative implications for psychological </w:t>
      </w:r>
      <w:r w:rsidR="009F4A9F" w:rsidRPr="00073171">
        <w:rPr>
          <w:color w:val="000000" w:themeColor="text1"/>
        </w:rPr>
        <w:lastRenderedPageBreak/>
        <w:t>in</w:t>
      </w:r>
      <w:r w:rsidR="00BC21EC" w:rsidRPr="00073171">
        <w:rPr>
          <w:color w:val="000000" w:themeColor="text1"/>
        </w:rPr>
        <w:t xml:space="preserve">flexibility in adolescence and adulthood, </w:t>
      </w:r>
      <w:r w:rsidR="0060187D" w:rsidRPr="00073171">
        <w:rPr>
          <w:color w:val="000000" w:themeColor="text1"/>
        </w:rPr>
        <w:t>ACT may be a promising intervention that warrants further research in adolescents with anxiety.</w:t>
      </w:r>
    </w:p>
    <w:p w14:paraId="4A40F18D" w14:textId="5D789440" w:rsidR="00090456" w:rsidRPr="00073171" w:rsidRDefault="00AA30D0" w:rsidP="00AB3A54">
      <w:pPr>
        <w:spacing w:line="480" w:lineRule="auto"/>
        <w:ind w:firstLine="720"/>
        <w:rPr>
          <w:color w:val="000000" w:themeColor="text1"/>
        </w:rPr>
      </w:pPr>
      <w:r w:rsidRPr="00073171">
        <w:rPr>
          <w:color w:val="000000" w:themeColor="text1"/>
        </w:rPr>
        <w:t>T</w:t>
      </w:r>
      <w:r w:rsidR="00AA300C" w:rsidRPr="00073171">
        <w:rPr>
          <w:color w:val="000000" w:themeColor="text1"/>
        </w:rPr>
        <w:t>here is</w:t>
      </w:r>
      <w:r w:rsidR="00E342A7" w:rsidRPr="00073171">
        <w:rPr>
          <w:color w:val="000000" w:themeColor="text1"/>
        </w:rPr>
        <w:t xml:space="preserve"> a strong empirical base for </w:t>
      </w:r>
      <w:r w:rsidR="00987B77" w:rsidRPr="00073171">
        <w:rPr>
          <w:color w:val="000000" w:themeColor="text1"/>
        </w:rPr>
        <w:t xml:space="preserve">implementing </w:t>
      </w:r>
      <w:r w:rsidR="00E342A7" w:rsidRPr="00073171">
        <w:rPr>
          <w:color w:val="000000" w:themeColor="text1"/>
        </w:rPr>
        <w:t>ACT as a treatment for</w:t>
      </w:r>
      <w:r w:rsidR="001D18CE" w:rsidRPr="00073171">
        <w:rPr>
          <w:color w:val="000000" w:themeColor="text1"/>
        </w:rPr>
        <w:t xml:space="preserve"> </w:t>
      </w:r>
      <w:r w:rsidR="00E342A7" w:rsidRPr="00073171">
        <w:rPr>
          <w:color w:val="000000" w:themeColor="text1"/>
        </w:rPr>
        <w:t>anxiety disorders</w:t>
      </w:r>
      <w:r w:rsidR="00A86F71" w:rsidRPr="00073171">
        <w:rPr>
          <w:color w:val="000000" w:themeColor="text1"/>
        </w:rPr>
        <w:t xml:space="preserve"> and </w:t>
      </w:r>
      <w:r w:rsidR="00240562" w:rsidRPr="00073171">
        <w:rPr>
          <w:color w:val="000000" w:themeColor="text1"/>
        </w:rPr>
        <w:t>obsessive-compulsive disorder</w:t>
      </w:r>
      <w:r w:rsidR="004F2617" w:rsidRPr="00073171">
        <w:rPr>
          <w:color w:val="000000" w:themeColor="text1"/>
        </w:rPr>
        <w:t>s</w:t>
      </w:r>
      <w:r w:rsidR="00240562" w:rsidRPr="00073171">
        <w:rPr>
          <w:color w:val="000000" w:themeColor="text1"/>
        </w:rPr>
        <w:t xml:space="preserve"> (</w:t>
      </w:r>
      <w:r w:rsidR="00A86F71" w:rsidRPr="00073171">
        <w:rPr>
          <w:color w:val="000000" w:themeColor="text1"/>
        </w:rPr>
        <w:t>OCD</w:t>
      </w:r>
      <w:r w:rsidR="00240562" w:rsidRPr="00073171">
        <w:rPr>
          <w:color w:val="000000" w:themeColor="text1"/>
        </w:rPr>
        <w:t>)</w:t>
      </w:r>
      <w:r w:rsidR="00A45A7C" w:rsidRPr="00073171">
        <w:rPr>
          <w:color w:val="000000" w:themeColor="text1"/>
        </w:rPr>
        <w:t xml:space="preserve"> in adults</w:t>
      </w:r>
      <w:r w:rsidR="008A18F4" w:rsidRPr="00073171">
        <w:rPr>
          <w:color w:val="000000" w:themeColor="text1"/>
        </w:rPr>
        <w:t xml:space="preserve"> </w:t>
      </w:r>
      <w:r w:rsidR="003A719E" w:rsidRPr="00073171">
        <w:rPr>
          <w:noProof/>
          <w:color w:val="000000" w:themeColor="text1"/>
        </w:rPr>
        <w:t>(Bluett</w:t>
      </w:r>
      <w:r w:rsidR="0056405A" w:rsidRPr="00073171">
        <w:rPr>
          <w:noProof/>
          <w:color w:val="000000" w:themeColor="text1"/>
        </w:rPr>
        <w:t xml:space="preserve"> et al.,</w:t>
      </w:r>
      <w:r w:rsidR="003A719E" w:rsidRPr="00073171">
        <w:rPr>
          <w:noProof/>
          <w:color w:val="000000" w:themeColor="text1"/>
        </w:rPr>
        <w:t xml:space="preserve"> 2014; Swain</w:t>
      </w:r>
      <w:r w:rsidR="009F2D4A" w:rsidRPr="00073171">
        <w:rPr>
          <w:noProof/>
          <w:color w:val="000000" w:themeColor="text1"/>
        </w:rPr>
        <w:t xml:space="preserve"> et al.</w:t>
      </w:r>
      <w:r w:rsidR="003A719E" w:rsidRPr="00073171">
        <w:rPr>
          <w:noProof/>
          <w:color w:val="000000" w:themeColor="text1"/>
        </w:rPr>
        <w:t>, 2013; Twohig &amp; Levin, 2017)</w:t>
      </w:r>
      <w:r w:rsidR="008A18F4" w:rsidRPr="00073171">
        <w:rPr>
          <w:color w:val="000000" w:themeColor="text1"/>
        </w:rPr>
        <w:t>.</w:t>
      </w:r>
      <w:r w:rsidR="000B2E7E" w:rsidRPr="00073171">
        <w:rPr>
          <w:color w:val="000000" w:themeColor="text1"/>
        </w:rPr>
        <w:t xml:space="preserve"> </w:t>
      </w:r>
      <w:r w:rsidR="00DB57DA" w:rsidRPr="00073171">
        <w:rPr>
          <w:color w:val="000000" w:themeColor="text1"/>
        </w:rPr>
        <w:t>However, l</w:t>
      </w:r>
      <w:r w:rsidR="00B076A2" w:rsidRPr="00073171">
        <w:rPr>
          <w:color w:val="000000" w:themeColor="text1"/>
        </w:rPr>
        <w:t xml:space="preserve">ittle research has </w:t>
      </w:r>
      <w:r w:rsidR="00917794" w:rsidRPr="00073171">
        <w:rPr>
          <w:color w:val="000000" w:themeColor="text1"/>
        </w:rPr>
        <w:t xml:space="preserve">specifically </w:t>
      </w:r>
      <w:r w:rsidR="00EC3605" w:rsidRPr="00073171">
        <w:rPr>
          <w:color w:val="000000" w:themeColor="text1"/>
        </w:rPr>
        <w:t>examined ACT for adolescent</w:t>
      </w:r>
      <w:r w:rsidR="000F08CC" w:rsidRPr="00073171">
        <w:rPr>
          <w:color w:val="000000" w:themeColor="text1"/>
        </w:rPr>
        <w:t xml:space="preserve"> anxiety</w:t>
      </w:r>
      <w:r w:rsidR="00A87FFC" w:rsidRPr="00073171">
        <w:rPr>
          <w:color w:val="000000" w:themeColor="text1"/>
        </w:rPr>
        <w:t xml:space="preserve">. </w:t>
      </w:r>
      <w:r w:rsidR="0089287F" w:rsidRPr="00073171">
        <w:rPr>
          <w:color w:val="000000" w:themeColor="text1"/>
        </w:rPr>
        <w:t xml:space="preserve">In </w:t>
      </w:r>
      <w:r w:rsidR="00E3626E" w:rsidRPr="00073171">
        <w:rPr>
          <w:color w:val="000000" w:themeColor="text1"/>
        </w:rPr>
        <w:t>the largest</w:t>
      </w:r>
      <w:r w:rsidR="00AD59D5" w:rsidRPr="00073171">
        <w:rPr>
          <w:color w:val="000000" w:themeColor="text1"/>
        </w:rPr>
        <w:t xml:space="preserve"> </w:t>
      </w:r>
      <w:r w:rsidR="008F7D3C" w:rsidRPr="00073171">
        <w:rPr>
          <w:color w:val="000000" w:themeColor="text1"/>
        </w:rPr>
        <w:t xml:space="preserve">trial </w:t>
      </w:r>
      <w:r w:rsidR="0089287F" w:rsidRPr="00073171">
        <w:rPr>
          <w:color w:val="000000" w:themeColor="text1"/>
        </w:rPr>
        <w:t>comparing ACT, CBT, and a waitlist</w:t>
      </w:r>
      <w:r w:rsidR="004F2617" w:rsidRPr="00073171">
        <w:rPr>
          <w:color w:val="000000" w:themeColor="text1"/>
        </w:rPr>
        <w:t xml:space="preserve"> for youth anxiety</w:t>
      </w:r>
      <w:r w:rsidR="0089287F" w:rsidRPr="00073171">
        <w:rPr>
          <w:color w:val="000000" w:themeColor="text1"/>
        </w:rPr>
        <w:t xml:space="preserve">, there were no </w:t>
      </w:r>
      <w:r w:rsidR="004420F4" w:rsidRPr="00073171">
        <w:rPr>
          <w:color w:val="000000" w:themeColor="text1"/>
        </w:rPr>
        <w:t xml:space="preserve">statistically </w:t>
      </w:r>
      <w:r w:rsidR="00456768" w:rsidRPr="00073171">
        <w:rPr>
          <w:color w:val="000000" w:themeColor="text1"/>
        </w:rPr>
        <w:t xml:space="preserve">significant </w:t>
      </w:r>
      <w:r w:rsidR="0089287F" w:rsidRPr="00073171">
        <w:rPr>
          <w:color w:val="000000" w:themeColor="text1"/>
        </w:rPr>
        <w:t>differences found between CBT and ACT</w:t>
      </w:r>
      <w:r w:rsidR="00456768" w:rsidRPr="00073171">
        <w:rPr>
          <w:color w:val="000000" w:themeColor="text1"/>
        </w:rPr>
        <w:t xml:space="preserve"> in anxiety disorder</w:t>
      </w:r>
      <w:r w:rsidR="003B512C" w:rsidRPr="00073171">
        <w:rPr>
          <w:color w:val="000000" w:themeColor="text1"/>
        </w:rPr>
        <w:t xml:space="preserve"> diagnosis and symptom</w:t>
      </w:r>
      <w:r w:rsidR="00456768" w:rsidRPr="00073171">
        <w:rPr>
          <w:color w:val="000000" w:themeColor="text1"/>
        </w:rPr>
        <w:t xml:space="preserve"> outcomes</w:t>
      </w:r>
      <w:r w:rsidR="004E6C87" w:rsidRPr="00073171">
        <w:rPr>
          <w:color w:val="000000" w:themeColor="text1"/>
        </w:rPr>
        <w:t xml:space="preserve"> at post-treatment and the </w:t>
      </w:r>
      <w:r w:rsidR="00601860" w:rsidRPr="00073171">
        <w:rPr>
          <w:color w:val="000000" w:themeColor="text1"/>
        </w:rPr>
        <w:t>two-year follow-up point</w:t>
      </w:r>
      <w:r w:rsidR="00C774D1" w:rsidRPr="00073171">
        <w:rPr>
          <w:color w:val="000000" w:themeColor="text1"/>
        </w:rPr>
        <w:t xml:space="preserve"> </w:t>
      </w:r>
      <w:r w:rsidR="008E290B" w:rsidRPr="00073171">
        <w:rPr>
          <w:noProof/>
          <w:color w:val="000000" w:themeColor="text1"/>
        </w:rPr>
        <w:t>(</w:t>
      </w:r>
      <w:r w:rsidR="00434981" w:rsidRPr="00073171">
        <w:rPr>
          <w:noProof/>
          <w:color w:val="000000" w:themeColor="text1"/>
        </w:rPr>
        <w:t>i.e., medium to large effect sizes</w:t>
      </w:r>
      <w:r w:rsidR="00D95A35" w:rsidRPr="00073171">
        <w:rPr>
          <w:noProof/>
          <w:color w:val="000000" w:themeColor="text1"/>
        </w:rPr>
        <w:t xml:space="preserve"> for both conditions</w:t>
      </w:r>
      <w:r w:rsidR="00434981" w:rsidRPr="00073171">
        <w:rPr>
          <w:noProof/>
          <w:color w:val="000000" w:themeColor="text1"/>
        </w:rPr>
        <w:t xml:space="preserve">; </w:t>
      </w:r>
      <w:r w:rsidR="008E290B" w:rsidRPr="00073171">
        <w:rPr>
          <w:noProof/>
          <w:color w:val="000000" w:themeColor="text1"/>
        </w:rPr>
        <w:t>Hancock et al., 2018)</w:t>
      </w:r>
      <w:r w:rsidR="00C774D1" w:rsidRPr="00073171">
        <w:rPr>
          <w:color w:val="000000" w:themeColor="text1"/>
        </w:rPr>
        <w:t xml:space="preserve">. </w:t>
      </w:r>
      <w:r w:rsidR="00D46006" w:rsidRPr="00073171">
        <w:rPr>
          <w:color w:val="000000" w:themeColor="text1"/>
        </w:rPr>
        <w:t>However</w:t>
      </w:r>
      <w:r w:rsidR="00271A7C" w:rsidRPr="00073171">
        <w:rPr>
          <w:color w:val="000000" w:themeColor="text1"/>
        </w:rPr>
        <w:t>, participants were primarily younger children</w:t>
      </w:r>
      <w:r w:rsidR="00AB3A54" w:rsidRPr="00073171">
        <w:rPr>
          <w:color w:val="000000" w:themeColor="text1"/>
        </w:rPr>
        <w:t xml:space="preserve"> (mean age = 11 years)</w:t>
      </w:r>
      <w:r w:rsidR="00637E5B">
        <w:rPr>
          <w:color w:val="000000" w:themeColor="text1"/>
        </w:rPr>
        <w:t>.</w:t>
      </w:r>
      <w:r w:rsidR="00C612A3" w:rsidRPr="00073171">
        <w:rPr>
          <w:color w:val="000000" w:themeColor="text1"/>
        </w:rPr>
        <w:t xml:space="preserve"> </w:t>
      </w:r>
      <w:r w:rsidR="00637E5B">
        <w:rPr>
          <w:color w:val="000000" w:themeColor="text1"/>
        </w:rPr>
        <w:t>T</w:t>
      </w:r>
      <w:r w:rsidR="0042599B" w:rsidRPr="00073171">
        <w:rPr>
          <w:color w:val="000000" w:themeColor="text1"/>
        </w:rPr>
        <w:t xml:space="preserve">here </w:t>
      </w:r>
      <w:r w:rsidR="001576AA" w:rsidRPr="00073171">
        <w:rPr>
          <w:color w:val="000000" w:themeColor="text1"/>
        </w:rPr>
        <w:t>are few studies</w:t>
      </w:r>
      <w:r w:rsidR="0042599B" w:rsidRPr="00073171">
        <w:rPr>
          <w:color w:val="000000" w:themeColor="text1"/>
        </w:rPr>
        <w:t xml:space="preserve"> availabl</w:t>
      </w:r>
      <w:r w:rsidR="008F7AA8" w:rsidRPr="00073171">
        <w:rPr>
          <w:color w:val="000000" w:themeColor="text1"/>
        </w:rPr>
        <w:t>e on ACT for anxiety disorders</w:t>
      </w:r>
      <w:r w:rsidR="00FC7009" w:rsidRPr="00073171">
        <w:rPr>
          <w:color w:val="000000" w:themeColor="text1"/>
        </w:rPr>
        <w:t xml:space="preserve"> </w:t>
      </w:r>
      <w:r w:rsidR="00E86B7E" w:rsidRPr="00073171">
        <w:rPr>
          <w:color w:val="000000" w:themeColor="text1"/>
        </w:rPr>
        <w:t>in adolescents</w:t>
      </w:r>
      <w:r w:rsidR="00184257" w:rsidRPr="00073171">
        <w:rPr>
          <w:color w:val="000000" w:themeColor="text1"/>
        </w:rPr>
        <w:t xml:space="preserve"> beyond several </w:t>
      </w:r>
      <w:r w:rsidR="00632849" w:rsidRPr="00073171">
        <w:rPr>
          <w:color w:val="000000" w:themeColor="text1"/>
        </w:rPr>
        <w:t>small</w:t>
      </w:r>
      <w:r w:rsidR="00184257" w:rsidRPr="00073171">
        <w:rPr>
          <w:color w:val="000000" w:themeColor="text1"/>
        </w:rPr>
        <w:t xml:space="preserve"> studies</w:t>
      </w:r>
      <w:r w:rsidR="00904BD9">
        <w:rPr>
          <w:color w:val="000000" w:themeColor="text1"/>
        </w:rPr>
        <w:t xml:space="preserve"> with positive outcomes (e.g., Brown &amp; Hooper, 2009; </w:t>
      </w:r>
      <w:r w:rsidR="00CE25AD" w:rsidRPr="00073171">
        <w:rPr>
          <w:color w:val="000000" w:themeColor="text1"/>
        </w:rPr>
        <w:t>Armstrong, Morrison, &amp; Twohig, 2013</w:t>
      </w:r>
      <w:r w:rsidR="00237DE2" w:rsidRPr="00073171">
        <w:rPr>
          <w:color w:val="000000" w:themeColor="text1"/>
        </w:rPr>
        <w:t>).</w:t>
      </w:r>
      <w:r w:rsidR="0069011F" w:rsidRPr="00073171">
        <w:rPr>
          <w:color w:val="000000" w:themeColor="text1"/>
        </w:rPr>
        <w:t xml:space="preserve"> </w:t>
      </w:r>
      <w:r w:rsidR="00022A1C" w:rsidRPr="00073171">
        <w:rPr>
          <w:color w:val="000000" w:themeColor="text1"/>
        </w:rPr>
        <w:t>T</w:t>
      </w:r>
      <w:r w:rsidR="00590444" w:rsidRPr="00073171">
        <w:rPr>
          <w:color w:val="000000" w:themeColor="text1"/>
        </w:rPr>
        <w:t>here is a need to explore ACT as treatment for older youth</w:t>
      </w:r>
      <w:r w:rsidR="00274F83" w:rsidRPr="00073171">
        <w:rPr>
          <w:color w:val="000000" w:themeColor="text1"/>
        </w:rPr>
        <w:t xml:space="preserve"> </w:t>
      </w:r>
      <w:r w:rsidR="000B2F6E" w:rsidRPr="00073171">
        <w:rPr>
          <w:color w:val="000000" w:themeColor="text1"/>
        </w:rPr>
        <w:t>on a larger scale</w:t>
      </w:r>
      <w:r w:rsidR="0040764F" w:rsidRPr="00073171">
        <w:rPr>
          <w:color w:val="000000" w:themeColor="text1"/>
        </w:rPr>
        <w:t xml:space="preserve"> (e.g., </w:t>
      </w:r>
      <w:r w:rsidR="00003F4A" w:rsidRPr="00073171">
        <w:rPr>
          <w:color w:val="000000" w:themeColor="text1"/>
        </w:rPr>
        <w:t>bigger</w:t>
      </w:r>
      <w:r w:rsidR="0040764F" w:rsidRPr="00073171">
        <w:rPr>
          <w:color w:val="000000" w:themeColor="text1"/>
        </w:rPr>
        <w:t xml:space="preserve"> sample sizes, randomized trials).</w:t>
      </w:r>
    </w:p>
    <w:p w14:paraId="218F4CEA" w14:textId="0E13F9BE" w:rsidR="009867E7" w:rsidRPr="00073171" w:rsidRDefault="004931D0" w:rsidP="006F7241">
      <w:pPr>
        <w:spacing w:line="480" w:lineRule="auto"/>
        <w:rPr>
          <w:color w:val="000000" w:themeColor="text1"/>
        </w:rPr>
      </w:pPr>
      <w:r w:rsidRPr="00073171">
        <w:rPr>
          <w:color w:val="000000" w:themeColor="text1"/>
        </w:rPr>
        <w:tab/>
      </w:r>
      <w:r w:rsidR="00B52E25" w:rsidRPr="00073171">
        <w:rPr>
          <w:color w:val="000000" w:themeColor="text1"/>
        </w:rPr>
        <w:t xml:space="preserve">ACT </w:t>
      </w:r>
      <w:r w:rsidR="00813AAC" w:rsidRPr="00073171">
        <w:rPr>
          <w:color w:val="000000" w:themeColor="text1"/>
        </w:rPr>
        <w:t>may</w:t>
      </w:r>
      <w:r w:rsidR="00EB1B7C" w:rsidRPr="00073171">
        <w:rPr>
          <w:color w:val="000000" w:themeColor="text1"/>
        </w:rPr>
        <w:t xml:space="preserve"> also</w:t>
      </w:r>
      <w:r w:rsidR="00813AAC" w:rsidRPr="00073171">
        <w:rPr>
          <w:color w:val="000000" w:themeColor="text1"/>
        </w:rPr>
        <w:t xml:space="preserve"> be particularly relevant as a school-based intervention</w:t>
      </w:r>
      <w:r w:rsidR="00012D71" w:rsidRPr="00073171">
        <w:rPr>
          <w:color w:val="000000" w:themeColor="text1"/>
        </w:rPr>
        <w:t xml:space="preserve"> for adolescents</w:t>
      </w:r>
      <w:r w:rsidR="00B52E25" w:rsidRPr="00073171">
        <w:rPr>
          <w:color w:val="000000" w:themeColor="text1"/>
        </w:rPr>
        <w:t>.</w:t>
      </w:r>
      <w:r w:rsidR="005543C1" w:rsidRPr="00073171">
        <w:rPr>
          <w:color w:val="000000" w:themeColor="text1"/>
        </w:rPr>
        <w:t xml:space="preserve"> As discussed previously, adolescent symptoms of anxiety and depression </w:t>
      </w:r>
      <w:r w:rsidR="00010EA2" w:rsidRPr="00073171">
        <w:rPr>
          <w:color w:val="000000" w:themeColor="text1"/>
        </w:rPr>
        <w:t>have</w:t>
      </w:r>
      <w:r w:rsidR="005543C1" w:rsidRPr="00073171">
        <w:rPr>
          <w:color w:val="000000" w:themeColor="text1"/>
        </w:rPr>
        <w:t xml:space="preserve"> a</w:t>
      </w:r>
      <w:r w:rsidR="006900B3" w:rsidRPr="00073171">
        <w:rPr>
          <w:color w:val="000000" w:themeColor="text1"/>
        </w:rPr>
        <w:t>n</w:t>
      </w:r>
      <w:r w:rsidR="005543C1" w:rsidRPr="00073171">
        <w:rPr>
          <w:color w:val="000000" w:themeColor="text1"/>
        </w:rPr>
        <w:t xml:space="preserve"> impact on</w:t>
      </w:r>
      <w:r w:rsidR="006900B3" w:rsidRPr="00073171">
        <w:rPr>
          <w:color w:val="000000" w:themeColor="text1"/>
        </w:rPr>
        <w:t xml:space="preserve"> functioning and</w:t>
      </w:r>
      <w:r w:rsidR="005543C1" w:rsidRPr="00073171">
        <w:rPr>
          <w:color w:val="000000" w:themeColor="text1"/>
        </w:rPr>
        <w:t xml:space="preserve"> school performance</w:t>
      </w:r>
      <w:r w:rsidR="00123928" w:rsidRPr="00073171">
        <w:rPr>
          <w:color w:val="000000" w:themeColor="text1"/>
        </w:rPr>
        <w:t>;</w:t>
      </w:r>
      <w:r w:rsidR="005543C1" w:rsidRPr="00073171">
        <w:rPr>
          <w:color w:val="000000" w:themeColor="text1"/>
        </w:rPr>
        <w:t xml:space="preserve"> </w:t>
      </w:r>
      <w:r w:rsidR="00645BD7" w:rsidRPr="00073171">
        <w:rPr>
          <w:color w:val="000000" w:themeColor="text1"/>
        </w:rPr>
        <w:t xml:space="preserve">therefore, </w:t>
      </w:r>
      <w:r w:rsidR="00591A0C" w:rsidRPr="00073171">
        <w:rPr>
          <w:color w:val="000000" w:themeColor="text1"/>
        </w:rPr>
        <w:t>ACT</w:t>
      </w:r>
      <w:r w:rsidR="006C6B01" w:rsidRPr="00073171">
        <w:rPr>
          <w:color w:val="000000" w:themeColor="text1"/>
        </w:rPr>
        <w:t xml:space="preserve"> </w:t>
      </w:r>
      <w:r w:rsidR="00591A0C" w:rsidRPr="00073171">
        <w:rPr>
          <w:color w:val="000000" w:themeColor="text1"/>
        </w:rPr>
        <w:t xml:space="preserve">may be </w:t>
      </w:r>
      <w:r w:rsidR="00404E5A" w:rsidRPr="00073171">
        <w:rPr>
          <w:color w:val="000000" w:themeColor="text1"/>
        </w:rPr>
        <w:t>useful</w:t>
      </w:r>
      <w:r w:rsidR="00135B18" w:rsidRPr="00073171">
        <w:rPr>
          <w:color w:val="000000" w:themeColor="text1"/>
        </w:rPr>
        <w:t xml:space="preserve"> to integrate into a school setting </w:t>
      </w:r>
      <w:r w:rsidR="00591A0C" w:rsidRPr="00073171">
        <w:rPr>
          <w:noProof/>
          <w:color w:val="000000" w:themeColor="text1"/>
        </w:rPr>
        <w:t>(Green et al., 2016; Mazzone et al., 2007; Seipp, 1991)</w:t>
      </w:r>
      <w:r w:rsidR="005543C1" w:rsidRPr="00073171">
        <w:rPr>
          <w:color w:val="000000" w:themeColor="text1"/>
        </w:rPr>
        <w:t>.</w:t>
      </w:r>
      <w:r w:rsidR="00CB35FE" w:rsidRPr="00073171">
        <w:rPr>
          <w:color w:val="000000" w:themeColor="text1"/>
        </w:rPr>
        <w:t xml:space="preserve"> </w:t>
      </w:r>
      <w:r w:rsidR="00B6208E" w:rsidRPr="00073171">
        <w:rPr>
          <w:color w:val="000000" w:themeColor="text1"/>
        </w:rPr>
        <w:t>Preliminary</w:t>
      </w:r>
      <w:r w:rsidR="00CB35FE" w:rsidRPr="00073171">
        <w:rPr>
          <w:color w:val="000000" w:themeColor="text1"/>
        </w:rPr>
        <w:t xml:space="preserve"> </w:t>
      </w:r>
      <w:r w:rsidR="00604607" w:rsidRPr="00073171">
        <w:rPr>
          <w:color w:val="000000" w:themeColor="text1"/>
        </w:rPr>
        <w:t xml:space="preserve">pilot </w:t>
      </w:r>
      <w:r w:rsidR="00CB35FE" w:rsidRPr="00073171">
        <w:rPr>
          <w:color w:val="000000" w:themeColor="text1"/>
        </w:rPr>
        <w:t xml:space="preserve">research </w:t>
      </w:r>
      <w:r w:rsidR="00B6208E" w:rsidRPr="00073171">
        <w:rPr>
          <w:color w:val="000000" w:themeColor="text1"/>
        </w:rPr>
        <w:t xml:space="preserve">suggests that </w:t>
      </w:r>
      <w:r w:rsidR="00CB35FE" w:rsidRPr="00073171">
        <w:rPr>
          <w:color w:val="000000" w:themeColor="text1"/>
        </w:rPr>
        <w:t>ACT can be effectively implemented in a school environment</w:t>
      </w:r>
      <w:r w:rsidR="00B6208E" w:rsidRPr="00073171">
        <w:rPr>
          <w:color w:val="000000" w:themeColor="text1"/>
        </w:rPr>
        <w:t xml:space="preserve"> and is a growing area in need of more research</w:t>
      </w:r>
      <w:r w:rsidR="00CB35FE" w:rsidRPr="00073171">
        <w:rPr>
          <w:color w:val="000000" w:themeColor="text1"/>
        </w:rPr>
        <w:t>.</w:t>
      </w:r>
      <w:r w:rsidR="00E62C15" w:rsidRPr="00073171">
        <w:rPr>
          <w:color w:val="000000" w:themeColor="text1"/>
        </w:rPr>
        <w:t xml:space="preserve"> </w:t>
      </w:r>
      <w:r w:rsidR="004579A5" w:rsidRPr="00073171">
        <w:rPr>
          <w:color w:val="000000" w:themeColor="text1"/>
        </w:rPr>
        <w:t>Livheim and colleag</w:t>
      </w:r>
      <w:r w:rsidR="00F91B4C" w:rsidRPr="00073171">
        <w:rPr>
          <w:color w:val="000000" w:themeColor="text1"/>
        </w:rPr>
        <w:t>u</w:t>
      </w:r>
      <w:r w:rsidR="004579A5" w:rsidRPr="00073171">
        <w:rPr>
          <w:color w:val="000000" w:themeColor="text1"/>
        </w:rPr>
        <w:t xml:space="preserve">es </w:t>
      </w:r>
      <w:r w:rsidR="008E5FBD" w:rsidRPr="00073171">
        <w:rPr>
          <w:noProof/>
          <w:color w:val="000000" w:themeColor="text1"/>
        </w:rPr>
        <w:t>(2015)</w:t>
      </w:r>
      <w:r w:rsidR="00053EF6" w:rsidRPr="00073171">
        <w:rPr>
          <w:color w:val="000000" w:themeColor="text1"/>
        </w:rPr>
        <w:t xml:space="preserve"> completed two pilot studies </w:t>
      </w:r>
      <w:r w:rsidR="00404E5A" w:rsidRPr="00073171">
        <w:rPr>
          <w:color w:val="000000" w:themeColor="text1"/>
        </w:rPr>
        <w:t xml:space="preserve">with adolescents in Swedish and Australian schools, </w:t>
      </w:r>
      <w:r w:rsidR="007C138B">
        <w:rPr>
          <w:color w:val="000000" w:themeColor="text1"/>
        </w:rPr>
        <w:t>finding positive</w:t>
      </w:r>
      <w:r w:rsidR="00053EF6" w:rsidRPr="00073171">
        <w:rPr>
          <w:color w:val="000000" w:themeColor="text1"/>
        </w:rPr>
        <w:t xml:space="preserve"> effects of </w:t>
      </w:r>
      <w:r w:rsidR="00EC49DC" w:rsidRPr="00073171">
        <w:rPr>
          <w:color w:val="000000" w:themeColor="text1"/>
        </w:rPr>
        <w:t xml:space="preserve">group </w:t>
      </w:r>
      <w:r w:rsidR="00053EF6" w:rsidRPr="00073171">
        <w:rPr>
          <w:color w:val="000000" w:themeColor="text1"/>
        </w:rPr>
        <w:t>ACT</w:t>
      </w:r>
      <w:r w:rsidR="0064336C" w:rsidRPr="00073171">
        <w:rPr>
          <w:color w:val="000000" w:themeColor="text1"/>
        </w:rPr>
        <w:t xml:space="preserve"> delivered by clinical psychology doctoral students and school counselors</w:t>
      </w:r>
      <w:r w:rsidR="00053EF6" w:rsidRPr="00073171">
        <w:rPr>
          <w:color w:val="000000" w:themeColor="text1"/>
        </w:rPr>
        <w:t xml:space="preserve"> </w:t>
      </w:r>
      <w:r w:rsidR="008E5FBD" w:rsidRPr="00073171">
        <w:rPr>
          <w:color w:val="000000" w:themeColor="text1"/>
        </w:rPr>
        <w:t xml:space="preserve">compared to </w:t>
      </w:r>
      <w:r w:rsidR="00D95A35" w:rsidRPr="00073171">
        <w:rPr>
          <w:color w:val="000000" w:themeColor="text1"/>
        </w:rPr>
        <w:t xml:space="preserve">a control group (support from a school nurse or counselor) </w:t>
      </w:r>
      <w:r w:rsidR="00D95A35" w:rsidRPr="00073171">
        <w:rPr>
          <w:rStyle w:val="CommentReference"/>
          <w:color w:val="000000" w:themeColor="text1"/>
          <w:sz w:val="24"/>
          <w:szCs w:val="24"/>
        </w:rPr>
        <w:t>f</w:t>
      </w:r>
      <w:r w:rsidR="00600159" w:rsidRPr="00073171">
        <w:rPr>
          <w:color w:val="000000" w:themeColor="text1"/>
        </w:rPr>
        <w:t xml:space="preserve">or </w:t>
      </w:r>
      <w:r w:rsidR="00053EF6" w:rsidRPr="00073171">
        <w:rPr>
          <w:color w:val="000000" w:themeColor="text1"/>
        </w:rPr>
        <w:t>depress</w:t>
      </w:r>
      <w:r w:rsidR="009C48EF" w:rsidRPr="00073171">
        <w:rPr>
          <w:color w:val="000000" w:themeColor="text1"/>
        </w:rPr>
        <w:t>i</w:t>
      </w:r>
      <w:r w:rsidR="00053EF6" w:rsidRPr="00073171">
        <w:rPr>
          <w:color w:val="000000" w:themeColor="text1"/>
        </w:rPr>
        <w:t>on and</w:t>
      </w:r>
      <w:r w:rsidR="00600159" w:rsidRPr="00073171">
        <w:rPr>
          <w:color w:val="000000" w:themeColor="text1"/>
        </w:rPr>
        <w:t xml:space="preserve"> for</w:t>
      </w:r>
      <w:r w:rsidR="00053EF6" w:rsidRPr="00073171">
        <w:rPr>
          <w:color w:val="000000" w:themeColor="text1"/>
        </w:rPr>
        <w:t xml:space="preserve"> stress</w:t>
      </w:r>
      <w:r w:rsidR="00404E5A" w:rsidRPr="00073171">
        <w:rPr>
          <w:color w:val="000000" w:themeColor="text1"/>
        </w:rPr>
        <w:t xml:space="preserve">. </w:t>
      </w:r>
      <w:r w:rsidR="00174047">
        <w:rPr>
          <w:color w:val="000000" w:themeColor="text1"/>
        </w:rPr>
        <w:t xml:space="preserve">As another example, </w:t>
      </w:r>
      <w:r w:rsidR="00174047">
        <w:rPr>
          <w:color w:val="000000" w:themeColor="text1"/>
        </w:rPr>
        <w:lastRenderedPageBreak/>
        <w:t>Smith and colleagues (2020) found</w:t>
      </w:r>
      <w:r w:rsidR="001E4872">
        <w:rPr>
          <w:color w:val="000000" w:themeColor="text1"/>
        </w:rPr>
        <w:t xml:space="preserve"> that adolescent females (N = 10) reported significant improvements in anxiety and psychological flexibility</w:t>
      </w:r>
      <w:r w:rsidR="00882841">
        <w:rPr>
          <w:color w:val="000000" w:themeColor="text1"/>
        </w:rPr>
        <w:t xml:space="preserve"> (i.e., small to medium effect sizes)</w:t>
      </w:r>
      <w:r w:rsidR="001E4872">
        <w:rPr>
          <w:color w:val="000000" w:themeColor="text1"/>
        </w:rPr>
        <w:t xml:space="preserve"> after six-week, ACT school-based </w:t>
      </w:r>
      <w:r w:rsidR="00742955">
        <w:rPr>
          <w:color w:val="000000" w:themeColor="text1"/>
        </w:rPr>
        <w:t xml:space="preserve">group </w:t>
      </w:r>
      <w:r w:rsidR="001E4872">
        <w:rPr>
          <w:color w:val="000000" w:themeColor="text1"/>
        </w:rPr>
        <w:t xml:space="preserve">intervention. </w:t>
      </w:r>
      <w:r w:rsidR="001F23B5" w:rsidRPr="00073171">
        <w:rPr>
          <w:color w:val="000000" w:themeColor="text1"/>
        </w:rPr>
        <w:t xml:space="preserve">Beyond these </w:t>
      </w:r>
      <w:r w:rsidR="00FE2370">
        <w:rPr>
          <w:color w:val="000000" w:themeColor="text1"/>
        </w:rPr>
        <w:t xml:space="preserve">few </w:t>
      </w:r>
      <w:r w:rsidR="001F23B5" w:rsidRPr="00073171">
        <w:rPr>
          <w:color w:val="000000" w:themeColor="text1"/>
        </w:rPr>
        <w:t>studies, t</w:t>
      </w:r>
      <w:r w:rsidR="00D87E73" w:rsidRPr="00073171">
        <w:rPr>
          <w:color w:val="000000" w:themeColor="text1"/>
        </w:rPr>
        <w:t>here appears to be a dearth in research on whether ACT can feasibly and successfully be implemented for adolescents in a school environment</w:t>
      </w:r>
      <w:r w:rsidR="00CF5F61" w:rsidRPr="00073171">
        <w:rPr>
          <w:color w:val="000000" w:themeColor="text1"/>
        </w:rPr>
        <w:t>.</w:t>
      </w:r>
    </w:p>
    <w:p w14:paraId="47F01E24" w14:textId="6F0D2BBF" w:rsidR="001428BD" w:rsidRDefault="00F97B83" w:rsidP="008219EB">
      <w:pPr>
        <w:spacing w:line="480" w:lineRule="auto"/>
        <w:ind w:firstLine="720"/>
        <w:rPr>
          <w:color w:val="000000" w:themeColor="text1"/>
        </w:rPr>
      </w:pPr>
      <w:r w:rsidRPr="00073171">
        <w:rPr>
          <w:color w:val="000000" w:themeColor="text1"/>
        </w:rPr>
        <w:t xml:space="preserve">There </w:t>
      </w:r>
      <w:r w:rsidR="00157D6F" w:rsidRPr="00073171">
        <w:rPr>
          <w:color w:val="000000" w:themeColor="text1"/>
        </w:rPr>
        <w:t>is a</w:t>
      </w:r>
      <w:r w:rsidRPr="00073171">
        <w:rPr>
          <w:color w:val="000000" w:themeColor="text1"/>
        </w:rPr>
        <w:t xml:space="preserve"> clear</w:t>
      </w:r>
      <w:r w:rsidR="00157D6F" w:rsidRPr="00073171">
        <w:rPr>
          <w:color w:val="000000" w:themeColor="text1"/>
        </w:rPr>
        <w:t xml:space="preserve"> need to </w:t>
      </w:r>
      <w:r w:rsidR="004B3CA7" w:rsidRPr="00073171">
        <w:rPr>
          <w:color w:val="000000" w:themeColor="text1"/>
        </w:rPr>
        <w:t>better explore the use of ACT in school environments</w:t>
      </w:r>
      <w:r w:rsidR="00157D6F" w:rsidRPr="00073171">
        <w:rPr>
          <w:color w:val="000000" w:themeColor="text1"/>
        </w:rPr>
        <w:t xml:space="preserve">, </w:t>
      </w:r>
      <w:r w:rsidR="00947226" w:rsidRPr="00073171">
        <w:rPr>
          <w:color w:val="000000" w:themeColor="text1"/>
        </w:rPr>
        <w:t>especially considering the</w:t>
      </w:r>
      <w:r w:rsidR="008219EB" w:rsidRPr="00073171">
        <w:rPr>
          <w:color w:val="000000" w:themeColor="text1"/>
        </w:rPr>
        <w:t xml:space="preserve"> viability of ACT</w:t>
      </w:r>
      <w:r w:rsidR="00886B50" w:rsidRPr="00073171">
        <w:rPr>
          <w:color w:val="000000" w:themeColor="text1"/>
        </w:rPr>
        <w:t xml:space="preserve"> as a</w:t>
      </w:r>
      <w:r w:rsidR="007061FF" w:rsidRPr="00073171">
        <w:rPr>
          <w:color w:val="000000" w:themeColor="text1"/>
        </w:rPr>
        <w:t xml:space="preserve"> promising</w:t>
      </w:r>
      <w:r w:rsidR="00D571B0" w:rsidRPr="00073171">
        <w:rPr>
          <w:color w:val="000000" w:themeColor="text1"/>
        </w:rPr>
        <w:t xml:space="preserve"> treatment for </w:t>
      </w:r>
      <w:r w:rsidR="008219EB" w:rsidRPr="00073171">
        <w:rPr>
          <w:color w:val="000000" w:themeColor="text1"/>
        </w:rPr>
        <w:t>adolescents</w:t>
      </w:r>
      <w:r w:rsidR="007061FF" w:rsidRPr="00073171">
        <w:rPr>
          <w:color w:val="000000" w:themeColor="text1"/>
        </w:rPr>
        <w:t xml:space="preserve"> with anxiety</w:t>
      </w:r>
      <w:r w:rsidR="00A82C72" w:rsidRPr="00073171">
        <w:rPr>
          <w:color w:val="000000" w:themeColor="text1"/>
        </w:rPr>
        <w:t>. R</w:t>
      </w:r>
      <w:r w:rsidR="002F6796" w:rsidRPr="00073171">
        <w:rPr>
          <w:color w:val="000000" w:themeColor="text1"/>
        </w:rPr>
        <w:t>esearching ACT as a treatment for adolescents is particularly relevant</w:t>
      </w:r>
      <w:r w:rsidR="00157D6F" w:rsidRPr="00073171">
        <w:rPr>
          <w:color w:val="000000" w:themeColor="text1"/>
        </w:rPr>
        <w:t xml:space="preserve"> in </w:t>
      </w:r>
      <w:r w:rsidR="00445365" w:rsidRPr="00073171">
        <w:rPr>
          <w:color w:val="000000" w:themeColor="text1"/>
        </w:rPr>
        <w:t>an externally valid setting such as</w:t>
      </w:r>
      <w:r w:rsidR="00157D6F" w:rsidRPr="00073171">
        <w:rPr>
          <w:color w:val="000000" w:themeColor="text1"/>
        </w:rPr>
        <w:t xml:space="preserve"> a school</w:t>
      </w:r>
      <w:r w:rsidR="00D21B24" w:rsidRPr="00073171">
        <w:rPr>
          <w:color w:val="000000" w:themeColor="text1"/>
        </w:rPr>
        <w:t xml:space="preserve">; this study will add a </w:t>
      </w:r>
      <w:r w:rsidR="007B0D65" w:rsidRPr="00073171">
        <w:rPr>
          <w:color w:val="000000" w:themeColor="text1"/>
        </w:rPr>
        <w:t>much-needed</w:t>
      </w:r>
      <w:r w:rsidR="00C57A4F" w:rsidRPr="00073171">
        <w:rPr>
          <w:color w:val="000000" w:themeColor="text1"/>
        </w:rPr>
        <w:t xml:space="preserve"> alternative perspective from</w:t>
      </w:r>
      <w:r w:rsidR="0076636B" w:rsidRPr="00073171">
        <w:rPr>
          <w:color w:val="000000" w:themeColor="text1"/>
        </w:rPr>
        <w:t xml:space="preserve"> treatment</w:t>
      </w:r>
      <w:r w:rsidR="00C57A4F" w:rsidRPr="00073171">
        <w:rPr>
          <w:color w:val="000000" w:themeColor="text1"/>
        </w:rPr>
        <w:t xml:space="preserve"> </w:t>
      </w:r>
      <w:r w:rsidR="002079BA" w:rsidRPr="00073171">
        <w:rPr>
          <w:color w:val="000000" w:themeColor="text1"/>
        </w:rPr>
        <w:t>research that is</w:t>
      </w:r>
      <w:r w:rsidR="00445365" w:rsidRPr="00073171">
        <w:rPr>
          <w:color w:val="000000" w:themeColor="text1"/>
        </w:rPr>
        <w:t xml:space="preserve"> often clinic-based and removed from real-world contexts</w:t>
      </w:r>
      <w:r w:rsidR="00CE0061" w:rsidRPr="00073171">
        <w:rPr>
          <w:color w:val="000000" w:themeColor="text1"/>
        </w:rPr>
        <w:t xml:space="preserve"> </w:t>
      </w:r>
      <w:r w:rsidR="00CE0061" w:rsidRPr="00073171">
        <w:rPr>
          <w:noProof/>
          <w:color w:val="000000" w:themeColor="text1"/>
        </w:rPr>
        <w:t>(Weissman et al., 2008)</w:t>
      </w:r>
      <w:r w:rsidR="00157D6F" w:rsidRPr="00073171">
        <w:rPr>
          <w:color w:val="000000" w:themeColor="text1"/>
        </w:rPr>
        <w:t>.</w:t>
      </w:r>
      <w:r w:rsidR="00C57CB2" w:rsidRPr="00073171">
        <w:rPr>
          <w:color w:val="000000" w:themeColor="text1"/>
        </w:rPr>
        <w:t xml:space="preserve"> </w:t>
      </w:r>
      <w:r w:rsidR="001428BD">
        <w:rPr>
          <w:color w:val="000000" w:themeColor="text1"/>
        </w:rPr>
        <w:t xml:space="preserve">Lastly, because the bulk of treatment research with youth </w:t>
      </w:r>
      <w:r w:rsidR="003564B0">
        <w:rPr>
          <w:color w:val="000000" w:themeColor="text1"/>
        </w:rPr>
        <w:t xml:space="preserve">in and outside of schools </w:t>
      </w:r>
      <w:r w:rsidR="001428BD">
        <w:rPr>
          <w:color w:val="000000" w:themeColor="text1"/>
        </w:rPr>
        <w:t xml:space="preserve">utilizes CBT, it is important to further research on </w:t>
      </w:r>
      <w:r w:rsidR="00BA40F3">
        <w:rPr>
          <w:color w:val="000000" w:themeColor="text1"/>
        </w:rPr>
        <w:t>ACT</w:t>
      </w:r>
      <w:r w:rsidR="001428BD">
        <w:rPr>
          <w:color w:val="000000" w:themeColor="text1"/>
        </w:rPr>
        <w:t xml:space="preserve"> given its </w:t>
      </w:r>
      <w:r w:rsidR="005F3CC9">
        <w:rPr>
          <w:color w:val="000000" w:themeColor="text1"/>
        </w:rPr>
        <w:t xml:space="preserve">growing </w:t>
      </w:r>
      <w:r w:rsidR="001428BD">
        <w:rPr>
          <w:color w:val="000000" w:themeColor="text1"/>
        </w:rPr>
        <w:t xml:space="preserve">promise as a treatment for </w:t>
      </w:r>
      <w:r w:rsidR="005F3CC9">
        <w:rPr>
          <w:color w:val="000000" w:themeColor="text1"/>
        </w:rPr>
        <w:t>anxiety in both youth and adult populations</w:t>
      </w:r>
      <w:r w:rsidR="001428BD">
        <w:rPr>
          <w:color w:val="000000" w:themeColor="text1"/>
        </w:rPr>
        <w:t>.</w:t>
      </w:r>
      <w:r w:rsidR="00D95EBA">
        <w:rPr>
          <w:color w:val="000000" w:themeColor="text1"/>
        </w:rPr>
        <w:t xml:space="preserve"> While there is no evidence suggesting ACT would provide increased efficacy in comparison to CBT for youth with anxiety (e.g., Hancock et al., 2018), improving and expanding evidence-based treatment options for youth with anxiety is </w:t>
      </w:r>
      <w:r w:rsidR="00353542">
        <w:rPr>
          <w:color w:val="000000" w:themeColor="text1"/>
        </w:rPr>
        <w:t>vital</w:t>
      </w:r>
      <w:r w:rsidR="00D95EBA">
        <w:rPr>
          <w:color w:val="000000" w:themeColor="text1"/>
        </w:rPr>
        <w:t xml:space="preserve">. </w:t>
      </w:r>
      <w:r w:rsidR="00353542">
        <w:rPr>
          <w:color w:val="000000" w:themeColor="text1"/>
        </w:rPr>
        <w:t>This</w:t>
      </w:r>
      <w:r w:rsidR="00D95EBA">
        <w:rPr>
          <w:color w:val="000000" w:themeColor="text1"/>
        </w:rPr>
        <w:t xml:space="preserve"> is particularly relevant given the current mental health crisis in youth (</w:t>
      </w:r>
      <w:r w:rsidR="00D95EBA">
        <w:t>American Academy of Pediatrics, 2021</w:t>
      </w:r>
      <w:r w:rsidR="00D95EBA">
        <w:rPr>
          <w:color w:val="000000" w:themeColor="text1"/>
        </w:rPr>
        <w:t xml:space="preserve">). </w:t>
      </w:r>
    </w:p>
    <w:p w14:paraId="6F971405" w14:textId="310512DE" w:rsidR="00CD7963" w:rsidRPr="00073171" w:rsidRDefault="00C57515" w:rsidP="008219EB">
      <w:pPr>
        <w:spacing w:line="480" w:lineRule="auto"/>
        <w:ind w:firstLine="720"/>
        <w:rPr>
          <w:color w:val="000000" w:themeColor="text1"/>
        </w:rPr>
      </w:pPr>
      <w:r w:rsidRPr="00073171">
        <w:rPr>
          <w:color w:val="000000" w:themeColor="text1"/>
        </w:rPr>
        <w:t>T</w:t>
      </w:r>
      <w:r w:rsidR="001F1B2D" w:rsidRPr="00073171">
        <w:rPr>
          <w:color w:val="000000" w:themeColor="text1"/>
        </w:rPr>
        <w:t xml:space="preserve">he present study </w:t>
      </w:r>
      <w:r w:rsidR="000A4873" w:rsidRPr="00073171">
        <w:rPr>
          <w:color w:val="000000" w:themeColor="text1"/>
        </w:rPr>
        <w:t>is a pilot trial of</w:t>
      </w:r>
      <w:r w:rsidR="001F1B2D" w:rsidRPr="00073171">
        <w:rPr>
          <w:color w:val="000000" w:themeColor="text1"/>
        </w:rPr>
        <w:t xml:space="preserve"> a school-based ACT </w:t>
      </w:r>
      <w:r w:rsidR="006B2B15" w:rsidRPr="00073171">
        <w:rPr>
          <w:color w:val="000000" w:themeColor="text1"/>
        </w:rPr>
        <w:t>group</w:t>
      </w:r>
      <w:r w:rsidR="00DB3719" w:rsidRPr="00073171">
        <w:rPr>
          <w:color w:val="000000" w:themeColor="text1"/>
        </w:rPr>
        <w:t xml:space="preserve"> intervention, DNA-V,</w:t>
      </w:r>
      <w:r w:rsidR="006B2B15" w:rsidRPr="00073171">
        <w:rPr>
          <w:color w:val="000000" w:themeColor="text1"/>
        </w:rPr>
        <w:t xml:space="preserve"> on adolescent anxiety, </w:t>
      </w:r>
      <w:r w:rsidR="00003F4A" w:rsidRPr="00073171">
        <w:rPr>
          <w:color w:val="000000" w:themeColor="text1"/>
        </w:rPr>
        <w:t>depression, class attendance,</w:t>
      </w:r>
      <w:r w:rsidR="006B2B15" w:rsidRPr="00073171">
        <w:rPr>
          <w:color w:val="000000" w:themeColor="text1"/>
        </w:rPr>
        <w:t xml:space="preserve"> psychological flexibility, and </w:t>
      </w:r>
      <w:r w:rsidR="00E85716" w:rsidRPr="00073171">
        <w:rPr>
          <w:color w:val="000000" w:themeColor="text1"/>
        </w:rPr>
        <w:t>quality</w:t>
      </w:r>
      <w:r w:rsidR="00690700" w:rsidRPr="00073171">
        <w:rPr>
          <w:color w:val="000000" w:themeColor="text1"/>
        </w:rPr>
        <w:t xml:space="preserve"> </w:t>
      </w:r>
      <w:r w:rsidR="00E85716" w:rsidRPr="00073171">
        <w:rPr>
          <w:color w:val="000000" w:themeColor="text1"/>
        </w:rPr>
        <w:t>of</w:t>
      </w:r>
      <w:r w:rsidR="00690700" w:rsidRPr="00073171">
        <w:rPr>
          <w:color w:val="000000" w:themeColor="text1"/>
        </w:rPr>
        <w:t xml:space="preserve"> </w:t>
      </w:r>
      <w:r w:rsidR="00E85716" w:rsidRPr="00073171">
        <w:rPr>
          <w:color w:val="000000" w:themeColor="text1"/>
        </w:rPr>
        <w:t>life (</w:t>
      </w:r>
      <w:r w:rsidR="004A4001" w:rsidRPr="00073171">
        <w:rPr>
          <w:color w:val="000000" w:themeColor="text1"/>
        </w:rPr>
        <w:t xml:space="preserve">i.e., </w:t>
      </w:r>
      <w:r w:rsidR="00E85716" w:rsidRPr="00073171">
        <w:rPr>
          <w:color w:val="000000" w:themeColor="text1"/>
        </w:rPr>
        <w:t>positive mental health and student well-being)</w:t>
      </w:r>
      <w:r w:rsidR="008F7D77" w:rsidRPr="00073171">
        <w:rPr>
          <w:color w:val="000000" w:themeColor="text1"/>
        </w:rPr>
        <w:t>.</w:t>
      </w:r>
      <w:r w:rsidR="001E5CA9" w:rsidRPr="00073171">
        <w:rPr>
          <w:color w:val="000000" w:themeColor="text1"/>
        </w:rPr>
        <w:t xml:space="preserve"> </w:t>
      </w:r>
      <w:r w:rsidR="008069F5">
        <w:rPr>
          <w:color w:val="000000" w:themeColor="text1"/>
        </w:rPr>
        <w:t xml:space="preserve">DNA-V uses three characters (the Discoverer, Noticer, and Advisor) to introduce and engage adolescents with ACT processes (e.g., acceptance, present moment awareness, and </w:t>
      </w:r>
      <w:r w:rsidR="00AA699C">
        <w:rPr>
          <w:color w:val="000000" w:themeColor="text1"/>
        </w:rPr>
        <w:t>cognitive defusion) in the service of</w:t>
      </w:r>
      <w:r w:rsidR="00B4364B">
        <w:rPr>
          <w:color w:val="000000" w:themeColor="text1"/>
        </w:rPr>
        <w:t xml:space="preserve"> psychological</w:t>
      </w:r>
      <w:r w:rsidR="00AA699C">
        <w:rPr>
          <w:color w:val="000000" w:themeColor="text1"/>
        </w:rPr>
        <w:t xml:space="preserve"> </w:t>
      </w:r>
      <w:r w:rsidR="00A2397A">
        <w:rPr>
          <w:color w:val="000000" w:themeColor="text1"/>
        </w:rPr>
        <w:t xml:space="preserve">skill-building and </w:t>
      </w:r>
      <w:r w:rsidR="00AA699C">
        <w:rPr>
          <w:color w:val="000000" w:themeColor="text1"/>
        </w:rPr>
        <w:t>values</w:t>
      </w:r>
      <w:r w:rsidR="00A2397A">
        <w:rPr>
          <w:color w:val="000000" w:themeColor="text1"/>
        </w:rPr>
        <w:t>/</w:t>
      </w:r>
      <w:r w:rsidR="00AA699C">
        <w:rPr>
          <w:color w:val="000000" w:themeColor="text1"/>
        </w:rPr>
        <w:t>vitality (i.e., the “V” in DNA-V).</w:t>
      </w:r>
      <w:r w:rsidR="008069F5">
        <w:rPr>
          <w:color w:val="000000" w:themeColor="text1"/>
        </w:rPr>
        <w:t xml:space="preserve"> </w:t>
      </w:r>
      <w:r w:rsidR="001E5CA9" w:rsidRPr="00073171">
        <w:rPr>
          <w:color w:val="000000" w:themeColor="text1"/>
        </w:rPr>
        <w:t xml:space="preserve">To our knowledge, this trial is the </w:t>
      </w:r>
      <w:r w:rsidR="001E5CA9" w:rsidRPr="00073171">
        <w:rPr>
          <w:color w:val="000000" w:themeColor="text1"/>
        </w:rPr>
        <w:lastRenderedPageBreak/>
        <w:t>first to use a randomized, waitlist-controlled format as a preliminary test of DNA-V, a unique and developmentally adapted form of ACT, in a group, school-integrated format</w:t>
      </w:r>
      <w:r w:rsidR="00003F4A" w:rsidRPr="00073171">
        <w:rPr>
          <w:color w:val="000000" w:themeColor="text1"/>
        </w:rPr>
        <w:t xml:space="preserve"> for adolescents with anxiety</w:t>
      </w:r>
      <w:r w:rsidR="001E5CA9" w:rsidRPr="00073171">
        <w:rPr>
          <w:color w:val="000000" w:themeColor="text1"/>
        </w:rPr>
        <w:t>.</w:t>
      </w:r>
      <w:r w:rsidR="00003F4A" w:rsidRPr="00073171">
        <w:rPr>
          <w:color w:val="000000" w:themeColor="text1"/>
        </w:rPr>
        <w:t xml:space="preserve"> We predicted that adolescents in the treatment group would show improvements </w:t>
      </w:r>
      <w:r w:rsidR="008C2273" w:rsidRPr="00073171">
        <w:rPr>
          <w:color w:val="000000" w:themeColor="text1"/>
        </w:rPr>
        <w:t xml:space="preserve">on all outcomes </w:t>
      </w:r>
      <w:r w:rsidR="005030CB" w:rsidRPr="00073171">
        <w:rPr>
          <w:color w:val="000000" w:themeColor="text1"/>
        </w:rPr>
        <w:t xml:space="preserve">at post-treatment and follow-up </w:t>
      </w:r>
      <w:r w:rsidR="008C2273" w:rsidRPr="00073171">
        <w:rPr>
          <w:color w:val="000000" w:themeColor="text1"/>
        </w:rPr>
        <w:t>as compared to the waitlist.</w:t>
      </w:r>
    </w:p>
    <w:p w14:paraId="648ECD69" w14:textId="53E902A5" w:rsidR="0012001E" w:rsidRPr="00073171" w:rsidRDefault="00A45659" w:rsidP="00A45659">
      <w:pPr>
        <w:jc w:val="center"/>
        <w:rPr>
          <w:bCs/>
          <w:color w:val="000000" w:themeColor="text1"/>
        </w:rPr>
      </w:pPr>
      <w:r w:rsidRPr="00073171">
        <w:rPr>
          <w:b/>
          <w:color w:val="000000" w:themeColor="text1"/>
        </w:rPr>
        <w:t>Method</w:t>
      </w:r>
    </w:p>
    <w:p w14:paraId="0801CB9D" w14:textId="77777777" w:rsidR="00936986" w:rsidRPr="00073171" w:rsidRDefault="003457F2" w:rsidP="00386A87">
      <w:pPr>
        <w:spacing w:line="480" w:lineRule="auto"/>
        <w:rPr>
          <w:color w:val="000000" w:themeColor="text1"/>
        </w:rPr>
      </w:pPr>
      <w:r w:rsidRPr="00073171">
        <w:rPr>
          <w:b/>
          <w:color w:val="000000" w:themeColor="text1"/>
        </w:rPr>
        <w:t>Participants</w:t>
      </w:r>
    </w:p>
    <w:p w14:paraId="0BFD34F2" w14:textId="2C7F5779" w:rsidR="00417F52" w:rsidRPr="00073171" w:rsidRDefault="00F71B18" w:rsidP="0055135A">
      <w:pPr>
        <w:spacing w:line="480" w:lineRule="auto"/>
        <w:ind w:firstLine="720"/>
        <w:rPr>
          <w:color w:val="000000" w:themeColor="text1"/>
        </w:rPr>
      </w:pPr>
      <w:r w:rsidRPr="00073171">
        <w:rPr>
          <w:color w:val="000000" w:themeColor="text1"/>
        </w:rPr>
        <w:t xml:space="preserve">Participants </w:t>
      </w:r>
      <w:r w:rsidR="00331017" w:rsidRPr="00073171">
        <w:rPr>
          <w:color w:val="000000" w:themeColor="text1"/>
        </w:rPr>
        <w:t>were 26</w:t>
      </w:r>
      <w:r w:rsidRPr="00073171">
        <w:rPr>
          <w:color w:val="000000" w:themeColor="text1"/>
        </w:rPr>
        <w:t xml:space="preserve"> adolescents </w:t>
      </w:r>
      <w:r w:rsidR="00B81BD4" w:rsidRPr="00073171">
        <w:rPr>
          <w:color w:val="000000" w:themeColor="text1"/>
        </w:rPr>
        <w:t xml:space="preserve">at two </w:t>
      </w:r>
      <w:r w:rsidR="0072207C" w:rsidRPr="00073171">
        <w:rPr>
          <w:color w:val="000000" w:themeColor="text1"/>
        </w:rPr>
        <w:t>high schools</w:t>
      </w:r>
      <w:r w:rsidR="006C263F" w:rsidRPr="00073171">
        <w:rPr>
          <w:color w:val="000000" w:themeColor="text1"/>
        </w:rPr>
        <w:t xml:space="preserve"> (</w:t>
      </w:r>
      <w:r w:rsidR="00B14DF0" w:rsidRPr="00073171">
        <w:rPr>
          <w:color w:val="000000" w:themeColor="text1"/>
        </w:rPr>
        <w:t>S</w:t>
      </w:r>
      <w:r w:rsidR="006C263F" w:rsidRPr="00073171">
        <w:rPr>
          <w:color w:val="000000" w:themeColor="text1"/>
        </w:rPr>
        <w:t>chools A and B)</w:t>
      </w:r>
      <w:r w:rsidR="0072207C" w:rsidRPr="00073171">
        <w:rPr>
          <w:color w:val="000000" w:themeColor="text1"/>
        </w:rPr>
        <w:t xml:space="preserve"> in </w:t>
      </w:r>
      <w:r w:rsidR="003E1B67" w:rsidRPr="00073171">
        <w:rPr>
          <w:color w:val="000000" w:themeColor="text1"/>
        </w:rPr>
        <w:t xml:space="preserve">the </w:t>
      </w:r>
      <w:r w:rsidR="00B14DF0" w:rsidRPr="00073171">
        <w:rPr>
          <w:color w:val="000000" w:themeColor="text1"/>
        </w:rPr>
        <w:t>Mountain West region of the United States</w:t>
      </w:r>
      <w:r w:rsidRPr="00073171">
        <w:rPr>
          <w:color w:val="000000" w:themeColor="text1"/>
        </w:rPr>
        <w:t xml:space="preserve">. </w:t>
      </w:r>
      <w:r w:rsidR="00735293" w:rsidRPr="00073171">
        <w:rPr>
          <w:color w:val="000000" w:themeColor="text1"/>
        </w:rPr>
        <w:t xml:space="preserve">Participants had to meet the following inclusion criteria: </w:t>
      </w:r>
      <w:r w:rsidR="00B13D72" w:rsidRPr="00073171">
        <w:rPr>
          <w:color w:val="000000" w:themeColor="text1"/>
        </w:rPr>
        <w:t xml:space="preserve">anxiety </w:t>
      </w:r>
      <w:r w:rsidR="00735293" w:rsidRPr="00073171">
        <w:rPr>
          <w:color w:val="000000" w:themeColor="text1"/>
        </w:rPr>
        <w:t>above the</w:t>
      </w:r>
      <w:r w:rsidR="00B13D72" w:rsidRPr="00073171">
        <w:rPr>
          <w:color w:val="000000" w:themeColor="text1"/>
        </w:rPr>
        <w:t xml:space="preserve"> clinical cut-off</w:t>
      </w:r>
      <w:r w:rsidR="00975631" w:rsidRPr="00073171">
        <w:rPr>
          <w:color w:val="000000" w:themeColor="text1"/>
        </w:rPr>
        <w:t xml:space="preserve"> of 25 on the Screen for Child Anxiety and Related Disorders – Child Report (SCARED; Birmaher et al., 1999)</w:t>
      </w:r>
      <w:r w:rsidRPr="00073171">
        <w:rPr>
          <w:color w:val="000000" w:themeColor="text1"/>
        </w:rPr>
        <w:t xml:space="preserve">, </w:t>
      </w:r>
      <w:r w:rsidR="005C5862" w:rsidRPr="00073171">
        <w:rPr>
          <w:color w:val="000000" w:themeColor="text1"/>
        </w:rPr>
        <w:t>provision of parental consent</w:t>
      </w:r>
      <w:r w:rsidR="007421EC" w:rsidRPr="00073171">
        <w:rPr>
          <w:color w:val="000000" w:themeColor="text1"/>
        </w:rPr>
        <w:t xml:space="preserve">, </w:t>
      </w:r>
      <w:r w:rsidRPr="00073171">
        <w:rPr>
          <w:color w:val="000000" w:themeColor="text1"/>
        </w:rPr>
        <w:t>fluent in English</w:t>
      </w:r>
      <w:r w:rsidR="007421EC" w:rsidRPr="00073171">
        <w:rPr>
          <w:color w:val="000000" w:themeColor="text1"/>
        </w:rPr>
        <w:t xml:space="preserve">, and </w:t>
      </w:r>
      <w:r w:rsidR="00975631" w:rsidRPr="00073171">
        <w:rPr>
          <w:color w:val="000000" w:themeColor="text1"/>
        </w:rPr>
        <w:t>not too disruptive to participate in group therapy (as identified by school counselors)</w:t>
      </w:r>
      <w:r w:rsidRPr="00073171">
        <w:rPr>
          <w:color w:val="000000" w:themeColor="text1"/>
        </w:rPr>
        <w:t xml:space="preserve">. Participants taking medication or receiving psychological care outside of the study </w:t>
      </w:r>
      <w:r w:rsidR="00331017" w:rsidRPr="00073171">
        <w:rPr>
          <w:color w:val="000000" w:themeColor="text1"/>
        </w:rPr>
        <w:t>were</w:t>
      </w:r>
      <w:r w:rsidRPr="00073171">
        <w:rPr>
          <w:color w:val="000000" w:themeColor="text1"/>
        </w:rPr>
        <w:t xml:space="preserve"> required to be stabilized for at least </w:t>
      </w:r>
      <w:r w:rsidR="00403AFC" w:rsidRPr="00073171">
        <w:rPr>
          <w:color w:val="000000" w:themeColor="text1"/>
        </w:rPr>
        <w:t>30 days.</w:t>
      </w:r>
      <w:r w:rsidR="000A2532" w:rsidRPr="00073171">
        <w:rPr>
          <w:color w:val="000000" w:themeColor="text1"/>
        </w:rPr>
        <w:t xml:space="preserve"> </w:t>
      </w:r>
      <w:r w:rsidRPr="00073171">
        <w:rPr>
          <w:color w:val="000000" w:themeColor="text1"/>
        </w:rPr>
        <w:t xml:space="preserve">Recruitment </w:t>
      </w:r>
      <w:r w:rsidR="00331017" w:rsidRPr="00073171">
        <w:rPr>
          <w:color w:val="000000" w:themeColor="text1"/>
        </w:rPr>
        <w:t>took</w:t>
      </w:r>
      <w:r w:rsidRPr="00073171">
        <w:rPr>
          <w:color w:val="000000" w:themeColor="text1"/>
        </w:rPr>
        <w:t xml:space="preserve"> place via a</w:t>
      </w:r>
      <w:r w:rsidR="00493FB2" w:rsidRPr="00073171">
        <w:rPr>
          <w:color w:val="000000" w:themeColor="text1"/>
        </w:rPr>
        <w:t xml:space="preserve">n </w:t>
      </w:r>
      <w:r w:rsidR="00936986" w:rsidRPr="00073171">
        <w:rPr>
          <w:color w:val="000000" w:themeColor="text1"/>
        </w:rPr>
        <w:t>eligibility online</w:t>
      </w:r>
      <w:r w:rsidR="00493FB2" w:rsidRPr="00073171">
        <w:rPr>
          <w:color w:val="000000" w:themeColor="text1"/>
        </w:rPr>
        <w:t xml:space="preserve"> </w:t>
      </w:r>
      <w:r w:rsidR="00936986" w:rsidRPr="00073171">
        <w:rPr>
          <w:color w:val="000000" w:themeColor="text1"/>
        </w:rPr>
        <w:t xml:space="preserve">questionnaire </w:t>
      </w:r>
      <w:r w:rsidR="00D26773" w:rsidRPr="00073171">
        <w:rPr>
          <w:color w:val="000000" w:themeColor="text1"/>
        </w:rPr>
        <w:t>distributed th</w:t>
      </w:r>
      <w:r w:rsidRPr="00073171">
        <w:rPr>
          <w:color w:val="000000" w:themeColor="text1"/>
        </w:rPr>
        <w:t xml:space="preserve">rough </w:t>
      </w:r>
      <w:r w:rsidR="00975631" w:rsidRPr="00073171">
        <w:rPr>
          <w:color w:val="000000" w:themeColor="text1"/>
        </w:rPr>
        <w:t xml:space="preserve">the two participating </w:t>
      </w:r>
      <w:r w:rsidR="00BA166F" w:rsidRPr="00073171">
        <w:rPr>
          <w:color w:val="000000" w:themeColor="text1"/>
        </w:rPr>
        <w:t xml:space="preserve">high schools </w:t>
      </w:r>
      <w:r w:rsidR="00D32112" w:rsidRPr="00073171">
        <w:rPr>
          <w:color w:val="000000" w:themeColor="text1"/>
        </w:rPr>
        <w:t>by</w:t>
      </w:r>
      <w:r w:rsidR="00331017" w:rsidRPr="00073171">
        <w:rPr>
          <w:color w:val="000000" w:themeColor="text1"/>
        </w:rPr>
        <w:t xml:space="preserve"> email and school counselor referrals</w:t>
      </w:r>
      <w:r w:rsidR="00BF00E0" w:rsidRPr="00073171">
        <w:rPr>
          <w:color w:val="000000" w:themeColor="text1"/>
        </w:rPr>
        <w:t xml:space="preserve"> and occurred September</w:t>
      </w:r>
      <w:r w:rsidR="00CB41F2" w:rsidRPr="00073171">
        <w:rPr>
          <w:color w:val="000000" w:themeColor="text1"/>
        </w:rPr>
        <w:t>-</w:t>
      </w:r>
      <w:r w:rsidR="00BF00E0" w:rsidRPr="00073171">
        <w:rPr>
          <w:color w:val="000000" w:themeColor="text1"/>
        </w:rPr>
        <w:t>October of 2019</w:t>
      </w:r>
      <w:r w:rsidR="00936986" w:rsidRPr="00073171">
        <w:rPr>
          <w:color w:val="000000" w:themeColor="text1"/>
        </w:rPr>
        <w:t xml:space="preserve">. </w:t>
      </w:r>
      <w:r w:rsidR="00415762" w:rsidRPr="00073171">
        <w:rPr>
          <w:color w:val="000000" w:themeColor="text1"/>
        </w:rPr>
        <w:t xml:space="preserve">See Figure 1 for a CONSORT </w:t>
      </w:r>
      <w:r w:rsidR="005E2590" w:rsidRPr="00073171">
        <w:rPr>
          <w:color w:val="000000" w:themeColor="text1"/>
        </w:rPr>
        <w:t>diagram</w:t>
      </w:r>
      <w:r w:rsidR="00D97916" w:rsidRPr="00073171">
        <w:rPr>
          <w:color w:val="000000" w:themeColor="text1"/>
        </w:rPr>
        <w:t xml:space="preserve"> and Table 1 for participant demographics</w:t>
      </w:r>
      <w:r w:rsidR="005E2590" w:rsidRPr="00073171">
        <w:rPr>
          <w:color w:val="000000" w:themeColor="text1"/>
        </w:rPr>
        <w:t>.</w:t>
      </w:r>
    </w:p>
    <w:p w14:paraId="12A2C55B" w14:textId="50E8BF3C" w:rsidR="000F1DF7" w:rsidRPr="00073171" w:rsidRDefault="000F1DF7" w:rsidP="000F1DF7">
      <w:pPr>
        <w:spacing w:line="480" w:lineRule="auto"/>
        <w:rPr>
          <w:b/>
          <w:color w:val="000000" w:themeColor="text1"/>
        </w:rPr>
      </w:pPr>
      <w:r w:rsidRPr="00073171">
        <w:rPr>
          <w:b/>
          <w:color w:val="000000" w:themeColor="text1"/>
        </w:rPr>
        <w:t>Procedure</w:t>
      </w:r>
    </w:p>
    <w:p w14:paraId="23C5AF2D" w14:textId="27014441" w:rsidR="00C85CD0" w:rsidRPr="00073171" w:rsidRDefault="00381409" w:rsidP="0055135A">
      <w:pPr>
        <w:spacing w:line="480" w:lineRule="auto"/>
        <w:ind w:firstLine="720"/>
        <w:rPr>
          <w:color w:val="000000" w:themeColor="text1"/>
        </w:rPr>
      </w:pPr>
      <w:r w:rsidRPr="00073171">
        <w:rPr>
          <w:color w:val="000000" w:themeColor="text1"/>
        </w:rPr>
        <w:t xml:space="preserve">Participants </w:t>
      </w:r>
      <w:r w:rsidR="00331017" w:rsidRPr="00073171">
        <w:rPr>
          <w:color w:val="000000" w:themeColor="text1"/>
        </w:rPr>
        <w:t>were</w:t>
      </w:r>
      <w:r w:rsidRPr="00073171">
        <w:rPr>
          <w:color w:val="000000" w:themeColor="text1"/>
        </w:rPr>
        <w:t xml:space="preserve"> required to provide signed parental consent before </w:t>
      </w:r>
      <w:r w:rsidR="00C50A9D" w:rsidRPr="00073171">
        <w:rPr>
          <w:color w:val="000000" w:themeColor="text1"/>
        </w:rPr>
        <w:t>completing the eligibility questionnaire</w:t>
      </w:r>
      <w:r w:rsidRPr="00073171">
        <w:rPr>
          <w:color w:val="000000" w:themeColor="text1"/>
        </w:rPr>
        <w:t xml:space="preserve">. </w:t>
      </w:r>
      <w:r w:rsidR="00331017" w:rsidRPr="00073171">
        <w:rPr>
          <w:color w:val="000000" w:themeColor="text1"/>
        </w:rPr>
        <w:t>Adolescent p</w:t>
      </w:r>
      <w:r w:rsidR="00E7166B" w:rsidRPr="00073171">
        <w:rPr>
          <w:color w:val="000000" w:themeColor="text1"/>
        </w:rPr>
        <w:t xml:space="preserve">articipants </w:t>
      </w:r>
      <w:r w:rsidR="00331017" w:rsidRPr="00073171">
        <w:rPr>
          <w:color w:val="000000" w:themeColor="text1"/>
        </w:rPr>
        <w:t>were also</w:t>
      </w:r>
      <w:r w:rsidR="005634D8" w:rsidRPr="00073171">
        <w:rPr>
          <w:color w:val="000000" w:themeColor="text1"/>
        </w:rPr>
        <w:t xml:space="preserve"> asked to</w:t>
      </w:r>
      <w:r w:rsidR="00A52FF4" w:rsidRPr="00073171">
        <w:rPr>
          <w:color w:val="000000" w:themeColor="text1"/>
        </w:rPr>
        <w:t xml:space="preserve"> provide written assent</w:t>
      </w:r>
      <w:r w:rsidR="00E7166B" w:rsidRPr="00073171">
        <w:rPr>
          <w:color w:val="000000" w:themeColor="text1"/>
        </w:rPr>
        <w:t xml:space="preserve"> to treatment</w:t>
      </w:r>
      <w:r w:rsidR="002A5961" w:rsidRPr="00073171">
        <w:rPr>
          <w:color w:val="000000" w:themeColor="text1"/>
        </w:rPr>
        <w:t>.</w:t>
      </w:r>
      <w:r w:rsidR="003E1B67" w:rsidRPr="00073171">
        <w:rPr>
          <w:color w:val="000000" w:themeColor="text1"/>
        </w:rPr>
        <w:t xml:space="preserve"> All study procedures were approved by the university institutional review board</w:t>
      </w:r>
      <w:r w:rsidR="001E4CE3" w:rsidRPr="00073171">
        <w:rPr>
          <w:color w:val="000000" w:themeColor="text1"/>
        </w:rPr>
        <w:t xml:space="preserve"> and the school </w:t>
      </w:r>
      <w:r w:rsidR="001820A6" w:rsidRPr="00073171">
        <w:rPr>
          <w:color w:val="000000" w:themeColor="text1"/>
        </w:rPr>
        <w:t>district</w:t>
      </w:r>
      <w:r w:rsidR="003E1B67" w:rsidRPr="00073171">
        <w:rPr>
          <w:color w:val="000000" w:themeColor="text1"/>
        </w:rPr>
        <w:t>.</w:t>
      </w:r>
      <w:r w:rsidR="0055135A" w:rsidRPr="00073171">
        <w:rPr>
          <w:color w:val="000000" w:themeColor="text1"/>
        </w:rPr>
        <w:t xml:space="preserve"> </w:t>
      </w:r>
      <w:r w:rsidR="00F839A2" w:rsidRPr="00073171">
        <w:rPr>
          <w:color w:val="000000" w:themeColor="text1"/>
        </w:rPr>
        <w:t>After consent</w:t>
      </w:r>
      <w:r w:rsidR="0055135A" w:rsidRPr="00073171">
        <w:rPr>
          <w:color w:val="000000" w:themeColor="text1"/>
        </w:rPr>
        <w:t xml:space="preserve"> and assent</w:t>
      </w:r>
      <w:r w:rsidR="00F839A2" w:rsidRPr="00073171">
        <w:rPr>
          <w:color w:val="000000" w:themeColor="text1"/>
        </w:rPr>
        <w:t>, participants w</w:t>
      </w:r>
      <w:r w:rsidR="00704991" w:rsidRPr="00073171">
        <w:rPr>
          <w:color w:val="000000" w:themeColor="text1"/>
        </w:rPr>
        <w:t>ere</w:t>
      </w:r>
      <w:r w:rsidR="00F839A2" w:rsidRPr="00073171">
        <w:rPr>
          <w:color w:val="000000" w:themeColor="text1"/>
        </w:rPr>
        <w:t xml:space="preserve"> randomized to receive </w:t>
      </w:r>
      <w:r w:rsidR="00187B11" w:rsidRPr="00073171">
        <w:rPr>
          <w:color w:val="000000" w:themeColor="text1"/>
        </w:rPr>
        <w:t>an ACT-based group</w:t>
      </w:r>
      <w:r w:rsidR="00F839A2" w:rsidRPr="00073171">
        <w:rPr>
          <w:color w:val="000000" w:themeColor="text1"/>
        </w:rPr>
        <w:t xml:space="preserve"> intervention</w:t>
      </w:r>
      <w:r w:rsidR="006E7E18" w:rsidRPr="00073171">
        <w:rPr>
          <w:color w:val="000000" w:themeColor="text1"/>
        </w:rPr>
        <w:t xml:space="preserve"> </w:t>
      </w:r>
      <w:r w:rsidR="008E290B" w:rsidRPr="00073171">
        <w:rPr>
          <w:noProof/>
          <w:color w:val="000000" w:themeColor="text1"/>
        </w:rPr>
        <w:t>(</w:t>
      </w:r>
      <w:r w:rsidR="00163282" w:rsidRPr="00073171">
        <w:rPr>
          <w:i/>
          <w:iCs/>
          <w:noProof/>
          <w:color w:val="000000" w:themeColor="text1"/>
        </w:rPr>
        <w:t>n</w:t>
      </w:r>
      <w:r w:rsidR="00163282" w:rsidRPr="00073171">
        <w:rPr>
          <w:noProof/>
          <w:color w:val="000000" w:themeColor="text1"/>
        </w:rPr>
        <w:t xml:space="preserve"> = 13</w:t>
      </w:r>
      <w:r w:rsidR="008E290B" w:rsidRPr="00073171">
        <w:rPr>
          <w:noProof/>
          <w:color w:val="000000" w:themeColor="text1"/>
        </w:rPr>
        <w:t>)</w:t>
      </w:r>
      <w:r w:rsidR="002615C4" w:rsidRPr="00073171">
        <w:rPr>
          <w:color w:val="000000" w:themeColor="text1"/>
        </w:rPr>
        <w:t xml:space="preserve"> </w:t>
      </w:r>
      <w:r w:rsidR="007F1394" w:rsidRPr="00073171">
        <w:rPr>
          <w:color w:val="000000" w:themeColor="text1"/>
        </w:rPr>
        <w:t xml:space="preserve">or </w:t>
      </w:r>
      <w:r w:rsidR="00F642C7" w:rsidRPr="00073171">
        <w:rPr>
          <w:color w:val="000000" w:themeColor="text1"/>
        </w:rPr>
        <w:t xml:space="preserve">to </w:t>
      </w:r>
      <w:r w:rsidR="007F1394" w:rsidRPr="00073171">
        <w:rPr>
          <w:color w:val="000000" w:themeColor="text1"/>
        </w:rPr>
        <w:t>a</w:t>
      </w:r>
      <w:r w:rsidR="008337F3" w:rsidRPr="00073171">
        <w:rPr>
          <w:color w:val="000000" w:themeColor="text1"/>
        </w:rPr>
        <w:t xml:space="preserve"> 12-week</w:t>
      </w:r>
      <w:r w:rsidR="00F839A2" w:rsidRPr="00073171">
        <w:rPr>
          <w:color w:val="000000" w:themeColor="text1"/>
        </w:rPr>
        <w:t xml:space="preserve"> waitlist</w:t>
      </w:r>
      <w:r w:rsidR="00163282" w:rsidRPr="00073171">
        <w:rPr>
          <w:color w:val="000000" w:themeColor="text1"/>
        </w:rPr>
        <w:t xml:space="preserve"> (</w:t>
      </w:r>
      <w:r w:rsidR="00163282" w:rsidRPr="00073171">
        <w:rPr>
          <w:i/>
          <w:iCs/>
          <w:color w:val="000000" w:themeColor="text1"/>
        </w:rPr>
        <w:t>n</w:t>
      </w:r>
      <w:r w:rsidR="00163282" w:rsidRPr="00073171">
        <w:rPr>
          <w:color w:val="000000" w:themeColor="text1"/>
        </w:rPr>
        <w:t xml:space="preserve"> = 13)</w:t>
      </w:r>
      <w:r w:rsidR="00F839A2" w:rsidRPr="00073171">
        <w:rPr>
          <w:color w:val="000000" w:themeColor="text1"/>
        </w:rPr>
        <w:t>. Participants complete</w:t>
      </w:r>
      <w:r w:rsidR="00704991" w:rsidRPr="00073171">
        <w:rPr>
          <w:color w:val="000000" w:themeColor="text1"/>
        </w:rPr>
        <w:t>d</w:t>
      </w:r>
      <w:r w:rsidR="00F839A2" w:rsidRPr="00073171">
        <w:rPr>
          <w:color w:val="000000" w:themeColor="text1"/>
        </w:rPr>
        <w:t xml:space="preserve"> </w:t>
      </w:r>
      <w:r w:rsidR="006F75F7" w:rsidRPr="00073171">
        <w:rPr>
          <w:color w:val="000000" w:themeColor="text1"/>
        </w:rPr>
        <w:t xml:space="preserve">baseline, mid-treatment, post-treatment, and </w:t>
      </w:r>
      <w:r w:rsidR="001F7012" w:rsidRPr="00073171">
        <w:rPr>
          <w:color w:val="000000" w:themeColor="text1"/>
        </w:rPr>
        <w:t>one</w:t>
      </w:r>
      <w:r w:rsidR="00FE690B" w:rsidRPr="00073171">
        <w:rPr>
          <w:color w:val="000000" w:themeColor="text1"/>
        </w:rPr>
        <w:t xml:space="preserve">-month </w:t>
      </w:r>
      <w:r w:rsidR="006F75F7" w:rsidRPr="00073171">
        <w:rPr>
          <w:color w:val="000000" w:themeColor="text1"/>
        </w:rPr>
        <w:t xml:space="preserve">follow-up </w:t>
      </w:r>
      <w:r w:rsidR="00F839A2" w:rsidRPr="00073171">
        <w:rPr>
          <w:color w:val="000000" w:themeColor="text1"/>
        </w:rPr>
        <w:t>questionnaire</w:t>
      </w:r>
      <w:r w:rsidR="006F75F7" w:rsidRPr="00073171">
        <w:rPr>
          <w:color w:val="000000" w:themeColor="text1"/>
        </w:rPr>
        <w:t>s</w:t>
      </w:r>
      <w:r w:rsidR="00F839A2" w:rsidRPr="00073171">
        <w:rPr>
          <w:color w:val="000000" w:themeColor="text1"/>
        </w:rPr>
        <w:t xml:space="preserve"> of anxiety, depression, psychological flexibility, </w:t>
      </w:r>
      <w:r w:rsidR="00E248A8" w:rsidRPr="00073171">
        <w:rPr>
          <w:color w:val="000000" w:themeColor="text1"/>
        </w:rPr>
        <w:t>s</w:t>
      </w:r>
      <w:r w:rsidR="006D76A7" w:rsidRPr="00073171">
        <w:rPr>
          <w:color w:val="000000" w:themeColor="text1"/>
        </w:rPr>
        <w:t>tudent</w:t>
      </w:r>
      <w:r w:rsidR="00E248A8" w:rsidRPr="00073171">
        <w:rPr>
          <w:color w:val="000000" w:themeColor="text1"/>
        </w:rPr>
        <w:t xml:space="preserve"> well-being,</w:t>
      </w:r>
      <w:r w:rsidR="00F839A2" w:rsidRPr="00073171">
        <w:rPr>
          <w:color w:val="000000" w:themeColor="text1"/>
        </w:rPr>
        <w:t xml:space="preserve"> and </w:t>
      </w:r>
      <w:r w:rsidR="00552394" w:rsidRPr="00073171">
        <w:rPr>
          <w:color w:val="000000" w:themeColor="text1"/>
        </w:rPr>
        <w:t xml:space="preserve">class </w:t>
      </w:r>
      <w:r w:rsidR="00F839A2" w:rsidRPr="00073171">
        <w:rPr>
          <w:color w:val="000000" w:themeColor="text1"/>
        </w:rPr>
        <w:t>attendanc</w:t>
      </w:r>
      <w:r w:rsidR="00C85CD0" w:rsidRPr="00073171">
        <w:rPr>
          <w:color w:val="000000" w:themeColor="text1"/>
        </w:rPr>
        <w:t xml:space="preserve">e via </w:t>
      </w:r>
      <w:r w:rsidR="005A017E" w:rsidRPr="00073171">
        <w:rPr>
          <w:color w:val="000000" w:themeColor="text1"/>
        </w:rPr>
        <w:t xml:space="preserve">Qualtrics or </w:t>
      </w:r>
      <w:r w:rsidR="00C85CD0" w:rsidRPr="00073171">
        <w:rPr>
          <w:color w:val="000000" w:themeColor="text1"/>
        </w:rPr>
        <w:t xml:space="preserve">on </w:t>
      </w:r>
      <w:r w:rsidR="00C85CD0" w:rsidRPr="00073171">
        <w:rPr>
          <w:color w:val="000000" w:themeColor="text1"/>
        </w:rPr>
        <w:lastRenderedPageBreak/>
        <w:t xml:space="preserve">paper, depending on their preference. </w:t>
      </w:r>
      <w:r w:rsidR="00F95166" w:rsidRPr="00073171">
        <w:rPr>
          <w:color w:val="000000" w:themeColor="text1"/>
        </w:rPr>
        <w:t>Adolescents w</w:t>
      </w:r>
      <w:r w:rsidR="00C85CD0" w:rsidRPr="00073171">
        <w:rPr>
          <w:color w:val="000000" w:themeColor="text1"/>
        </w:rPr>
        <w:t>ere</w:t>
      </w:r>
      <w:r w:rsidR="00F95166" w:rsidRPr="00073171">
        <w:rPr>
          <w:color w:val="000000" w:themeColor="text1"/>
        </w:rPr>
        <w:t xml:space="preserve"> paid 10 dollars for completion of </w:t>
      </w:r>
      <w:r w:rsidR="00C85CD0" w:rsidRPr="00073171">
        <w:rPr>
          <w:color w:val="000000" w:themeColor="text1"/>
        </w:rPr>
        <w:t xml:space="preserve">each </w:t>
      </w:r>
      <w:r w:rsidR="00F95166" w:rsidRPr="00073171">
        <w:rPr>
          <w:color w:val="000000" w:themeColor="text1"/>
        </w:rPr>
        <w:t>pre</w:t>
      </w:r>
      <w:r w:rsidR="00420629" w:rsidRPr="00073171">
        <w:rPr>
          <w:color w:val="000000" w:themeColor="text1"/>
        </w:rPr>
        <w:t>-treatment</w:t>
      </w:r>
      <w:r w:rsidR="00F95166" w:rsidRPr="00073171">
        <w:rPr>
          <w:color w:val="000000" w:themeColor="text1"/>
        </w:rPr>
        <w:t>, mid</w:t>
      </w:r>
      <w:r w:rsidR="00420629" w:rsidRPr="00073171">
        <w:rPr>
          <w:color w:val="000000" w:themeColor="text1"/>
        </w:rPr>
        <w:t>-treatment</w:t>
      </w:r>
      <w:r w:rsidR="00F95166" w:rsidRPr="00073171">
        <w:rPr>
          <w:color w:val="000000" w:themeColor="text1"/>
        </w:rPr>
        <w:t>, post</w:t>
      </w:r>
      <w:r w:rsidR="00420629" w:rsidRPr="00073171">
        <w:rPr>
          <w:color w:val="000000" w:themeColor="text1"/>
        </w:rPr>
        <w:t>-treatment</w:t>
      </w:r>
      <w:r w:rsidR="00F95166" w:rsidRPr="00073171">
        <w:rPr>
          <w:color w:val="000000" w:themeColor="text1"/>
        </w:rPr>
        <w:t>, and follow-up questionnaire.</w:t>
      </w:r>
      <w:r w:rsidR="001826A7" w:rsidRPr="00073171">
        <w:rPr>
          <w:color w:val="000000" w:themeColor="text1"/>
        </w:rPr>
        <w:t xml:space="preserve"> See Measures section for more information regarding the composition of the questionnaires.</w:t>
      </w:r>
    </w:p>
    <w:p w14:paraId="16A88F1C" w14:textId="563CD7C6" w:rsidR="00C0559F" w:rsidRPr="00073171" w:rsidRDefault="006E3C42" w:rsidP="00A65639">
      <w:pPr>
        <w:spacing w:line="480" w:lineRule="auto"/>
        <w:ind w:firstLine="720"/>
        <w:rPr>
          <w:color w:val="000000" w:themeColor="text1"/>
        </w:rPr>
      </w:pPr>
      <w:r w:rsidRPr="00073171">
        <w:rPr>
          <w:color w:val="000000" w:themeColor="text1"/>
        </w:rPr>
        <w:t xml:space="preserve"> </w:t>
      </w:r>
      <w:r w:rsidR="00300390" w:rsidRPr="00073171">
        <w:rPr>
          <w:color w:val="000000" w:themeColor="text1"/>
        </w:rPr>
        <w:t>Two active treatment groups, one at each high school</w:t>
      </w:r>
      <w:r w:rsidR="008E371C" w:rsidRPr="00073171">
        <w:rPr>
          <w:color w:val="000000" w:themeColor="text1"/>
        </w:rPr>
        <w:t xml:space="preserve"> (School A </w:t>
      </w:r>
      <w:r w:rsidR="008E371C" w:rsidRPr="00073171">
        <w:rPr>
          <w:i/>
          <w:iCs/>
          <w:color w:val="000000" w:themeColor="text1"/>
        </w:rPr>
        <w:t xml:space="preserve">n </w:t>
      </w:r>
      <w:r w:rsidR="008E371C" w:rsidRPr="00073171">
        <w:rPr>
          <w:color w:val="000000" w:themeColor="text1"/>
        </w:rPr>
        <w:t xml:space="preserve">= </w:t>
      </w:r>
      <w:r w:rsidR="00C85BC7" w:rsidRPr="00073171">
        <w:rPr>
          <w:color w:val="000000" w:themeColor="text1"/>
        </w:rPr>
        <w:t>18</w:t>
      </w:r>
      <w:r w:rsidR="008E371C" w:rsidRPr="00073171">
        <w:rPr>
          <w:color w:val="000000" w:themeColor="text1"/>
        </w:rPr>
        <w:t xml:space="preserve">, School B </w:t>
      </w:r>
      <w:r w:rsidR="008E371C" w:rsidRPr="00073171">
        <w:rPr>
          <w:i/>
          <w:iCs/>
          <w:color w:val="000000" w:themeColor="text1"/>
        </w:rPr>
        <w:t xml:space="preserve">n </w:t>
      </w:r>
      <w:r w:rsidR="008E371C" w:rsidRPr="00073171">
        <w:rPr>
          <w:color w:val="000000" w:themeColor="text1"/>
        </w:rPr>
        <w:t xml:space="preserve">= </w:t>
      </w:r>
      <w:r w:rsidR="00C85BC7" w:rsidRPr="00073171">
        <w:rPr>
          <w:color w:val="000000" w:themeColor="text1"/>
        </w:rPr>
        <w:t>8</w:t>
      </w:r>
      <w:r w:rsidR="008E371C" w:rsidRPr="00073171">
        <w:rPr>
          <w:color w:val="000000" w:themeColor="text1"/>
        </w:rPr>
        <w:t>)</w:t>
      </w:r>
      <w:r w:rsidR="00300390" w:rsidRPr="00073171">
        <w:rPr>
          <w:color w:val="000000" w:themeColor="text1"/>
        </w:rPr>
        <w:t xml:space="preserve">, were completed over the course of 8 weeks. </w:t>
      </w:r>
      <w:r w:rsidR="0064023B" w:rsidRPr="00073171">
        <w:rPr>
          <w:color w:val="000000" w:themeColor="text1"/>
        </w:rPr>
        <w:t>Students on the waitlist</w:t>
      </w:r>
      <w:r w:rsidR="001826A7" w:rsidRPr="00073171">
        <w:rPr>
          <w:color w:val="000000" w:themeColor="text1"/>
        </w:rPr>
        <w:t>s</w:t>
      </w:r>
      <w:r w:rsidR="0064023B" w:rsidRPr="00073171">
        <w:rPr>
          <w:color w:val="000000" w:themeColor="text1"/>
        </w:rPr>
        <w:t xml:space="preserve"> receive</w:t>
      </w:r>
      <w:r w:rsidR="00890F54" w:rsidRPr="00073171">
        <w:rPr>
          <w:color w:val="000000" w:themeColor="text1"/>
        </w:rPr>
        <w:t>d</w:t>
      </w:r>
      <w:r w:rsidR="0064023B" w:rsidRPr="00073171">
        <w:rPr>
          <w:color w:val="000000" w:themeColor="text1"/>
        </w:rPr>
        <w:t xml:space="preserve"> the intervention </w:t>
      </w:r>
      <w:r w:rsidR="001826A7" w:rsidRPr="00073171">
        <w:rPr>
          <w:color w:val="000000" w:themeColor="text1"/>
        </w:rPr>
        <w:t xml:space="preserve">once the </w:t>
      </w:r>
      <w:r w:rsidR="008E371C" w:rsidRPr="00073171">
        <w:rPr>
          <w:color w:val="000000" w:themeColor="text1"/>
        </w:rPr>
        <w:t xml:space="preserve">treatment </w:t>
      </w:r>
      <w:r w:rsidR="006458B6" w:rsidRPr="00073171">
        <w:rPr>
          <w:color w:val="000000" w:themeColor="text1"/>
        </w:rPr>
        <w:t>and follow-up</w:t>
      </w:r>
      <w:r w:rsidR="001826A7" w:rsidRPr="00073171">
        <w:rPr>
          <w:color w:val="000000" w:themeColor="text1"/>
        </w:rPr>
        <w:t xml:space="preserve"> </w:t>
      </w:r>
      <w:r w:rsidR="0028299C" w:rsidRPr="00073171">
        <w:rPr>
          <w:color w:val="000000" w:themeColor="text1"/>
        </w:rPr>
        <w:t>w</w:t>
      </w:r>
      <w:r w:rsidR="005F332F" w:rsidRPr="00073171">
        <w:rPr>
          <w:color w:val="000000" w:themeColor="text1"/>
        </w:rPr>
        <w:t>ere</w:t>
      </w:r>
      <w:r w:rsidR="001826A7" w:rsidRPr="00073171">
        <w:rPr>
          <w:color w:val="000000" w:themeColor="text1"/>
        </w:rPr>
        <w:t xml:space="preserve"> completed</w:t>
      </w:r>
      <w:r w:rsidR="0064023B" w:rsidRPr="00073171">
        <w:rPr>
          <w:color w:val="000000" w:themeColor="text1"/>
        </w:rPr>
        <w:t xml:space="preserve">. </w:t>
      </w:r>
      <w:r w:rsidR="00C0559F" w:rsidRPr="00073171">
        <w:rPr>
          <w:color w:val="000000" w:themeColor="text1"/>
        </w:rPr>
        <w:t>The same two clinical psychology doctoral students acted as co-facilitators for every group therapy session. Both student therapists had previous experience delivering ACT-based anxiety treatments. Additionally, the student therapists attended weekly supervision, including reviews of session recordings, with a licensed psychologist who is an expert in ACT for anxiety disorders.</w:t>
      </w:r>
    </w:p>
    <w:p w14:paraId="5B86E04A" w14:textId="0B4D163D" w:rsidR="00C0559F" w:rsidRPr="00073171" w:rsidRDefault="00C0559F" w:rsidP="00C0559F">
      <w:pPr>
        <w:spacing w:line="480" w:lineRule="auto"/>
        <w:rPr>
          <w:b/>
          <w:bCs/>
          <w:color w:val="000000" w:themeColor="text1"/>
        </w:rPr>
      </w:pPr>
      <w:r w:rsidRPr="00073171">
        <w:rPr>
          <w:b/>
          <w:bCs/>
          <w:color w:val="000000" w:themeColor="text1"/>
        </w:rPr>
        <w:t>Intervention</w:t>
      </w:r>
    </w:p>
    <w:p w14:paraId="443A5729" w14:textId="7428EE10" w:rsidR="00B14DF0" w:rsidRPr="00073171" w:rsidRDefault="00C0559F" w:rsidP="00C0559F">
      <w:pPr>
        <w:spacing w:line="480" w:lineRule="auto"/>
        <w:rPr>
          <w:color w:val="000000" w:themeColor="text1"/>
        </w:rPr>
      </w:pPr>
      <w:r w:rsidRPr="00073171">
        <w:rPr>
          <w:color w:val="000000" w:themeColor="text1"/>
        </w:rPr>
        <w:tab/>
      </w:r>
      <w:r w:rsidR="005F6612" w:rsidRPr="00073171">
        <w:rPr>
          <w:color w:val="000000" w:themeColor="text1"/>
        </w:rPr>
        <w:t xml:space="preserve">The group intervention utilized the DNA-V model, a developmentally adapted ACT intervention for youth. </w:t>
      </w:r>
      <w:r w:rsidRPr="00073171">
        <w:rPr>
          <w:color w:val="000000" w:themeColor="text1"/>
        </w:rPr>
        <w:t xml:space="preserve">We adapted our treatment protocol from </w:t>
      </w:r>
      <w:r w:rsidRPr="00073171">
        <w:rPr>
          <w:i/>
          <w:iCs/>
          <w:color w:val="000000" w:themeColor="text1"/>
        </w:rPr>
        <w:t>The Thriving Adolescent</w:t>
      </w:r>
      <w:r w:rsidRPr="00073171">
        <w:rPr>
          <w:color w:val="000000" w:themeColor="text1"/>
        </w:rPr>
        <w:t xml:space="preserve"> (Hayes &amp; Ciarrochi, 2015), a therapy manual which introduces the conceptual basis and application of the DNA-V model with adolescent clients.</w:t>
      </w:r>
      <w:r w:rsidR="00523A43">
        <w:rPr>
          <w:color w:val="000000" w:themeColor="text1"/>
        </w:rPr>
        <w:t xml:space="preserve"> </w:t>
      </w:r>
      <w:r w:rsidRPr="00073171">
        <w:rPr>
          <w:color w:val="000000" w:themeColor="text1"/>
        </w:rPr>
        <w:t xml:space="preserve">While the original protocol details a group intervention for adolescents, we made several adaptations to ensure that DNA-V was delivered most effectively </w:t>
      </w:r>
      <w:r w:rsidR="00624CB6">
        <w:rPr>
          <w:color w:val="000000" w:themeColor="text1"/>
        </w:rPr>
        <w:t>for the</w:t>
      </w:r>
      <w:r w:rsidRPr="00073171">
        <w:rPr>
          <w:color w:val="000000" w:themeColor="text1"/>
        </w:rPr>
        <w:t xml:space="preserve"> brief sessions </w:t>
      </w:r>
      <w:r w:rsidR="00624CB6">
        <w:rPr>
          <w:color w:val="000000" w:themeColor="text1"/>
        </w:rPr>
        <w:t>and school environments</w:t>
      </w:r>
      <w:r w:rsidRPr="00073171">
        <w:rPr>
          <w:color w:val="000000" w:themeColor="text1"/>
        </w:rPr>
        <w:t>. As our time with students was limited,</w:t>
      </w:r>
      <w:r w:rsidR="00A65639" w:rsidRPr="00073171">
        <w:rPr>
          <w:color w:val="000000" w:themeColor="text1"/>
        </w:rPr>
        <w:t xml:space="preserve"> adaptations</w:t>
      </w:r>
      <w:r w:rsidRPr="00073171">
        <w:rPr>
          <w:color w:val="000000" w:themeColor="text1"/>
        </w:rPr>
        <w:t xml:space="preserve"> involved emphasizing memorable, experiential exercises as opposed to </w:t>
      </w:r>
      <w:r w:rsidR="003E75D9" w:rsidRPr="00073171">
        <w:rPr>
          <w:color w:val="000000" w:themeColor="text1"/>
        </w:rPr>
        <w:t xml:space="preserve">prolonged didactic instruction </w:t>
      </w:r>
      <w:r w:rsidRPr="00073171">
        <w:rPr>
          <w:color w:val="000000" w:themeColor="text1"/>
        </w:rPr>
        <w:t>of DNA-V concepts.</w:t>
      </w:r>
      <w:r w:rsidR="00986A7B">
        <w:rPr>
          <w:color w:val="000000" w:themeColor="text1"/>
        </w:rPr>
        <w:t xml:space="preserve"> The group also did not include the “social view” </w:t>
      </w:r>
      <w:r w:rsidR="002A6839">
        <w:rPr>
          <w:color w:val="000000" w:themeColor="text1"/>
        </w:rPr>
        <w:t>aspect of DNA-V</w:t>
      </w:r>
      <w:r w:rsidR="00986A7B">
        <w:rPr>
          <w:color w:val="000000" w:themeColor="text1"/>
        </w:rPr>
        <w:t>, which primarily focuse</w:t>
      </w:r>
      <w:r w:rsidR="004331DE">
        <w:rPr>
          <w:color w:val="000000" w:themeColor="text1"/>
        </w:rPr>
        <w:t>s</w:t>
      </w:r>
      <w:r w:rsidR="00986A7B">
        <w:rPr>
          <w:color w:val="000000" w:themeColor="text1"/>
        </w:rPr>
        <w:t xml:space="preserve"> on building social skills, promoting prosocial behavior, and improving friendships. This element of DNA-V was instead woven throughout the group</w:t>
      </w:r>
      <w:r w:rsidR="0060202F">
        <w:rPr>
          <w:color w:val="000000" w:themeColor="text1"/>
        </w:rPr>
        <w:t xml:space="preserve"> as a secondary element of other exercises.</w:t>
      </w:r>
    </w:p>
    <w:p w14:paraId="60575CC9" w14:textId="62A22F9E" w:rsidR="00C0559F" w:rsidRPr="00073171" w:rsidRDefault="00C0559F" w:rsidP="00043676">
      <w:pPr>
        <w:spacing w:line="480" w:lineRule="auto"/>
        <w:ind w:firstLine="720"/>
        <w:rPr>
          <w:color w:val="000000" w:themeColor="text1"/>
        </w:rPr>
      </w:pPr>
      <w:r w:rsidRPr="00073171">
        <w:rPr>
          <w:color w:val="000000" w:themeColor="text1"/>
        </w:rPr>
        <w:lastRenderedPageBreak/>
        <w:t xml:space="preserve">In DNA-V, core ACT skills are personified through distinct “characters” (i.e., the </w:t>
      </w:r>
      <w:r w:rsidR="00A62725" w:rsidRPr="00073171">
        <w:rPr>
          <w:i/>
          <w:iCs/>
          <w:color w:val="000000" w:themeColor="text1"/>
        </w:rPr>
        <w:t>D</w:t>
      </w:r>
      <w:r w:rsidRPr="00073171">
        <w:rPr>
          <w:i/>
          <w:iCs/>
          <w:color w:val="000000" w:themeColor="text1"/>
        </w:rPr>
        <w:t>iscoverer</w:t>
      </w:r>
      <w:r w:rsidRPr="00073171">
        <w:rPr>
          <w:color w:val="000000" w:themeColor="text1"/>
        </w:rPr>
        <w:t xml:space="preserve">, </w:t>
      </w:r>
      <w:r w:rsidR="00A62725" w:rsidRPr="00073171">
        <w:rPr>
          <w:i/>
          <w:iCs/>
          <w:color w:val="000000" w:themeColor="text1"/>
        </w:rPr>
        <w:t>N</w:t>
      </w:r>
      <w:r w:rsidRPr="00073171">
        <w:rPr>
          <w:i/>
          <w:iCs/>
          <w:color w:val="000000" w:themeColor="text1"/>
        </w:rPr>
        <w:t>oticer</w:t>
      </w:r>
      <w:r w:rsidRPr="00073171">
        <w:rPr>
          <w:color w:val="000000" w:themeColor="text1"/>
        </w:rPr>
        <w:t xml:space="preserve">, and </w:t>
      </w:r>
      <w:r w:rsidR="00A62725" w:rsidRPr="00073171">
        <w:rPr>
          <w:i/>
          <w:iCs/>
          <w:color w:val="000000" w:themeColor="text1"/>
        </w:rPr>
        <w:t>A</w:t>
      </w:r>
      <w:r w:rsidRPr="00073171">
        <w:rPr>
          <w:i/>
          <w:iCs/>
          <w:color w:val="000000" w:themeColor="text1"/>
        </w:rPr>
        <w:t>dvisor</w:t>
      </w:r>
      <w:r w:rsidRPr="00073171">
        <w:rPr>
          <w:color w:val="000000" w:themeColor="text1"/>
        </w:rPr>
        <w:t>)</w:t>
      </w:r>
      <w:r w:rsidR="00EC2865" w:rsidRPr="00073171">
        <w:rPr>
          <w:color w:val="000000" w:themeColor="text1"/>
        </w:rPr>
        <w:t xml:space="preserve"> and </w:t>
      </w:r>
      <w:r w:rsidR="00806B1B" w:rsidRPr="00073171">
        <w:rPr>
          <w:color w:val="000000" w:themeColor="text1"/>
        </w:rPr>
        <w:t xml:space="preserve">the concept of </w:t>
      </w:r>
      <w:r w:rsidR="00806B1B" w:rsidRPr="00073171">
        <w:rPr>
          <w:i/>
          <w:iCs/>
          <w:color w:val="000000" w:themeColor="text1"/>
        </w:rPr>
        <w:t>V</w:t>
      </w:r>
      <w:r w:rsidR="00EC2865" w:rsidRPr="00073171">
        <w:rPr>
          <w:i/>
          <w:iCs/>
          <w:color w:val="000000" w:themeColor="text1"/>
        </w:rPr>
        <w:t>itality</w:t>
      </w:r>
      <w:r w:rsidR="00EC2865" w:rsidRPr="00073171">
        <w:rPr>
          <w:color w:val="000000" w:themeColor="text1"/>
        </w:rPr>
        <w:t xml:space="preserve"> (i.e., values)</w:t>
      </w:r>
      <w:r w:rsidRPr="00073171">
        <w:rPr>
          <w:color w:val="000000" w:themeColor="text1"/>
        </w:rPr>
        <w:t xml:space="preserve">. </w:t>
      </w:r>
      <w:r w:rsidR="008729A9">
        <w:rPr>
          <w:color w:val="000000" w:themeColor="text1"/>
        </w:rPr>
        <w:t xml:space="preserve">The </w:t>
      </w:r>
      <w:r w:rsidR="00B77179">
        <w:rPr>
          <w:color w:val="000000" w:themeColor="text1"/>
        </w:rPr>
        <w:t xml:space="preserve">character of the </w:t>
      </w:r>
      <w:r w:rsidR="008729A9">
        <w:rPr>
          <w:i/>
          <w:iCs/>
          <w:color w:val="000000" w:themeColor="text1"/>
        </w:rPr>
        <w:t xml:space="preserve">Advisor </w:t>
      </w:r>
      <w:r w:rsidR="008729A9">
        <w:rPr>
          <w:color w:val="000000" w:themeColor="text1"/>
        </w:rPr>
        <w:t>maps onto acceptance, defusion, and self-as-context</w:t>
      </w:r>
      <w:r w:rsidR="00B77179">
        <w:rPr>
          <w:color w:val="000000" w:themeColor="text1"/>
        </w:rPr>
        <w:t xml:space="preserve"> by encouraging the adolescent to separate their mind (</w:t>
      </w:r>
      <w:r w:rsidR="00460D8E">
        <w:rPr>
          <w:color w:val="000000" w:themeColor="text1"/>
        </w:rPr>
        <w:t>i.e.</w:t>
      </w:r>
      <w:r w:rsidR="00B77179">
        <w:rPr>
          <w:color w:val="000000" w:themeColor="text1"/>
        </w:rPr>
        <w:t>, “</w:t>
      </w:r>
      <w:r w:rsidR="004B5A25">
        <w:rPr>
          <w:color w:val="000000" w:themeColor="text1"/>
        </w:rPr>
        <w:t>self-talk</w:t>
      </w:r>
      <w:r w:rsidR="00B77179">
        <w:rPr>
          <w:color w:val="000000" w:themeColor="text1"/>
        </w:rPr>
        <w:t xml:space="preserve">”) from </w:t>
      </w:r>
      <w:r w:rsidR="00B8171B">
        <w:rPr>
          <w:color w:val="000000" w:themeColor="text1"/>
        </w:rPr>
        <w:t>themselves</w:t>
      </w:r>
      <w:r w:rsidR="00B77179">
        <w:rPr>
          <w:color w:val="000000" w:themeColor="text1"/>
        </w:rPr>
        <w:t xml:space="preserve"> while opening up to whatever it might be sayin</w:t>
      </w:r>
      <w:r w:rsidR="00B8171B">
        <w:rPr>
          <w:color w:val="000000" w:themeColor="text1"/>
        </w:rPr>
        <w:t>g</w:t>
      </w:r>
      <w:r w:rsidR="003A1F06">
        <w:rPr>
          <w:color w:val="000000" w:themeColor="text1"/>
        </w:rPr>
        <w:t xml:space="preserve"> </w:t>
      </w:r>
      <w:r w:rsidR="00B8171B">
        <w:rPr>
          <w:color w:val="000000" w:themeColor="text1"/>
        </w:rPr>
        <w:t>without having to respond or do what it says</w:t>
      </w:r>
      <w:r w:rsidR="008729A9">
        <w:rPr>
          <w:color w:val="000000" w:themeColor="text1"/>
        </w:rPr>
        <w:t xml:space="preserve">. The </w:t>
      </w:r>
      <w:r w:rsidR="008729A9">
        <w:rPr>
          <w:i/>
          <w:iCs/>
          <w:color w:val="000000" w:themeColor="text1"/>
        </w:rPr>
        <w:t xml:space="preserve">Noticer </w:t>
      </w:r>
      <w:r w:rsidR="001E2688">
        <w:rPr>
          <w:color w:val="000000" w:themeColor="text1"/>
        </w:rPr>
        <w:t xml:space="preserve">primarily </w:t>
      </w:r>
      <w:r w:rsidR="008729A9">
        <w:rPr>
          <w:color w:val="000000" w:themeColor="text1"/>
        </w:rPr>
        <w:t>correlates with present moment awareness</w:t>
      </w:r>
      <w:r w:rsidR="001E2688">
        <w:rPr>
          <w:color w:val="000000" w:themeColor="text1"/>
        </w:rPr>
        <w:t>, along with acceptance</w:t>
      </w:r>
      <w:r w:rsidR="00B242E7">
        <w:rPr>
          <w:color w:val="000000" w:themeColor="text1"/>
        </w:rPr>
        <w:t xml:space="preserve"> and self-as-context</w:t>
      </w:r>
      <w:r w:rsidR="001E2688">
        <w:rPr>
          <w:color w:val="000000" w:themeColor="text1"/>
        </w:rPr>
        <w:t>,</w:t>
      </w:r>
      <w:r w:rsidR="00B53093">
        <w:rPr>
          <w:color w:val="000000" w:themeColor="text1"/>
        </w:rPr>
        <w:t xml:space="preserve"> </w:t>
      </w:r>
      <w:r w:rsidR="00843D79">
        <w:rPr>
          <w:color w:val="000000" w:themeColor="text1"/>
        </w:rPr>
        <w:t>by</w:t>
      </w:r>
      <w:r w:rsidR="001E2688">
        <w:rPr>
          <w:color w:val="000000" w:themeColor="text1"/>
        </w:rPr>
        <w:t xml:space="preserve"> helping </w:t>
      </w:r>
      <w:r w:rsidR="006F2A11">
        <w:rPr>
          <w:color w:val="000000" w:themeColor="text1"/>
        </w:rPr>
        <w:t>adolescents strengthen their ability to</w:t>
      </w:r>
      <w:r w:rsidR="00B53093">
        <w:rPr>
          <w:color w:val="000000" w:themeColor="text1"/>
        </w:rPr>
        <w:t xml:space="preserve"> </w:t>
      </w:r>
      <w:r w:rsidR="001E2688">
        <w:rPr>
          <w:color w:val="000000" w:themeColor="text1"/>
        </w:rPr>
        <w:t xml:space="preserve">observe </w:t>
      </w:r>
      <w:r w:rsidR="00B53093">
        <w:rPr>
          <w:color w:val="000000" w:themeColor="text1"/>
        </w:rPr>
        <w:t>internal and external experiences</w:t>
      </w:r>
      <w:r w:rsidR="001E2688">
        <w:rPr>
          <w:color w:val="000000" w:themeColor="text1"/>
        </w:rPr>
        <w:t xml:space="preserve"> of all kinds</w:t>
      </w:r>
      <w:r w:rsidR="002820B6">
        <w:rPr>
          <w:color w:val="000000" w:themeColor="text1"/>
        </w:rPr>
        <w:t xml:space="preserve"> as transient</w:t>
      </w:r>
      <w:r w:rsidR="008729A9">
        <w:rPr>
          <w:color w:val="000000" w:themeColor="text1"/>
        </w:rPr>
        <w:t>.</w:t>
      </w:r>
      <w:r w:rsidR="00F77028">
        <w:rPr>
          <w:color w:val="000000" w:themeColor="text1"/>
        </w:rPr>
        <w:t xml:space="preserve"> T</w:t>
      </w:r>
      <w:r w:rsidR="008729A9">
        <w:rPr>
          <w:color w:val="000000" w:themeColor="text1"/>
        </w:rPr>
        <w:t xml:space="preserve">he </w:t>
      </w:r>
      <w:r w:rsidR="008729A9">
        <w:rPr>
          <w:i/>
          <w:iCs/>
          <w:color w:val="000000" w:themeColor="text1"/>
        </w:rPr>
        <w:t xml:space="preserve">Discoverer </w:t>
      </w:r>
      <w:r w:rsidR="00515767">
        <w:rPr>
          <w:color w:val="000000" w:themeColor="text1"/>
        </w:rPr>
        <w:t xml:space="preserve">primarily </w:t>
      </w:r>
      <w:r w:rsidR="008729A9">
        <w:rPr>
          <w:color w:val="000000" w:themeColor="text1"/>
        </w:rPr>
        <w:t xml:space="preserve">connects </w:t>
      </w:r>
      <w:r w:rsidR="009D66D0">
        <w:rPr>
          <w:color w:val="000000" w:themeColor="text1"/>
        </w:rPr>
        <w:t>the adolescent to committed</w:t>
      </w:r>
      <w:r w:rsidR="00B8171B">
        <w:rPr>
          <w:color w:val="000000" w:themeColor="text1"/>
        </w:rPr>
        <w:t xml:space="preserve"> action </w:t>
      </w:r>
      <w:r w:rsidR="00793D0D">
        <w:rPr>
          <w:color w:val="000000" w:themeColor="text1"/>
        </w:rPr>
        <w:t>by helping adolescents</w:t>
      </w:r>
      <w:r w:rsidR="00B8171B">
        <w:rPr>
          <w:color w:val="000000" w:themeColor="text1"/>
        </w:rPr>
        <w:t xml:space="preserve"> try new behaviors</w:t>
      </w:r>
      <w:r w:rsidR="00793D0D">
        <w:rPr>
          <w:color w:val="000000" w:themeColor="text1"/>
        </w:rPr>
        <w:t xml:space="preserve"> and ways of living</w:t>
      </w:r>
      <w:r w:rsidR="00B8171B">
        <w:rPr>
          <w:color w:val="000000" w:themeColor="text1"/>
        </w:rPr>
        <w:t xml:space="preserve"> that are values-based</w:t>
      </w:r>
      <w:r w:rsidR="009D66D0">
        <w:rPr>
          <w:color w:val="000000" w:themeColor="text1"/>
        </w:rPr>
        <w:t>.</w:t>
      </w:r>
      <w:r w:rsidR="00CD6F7C">
        <w:rPr>
          <w:color w:val="000000" w:themeColor="text1"/>
        </w:rPr>
        <w:t xml:space="preserve"> Lastly, the concept of </w:t>
      </w:r>
      <w:r w:rsidR="00CD6F7C">
        <w:rPr>
          <w:i/>
          <w:iCs/>
          <w:color w:val="000000" w:themeColor="text1"/>
        </w:rPr>
        <w:t>Vitality</w:t>
      </w:r>
      <w:r w:rsidR="00CD6F7C">
        <w:rPr>
          <w:color w:val="000000" w:themeColor="text1"/>
        </w:rPr>
        <w:t xml:space="preserve"> almost directly mirrors the values process in ACT</w:t>
      </w:r>
      <w:r w:rsidR="007372FA">
        <w:rPr>
          <w:color w:val="000000" w:themeColor="text1"/>
        </w:rPr>
        <w:t>.</w:t>
      </w:r>
      <w:r w:rsidR="00CD6F7C">
        <w:rPr>
          <w:color w:val="000000" w:themeColor="text1"/>
        </w:rPr>
        <w:t xml:space="preserve"> </w:t>
      </w:r>
      <w:r w:rsidR="007372FA">
        <w:rPr>
          <w:color w:val="000000" w:themeColor="text1"/>
        </w:rPr>
        <w:t>H</w:t>
      </w:r>
      <w:r w:rsidR="00CD6F7C">
        <w:rPr>
          <w:color w:val="000000" w:themeColor="text1"/>
        </w:rPr>
        <w:t xml:space="preserve">owever, DNA-V makes significant developmental adaptations so </w:t>
      </w:r>
      <w:r w:rsidR="003632E5">
        <w:rPr>
          <w:color w:val="000000" w:themeColor="text1"/>
        </w:rPr>
        <w:t>that it is</w:t>
      </w:r>
      <w:r w:rsidR="00CD6F7C">
        <w:rPr>
          <w:color w:val="000000" w:themeColor="text1"/>
        </w:rPr>
        <w:t xml:space="preserve"> more appropriate for developing young people.</w:t>
      </w:r>
      <w:r w:rsidR="009D66D0">
        <w:rPr>
          <w:color w:val="000000" w:themeColor="text1"/>
        </w:rPr>
        <w:t xml:space="preserve"> </w:t>
      </w:r>
      <w:r w:rsidR="00043676">
        <w:rPr>
          <w:color w:val="000000" w:themeColor="text1"/>
        </w:rPr>
        <w:t>Overall, w</w:t>
      </w:r>
      <w:r w:rsidRPr="00073171">
        <w:rPr>
          <w:color w:val="000000" w:themeColor="text1"/>
        </w:rPr>
        <w:t>e encouraged students to embody these characters</w:t>
      </w:r>
      <w:r w:rsidR="00224B4B">
        <w:rPr>
          <w:color w:val="000000" w:themeColor="text1"/>
        </w:rPr>
        <w:t xml:space="preserve"> and concepts</w:t>
      </w:r>
      <w:r w:rsidRPr="00073171">
        <w:rPr>
          <w:color w:val="000000" w:themeColor="text1"/>
        </w:rPr>
        <w:t xml:space="preserve"> through various activities to recognize how they are distinguished yet connected to one another</w:t>
      </w:r>
      <w:r w:rsidR="00A65639" w:rsidRPr="00073171">
        <w:rPr>
          <w:color w:val="000000" w:themeColor="text1"/>
        </w:rPr>
        <w:t xml:space="preserve">, ultimately aiming to help them develop the ability to switch between characters </w:t>
      </w:r>
      <w:r w:rsidR="007B0ADD" w:rsidRPr="00073171">
        <w:rPr>
          <w:color w:val="000000" w:themeColor="text1"/>
        </w:rPr>
        <w:t>in a functional manner</w:t>
      </w:r>
      <w:r w:rsidR="00AF33AF">
        <w:rPr>
          <w:color w:val="000000" w:themeColor="text1"/>
        </w:rPr>
        <w:t xml:space="preserve"> (i.e., </w:t>
      </w:r>
      <w:r w:rsidR="00AF33AF">
        <w:rPr>
          <w:i/>
          <w:iCs/>
          <w:color w:val="000000" w:themeColor="text1"/>
        </w:rPr>
        <w:t>flexible self-view</w:t>
      </w:r>
      <w:r w:rsidR="00AF33AF">
        <w:rPr>
          <w:color w:val="000000" w:themeColor="text1"/>
        </w:rPr>
        <w:t>)</w:t>
      </w:r>
      <w:r w:rsidRPr="00073171">
        <w:rPr>
          <w:color w:val="000000" w:themeColor="text1"/>
        </w:rPr>
        <w:t>. Additional adaptations included using videos (e.g., clips from popular movies) to introduce key principles and frequently asking students to recall lessons from previous sessions to help with retention of skills.</w:t>
      </w:r>
    </w:p>
    <w:p w14:paraId="128F660F" w14:textId="4B27961E" w:rsidR="00C0559F" w:rsidRPr="00073171" w:rsidRDefault="00C0559F" w:rsidP="00C0559F">
      <w:pPr>
        <w:spacing w:line="480" w:lineRule="auto"/>
        <w:ind w:firstLine="720"/>
        <w:rPr>
          <w:color w:val="000000" w:themeColor="text1"/>
        </w:rPr>
      </w:pPr>
      <w:r w:rsidRPr="00073171">
        <w:rPr>
          <w:color w:val="000000" w:themeColor="text1"/>
        </w:rPr>
        <w:t>Starting with the third session, we also helped each student make a personal behavioral commitment for the week. This aimed to promote the generalization of DNA-V skills while additionally encouraging mutual support among students in the group. We provide</w:t>
      </w:r>
      <w:r w:rsidR="00DD01DF" w:rsidRPr="00073171">
        <w:rPr>
          <w:color w:val="000000" w:themeColor="text1"/>
        </w:rPr>
        <w:t>d</w:t>
      </w:r>
      <w:r w:rsidRPr="00073171">
        <w:rPr>
          <w:color w:val="000000" w:themeColor="text1"/>
        </w:rPr>
        <w:t xml:space="preserve"> example behavioral commitments corresponding with each therapy session to show the diversity of how students applied DNA-V to their own lives. We found that our groups brought together students who may not typically socialize with one another. In the spirit of DNA-V, we tried to facilitate </w:t>
      </w:r>
      <w:r w:rsidRPr="00073171">
        <w:rPr>
          <w:color w:val="000000" w:themeColor="text1"/>
        </w:rPr>
        <w:lastRenderedPageBreak/>
        <w:t>bonds out of the common struggles adolescents face, both in regards to anxiety and broader personal challenges.</w:t>
      </w:r>
    </w:p>
    <w:p w14:paraId="224B1B87" w14:textId="565FB5FD" w:rsidR="00C0559F" w:rsidRPr="00073171" w:rsidRDefault="00C0559F" w:rsidP="00C0559F">
      <w:pPr>
        <w:spacing w:line="480" w:lineRule="auto"/>
        <w:rPr>
          <w:color w:val="000000" w:themeColor="text1"/>
        </w:rPr>
      </w:pPr>
      <w:r w:rsidRPr="00073171">
        <w:rPr>
          <w:color w:val="000000" w:themeColor="text1"/>
        </w:rPr>
        <w:tab/>
      </w:r>
      <w:r w:rsidR="00E320DF" w:rsidRPr="00073171">
        <w:rPr>
          <w:color w:val="000000" w:themeColor="text1"/>
        </w:rPr>
        <w:t>In the following sections,</w:t>
      </w:r>
      <w:r w:rsidRPr="00073171">
        <w:rPr>
          <w:color w:val="000000" w:themeColor="text1"/>
        </w:rPr>
        <w:t xml:space="preserve"> we have outlined the session-by-session content of our DNA-V group treatment. </w:t>
      </w:r>
      <w:r w:rsidR="00AB7741">
        <w:rPr>
          <w:color w:val="000000" w:themeColor="text1"/>
        </w:rPr>
        <w:t xml:space="preserve">The majority of the treatment materials described can be found for free on the website associated with </w:t>
      </w:r>
      <w:r w:rsidR="00AB7741">
        <w:rPr>
          <w:i/>
          <w:iCs/>
          <w:color w:val="000000" w:themeColor="text1"/>
        </w:rPr>
        <w:t xml:space="preserve">The Thriving Adolescent </w:t>
      </w:r>
      <w:r w:rsidR="00AB7741">
        <w:rPr>
          <w:color w:val="000000" w:themeColor="text1"/>
        </w:rPr>
        <w:t>(</w:t>
      </w:r>
      <w:r w:rsidR="00AB7741" w:rsidRPr="00523A43">
        <w:rPr>
          <w:color w:val="000000" w:themeColor="text1"/>
        </w:rPr>
        <w:t>www.thrivingadolescent.com</w:t>
      </w:r>
      <w:r w:rsidR="00AB7741">
        <w:rPr>
          <w:color w:val="000000" w:themeColor="text1"/>
        </w:rPr>
        <w:t>).</w:t>
      </w:r>
      <w:r w:rsidR="00AB7741" w:rsidRPr="00073171">
        <w:rPr>
          <w:color w:val="000000" w:themeColor="text1"/>
        </w:rPr>
        <w:t xml:space="preserve"> </w:t>
      </w:r>
      <w:r w:rsidRPr="00073171">
        <w:rPr>
          <w:color w:val="000000" w:themeColor="text1"/>
        </w:rPr>
        <w:t>Due to differences in class schedules, at one of our sites</w:t>
      </w:r>
      <w:r w:rsidR="00432ECC" w:rsidRPr="00073171">
        <w:rPr>
          <w:color w:val="000000" w:themeColor="text1"/>
        </w:rPr>
        <w:t xml:space="preserve"> (</w:t>
      </w:r>
      <w:r w:rsidR="00B14DF0" w:rsidRPr="00073171">
        <w:rPr>
          <w:color w:val="000000" w:themeColor="text1"/>
        </w:rPr>
        <w:t>S</w:t>
      </w:r>
      <w:r w:rsidR="00432ECC" w:rsidRPr="00073171">
        <w:rPr>
          <w:color w:val="000000" w:themeColor="text1"/>
        </w:rPr>
        <w:t xml:space="preserve">chool </w:t>
      </w:r>
      <w:r w:rsidR="0058019C" w:rsidRPr="00073171">
        <w:rPr>
          <w:color w:val="000000" w:themeColor="text1"/>
        </w:rPr>
        <w:t>A</w:t>
      </w:r>
      <w:r w:rsidR="00432ECC" w:rsidRPr="00073171">
        <w:rPr>
          <w:color w:val="000000" w:themeColor="text1"/>
        </w:rPr>
        <w:t>)</w:t>
      </w:r>
      <w:r w:rsidRPr="00073171">
        <w:rPr>
          <w:color w:val="000000" w:themeColor="text1"/>
        </w:rPr>
        <w:t xml:space="preserve"> </w:t>
      </w:r>
      <w:r w:rsidR="0058019C" w:rsidRPr="00073171">
        <w:rPr>
          <w:color w:val="000000" w:themeColor="text1"/>
        </w:rPr>
        <w:t xml:space="preserve">therapy was divided into two half-hour sessions during the lunch hour on separate days, and at our second site (School B) </w:t>
      </w:r>
      <w:r w:rsidRPr="00073171">
        <w:rPr>
          <w:color w:val="000000" w:themeColor="text1"/>
        </w:rPr>
        <w:t>therapy was given once per week for an hour</w:t>
      </w:r>
      <w:r w:rsidR="003D08DD" w:rsidRPr="00073171">
        <w:rPr>
          <w:color w:val="000000" w:themeColor="text1"/>
        </w:rPr>
        <w:t xml:space="preserve"> during a chosen class period</w:t>
      </w:r>
      <w:r w:rsidRPr="00073171">
        <w:rPr>
          <w:color w:val="000000" w:themeColor="text1"/>
        </w:rPr>
        <w:t>. The content covered each week, however, was the same across the two schools. Therefore, the sessions described below either occurred during one meeting or across two shorter periods in a given week.</w:t>
      </w:r>
      <w:r w:rsidR="001012BC" w:rsidRPr="00073171">
        <w:rPr>
          <w:color w:val="000000" w:themeColor="text1"/>
        </w:rPr>
        <w:t xml:space="preserve"> While this was a slight implementation difference, modifying to fit school schedules is consistent with community</w:t>
      </w:r>
      <w:r w:rsidR="00D94D67" w:rsidRPr="00073171">
        <w:rPr>
          <w:color w:val="000000" w:themeColor="text1"/>
        </w:rPr>
        <w:t>-based</w:t>
      </w:r>
      <w:r w:rsidR="001012BC" w:rsidRPr="00073171">
        <w:rPr>
          <w:color w:val="000000" w:themeColor="text1"/>
        </w:rPr>
        <w:t xml:space="preserve"> research.</w:t>
      </w:r>
      <w:r w:rsidR="00B552F5">
        <w:rPr>
          <w:color w:val="000000" w:themeColor="text1"/>
        </w:rPr>
        <w:t xml:space="preserve"> Additionally, </w:t>
      </w:r>
      <w:r w:rsidR="00B552F5">
        <w:rPr>
          <w:iCs/>
          <w:color w:val="000000" w:themeColor="text1"/>
        </w:rPr>
        <w:t>despite the differing attendance and group sizes, there were no apparent differences between implementation of DNA-V in the groups</w:t>
      </w:r>
      <w:r w:rsidR="00A62066">
        <w:rPr>
          <w:iCs/>
          <w:color w:val="000000" w:themeColor="text1"/>
        </w:rPr>
        <w:t>.</w:t>
      </w:r>
      <w:r w:rsidR="00B552F5">
        <w:rPr>
          <w:iCs/>
          <w:color w:val="000000" w:themeColor="text1"/>
        </w:rPr>
        <w:t xml:space="preserve"> </w:t>
      </w:r>
      <w:r w:rsidR="00A62066">
        <w:rPr>
          <w:iCs/>
          <w:color w:val="000000" w:themeColor="text1"/>
        </w:rPr>
        <w:t>H</w:t>
      </w:r>
      <w:r w:rsidR="00B552F5">
        <w:rPr>
          <w:iCs/>
          <w:color w:val="000000" w:themeColor="text1"/>
        </w:rPr>
        <w:t>owever, the smaller group often required more individual participation (e.g., more frequent response to questions, sharing of personal examples) of the members simply because there were fewer individuals to respond to the prompts.</w:t>
      </w:r>
    </w:p>
    <w:p w14:paraId="366BC7DC" w14:textId="72A17312" w:rsidR="00C0559F" w:rsidRPr="00073171" w:rsidRDefault="00C0559F" w:rsidP="00C0559F">
      <w:pPr>
        <w:spacing w:line="480" w:lineRule="auto"/>
        <w:ind w:firstLine="720"/>
        <w:rPr>
          <w:color w:val="000000" w:themeColor="text1"/>
        </w:rPr>
      </w:pPr>
      <w:r w:rsidRPr="00073171">
        <w:rPr>
          <w:b/>
          <w:bCs/>
          <w:color w:val="000000" w:themeColor="text1"/>
        </w:rPr>
        <w:t>Week 1: Introduction to DNA-V.</w:t>
      </w:r>
      <w:r w:rsidRPr="00073171">
        <w:rPr>
          <w:color w:val="000000" w:themeColor="text1"/>
        </w:rPr>
        <w:t xml:space="preserve"> </w:t>
      </w:r>
      <w:r w:rsidR="00115066">
        <w:rPr>
          <w:color w:val="000000" w:themeColor="text1"/>
        </w:rPr>
        <w:t>We first began by setting basic ground rules for the group by inviting each student to suggest possible rules and/or respond to prompts related to groups rules (e.g., “</w:t>
      </w:r>
      <w:r w:rsidR="00115066" w:rsidRPr="00853154">
        <w:rPr>
          <w:i/>
          <w:iCs/>
          <w:color w:val="000000" w:themeColor="text1"/>
        </w:rPr>
        <w:t>Should eating be allowed in group?</w:t>
      </w:r>
      <w:r w:rsidR="00115066">
        <w:rPr>
          <w:color w:val="000000" w:themeColor="text1"/>
        </w:rPr>
        <w:t>”, “</w:t>
      </w:r>
      <w:r w:rsidR="00115066" w:rsidRPr="00853154">
        <w:rPr>
          <w:i/>
          <w:iCs/>
          <w:color w:val="000000" w:themeColor="text1"/>
        </w:rPr>
        <w:t xml:space="preserve">Are </w:t>
      </w:r>
      <w:r w:rsidR="00223155" w:rsidRPr="00853154">
        <w:rPr>
          <w:i/>
          <w:iCs/>
          <w:color w:val="000000" w:themeColor="text1"/>
        </w:rPr>
        <w:t>people allowed to have their phones out</w:t>
      </w:r>
      <w:r w:rsidR="00115066" w:rsidRPr="00853154">
        <w:rPr>
          <w:i/>
          <w:iCs/>
          <w:color w:val="000000" w:themeColor="text1"/>
        </w:rPr>
        <w:t>?</w:t>
      </w:r>
      <w:r w:rsidR="00115066">
        <w:rPr>
          <w:color w:val="000000" w:themeColor="text1"/>
        </w:rPr>
        <w:t>”). After</w:t>
      </w:r>
      <w:r w:rsidR="00432A2F" w:rsidRPr="00073171">
        <w:rPr>
          <w:color w:val="000000" w:themeColor="text1"/>
        </w:rPr>
        <w:t xml:space="preserve"> setting basic ground rules for the group, w</w:t>
      </w:r>
      <w:r w:rsidRPr="00073171">
        <w:rPr>
          <w:color w:val="000000" w:themeColor="text1"/>
        </w:rPr>
        <w:t xml:space="preserve">e encouraged students to be open and curious about what they were going to learn. For instance, we wrote out the letters “D,” “N,” “A,” and “V” on a whiteboard and invited students to guess what they stood for. </w:t>
      </w:r>
      <w:r w:rsidR="00E2091C" w:rsidRPr="00073171">
        <w:rPr>
          <w:color w:val="000000" w:themeColor="text1"/>
        </w:rPr>
        <w:t>Because</w:t>
      </w:r>
      <w:r w:rsidRPr="00073171">
        <w:rPr>
          <w:color w:val="000000" w:themeColor="text1"/>
        </w:rPr>
        <w:t xml:space="preserve"> therapy occurred during the school day, in between class periods, one of our concerns was that students </w:t>
      </w:r>
      <w:r w:rsidRPr="00073171">
        <w:rPr>
          <w:color w:val="000000" w:themeColor="text1"/>
        </w:rPr>
        <w:lastRenderedPageBreak/>
        <w:t>would view the experience like they may view some other academic responsibilities</w:t>
      </w:r>
      <w:r w:rsidR="001B262F" w:rsidRPr="00073171">
        <w:rPr>
          <w:color w:val="000000" w:themeColor="text1"/>
        </w:rPr>
        <w:t xml:space="preserve"> (</w:t>
      </w:r>
      <w:r w:rsidR="00841532">
        <w:rPr>
          <w:color w:val="000000" w:themeColor="text1"/>
        </w:rPr>
        <w:t>i.e.</w:t>
      </w:r>
      <w:r w:rsidR="001B262F" w:rsidRPr="00073171">
        <w:rPr>
          <w:color w:val="000000" w:themeColor="text1"/>
        </w:rPr>
        <w:t xml:space="preserve">, </w:t>
      </w:r>
      <w:r w:rsidRPr="00073171">
        <w:rPr>
          <w:color w:val="000000" w:themeColor="text1"/>
        </w:rPr>
        <w:t>“things they have to do”</w:t>
      </w:r>
      <w:r w:rsidR="001B262F" w:rsidRPr="00073171">
        <w:rPr>
          <w:color w:val="000000" w:themeColor="text1"/>
        </w:rPr>
        <w:t>).</w:t>
      </w:r>
      <w:r w:rsidRPr="00073171">
        <w:rPr>
          <w:color w:val="000000" w:themeColor="text1"/>
        </w:rPr>
        <w:t xml:space="preserve"> In our introductory session</w:t>
      </w:r>
      <w:r w:rsidR="001B262F" w:rsidRPr="00073171">
        <w:rPr>
          <w:color w:val="000000" w:themeColor="text1"/>
        </w:rPr>
        <w:t xml:space="preserve"> </w:t>
      </w:r>
      <w:r w:rsidRPr="00073171">
        <w:rPr>
          <w:color w:val="000000" w:themeColor="text1"/>
        </w:rPr>
        <w:t>and throughout treatment, we emphasized group as an “open” space, where students could voice their personal experiences, as well as their doubts, about the DNA-V approach without fear of judgment or reprimand</w:t>
      </w:r>
      <w:r w:rsidR="00D82562">
        <w:rPr>
          <w:color w:val="000000" w:themeColor="text1"/>
        </w:rPr>
        <w:t xml:space="preserve"> (e.g., asking “</w:t>
      </w:r>
      <w:r w:rsidR="00D82562" w:rsidRPr="00223155">
        <w:rPr>
          <w:i/>
          <w:iCs/>
          <w:color w:val="000000" w:themeColor="text1"/>
        </w:rPr>
        <w:t>What do you think the possible pros and cons are of DNA-V?</w:t>
      </w:r>
      <w:r w:rsidR="00D82562">
        <w:rPr>
          <w:color w:val="000000" w:themeColor="text1"/>
        </w:rPr>
        <w:t>”, “</w:t>
      </w:r>
      <w:r w:rsidR="00D82562" w:rsidRPr="00223155">
        <w:rPr>
          <w:i/>
          <w:iCs/>
          <w:color w:val="000000" w:themeColor="text1"/>
        </w:rPr>
        <w:t>Were you surprised by what these letters stood for?</w:t>
      </w:r>
      <w:r w:rsidR="00D82562">
        <w:rPr>
          <w:color w:val="000000" w:themeColor="text1"/>
        </w:rPr>
        <w:t>”, “</w:t>
      </w:r>
      <w:r w:rsidR="00D82562" w:rsidRPr="00223155">
        <w:rPr>
          <w:i/>
          <w:iCs/>
          <w:color w:val="000000" w:themeColor="text1"/>
        </w:rPr>
        <w:t>How is this similar or different from things you have been introduced to in the past for anxiety?</w:t>
      </w:r>
      <w:r w:rsidR="00D82562">
        <w:rPr>
          <w:color w:val="000000" w:themeColor="text1"/>
        </w:rPr>
        <w:t>”)</w:t>
      </w:r>
      <w:r w:rsidRPr="00073171">
        <w:rPr>
          <w:color w:val="000000" w:themeColor="text1"/>
        </w:rPr>
        <w:t>.</w:t>
      </w:r>
    </w:p>
    <w:p w14:paraId="5FDF1724" w14:textId="6D55E228" w:rsidR="00C0559F" w:rsidRPr="00073171" w:rsidRDefault="00C0559F" w:rsidP="00C0559F">
      <w:pPr>
        <w:spacing w:line="480" w:lineRule="auto"/>
        <w:ind w:firstLine="720"/>
        <w:rPr>
          <w:color w:val="000000" w:themeColor="text1"/>
        </w:rPr>
      </w:pPr>
      <w:r w:rsidRPr="00073171">
        <w:rPr>
          <w:b/>
          <w:bCs/>
          <w:color w:val="000000" w:themeColor="text1"/>
        </w:rPr>
        <w:t>Week 2: Values.</w:t>
      </w:r>
      <w:r w:rsidRPr="00073171">
        <w:rPr>
          <w:color w:val="000000" w:themeColor="text1"/>
        </w:rPr>
        <w:t xml:space="preserve"> We began discussion of values by asking students their personal reasons for participating in group. As before, we sought to encourage personal meaning-making as opposed to more rule-bound reasons for attending therapy, even if the student was initially encouraged to do so by a school counselor, parent, or teacher. </w:t>
      </w:r>
      <w:r w:rsidR="00A8758A">
        <w:rPr>
          <w:color w:val="000000" w:themeColor="text1"/>
        </w:rPr>
        <w:t>Each group leader shared a personal reason for running the groups and then “popcorned” around the circle until everyone had a chance to share. “Popcorning” is when a person selects the next person to speak after sharing</w:t>
      </w:r>
      <w:r w:rsidR="00F67DF4">
        <w:rPr>
          <w:color w:val="000000" w:themeColor="text1"/>
        </w:rPr>
        <w:t xml:space="preserve"> (i.e., the group leader shared their reasons and then passed it on to another student)</w:t>
      </w:r>
      <w:r w:rsidR="00A8758A">
        <w:rPr>
          <w:color w:val="000000" w:themeColor="text1"/>
        </w:rPr>
        <w:t xml:space="preserve">. </w:t>
      </w:r>
      <w:r w:rsidRPr="00073171">
        <w:rPr>
          <w:color w:val="000000" w:themeColor="text1"/>
        </w:rPr>
        <w:t>We also led students in more casual discussions of their personal values through a deck of “conversation cards” wh</w:t>
      </w:r>
      <w:r w:rsidR="00432A2F" w:rsidRPr="00073171">
        <w:rPr>
          <w:color w:val="000000" w:themeColor="text1"/>
        </w:rPr>
        <w:t>ich</w:t>
      </w:r>
      <w:r w:rsidRPr="00073171">
        <w:rPr>
          <w:color w:val="000000" w:themeColor="text1"/>
        </w:rPr>
        <w:t xml:space="preserve"> we each drew from, including the two therapists. </w:t>
      </w:r>
      <w:r w:rsidR="003C4FA9">
        <w:rPr>
          <w:color w:val="000000" w:themeColor="text1"/>
        </w:rPr>
        <w:t xml:space="preserve">Students were asked to pair up and to discuss the questions they each drew within their pairs. They then took turns briefly sharing what was discussed with the larger group. </w:t>
      </w:r>
      <w:r w:rsidRPr="00073171">
        <w:rPr>
          <w:color w:val="000000" w:themeColor="text1"/>
        </w:rPr>
        <w:t>Th</w:t>
      </w:r>
      <w:r w:rsidR="003C4FA9">
        <w:rPr>
          <w:color w:val="000000" w:themeColor="text1"/>
        </w:rPr>
        <w:t>e pair sharing then</w:t>
      </w:r>
      <w:r w:rsidRPr="00073171">
        <w:rPr>
          <w:color w:val="000000" w:themeColor="text1"/>
        </w:rPr>
        <w:t xml:space="preserve"> invited </w:t>
      </w:r>
      <w:r w:rsidR="00FA102D">
        <w:rPr>
          <w:color w:val="000000" w:themeColor="text1"/>
        </w:rPr>
        <w:t xml:space="preserve">broader </w:t>
      </w:r>
      <w:r w:rsidRPr="00073171">
        <w:rPr>
          <w:color w:val="000000" w:themeColor="text1"/>
        </w:rPr>
        <w:t>discussions around questions</w:t>
      </w:r>
      <w:r w:rsidR="00FA102D">
        <w:rPr>
          <w:color w:val="000000" w:themeColor="text1"/>
        </w:rPr>
        <w:t>. Examples from the “conversation cards” include</w:t>
      </w:r>
      <w:r w:rsidRPr="00073171">
        <w:rPr>
          <w:color w:val="000000" w:themeColor="text1"/>
        </w:rPr>
        <w:t xml:space="preserve"> </w:t>
      </w:r>
      <w:r w:rsidR="00FA102D">
        <w:rPr>
          <w:color w:val="000000" w:themeColor="text1"/>
        </w:rPr>
        <w:t xml:space="preserve">questions </w:t>
      </w:r>
      <w:r w:rsidRPr="00073171">
        <w:rPr>
          <w:color w:val="000000" w:themeColor="text1"/>
        </w:rPr>
        <w:t>such as “</w:t>
      </w:r>
      <w:r w:rsidR="00D909DE">
        <w:rPr>
          <w:i/>
          <w:iCs/>
          <w:color w:val="000000" w:themeColor="text1"/>
        </w:rPr>
        <w:t>W</w:t>
      </w:r>
      <w:r w:rsidRPr="00D909DE">
        <w:rPr>
          <w:i/>
          <w:iCs/>
          <w:color w:val="000000" w:themeColor="text1"/>
        </w:rPr>
        <w:t>hat makes a good life?</w:t>
      </w:r>
      <w:r w:rsidRPr="00073171">
        <w:rPr>
          <w:color w:val="000000" w:themeColor="text1"/>
        </w:rPr>
        <w:t>”</w:t>
      </w:r>
      <w:r w:rsidR="00FA102D">
        <w:rPr>
          <w:color w:val="000000" w:themeColor="text1"/>
        </w:rPr>
        <w:t>,</w:t>
      </w:r>
      <w:r w:rsidRPr="00073171">
        <w:rPr>
          <w:color w:val="000000" w:themeColor="text1"/>
        </w:rPr>
        <w:t xml:space="preserve"> “</w:t>
      </w:r>
      <w:r w:rsidR="00D909DE">
        <w:rPr>
          <w:i/>
          <w:iCs/>
          <w:color w:val="000000" w:themeColor="text1"/>
        </w:rPr>
        <w:t>H</w:t>
      </w:r>
      <w:r w:rsidRPr="00D909DE">
        <w:rPr>
          <w:i/>
          <w:iCs/>
          <w:color w:val="000000" w:themeColor="text1"/>
        </w:rPr>
        <w:t>ow are you different from your parents?</w:t>
      </w:r>
      <w:r w:rsidRPr="00073171">
        <w:rPr>
          <w:color w:val="000000" w:themeColor="text1"/>
        </w:rPr>
        <w:t>”</w:t>
      </w:r>
      <w:r w:rsidR="00FA102D">
        <w:rPr>
          <w:color w:val="000000" w:themeColor="text1"/>
        </w:rPr>
        <w:t>, “</w:t>
      </w:r>
      <w:r w:rsidR="00D909DE">
        <w:rPr>
          <w:i/>
          <w:iCs/>
          <w:color w:val="000000" w:themeColor="text1"/>
        </w:rPr>
        <w:t>W</w:t>
      </w:r>
      <w:r w:rsidR="00FA102D" w:rsidRPr="00D909DE">
        <w:rPr>
          <w:i/>
          <w:iCs/>
          <w:color w:val="000000" w:themeColor="text1"/>
        </w:rPr>
        <w:t>ould you rather blend in or stand out?</w:t>
      </w:r>
      <w:r w:rsidR="00FA102D">
        <w:rPr>
          <w:color w:val="000000" w:themeColor="text1"/>
        </w:rPr>
        <w:t>”</w:t>
      </w:r>
    </w:p>
    <w:p w14:paraId="387B4C00" w14:textId="77777777" w:rsidR="00DD7B32" w:rsidRDefault="03C73090" w:rsidP="00C0559F">
      <w:pPr>
        <w:spacing w:line="480" w:lineRule="auto"/>
        <w:ind w:firstLine="720"/>
        <w:rPr>
          <w:color w:val="000000" w:themeColor="text1"/>
        </w:rPr>
      </w:pPr>
      <w:r w:rsidRPr="00073171">
        <w:rPr>
          <w:b/>
          <w:bCs/>
          <w:color w:val="000000" w:themeColor="text1"/>
        </w:rPr>
        <w:t>Week 3: The advisor.</w:t>
      </w:r>
      <w:r w:rsidRPr="00073171">
        <w:rPr>
          <w:color w:val="000000" w:themeColor="text1"/>
        </w:rPr>
        <w:t xml:space="preserve"> We described the </w:t>
      </w:r>
      <w:r w:rsidRPr="00073171">
        <w:rPr>
          <w:i/>
          <w:iCs/>
          <w:color w:val="000000" w:themeColor="text1"/>
        </w:rPr>
        <w:t>advisor</w:t>
      </w:r>
      <w:r w:rsidRPr="00073171">
        <w:rPr>
          <w:color w:val="000000" w:themeColor="text1"/>
        </w:rPr>
        <w:t xml:space="preserve"> as a kind of inner voice who follows us around providing all kinds of comments and advice. To illustrate this concept, we showed </w:t>
      </w:r>
      <w:r w:rsidRPr="00073171">
        <w:rPr>
          <w:color w:val="000000" w:themeColor="text1"/>
        </w:rPr>
        <w:lastRenderedPageBreak/>
        <w:t xml:space="preserve">students a clip from the Disney film </w:t>
      </w:r>
      <w:r w:rsidRPr="00073171">
        <w:rPr>
          <w:i/>
          <w:iCs/>
          <w:color w:val="000000" w:themeColor="text1"/>
        </w:rPr>
        <w:t>The Emperor’s New Groove</w:t>
      </w:r>
      <w:r w:rsidRPr="00073171">
        <w:rPr>
          <w:color w:val="000000" w:themeColor="text1"/>
        </w:rPr>
        <w:t xml:space="preserve"> (Dindal, 2000) in which the character Kronk grapples with an angel and devil version of himself on each shoulder, mocking him with infuriatingly contradictory advice and chatter. </w:t>
      </w:r>
      <w:r w:rsidR="00A36A6B">
        <w:rPr>
          <w:color w:val="000000" w:themeColor="text1"/>
        </w:rPr>
        <w:t xml:space="preserve">Students then were provided with space to discuss personal examples of when they had felt similar to Kronk, or been in a similar situation (i.e., internal conflict). </w:t>
      </w:r>
    </w:p>
    <w:p w14:paraId="0C87A037" w14:textId="1DB1C32F" w:rsidR="00C0559F" w:rsidRPr="00073171" w:rsidRDefault="006F1A86" w:rsidP="00C0559F">
      <w:pPr>
        <w:spacing w:line="480" w:lineRule="auto"/>
        <w:ind w:firstLine="720"/>
        <w:rPr>
          <w:color w:val="000000" w:themeColor="text1"/>
        </w:rPr>
      </w:pPr>
      <w:r>
        <w:rPr>
          <w:color w:val="000000" w:themeColor="text1"/>
        </w:rPr>
        <w:t>As the second activity, we</w:t>
      </w:r>
      <w:r w:rsidR="03C73090" w:rsidRPr="00073171">
        <w:rPr>
          <w:color w:val="000000" w:themeColor="text1"/>
        </w:rPr>
        <w:t xml:space="preserve"> invited students to write freely for three minutes anything their </w:t>
      </w:r>
      <w:r w:rsidR="03C73090" w:rsidRPr="00073171">
        <w:rPr>
          <w:i/>
          <w:iCs/>
          <w:color w:val="000000" w:themeColor="text1"/>
        </w:rPr>
        <w:t>advisor</w:t>
      </w:r>
      <w:r w:rsidR="03C73090" w:rsidRPr="00073171">
        <w:rPr>
          <w:color w:val="000000" w:themeColor="text1"/>
        </w:rPr>
        <w:t xml:space="preserve"> said to them, in order to recognize how busy our minds are and that not every internal experience needs to be listened to, especially the ones that “push us around.”</w:t>
      </w:r>
      <w:r w:rsidR="00891D82" w:rsidRPr="00073171">
        <w:rPr>
          <w:color w:val="000000" w:themeColor="text1"/>
        </w:rPr>
        <w:t xml:space="preserve"> </w:t>
      </w:r>
      <w:r w:rsidR="006C1C56">
        <w:rPr>
          <w:color w:val="000000" w:themeColor="text1"/>
        </w:rPr>
        <w:t xml:space="preserve">Students discussed their reactions to this exercise and described other moments from their lives when they had felt their </w:t>
      </w:r>
      <w:r w:rsidR="006C1C56">
        <w:rPr>
          <w:i/>
          <w:iCs/>
          <w:color w:val="000000" w:themeColor="text1"/>
        </w:rPr>
        <w:t xml:space="preserve">advisor </w:t>
      </w:r>
      <w:r w:rsidR="006C1C56">
        <w:rPr>
          <w:color w:val="000000" w:themeColor="text1"/>
        </w:rPr>
        <w:t>was especially chatty</w:t>
      </w:r>
      <w:r w:rsidR="00546BE3">
        <w:rPr>
          <w:color w:val="000000" w:themeColor="text1"/>
        </w:rPr>
        <w:t xml:space="preserve"> (e.g., after an argument with a friend, </w:t>
      </w:r>
      <w:r w:rsidR="00D83650">
        <w:rPr>
          <w:color w:val="000000" w:themeColor="text1"/>
        </w:rPr>
        <w:t>taking</w:t>
      </w:r>
      <w:r w:rsidR="00546BE3">
        <w:rPr>
          <w:color w:val="000000" w:themeColor="text1"/>
        </w:rPr>
        <w:t xml:space="preserve"> the driver’s license test)</w:t>
      </w:r>
      <w:r w:rsidR="006C1C56">
        <w:rPr>
          <w:color w:val="000000" w:themeColor="text1"/>
        </w:rPr>
        <w:t xml:space="preserve">. </w:t>
      </w:r>
      <w:r w:rsidR="00891D82" w:rsidRPr="00073171">
        <w:rPr>
          <w:color w:val="000000" w:themeColor="text1"/>
        </w:rPr>
        <w:t>Students began to set a weekly behavioral commitment in this week of the protocol.</w:t>
      </w:r>
    </w:p>
    <w:p w14:paraId="4A1A132E" w14:textId="509C5527" w:rsidR="00C0559F" w:rsidRPr="00073171" w:rsidRDefault="00C0559F" w:rsidP="00C0559F">
      <w:pPr>
        <w:spacing w:line="480" w:lineRule="auto"/>
        <w:ind w:firstLine="720"/>
        <w:rPr>
          <w:color w:val="000000" w:themeColor="text1"/>
        </w:rPr>
      </w:pPr>
      <w:r w:rsidRPr="00073171">
        <w:rPr>
          <w:b/>
          <w:bCs/>
          <w:color w:val="000000" w:themeColor="text1"/>
        </w:rPr>
        <w:t>Example behavioral commitment:</w:t>
      </w:r>
      <w:r w:rsidRPr="00073171">
        <w:rPr>
          <w:color w:val="000000" w:themeColor="text1"/>
        </w:rPr>
        <w:t xml:space="preserve"> </w:t>
      </w:r>
      <w:r w:rsidR="00D44158" w:rsidRPr="00073171">
        <w:rPr>
          <w:color w:val="000000" w:themeColor="text1"/>
        </w:rPr>
        <w:t>“</w:t>
      </w:r>
      <w:r w:rsidRPr="00073171">
        <w:rPr>
          <w:color w:val="000000" w:themeColor="text1"/>
        </w:rPr>
        <w:t xml:space="preserve">Observe what my advisor is saying while I try to study for a test. If my advisor says mean things like </w:t>
      </w:r>
      <w:r w:rsidR="00D44158" w:rsidRPr="00073171">
        <w:rPr>
          <w:color w:val="000000" w:themeColor="text1"/>
        </w:rPr>
        <w:t>‘</w:t>
      </w:r>
      <w:r w:rsidRPr="00073171">
        <w:rPr>
          <w:color w:val="000000" w:themeColor="text1"/>
        </w:rPr>
        <w:t>just give up,</w:t>
      </w:r>
      <w:r w:rsidR="00D44158" w:rsidRPr="00073171">
        <w:rPr>
          <w:color w:val="000000" w:themeColor="text1"/>
        </w:rPr>
        <w:t>’</w:t>
      </w:r>
      <w:r w:rsidRPr="00073171">
        <w:rPr>
          <w:color w:val="000000" w:themeColor="text1"/>
        </w:rPr>
        <w:t xml:space="preserve"> remember that I can choose whether or not to listen to it.</w:t>
      </w:r>
      <w:r w:rsidR="00D44158" w:rsidRPr="00073171">
        <w:rPr>
          <w:color w:val="000000" w:themeColor="text1"/>
        </w:rPr>
        <w:t>”</w:t>
      </w:r>
    </w:p>
    <w:p w14:paraId="44347519" w14:textId="54D1306A" w:rsidR="00801D5C" w:rsidRDefault="00C0559F" w:rsidP="00C0559F">
      <w:pPr>
        <w:spacing w:line="480" w:lineRule="auto"/>
        <w:ind w:firstLine="720"/>
        <w:rPr>
          <w:color w:val="000000" w:themeColor="text1"/>
        </w:rPr>
      </w:pPr>
      <w:r w:rsidRPr="00073171">
        <w:rPr>
          <w:b/>
          <w:bCs/>
          <w:color w:val="000000" w:themeColor="text1"/>
        </w:rPr>
        <w:t>Week 4: The noticer.</w:t>
      </w:r>
      <w:r w:rsidRPr="00073171">
        <w:rPr>
          <w:color w:val="000000" w:themeColor="text1"/>
        </w:rPr>
        <w:t xml:space="preserve"> In DNA-V, mindfulness</w:t>
      </w:r>
      <w:r w:rsidR="00737884">
        <w:rPr>
          <w:color w:val="000000" w:themeColor="text1"/>
        </w:rPr>
        <w:t xml:space="preserve"> and present moment awareness</w:t>
      </w:r>
      <w:r w:rsidRPr="00073171">
        <w:rPr>
          <w:color w:val="000000" w:themeColor="text1"/>
        </w:rPr>
        <w:t xml:space="preserve"> </w:t>
      </w:r>
      <w:r w:rsidR="005D7A2F">
        <w:rPr>
          <w:color w:val="000000" w:themeColor="text1"/>
        </w:rPr>
        <w:t>are</w:t>
      </w:r>
      <w:r w:rsidRPr="00073171">
        <w:rPr>
          <w:color w:val="000000" w:themeColor="text1"/>
        </w:rPr>
        <w:t xml:space="preserve"> taught through embodying the </w:t>
      </w:r>
      <w:r w:rsidRPr="00073171">
        <w:rPr>
          <w:i/>
          <w:iCs/>
          <w:color w:val="000000" w:themeColor="text1"/>
        </w:rPr>
        <w:t>noticer</w:t>
      </w:r>
      <w:r w:rsidRPr="00073171">
        <w:rPr>
          <w:color w:val="000000" w:themeColor="text1"/>
        </w:rPr>
        <w:t xml:space="preserve">, a nonjudgmental perspective on </w:t>
      </w:r>
      <w:r w:rsidR="005C7F24" w:rsidRPr="00073171">
        <w:rPr>
          <w:color w:val="000000" w:themeColor="text1"/>
        </w:rPr>
        <w:t>internal and external</w:t>
      </w:r>
      <w:r w:rsidRPr="00073171">
        <w:rPr>
          <w:color w:val="000000" w:themeColor="text1"/>
        </w:rPr>
        <w:t xml:space="preserve"> experiences. Adolescents may be under especially strong pressure to avoid or repress unpleasant emotions, worried that they may affect their school performance or social life</w:t>
      </w:r>
      <w:r w:rsidR="0078501A" w:rsidRPr="00073171">
        <w:rPr>
          <w:color w:val="000000" w:themeColor="text1"/>
        </w:rPr>
        <w:t xml:space="preserve"> (e.g., ability to “fit in”)</w:t>
      </w:r>
      <w:r w:rsidRPr="00073171">
        <w:rPr>
          <w:color w:val="000000" w:themeColor="text1"/>
        </w:rPr>
        <w:t xml:space="preserve">. We asked students in our group to describe “rules” they may have learned from family, friends, or teachers about controlling negative emotions. </w:t>
      </w:r>
      <w:r w:rsidR="00801D5C">
        <w:rPr>
          <w:color w:val="000000" w:themeColor="text1"/>
        </w:rPr>
        <w:t xml:space="preserve">As in previous groups, students were invited to share personal examples to the broader group or to discuss in pairs. </w:t>
      </w:r>
    </w:p>
    <w:p w14:paraId="63034596" w14:textId="67050663" w:rsidR="00801D5C" w:rsidRDefault="00C0559F" w:rsidP="00C0559F">
      <w:pPr>
        <w:spacing w:line="480" w:lineRule="auto"/>
        <w:ind w:firstLine="720"/>
        <w:rPr>
          <w:color w:val="000000" w:themeColor="text1"/>
        </w:rPr>
      </w:pPr>
      <w:r w:rsidRPr="00073171">
        <w:rPr>
          <w:color w:val="000000" w:themeColor="text1"/>
        </w:rPr>
        <w:t>To experientially contact the noticer, we led students through various brief mindfulness exercises</w:t>
      </w:r>
      <w:r w:rsidR="00801D5C">
        <w:rPr>
          <w:color w:val="000000" w:themeColor="text1"/>
        </w:rPr>
        <w:t xml:space="preserve">. First, we led the students through a </w:t>
      </w:r>
      <w:r w:rsidRPr="00073171">
        <w:rPr>
          <w:color w:val="000000" w:themeColor="text1"/>
        </w:rPr>
        <w:t>“balloon breathing” meditation</w:t>
      </w:r>
      <w:r w:rsidR="00677ABC">
        <w:rPr>
          <w:color w:val="000000" w:themeColor="text1"/>
        </w:rPr>
        <w:t xml:space="preserve">, </w:t>
      </w:r>
      <w:r w:rsidRPr="00073171">
        <w:rPr>
          <w:color w:val="000000" w:themeColor="text1"/>
        </w:rPr>
        <w:t xml:space="preserve">visualizing the </w:t>
      </w:r>
      <w:r w:rsidRPr="00073171">
        <w:rPr>
          <w:color w:val="000000" w:themeColor="text1"/>
        </w:rPr>
        <w:lastRenderedPageBreak/>
        <w:t xml:space="preserve">diaphragm as gently inflating and deflating like a balloon as </w:t>
      </w:r>
      <w:r w:rsidR="00677ABC">
        <w:rPr>
          <w:color w:val="000000" w:themeColor="text1"/>
        </w:rPr>
        <w:t>they</w:t>
      </w:r>
      <w:r w:rsidRPr="00073171">
        <w:rPr>
          <w:color w:val="000000" w:themeColor="text1"/>
        </w:rPr>
        <w:t xml:space="preserve"> breathe</w:t>
      </w:r>
      <w:r w:rsidR="00677ABC">
        <w:rPr>
          <w:color w:val="000000" w:themeColor="text1"/>
        </w:rPr>
        <w:t>d</w:t>
      </w:r>
      <w:r w:rsidR="00801D5C">
        <w:rPr>
          <w:color w:val="000000" w:themeColor="text1"/>
        </w:rPr>
        <w:t>. Students were guided through the mindfulness exercise via a script similar to the following text:</w:t>
      </w:r>
    </w:p>
    <w:p w14:paraId="722C2E67" w14:textId="7E2EE3E1" w:rsidR="00801D5C" w:rsidRPr="00801D5C" w:rsidRDefault="005C144A" w:rsidP="00C0559F">
      <w:pPr>
        <w:spacing w:line="480" w:lineRule="auto"/>
        <w:ind w:firstLine="720"/>
        <w:rPr>
          <w:i/>
          <w:iCs/>
          <w:color w:val="000000" w:themeColor="text1"/>
        </w:rPr>
      </w:pPr>
      <w:r>
        <w:rPr>
          <w:i/>
          <w:iCs/>
          <w:color w:val="000000" w:themeColor="text1"/>
        </w:rPr>
        <w:t>Close your eyes and t</w:t>
      </w:r>
      <w:r w:rsidR="00801D5C">
        <w:rPr>
          <w:i/>
          <w:iCs/>
          <w:color w:val="000000" w:themeColor="text1"/>
        </w:rPr>
        <w:t xml:space="preserve">ake a moment </w:t>
      </w:r>
      <w:r>
        <w:rPr>
          <w:i/>
          <w:iCs/>
          <w:color w:val="000000" w:themeColor="text1"/>
        </w:rPr>
        <w:t>to</w:t>
      </w:r>
      <w:r w:rsidR="00801D5C">
        <w:rPr>
          <w:i/>
          <w:iCs/>
          <w:color w:val="000000" w:themeColor="text1"/>
        </w:rPr>
        <w:t xml:space="preserve"> connect </w:t>
      </w:r>
      <w:r>
        <w:rPr>
          <w:i/>
          <w:iCs/>
          <w:color w:val="000000" w:themeColor="text1"/>
        </w:rPr>
        <w:t xml:space="preserve">with </w:t>
      </w:r>
      <w:r w:rsidR="00801D5C">
        <w:rPr>
          <w:i/>
          <w:iCs/>
          <w:color w:val="000000" w:themeColor="text1"/>
        </w:rPr>
        <w:t>your notice</w:t>
      </w:r>
      <w:r>
        <w:rPr>
          <w:i/>
          <w:iCs/>
          <w:color w:val="000000" w:themeColor="text1"/>
        </w:rPr>
        <w:t>r.</w:t>
      </w:r>
      <w:r w:rsidR="00801D5C">
        <w:rPr>
          <w:i/>
          <w:iCs/>
          <w:color w:val="000000" w:themeColor="text1"/>
        </w:rPr>
        <w:t xml:space="preserve"> </w:t>
      </w:r>
      <w:r>
        <w:rPr>
          <w:i/>
          <w:iCs/>
          <w:color w:val="000000" w:themeColor="text1"/>
        </w:rPr>
        <w:t>T</w:t>
      </w:r>
      <w:r w:rsidR="00801D5C">
        <w:rPr>
          <w:i/>
          <w:iCs/>
          <w:color w:val="000000" w:themeColor="text1"/>
        </w:rPr>
        <w:t xml:space="preserve">ap into your senses and </w:t>
      </w:r>
      <w:r w:rsidR="00473741">
        <w:rPr>
          <w:i/>
          <w:iCs/>
          <w:color w:val="000000" w:themeColor="text1"/>
        </w:rPr>
        <w:t>notice what it feels like to just be in this room together</w:t>
      </w:r>
      <w:r w:rsidR="00801D5C">
        <w:rPr>
          <w:i/>
          <w:iCs/>
          <w:color w:val="000000" w:themeColor="text1"/>
        </w:rPr>
        <w:t>. If you are willing, move your attention to your body and your breath. Notice how your breath goes in and out. Maybe it is fast, maybe it is slow. Notice the temperature of your breath and how it travels through your body. When you are ready, place one hand on your stomach and one on your chest. As you breathe, notice how your hands move. Maybe your hand on your chest is rising and falling or maybe vice versa, or not at all. Whatever you notice is OK. If your attention is wandering or your advisor is t</w:t>
      </w:r>
      <w:r w:rsidR="00F30F79">
        <w:rPr>
          <w:i/>
          <w:iCs/>
          <w:color w:val="000000" w:themeColor="text1"/>
        </w:rPr>
        <w:t>rying to take over</w:t>
      </w:r>
      <w:r w:rsidR="00801D5C">
        <w:rPr>
          <w:i/>
          <w:iCs/>
          <w:color w:val="000000" w:themeColor="text1"/>
        </w:rPr>
        <w:t>, that is OK too</w:t>
      </w:r>
      <w:r w:rsidR="00CE51C9">
        <w:rPr>
          <w:i/>
          <w:iCs/>
          <w:color w:val="000000" w:themeColor="text1"/>
        </w:rPr>
        <w:t>—</w:t>
      </w:r>
      <w:r w:rsidR="00801D5C">
        <w:rPr>
          <w:i/>
          <w:iCs/>
          <w:color w:val="000000" w:themeColor="text1"/>
        </w:rPr>
        <w:t xml:space="preserve">just gently bring yourself back to the noticer space and </w:t>
      </w:r>
      <w:r w:rsidR="0092094D">
        <w:rPr>
          <w:i/>
          <w:iCs/>
          <w:color w:val="000000" w:themeColor="text1"/>
        </w:rPr>
        <w:t xml:space="preserve">bring your </w:t>
      </w:r>
      <w:r w:rsidR="00801D5C">
        <w:rPr>
          <w:i/>
          <w:iCs/>
          <w:color w:val="000000" w:themeColor="text1"/>
        </w:rPr>
        <w:t xml:space="preserve">attention to your breath and hands. Now imagine that you have a balloon in your stomach. When you breathe in, </w:t>
      </w:r>
      <w:r w:rsidR="008D3AD6">
        <w:rPr>
          <w:i/>
          <w:iCs/>
          <w:color w:val="000000" w:themeColor="text1"/>
        </w:rPr>
        <w:t xml:space="preserve">imagine </w:t>
      </w:r>
      <w:r w:rsidR="00801D5C">
        <w:rPr>
          <w:i/>
          <w:iCs/>
          <w:color w:val="000000" w:themeColor="text1"/>
        </w:rPr>
        <w:t>you are filling that balloon up with air. When you breathe out, the balloon is deflating back down. Really imagine the balloon, its color, its shape, and how it grows and deflates. Notice how it feels as you breathe into your stomach and that balloon. Pay attention to your hands</w:t>
      </w:r>
      <w:r w:rsidR="00522FCA">
        <w:rPr>
          <w:i/>
          <w:iCs/>
          <w:color w:val="000000" w:themeColor="text1"/>
        </w:rPr>
        <w:t xml:space="preserve"> again</w:t>
      </w:r>
      <w:r w:rsidR="00801D5C">
        <w:rPr>
          <w:i/>
          <w:iCs/>
          <w:color w:val="000000" w:themeColor="text1"/>
        </w:rPr>
        <w:t>—notice if anything is different or the same. Keep breathing</w:t>
      </w:r>
      <w:r>
        <w:rPr>
          <w:i/>
          <w:iCs/>
          <w:color w:val="000000" w:themeColor="text1"/>
        </w:rPr>
        <w:t xml:space="preserve"> into your stomach</w:t>
      </w:r>
      <w:r w:rsidR="00801D5C">
        <w:rPr>
          <w:i/>
          <w:iCs/>
          <w:color w:val="000000" w:themeColor="text1"/>
        </w:rPr>
        <w:t xml:space="preserve"> in this way for a few more breaths. </w:t>
      </w:r>
      <w:r>
        <w:rPr>
          <w:i/>
          <w:iCs/>
          <w:color w:val="000000" w:themeColor="text1"/>
        </w:rPr>
        <w:t>When you are ready, open your eyes.</w:t>
      </w:r>
    </w:p>
    <w:p w14:paraId="0B0D2A78" w14:textId="7AE35DDA" w:rsidR="00B0453F" w:rsidRDefault="00B0453F" w:rsidP="00C0559F">
      <w:pPr>
        <w:spacing w:line="480" w:lineRule="auto"/>
        <w:ind w:firstLine="720"/>
        <w:rPr>
          <w:color w:val="000000" w:themeColor="text1"/>
        </w:rPr>
      </w:pPr>
      <w:r>
        <w:rPr>
          <w:color w:val="000000" w:themeColor="text1"/>
        </w:rPr>
        <w:t xml:space="preserve">Following this brief exercise, students were encouraged to discuss how they felt before and after breathing into their </w:t>
      </w:r>
      <w:r w:rsidR="000C3999">
        <w:rPr>
          <w:color w:val="000000" w:themeColor="text1"/>
        </w:rPr>
        <w:t>“</w:t>
      </w:r>
      <w:r>
        <w:rPr>
          <w:color w:val="000000" w:themeColor="text1"/>
        </w:rPr>
        <w:t>balloon.</w:t>
      </w:r>
      <w:r w:rsidR="000C3999">
        <w:rPr>
          <w:color w:val="000000" w:themeColor="text1"/>
        </w:rPr>
        <w:t>”</w:t>
      </w:r>
      <w:r>
        <w:rPr>
          <w:color w:val="000000" w:themeColor="text1"/>
        </w:rPr>
        <w:t xml:space="preserve"> They also were prompted to consider where and when this breathing might be useful</w:t>
      </w:r>
      <w:r w:rsidR="003300C7">
        <w:rPr>
          <w:color w:val="000000" w:themeColor="text1"/>
        </w:rPr>
        <w:t xml:space="preserve"> with anxiety (</w:t>
      </w:r>
      <w:r w:rsidR="008E76F9">
        <w:rPr>
          <w:color w:val="000000" w:themeColor="text1"/>
        </w:rPr>
        <w:t xml:space="preserve">e.g., </w:t>
      </w:r>
      <w:r w:rsidR="003300C7">
        <w:rPr>
          <w:color w:val="000000" w:themeColor="text1"/>
        </w:rPr>
        <w:t>asking someone out on a date</w:t>
      </w:r>
      <w:r w:rsidR="005F3A80">
        <w:rPr>
          <w:color w:val="000000" w:themeColor="text1"/>
        </w:rPr>
        <w:t xml:space="preserve">, </w:t>
      </w:r>
      <w:r w:rsidR="006B0066">
        <w:rPr>
          <w:color w:val="000000" w:themeColor="text1"/>
        </w:rPr>
        <w:t>before making a phone call</w:t>
      </w:r>
      <w:r w:rsidR="008E76F9">
        <w:rPr>
          <w:color w:val="000000" w:themeColor="text1"/>
        </w:rPr>
        <w:t>).</w:t>
      </w:r>
    </w:p>
    <w:p w14:paraId="655EA433" w14:textId="4D492B41" w:rsidR="00C0559F" w:rsidRDefault="00801D5C" w:rsidP="00C0559F">
      <w:pPr>
        <w:spacing w:line="480" w:lineRule="auto"/>
        <w:ind w:firstLine="720"/>
        <w:rPr>
          <w:color w:val="000000" w:themeColor="text1"/>
        </w:rPr>
      </w:pPr>
      <w:r>
        <w:rPr>
          <w:color w:val="000000" w:themeColor="text1"/>
        </w:rPr>
        <w:t xml:space="preserve">Second, </w:t>
      </w:r>
      <w:r w:rsidR="008344B7">
        <w:rPr>
          <w:color w:val="000000" w:themeColor="text1"/>
        </w:rPr>
        <w:t>we guided the students to imagine</w:t>
      </w:r>
      <w:r w:rsidR="00C0559F" w:rsidRPr="00073171">
        <w:rPr>
          <w:color w:val="000000" w:themeColor="text1"/>
        </w:rPr>
        <w:t xml:space="preserve"> </w:t>
      </w:r>
      <w:r w:rsidR="00884F19">
        <w:rPr>
          <w:color w:val="000000" w:themeColor="text1"/>
        </w:rPr>
        <w:t xml:space="preserve">recent events </w:t>
      </w:r>
      <w:r w:rsidR="00C0559F" w:rsidRPr="00073171">
        <w:rPr>
          <w:color w:val="000000" w:themeColor="text1"/>
        </w:rPr>
        <w:t xml:space="preserve">in their lives and </w:t>
      </w:r>
      <w:r w:rsidR="00E92938">
        <w:rPr>
          <w:color w:val="000000" w:themeColor="text1"/>
        </w:rPr>
        <w:t>to observe</w:t>
      </w:r>
      <w:r w:rsidR="00C0559F" w:rsidRPr="00073171">
        <w:rPr>
          <w:color w:val="000000" w:themeColor="text1"/>
        </w:rPr>
        <w:t xml:space="preserve"> what sensations arise without judgment.</w:t>
      </w:r>
      <w:r w:rsidR="00E92938">
        <w:rPr>
          <w:color w:val="000000" w:themeColor="text1"/>
        </w:rPr>
        <w:t xml:space="preserve"> Students were guided through this exercise via the following scrip</w:t>
      </w:r>
      <w:r w:rsidR="00884F19">
        <w:rPr>
          <w:color w:val="000000" w:themeColor="text1"/>
        </w:rPr>
        <w:t xml:space="preserve">t twice, once for a pleasant and unpleasant memory: </w:t>
      </w:r>
    </w:p>
    <w:p w14:paraId="13AF3461" w14:textId="62E795BC" w:rsidR="000D7B2B" w:rsidRPr="000D7B2B" w:rsidRDefault="00884F19" w:rsidP="000D7B2B">
      <w:pPr>
        <w:spacing w:line="480" w:lineRule="auto"/>
        <w:ind w:firstLine="720"/>
        <w:rPr>
          <w:color w:val="000000" w:themeColor="text1"/>
        </w:rPr>
      </w:pPr>
      <w:r>
        <w:rPr>
          <w:i/>
          <w:iCs/>
          <w:color w:val="000000" w:themeColor="text1"/>
        </w:rPr>
        <w:lastRenderedPageBreak/>
        <w:t xml:space="preserve">Take a moment and think about a recent happy/unhappy event that happened to you. It can be something that happened in the last week or maybe even today. Imagine that you are back in that moment, as if it were happening again. Let the event or moment unfold just as it did before. What feelings are present with you right now? Notice where those feelings are showing up—some might come in your chest, others your stomach, your head, or somewhere else. If you notice that your </w:t>
      </w:r>
      <w:r w:rsidR="006315AC">
        <w:rPr>
          <w:i/>
          <w:iCs/>
          <w:color w:val="000000" w:themeColor="text1"/>
        </w:rPr>
        <w:t>advisor is getting talkative</w:t>
      </w:r>
      <w:r>
        <w:rPr>
          <w:i/>
          <w:iCs/>
          <w:color w:val="000000" w:themeColor="text1"/>
        </w:rPr>
        <w:t xml:space="preserve">, that is totally okay, just gently bring it back to that event and </w:t>
      </w:r>
      <w:r w:rsidR="006E25C7">
        <w:rPr>
          <w:i/>
          <w:iCs/>
          <w:color w:val="000000" w:themeColor="text1"/>
        </w:rPr>
        <w:t>your feelings</w:t>
      </w:r>
      <w:r>
        <w:rPr>
          <w:i/>
          <w:iCs/>
          <w:color w:val="000000" w:themeColor="text1"/>
        </w:rPr>
        <w:t xml:space="preserve">. </w:t>
      </w:r>
      <w:r w:rsidR="00EB004B">
        <w:rPr>
          <w:i/>
          <w:iCs/>
          <w:color w:val="000000" w:themeColor="text1"/>
        </w:rPr>
        <w:t>Once you have observed those feelings, try and give them a name. It does not have to be anything fancy, maybe you notice that it is a light feeling or maybe you notice sadness. Try to open up to those feelings and breathe into them</w:t>
      </w:r>
      <w:r w:rsidR="000D7B2B">
        <w:rPr>
          <w:i/>
          <w:iCs/>
          <w:color w:val="000000" w:themeColor="text1"/>
        </w:rPr>
        <w:t xml:space="preserve">, letting them be there. </w:t>
      </w:r>
    </w:p>
    <w:p w14:paraId="3E2F6A15" w14:textId="36F6E6AA" w:rsidR="00CA5A24" w:rsidRPr="002F2328" w:rsidRDefault="00B0453F" w:rsidP="00C0559F">
      <w:pPr>
        <w:spacing w:line="480" w:lineRule="auto"/>
        <w:ind w:firstLine="720"/>
        <w:rPr>
          <w:color w:val="000000" w:themeColor="text1"/>
        </w:rPr>
      </w:pPr>
      <w:r>
        <w:rPr>
          <w:color w:val="000000" w:themeColor="text1"/>
        </w:rPr>
        <w:t>After this exercise, students were encouraged to discuss what events they imagined and what feelings arose. They were prompted to consider what it was like to just let their emotions be with them, positive or negative</w:t>
      </w:r>
      <w:r w:rsidR="00543AD3">
        <w:rPr>
          <w:color w:val="000000" w:themeColor="text1"/>
        </w:rPr>
        <w:t xml:space="preserve">, and how that might be useful when anxiety is </w:t>
      </w:r>
      <w:r w:rsidR="00357241">
        <w:rPr>
          <w:color w:val="000000" w:themeColor="text1"/>
        </w:rPr>
        <w:t>strong</w:t>
      </w:r>
      <w:r w:rsidR="00543AD3">
        <w:rPr>
          <w:color w:val="000000" w:themeColor="text1"/>
        </w:rPr>
        <w:t>.</w:t>
      </w:r>
      <w:r w:rsidR="002F2328">
        <w:rPr>
          <w:color w:val="000000" w:themeColor="text1"/>
        </w:rPr>
        <w:t xml:space="preserve"> The noticer </w:t>
      </w:r>
      <w:r w:rsidR="008E27EE">
        <w:rPr>
          <w:color w:val="000000" w:themeColor="text1"/>
        </w:rPr>
        <w:t xml:space="preserve">session(s) </w:t>
      </w:r>
      <w:r w:rsidR="002F2328">
        <w:rPr>
          <w:color w:val="000000" w:themeColor="text1"/>
        </w:rPr>
        <w:t xml:space="preserve">ended with a brief review and discussion of how the noticer is similar and/or different from the advisor (e.g., </w:t>
      </w:r>
      <w:r w:rsidR="00841177">
        <w:rPr>
          <w:color w:val="000000" w:themeColor="text1"/>
        </w:rPr>
        <w:t>“</w:t>
      </w:r>
      <w:r w:rsidR="002F2328">
        <w:rPr>
          <w:i/>
          <w:iCs/>
          <w:color w:val="000000" w:themeColor="text1"/>
        </w:rPr>
        <w:t xml:space="preserve">When might you try to </w:t>
      </w:r>
      <w:r w:rsidR="009D032B">
        <w:rPr>
          <w:i/>
          <w:iCs/>
          <w:color w:val="000000" w:themeColor="text1"/>
        </w:rPr>
        <w:t>connect to</w:t>
      </w:r>
      <w:r w:rsidR="002F2328">
        <w:rPr>
          <w:i/>
          <w:iCs/>
          <w:color w:val="000000" w:themeColor="text1"/>
        </w:rPr>
        <w:t xml:space="preserve"> your noticer over your advisor?</w:t>
      </w:r>
      <w:r w:rsidR="00841177">
        <w:rPr>
          <w:i/>
          <w:iCs/>
          <w:color w:val="000000" w:themeColor="text1"/>
        </w:rPr>
        <w:t>”,</w:t>
      </w:r>
      <w:r w:rsidR="002F2328">
        <w:rPr>
          <w:i/>
          <w:iCs/>
          <w:color w:val="000000" w:themeColor="text1"/>
        </w:rPr>
        <w:t xml:space="preserve"> </w:t>
      </w:r>
      <w:r w:rsidR="00841177">
        <w:rPr>
          <w:i/>
          <w:iCs/>
          <w:color w:val="000000" w:themeColor="text1"/>
        </w:rPr>
        <w:t>“</w:t>
      </w:r>
      <w:r w:rsidR="002F2328">
        <w:rPr>
          <w:i/>
          <w:iCs/>
          <w:color w:val="000000" w:themeColor="text1"/>
        </w:rPr>
        <w:t xml:space="preserve">What about your advisor </w:t>
      </w:r>
      <w:r w:rsidR="001B3A1C">
        <w:rPr>
          <w:i/>
          <w:iCs/>
          <w:color w:val="000000" w:themeColor="text1"/>
        </w:rPr>
        <w:t>instead of</w:t>
      </w:r>
      <w:r w:rsidR="002F2328">
        <w:rPr>
          <w:i/>
          <w:iCs/>
          <w:color w:val="000000" w:themeColor="text1"/>
        </w:rPr>
        <w:t xml:space="preserve"> your noticer?</w:t>
      </w:r>
      <w:r w:rsidR="00841177">
        <w:rPr>
          <w:i/>
          <w:iCs/>
          <w:color w:val="000000" w:themeColor="text1"/>
        </w:rPr>
        <w:t>”</w:t>
      </w:r>
      <w:r w:rsidR="002F2328" w:rsidRPr="00616765">
        <w:rPr>
          <w:color w:val="000000" w:themeColor="text1"/>
        </w:rPr>
        <w:t>)</w:t>
      </w:r>
    </w:p>
    <w:p w14:paraId="7ACE2638" w14:textId="7F29A146" w:rsidR="00C0559F" w:rsidRPr="00073171" w:rsidRDefault="00C0559F" w:rsidP="00C0559F">
      <w:pPr>
        <w:spacing w:line="480" w:lineRule="auto"/>
        <w:ind w:firstLine="720"/>
        <w:rPr>
          <w:color w:val="000000" w:themeColor="text1"/>
        </w:rPr>
      </w:pPr>
      <w:r w:rsidRPr="00073171">
        <w:rPr>
          <w:b/>
          <w:bCs/>
          <w:color w:val="000000" w:themeColor="text1"/>
        </w:rPr>
        <w:t>Example behavioral commitment:</w:t>
      </w:r>
      <w:r w:rsidRPr="00073171">
        <w:rPr>
          <w:color w:val="000000" w:themeColor="text1"/>
        </w:rPr>
        <w:t xml:space="preserve"> </w:t>
      </w:r>
      <w:r w:rsidR="00A11037" w:rsidRPr="00073171">
        <w:rPr>
          <w:color w:val="000000" w:themeColor="text1"/>
        </w:rPr>
        <w:t>“</w:t>
      </w:r>
      <w:r w:rsidRPr="00073171">
        <w:rPr>
          <w:color w:val="000000" w:themeColor="text1"/>
        </w:rPr>
        <w:t xml:space="preserve">Practice balloon breathing for five minutes before my audition for the school band, </w:t>
      </w:r>
      <w:r w:rsidR="005B69BE" w:rsidRPr="00073171">
        <w:rPr>
          <w:color w:val="000000" w:themeColor="text1"/>
        </w:rPr>
        <w:t>because</w:t>
      </w:r>
      <w:r w:rsidRPr="00073171">
        <w:rPr>
          <w:color w:val="000000" w:themeColor="text1"/>
        </w:rPr>
        <w:t xml:space="preserve"> this is a time when my anxiety is especially loud.</w:t>
      </w:r>
      <w:r w:rsidR="00A11037" w:rsidRPr="00073171">
        <w:rPr>
          <w:color w:val="000000" w:themeColor="text1"/>
        </w:rPr>
        <w:t>”</w:t>
      </w:r>
    </w:p>
    <w:p w14:paraId="12280818" w14:textId="5D6C469B" w:rsidR="00345903" w:rsidRDefault="00C0559F" w:rsidP="00345903">
      <w:pPr>
        <w:spacing w:line="480" w:lineRule="auto"/>
        <w:ind w:firstLine="720"/>
        <w:rPr>
          <w:color w:val="000000" w:themeColor="text1"/>
        </w:rPr>
      </w:pPr>
      <w:r w:rsidRPr="00073171">
        <w:rPr>
          <w:b/>
          <w:bCs/>
          <w:color w:val="000000" w:themeColor="text1"/>
        </w:rPr>
        <w:t>Week 5: The discoverer.</w:t>
      </w:r>
      <w:r w:rsidRPr="00073171">
        <w:rPr>
          <w:color w:val="000000" w:themeColor="text1"/>
        </w:rPr>
        <w:t xml:space="preserve"> While the advisor represents the ongoing flow of mental experience, and the </w:t>
      </w:r>
      <w:r w:rsidRPr="00073171">
        <w:rPr>
          <w:i/>
          <w:iCs/>
          <w:color w:val="000000" w:themeColor="text1"/>
        </w:rPr>
        <w:t>noticer</w:t>
      </w:r>
      <w:r w:rsidRPr="00073171">
        <w:rPr>
          <w:color w:val="000000" w:themeColor="text1"/>
        </w:rPr>
        <w:t xml:space="preserve"> a means of stepping back and observing this process objectively, the </w:t>
      </w:r>
      <w:r w:rsidRPr="00073171">
        <w:rPr>
          <w:i/>
          <w:iCs/>
          <w:color w:val="000000" w:themeColor="text1"/>
        </w:rPr>
        <w:t>discoverer</w:t>
      </w:r>
      <w:r w:rsidRPr="00073171">
        <w:rPr>
          <w:color w:val="000000" w:themeColor="text1"/>
        </w:rPr>
        <w:t xml:space="preserve"> embodies a healthy sense of curiosity and risk-taking. We invited students to reflect on moments in their lives when they had taken personal risks or followed a new pursuit, and what the consequences were.</w:t>
      </w:r>
      <w:r w:rsidR="00345903" w:rsidRPr="00345903">
        <w:rPr>
          <w:color w:val="000000" w:themeColor="text1"/>
        </w:rPr>
        <w:t xml:space="preserve"> </w:t>
      </w:r>
      <w:r w:rsidR="00345903" w:rsidRPr="00073171">
        <w:rPr>
          <w:color w:val="000000" w:themeColor="text1"/>
        </w:rPr>
        <w:t xml:space="preserve">In addition to </w:t>
      </w:r>
      <w:r w:rsidR="00345903">
        <w:rPr>
          <w:color w:val="000000" w:themeColor="text1"/>
        </w:rPr>
        <w:t>reflection</w:t>
      </w:r>
      <w:r w:rsidR="00345903" w:rsidRPr="00073171">
        <w:rPr>
          <w:color w:val="000000" w:themeColor="text1"/>
        </w:rPr>
        <w:t xml:space="preserve">, we asked students to spend time looking over their personal photos, videos, and social media posts to “spot” moments when they might </w:t>
      </w:r>
      <w:r w:rsidR="00345903" w:rsidRPr="00073171">
        <w:rPr>
          <w:color w:val="000000" w:themeColor="text1"/>
        </w:rPr>
        <w:lastRenderedPageBreak/>
        <w:t>have discovered something new about themselves.</w:t>
      </w:r>
      <w:r w:rsidRPr="00073171">
        <w:rPr>
          <w:color w:val="000000" w:themeColor="text1"/>
        </w:rPr>
        <w:t xml:space="preserve"> </w:t>
      </w:r>
      <w:r w:rsidR="00DA3E2B">
        <w:rPr>
          <w:color w:val="000000" w:themeColor="text1"/>
        </w:rPr>
        <w:t xml:space="preserve">Students were then asked to write down </w:t>
      </w:r>
      <w:r w:rsidR="00A051FD">
        <w:rPr>
          <w:color w:val="000000" w:themeColor="text1"/>
        </w:rPr>
        <w:t xml:space="preserve">a few of </w:t>
      </w:r>
      <w:r w:rsidR="00DA3E2B">
        <w:rPr>
          <w:color w:val="000000" w:themeColor="text1"/>
        </w:rPr>
        <w:t xml:space="preserve">these moments (or type them into their phones/laptops) and to list the </w:t>
      </w:r>
      <w:r w:rsidR="007D4C34">
        <w:rPr>
          <w:color w:val="000000" w:themeColor="text1"/>
        </w:rPr>
        <w:t xml:space="preserve">internal and external results (e.g., </w:t>
      </w:r>
      <w:r w:rsidR="0098218E">
        <w:rPr>
          <w:color w:val="000000" w:themeColor="text1"/>
        </w:rPr>
        <w:t>“</w:t>
      </w:r>
      <w:r w:rsidR="007D4C34">
        <w:rPr>
          <w:i/>
          <w:iCs/>
          <w:color w:val="000000" w:themeColor="text1"/>
        </w:rPr>
        <w:t xml:space="preserve">How did you feel </w:t>
      </w:r>
      <w:r w:rsidR="00A051FD">
        <w:rPr>
          <w:i/>
          <w:iCs/>
          <w:color w:val="000000" w:themeColor="text1"/>
        </w:rPr>
        <w:t xml:space="preserve">right </w:t>
      </w:r>
      <w:r w:rsidR="007D4C34">
        <w:rPr>
          <w:i/>
          <w:iCs/>
          <w:color w:val="000000" w:themeColor="text1"/>
        </w:rPr>
        <w:t xml:space="preserve">after you tried </w:t>
      </w:r>
      <w:r w:rsidR="00A051FD">
        <w:rPr>
          <w:i/>
          <w:iCs/>
          <w:color w:val="000000" w:themeColor="text1"/>
        </w:rPr>
        <w:t>this new thing</w:t>
      </w:r>
      <w:r w:rsidR="007D4C34">
        <w:rPr>
          <w:i/>
          <w:iCs/>
          <w:color w:val="000000" w:themeColor="text1"/>
        </w:rPr>
        <w:t>?</w:t>
      </w:r>
      <w:r w:rsidR="0098218E">
        <w:rPr>
          <w:i/>
          <w:iCs/>
          <w:color w:val="000000" w:themeColor="text1"/>
        </w:rPr>
        <w:t>”</w:t>
      </w:r>
      <w:r w:rsidR="007D4C34" w:rsidRPr="0098218E">
        <w:rPr>
          <w:color w:val="000000" w:themeColor="text1"/>
        </w:rPr>
        <w:t>)</w:t>
      </w:r>
      <w:r w:rsidR="003A619B" w:rsidRPr="0098218E">
        <w:rPr>
          <w:color w:val="000000" w:themeColor="text1"/>
        </w:rPr>
        <w:t xml:space="preserve"> </w:t>
      </w:r>
      <w:r w:rsidR="003A619B">
        <w:rPr>
          <w:color w:val="000000" w:themeColor="text1"/>
        </w:rPr>
        <w:t xml:space="preserve">Students shared their personal moments and </w:t>
      </w:r>
      <w:r w:rsidR="003679B2">
        <w:rPr>
          <w:color w:val="000000" w:themeColor="text1"/>
        </w:rPr>
        <w:t>discussed what the pros and cons of trying something new with their anxiety were.</w:t>
      </w:r>
    </w:p>
    <w:p w14:paraId="519D2F8C" w14:textId="3EDD76DA" w:rsidR="00C0559F" w:rsidRPr="003678C8" w:rsidRDefault="00C0559F" w:rsidP="00C0559F">
      <w:pPr>
        <w:spacing w:line="480" w:lineRule="auto"/>
        <w:ind w:firstLine="720"/>
        <w:rPr>
          <w:color w:val="000000" w:themeColor="text1"/>
        </w:rPr>
      </w:pPr>
      <w:r w:rsidRPr="00073171">
        <w:rPr>
          <w:color w:val="000000" w:themeColor="text1"/>
        </w:rPr>
        <w:t xml:space="preserve">We also led the group through a “strength spotting” exercise, in which pairs of students chose from a deck of cards </w:t>
      </w:r>
      <w:r w:rsidR="00A576BB" w:rsidRPr="00073171">
        <w:rPr>
          <w:color w:val="000000" w:themeColor="text1"/>
        </w:rPr>
        <w:t xml:space="preserve">containing </w:t>
      </w:r>
      <w:r w:rsidRPr="00073171">
        <w:rPr>
          <w:color w:val="000000" w:themeColor="text1"/>
        </w:rPr>
        <w:t xml:space="preserve">personal qualities that </w:t>
      </w:r>
      <w:r w:rsidR="00A576BB" w:rsidRPr="00073171">
        <w:rPr>
          <w:color w:val="000000" w:themeColor="text1"/>
        </w:rPr>
        <w:t xml:space="preserve">may have </w:t>
      </w:r>
      <w:r w:rsidRPr="00073171">
        <w:rPr>
          <w:color w:val="000000" w:themeColor="text1"/>
        </w:rPr>
        <w:t>helped them persist through life challenges</w:t>
      </w:r>
      <w:r w:rsidR="0007705C">
        <w:rPr>
          <w:color w:val="000000" w:themeColor="text1"/>
        </w:rPr>
        <w:t xml:space="preserve"> or trying something new</w:t>
      </w:r>
      <w:r w:rsidR="00523A43">
        <w:rPr>
          <w:color w:val="000000" w:themeColor="text1"/>
        </w:rPr>
        <w:t xml:space="preserve"> (e.g., teamwork, being grateful, humor)</w:t>
      </w:r>
      <w:r w:rsidR="00114EC7" w:rsidRPr="00073171">
        <w:rPr>
          <w:color w:val="000000" w:themeColor="text1"/>
        </w:rPr>
        <w:t>.</w:t>
      </w:r>
      <w:r w:rsidR="005B3E51">
        <w:rPr>
          <w:color w:val="000000" w:themeColor="text1"/>
        </w:rPr>
        <w:t xml:space="preserve"> Students took turns sharing the strengths that they chose with each other and how they have relied on their personal strengths during difficult times, particularly related to anxiety.</w:t>
      </w:r>
      <w:r w:rsidR="00114EC7" w:rsidRPr="00073171">
        <w:rPr>
          <w:color w:val="000000" w:themeColor="text1"/>
        </w:rPr>
        <w:t xml:space="preserve"> Pairs also took turns noting </w:t>
      </w:r>
      <w:r w:rsidRPr="00073171">
        <w:rPr>
          <w:color w:val="000000" w:themeColor="text1"/>
        </w:rPr>
        <w:t>the strengths they observed in their partner.</w:t>
      </w:r>
      <w:r w:rsidR="005B3E51">
        <w:rPr>
          <w:color w:val="000000" w:themeColor="text1"/>
        </w:rPr>
        <w:t xml:space="preserve"> The students then returned to the larger group to discuss the experience (e.g., </w:t>
      </w:r>
      <w:r w:rsidR="00625705">
        <w:rPr>
          <w:color w:val="000000" w:themeColor="text1"/>
        </w:rPr>
        <w:t>“</w:t>
      </w:r>
      <w:r w:rsidR="005B3E51">
        <w:rPr>
          <w:i/>
          <w:iCs/>
          <w:color w:val="000000" w:themeColor="text1"/>
        </w:rPr>
        <w:t>How did it feel to select a personal strength</w:t>
      </w:r>
      <w:r w:rsidR="00625705">
        <w:rPr>
          <w:i/>
          <w:iCs/>
          <w:color w:val="000000" w:themeColor="text1"/>
        </w:rPr>
        <w:t>?</w:t>
      </w:r>
      <w:r w:rsidR="00625705">
        <w:rPr>
          <w:color w:val="000000" w:themeColor="text1"/>
        </w:rPr>
        <w:t>”,</w:t>
      </w:r>
      <w:r w:rsidR="005B3E51">
        <w:rPr>
          <w:i/>
          <w:iCs/>
          <w:color w:val="000000" w:themeColor="text1"/>
        </w:rPr>
        <w:t xml:space="preserve"> </w:t>
      </w:r>
      <w:r w:rsidR="00625705">
        <w:rPr>
          <w:color w:val="000000" w:themeColor="text1"/>
        </w:rPr>
        <w:t>“</w:t>
      </w:r>
      <w:r w:rsidR="005B3E51">
        <w:rPr>
          <w:i/>
          <w:iCs/>
          <w:color w:val="000000" w:themeColor="text1"/>
        </w:rPr>
        <w:t>How can you use the strengths that you or your partner chose when anxiety is big?</w:t>
      </w:r>
      <w:r w:rsidR="00625705">
        <w:rPr>
          <w:color w:val="000000" w:themeColor="text1"/>
        </w:rPr>
        <w:t>”</w:t>
      </w:r>
      <w:r w:rsidR="005B3E51">
        <w:rPr>
          <w:color w:val="000000" w:themeColor="text1"/>
        </w:rPr>
        <w:t xml:space="preserve">) </w:t>
      </w:r>
      <w:r w:rsidR="003678C8">
        <w:rPr>
          <w:color w:val="000000" w:themeColor="text1"/>
        </w:rPr>
        <w:t xml:space="preserve">Similar to the previous week, this week ended with a discussion on how the discoverer compares to the noticer and the advisor (e.g., </w:t>
      </w:r>
      <w:r w:rsidR="00AF0513">
        <w:rPr>
          <w:color w:val="000000" w:themeColor="text1"/>
        </w:rPr>
        <w:t>“</w:t>
      </w:r>
      <w:r w:rsidR="003678C8">
        <w:rPr>
          <w:i/>
          <w:iCs/>
          <w:color w:val="000000" w:themeColor="text1"/>
        </w:rPr>
        <w:t>What does the discoverer offer you that the advisor and noticer do not?</w:t>
      </w:r>
      <w:r w:rsidR="00AF0513">
        <w:rPr>
          <w:color w:val="000000" w:themeColor="text1"/>
        </w:rPr>
        <w:t>”</w:t>
      </w:r>
      <w:r w:rsidR="003678C8">
        <w:rPr>
          <w:color w:val="000000" w:themeColor="text1"/>
        </w:rPr>
        <w:t>)</w:t>
      </w:r>
    </w:p>
    <w:p w14:paraId="1635FBC8" w14:textId="3AD26301" w:rsidR="00C0559F" w:rsidRPr="00073171" w:rsidRDefault="00C0559F" w:rsidP="00C0559F">
      <w:pPr>
        <w:spacing w:line="480" w:lineRule="auto"/>
        <w:ind w:firstLine="720"/>
        <w:rPr>
          <w:color w:val="000000" w:themeColor="text1"/>
        </w:rPr>
      </w:pPr>
      <w:r w:rsidRPr="00073171">
        <w:rPr>
          <w:b/>
          <w:bCs/>
          <w:color w:val="000000" w:themeColor="text1"/>
        </w:rPr>
        <w:t>Example behavioral commitment:</w:t>
      </w:r>
      <w:r w:rsidRPr="00073171">
        <w:rPr>
          <w:color w:val="000000" w:themeColor="text1"/>
        </w:rPr>
        <w:t xml:space="preserve"> </w:t>
      </w:r>
      <w:r w:rsidR="00362452" w:rsidRPr="00073171">
        <w:rPr>
          <w:color w:val="000000" w:themeColor="text1"/>
        </w:rPr>
        <w:t>“</w:t>
      </w:r>
      <w:r w:rsidRPr="00073171">
        <w:rPr>
          <w:color w:val="000000" w:themeColor="text1"/>
        </w:rPr>
        <w:t xml:space="preserve">I will try something new this week by asking a friend to the Sadie Hawkins dance. Instead of listening to my advisor tell me </w:t>
      </w:r>
      <w:r w:rsidR="00362452" w:rsidRPr="00073171">
        <w:rPr>
          <w:color w:val="000000" w:themeColor="text1"/>
        </w:rPr>
        <w:t>‘</w:t>
      </w:r>
      <w:r w:rsidR="00463C36" w:rsidRPr="00073171">
        <w:rPr>
          <w:color w:val="000000" w:themeColor="text1"/>
        </w:rPr>
        <w:t>No</w:t>
      </w:r>
      <w:r w:rsidRPr="00073171">
        <w:rPr>
          <w:color w:val="000000" w:themeColor="text1"/>
        </w:rPr>
        <w:t>,</w:t>
      </w:r>
      <w:r w:rsidR="00362452" w:rsidRPr="00073171">
        <w:rPr>
          <w:color w:val="000000" w:themeColor="text1"/>
        </w:rPr>
        <w:t>’</w:t>
      </w:r>
      <w:r w:rsidRPr="00073171">
        <w:rPr>
          <w:color w:val="000000" w:themeColor="text1"/>
        </w:rPr>
        <w:t xml:space="preserve"> I will follow my discoverer and reflect afterwards on whether I</w:t>
      </w:r>
      <w:r w:rsidR="00F069DF" w:rsidRPr="00073171">
        <w:rPr>
          <w:color w:val="000000" w:themeColor="text1"/>
        </w:rPr>
        <w:t xml:space="preserve"> am</w:t>
      </w:r>
      <w:r w:rsidRPr="00073171">
        <w:rPr>
          <w:color w:val="000000" w:themeColor="text1"/>
        </w:rPr>
        <w:t xml:space="preserve"> glad that I tried this.</w:t>
      </w:r>
      <w:r w:rsidR="00362452" w:rsidRPr="00073171">
        <w:rPr>
          <w:color w:val="000000" w:themeColor="text1"/>
        </w:rPr>
        <w:t>”</w:t>
      </w:r>
    </w:p>
    <w:p w14:paraId="26062657" w14:textId="56C4B428" w:rsidR="00234839" w:rsidRDefault="00C0559F" w:rsidP="00C0559F">
      <w:pPr>
        <w:spacing w:line="480" w:lineRule="auto"/>
        <w:ind w:firstLine="720"/>
        <w:rPr>
          <w:color w:val="000000" w:themeColor="text1"/>
        </w:rPr>
      </w:pPr>
      <w:r w:rsidRPr="00073171">
        <w:rPr>
          <w:b/>
          <w:bCs/>
          <w:color w:val="000000" w:themeColor="text1"/>
        </w:rPr>
        <w:t>Week 6: Values to action.</w:t>
      </w:r>
      <w:r w:rsidRPr="00073171">
        <w:rPr>
          <w:color w:val="000000" w:themeColor="text1"/>
        </w:rPr>
        <w:t xml:space="preserve"> To help students translate DNA-V concepts into actionable skills, we taught the practice of BOLD: </w:t>
      </w:r>
      <w:r w:rsidR="00463C36" w:rsidRPr="00073171">
        <w:rPr>
          <w:color w:val="000000" w:themeColor="text1"/>
        </w:rPr>
        <w:t>B</w:t>
      </w:r>
      <w:r w:rsidRPr="00073171">
        <w:rPr>
          <w:color w:val="000000" w:themeColor="text1"/>
        </w:rPr>
        <w:t xml:space="preserve">reathing deeply, </w:t>
      </w:r>
      <w:r w:rsidR="00463C36" w:rsidRPr="00073171">
        <w:rPr>
          <w:color w:val="000000" w:themeColor="text1"/>
        </w:rPr>
        <w:t>O</w:t>
      </w:r>
      <w:r w:rsidRPr="00073171">
        <w:rPr>
          <w:color w:val="000000" w:themeColor="text1"/>
        </w:rPr>
        <w:t xml:space="preserve">bserving, </w:t>
      </w:r>
      <w:r w:rsidR="00463C36" w:rsidRPr="00073171">
        <w:rPr>
          <w:color w:val="000000" w:themeColor="text1"/>
        </w:rPr>
        <w:t>L</w:t>
      </w:r>
      <w:r w:rsidRPr="00073171">
        <w:rPr>
          <w:color w:val="000000" w:themeColor="text1"/>
        </w:rPr>
        <w:t xml:space="preserve">istening to values, and </w:t>
      </w:r>
      <w:r w:rsidR="00463C36" w:rsidRPr="00073171">
        <w:rPr>
          <w:color w:val="000000" w:themeColor="text1"/>
        </w:rPr>
        <w:t>D</w:t>
      </w:r>
      <w:r w:rsidRPr="00073171">
        <w:rPr>
          <w:color w:val="000000" w:themeColor="text1"/>
        </w:rPr>
        <w:t xml:space="preserve">eciding on actions. </w:t>
      </w:r>
      <w:r w:rsidR="00234839">
        <w:rPr>
          <w:color w:val="000000" w:themeColor="text1"/>
        </w:rPr>
        <w:t>Students were shown an introductory video on BOLD (</w:t>
      </w:r>
      <w:r w:rsidR="00D36F4C">
        <w:rPr>
          <w:color w:val="000000" w:themeColor="text1"/>
        </w:rPr>
        <w:t>Hayes, 2016</w:t>
      </w:r>
      <w:r w:rsidR="00234839">
        <w:rPr>
          <w:color w:val="000000" w:themeColor="text1"/>
        </w:rPr>
        <w:t>) and then reviewed each step via an experiential, guided practice:</w:t>
      </w:r>
    </w:p>
    <w:p w14:paraId="05B266C9" w14:textId="0A9383CE" w:rsidR="00234839" w:rsidRDefault="00234839" w:rsidP="00C0559F">
      <w:pPr>
        <w:spacing w:line="480" w:lineRule="auto"/>
        <w:ind w:firstLine="720"/>
        <w:rPr>
          <w:color w:val="000000" w:themeColor="text1"/>
        </w:rPr>
      </w:pPr>
      <w:r>
        <w:rPr>
          <w:i/>
          <w:iCs/>
          <w:color w:val="000000" w:themeColor="text1"/>
        </w:rPr>
        <w:lastRenderedPageBreak/>
        <w:t>First, everybody take a deep Breath. You can close your eyes if you want</w:t>
      </w:r>
      <w:r w:rsidR="00EE5ED7">
        <w:rPr>
          <w:i/>
          <w:iCs/>
          <w:color w:val="000000" w:themeColor="text1"/>
        </w:rPr>
        <w:t>, but you don’t have to.</w:t>
      </w:r>
      <w:r>
        <w:rPr>
          <w:i/>
          <w:iCs/>
          <w:color w:val="000000" w:themeColor="text1"/>
        </w:rPr>
        <w:t xml:space="preserve"> Try to breathe deeply into that balloon in your stomach. Second, take a moment to Observe what is around you. What do you see? Do you hear or smell anything? Now try to Observe what is going on inside you. What feelings are with you right now? What is your advisor saying? Third, Listen to your values. What kind of person do you want to be right now in group? Lastly, Decide what you want to do for the rest of group—what would your best self choose to do?</w:t>
      </w:r>
    </w:p>
    <w:p w14:paraId="145665BC" w14:textId="2CF4E7B9" w:rsidR="007509F2" w:rsidRDefault="00C0559F" w:rsidP="00BF60F5">
      <w:pPr>
        <w:spacing w:line="480" w:lineRule="auto"/>
        <w:ind w:firstLine="720"/>
        <w:rPr>
          <w:color w:val="000000" w:themeColor="text1"/>
        </w:rPr>
      </w:pPr>
      <w:r w:rsidRPr="00073171">
        <w:rPr>
          <w:color w:val="000000" w:themeColor="text1"/>
        </w:rPr>
        <w:t xml:space="preserve">We </w:t>
      </w:r>
      <w:r w:rsidR="00BF60F5">
        <w:rPr>
          <w:color w:val="000000" w:themeColor="text1"/>
        </w:rPr>
        <w:t xml:space="preserve">then </w:t>
      </w:r>
      <w:r w:rsidRPr="00073171">
        <w:rPr>
          <w:color w:val="000000" w:themeColor="text1"/>
        </w:rPr>
        <w:t xml:space="preserve">discussed how the steps of BOLD can be brought to many situations in daily life, especially those which feel emotionally overwhelming. </w:t>
      </w:r>
      <w:r w:rsidR="007509F2">
        <w:rPr>
          <w:color w:val="000000" w:themeColor="text1"/>
        </w:rPr>
        <w:t>Students took turns sharing when they might use BOLD to help them engage in meaningful activities (e.g.,</w:t>
      </w:r>
      <w:r w:rsidR="008352B6">
        <w:rPr>
          <w:color w:val="000000" w:themeColor="text1"/>
        </w:rPr>
        <w:t xml:space="preserve"> </w:t>
      </w:r>
      <w:r w:rsidR="007509F2">
        <w:rPr>
          <w:color w:val="000000" w:themeColor="text1"/>
        </w:rPr>
        <w:t>when responding to an annoying sibling</w:t>
      </w:r>
      <w:r w:rsidR="008352B6">
        <w:rPr>
          <w:color w:val="000000" w:themeColor="text1"/>
        </w:rPr>
        <w:t xml:space="preserve">, when </w:t>
      </w:r>
      <w:r w:rsidR="00D43944">
        <w:rPr>
          <w:color w:val="000000" w:themeColor="text1"/>
        </w:rPr>
        <w:t>applying for a job</w:t>
      </w:r>
      <w:r w:rsidR="007509F2">
        <w:rPr>
          <w:color w:val="000000" w:themeColor="text1"/>
        </w:rPr>
        <w:t xml:space="preserve">). </w:t>
      </w:r>
    </w:p>
    <w:p w14:paraId="3008ED0B" w14:textId="797D19C5" w:rsidR="00C0559F" w:rsidRPr="00073171" w:rsidRDefault="00C0559F" w:rsidP="00BF60F5">
      <w:pPr>
        <w:spacing w:line="480" w:lineRule="auto"/>
        <w:ind w:firstLine="720"/>
        <w:rPr>
          <w:color w:val="000000" w:themeColor="text1"/>
        </w:rPr>
      </w:pPr>
      <w:r w:rsidRPr="00073171">
        <w:rPr>
          <w:color w:val="000000" w:themeColor="text1"/>
        </w:rPr>
        <w:t xml:space="preserve">We </w:t>
      </w:r>
      <w:r w:rsidR="007509F2">
        <w:rPr>
          <w:color w:val="000000" w:themeColor="text1"/>
        </w:rPr>
        <w:t>then asked</w:t>
      </w:r>
      <w:r w:rsidRPr="00073171">
        <w:rPr>
          <w:color w:val="000000" w:themeColor="text1"/>
        </w:rPr>
        <w:t xml:space="preserve"> students</w:t>
      </w:r>
      <w:r w:rsidR="007509F2">
        <w:rPr>
          <w:color w:val="000000" w:themeColor="text1"/>
        </w:rPr>
        <w:t xml:space="preserve"> to</w:t>
      </w:r>
      <w:r w:rsidRPr="00073171">
        <w:rPr>
          <w:color w:val="000000" w:themeColor="text1"/>
        </w:rPr>
        <w:t xml:space="preserve"> </w:t>
      </w:r>
      <w:r w:rsidR="007509F2">
        <w:rPr>
          <w:color w:val="000000" w:themeColor="text1"/>
        </w:rPr>
        <w:t xml:space="preserve">brainstorm some </w:t>
      </w:r>
      <w:r w:rsidR="00DA4BBA" w:rsidRPr="00073171">
        <w:rPr>
          <w:color w:val="000000" w:themeColor="text1"/>
        </w:rPr>
        <w:t>personally meaningful</w:t>
      </w:r>
      <w:r w:rsidRPr="00073171">
        <w:rPr>
          <w:color w:val="000000" w:themeColor="text1"/>
        </w:rPr>
        <w:t xml:space="preserve"> </w:t>
      </w:r>
      <w:r w:rsidR="007509F2">
        <w:rPr>
          <w:color w:val="000000" w:themeColor="text1"/>
        </w:rPr>
        <w:t xml:space="preserve">and specific </w:t>
      </w:r>
      <w:r w:rsidRPr="00073171">
        <w:rPr>
          <w:color w:val="000000" w:themeColor="text1"/>
        </w:rPr>
        <w:t>goals</w:t>
      </w:r>
      <w:r w:rsidR="007509F2">
        <w:rPr>
          <w:color w:val="000000" w:themeColor="text1"/>
        </w:rPr>
        <w:t xml:space="preserve"> </w:t>
      </w:r>
      <w:r w:rsidR="00265625">
        <w:rPr>
          <w:color w:val="000000" w:themeColor="text1"/>
        </w:rPr>
        <w:t xml:space="preserve">(i.e., including where, when, and how the goal will be completed) in the context of </w:t>
      </w:r>
      <w:r w:rsidR="00CC45DB">
        <w:rPr>
          <w:color w:val="000000" w:themeColor="text1"/>
        </w:rPr>
        <w:t xml:space="preserve">using the </w:t>
      </w:r>
      <w:r w:rsidR="00265625" w:rsidRPr="005C0C2D">
        <w:rPr>
          <w:color w:val="000000" w:themeColor="text1"/>
        </w:rPr>
        <w:t>discoverer</w:t>
      </w:r>
      <w:r w:rsidR="00CC45DB">
        <w:rPr>
          <w:color w:val="000000" w:themeColor="text1"/>
        </w:rPr>
        <w:t xml:space="preserve"> with their anxiety</w:t>
      </w:r>
      <w:r w:rsidR="00265625">
        <w:rPr>
          <w:color w:val="000000" w:themeColor="text1"/>
        </w:rPr>
        <w:t xml:space="preserve"> </w:t>
      </w:r>
      <w:r w:rsidR="007509F2">
        <w:rPr>
          <w:color w:val="000000" w:themeColor="text1"/>
        </w:rPr>
        <w:t xml:space="preserve">(e.g., </w:t>
      </w:r>
      <w:r w:rsidR="005C0C2D">
        <w:rPr>
          <w:color w:val="000000" w:themeColor="text1"/>
        </w:rPr>
        <w:t>“</w:t>
      </w:r>
      <w:r w:rsidR="00265625">
        <w:rPr>
          <w:i/>
          <w:iCs/>
          <w:color w:val="000000" w:themeColor="text1"/>
        </w:rPr>
        <w:t>How might this goal help you try something new</w:t>
      </w:r>
      <w:r w:rsidR="00CC45DB">
        <w:rPr>
          <w:i/>
          <w:iCs/>
          <w:color w:val="000000" w:themeColor="text1"/>
        </w:rPr>
        <w:t xml:space="preserve"> with anxiety</w:t>
      </w:r>
      <w:r w:rsidR="00265625">
        <w:rPr>
          <w:i/>
          <w:iCs/>
          <w:color w:val="000000" w:themeColor="text1"/>
        </w:rPr>
        <w:t>?</w:t>
      </w:r>
      <w:r w:rsidR="005C0C2D">
        <w:rPr>
          <w:color w:val="000000" w:themeColor="text1"/>
        </w:rPr>
        <w:t>”</w:t>
      </w:r>
      <w:r w:rsidR="007509F2">
        <w:rPr>
          <w:color w:val="000000" w:themeColor="text1"/>
        </w:rPr>
        <w:t xml:space="preserve">). </w:t>
      </w:r>
      <w:r w:rsidR="001F5016">
        <w:rPr>
          <w:color w:val="000000" w:themeColor="text1"/>
        </w:rPr>
        <w:t xml:space="preserve">Students were prompted to consider benefits (e.g., </w:t>
      </w:r>
      <w:r w:rsidR="005C0C2D">
        <w:rPr>
          <w:color w:val="000000" w:themeColor="text1"/>
        </w:rPr>
        <w:t>“</w:t>
      </w:r>
      <w:r w:rsidR="001F5016">
        <w:rPr>
          <w:i/>
          <w:iCs/>
          <w:color w:val="000000" w:themeColor="text1"/>
        </w:rPr>
        <w:t>How does your goal link to what is important to you?</w:t>
      </w:r>
      <w:r w:rsidR="005C0C2D">
        <w:rPr>
          <w:color w:val="000000" w:themeColor="text1"/>
        </w:rPr>
        <w:t>”,</w:t>
      </w:r>
      <w:r w:rsidR="001F5016">
        <w:rPr>
          <w:i/>
          <w:iCs/>
          <w:color w:val="000000" w:themeColor="text1"/>
        </w:rPr>
        <w:t xml:space="preserve"> </w:t>
      </w:r>
      <w:r w:rsidR="005C0C2D">
        <w:rPr>
          <w:color w:val="000000" w:themeColor="text1"/>
        </w:rPr>
        <w:t>“</w:t>
      </w:r>
      <w:r w:rsidR="001F5016">
        <w:rPr>
          <w:i/>
          <w:iCs/>
          <w:color w:val="000000" w:themeColor="text1"/>
        </w:rPr>
        <w:t>What would completing this goal mean to you?</w:t>
      </w:r>
      <w:r w:rsidR="005C0C2D">
        <w:rPr>
          <w:color w:val="000000" w:themeColor="text1"/>
        </w:rPr>
        <w:t>”</w:t>
      </w:r>
      <w:r w:rsidR="001F5016">
        <w:rPr>
          <w:color w:val="000000" w:themeColor="text1"/>
        </w:rPr>
        <w:t xml:space="preserve">) and barriers (e.g., </w:t>
      </w:r>
      <w:r w:rsidR="005C0C2D">
        <w:rPr>
          <w:color w:val="000000" w:themeColor="text1"/>
        </w:rPr>
        <w:t>“</w:t>
      </w:r>
      <w:r w:rsidR="001F5016">
        <w:rPr>
          <w:i/>
          <w:iCs/>
          <w:color w:val="000000" w:themeColor="text1"/>
        </w:rPr>
        <w:t>What might get in the way of you achieving this goal?</w:t>
      </w:r>
      <w:r w:rsidR="005C0C2D">
        <w:rPr>
          <w:color w:val="000000" w:themeColor="text1"/>
        </w:rPr>
        <w:t>”</w:t>
      </w:r>
      <w:r w:rsidR="001F5016">
        <w:rPr>
          <w:color w:val="000000" w:themeColor="text1"/>
        </w:rPr>
        <w:t xml:space="preserve">) of their chosen goals. We also encouraged students to brainstorm how they would prepare for the barriers and opportunities related to their goal (e.g., </w:t>
      </w:r>
      <w:r w:rsidR="0027117C">
        <w:rPr>
          <w:color w:val="000000" w:themeColor="text1"/>
        </w:rPr>
        <w:t>“</w:t>
      </w:r>
      <w:r w:rsidR="00D975D8">
        <w:rPr>
          <w:i/>
          <w:iCs/>
          <w:color w:val="000000" w:themeColor="text1"/>
        </w:rPr>
        <w:t>When do you think a good time to complete this goal would be?</w:t>
      </w:r>
      <w:r w:rsidR="0027117C">
        <w:rPr>
          <w:color w:val="000000" w:themeColor="text1"/>
        </w:rPr>
        <w:t xml:space="preserve">”, </w:t>
      </w:r>
      <w:r w:rsidR="00D975D8">
        <w:rPr>
          <w:i/>
          <w:iCs/>
          <w:color w:val="000000" w:themeColor="text1"/>
        </w:rPr>
        <w:t xml:space="preserve"> </w:t>
      </w:r>
      <w:r w:rsidR="0027117C">
        <w:rPr>
          <w:color w:val="000000" w:themeColor="text1"/>
        </w:rPr>
        <w:t>“</w:t>
      </w:r>
      <w:r w:rsidR="00D975D8">
        <w:rPr>
          <w:i/>
          <w:iCs/>
          <w:color w:val="000000" w:themeColor="text1"/>
        </w:rPr>
        <w:t>Have you had a chance to complete this goal already?</w:t>
      </w:r>
      <w:r w:rsidR="0027117C">
        <w:rPr>
          <w:color w:val="000000" w:themeColor="text1"/>
        </w:rPr>
        <w:t>”</w:t>
      </w:r>
      <w:r w:rsidR="00D975D8">
        <w:rPr>
          <w:color w:val="000000" w:themeColor="text1"/>
        </w:rPr>
        <w:t xml:space="preserve">). Group </w:t>
      </w:r>
      <w:r w:rsidR="004B28E6">
        <w:rPr>
          <w:color w:val="000000" w:themeColor="text1"/>
        </w:rPr>
        <w:t xml:space="preserve">members </w:t>
      </w:r>
      <w:r w:rsidR="00D975D8">
        <w:rPr>
          <w:color w:val="000000" w:themeColor="text1"/>
        </w:rPr>
        <w:t>also</w:t>
      </w:r>
      <w:r w:rsidRPr="00073171">
        <w:rPr>
          <w:color w:val="000000" w:themeColor="text1"/>
        </w:rPr>
        <w:t xml:space="preserve"> </w:t>
      </w:r>
      <w:r w:rsidR="00D975D8">
        <w:rPr>
          <w:color w:val="000000" w:themeColor="text1"/>
        </w:rPr>
        <w:t>elicited</w:t>
      </w:r>
      <w:r w:rsidR="004B28E6">
        <w:rPr>
          <w:color w:val="000000" w:themeColor="text1"/>
        </w:rPr>
        <w:t xml:space="preserve"> and shared</w:t>
      </w:r>
      <w:r w:rsidR="00D975D8">
        <w:rPr>
          <w:color w:val="000000" w:themeColor="text1"/>
        </w:rPr>
        <w:t xml:space="preserve"> </w:t>
      </w:r>
      <w:r w:rsidRPr="00073171">
        <w:rPr>
          <w:color w:val="000000" w:themeColor="text1"/>
        </w:rPr>
        <w:t xml:space="preserve">feedback from </w:t>
      </w:r>
      <w:r w:rsidR="004B28E6">
        <w:rPr>
          <w:color w:val="000000" w:themeColor="text1"/>
        </w:rPr>
        <w:t>each other</w:t>
      </w:r>
      <w:r w:rsidRPr="00073171">
        <w:rPr>
          <w:color w:val="000000" w:themeColor="text1"/>
        </w:rPr>
        <w:t xml:space="preserve"> for how to break </w:t>
      </w:r>
      <w:r w:rsidR="00D975D8">
        <w:rPr>
          <w:color w:val="000000" w:themeColor="text1"/>
        </w:rPr>
        <w:t>goal</w:t>
      </w:r>
      <w:r w:rsidR="00B37541">
        <w:rPr>
          <w:color w:val="000000" w:themeColor="text1"/>
        </w:rPr>
        <w:t xml:space="preserve">s </w:t>
      </w:r>
      <w:r w:rsidRPr="00073171">
        <w:rPr>
          <w:color w:val="000000" w:themeColor="text1"/>
        </w:rPr>
        <w:t>down into tangible steps</w:t>
      </w:r>
      <w:r w:rsidR="00D975D8">
        <w:rPr>
          <w:color w:val="000000" w:themeColor="text1"/>
        </w:rPr>
        <w:t>.</w:t>
      </w:r>
    </w:p>
    <w:p w14:paraId="617A7A1D" w14:textId="4FE014A5" w:rsidR="00C0559F" w:rsidRPr="00073171" w:rsidRDefault="00C0559F" w:rsidP="00C0559F">
      <w:pPr>
        <w:spacing w:line="480" w:lineRule="auto"/>
        <w:ind w:firstLine="720"/>
        <w:rPr>
          <w:color w:val="000000" w:themeColor="text1"/>
        </w:rPr>
      </w:pPr>
      <w:r w:rsidRPr="00073171">
        <w:rPr>
          <w:b/>
          <w:bCs/>
          <w:color w:val="000000" w:themeColor="text1"/>
        </w:rPr>
        <w:t>Example behavioral commitment:</w:t>
      </w:r>
      <w:r w:rsidRPr="00073171">
        <w:rPr>
          <w:color w:val="000000" w:themeColor="text1"/>
        </w:rPr>
        <w:t xml:space="preserve"> </w:t>
      </w:r>
      <w:r w:rsidR="00FD0347" w:rsidRPr="00073171">
        <w:rPr>
          <w:color w:val="000000" w:themeColor="text1"/>
        </w:rPr>
        <w:t>“</w:t>
      </w:r>
      <w:r w:rsidRPr="00073171">
        <w:rPr>
          <w:color w:val="000000" w:themeColor="text1"/>
        </w:rPr>
        <w:t xml:space="preserve">I will practice the BOLD skill when I feel conflicted about whether to spend time at home with my grandparents or go out with my friends. </w:t>
      </w:r>
      <w:r w:rsidR="001E2968" w:rsidRPr="00073171">
        <w:rPr>
          <w:color w:val="000000" w:themeColor="text1"/>
        </w:rPr>
        <w:lastRenderedPageBreak/>
        <w:t>Because</w:t>
      </w:r>
      <w:r w:rsidRPr="00073171">
        <w:rPr>
          <w:color w:val="000000" w:themeColor="text1"/>
        </w:rPr>
        <w:t xml:space="preserve"> I value both, I could use a mindful pause to decide what feels right to choose in the moment.</w:t>
      </w:r>
      <w:r w:rsidR="00FD0347" w:rsidRPr="00073171">
        <w:rPr>
          <w:color w:val="000000" w:themeColor="text1"/>
        </w:rPr>
        <w:t>”</w:t>
      </w:r>
    </w:p>
    <w:p w14:paraId="5611BC7F" w14:textId="51EB2818" w:rsidR="00CA0167" w:rsidRPr="00073171" w:rsidRDefault="00C0559F" w:rsidP="00CA0167">
      <w:pPr>
        <w:spacing w:line="480" w:lineRule="auto"/>
        <w:ind w:firstLine="720"/>
        <w:rPr>
          <w:color w:val="000000" w:themeColor="text1"/>
        </w:rPr>
      </w:pPr>
      <w:r w:rsidRPr="00073171">
        <w:rPr>
          <w:b/>
          <w:bCs/>
          <w:color w:val="000000" w:themeColor="text1"/>
        </w:rPr>
        <w:t>Week 7: Flexible self-view.</w:t>
      </w:r>
      <w:r w:rsidRPr="00073171">
        <w:rPr>
          <w:color w:val="000000" w:themeColor="text1"/>
        </w:rPr>
        <w:t xml:space="preserve"> The skills learned in group thus far may, for many students, be wholly new perspectives on how to view their personal challenges and mental health. DNA-V skills can be seen as comprising an overall perspective on life that is driven by personal meaning and views emotional experiences as ever-changing and flexible in how they are related to. </w:t>
      </w:r>
      <w:r w:rsidR="00310FDE">
        <w:rPr>
          <w:color w:val="000000" w:themeColor="text1"/>
        </w:rPr>
        <w:t xml:space="preserve">We began this week by reviewing all aspects of the DNA-V model, drawing the model </w:t>
      </w:r>
      <w:r w:rsidR="003E0520">
        <w:rPr>
          <w:color w:val="000000" w:themeColor="text1"/>
        </w:rPr>
        <w:t>on</w:t>
      </w:r>
      <w:r w:rsidR="00310FDE">
        <w:rPr>
          <w:color w:val="000000" w:themeColor="text1"/>
        </w:rPr>
        <w:t xml:space="preserve"> </w:t>
      </w:r>
      <w:r w:rsidR="003E0520">
        <w:rPr>
          <w:color w:val="000000" w:themeColor="text1"/>
        </w:rPr>
        <w:t>a white</w:t>
      </w:r>
      <w:r w:rsidR="00310FDE">
        <w:rPr>
          <w:color w:val="000000" w:themeColor="text1"/>
        </w:rPr>
        <w:t xml:space="preserve">board and asking students to describe each character, what skills go with each, and what the overall model can offer them. </w:t>
      </w:r>
      <w:r w:rsidR="00CA0167" w:rsidRPr="00073171">
        <w:rPr>
          <w:color w:val="000000" w:themeColor="text1"/>
        </w:rPr>
        <w:t xml:space="preserve">We also discussed how to move between different characters (e.g., when feeling “stuck” listening to the </w:t>
      </w:r>
      <w:r w:rsidR="00CA0167" w:rsidRPr="00C35D0E">
        <w:rPr>
          <w:color w:val="000000" w:themeColor="text1"/>
        </w:rPr>
        <w:t>advisor, trying</w:t>
      </w:r>
      <w:r w:rsidR="00CA0167" w:rsidRPr="00073171">
        <w:rPr>
          <w:color w:val="000000" w:themeColor="text1"/>
        </w:rPr>
        <w:t xml:space="preserve"> to practice </w:t>
      </w:r>
      <w:r w:rsidR="00C35D0E">
        <w:rPr>
          <w:color w:val="000000" w:themeColor="text1"/>
        </w:rPr>
        <w:t xml:space="preserve">connecting </w:t>
      </w:r>
      <w:r w:rsidR="00902A4A">
        <w:rPr>
          <w:color w:val="000000" w:themeColor="text1"/>
        </w:rPr>
        <w:t>with</w:t>
      </w:r>
      <w:r w:rsidR="00CA0167" w:rsidRPr="00073171">
        <w:rPr>
          <w:color w:val="000000" w:themeColor="text1"/>
        </w:rPr>
        <w:t xml:space="preserve"> the </w:t>
      </w:r>
      <w:r w:rsidR="00CA0167" w:rsidRPr="00C35D0E">
        <w:rPr>
          <w:color w:val="000000" w:themeColor="text1"/>
        </w:rPr>
        <w:t>discoverer t</w:t>
      </w:r>
      <w:r w:rsidR="00CA0167" w:rsidRPr="00073171">
        <w:rPr>
          <w:color w:val="000000" w:themeColor="text1"/>
        </w:rPr>
        <w:t>o try something new</w:t>
      </w:r>
      <w:r w:rsidR="00A60AFB">
        <w:rPr>
          <w:color w:val="000000" w:themeColor="text1"/>
        </w:rPr>
        <w:t xml:space="preserve"> instead</w:t>
      </w:r>
      <w:r w:rsidR="00CA0167" w:rsidRPr="00073171">
        <w:rPr>
          <w:color w:val="000000" w:themeColor="text1"/>
        </w:rPr>
        <w:t>).</w:t>
      </w:r>
    </w:p>
    <w:p w14:paraId="6BDBB201" w14:textId="01793D61" w:rsidR="001A348E" w:rsidRDefault="00310FDE" w:rsidP="00C0559F">
      <w:pPr>
        <w:spacing w:line="480" w:lineRule="auto"/>
        <w:ind w:firstLine="720"/>
        <w:rPr>
          <w:color w:val="000000" w:themeColor="text1"/>
        </w:rPr>
      </w:pPr>
      <w:r>
        <w:rPr>
          <w:color w:val="000000" w:themeColor="text1"/>
        </w:rPr>
        <w:t>We then</w:t>
      </w:r>
      <w:r w:rsidR="00C0559F" w:rsidRPr="00073171">
        <w:rPr>
          <w:color w:val="000000" w:themeColor="text1"/>
        </w:rPr>
        <w:t xml:space="preserve"> led students through a series of experiential activities to inhabit</w:t>
      </w:r>
      <w:r>
        <w:rPr>
          <w:color w:val="000000" w:themeColor="text1"/>
        </w:rPr>
        <w:t xml:space="preserve"> a</w:t>
      </w:r>
      <w:r w:rsidR="00C0559F" w:rsidRPr="00073171">
        <w:rPr>
          <w:color w:val="000000" w:themeColor="text1"/>
        </w:rPr>
        <w:t xml:space="preserve"> more flexible stance</w:t>
      </w:r>
      <w:r>
        <w:rPr>
          <w:color w:val="000000" w:themeColor="text1"/>
        </w:rPr>
        <w:t xml:space="preserve"> with </w:t>
      </w:r>
      <w:r w:rsidR="00CF4E67">
        <w:rPr>
          <w:color w:val="000000" w:themeColor="text1"/>
        </w:rPr>
        <w:t xml:space="preserve">their experiences using </w:t>
      </w:r>
      <w:r>
        <w:rPr>
          <w:color w:val="000000" w:themeColor="text1"/>
        </w:rPr>
        <w:t>the DNA-V model</w:t>
      </w:r>
      <w:r w:rsidR="00C0559F" w:rsidRPr="00073171">
        <w:rPr>
          <w:color w:val="000000" w:themeColor="text1"/>
        </w:rPr>
        <w:t xml:space="preserve">. For example, </w:t>
      </w:r>
      <w:r w:rsidR="001A348E">
        <w:rPr>
          <w:color w:val="000000" w:themeColor="text1"/>
        </w:rPr>
        <w:t>group leaders</w:t>
      </w:r>
      <w:r w:rsidR="00C0559F" w:rsidRPr="00073171">
        <w:rPr>
          <w:color w:val="000000" w:themeColor="text1"/>
        </w:rPr>
        <w:t xml:space="preserve"> </w:t>
      </w:r>
      <w:r w:rsidR="001A348E">
        <w:rPr>
          <w:color w:val="000000" w:themeColor="text1"/>
        </w:rPr>
        <w:t xml:space="preserve">guided students to </w:t>
      </w:r>
      <w:r w:rsidR="00C0559F" w:rsidRPr="00073171">
        <w:rPr>
          <w:color w:val="000000" w:themeColor="text1"/>
        </w:rPr>
        <w:t>practice talking about themselves in their third person while describing a personal challenge, including how they were feeling and what thoughts came up</w:t>
      </w:r>
      <w:r w:rsidR="00090ED1">
        <w:rPr>
          <w:color w:val="000000" w:themeColor="text1"/>
        </w:rPr>
        <w:t>:</w:t>
      </w:r>
    </w:p>
    <w:p w14:paraId="3CECF2B5" w14:textId="0836FB4D" w:rsidR="00090ED1" w:rsidRDefault="00090ED1" w:rsidP="00C0559F">
      <w:pPr>
        <w:spacing w:line="480" w:lineRule="auto"/>
        <w:ind w:firstLine="720"/>
        <w:rPr>
          <w:color w:val="000000" w:themeColor="text1"/>
        </w:rPr>
      </w:pPr>
      <w:r>
        <w:rPr>
          <w:i/>
          <w:iCs/>
          <w:color w:val="000000" w:themeColor="text1"/>
        </w:rPr>
        <w:t>Consider a difficult moment or struggle that you are dealing with in your life. Imagine that this event or struggle is unfolding before you almost as if you are watching it from afar or on a television screen.</w:t>
      </w:r>
      <w:r w:rsidR="007055DB">
        <w:rPr>
          <w:i/>
          <w:iCs/>
          <w:color w:val="000000" w:themeColor="text1"/>
        </w:rPr>
        <w:t xml:space="preserve"> Try to really distance yourself from the event; you might even speak in third person. So, if it was me, I might say, “I see Julie struggling to </w:t>
      </w:r>
      <w:r w:rsidR="008B48E3">
        <w:rPr>
          <w:i/>
          <w:iCs/>
          <w:color w:val="000000" w:themeColor="text1"/>
        </w:rPr>
        <w:t>finish</w:t>
      </w:r>
      <w:r w:rsidR="007055DB">
        <w:rPr>
          <w:i/>
          <w:iCs/>
          <w:color w:val="000000" w:themeColor="text1"/>
        </w:rPr>
        <w:t xml:space="preserve"> everything she needs to do at school. I see her worrying that she might not be able to get everything done.” Does that make sense? Now you try it. </w:t>
      </w:r>
      <w:r w:rsidR="00C41983">
        <w:rPr>
          <w:i/>
          <w:iCs/>
          <w:color w:val="000000" w:themeColor="text1"/>
        </w:rPr>
        <w:t>Asking yourself q</w:t>
      </w:r>
      <w:r w:rsidR="007055DB">
        <w:rPr>
          <w:i/>
          <w:iCs/>
          <w:color w:val="000000" w:themeColor="text1"/>
        </w:rPr>
        <w:t>uestions like “Is Julie aware of what she is thinking or feeling?” and “Is Julie doing what is meaningful to her right now?” may help you connect with that observer view.</w:t>
      </w:r>
    </w:p>
    <w:p w14:paraId="48F60E23" w14:textId="7E4F6A63" w:rsidR="00CA0167" w:rsidRDefault="007055DB" w:rsidP="00CA0167">
      <w:pPr>
        <w:spacing w:line="480" w:lineRule="auto"/>
        <w:ind w:firstLine="720"/>
        <w:rPr>
          <w:color w:val="000000" w:themeColor="text1"/>
        </w:rPr>
      </w:pPr>
      <w:r>
        <w:rPr>
          <w:color w:val="000000" w:themeColor="text1"/>
        </w:rPr>
        <w:lastRenderedPageBreak/>
        <w:t xml:space="preserve">Students then discussed the effect of perspective switching and how it might help them with their anxiety and/or </w:t>
      </w:r>
      <w:r w:rsidR="00925474">
        <w:rPr>
          <w:color w:val="000000" w:themeColor="text1"/>
        </w:rPr>
        <w:t>other struggles</w:t>
      </w:r>
      <w:r>
        <w:rPr>
          <w:color w:val="000000" w:themeColor="text1"/>
        </w:rPr>
        <w:t>.</w:t>
      </w:r>
      <w:r w:rsidR="00925474">
        <w:rPr>
          <w:color w:val="000000" w:themeColor="text1"/>
        </w:rPr>
        <w:t xml:space="preserve"> The discussion also focused on how perspective-taking may help shift between characters</w:t>
      </w:r>
      <w:r w:rsidR="00415E76">
        <w:rPr>
          <w:color w:val="000000" w:themeColor="text1"/>
        </w:rPr>
        <w:t xml:space="preserve"> to get </w:t>
      </w:r>
      <w:r w:rsidR="00865E4D">
        <w:rPr>
          <w:color w:val="000000" w:themeColor="text1"/>
        </w:rPr>
        <w:t>“</w:t>
      </w:r>
      <w:r w:rsidR="00415E76">
        <w:rPr>
          <w:color w:val="000000" w:themeColor="text1"/>
        </w:rPr>
        <w:t>unstuck</w:t>
      </w:r>
      <w:r w:rsidR="00925474">
        <w:rPr>
          <w:color w:val="000000" w:themeColor="text1"/>
        </w:rPr>
        <w:t>.</w:t>
      </w:r>
      <w:r w:rsidR="00865E4D">
        <w:rPr>
          <w:color w:val="000000" w:themeColor="text1"/>
        </w:rPr>
        <w:t>”</w:t>
      </w:r>
      <w:r>
        <w:rPr>
          <w:color w:val="000000" w:themeColor="text1"/>
        </w:rPr>
        <w:t xml:space="preserve"> </w:t>
      </w:r>
      <w:r w:rsidR="00CA0167">
        <w:rPr>
          <w:color w:val="000000" w:themeColor="text1"/>
        </w:rPr>
        <w:t>As another exercise, students were encouraged to take another step back and view how they have grown and changed via an artistic activity:</w:t>
      </w:r>
    </w:p>
    <w:p w14:paraId="5D3CCECA" w14:textId="1CEC390D" w:rsidR="00CA0167" w:rsidRDefault="00CA0167" w:rsidP="00CA0167">
      <w:pPr>
        <w:spacing w:line="480" w:lineRule="auto"/>
        <w:ind w:firstLine="720"/>
        <w:rPr>
          <w:color w:val="000000" w:themeColor="text1"/>
        </w:rPr>
      </w:pPr>
      <w:r>
        <w:rPr>
          <w:i/>
          <w:iCs/>
          <w:color w:val="000000" w:themeColor="text1"/>
        </w:rPr>
        <w:t xml:space="preserve">Sometimes we get stuck in how we think about or view ourselves. Take the next few minutes to draw different aspects of your life and experience on a piece of paper. In your drawing, be sure to include </w:t>
      </w:r>
      <w:r w:rsidR="006C6D9F">
        <w:rPr>
          <w:i/>
          <w:iCs/>
          <w:color w:val="000000" w:themeColor="text1"/>
        </w:rPr>
        <w:t xml:space="preserve">multiple </w:t>
      </w:r>
      <w:r>
        <w:rPr>
          <w:i/>
          <w:iCs/>
          <w:color w:val="000000" w:themeColor="text1"/>
        </w:rPr>
        <w:t>roles that you take on in life—maybe things like a sibling or a student—and some negative and positive ways that you view yourself. Draw or express yourself in any way that you want to include these different things.</w:t>
      </w:r>
    </w:p>
    <w:p w14:paraId="0C28CB28" w14:textId="4EFBC956" w:rsidR="00CA0167" w:rsidRDefault="00CA0167" w:rsidP="00CA0167">
      <w:pPr>
        <w:spacing w:line="480" w:lineRule="auto"/>
        <w:ind w:firstLine="720"/>
        <w:rPr>
          <w:color w:val="000000" w:themeColor="text1"/>
        </w:rPr>
      </w:pPr>
      <w:r>
        <w:rPr>
          <w:color w:val="000000" w:themeColor="text1"/>
        </w:rPr>
        <w:t xml:space="preserve">Students subsequently shared their drawings and discussed their experience in viewing their self from different angles. </w:t>
      </w:r>
      <w:r w:rsidR="009E3C4A">
        <w:rPr>
          <w:color w:val="000000" w:themeColor="text1"/>
        </w:rPr>
        <w:t xml:space="preserve">They were then prompted to consider how their self-views may change with time (e.g., </w:t>
      </w:r>
      <w:r w:rsidR="00636F95">
        <w:rPr>
          <w:color w:val="000000" w:themeColor="text1"/>
        </w:rPr>
        <w:t>“</w:t>
      </w:r>
      <w:r w:rsidR="009E3C4A">
        <w:rPr>
          <w:i/>
          <w:iCs/>
          <w:color w:val="000000" w:themeColor="text1"/>
        </w:rPr>
        <w:t>In 10 years, do you think you will have the same roles?</w:t>
      </w:r>
      <w:r w:rsidR="00636F95">
        <w:rPr>
          <w:color w:val="000000" w:themeColor="text1"/>
        </w:rPr>
        <w:t>”,</w:t>
      </w:r>
      <w:r w:rsidR="009E3C4A">
        <w:rPr>
          <w:i/>
          <w:iCs/>
          <w:color w:val="000000" w:themeColor="text1"/>
        </w:rPr>
        <w:t xml:space="preserve"> </w:t>
      </w:r>
      <w:r w:rsidR="00636F95">
        <w:rPr>
          <w:color w:val="000000" w:themeColor="text1"/>
        </w:rPr>
        <w:t>“</w:t>
      </w:r>
      <w:r w:rsidR="009E3C4A">
        <w:rPr>
          <w:i/>
          <w:iCs/>
          <w:color w:val="000000" w:themeColor="text1"/>
        </w:rPr>
        <w:t>Do you think you would draw other aspects about your self?</w:t>
      </w:r>
      <w:r w:rsidR="00636F95">
        <w:rPr>
          <w:color w:val="000000" w:themeColor="text1"/>
        </w:rPr>
        <w:t>”</w:t>
      </w:r>
      <w:r w:rsidR="009E3C4A">
        <w:rPr>
          <w:color w:val="000000" w:themeColor="text1"/>
        </w:rPr>
        <w:t>) Students also discussed how it might be possible to contain all these different roles and positive/negative aspects in themselves</w:t>
      </w:r>
      <w:r w:rsidR="002F50DA">
        <w:rPr>
          <w:color w:val="000000" w:themeColor="text1"/>
        </w:rPr>
        <w:t xml:space="preserve"> at once</w:t>
      </w:r>
      <w:r w:rsidR="00321AE9">
        <w:rPr>
          <w:color w:val="000000" w:themeColor="text1"/>
        </w:rPr>
        <w:t>. For a final discussion, they</w:t>
      </w:r>
      <w:r w:rsidR="009E3C4A">
        <w:rPr>
          <w:color w:val="000000" w:themeColor="text1"/>
        </w:rPr>
        <w:t xml:space="preserve"> were presented with a metaphor to consider their self-</w:t>
      </w:r>
      <w:r w:rsidR="00287555">
        <w:rPr>
          <w:color w:val="000000" w:themeColor="text1"/>
        </w:rPr>
        <w:t>view</w:t>
      </w:r>
      <w:r w:rsidR="009E3C4A">
        <w:rPr>
          <w:color w:val="000000" w:themeColor="text1"/>
        </w:rPr>
        <w:t>:</w:t>
      </w:r>
    </w:p>
    <w:p w14:paraId="653A0BAC" w14:textId="291D6CA7" w:rsidR="002866A8" w:rsidRPr="009E62A2" w:rsidRDefault="009E3C4A" w:rsidP="009E62A2">
      <w:pPr>
        <w:spacing w:line="480" w:lineRule="auto"/>
        <w:ind w:firstLine="720"/>
        <w:rPr>
          <w:color w:val="000000" w:themeColor="text1"/>
        </w:rPr>
      </w:pPr>
      <w:r>
        <w:rPr>
          <w:i/>
          <w:iCs/>
          <w:color w:val="000000" w:themeColor="text1"/>
        </w:rPr>
        <w:t xml:space="preserve">Instead of all these different things you drew, imagine that you are the piece of paper instead. I know that sounds weird but </w:t>
      </w:r>
      <w:r w:rsidR="00646B55">
        <w:rPr>
          <w:i/>
          <w:iCs/>
          <w:color w:val="000000" w:themeColor="text1"/>
        </w:rPr>
        <w:t>stay</w:t>
      </w:r>
      <w:r>
        <w:rPr>
          <w:i/>
          <w:iCs/>
          <w:color w:val="000000" w:themeColor="text1"/>
        </w:rPr>
        <w:t xml:space="preserve"> with me! You are the piece of paper containing all these drawings—positive</w:t>
      </w:r>
      <w:r w:rsidR="00646B55">
        <w:rPr>
          <w:i/>
          <w:iCs/>
          <w:color w:val="000000" w:themeColor="text1"/>
        </w:rPr>
        <w:t xml:space="preserve"> parts</w:t>
      </w:r>
      <w:r>
        <w:rPr>
          <w:i/>
          <w:iCs/>
          <w:color w:val="000000" w:themeColor="text1"/>
        </w:rPr>
        <w:t xml:space="preserve">, </w:t>
      </w:r>
      <w:r w:rsidR="00646B55">
        <w:rPr>
          <w:i/>
          <w:iCs/>
          <w:color w:val="000000" w:themeColor="text1"/>
        </w:rPr>
        <w:t>negative parts</w:t>
      </w:r>
      <w:r>
        <w:rPr>
          <w:i/>
          <w:iCs/>
          <w:color w:val="000000" w:themeColor="text1"/>
        </w:rPr>
        <w:t xml:space="preserve">, and all different hats that you wear. </w:t>
      </w:r>
      <w:r w:rsidR="002866A8">
        <w:rPr>
          <w:i/>
          <w:iCs/>
          <w:color w:val="000000" w:themeColor="text1"/>
        </w:rPr>
        <w:t>Even if you gain a new role, learn something negative about yourself, or connect with a new positive perspective, there is always space on the paper—in you—for th</w:t>
      </w:r>
      <w:r w:rsidR="00A60FA2">
        <w:rPr>
          <w:i/>
          <w:iCs/>
          <w:color w:val="000000" w:themeColor="text1"/>
        </w:rPr>
        <w:t xml:space="preserve">ese </w:t>
      </w:r>
      <w:r w:rsidR="002866A8">
        <w:rPr>
          <w:i/>
          <w:iCs/>
          <w:color w:val="000000" w:themeColor="text1"/>
        </w:rPr>
        <w:t>t</w:t>
      </w:r>
      <w:r w:rsidR="00A60FA2">
        <w:rPr>
          <w:i/>
          <w:iCs/>
          <w:color w:val="000000" w:themeColor="text1"/>
        </w:rPr>
        <w:t>hings</w:t>
      </w:r>
      <w:r w:rsidR="002866A8">
        <w:rPr>
          <w:i/>
          <w:iCs/>
          <w:color w:val="000000" w:themeColor="text1"/>
        </w:rPr>
        <w:t xml:space="preserve">. </w:t>
      </w:r>
      <w:r w:rsidR="009E62A2">
        <w:rPr>
          <w:i/>
          <w:iCs/>
          <w:color w:val="000000" w:themeColor="text1"/>
        </w:rPr>
        <w:t>What does this mean to you?</w:t>
      </w:r>
    </w:p>
    <w:p w14:paraId="7AD0F3B9" w14:textId="121FCFCE" w:rsidR="00C0559F" w:rsidRPr="00073171" w:rsidRDefault="00C0559F" w:rsidP="00C0559F">
      <w:pPr>
        <w:spacing w:line="480" w:lineRule="auto"/>
        <w:ind w:firstLine="720"/>
        <w:rPr>
          <w:color w:val="000000" w:themeColor="text1"/>
        </w:rPr>
      </w:pPr>
      <w:r w:rsidRPr="00073171">
        <w:rPr>
          <w:b/>
          <w:bCs/>
          <w:color w:val="000000" w:themeColor="text1"/>
        </w:rPr>
        <w:lastRenderedPageBreak/>
        <w:t>Example behavioral commitment:</w:t>
      </w:r>
      <w:r w:rsidRPr="00073171">
        <w:rPr>
          <w:color w:val="000000" w:themeColor="text1"/>
        </w:rPr>
        <w:t xml:space="preserve"> </w:t>
      </w:r>
      <w:r w:rsidR="003E273B" w:rsidRPr="00073171">
        <w:rPr>
          <w:color w:val="000000" w:themeColor="text1"/>
        </w:rPr>
        <w:t>“</w:t>
      </w:r>
      <w:r w:rsidRPr="00073171">
        <w:rPr>
          <w:color w:val="000000" w:themeColor="text1"/>
        </w:rPr>
        <w:t>I will practice using my flexible self-view while doing my homework at night. If I notice myself feeling especially stuck, I will imagine watching myself struggle from the outside, like a fly on the wall would see. I will consider what comforting thing I would say to myself in this moment of anxiety.</w:t>
      </w:r>
      <w:r w:rsidR="003E273B" w:rsidRPr="00073171">
        <w:rPr>
          <w:color w:val="000000" w:themeColor="text1"/>
        </w:rPr>
        <w:t>”</w:t>
      </w:r>
    </w:p>
    <w:p w14:paraId="3D22F4A5" w14:textId="47D07E5F" w:rsidR="00C0559F" w:rsidRPr="00073171" w:rsidRDefault="00C0559F" w:rsidP="00C0559F">
      <w:pPr>
        <w:spacing w:line="480" w:lineRule="auto"/>
        <w:ind w:firstLine="720"/>
        <w:rPr>
          <w:color w:val="000000" w:themeColor="text1"/>
        </w:rPr>
      </w:pPr>
      <w:r w:rsidRPr="00073171">
        <w:rPr>
          <w:b/>
          <w:bCs/>
          <w:color w:val="000000" w:themeColor="text1"/>
        </w:rPr>
        <w:t>Week 8: Self-compassion and moving forward.</w:t>
      </w:r>
      <w:r w:rsidRPr="00073171">
        <w:rPr>
          <w:color w:val="000000" w:themeColor="text1"/>
        </w:rPr>
        <w:t xml:space="preserve"> Helping students view their challenges with anxiety in this more flexible manner, ideally, contributes to a stance that is more self-compassionate than the many expectations and roles they inhabit as adolescents. To end treatment, then, we encouraged students to reflect on how they can carry this compassionate view they contacted in therapy into new contexts. </w:t>
      </w:r>
      <w:r w:rsidR="00392E12">
        <w:rPr>
          <w:color w:val="000000" w:themeColor="text1"/>
        </w:rPr>
        <w:t xml:space="preserve">For example, we prompted students to consider questions such as </w:t>
      </w:r>
      <w:r w:rsidR="00392E12">
        <w:rPr>
          <w:i/>
          <w:iCs/>
          <w:color w:val="000000" w:themeColor="text1"/>
        </w:rPr>
        <w:t xml:space="preserve">“How do you treat your best friend? How can you be a good friend to yourself?” </w:t>
      </w:r>
      <w:r w:rsidRPr="00073171">
        <w:rPr>
          <w:color w:val="000000" w:themeColor="text1"/>
        </w:rPr>
        <w:t>We</w:t>
      </w:r>
      <w:r w:rsidR="0041175F">
        <w:rPr>
          <w:color w:val="000000" w:themeColor="text1"/>
        </w:rPr>
        <w:t xml:space="preserve"> encouraged students to share the skills and concepts they found most helpful in the group and what they felt that wanted to practice more. We also</w:t>
      </w:r>
      <w:r w:rsidRPr="00073171">
        <w:rPr>
          <w:color w:val="000000" w:themeColor="text1"/>
        </w:rPr>
        <w:t xml:space="preserve"> emphasized the shared experience, including for the therapists, of living with an </w:t>
      </w:r>
      <w:r w:rsidRPr="00292C72">
        <w:rPr>
          <w:color w:val="000000" w:themeColor="text1"/>
        </w:rPr>
        <w:t>advisor that</w:t>
      </w:r>
      <w:r w:rsidRPr="00073171">
        <w:rPr>
          <w:color w:val="000000" w:themeColor="text1"/>
        </w:rPr>
        <w:t xml:space="preserve"> often increases the suffering inherent in living, and the challenges of “staying on track” in living according to our values.</w:t>
      </w:r>
      <w:r w:rsidR="000E4ABD" w:rsidRPr="00073171">
        <w:rPr>
          <w:color w:val="000000" w:themeColor="text1"/>
        </w:rPr>
        <w:t xml:space="preserve"> Group members then took turns sharing when they planned on using DNA-V in their daily lives over the next few weeks</w:t>
      </w:r>
      <w:r w:rsidR="00A53942" w:rsidRPr="00073171">
        <w:rPr>
          <w:color w:val="000000" w:themeColor="text1"/>
        </w:rPr>
        <w:t>, along with how they could remind themselves of the skills they had learned</w:t>
      </w:r>
      <w:r w:rsidR="005A6457">
        <w:rPr>
          <w:color w:val="000000" w:themeColor="text1"/>
        </w:rPr>
        <w:t xml:space="preserve"> (e.g., setting a reminder on their phone)</w:t>
      </w:r>
      <w:r w:rsidR="00A53942" w:rsidRPr="00073171">
        <w:rPr>
          <w:color w:val="000000" w:themeColor="text1"/>
        </w:rPr>
        <w:t>.</w:t>
      </w:r>
    </w:p>
    <w:p w14:paraId="4632E2C5" w14:textId="66FF6FBB" w:rsidR="00C0559F" w:rsidRPr="00073171" w:rsidRDefault="00C0559F" w:rsidP="00A65639">
      <w:pPr>
        <w:spacing w:line="480" w:lineRule="auto"/>
        <w:ind w:firstLine="720"/>
        <w:rPr>
          <w:color w:val="000000" w:themeColor="text1"/>
        </w:rPr>
      </w:pPr>
      <w:r w:rsidRPr="00073171">
        <w:rPr>
          <w:b/>
          <w:bCs/>
          <w:color w:val="000000" w:themeColor="text1"/>
        </w:rPr>
        <w:t>Example behavioral commitment:</w:t>
      </w:r>
      <w:r w:rsidRPr="00073171">
        <w:rPr>
          <w:color w:val="000000" w:themeColor="text1"/>
        </w:rPr>
        <w:t xml:space="preserve"> </w:t>
      </w:r>
      <w:r w:rsidR="004F0D32" w:rsidRPr="00073171">
        <w:rPr>
          <w:color w:val="000000" w:themeColor="text1"/>
        </w:rPr>
        <w:t>“</w:t>
      </w:r>
      <w:r w:rsidRPr="00073171">
        <w:rPr>
          <w:color w:val="000000" w:themeColor="text1"/>
        </w:rPr>
        <w:t>I am starting to work on college applications this year. In the months ahead, I will reflect on the DNA-V skills I have learned in therapy, and how they can help me navigate these many steps with wisdom and compassion.</w:t>
      </w:r>
      <w:r w:rsidR="004F0D32" w:rsidRPr="00073171">
        <w:rPr>
          <w:color w:val="000000" w:themeColor="text1"/>
        </w:rPr>
        <w:t>”</w:t>
      </w:r>
    </w:p>
    <w:p w14:paraId="5839198C" w14:textId="77777777" w:rsidR="00790B88" w:rsidRPr="00073171" w:rsidRDefault="00790B88" w:rsidP="00433955">
      <w:pPr>
        <w:spacing w:line="480" w:lineRule="auto"/>
        <w:rPr>
          <w:b/>
          <w:color w:val="000000" w:themeColor="text1"/>
        </w:rPr>
      </w:pPr>
      <w:r w:rsidRPr="00073171">
        <w:rPr>
          <w:b/>
          <w:color w:val="000000" w:themeColor="text1"/>
        </w:rPr>
        <w:t>Measures</w:t>
      </w:r>
    </w:p>
    <w:p w14:paraId="2195F191" w14:textId="5A49D524" w:rsidR="00790B88" w:rsidRPr="00073171" w:rsidRDefault="00762950" w:rsidP="00790B88">
      <w:pPr>
        <w:spacing w:line="480" w:lineRule="auto"/>
        <w:rPr>
          <w:color w:val="000000" w:themeColor="text1"/>
        </w:rPr>
      </w:pPr>
      <w:r w:rsidRPr="00073171">
        <w:rPr>
          <w:b/>
          <w:color w:val="000000" w:themeColor="text1"/>
        </w:rPr>
        <w:tab/>
        <w:t>Demographics.</w:t>
      </w:r>
      <w:r w:rsidRPr="00073171">
        <w:rPr>
          <w:color w:val="000000" w:themeColor="text1"/>
        </w:rPr>
        <w:t xml:space="preserve"> </w:t>
      </w:r>
      <w:r w:rsidR="001F2C4F" w:rsidRPr="00073171">
        <w:rPr>
          <w:color w:val="000000" w:themeColor="text1"/>
        </w:rPr>
        <w:t xml:space="preserve">During the </w:t>
      </w:r>
      <w:r w:rsidR="002569C2" w:rsidRPr="00073171">
        <w:rPr>
          <w:color w:val="000000" w:themeColor="text1"/>
        </w:rPr>
        <w:t>eligibility</w:t>
      </w:r>
      <w:r w:rsidR="001F2C4F" w:rsidRPr="00073171">
        <w:rPr>
          <w:color w:val="000000" w:themeColor="text1"/>
        </w:rPr>
        <w:t xml:space="preserve"> questionnaire, information about participant race, ethnicity, age, gender, and previous therapy experiences </w:t>
      </w:r>
      <w:r w:rsidR="00BA371D" w:rsidRPr="00073171">
        <w:rPr>
          <w:color w:val="000000" w:themeColor="text1"/>
        </w:rPr>
        <w:t>was</w:t>
      </w:r>
      <w:r w:rsidR="001F2C4F" w:rsidRPr="00073171">
        <w:rPr>
          <w:color w:val="000000" w:themeColor="text1"/>
        </w:rPr>
        <w:t xml:space="preserve"> collected.</w:t>
      </w:r>
    </w:p>
    <w:p w14:paraId="10611C20" w14:textId="6F22DAC3" w:rsidR="0011366F" w:rsidRPr="00073171" w:rsidRDefault="001F2C4F" w:rsidP="00790B88">
      <w:pPr>
        <w:spacing w:line="480" w:lineRule="auto"/>
        <w:rPr>
          <w:color w:val="000000" w:themeColor="text1"/>
        </w:rPr>
      </w:pPr>
      <w:r w:rsidRPr="00073171">
        <w:rPr>
          <w:color w:val="000000" w:themeColor="text1"/>
        </w:rPr>
        <w:lastRenderedPageBreak/>
        <w:tab/>
      </w:r>
      <w:r w:rsidR="0012388B" w:rsidRPr="00073171">
        <w:rPr>
          <w:b/>
          <w:color w:val="000000" w:themeColor="text1"/>
        </w:rPr>
        <w:t>Screen for Child Anxiety and Related Disorders – Child Report</w:t>
      </w:r>
      <w:r w:rsidR="0012388B" w:rsidRPr="00073171">
        <w:rPr>
          <w:i/>
          <w:color w:val="000000" w:themeColor="text1"/>
        </w:rPr>
        <w:t xml:space="preserve"> </w:t>
      </w:r>
      <w:r w:rsidR="0012388B" w:rsidRPr="00073171">
        <w:rPr>
          <w:color w:val="000000" w:themeColor="text1"/>
        </w:rPr>
        <w:t xml:space="preserve">(SCARED; </w:t>
      </w:r>
      <w:r w:rsidR="000E24A4" w:rsidRPr="00073171">
        <w:rPr>
          <w:noProof/>
          <w:color w:val="000000" w:themeColor="text1"/>
        </w:rPr>
        <w:t>Birmaher</w:t>
      </w:r>
      <w:r w:rsidR="0012388B" w:rsidRPr="00073171">
        <w:rPr>
          <w:noProof/>
          <w:color w:val="000000" w:themeColor="text1"/>
        </w:rPr>
        <w:t xml:space="preserve"> et al., 1999)</w:t>
      </w:r>
      <w:r w:rsidR="0012388B" w:rsidRPr="00073171">
        <w:rPr>
          <w:color w:val="000000" w:themeColor="text1"/>
        </w:rPr>
        <w:t xml:space="preserve">. </w:t>
      </w:r>
      <w:r w:rsidR="002A4CC4" w:rsidRPr="00073171">
        <w:rPr>
          <w:color w:val="000000" w:themeColor="text1"/>
        </w:rPr>
        <w:t xml:space="preserve">The SCARED is a 41-item questionnaire measuring </w:t>
      </w:r>
      <w:r w:rsidR="00030C34" w:rsidRPr="00073171">
        <w:rPr>
          <w:color w:val="000000" w:themeColor="text1"/>
        </w:rPr>
        <w:t>the presence of anxiety disor</w:t>
      </w:r>
      <w:r w:rsidR="00C77AC5" w:rsidRPr="00073171">
        <w:rPr>
          <w:color w:val="000000" w:themeColor="text1"/>
        </w:rPr>
        <w:t xml:space="preserve">ders </w:t>
      </w:r>
      <w:r w:rsidR="00F070AF">
        <w:rPr>
          <w:color w:val="000000" w:themeColor="text1"/>
        </w:rPr>
        <w:t xml:space="preserve">and has subscales for </w:t>
      </w:r>
      <w:r w:rsidR="00C77AC5" w:rsidRPr="00073171">
        <w:rPr>
          <w:color w:val="000000" w:themeColor="text1"/>
        </w:rPr>
        <w:t>panic disorder</w:t>
      </w:r>
      <w:r w:rsidR="00D1598B">
        <w:rPr>
          <w:color w:val="000000" w:themeColor="text1"/>
        </w:rPr>
        <w:t xml:space="preserve"> (PN)</w:t>
      </w:r>
      <w:r w:rsidR="00C77AC5" w:rsidRPr="00073171">
        <w:rPr>
          <w:color w:val="000000" w:themeColor="text1"/>
        </w:rPr>
        <w:t>, generalized anxie</w:t>
      </w:r>
      <w:r w:rsidR="0022271A" w:rsidRPr="00073171">
        <w:rPr>
          <w:color w:val="000000" w:themeColor="text1"/>
        </w:rPr>
        <w:t>t</w:t>
      </w:r>
      <w:r w:rsidR="00C77AC5" w:rsidRPr="00073171">
        <w:rPr>
          <w:color w:val="000000" w:themeColor="text1"/>
        </w:rPr>
        <w:t>y disorder</w:t>
      </w:r>
      <w:r w:rsidR="00D1598B">
        <w:rPr>
          <w:color w:val="000000" w:themeColor="text1"/>
        </w:rPr>
        <w:t xml:space="preserve"> (GD)</w:t>
      </w:r>
      <w:r w:rsidR="00030C34" w:rsidRPr="00073171">
        <w:rPr>
          <w:color w:val="000000" w:themeColor="text1"/>
        </w:rPr>
        <w:t>, separation anxiety</w:t>
      </w:r>
      <w:r w:rsidR="00D1598B">
        <w:rPr>
          <w:color w:val="000000" w:themeColor="text1"/>
        </w:rPr>
        <w:t xml:space="preserve"> (SP)</w:t>
      </w:r>
      <w:r w:rsidR="00030C34" w:rsidRPr="00073171">
        <w:rPr>
          <w:color w:val="000000" w:themeColor="text1"/>
        </w:rPr>
        <w:t>, social anxiety</w:t>
      </w:r>
      <w:r w:rsidR="00D1598B">
        <w:rPr>
          <w:color w:val="000000" w:themeColor="text1"/>
        </w:rPr>
        <w:t xml:space="preserve"> (SC)</w:t>
      </w:r>
      <w:r w:rsidR="00030C34" w:rsidRPr="00073171">
        <w:rPr>
          <w:color w:val="000000" w:themeColor="text1"/>
        </w:rPr>
        <w:t>, and school avoidance</w:t>
      </w:r>
      <w:r w:rsidR="00D1598B">
        <w:rPr>
          <w:color w:val="000000" w:themeColor="text1"/>
        </w:rPr>
        <w:t xml:space="preserve"> (SH)</w:t>
      </w:r>
      <w:r w:rsidR="002A4CC4" w:rsidRPr="00073171">
        <w:rPr>
          <w:color w:val="000000" w:themeColor="text1"/>
        </w:rPr>
        <w:t>.</w:t>
      </w:r>
      <w:r w:rsidR="00030C34" w:rsidRPr="00073171">
        <w:rPr>
          <w:color w:val="000000" w:themeColor="text1"/>
        </w:rPr>
        <w:t xml:space="preserve"> Participants are asked to rank each item on a </w:t>
      </w:r>
      <w:r w:rsidR="000B7EF1" w:rsidRPr="00073171">
        <w:rPr>
          <w:color w:val="000000" w:themeColor="text1"/>
        </w:rPr>
        <w:t>three</w:t>
      </w:r>
      <w:r w:rsidR="00030C34" w:rsidRPr="00073171">
        <w:rPr>
          <w:color w:val="000000" w:themeColor="text1"/>
        </w:rPr>
        <w:t xml:space="preserve">-point Likert scale (0 = </w:t>
      </w:r>
      <w:r w:rsidR="00030C34" w:rsidRPr="00073171">
        <w:rPr>
          <w:i/>
          <w:color w:val="000000" w:themeColor="text1"/>
        </w:rPr>
        <w:t>Not true or hardly ever true</w:t>
      </w:r>
      <w:r w:rsidR="00030C34" w:rsidRPr="00073171">
        <w:rPr>
          <w:color w:val="000000" w:themeColor="text1"/>
        </w:rPr>
        <w:t xml:space="preserve">, 2 = </w:t>
      </w:r>
      <w:r w:rsidR="00030C34" w:rsidRPr="00073171">
        <w:rPr>
          <w:i/>
          <w:color w:val="000000" w:themeColor="text1"/>
        </w:rPr>
        <w:t>Very true or often true</w:t>
      </w:r>
      <w:r w:rsidR="00030C34" w:rsidRPr="00073171">
        <w:rPr>
          <w:color w:val="000000" w:themeColor="text1"/>
        </w:rPr>
        <w:t>). A score greater than or equal to 25 indicates the potential presence of an anxiety disorder.</w:t>
      </w:r>
      <w:r w:rsidR="001C3B97" w:rsidRPr="00073171">
        <w:rPr>
          <w:color w:val="000000" w:themeColor="text1"/>
        </w:rPr>
        <w:t xml:space="preserve"> </w:t>
      </w:r>
      <w:r w:rsidR="008D2CDA">
        <w:rPr>
          <w:color w:val="000000" w:themeColor="text1"/>
        </w:rPr>
        <w:t xml:space="preserve">A score greater than seven for PN, nine for GD, five for SP, eight for SC, and </w:t>
      </w:r>
      <w:r w:rsidR="00F81C05">
        <w:rPr>
          <w:color w:val="000000" w:themeColor="text1"/>
        </w:rPr>
        <w:t>three</w:t>
      </w:r>
      <w:r w:rsidR="008D2CDA">
        <w:rPr>
          <w:color w:val="000000" w:themeColor="text1"/>
        </w:rPr>
        <w:t xml:space="preserve"> for SH indicate</w:t>
      </w:r>
      <w:r w:rsidR="006C588E">
        <w:rPr>
          <w:color w:val="000000" w:themeColor="text1"/>
        </w:rPr>
        <w:t>s</w:t>
      </w:r>
      <w:r w:rsidR="008D2CDA">
        <w:rPr>
          <w:color w:val="000000" w:themeColor="text1"/>
        </w:rPr>
        <w:t xml:space="preserve"> the potential presence of that specific anxiety disorder. </w:t>
      </w:r>
      <w:r w:rsidR="001C3B97" w:rsidRPr="00073171">
        <w:rPr>
          <w:color w:val="000000" w:themeColor="text1"/>
        </w:rPr>
        <w:t>Example items</w:t>
      </w:r>
      <w:r w:rsidR="00C63C54">
        <w:rPr>
          <w:color w:val="000000" w:themeColor="text1"/>
        </w:rPr>
        <w:t xml:space="preserve"> on the SCARED</w:t>
      </w:r>
      <w:r w:rsidR="001C3B97" w:rsidRPr="00073171">
        <w:rPr>
          <w:color w:val="000000" w:themeColor="text1"/>
        </w:rPr>
        <w:t xml:space="preserve"> include “I have nightmares about something bad happening to me” and “I am nervous.”</w:t>
      </w:r>
      <w:r w:rsidR="002A4CC4" w:rsidRPr="00073171">
        <w:rPr>
          <w:color w:val="000000" w:themeColor="text1"/>
        </w:rPr>
        <w:t xml:space="preserve"> </w:t>
      </w:r>
      <w:r w:rsidR="00996FBF" w:rsidRPr="00073171">
        <w:rPr>
          <w:color w:val="000000" w:themeColor="text1"/>
        </w:rPr>
        <w:t>The SCARED has been found t</w:t>
      </w:r>
      <w:r w:rsidR="006304E7" w:rsidRPr="00073171">
        <w:rPr>
          <w:color w:val="000000" w:themeColor="text1"/>
        </w:rPr>
        <w:t xml:space="preserve">o be reliable and valid with samples of children and adolescents </w:t>
      </w:r>
      <w:r w:rsidR="000E24A4" w:rsidRPr="00073171">
        <w:rPr>
          <w:noProof/>
          <w:color w:val="000000" w:themeColor="text1"/>
        </w:rPr>
        <w:t>(Birmaher</w:t>
      </w:r>
      <w:r w:rsidR="006304E7" w:rsidRPr="00073171">
        <w:rPr>
          <w:noProof/>
          <w:color w:val="000000" w:themeColor="text1"/>
        </w:rPr>
        <w:t xml:space="preserve"> et al., 1999)</w:t>
      </w:r>
      <w:r w:rsidR="006304E7" w:rsidRPr="00073171">
        <w:rPr>
          <w:color w:val="000000" w:themeColor="text1"/>
        </w:rPr>
        <w:t xml:space="preserve">. </w:t>
      </w:r>
      <w:r w:rsidR="00886A73" w:rsidRPr="00073171">
        <w:rPr>
          <w:color w:val="000000" w:themeColor="text1"/>
        </w:rPr>
        <w:t>The Cronbach’s alpha in the present sample at pretreatment was .82.</w:t>
      </w:r>
    </w:p>
    <w:p w14:paraId="78809FEF" w14:textId="4D594DF1" w:rsidR="0054517A" w:rsidRPr="00073171" w:rsidRDefault="0054517A" w:rsidP="00790B88">
      <w:pPr>
        <w:spacing w:line="480" w:lineRule="auto"/>
        <w:rPr>
          <w:color w:val="000000" w:themeColor="text1"/>
        </w:rPr>
      </w:pPr>
      <w:r w:rsidRPr="00073171">
        <w:rPr>
          <w:color w:val="000000" w:themeColor="text1"/>
        </w:rPr>
        <w:tab/>
      </w:r>
      <w:r w:rsidRPr="00073171">
        <w:rPr>
          <w:b/>
          <w:color w:val="000000" w:themeColor="text1"/>
        </w:rPr>
        <w:t>Center for Epidemiologic Studies Depression Scale</w:t>
      </w:r>
      <w:r w:rsidRPr="00073171">
        <w:rPr>
          <w:i/>
          <w:color w:val="000000" w:themeColor="text1"/>
        </w:rPr>
        <w:t xml:space="preserve"> </w:t>
      </w:r>
      <w:r w:rsidRPr="00073171">
        <w:rPr>
          <w:color w:val="000000" w:themeColor="text1"/>
        </w:rPr>
        <w:t xml:space="preserve">(CES-D; </w:t>
      </w:r>
      <w:r w:rsidRPr="00073171">
        <w:rPr>
          <w:noProof/>
          <w:color w:val="000000" w:themeColor="text1"/>
        </w:rPr>
        <w:t>Phillips et al., 2006)</w:t>
      </w:r>
      <w:r w:rsidRPr="00073171">
        <w:rPr>
          <w:color w:val="000000" w:themeColor="text1"/>
        </w:rPr>
        <w:t xml:space="preserve">. </w:t>
      </w:r>
      <w:r w:rsidR="00845362" w:rsidRPr="00073171">
        <w:rPr>
          <w:color w:val="000000" w:themeColor="text1"/>
        </w:rPr>
        <w:t xml:space="preserve">The CES-D measures depression severity. Participants are asked to rate 20 items on a </w:t>
      </w:r>
      <w:r w:rsidR="00D34B1B" w:rsidRPr="00073171">
        <w:rPr>
          <w:color w:val="000000" w:themeColor="text1"/>
        </w:rPr>
        <w:t>four</w:t>
      </w:r>
      <w:r w:rsidR="00845362" w:rsidRPr="00073171">
        <w:rPr>
          <w:color w:val="000000" w:themeColor="text1"/>
        </w:rPr>
        <w:t xml:space="preserve">-point Likert scale from </w:t>
      </w:r>
      <w:r w:rsidR="00845362" w:rsidRPr="00073171">
        <w:rPr>
          <w:i/>
          <w:color w:val="000000" w:themeColor="text1"/>
        </w:rPr>
        <w:t xml:space="preserve">Rarely or none of the time (less than 1 day) </w:t>
      </w:r>
      <w:r w:rsidR="00845362" w:rsidRPr="00073171">
        <w:rPr>
          <w:color w:val="000000" w:themeColor="text1"/>
        </w:rPr>
        <w:t xml:space="preserve">to </w:t>
      </w:r>
      <w:r w:rsidR="00845362" w:rsidRPr="00073171">
        <w:rPr>
          <w:i/>
          <w:color w:val="000000" w:themeColor="text1"/>
        </w:rPr>
        <w:t>Most or all of the time (5-7 days)</w:t>
      </w:r>
      <w:r w:rsidR="00845362" w:rsidRPr="00073171">
        <w:rPr>
          <w:color w:val="000000" w:themeColor="text1"/>
        </w:rPr>
        <w:t xml:space="preserve">. </w:t>
      </w:r>
      <w:r w:rsidR="0082572D" w:rsidRPr="00073171">
        <w:rPr>
          <w:color w:val="000000" w:themeColor="text1"/>
        </w:rPr>
        <w:t xml:space="preserve">The scoring ranges from 0-60, with higher scores indicating greater depressive symptoms. Example items include “I felt lonely” and “I had trouble keeping my mind on what I was doing.” </w:t>
      </w:r>
      <w:r w:rsidR="0054337F" w:rsidRPr="00073171">
        <w:rPr>
          <w:color w:val="000000" w:themeColor="text1"/>
        </w:rPr>
        <w:t xml:space="preserve">The CES-D </w:t>
      </w:r>
      <w:r w:rsidR="00A64A97" w:rsidRPr="00073171">
        <w:rPr>
          <w:color w:val="000000" w:themeColor="text1"/>
        </w:rPr>
        <w:t xml:space="preserve">has been found </w:t>
      </w:r>
      <w:r w:rsidR="00FE30AA" w:rsidRPr="00073171">
        <w:rPr>
          <w:color w:val="000000" w:themeColor="text1"/>
        </w:rPr>
        <w:t>to be reliable and valid</w:t>
      </w:r>
      <w:r w:rsidR="00A64A97" w:rsidRPr="00073171">
        <w:rPr>
          <w:color w:val="000000" w:themeColor="text1"/>
        </w:rPr>
        <w:t xml:space="preserve"> in adolescent populations </w:t>
      </w:r>
      <w:r w:rsidR="00A64A97" w:rsidRPr="00073171">
        <w:rPr>
          <w:noProof/>
          <w:color w:val="000000" w:themeColor="text1"/>
        </w:rPr>
        <w:t>(Phillips et al., 2006; Stockings et al., 2014)</w:t>
      </w:r>
      <w:r w:rsidR="00A64A97" w:rsidRPr="00073171">
        <w:rPr>
          <w:color w:val="000000" w:themeColor="text1"/>
        </w:rPr>
        <w:t xml:space="preserve">. </w:t>
      </w:r>
      <w:r w:rsidR="009F2CBD" w:rsidRPr="00073171">
        <w:rPr>
          <w:color w:val="000000" w:themeColor="text1"/>
        </w:rPr>
        <w:t>The Cronbach’s alpha in the present sample at pretreatment was .88.</w:t>
      </w:r>
    </w:p>
    <w:p w14:paraId="5D3FC6D7" w14:textId="7F763D04" w:rsidR="00392963" w:rsidRPr="00073171" w:rsidRDefault="00392963" w:rsidP="00392963">
      <w:pPr>
        <w:spacing w:line="480" w:lineRule="auto"/>
        <w:ind w:firstLine="720"/>
        <w:rPr>
          <w:color w:val="000000" w:themeColor="text1"/>
        </w:rPr>
      </w:pPr>
      <w:r w:rsidRPr="00073171">
        <w:rPr>
          <w:b/>
          <w:color w:val="000000" w:themeColor="text1"/>
        </w:rPr>
        <w:t>Avoidance and Fusion Questionnaire for Youth</w:t>
      </w:r>
      <w:r w:rsidRPr="00073171">
        <w:rPr>
          <w:i/>
          <w:color w:val="000000" w:themeColor="text1"/>
        </w:rPr>
        <w:t xml:space="preserve"> </w:t>
      </w:r>
      <w:r w:rsidRPr="00073171">
        <w:rPr>
          <w:color w:val="000000" w:themeColor="text1"/>
        </w:rPr>
        <w:t xml:space="preserve">(AFQ-Y; </w:t>
      </w:r>
      <w:r w:rsidRPr="00073171">
        <w:rPr>
          <w:noProof/>
          <w:color w:val="000000" w:themeColor="text1"/>
        </w:rPr>
        <w:t>Greco, Lambert, &amp; Baer, 2008)</w:t>
      </w:r>
      <w:r w:rsidRPr="00073171">
        <w:rPr>
          <w:color w:val="000000" w:themeColor="text1"/>
        </w:rPr>
        <w:t xml:space="preserve">. The AFQ-Y is a 17-item questionnaire measuring </w:t>
      </w:r>
      <w:r w:rsidR="004617C7" w:rsidRPr="00073171">
        <w:rPr>
          <w:color w:val="000000" w:themeColor="text1"/>
        </w:rPr>
        <w:t xml:space="preserve">psychological inflexibility </w:t>
      </w:r>
      <w:r w:rsidRPr="00073171">
        <w:rPr>
          <w:color w:val="000000" w:themeColor="text1"/>
        </w:rPr>
        <w:t xml:space="preserve">in adolescents. Participants are asked to rate each item on a 5-point Likert scale (0 = </w:t>
      </w:r>
      <w:r w:rsidRPr="00073171">
        <w:rPr>
          <w:i/>
          <w:color w:val="000000" w:themeColor="text1"/>
        </w:rPr>
        <w:t>Not at all true</w:t>
      </w:r>
      <w:r w:rsidRPr="00073171">
        <w:rPr>
          <w:color w:val="000000" w:themeColor="text1"/>
        </w:rPr>
        <w:t xml:space="preserve">, </w:t>
      </w:r>
      <w:r w:rsidRPr="00073171">
        <w:rPr>
          <w:color w:val="000000" w:themeColor="text1"/>
        </w:rPr>
        <w:lastRenderedPageBreak/>
        <w:t xml:space="preserve">4 = </w:t>
      </w:r>
      <w:r w:rsidRPr="00073171">
        <w:rPr>
          <w:i/>
          <w:color w:val="000000" w:themeColor="text1"/>
        </w:rPr>
        <w:t>Very true</w:t>
      </w:r>
      <w:r w:rsidRPr="00073171">
        <w:rPr>
          <w:color w:val="000000" w:themeColor="text1"/>
        </w:rPr>
        <w:t xml:space="preserve">), with higher scores signifying greater psychological inflexibility. Example items include “I try hard to erase hurtful memories from my mind” and “My thoughts and feelings mess up my life.” Research has demonstrated support for both reliability and validity of the AFQ-Y in youth </w:t>
      </w:r>
      <w:r w:rsidRPr="00073171">
        <w:rPr>
          <w:noProof/>
          <w:color w:val="000000" w:themeColor="text1"/>
        </w:rPr>
        <w:t>(Greco</w:t>
      </w:r>
      <w:r w:rsidR="002A5946" w:rsidRPr="00073171">
        <w:rPr>
          <w:noProof/>
          <w:color w:val="000000" w:themeColor="text1"/>
        </w:rPr>
        <w:t>, Lambert, &amp; Baer</w:t>
      </w:r>
      <w:r w:rsidRPr="00073171">
        <w:rPr>
          <w:noProof/>
          <w:color w:val="000000" w:themeColor="text1"/>
        </w:rPr>
        <w:t>, 2008)</w:t>
      </w:r>
      <w:r w:rsidRPr="00073171">
        <w:rPr>
          <w:color w:val="000000" w:themeColor="text1"/>
        </w:rPr>
        <w:t>. The Cronbach’s alpha in the present sample at pretreatment was .79.</w:t>
      </w:r>
    </w:p>
    <w:p w14:paraId="79848962" w14:textId="1030C415" w:rsidR="00426B62" w:rsidRPr="00073171" w:rsidRDefault="00CB41FF" w:rsidP="00790B88">
      <w:pPr>
        <w:spacing w:line="480" w:lineRule="auto"/>
        <w:rPr>
          <w:color w:val="000000" w:themeColor="text1"/>
        </w:rPr>
      </w:pPr>
      <w:r w:rsidRPr="00073171">
        <w:rPr>
          <w:color w:val="000000" w:themeColor="text1"/>
        </w:rPr>
        <w:tab/>
      </w:r>
      <w:r w:rsidRPr="00073171">
        <w:rPr>
          <w:b/>
          <w:color w:val="000000" w:themeColor="text1"/>
        </w:rPr>
        <w:t>Mental Health Continuum Short Form</w:t>
      </w:r>
      <w:r w:rsidRPr="00073171">
        <w:rPr>
          <w:i/>
          <w:color w:val="000000" w:themeColor="text1"/>
        </w:rPr>
        <w:t xml:space="preserve"> </w:t>
      </w:r>
      <w:r w:rsidRPr="00073171">
        <w:rPr>
          <w:color w:val="000000" w:themeColor="text1"/>
        </w:rPr>
        <w:t xml:space="preserve">(MHC-SF; </w:t>
      </w:r>
      <w:r w:rsidR="00A750DF" w:rsidRPr="00073171">
        <w:rPr>
          <w:noProof/>
          <w:color w:val="000000" w:themeColor="text1"/>
        </w:rPr>
        <w:t>Lamers, Westerhof, Bohlmeijer, Ten Klooster, &amp; Keyes, 2011)</w:t>
      </w:r>
      <w:r w:rsidR="00A750DF" w:rsidRPr="00073171">
        <w:rPr>
          <w:color w:val="000000" w:themeColor="text1"/>
        </w:rPr>
        <w:t xml:space="preserve">. </w:t>
      </w:r>
      <w:r w:rsidR="0032476D" w:rsidRPr="00073171">
        <w:rPr>
          <w:color w:val="000000" w:themeColor="text1"/>
        </w:rPr>
        <w:t xml:space="preserve">The MHC-SF is a shortened questionnaire examining elements of positive mental health, including emotional, psychological, and social well-being. </w:t>
      </w:r>
      <w:r w:rsidR="00A64050" w:rsidRPr="00073171">
        <w:rPr>
          <w:color w:val="000000" w:themeColor="text1"/>
        </w:rPr>
        <w:t xml:space="preserve">Participants are asked to rate 14 items on a </w:t>
      </w:r>
      <w:r w:rsidR="00C055A7" w:rsidRPr="00073171">
        <w:rPr>
          <w:color w:val="000000" w:themeColor="text1"/>
        </w:rPr>
        <w:t>six</w:t>
      </w:r>
      <w:r w:rsidR="00A64050" w:rsidRPr="00073171">
        <w:rPr>
          <w:color w:val="000000" w:themeColor="text1"/>
        </w:rPr>
        <w:t>-point Likert scale (0</w:t>
      </w:r>
      <w:r w:rsidR="00CF395D" w:rsidRPr="00073171">
        <w:rPr>
          <w:color w:val="000000" w:themeColor="text1"/>
        </w:rPr>
        <w:t xml:space="preserve"> </w:t>
      </w:r>
      <w:r w:rsidR="00A64050" w:rsidRPr="00073171">
        <w:rPr>
          <w:color w:val="000000" w:themeColor="text1"/>
        </w:rPr>
        <w:t xml:space="preserve">= </w:t>
      </w:r>
      <w:r w:rsidR="00A64050" w:rsidRPr="00073171">
        <w:rPr>
          <w:i/>
          <w:color w:val="000000" w:themeColor="text1"/>
        </w:rPr>
        <w:t>Never</w:t>
      </w:r>
      <w:r w:rsidR="00A64050" w:rsidRPr="00073171">
        <w:rPr>
          <w:color w:val="000000" w:themeColor="text1"/>
        </w:rPr>
        <w:t xml:space="preserve">, 5 = </w:t>
      </w:r>
      <w:r w:rsidR="00A64050" w:rsidRPr="00073171">
        <w:rPr>
          <w:i/>
          <w:color w:val="000000" w:themeColor="text1"/>
        </w:rPr>
        <w:t>Every day</w:t>
      </w:r>
      <w:r w:rsidR="00A64050" w:rsidRPr="00073171">
        <w:rPr>
          <w:color w:val="000000" w:themeColor="text1"/>
        </w:rPr>
        <w:t>)</w:t>
      </w:r>
      <w:r w:rsidR="00106411" w:rsidRPr="00073171">
        <w:rPr>
          <w:color w:val="000000" w:themeColor="text1"/>
        </w:rPr>
        <w:t>, with higher scores indicating greater positive mental health</w:t>
      </w:r>
      <w:r w:rsidR="00A64050" w:rsidRPr="00073171">
        <w:rPr>
          <w:color w:val="000000" w:themeColor="text1"/>
        </w:rPr>
        <w:t xml:space="preserve">. </w:t>
      </w:r>
      <w:r w:rsidR="00AC3CD0" w:rsidRPr="00073171">
        <w:rPr>
          <w:color w:val="000000" w:themeColor="text1"/>
        </w:rPr>
        <w:t>Example items include “</w:t>
      </w:r>
      <w:r w:rsidR="00CF395D" w:rsidRPr="00073171">
        <w:rPr>
          <w:color w:val="000000" w:themeColor="text1"/>
        </w:rPr>
        <w:t>G</w:t>
      </w:r>
      <w:r w:rsidR="00AC3CD0" w:rsidRPr="00073171">
        <w:rPr>
          <w:color w:val="000000" w:themeColor="text1"/>
        </w:rPr>
        <w:t>ood at managing the responsibilities of your daily life” and “</w:t>
      </w:r>
      <w:r w:rsidR="00CF395D" w:rsidRPr="00073171">
        <w:rPr>
          <w:color w:val="000000" w:themeColor="text1"/>
        </w:rPr>
        <w:t>I</w:t>
      </w:r>
      <w:r w:rsidR="00AC3CD0" w:rsidRPr="00073171">
        <w:rPr>
          <w:color w:val="000000" w:themeColor="text1"/>
        </w:rPr>
        <w:t xml:space="preserve">nterested in life.” </w:t>
      </w:r>
      <w:r w:rsidR="002C50E9" w:rsidRPr="00073171">
        <w:rPr>
          <w:color w:val="000000" w:themeColor="text1"/>
        </w:rPr>
        <w:t>The MHC-SF has</w:t>
      </w:r>
      <w:r w:rsidR="005C4A97" w:rsidRPr="00073171">
        <w:rPr>
          <w:color w:val="000000" w:themeColor="text1"/>
        </w:rPr>
        <w:t xml:space="preserve"> </w:t>
      </w:r>
      <w:r w:rsidR="002C50E9" w:rsidRPr="00073171">
        <w:rPr>
          <w:color w:val="000000" w:themeColor="text1"/>
        </w:rPr>
        <w:t>demonstrated exc</w:t>
      </w:r>
      <w:r w:rsidR="005C4A97" w:rsidRPr="00073171">
        <w:rPr>
          <w:color w:val="000000" w:themeColor="text1"/>
        </w:rPr>
        <w:t>el</w:t>
      </w:r>
      <w:r w:rsidR="00253306" w:rsidRPr="00073171">
        <w:rPr>
          <w:color w:val="000000" w:themeColor="text1"/>
        </w:rPr>
        <w:t xml:space="preserve">lent validity and reliability, as well </w:t>
      </w:r>
      <w:r w:rsidR="00AF2A7A" w:rsidRPr="00073171">
        <w:rPr>
          <w:color w:val="000000" w:themeColor="text1"/>
        </w:rPr>
        <w:t>successful use</w:t>
      </w:r>
      <w:r w:rsidR="00253306" w:rsidRPr="00073171">
        <w:rPr>
          <w:color w:val="000000" w:themeColor="text1"/>
        </w:rPr>
        <w:t xml:space="preserve"> with</w:t>
      </w:r>
      <w:r w:rsidR="005C4A97" w:rsidRPr="00073171">
        <w:rPr>
          <w:color w:val="000000" w:themeColor="text1"/>
        </w:rPr>
        <w:t xml:space="preserve"> adolescents </w:t>
      </w:r>
      <w:r w:rsidR="009751D8" w:rsidRPr="00073171">
        <w:rPr>
          <w:noProof/>
          <w:color w:val="000000" w:themeColor="text1"/>
        </w:rPr>
        <w:t>(Keyes, 2006; Lamers et al., 2011)</w:t>
      </w:r>
      <w:r w:rsidR="009751D8" w:rsidRPr="00073171">
        <w:rPr>
          <w:color w:val="000000" w:themeColor="text1"/>
        </w:rPr>
        <w:t>.</w:t>
      </w:r>
      <w:r w:rsidR="00340326" w:rsidRPr="00073171">
        <w:rPr>
          <w:color w:val="000000" w:themeColor="text1"/>
        </w:rPr>
        <w:t xml:space="preserve"> </w:t>
      </w:r>
      <w:r w:rsidR="0087286B" w:rsidRPr="00073171">
        <w:rPr>
          <w:color w:val="000000" w:themeColor="text1"/>
        </w:rPr>
        <w:t>The Cronbach’s alpha in the present sample at pretreatment was .82.</w:t>
      </w:r>
    </w:p>
    <w:p w14:paraId="6C9774A7" w14:textId="3DCEC8A1" w:rsidR="00426AA1" w:rsidRPr="00073171" w:rsidRDefault="00392963" w:rsidP="00790B88">
      <w:pPr>
        <w:spacing w:line="480" w:lineRule="auto"/>
        <w:rPr>
          <w:color w:val="000000" w:themeColor="text1"/>
        </w:rPr>
      </w:pPr>
      <w:r w:rsidRPr="00073171">
        <w:rPr>
          <w:color w:val="000000" w:themeColor="text1"/>
        </w:rPr>
        <w:tab/>
      </w:r>
      <w:r w:rsidRPr="00073171">
        <w:rPr>
          <w:b/>
          <w:color w:val="000000" w:themeColor="text1"/>
        </w:rPr>
        <w:t xml:space="preserve">Student Subjective Wellbeing Questionnaire </w:t>
      </w:r>
      <w:r w:rsidRPr="00073171">
        <w:rPr>
          <w:color w:val="000000" w:themeColor="text1"/>
        </w:rPr>
        <w:t xml:space="preserve">(SSWQ; </w:t>
      </w:r>
      <w:r w:rsidRPr="00073171">
        <w:rPr>
          <w:noProof/>
          <w:color w:val="000000" w:themeColor="text1"/>
        </w:rPr>
        <w:t>Renshaw &amp; Chenier, 2018)</w:t>
      </w:r>
      <w:r w:rsidRPr="00073171">
        <w:rPr>
          <w:color w:val="000000" w:themeColor="text1"/>
        </w:rPr>
        <w:t xml:space="preserve">. The SSWQ is a 16-item measure of subjective student wellbeing. In addition to overall wellbeing, the SSWQ examines joy of learning, school connectedness, educational purpose, and academic efficacy. Participants are asked to rate each item on a four-point Likert scale (1 = </w:t>
      </w:r>
      <w:r w:rsidRPr="00073171">
        <w:rPr>
          <w:i/>
          <w:color w:val="000000" w:themeColor="text1"/>
        </w:rPr>
        <w:t>Almost never</w:t>
      </w:r>
      <w:r w:rsidRPr="00073171">
        <w:rPr>
          <w:color w:val="000000" w:themeColor="text1"/>
        </w:rPr>
        <w:t xml:space="preserve">, 4 = </w:t>
      </w:r>
      <w:r w:rsidRPr="00073171">
        <w:rPr>
          <w:i/>
          <w:color w:val="000000" w:themeColor="text1"/>
        </w:rPr>
        <w:t>Almost always</w:t>
      </w:r>
      <w:r w:rsidRPr="00073171">
        <w:rPr>
          <w:color w:val="000000" w:themeColor="text1"/>
        </w:rPr>
        <w:t xml:space="preserve">), with higher scores representing greater subjective well-being. Example items include “I can really be myself at school” and “I feel happy when I am working and learning at school.” Research has demonstrated support for the validity of the SSWQ for adolescents </w:t>
      </w:r>
      <w:r w:rsidRPr="00073171">
        <w:rPr>
          <w:noProof/>
          <w:color w:val="000000" w:themeColor="text1"/>
        </w:rPr>
        <w:t>(Renshaw &amp; Chenier, 2018)</w:t>
      </w:r>
      <w:r w:rsidRPr="00073171">
        <w:rPr>
          <w:color w:val="000000" w:themeColor="text1"/>
        </w:rPr>
        <w:t>. The Cronbach’s alpha in the present sample at pretreatment was .93.</w:t>
      </w:r>
    </w:p>
    <w:p w14:paraId="096314D8" w14:textId="6BA6FAAE" w:rsidR="00083CA1" w:rsidRPr="00073171" w:rsidRDefault="00F11C1F" w:rsidP="00B15EF9">
      <w:pPr>
        <w:spacing w:line="480" w:lineRule="auto"/>
        <w:rPr>
          <w:color w:val="000000" w:themeColor="text1"/>
        </w:rPr>
      </w:pPr>
      <w:r w:rsidRPr="00073171">
        <w:rPr>
          <w:color w:val="000000" w:themeColor="text1"/>
        </w:rPr>
        <w:lastRenderedPageBreak/>
        <w:tab/>
      </w:r>
      <w:r w:rsidR="007C27E1" w:rsidRPr="00073171">
        <w:rPr>
          <w:b/>
          <w:color w:val="000000" w:themeColor="text1"/>
        </w:rPr>
        <w:t>School Attendance</w:t>
      </w:r>
      <w:r w:rsidR="007C27E1" w:rsidRPr="00073171">
        <w:rPr>
          <w:color w:val="000000" w:themeColor="text1"/>
        </w:rPr>
        <w:t xml:space="preserve">. Participants </w:t>
      </w:r>
      <w:r w:rsidR="00FF405F" w:rsidRPr="00073171">
        <w:rPr>
          <w:color w:val="000000" w:themeColor="text1"/>
        </w:rPr>
        <w:t>are</w:t>
      </w:r>
      <w:r w:rsidR="007C27E1" w:rsidRPr="00073171">
        <w:rPr>
          <w:color w:val="000000" w:themeColor="text1"/>
        </w:rPr>
        <w:t xml:space="preserve"> asked to report how many </w:t>
      </w:r>
      <w:r w:rsidR="006F5F94" w:rsidRPr="00073171">
        <w:rPr>
          <w:color w:val="000000" w:themeColor="text1"/>
        </w:rPr>
        <w:t>class</w:t>
      </w:r>
      <w:r w:rsidR="002F26A0" w:rsidRPr="00073171">
        <w:rPr>
          <w:color w:val="000000" w:themeColor="text1"/>
        </w:rPr>
        <w:t xml:space="preserve"> periods</w:t>
      </w:r>
      <w:r w:rsidR="00083CA1" w:rsidRPr="00073171">
        <w:rPr>
          <w:color w:val="000000" w:themeColor="text1"/>
        </w:rPr>
        <w:t xml:space="preserve"> they missed </w:t>
      </w:r>
      <w:r w:rsidR="00820680" w:rsidRPr="00073171">
        <w:rPr>
          <w:color w:val="000000" w:themeColor="text1"/>
        </w:rPr>
        <w:t>since last completing the assessment</w:t>
      </w:r>
      <w:r w:rsidR="00C40EF2" w:rsidRPr="00073171">
        <w:rPr>
          <w:color w:val="000000" w:themeColor="text1"/>
        </w:rPr>
        <w:t>, excluding any classes missed to participate in the group.</w:t>
      </w:r>
      <w:r w:rsidR="00A64B99" w:rsidRPr="00073171">
        <w:rPr>
          <w:color w:val="000000" w:themeColor="text1"/>
        </w:rPr>
        <w:t xml:space="preserve"> </w:t>
      </w:r>
    </w:p>
    <w:p w14:paraId="1DDE1CFB" w14:textId="6810E516" w:rsidR="00967727" w:rsidRPr="00073171" w:rsidRDefault="00967727" w:rsidP="00B15EF9">
      <w:pPr>
        <w:spacing w:line="480" w:lineRule="auto"/>
        <w:rPr>
          <w:color w:val="000000" w:themeColor="text1"/>
        </w:rPr>
      </w:pPr>
      <w:r w:rsidRPr="00073171">
        <w:rPr>
          <w:color w:val="000000" w:themeColor="text1"/>
        </w:rPr>
        <w:tab/>
      </w:r>
      <w:r w:rsidRPr="00073171">
        <w:rPr>
          <w:b/>
          <w:color w:val="000000" w:themeColor="text1"/>
        </w:rPr>
        <w:t xml:space="preserve">Children’s Usage Rating Profile </w:t>
      </w:r>
      <w:r w:rsidRPr="00073171">
        <w:rPr>
          <w:color w:val="000000" w:themeColor="text1"/>
        </w:rPr>
        <w:t>(CURP; Briesch &amp; Chafouleas, 2009).</w:t>
      </w:r>
      <w:r w:rsidR="009E352A" w:rsidRPr="00073171">
        <w:rPr>
          <w:color w:val="000000" w:themeColor="text1"/>
        </w:rPr>
        <w:t xml:space="preserve"> The CURP is a </w:t>
      </w:r>
      <w:r w:rsidR="00B449EE" w:rsidRPr="00073171">
        <w:rPr>
          <w:color w:val="000000" w:themeColor="text1"/>
        </w:rPr>
        <w:t>21</w:t>
      </w:r>
      <w:r w:rsidR="009E352A" w:rsidRPr="00073171">
        <w:rPr>
          <w:color w:val="000000" w:themeColor="text1"/>
        </w:rPr>
        <w:t xml:space="preserve">-item measure of method usability for children. </w:t>
      </w:r>
      <w:r w:rsidR="00B449EE" w:rsidRPr="00073171">
        <w:rPr>
          <w:iCs/>
          <w:color w:val="000000" w:themeColor="text1"/>
        </w:rPr>
        <w:t xml:space="preserve">Due to experimenter error, only 10 of the 21 items of the CURP were given to participants. </w:t>
      </w:r>
      <w:r w:rsidR="00B449EE" w:rsidRPr="00073171">
        <w:rPr>
          <w:color w:val="000000" w:themeColor="text1"/>
        </w:rPr>
        <w:t xml:space="preserve">Example items include “This is a good way to help students” and “I could see myself using this method again.” </w:t>
      </w:r>
      <w:r w:rsidR="00B449EE" w:rsidRPr="00073171">
        <w:rPr>
          <w:iCs/>
          <w:color w:val="000000" w:themeColor="text1"/>
        </w:rPr>
        <w:t xml:space="preserve">Participants rated three items of feasibility, three items on understanding, and four items on desirability on a </w:t>
      </w:r>
      <w:r w:rsidR="00C055A7" w:rsidRPr="00073171">
        <w:rPr>
          <w:iCs/>
          <w:color w:val="000000" w:themeColor="text1"/>
        </w:rPr>
        <w:t>four-point</w:t>
      </w:r>
      <w:r w:rsidR="00B449EE" w:rsidRPr="00073171">
        <w:rPr>
          <w:iCs/>
          <w:color w:val="000000" w:themeColor="text1"/>
        </w:rPr>
        <w:t xml:space="preserve"> Likert scale </w:t>
      </w:r>
      <w:r w:rsidR="00B449EE" w:rsidRPr="00073171">
        <w:rPr>
          <w:color w:val="000000" w:themeColor="text1"/>
        </w:rPr>
        <w:t xml:space="preserve">(1 = </w:t>
      </w:r>
      <w:r w:rsidR="00B449EE" w:rsidRPr="00073171">
        <w:rPr>
          <w:i/>
          <w:color w:val="000000" w:themeColor="text1"/>
        </w:rPr>
        <w:t>I totally disagree</w:t>
      </w:r>
      <w:r w:rsidR="00B449EE" w:rsidRPr="00073171">
        <w:rPr>
          <w:color w:val="000000" w:themeColor="text1"/>
        </w:rPr>
        <w:t xml:space="preserve">, 4 = </w:t>
      </w:r>
      <w:r w:rsidR="00B449EE" w:rsidRPr="00073171">
        <w:rPr>
          <w:i/>
          <w:color w:val="000000" w:themeColor="text1"/>
        </w:rPr>
        <w:t>I totally agree</w:t>
      </w:r>
      <w:r w:rsidR="00B449EE" w:rsidRPr="00073171">
        <w:rPr>
          <w:color w:val="000000" w:themeColor="text1"/>
        </w:rPr>
        <w:t>),</w:t>
      </w:r>
      <w:r w:rsidR="00B449EE" w:rsidRPr="00073171">
        <w:rPr>
          <w:iCs/>
          <w:color w:val="000000" w:themeColor="text1"/>
        </w:rPr>
        <w:t xml:space="preserve"> with higher scores indicated greater acceptability for the overall score, and the understanding and desirability subscales. Lower scores on the feasibility scale indicated greater feasibility. </w:t>
      </w:r>
      <w:r w:rsidR="00BD1323" w:rsidRPr="00073171">
        <w:rPr>
          <w:color w:val="000000" w:themeColor="text1"/>
        </w:rPr>
        <w:t>Research ha</w:t>
      </w:r>
      <w:r w:rsidR="00827450" w:rsidRPr="00073171">
        <w:rPr>
          <w:color w:val="000000" w:themeColor="text1"/>
        </w:rPr>
        <w:t xml:space="preserve">s demonstrated support for the reliability </w:t>
      </w:r>
      <w:r w:rsidR="00BD1323" w:rsidRPr="00073171">
        <w:rPr>
          <w:color w:val="000000" w:themeColor="text1"/>
        </w:rPr>
        <w:t xml:space="preserve">of the CURP in youth populations (Briesch &amp; Chafouleas, 2009). </w:t>
      </w:r>
      <w:r w:rsidR="007B7697" w:rsidRPr="00073171">
        <w:rPr>
          <w:color w:val="000000" w:themeColor="text1"/>
        </w:rPr>
        <w:t>The CURP was given at post-treatment.</w:t>
      </w:r>
      <w:r w:rsidR="004D7E34" w:rsidRPr="00073171">
        <w:rPr>
          <w:color w:val="000000" w:themeColor="text1"/>
        </w:rPr>
        <w:t xml:space="preserve"> The Cronbach’s alpha in the present sample was .91.</w:t>
      </w:r>
    </w:p>
    <w:p w14:paraId="6D0A983B" w14:textId="5E30469D" w:rsidR="00E35EAE" w:rsidRPr="00073171" w:rsidRDefault="00E35EAE" w:rsidP="00B15EF9">
      <w:pPr>
        <w:spacing w:line="480" w:lineRule="auto"/>
        <w:rPr>
          <w:i/>
          <w:color w:val="000000" w:themeColor="text1"/>
        </w:rPr>
      </w:pPr>
      <w:r w:rsidRPr="00073171">
        <w:rPr>
          <w:color w:val="000000" w:themeColor="text1"/>
        </w:rPr>
        <w:tab/>
      </w:r>
      <w:r w:rsidRPr="00073171">
        <w:rPr>
          <w:b/>
          <w:color w:val="000000" w:themeColor="text1"/>
        </w:rPr>
        <w:t>Acceptability of intervention</w:t>
      </w:r>
      <w:r w:rsidRPr="00073171">
        <w:rPr>
          <w:color w:val="000000" w:themeColor="text1"/>
        </w:rPr>
        <w:t>. Participants w</w:t>
      </w:r>
      <w:r w:rsidR="00A40F16" w:rsidRPr="00073171">
        <w:rPr>
          <w:color w:val="000000" w:themeColor="text1"/>
        </w:rPr>
        <w:t>ere</w:t>
      </w:r>
      <w:r w:rsidRPr="00073171">
        <w:rPr>
          <w:color w:val="000000" w:themeColor="text1"/>
        </w:rPr>
        <w:t xml:space="preserve"> </w:t>
      </w:r>
      <w:r w:rsidR="00022E62" w:rsidRPr="00073171">
        <w:rPr>
          <w:color w:val="000000" w:themeColor="text1"/>
        </w:rPr>
        <w:t>invited</w:t>
      </w:r>
      <w:r w:rsidRPr="00073171">
        <w:rPr>
          <w:color w:val="000000" w:themeColor="text1"/>
        </w:rPr>
        <w:t xml:space="preserve"> during the </w:t>
      </w:r>
      <w:r w:rsidR="003E3535" w:rsidRPr="00073171">
        <w:rPr>
          <w:color w:val="000000" w:themeColor="text1"/>
        </w:rPr>
        <w:t>final group session</w:t>
      </w:r>
      <w:r w:rsidRPr="00073171">
        <w:rPr>
          <w:color w:val="000000" w:themeColor="text1"/>
        </w:rPr>
        <w:t xml:space="preserve"> to </w:t>
      </w:r>
      <w:r w:rsidR="006C6B01" w:rsidRPr="00073171">
        <w:rPr>
          <w:color w:val="000000" w:themeColor="text1"/>
        </w:rPr>
        <w:t xml:space="preserve">share </w:t>
      </w:r>
      <w:r w:rsidRPr="00073171">
        <w:rPr>
          <w:color w:val="000000" w:themeColor="text1"/>
        </w:rPr>
        <w:t>their perception</w:t>
      </w:r>
      <w:r w:rsidR="009334A9" w:rsidRPr="00073171">
        <w:rPr>
          <w:color w:val="000000" w:themeColor="text1"/>
        </w:rPr>
        <w:t>s</w:t>
      </w:r>
      <w:r w:rsidRPr="00073171">
        <w:rPr>
          <w:color w:val="000000" w:themeColor="text1"/>
        </w:rPr>
        <w:t xml:space="preserve"> of the acceptability of the intervention</w:t>
      </w:r>
      <w:r w:rsidR="006C6B01" w:rsidRPr="00073171">
        <w:rPr>
          <w:color w:val="000000" w:themeColor="text1"/>
        </w:rPr>
        <w:t xml:space="preserve"> orally or via email</w:t>
      </w:r>
      <w:r w:rsidRPr="00073171">
        <w:rPr>
          <w:color w:val="000000" w:themeColor="text1"/>
        </w:rPr>
        <w:t>.</w:t>
      </w:r>
    </w:p>
    <w:p w14:paraId="4A7F0179" w14:textId="77777777" w:rsidR="00F131F3" w:rsidRPr="00073171" w:rsidRDefault="00F131F3" w:rsidP="00141178">
      <w:pPr>
        <w:spacing w:line="480" w:lineRule="auto"/>
        <w:rPr>
          <w:b/>
          <w:color w:val="000000" w:themeColor="text1"/>
        </w:rPr>
      </w:pPr>
      <w:r w:rsidRPr="00073171">
        <w:rPr>
          <w:b/>
          <w:color w:val="000000" w:themeColor="text1"/>
        </w:rPr>
        <w:t>Statistical Analyses</w:t>
      </w:r>
    </w:p>
    <w:p w14:paraId="05686A7C" w14:textId="77777777" w:rsidR="00626EC2" w:rsidRPr="00073171" w:rsidRDefault="03C73090" w:rsidP="03C73090">
      <w:pPr>
        <w:spacing w:line="480" w:lineRule="auto"/>
        <w:ind w:firstLine="720"/>
        <w:rPr>
          <w:color w:val="000000" w:themeColor="text1"/>
          <w:highlight w:val="yellow"/>
        </w:rPr>
      </w:pPr>
      <w:r w:rsidRPr="00073171">
        <w:rPr>
          <w:color w:val="000000" w:themeColor="text1"/>
        </w:rPr>
        <w:t>All analyses were conducted with R in RStudio, version 3.5.2 (R Core Team, 2019; RStudio Team, 2019). The following packages were used in analyses: tidyverse (Wickham et al., 2019), furniture (Barrett &amp; Brignone, 2017)</w:t>
      </w:r>
      <w:r w:rsidR="00626EC2" w:rsidRPr="00073171">
        <w:rPr>
          <w:color w:val="000000" w:themeColor="text1"/>
        </w:rPr>
        <w:fldChar w:fldCharType="begin"/>
      </w:r>
      <w:r w:rsidR="00626EC2" w:rsidRPr="00073171">
        <w:rPr>
          <w:color w:val="000000" w:themeColor="text1"/>
        </w:rPr>
        <w:instrText xml:space="preserve"> ADDIN EN.CITE &lt;EndNote&gt;&lt;Cite&gt;&lt;Author&gt;Barrett&lt;/Author&gt;&lt;Year&gt;2017&lt;/Year&gt;&lt;RecNum&gt;3591&lt;/RecNum&gt;&lt;DisplayText&gt;(T. S. Barrett &amp;amp; Brignone, 2017)&lt;/DisplayText&gt;&lt;record&gt;&lt;rec-number&gt;3591&lt;/rec-number&gt;&lt;foreign-keys&gt;&lt;key app="EN" db-id="aswwv2arms2dxme5p56p0azv59z2wzpervtw" timestamp="1555284057"&gt;3591&lt;/key&gt;&lt;/foreign-keys&gt;&lt;ref-type name="Journal Article"&gt;17&lt;/ref-type&gt;&lt;contributors&gt;&lt;authors&gt;&lt;author&gt;Barrett, T. S.&lt;/author&gt;&lt;author&gt;Brignone, E.&lt;/author&gt;&lt;/authors&gt;&lt;/contributors&gt;&lt;titles&gt;&lt;title&gt;Furniture for quantitative scientists&lt;/title&gt;&lt;secondary-title&gt;R Journal&lt;/secondary-title&gt;&lt;/titles&gt;&lt;periodical&gt;&lt;full-title&gt;R Journal&lt;/full-title&gt;&lt;/periodical&gt;&lt;volume&gt;9&lt;/volume&gt;&lt;dates&gt;&lt;year&gt;2017&lt;/year&gt;&lt;/dates&gt;&lt;urls&gt;&lt;/urls&gt;&lt;/record&gt;&lt;/Cite&gt;&lt;/EndNote&gt;</w:instrText>
      </w:r>
      <w:r w:rsidR="00626EC2" w:rsidRPr="00073171">
        <w:rPr>
          <w:color w:val="000000" w:themeColor="text1"/>
        </w:rPr>
        <w:fldChar w:fldCharType="end"/>
      </w:r>
      <w:r w:rsidRPr="00073171">
        <w:rPr>
          <w:color w:val="000000" w:themeColor="text1"/>
        </w:rPr>
        <w:t>, magrittr (Bache &amp; Wickham, 2014), lubridate (Grolemund &amp; Wickham, 2011), lmerTest (Kuznetsova, Brockhoff, &amp; Christensen, 2017), texreg (Leifeld, 2013), effectsize (Makowski et al., 2020), and psych (Revelle, 2018).</w:t>
      </w:r>
    </w:p>
    <w:p w14:paraId="11C9BD43" w14:textId="23D20698" w:rsidR="00626EC2" w:rsidRPr="00073171" w:rsidRDefault="00626EC2" w:rsidP="00626EC2">
      <w:pPr>
        <w:spacing w:line="480" w:lineRule="auto"/>
        <w:ind w:firstLine="720"/>
        <w:rPr>
          <w:color w:val="000000" w:themeColor="text1"/>
        </w:rPr>
      </w:pPr>
      <w:r w:rsidRPr="00073171">
        <w:rPr>
          <w:color w:val="000000" w:themeColor="text1"/>
        </w:rPr>
        <w:t>Multilevel models (MLMs) were used to evaluate between</w:t>
      </w:r>
      <w:r w:rsidR="008508F3" w:rsidRPr="00073171">
        <w:rPr>
          <w:color w:val="000000" w:themeColor="text1"/>
        </w:rPr>
        <w:t>-</w:t>
      </w:r>
      <w:r w:rsidRPr="00073171">
        <w:rPr>
          <w:color w:val="000000" w:themeColor="text1"/>
        </w:rPr>
        <w:t xml:space="preserve">group differences over time on </w:t>
      </w:r>
      <w:r w:rsidR="00E30ED9" w:rsidRPr="00073171">
        <w:rPr>
          <w:color w:val="000000" w:themeColor="text1"/>
        </w:rPr>
        <w:t>each outcome variable (6 total)</w:t>
      </w:r>
      <w:r w:rsidR="00CD5B3E" w:rsidRPr="00073171">
        <w:rPr>
          <w:color w:val="000000" w:themeColor="text1"/>
        </w:rPr>
        <w:t xml:space="preserve"> and with the full sample, </w:t>
      </w:r>
      <w:r w:rsidR="00B30BF4" w:rsidRPr="00073171">
        <w:rPr>
          <w:color w:val="000000" w:themeColor="text1"/>
        </w:rPr>
        <w:t>School</w:t>
      </w:r>
      <w:r w:rsidR="0035336D" w:rsidRPr="00073171">
        <w:rPr>
          <w:color w:val="000000" w:themeColor="text1"/>
        </w:rPr>
        <w:t xml:space="preserve"> A</w:t>
      </w:r>
      <w:r w:rsidR="00CD5B3E" w:rsidRPr="00073171">
        <w:rPr>
          <w:color w:val="000000" w:themeColor="text1"/>
        </w:rPr>
        <w:t xml:space="preserve"> students only, and </w:t>
      </w:r>
      <w:r w:rsidR="00B30BF4" w:rsidRPr="00073171">
        <w:rPr>
          <w:color w:val="000000" w:themeColor="text1"/>
        </w:rPr>
        <w:t>School</w:t>
      </w:r>
      <w:r w:rsidR="005E6E8B" w:rsidRPr="00073171">
        <w:rPr>
          <w:color w:val="000000" w:themeColor="text1"/>
        </w:rPr>
        <w:t xml:space="preserve"> </w:t>
      </w:r>
      <w:r w:rsidR="0035336D" w:rsidRPr="00073171">
        <w:rPr>
          <w:color w:val="000000" w:themeColor="text1"/>
        </w:rPr>
        <w:lastRenderedPageBreak/>
        <w:t>B</w:t>
      </w:r>
      <w:r w:rsidR="00CD5B3E" w:rsidRPr="00073171">
        <w:rPr>
          <w:color w:val="000000" w:themeColor="text1"/>
        </w:rPr>
        <w:t xml:space="preserve"> students only</w:t>
      </w:r>
      <w:r w:rsidR="00E30ED9" w:rsidRPr="00073171">
        <w:rPr>
          <w:color w:val="000000" w:themeColor="text1"/>
        </w:rPr>
        <w:t>.</w:t>
      </w:r>
      <w:r w:rsidRPr="00073171">
        <w:rPr>
          <w:color w:val="000000" w:themeColor="text1"/>
        </w:rPr>
        <w:t xml:space="preserve"> </w:t>
      </w:r>
      <w:r w:rsidR="00436CBD" w:rsidRPr="00073171">
        <w:rPr>
          <w:color w:val="000000" w:themeColor="text1"/>
        </w:rPr>
        <w:t>Only MLMs for the full sample are reported due to negligible differences between results.</w:t>
      </w:r>
    </w:p>
    <w:p w14:paraId="5F49279C" w14:textId="77777777" w:rsidR="0077422B" w:rsidRPr="00073171" w:rsidRDefault="00C47CE5" w:rsidP="0077422B">
      <w:pPr>
        <w:spacing w:line="480" w:lineRule="auto"/>
        <w:ind w:firstLine="720"/>
        <w:rPr>
          <w:iCs/>
          <w:color w:val="000000" w:themeColor="text1"/>
        </w:rPr>
      </w:pPr>
      <w:r w:rsidRPr="00073171">
        <w:rPr>
          <w:color w:val="000000" w:themeColor="text1"/>
        </w:rPr>
        <w:t>For each outcome variable</w:t>
      </w:r>
      <w:r w:rsidR="006765D8" w:rsidRPr="00073171">
        <w:rPr>
          <w:color w:val="000000" w:themeColor="text1"/>
        </w:rPr>
        <w:t>,</w:t>
      </w:r>
      <w:r w:rsidRPr="00073171">
        <w:rPr>
          <w:color w:val="000000" w:themeColor="text1"/>
        </w:rPr>
        <w:t xml:space="preserve"> a series of nested models were fitted beginning with a null model (only random intercepts). A fixed effect of time (based on number of weeks since baseline) was added into the second model and a fixed effect of condition (group ACT vs. waitlist) was added into the third model. The fourth model included both time and condition as separate fixed effects and the fifth model included a time by condition interaction. All models included one random intercept for individual participants. Each model was compared to the previously determined best-fitting model (e.g., null model was compared to time-only model, and then time-only compared to condition-only, and so forth). This comparison was completed using likelihood ration tests at </w:t>
      </w:r>
      <w:r w:rsidRPr="00073171">
        <w:rPr>
          <w:i/>
          <w:iCs/>
          <w:color w:val="000000" w:themeColor="text1"/>
        </w:rPr>
        <w:t>p</w:t>
      </w:r>
      <w:r w:rsidRPr="00073171">
        <w:rPr>
          <w:color w:val="000000" w:themeColor="text1"/>
        </w:rPr>
        <w:t xml:space="preserve"> &lt; .05. </w:t>
      </w:r>
      <w:r w:rsidRPr="00073171">
        <w:rPr>
          <w:iCs/>
          <w:color w:val="000000" w:themeColor="text1"/>
        </w:rPr>
        <w:t xml:space="preserve">Final models were estimated using the maximum likelihood criterion. Effect sizes using Hedges’ </w:t>
      </w:r>
      <w:r w:rsidRPr="00073171">
        <w:rPr>
          <w:i/>
          <w:color w:val="000000" w:themeColor="text1"/>
        </w:rPr>
        <w:t xml:space="preserve">g </w:t>
      </w:r>
      <w:r w:rsidRPr="00073171">
        <w:rPr>
          <w:iCs/>
          <w:color w:val="000000" w:themeColor="text1"/>
        </w:rPr>
        <w:t>were also calculated for between- and within-group changes across timepoints (pre-</w:t>
      </w:r>
      <w:r w:rsidR="00A52152" w:rsidRPr="00073171">
        <w:rPr>
          <w:iCs/>
          <w:color w:val="000000" w:themeColor="text1"/>
        </w:rPr>
        <w:t>treatment</w:t>
      </w:r>
      <w:r w:rsidRPr="00073171">
        <w:rPr>
          <w:iCs/>
          <w:color w:val="000000" w:themeColor="text1"/>
        </w:rPr>
        <w:t xml:space="preserve"> to post-</w:t>
      </w:r>
      <w:r w:rsidR="00A52152" w:rsidRPr="00073171">
        <w:rPr>
          <w:iCs/>
          <w:color w:val="000000" w:themeColor="text1"/>
        </w:rPr>
        <w:t>treatment</w:t>
      </w:r>
      <w:r w:rsidRPr="00073171">
        <w:rPr>
          <w:iCs/>
          <w:color w:val="000000" w:themeColor="text1"/>
        </w:rPr>
        <w:t xml:space="preserve"> and</w:t>
      </w:r>
      <w:r w:rsidR="002B6731" w:rsidRPr="00073171">
        <w:rPr>
          <w:iCs/>
          <w:color w:val="000000" w:themeColor="text1"/>
        </w:rPr>
        <w:t xml:space="preserve"> post-</w:t>
      </w:r>
      <w:r w:rsidR="00A52152" w:rsidRPr="00073171">
        <w:rPr>
          <w:iCs/>
          <w:color w:val="000000" w:themeColor="text1"/>
        </w:rPr>
        <w:t>treatment</w:t>
      </w:r>
      <w:r w:rsidR="002B6731" w:rsidRPr="00073171">
        <w:rPr>
          <w:iCs/>
          <w:color w:val="000000" w:themeColor="text1"/>
        </w:rPr>
        <w:t xml:space="preserve"> to</w:t>
      </w:r>
      <w:r w:rsidRPr="00073171">
        <w:rPr>
          <w:iCs/>
          <w:color w:val="000000" w:themeColor="text1"/>
        </w:rPr>
        <w:t xml:space="preserve"> follow-up).</w:t>
      </w:r>
    </w:p>
    <w:p w14:paraId="42056C54" w14:textId="27FAE5A8" w:rsidR="00C47CE5" w:rsidRPr="00073171" w:rsidRDefault="002A07FA" w:rsidP="0077422B">
      <w:pPr>
        <w:spacing w:line="480" w:lineRule="auto"/>
        <w:jc w:val="center"/>
        <w:rPr>
          <w:iCs/>
          <w:color w:val="000000" w:themeColor="text1"/>
        </w:rPr>
      </w:pPr>
      <w:r w:rsidRPr="00073171">
        <w:rPr>
          <w:b/>
          <w:bCs/>
          <w:iCs/>
          <w:color w:val="000000" w:themeColor="text1"/>
        </w:rPr>
        <w:t>Results</w:t>
      </w:r>
    </w:p>
    <w:p w14:paraId="422B973F" w14:textId="2DAAD80D" w:rsidR="00BD0200" w:rsidRPr="00073171" w:rsidRDefault="008E08D8" w:rsidP="00820F54">
      <w:pPr>
        <w:spacing w:line="480" w:lineRule="auto"/>
        <w:ind w:firstLine="720"/>
        <w:rPr>
          <w:iCs/>
          <w:color w:val="000000" w:themeColor="text1"/>
        </w:rPr>
      </w:pPr>
      <w:r w:rsidRPr="00073171">
        <w:rPr>
          <w:color w:val="000000" w:themeColor="text1"/>
        </w:rPr>
        <w:t xml:space="preserve">Demographic </w:t>
      </w:r>
      <w:r w:rsidR="007A0946" w:rsidRPr="00073171">
        <w:rPr>
          <w:color w:val="000000" w:themeColor="text1"/>
        </w:rPr>
        <w:t xml:space="preserve">characteristics </w:t>
      </w:r>
      <w:r w:rsidRPr="00073171">
        <w:rPr>
          <w:color w:val="000000" w:themeColor="text1"/>
        </w:rPr>
        <w:t xml:space="preserve">by sample and by condition can be found in Table </w:t>
      </w:r>
      <w:r w:rsidR="00F10FC6" w:rsidRPr="00073171">
        <w:rPr>
          <w:color w:val="000000" w:themeColor="text1"/>
        </w:rPr>
        <w:t>1</w:t>
      </w:r>
      <w:r w:rsidRPr="00073171">
        <w:rPr>
          <w:color w:val="000000" w:themeColor="text1"/>
        </w:rPr>
        <w:t xml:space="preserve">. No differences between </w:t>
      </w:r>
      <w:r w:rsidR="00D15CFB" w:rsidRPr="00073171">
        <w:rPr>
          <w:color w:val="000000" w:themeColor="text1"/>
        </w:rPr>
        <w:t>conditions</w:t>
      </w:r>
      <w:r w:rsidRPr="00073171">
        <w:rPr>
          <w:color w:val="000000" w:themeColor="text1"/>
        </w:rPr>
        <w:t xml:space="preserve"> were found across </w:t>
      </w:r>
      <w:r w:rsidR="000F3D54" w:rsidRPr="00073171">
        <w:rPr>
          <w:color w:val="000000" w:themeColor="text1"/>
        </w:rPr>
        <w:t xml:space="preserve">all outcome variables and </w:t>
      </w:r>
      <w:r w:rsidR="007A0946" w:rsidRPr="00073171">
        <w:rPr>
          <w:color w:val="000000" w:themeColor="text1"/>
        </w:rPr>
        <w:t xml:space="preserve">most demographic </w:t>
      </w:r>
      <w:r w:rsidR="00D15CFB" w:rsidRPr="00073171">
        <w:rPr>
          <w:color w:val="000000" w:themeColor="text1"/>
        </w:rPr>
        <w:t>variables</w:t>
      </w:r>
      <w:r w:rsidRPr="00073171">
        <w:rPr>
          <w:color w:val="000000" w:themeColor="text1"/>
        </w:rPr>
        <w:t xml:space="preserve"> </w:t>
      </w:r>
      <w:r w:rsidR="007A0946" w:rsidRPr="00073171">
        <w:rPr>
          <w:color w:val="000000" w:themeColor="text1"/>
        </w:rPr>
        <w:t xml:space="preserve">at </w:t>
      </w:r>
      <w:r w:rsidRPr="00073171">
        <w:rPr>
          <w:color w:val="000000" w:themeColor="text1"/>
        </w:rPr>
        <w:t xml:space="preserve">baseline (all </w:t>
      </w:r>
      <w:r w:rsidRPr="00073171">
        <w:rPr>
          <w:i/>
          <w:iCs/>
          <w:color w:val="000000" w:themeColor="text1"/>
        </w:rPr>
        <w:t>p</w:t>
      </w:r>
      <w:r w:rsidRPr="00073171">
        <w:rPr>
          <w:color w:val="000000" w:themeColor="text1"/>
        </w:rPr>
        <w:t>s &gt; .05)</w:t>
      </w:r>
      <w:r w:rsidR="007A0946" w:rsidRPr="00073171">
        <w:rPr>
          <w:color w:val="000000" w:themeColor="text1"/>
        </w:rPr>
        <w:t>, with the</w:t>
      </w:r>
      <w:r w:rsidR="00694D2D" w:rsidRPr="00073171">
        <w:rPr>
          <w:color w:val="000000" w:themeColor="text1"/>
        </w:rPr>
        <w:t xml:space="preserve"> except</w:t>
      </w:r>
      <w:r w:rsidR="007A0946" w:rsidRPr="00073171">
        <w:rPr>
          <w:color w:val="000000" w:themeColor="text1"/>
        </w:rPr>
        <w:t>ion of</w:t>
      </w:r>
      <w:r w:rsidR="00694D2D" w:rsidRPr="00073171">
        <w:rPr>
          <w:color w:val="000000" w:themeColor="text1"/>
        </w:rPr>
        <w:t xml:space="preserve"> ethnicity</w:t>
      </w:r>
      <w:r w:rsidRPr="00073171">
        <w:rPr>
          <w:color w:val="000000" w:themeColor="text1"/>
        </w:rPr>
        <w:t>.</w:t>
      </w:r>
      <w:r w:rsidR="00D15CFB" w:rsidRPr="00073171">
        <w:rPr>
          <w:color w:val="000000" w:themeColor="text1"/>
        </w:rPr>
        <w:t xml:space="preserve"> </w:t>
      </w:r>
      <w:r w:rsidR="00563571" w:rsidRPr="00073171">
        <w:rPr>
          <w:color w:val="000000" w:themeColor="text1"/>
        </w:rPr>
        <w:t>S</w:t>
      </w:r>
      <w:r w:rsidR="005E0C40" w:rsidRPr="00073171">
        <w:rPr>
          <w:color w:val="000000" w:themeColor="text1"/>
        </w:rPr>
        <w:t>chool B</w:t>
      </w:r>
      <w:r w:rsidR="00D15CFB" w:rsidRPr="00073171">
        <w:rPr>
          <w:color w:val="000000" w:themeColor="text1"/>
        </w:rPr>
        <w:t xml:space="preserve"> </w:t>
      </w:r>
      <w:r w:rsidR="00694D2D" w:rsidRPr="00073171">
        <w:rPr>
          <w:color w:val="000000" w:themeColor="text1"/>
        </w:rPr>
        <w:t>reported</w:t>
      </w:r>
      <w:r w:rsidR="00D15CFB" w:rsidRPr="00073171">
        <w:rPr>
          <w:color w:val="000000" w:themeColor="text1"/>
        </w:rPr>
        <w:t xml:space="preserve"> significantly more participants who identified as Hispanic/Latinx (</w:t>
      </w:r>
      <w:r w:rsidR="00FC03D3" w:rsidRPr="00073171">
        <w:rPr>
          <w:color w:val="000000" w:themeColor="text1"/>
        </w:rPr>
        <w:t>37.5</w:t>
      </w:r>
      <w:r w:rsidR="00D15CFB" w:rsidRPr="00073171">
        <w:rPr>
          <w:color w:val="000000" w:themeColor="text1"/>
        </w:rPr>
        <w:t>%</w:t>
      </w:r>
      <w:r w:rsidR="00FC03D3" w:rsidRPr="00073171">
        <w:rPr>
          <w:color w:val="000000" w:themeColor="text1"/>
        </w:rPr>
        <w:t xml:space="preserve"> as compared to 0%</w:t>
      </w:r>
      <w:r w:rsidR="00D15CFB" w:rsidRPr="00073171">
        <w:rPr>
          <w:color w:val="000000" w:themeColor="text1"/>
        </w:rPr>
        <w:t xml:space="preserve">, </w:t>
      </w:r>
      <w:r w:rsidR="009E5B47" w:rsidRPr="00073171">
        <w:rPr>
          <w:i/>
          <w:iCs/>
          <w:color w:val="000000" w:themeColor="text1"/>
        </w:rPr>
        <w:t xml:space="preserve">p </w:t>
      </w:r>
      <w:r w:rsidR="009E5B47" w:rsidRPr="00073171">
        <w:rPr>
          <w:color w:val="000000" w:themeColor="text1"/>
        </w:rPr>
        <w:t>= .02)</w:t>
      </w:r>
      <w:r w:rsidR="00861299" w:rsidRPr="00765D4B">
        <w:rPr>
          <w:iCs/>
          <w:color w:val="000000" w:themeColor="text1"/>
        </w:rPr>
        <w:t>.</w:t>
      </w:r>
      <w:r w:rsidR="00861299">
        <w:rPr>
          <w:iCs/>
          <w:color w:val="000000" w:themeColor="text1"/>
        </w:rPr>
        <w:t xml:space="preserve"> </w:t>
      </w:r>
      <w:r w:rsidR="00412B86" w:rsidRPr="00073171">
        <w:rPr>
          <w:iCs/>
          <w:color w:val="000000" w:themeColor="text1"/>
        </w:rPr>
        <w:t xml:space="preserve">For the full sample, group attendance was 75.6% on average, with </w:t>
      </w:r>
      <w:r w:rsidR="00563571" w:rsidRPr="00073171">
        <w:rPr>
          <w:iCs/>
          <w:color w:val="000000" w:themeColor="text1"/>
        </w:rPr>
        <w:t>S</w:t>
      </w:r>
      <w:r w:rsidR="005E0C40" w:rsidRPr="00073171">
        <w:rPr>
          <w:iCs/>
          <w:color w:val="000000" w:themeColor="text1"/>
        </w:rPr>
        <w:t>chool A</w:t>
      </w:r>
      <w:r w:rsidR="00412B86" w:rsidRPr="00073171">
        <w:rPr>
          <w:iCs/>
          <w:color w:val="000000" w:themeColor="text1"/>
        </w:rPr>
        <w:t xml:space="preserve"> students attending a mean of 9.7 of 16, half-hour biweekly sessions and </w:t>
      </w:r>
      <w:r w:rsidR="00563571" w:rsidRPr="00073171">
        <w:rPr>
          <w:iCs/>
          <w:color w:val="000000" w:themeColor="text1"/>
        </w:rPr>
        <w:t>S</w:t>
      </w:r>
      <w:r w:rsidR="00432ECC" w:rsidRPr="00073171">
        <w:rPr>
          <w:iCs/>
          <w:color w:val="000000" w:themeColor="text1"/>
        </w:rPr>
        <w:t>chool B</w:t>
      </w:r>
      <w:r w:rsidR="00412B86" w:rsidRPr="00073171">
        <w:rPr>
          <w:iCs/>
          <w:color w:val="000000" w:themeColor="text1"/>
        </w:rPr>
        <w:t xml:space="preserve"> students attending a mean of 7.25 of 8, </w:t>
      </w:r>
      <w:r w:rsidR="002926B8">
        <w:rPr>
          <w:iCs/>
          <w:color w:val="000000" w:themeColor="text1"/>
        </w:rPr>
        <w:t>one</w:t>
      </w:r>
      <w:r w:rsidR="00412B86" w:rsidRPr="00073171">
        <w:rPr>
          <w:iCs/>
          <w:color w:val="000000" w:themeColor="text1"/>
        </w:rPr>
        <w:t>-hour weekly sessions</w:t>
      </w:r>
      <w:r w:rsidR="00CC7A71">
        <w:rPr>
          <w:iCs/>
          <w:color w:val="000000" w:themeColor="text1"/>
        </w:rPr>
        <w:t xml:space="preserve">. </w:t>
      </w:r>
      <w:r w:rsidR="00F94403" w:rsidRPr="00073171">
        <w:rPr>
          <w:iCs/>
          <w:color w:val="000000" w:themeColor="text1"/>
        </w:rPr>
        <w:t>There were no treatment drop-outs</w:t>
      </w:r>
      <w:r w:rsidR="009F627D" w:rsidRPr="00073171">
        <w:rPr>
          <w:iCs/>
          <w:color w:val="000000" w:themeColor="text1"/>
        </w:rPr>
        <w:t xml:space="preserve"> (i.e., participants who missed at least 75% of sessions)</w:t>
      </w:r>
      <w:r w:rsidR="00F94403" w:rsidRPr="00073171">
        <w:rPr>
          <w:iCs/>
          <w:color w:val="000000" w:themeColor="text1"/>
        </w:rPr>
        <w:t xml:space="preserve">, but </w:t>
      </w:r>
      <w:r w:rsidR="00F6226C">
        <w:rPr>
          <w:iCs/>
          <w:color w:val="000000" w:themeColor="text1"/>
        </w:rPr>
        <w:t>two</w:t>
      </w:r>
      <w:r w:rsidR="00F94403" w:rsidRPr="00073171">
        <w:rPr>
          <w:iCs/>
          <w:color w:val="000000" w:themeColor="text1"/>
        </w:rPr>
        <w:t xml:space="preserve"> participants in the ACT condition </w:t>
      </w:r>
      <w:r w:rsidR="00DC10B6" w:rsidRPr="00073171">
        <w:rPr>
          <w:iCs/>
          <w:color w:val="000000" w:themeColor="text1"/>
        </w:rPr>
        <w:t>at</w:t>
      </w:r>
      <w:r w:rsidR="00563571" w:rsidRPr="00073171">
        <w:rPr>
          <w:iCs/>
          <w:color w:val="000000" w:themeColor="text1"/>
        </w:rPr>
        <w:t xml:space="preserve"> </w:t>
      </w:r>
      <w:r w:rsidR="00563571" w:rsidRPr="00073171">
        <w:rPr>
          <w:iCs/>
          <w:color w:val="000000" w:themeColor="text1"/>
        </w:rPr>
        <w:lastRenderedPageBreak/>
        <w:t>S</w:t>
      </w:r>
      <w:r w:rsidR="005E0C40" w:rsidRPr="00073171">
        <w:rPr>
          <w:iCs/>
          <w:color w:val="000000" w:themeColor="text1"/>
        </w:rPr>
        <w:t>chool A</w:t>
      </w:r>
      <w:r w:rsidR="00094B6B" w:rsidRPr="00073171">
        <w:rPr>
          <w:iCs/>
          <w:color w:val="000000" w:themeColor="text1"/>
        </w:rPr>
        <w:t xml:space="preserve"> </w:t>
      </w:r>
      <w:r w:rsidR="00F94403" w:rsidRPr="00073171">
        <w:rPr>
          <w:iCs/>
          <w:color w:val="000000" w:themeColor="text1"/>
        </w:rPr>
        <w:t xml:space="preserve">did not attend any sessions, although </w:t>
      </w:r>
      <w:r w:rsidR="007A0946" w:rsidRPr="00073171">
        <w:rPr>
          <w:iCs/>
          <w:color w:val="000000" w:themeColor="text1"/>
        </w:rPr>
        <w:t xml:space="preserve">they </w:t>
      </w:r>
      <w:r w:rsidR="00F94403" w:rsidRPr="00073171">
        <w:rPr>
          <w:iCs/>
          <w:color w:val="000000" w:themeColor="text1"/>
        </w:rPr>
        <w:t>still completed measures</w:t>
      </w:r>
      <w:r w:rsidR="000F3D54" w:rsidRPr="00073171">
        <w:rPr>
          <w:iCs/>
          <w:color w:val="000000" w:themeColor="text1"/>
        </w:rPr>
        <w:t xml:space="preserve"> at all timepoints</w:t>
      </w:r>
      <w:r w:rsidR="00F94403" w:rsidRPr="00073171">
        <w:rPr>
          <w:iCs/>
          <w:color w:val="000000" w:themeColor="text1"/>
        </w:rPr>
        <w:t>.</w:t>
      </w:r>
      <w:r w:rsidR="00F30BB3">
        <w:rPr>
          <w:iCs/>
          <w:color w:val="000000" w:themeColor="text1"/>
        </w:rPr>
        <w:t xml:space="preserve"> </w:t>
      </w:r>
      <w:r w:rsidR="00CC7A71">
        <w:rPr>
          <w:iCs/>
          <w:color w:val="000000" w:themeColor="text1"/>
        </w:rPr>
        <w:t>Without t</w:t>
      </w:r>
      <w:r w:rsidR="003C5723">
        <w:rPr>
          <w:iCs/>
          <w:color w:val="000000" w:themeColor="text1"/>
        </w:rPr>
        <w:t xml:space="preserve">he inclusion of these </w:t>
      </w:r>
      <w:r w:rsidR="00CC7A71">
        <w:rPr>
          <w:iCs/>
          <w:color w:val="000000" w:themeColor="text1"/>
        </w:rPr>
        <w:t>two students at School A, the average session attendance was 12.42 of 16</w:t>
      </w:r>
      <w:r w:rsidR="00CC7A71" w:rsidRPr="00CC7A71">
        <w:rPr>
          <w:iCs/>
          <w:color w:val="000000" w:themeColor="text1"/>
        </w:rPr>
        <w:t xml:space="preserve"> </w:t>
      </w:r>
      <w:r w:rsidR="00CC7A71" w:rsidRPr="00073171">
        <w:rPr>
          <w:iCs/>
          <w:color w:val="000000" w:themeColor="text1"/>
        </w:rPr>
        <w:t>half-hour biweekly sessions</w:t>
      </w:r>
      <w:r w:rsidR="00CC7A71">
        <w:rPr>
          <w:iCs/>
          <w:color w:val="000000" w:themeColor="text1"/>
        </w:rPr>
        <w:t xml:space="preserve">. </w:t>
      </w:r>
      <w:r w:rsidR="00442995">
        <w:rPr>
          <w:iCs/>
          <w:color w:val="000000" w:themeColor="text1"/>
        </w:rPr>
        <w:t>These two students were included in the reported analyses to present the most conservative approach; however, when removed from the sample, the results were the same</w:t>
      </w:r>
      <w:r w:rsidR="00CC7A71" w:rsidRPr="00073171">
        <w:rPr>
          <w:iCs/>
          <w:color w:val="000000" w:themeColor="text1"/>
        </w:rPr>
        <w:t>.</w:t>
      </w:r>
      <w:r w:rsidR="002B6FAF">
        <w:rPr>
          <w:iCs/>
          <w:color w:val="000000" w:themeColor="text1"/>
        </w:rPr>
        <w:t xml:space="preserve"> It is also important to note that nine participants</w:t>
      </w:r>
      <w:r w:rsidR="002B6FAF" w:rsidRPr="00765D4B">
        <w:rPr>
          <w:iCs/>
          <w:color w:val="000000" w:themeColor="text1"/>
        </w:rPr>
        <w:t xml:space="preserve"> (34.6%</w:t>
      </w:r>
      <w:r w:rsidR="002B6FAF">
        <w:rPr>
          <w:iCs/>
          <w:color w:val="000000" w:themeColor="text1"/>
        </w:rPr>
        <w:t xml:space="preserve"> of the total N</w:t>
      </w:r>
      <w:r w:rsidR="002B6FAF" w:rsidRPr="00765D4B">
        <w:rPr>
          <w:iCs/>
          <w:color w:val="000000" w:themeColor="text1"/>
        </w:rPr>
        <w:t xml:space="preserve">) were receiving therapy outside of school and </w:t>
      </w:r>
      <w:r w:rsidR="002B6FAF">
        <w:rPr>
          <w:iCs/>
          <w:color w:val="000000" w:themeColor="text1"/>
        </w:rPr>
        <w:t>seven</w:t>
      </w:r>
      <w:r w:rsidR="002B6FAF" w:rsidRPr="00765D4B">
        <w:rPr>
          <w:iCs/>
          <w:color w:val="000000" w:themeColor="text1"/>
        </w:rPr>
        <w:t xml:space="preserve"> (26.9%) were </w:t>
      </w:r>
      <w:r w:rsidR="002B6FAF">
        <w:rPr>
          <w:iCs/>
          <w:color w:val="000000" w:themeColor="text1"/>
        </w:rPr>
        <w:t xml:space="preserve">on </w:t>
      </w:r>
      <w:r w:rsidR="002B6FAF" w:rsidRPr="00765D4B">
        <w:rPr>
          <w:iCs/>
          <w:color w:val="000000" w:themeColor="text1"/>
        </w:rPr>
        <w:t>medication</w:t>
      </w:r>
      <w:r w:rsidR="00624CB6">
        <w:rPr>
          <w:iCs/>
          <w:color w:val="000000" w:themeColor="text1"/>
        </w:rPr>
        <w:t>.</w:t>
      </w:r>
    </w:p>
    <w:p w14:paraId="4359D3FE" w14:textId="484E2C3A" w:rsidR="0098651A" w:rsidRPr="00073171" w:rsidRDefault="00D15D87" w:rsidP="0098651A">
      <w:pPr>
        <w:spacing w:line="480" w:lineRule="auto"/>
        <w:rPr>
          <w:b/>
          <w:bCs/>
          <w:iCs/>
          <w:color w:val="000000" w:themeColor="text1"/>
        </w:rPr>
      </w:pPr>
      <w:r w:rsidRPr="00073171">
        <w:rPr>
          <w:b/>
          <w:bCs/>
          <w:iCs/>
          <w:color w:val="000000" w:themeColor="text1"/>
        </w:rPr>
        <w:t>Effect of therapy pre-</w:t>
      </w:r>
      <w:r w:rsidR="00FB18C8" w:rsidRPr="00073171">
        <w:rPr>
          <w:b/>
          <w:bCs/>
          <w:iCs/>
          <w:color w:val="000000" w:themeColor="text1"/>
        </w:rPr>
        <w:t>treatment</w:t>
      </w:r>
      <w:r w:rsidRPr="00073171">
        <w:rPr>
          <w:b/>
          <w:bCs/>
          <w:iCs/>
          <w:color w:val="000000" w:themeColor="text1"/>
        </w:rPr>
        <w:t xml:space="preserve"> to</w:t>
      </w:r>
      <w:r w:rsidR="000F3D54" w:rsidRPr="00073171">
        <w:rPr>
          <w:b/>
          <w:bCs/>
          <w:iCs/>
          <w:color w:val="000000" w:themeColor="text1"/>
        </w:rPr>
        <w:t xml:space="preserve"> post-treatment and</w:t>
      </w:r>
      <w:r w:rsidRPr="00073171">
        <w:rPr>
          <w:b/>
          <w:bCs/>
          <w:iCs/>
          <w:color w:val="000000" w:themeColor="text1"/>
        </w:rPr>
        <w:t xml:space="preserve"> one month follow-up</w:t>
      </w:r>
    </w:p>
    <w:p w14:paraId="40BAC8DD" w14:textId="5C8D04D1" w:rsidR="009D3C41" w:rsidRPr="00073171" w:rsidRDefault="00EF5C51" w:rsidP="00EF5C51">
      <w:pPr>
        <w:spacing w:line="480" w:lineRule="auto"/>
        <w:ind w:firstLine="720"/>
        <w:rPr>
          <w:iCs/>
          <w:color w:val="000000" w:themeColor="text1"/>
        </w:rPr>
      </w:pPr>
      <w:r w:rsidRPr="00073171">
        <w:rPr>
          <w:color w:val="000000" w:themeColor="text1"/>
        </w:rPr>
        <w:t xml:space="preserve">Means and standard deviations for all measures at all timepoints in the full sample can be found in Table </w:t>
      </w:r>
      <w:r w:rsidR="00F10FC6" w:rsidRPr="00073171">
        <w:rPr>
          <w:color w:val="000000" w:themeColor="text1"/>
        </w:rPr>
        <w:t>2</w:t>
      </w:r>
      <w:r w:rsidRPr="00073171">
        <w:rPr>
          <w:color w:val="000000" w:themeColor="text1"/>
        </w:rPr>
        <w:t xml:space="preserve">. </w:t>
      </w:r>
      <w:r w:rsidR="00412801">
        <w:rPr>
          <w:color w:val="000000" w:themeColor="text1"/>
        </w:rPr>
        <w:t xml:space="preserve">Means and standard deviations for the SCARED subscales can be found in Table 3. </w:t>
      </w:r>
      <w:r w:rsidRPr="00073171">
        <w:rPr>
          <w:color w:val="000000" w:themeColor="text1"/>
        </w:rPr>
        <w:t xml:space="preserve">Effect sizes for within- and between-groups for the full sample can be found in Table </w:t>
      </w:r>
      <w:r w:rsidR="00412801">
        <w:rPr>
          <w:color w:val="000000" w:themeColor="text1"/>
        </w:rPr>
        <w:t>4</w:t>
      </w:r>
      <w:r w:rsidRPr="00073171">
        <w:rPr>
          <w:color w:val="000000" w:themeColor="text1"/>
        </w:rPr>
        <w:t xml:space="preserve">. </w:t>
      </w:r>
      <w:r w:rsidRPr="00073171">
        <w:rPr>
          <w:iCs/>
          <w:color w:val="000000" w:themeColor="text1"/>
        </w:rPr>
        <w:t xml:space="preserve">Estimated marginal means and 95% confidence intervals from best-fitting models can be found in Table </w:t>
      </w:r>
      <w:r w:rsidR="00412801">
        <w:rPr>
          <w:iCs/>
          <w:color w:val="000000" w:themeColor="text1"/>
        </w:rPr>
        <w:t>5</w:t>
      </w:r>
      <w:r w:rsidRPr="00073171">
        <w:rPr>
          <w:iCs/>
          <w:color w:val="000000" w:themeColor="text1"/>
        </w:rPr>
        <w:t>. There was a significant time by condition effect for</w:t>
      </w:r>
      <w:r w:rsidR="00627802" w:rsidRPr="00073171">
        <w:rPr>
          <w:iCs/>
          <w:color w:val="000000" w:themeColor="text1"/>
        </w:rPr>
        <w:t xml:space="preserve"> the primary outcome of </w:t>
      </w:r>
      <w:r w:rsidRPr="00073171">
        <w:rPr>
          <w:iCs/>
          <w:color w:val="000000" w:themeColor="text1"/>
        </w:rPr>
        <w:t>anxiety</w:t>
      </w:r>
      <w:r w:rsidR="00627802" w:rsidRPr="00073171">
        <w:rPr>
          <w:iCs/>
          <w:color w:val="000000" w:themeColor="text1"/>
        </w:rPr>
        <w:t xml:space="preserve"> symptoms</w:t>
      </w:r>
      <w:r w:rsidR="00234F0E" w:rsidRPr="00073171">
        <w:rPr>
          <w:iCs/>
          <w:color w:val="000000" w:themeColor="text1"/>
        </w:rPr>
        <w:t xml:space="preserve"> (</w:t>
      </w:r>
      <w:r w:rsidR="00234F0E" w:rsidRPr="00073171">
        <w:rPr>
          <w:i/>
          <w:color w:val="000000" w:themeColor="text1"/>
        </w:rPr>
        <w:t xml:space="preserve">p </w:t>
      </w:r>
      <w:r w:rsidR="00234F0E" w:rsidRPr="00073171">
        <w:rPr>
          <w:iCs/>
          <w:color w:val="000000" w:themeColor="text1"/>
        </w:rPr>
        <w:t>&lt; .05)</w:t>
      </w:r>
      <w:r w:rsidRPr="00073171">
        <w:rPr>
          <w:iCs/>
          <w:color w:val="000000" w:themeColor="text1"/>
        </w:rPr>
        <w:t xml:space="preserve">. </w:t>
      </w:r>
      <w:r w:rsidR="0098651A" w:rsidRPr="00073171">
        <w:rPr>
          <w:iCs/>
          <w:color w:val="000000" w:themeColor="text1"/>
        </w:rPr>
        <w:t>There was a greater decrease in anxiety in the participants who received group ACT as compared to the waitlist group over time</w:t>
      </w:r>
      <w:r w:rsidRPr="00073171">
        <w:rPr>
          <w:iCs/>
          <w:color w:val="000000" w:themeColor="text1"/>
        </w:rPr>
        <w:t xml:space="preserve"> (see Figure 2)</w:t>
      </w:r>
      <w:r w:rsidR="00C949DB" w:rsidRPr="00073171">
        <w:rPr>
          <w:iCs/>
          <w:color w:val="000000" w:themeColor="text1"/>
        </w:rPr>
        <w:t>, with</w:t>
      </w:r>
      <w:r w:rsidR="0098651A" w:rsidRPr="00073171">
        <w:rPr>
          <w:iCs/>
          <w:color w:val="000000" w:themeColor="text1"/>
        </w:rPr>
        <w:t xml:space="preserve"> a small group difference from pre- to post</w:t>
      </w:r>
      <w:r w:rsidR="001D7B25" w:rsidRPr="00073171">
        <w:rPr>
          <w:iCs/>
          <w:color w:val="000000" w:themeColor="text1"/>
        </w:rPr>
        <w:t>-</w:t>
      </w:r>
      <w:r w:rsidR="0098651A" w:rsidRPr="00073171">
        <w:rPr>
          <w:iCs/>
          <w:color w:val="000000" w:themeColor="text1"/>
        </w:rPr>
        <w:t xml:space="preserve">treatment (Hedges’ </w:t>
      </w:r>
      <w:r w:rsidR="0098651A" w:rsidRPr="00073171">
        <w:rPr>
          <w:i/>
          <w:iCs/>
          <w:color w:val="000000" w:themeColor="text1"/>
        </w:rPr>
        <w:t>g</w:t>
      </w:r>
      <w:r w:rsidR="0098651A" w:rsidRPr="00073171">
        <w:rPr>
          <w:iCs/>
          <w:color w:val="000000" w:themeColor="text1"/>
        </w:rPr>
        <w:t xml:space="preserve"> = -.38)</w:t>
      </w:r>
      <w:r w:rsidR="00893687" w:rsidRPr="00073171">
        <w:rPr>
          <w:iCs/>
          <w:color w:val="000000" w:themeColor="text1"/>
        </w:rPr>
        <w:t xml:space="preserve"> and </w:t>
      </w:r>
      <w:r w:rsidR="00E9028C" w:rsidRPr="00073171">
        <w:rPr>
          <w:iCs/>
          <w:color w:val="000000" w:themeColor="text1"/>
        </w:rPr>
        <w:t xml:space="preserve">a medium difference from </w:t>
      </w:r>
      <w:r w:rsidR="00893687" w:rsidRPr="00073171">
        <w:rPr>
          <w:iCs/>
          <w:color w:val="000000" w:themeColor="text1"/>
        </w:rPr>
        <w:t>post</w:t>
      </w:r>
      <w:r w:rsidR="00B8273E" w:rsidRPr="00073171">
        <w:rPr>
          <w:iCs/>
          <w:color w:val="000000" w:themeColor="text1"/>
        </w:rPr>
        <w:t>-treatment</w:t>
      </w:r>
      <w:r w:rsidR="00893687" w:rsidRPr="00073171">
        <w:rPr>
          <w:iCs/>
          <w:color w:val="000000" w:themeColor="text1"/>
        </w:rPr>
        <w:t xml:space="preserve"> to follow-up (Hedges’ </w:t>
      </w:r>
      <w:r w:rsidR="00893687" w:rsidRPr="00073171">
        <w:rPr>
          <w:i/>
          <w:color w:val="000000" w:themeColor="text1"/>
        </w:rPr>
        <w:t xml:space="preserve">g </w:t>
      </w:r>
      <w:r w:rsidR="00893687" w:rsidRPr="00073171">
        <w:rPr>
          <w:iCs/>
          <w:color w:val="000000" w:themeColor="text1"/>
        </w:rPr>
        <w:t>= -0.63)</w:t>
      </w:r>
      <w:r w:rsidR="00566D4B" w:rsidRPr="00073171">
        <w:rPr>
          <w:iCs/>
          <w:color w:val="000000" w:themeColor="text1"/>
        </w:rPr>
        <w:t>.</w:t>
      </w:r>
      <w:r w:rsidR="000A4383" w:rsidRPr="00073171">
        <w:rPr>
          <w:iCs/>
          <w:color w:val="000000" w:themeColor="text1"/>
        </w:rPr>
        <w:t xml:space="preserve"> </w:t>
      </w:r>
      <w:r w:rsidR="00951F86">
        <w:rPr>
          <w:iCs/>
          <w:color w:val="000000" w:themeColor="text1"/>
        </w:rPr>
        <w:t>For the subscales, comparable results were found and are thus not reported individually</w:t>
      </w:r>
      <w:r w:rsidR="00E02ACD">
        <w:rPr>
          <w:iCs/>
          <w:color w:val="000000" w:themeColor="text1"/>
        </w:rPr>
        <w:t>.</w:t>
      </w:r>
    </w:p>
    <w:p w14:paraId="7D22D867" w14:textId="5AD6AF73" w:rsidR="00EF5C51" w:rsidRPr="00073171" w:rsidRDefault="00EF5C51" w:rsidP="00EF5C51">
      <w:pPr>
        <w:spacing w:line="480" w:lineRule="auto"/>
        <w:ind w:firstLine="720"/>
        <w:rPr>
          <w:iCs/>
          <w:color w:val="000000" w:themeColor="text1"/>
        </w:rPr>
      </w:pPr>
      <w:r w:rsidRPr="00073171">
        <w:rPr>
          <w:iCs/>
          <w:color w:val="000000" w:themeColor="text1"/>
        </w:rPr>
        <w:t>There was also a significant time by condition effect for class absences</w:t>
      </w:r>
      <w:r w:rsidR="00F475D8" w:rsidRPr="00073171">
        <w:rPr>
          <w:iCs/>
          <w:color w:val="000000" w:themeColor="text1"/>
        </w:rPr>
        <w:t xml:space="preserve"> (</w:t>
      </w:r>
      <w:r w:rsidR="00F475D8" w:rsidRPr="00073171">
        <w:rPr>
          <w:i/>
          <w:color w:val="000000" w:themeColor="text1"/>
        </w:rPr>
        <w:t xml:space="preserve">p </w:t>
      </w:r>
      <w:r w:rsidR="00F475D8" w:rsidRPr="00073171">
        <w:rPr>
          <w:iCs/>
          <w:color w:val="000000" w:themeColor="text1"/>
        </w:rPr>
        <w:t>&lt; .05)</w:t>
      </w:r>
      <w:r w:rsidRPr="00073171">
        <w:rPr>
          <w:iCs/>
          <w:color w:val="000000" w:themeColor="text1"/>
        </w:rPr>
        <w:t xml:space="preserve">. There was a greater decrease in missed class periods in the participants who received group ACT as compared to the waitlist group over time (see Figure </w:t>
      </w:r>
      <w:r w:rsidR="00463E65" w:rsidRPr="00073171">
        <w:rPr>
          <w:iCs/>
          <w:color w:val="000000" w:themeColor="text1"/>
        </w:rPr>
        <w:t>3</w:t>
      </w:r>
      <w:r w:rsidRPr="00073171">
        <w:rPr>
          <w:iCs/>
          <w:color w:val="000000" w:themeColor="text1"/>
        </w:rPr>
        <w:t>)</w:t>
      </w:r>
      <w:r w:rsidR="009D3C41" w:rsidRPr="00073171">
        <w:rPr>
          <w:iCs/>
          <w:color w:val="000000" w:themeColor="text1"/>
        </w:rPr>
        <w:t>, with</w:t>
      </w:r>
      <w:r w:rsidRPr="00073171">
        <w:rPr>
          <w:iCs/>
          <w:color w:val="000000" w:themeColor="text1"/>
        </w:rPr>
        <w:t xml:space="preserve"> a small group difference from pre- to posttreatment (Hedges’ </w:t>
      </w:r>
      <w:r w:rsidRPr="00073171">
        <w:rPr>
          <w:i/>
          <w:iCs/>
          <w:color w:val="000000" w:themeColor="text1"/>
        </w:rPr>
        <w:t>g</w:t>
      </w:r>
      <w:r w:rsidRPr="00073171">
        <w:rPr>
          <w:iCs/>
          <w:color w:val="000000" w:themeColor="text1"/>
        </w:rPr>
        <w:t xml:space="preserve"> = -0.11). Effect sizes also indicated medium (</w:t>
      </w:r>
      <w:r w:rsidR="007A0946" w:rsidRPr="00073171">
        <w:rPr>
          <w:iCs/>
          <w:color w:val="000000" w:themeColor="text1"/>
        </w:rPr>
        <w:t xml:space="preserve">Hedges’ </w:t>
      </w:r>
      <w:r w:rsidRPr="00073171">
        <w:rPr>
          <w:i/>
          <w:color w:val="000000" w:themeColor="text1"/>
        </w:rPr>
        <w:t xml:space="preserve">g </w:t>
      </w:r>
      <w:r w:rsidRPr="00073171">
        <w:rPr>
          <w:iCs/>
          <w:color w:val="000000" w:themeColor="text1"/>
        </w:rPr>
        <w:t>= -.50) decrease in missed class periods from pre- to post-treatment in the treatment group.</w:t>
      </w:r>
    </w:p>
    <w:p w14:paraId="289B39AE" w14:textId="297145D5" w:rsidR="002A7B65" w:rsidRPr="00073171" w:rsidRDefault="00B84B5F" w:rsidP="006C1843">
      <w:pPr>
        <w:spacing w:line="480" w:lineRule="auto"/>
        <w:ind w:firstLine="720"/>
        <w:rPr>
          <w:iCs/>
          <w:color w:val="000000" w:themeColor="text1"/>
        </w:rPr>
      </w:pPr>
      <w:r w:rsidRPr="00073171">
        <w:rPr>
          <w:iCs/>
          <w:color w:val="000000" w:themeColor="text1"/>
        </w:rPr>
        <w:lastRenderedPageBreak/>
        <w:t>Statistically s</w:t>
      </w:r>
      <w:r w:rsidR="00EF5C51" w:rsidRPr="00073171">
        <w:rPr>
          <w:iCs/>
          <w:color w:val="000000" w:themeColor="text1"/>
        </w:rPr>
        <w:t>ignificant time by condition interactions were not found for other outcomes</w:t>
      </w:r>
      <w:r w:rsidR="006C1843" w:rsidRPr="00073171">
        <w:rPr>
          <w:iCs/>
          <w:color w:val="000000" w:themeColor="text1"/>
        </w:rPr>
        <w:t>.</w:t>
      </w:r>
      <w:r w:rsidR="00830090" w:rsidRPr="00073171">
        <w:rPr>
          <w:iCs/>
          <w:color w:val="000000" w:themeColor="text1"/>
        </w:rPr>
        <w:t xml:space="preserve"> </w:t>
      </w:r>
      <w:r w:rsidRPr="00073171">
        <w:rPr>
          <w:iCs/>
          <w:color w:val="000000" w:themeColor="text1"/>
        </w:rPr>
        <w:t>Yet w</w:t>
      </w:r>
      <w:r w:rsidR="00830090" w:rsidRPr="00073171">
        <w:rPr>
          <w:iCs/>
          <w:color w:val="000000" w:themeColor="text1"/>
        </w:rPr>
        <w:t>ithin-condition</w:t>
      </w:r>
      <w:r w:rsidR="006C1843" w:rsidRPr="00073171">
        <w:rPr>
          <w:iCs/>
          <w:color w:val="000000" w:themeColor="text1"/>
        </w:rPr>
        <w:t xml:space="preserve"> </w:t>
      </w:r>
      <w:r w:rsidR="00830090" w:rsidRPr="00073171">
        <w:rPr>
          <w:iCs/>
          <w:color w:val="000000" w:themeColor="text1"/>
        </w:rPr>
        <w:t>e</w:t>
      </w:r>
      <w:r w:rsidR="006C1843" w:rsidRPr="00073171">
        <w:rPr>
          <w:iCs/>
          <w:color w:val="000000" w:themeColor="text1"/>
        </w:rPr>
        <w:t xml:space="preserve">ffect sizes </w:t>
      </w:r>
      <w:r w:rsidR="00E51BB7" w:rsidRPr="00073171">
        <w:rPr>
          <w:iCs/>
          <w:color w:val="000000" w:themeColor="text1"/>
        </w:rPr>
        <w:t>indicated medium (</w:t>
      </w:r>
      <w:r w:rsidR="00E51BB7" w:rsidRPr="00073171">
        <w:rPr>
          <w:i/>
          <w:color w:val="000000" w:themeColor="text1"/>
        </w:rPr>
        <w:t xml:space="preserve">g </w:t>
      </w:r>
      <w:r w:rsidR="00E51BB7" w:rsidRPr="00073171">
        <w:rPr>
          <w:iCs/>
          <w:color w:val="000000" w:themeColor="text1"/>
        </w:rPr>
        <w:t>= -.59) change in depression from pre- to post-treatment in the treatment group.</w:t>
      </w:r>
      <w:r w:rsidR="004C2A27" w:rsidRPr="00073171">
        <w:rPr>
          <w:iCs/>
          <w:color w:val="000000" w:themeColor="text1"/>
        </w:rPr>
        <w:t xml:space="preserve"> </w:t>
      </w:r>
      <w:r w:rsidR="00587B6D" w:rsidRPr="00073171">
        <w:rPr>
          <w:iCs/>
          <w:color w:val="000000" w:themeColor="text1"/>
        </w:rPr>
        <w:t>Medium effect sizes (</w:t>
      </w:r>
      <w:r w:rsidR="00587B6D" w:rsidRPr="00073171">
        <w:rPr>
          <w:i/>
          <w:color w:val="000000" w:themeColor="text1"/>
        </w:rPr>
        <w:t xml:space="preserve">g </w:t>
      </w:r>
      <w:r w:rsidR="00587B6D" w:rsidRPr="00073171">
        <w:rPr>
          <w:iCs/>
          <w:color w:val="000000" w:themeColor="text1"/>
        </w:rPr>
        <w:t xml:space="preserve">= -.49) in psychological inflexibility were found from pre- to post-treatment in the treatment group. </w:t>
      </w:r>
      <w:r w:rsidR="00F2320F" w:rsidRPr="00073171">
        <w:rPr>
          <w:iCs/>
          <w:color w:val="000000" w:themeColor="text1"/>
        </w:rPr>
        <w:t>Similarly, medium e</w:t>
      </w:r>
      <w:r w:rsidR="00856769" w:rsidRPr="00073171">
        <w:rPr>
          <w:iCs/>
          <w:color w:val="000000" w:themeColor="text1"/>
        </w:rPr>
        <w:t xml:space="preserve">ffect sizes </w:t>
      </w:r>
      <w:r w:rsidR="00F2320F" w:rsidRPr="00073171">
        <w:rPr>
          <w:iCs/>
          <w:color w:val="000000" w:themeColor="text1"/>
        </w:rPr>
        <w:t>were found</w:t>
      </w:r>
      <w:r w:rsidR="00856769" w:rsidRPr="00073171">
        <w:rPr>
          <w:iCs/>
          <w:color w:val="000000" w:themeColor="text1"/>
        </w:rPr>
        <w:t xml:space="preserve"> in student well-being </w:t>
      </w:r>
      <w:r w:rsidR="009F0915" w:rsidRPr="00073171">
        <w:rPr>
          <w:iCs/>
          <w:color w:val="000000" w:themeColor="text1"/>
        </w:rPr>
        <w:t>(</w:t>
      </w:r>
      <w:r w:rsidR="009F0915" w:rsidRPr="00073171">
        <w:rPr>
          <w:i/>
          <w:color w:val="000000" w:themeColor="text1"/>
        </w:rPr>
        <w:t xml:space="preserve">g </w:t>
      </w:r>
      <w:r w:rsidR="009F0915" w:rsidRPr="00073171">
        <w:rPr>
          <w:iCs/>
          <w:color w:val="000000" w:themeColor="text1"/>
        </w:rPr>
        <w:t>= .53) and positive mental health (</w:t>
      </w:r>
      <w:r w:rsidR="009F0915" w:rsidRPr="00073171">
        <w:rPr>
          <w:i/>
          <w:color w:val="000000" w:themeColor="text1"/>
        </w:rPr>
        <w:t xml:space="preserve">g </w:t>
      </w:r>
      <w:r w:rsidR="009F0915" w:rsidRPr="00073171">
        <w:rPr>
          <w:iCs/>
          <w:color w:val="000000" w:themeColor="text1"/>
        </w:rPr>
        <w:t xml:space="preserve">= .55) </w:t>
      </w:r>
      <w:r w:rsidR="00856769" w:rsidRPr="00073171">
        <w:rPr>
          <w:iCs/>
          <w:color w:val="000000" w:themeColor="text1"/>
        </w:rPr>
        <w:t>from pre- to post-treatment in the treatment group.</w:t>
      </w:r>
      <w:r w:rsidR="00075FC1" w:rsidRPr="00073171">
        <w:rPr>
          <w:iCs/>
          <w:color w:val="000000" w:themeColor="text1"/>
        </w:rPr>
        <w:t xml:space="preserve"> </w:t>
      </w:r>
    </w:p>
    <w:p w14:paraId="62B92DDA" w14:textId="25A68EEA" w:rsidR="00120F78" w:rsidRPr="00073171" w:rsidRDefault="00120F78" w:rsidP="00120F78">
      <w:pPr>
        <w:spacing w:line="480" w:lineRule="auto"/>
        <w:rPr>
          <w:b/>
          <w:bCs/>
          <w:iCs/>
          <w:color w:val="000000" w:themeColor="text1"/>
        </w:rPr>
      </w:pPr>
      <w:r w:rsidRPr="00073171">
        <w:rPr>
          <w:b/>
          <w:bCs/>
          <w:iCs/>
          <w:color w:val="000000" w:themeColor="text1"/>
        </w:rPr>
        <w:t>Treatment acceptability</w:t>
      </w:r>
    </w:p>
    <w:p w14:paraId="213BECCE" w14:textId="37504369" w:rsidR="009D593F" w:rsidRPr="00073171" w:rsidRDefault="00AC26E0" w:rsidP="009D593F">
      <w:pPr>
        <w:spacing w:line="480" w:lineRule="auto"/>
        <w:ind w:firstLine="720"/>
        <w:rPr>
          <w:iCs/>
          <w:color w:val="000000" w:themeColor="text1"/>
        </w:rPr>
      </w:pPr>
      <w:r w:rsidRPr="00073171">
        <w:rPr>
          <w:iCs/>
          <w:color w:val="000000" w:themeColor="text1"/>
        </w:rPr>
        <w:t>Overall, p</w:t>
      </w:r>
      <w:r w:rsidR="004A4EF3" w:rsidRPr="00073171">
        <w:rPr>
          <w:iCs/>
          <w:color w:val="000000" w:themeColor="text1"/>
        </w:rPr>
        <w:t>articipants reported good treatment acceptability (</w:t>
      </w:r>
      <w:r w:rsidR="004A4EF3" w:rsidRPr="00073171">
        <w:rPr>
          <w:i/>
          <w:color w:val="000000" w:themeColor="text1"/>
        </w:rPr>
        <w:t>M</w:t>
      </w:r>
      <w:r w:rsidR="004A4EF3" w:rsidRPr="00073171">
        <w:rPr>
          <w:iCs/>
          <w:color w:val="000000" w:themeColor="text1"/>
        </w:rPr>
        <w:t xml:space="preserve"> = 2</w:t>
      </w:r>
      <w:r w:rsidR="00454FEF" w:rsidRPr="00073171">
        <w:rPr>
          <w:iCs/>
          <w:color w:val="000000" w:themeColor="text1"/>
        </w:rPr>
        <w:t>5</w:t>
      </w:r>
      <w:r w:rsidR="004A4EF3" w:rsidRPr="00073171">
        <w:rPr>
          <w:iCs/>
          <w:color w:val="000000" w:themeColor="text1"/>
        </w:rPr>
        <w:t>.</w:t>
      </w:r>
      <w:r w:rsidR="00454FEF" w:rsidRPr="00073171">
        <w:rPr>
          <w:iCs/>
          <w:color w:val="000000" w:themeColor="text1"/>
        </w:rPr>
        <w:t>5</w:t>
      </w:r>
      <w:r w:rsidR="007B0D65" w:rsidRPr="00073171">
        <w:rPr>
          <w:iCs/>
          <w:color w:val="000000" w:themeColor="text1"/>
        </w:rPr>
        <w:t xml:space="preserve"> out of 31</w:t>
      </w:r>
      <w:r w:rsidR="004A4EF3" w:rsidRPr="00073171">
        <w:rPr>
          <w:iCs/>
          <w:color w:val="000000" w:themeColor="text1"/>
        </w:rPr>
        <w:t xml:space="preserve">, </w:t>
      </w:r>
      <w:r w:rsidR="004A4EF3" w:rsidRPr="00073171">
        <w:rPr>
          <w:i/>
          <w:color w:val="000000" w:themeColor="text1"/>
        </w:rPr>
        <w:t>SD</w:t>
      </w:r>
      <w:r w:rsidR="004A4EF3" w:rsidRPr="00073171">
        <w:rPr>
          <w:iCs/>
          <w:color w:val="000000" w:themeColor="text1"/>
        </w:rPr>
        <w:t xml:space="preserve"> = </w:t>
      </w:r>
      <w:r w:rsidR="00454FEF" w:rsidRPr="00073171">
        <w:rPr>
          <w:iCs/>
          <w:color w:val="000000" w:themeColor="text1"/>
        </w:rPr>
        <w:t>3.4</w:t>
      </w:r>
      <w:r w:rsidR="004A4EF3" w:rsidRPr="00073171">
        <w:rPr>
          <w:iCs/>
          <w:color w:val="000000" w:themeColor="text1"/>
        </w:rPr>
        <w:t>)</w:t>
      </w:r>
      <w:r w:rsidR="00A56F7A" w:rsidRPr="00073171">
        <w:rPr>
          <w:iCs/>
          <w:color w:val="000000" w:themeColor="text1"/>
        </w:rPr>
        <w:t xml:space="preserve">. </w:t>
      </w:r>
      <w:r w:rsidR="007B0D65" w:rsidRPr="00073171">
        <w:rPr>
          <w:iCs/>
          <w:color w:val="000000" w:themeColor="text1"/>
        </w:rPr>
        <w:t xml:space="preserve">On </w:t>
      </w:r>
      <w:r w:rsidR="00251125" w:rsidRPr="00073171">
        <w:rPr>
          <w:iCs/>
          <w:color w:val="000000" w:themeColor="text1"/>
        </w:rPr>
        <w:t>the CURP’s</w:t>
      </w:r>
      <w:r w:rsidR="007B0D65" w:rsidRPr="00073171">
        <w:rPr>
          <w:iCs/>
          <w:color w:val="000000" w:themeColor="text1"/>
        </w:rPr>
        <w:t xml:space="preserve"> scale of one to four (see </w:t>
      </w:r>
      <w:r w:rsidR="00251125" w:rsidRPr="00073171">
        <w:rPr>
          <w:iCs/>
          <w:color w:val="000000" w:themeColor="text1"/>
        </w:rPr>
        <w:t>M</w:t>
      </w:r>
      <w:r w:rsidR="007B0D65" w:rsidRPr="00073171">
        <w:rPr>
          <w:iCs/>
          <w:color w:val="000000" w:themeColor="text1"/>
        </w:rPr>
        <w:t xml:space="preserve">easures section), </w:t>
      </w:r>
      <w:r w:rsidR="00DA0B68" w:rsidRPr="00073171">
        <w:rPr>
          <w:iCs/>
          <w:color w:val="000000" w:themeColor="text1"/>
        </w:rPr>
        <w:t>p</w:t>
      </w:r>
      <w:r w:rsidR="00A56F7A" w:rsidRPr="00073171">
        <w:rPr>
          <w:iCs/>
          <w:color w:val="000000" w:themeColor="text1"/>
        </w:rPr>
        <w:t>articipants</w:t>
      </w:r>
      <w:r w:rsidR="00DF6C8E" w:rsidRPr="00073171">
        <w:rPr>
          <w:iCs/>
          <w:color w:val="000000" w:themeColor="text1"/>
        </w:rPr>
        <w:t xml:space="preserve"> gave </w:t>
      </w:r>
      <w:r w:rsidR="001B5801" w:rsidRPr="00073171">
        <w:rPr>
          <w:iCs/>
          <w:color w:val="000000" w:themeColor="text1"/>
        </w:rPr>
        <w:t xml:space="preserve">high </w:t>
      </w:r>
      <w:r w:rsidR="00DF6C8E" w:rsidRPr="00073171">
        <w:rPr>
          <w:iCs/>
          <w:color w:val="000000" w:themeColor="text1"/>
        </w:rPr>
        <w:t xml:space="preserve">positive satisfaction ratings </w:t>
      </w:r>
      <w:r w:rsidR="007B0D65" w:rsidRPr="00073171">
        <w:rPr>
          <w:iCs/>
          <w:color w:val="000000" w:themeColor="text1"/>
        </w:rPr>
        <w:t xml:space="preserve">on average for </w:t>
      </w:r>
      <w:r w:rsidR="009D186F" w:rsidRPr="00073171">
        <w:rPr>
          <w:iCs/>
          <w:color w:val="000000" w:themeColor="text1"/>
        </w:rPr>
        <w:t xml:space="preserve">understanding </w:t>
      </w:r>
      <w:r w:rsidR="00DF6C8E" w:rsidRPr="00073171">
        <w:rPr>
          <w:iCs/>
          <w:color w:val="000000" w:themeColor="text1"/>
        </w:rPr>
        <w:t>(</w:t>
      </w:r>
      <w:r w:rsidR="00DF6C8E" w:rsidRPr="00073171">
        <w:rPr>
          <w:i/>
          <w:color w:val="000000" w:themeColor="text1"/>
        </w:rPr>
        <w:t>M</w:t>
      </w:r>
      <w:r w:rsidR="00DF6C8E" w:rsidRPr="00073171">
        <w:rPr>
          <w:iCs/>
          <w:color w:val="000000" w:themeColor="text1"/>
        </w:rPr>
        <w:t xml:space="preserve"> = </w:t>
      </w:r>
      <w:r w:rsidR="00602062" w:rsidRPr="00073171">
        <w:rPr>
          <w:iCs/>
          <w:color w:val="000000" w:themeColor="text1"/>
        </w:rPr>
        <w:t>3.2</w:t>
      </w:r>
      <w:r w:rsidR="00DF6C8E" w:rsidRPr="00073171">
        <w:rPr>
          <w:iCs/>
          <w:color w:val="000000" w:themeColor="text1"/>
        </w:rPr>
        <w:t xml:space="preserve">, </w:t>
      </w:r>
      <w:r w:rsidR="00DF6C8E" w:rsidRPr="00073171">
        <w:rPr>
          <w:i/>
          <w:color w:val="000000" w:themeColor="text1"/>
        </w:rPr>
        <w:t>SD</w:t>
      </w:r>
      <w:r w:rsidR="00DF6C8E" w:rsidRPr="00073171">
        <w:rPr>
          <w:iCs/>
          <w:color w:val="000000" w:themeColor="text1"/>
        </w:rPr>
        <w:t xml:space="preserve"> = </w:t>
      </w:r>
      <w:r w:rsidR="00602062" w:rsidRPr="00073171">
        <w:rPr>
          <w:iCs/>
          <w:color w:val="000000" w:themeColor="text1"/>
        </w:rPr>
        <w:t>0.7</w:t>
      </w:r>
      <w:r w:rsidR="00DF6C8E" w:rsidRPr="00073171">
        <w:rPr>
          <w:iCs/>
          <w:color w:val="000000" w:themeColor="text1"/>
        </w:rPr>
        <w:t>) and desirability (</w:t>
      </w:r>
      <w:r w:rsidR="00DF6C8E" w:rsidRPr="00073171">
        <w:rPr>
          <w:i/>
          <w:color w:val="000000" w:themeColor="text1"/>
        </w:rPr>
        <w:t>M</w:t>
      </w:r>
      <w:r w:rsidR="00DF6C8E" w:rsidRPr="00073171">
        <w:rPr>
          <w:iCs/>
          <w:color w:val="000000" w:themeColor="text1"/>
        </w:rPr>
        <w:t xml:space="preserve"> = </w:t>
      </w:r>
      <w:r w:rsidR="00602062" w:rsidRPr="00073171">
        <w:rPr>
          <w:iCs/>
          <w:color w:val="000000" w:themeColor="text1"/>
        </w:rPr>
        <w:t>2.8</w:t>
      </w:r>
      <w:r w:rsidR="00DF6C8E" w:rsidRPr="00073171">
        <w:rPr>
          <w:iCs/>
          <w:color w:val="000000" w:themeColor="text1"/>
        </w:rPr>
        <w:t xml:space="preserve">, </w:t>
      </w:r>
      <w:r w:rsidR="00DF6C8E" w:rsidRPr="00073171">
        <w:rPr>
          <w:i/>
          <w:color w:val="000000" w:themeColor="text1"/>
        </w:rPr>
        <w:t>SD</w:t>
      </w:r>
      <w:r w:rsidR="00DF6C8E" w:rsidRPr="00073171">
        <w:rPr>
          <w:iCs/>
          <w:color w:val="000000" w:themeColor="text1"/>
        </w:rPr>
        <w:t xml:space="preserve"> = </w:t>
      </w:r>
      <w:r w:rsidR="00602062" w:rsidRPr="00073171">
        <w:rPr>
          <w:iCs/>
          <w:color w:val="000000" w:themeColor="text1"/>
        </w:rPr>
        <w:t>0.6</w:t>
      </w:r>
      <w:r w:rsidR="00DF6C8E" w:rsidRPr="00073171">
        <w:rPr>
          <w:iCs/>
          <w:color w:val="000000" w:themeColor="text1"/>
        </w:rPr>
        <w:t>).</w:t>
      </w:r>
      <w:r w:rsidR="007B0D65" w:rsidRPr="00073171">
        <w:rPr>
          <w:iCs/>
          <w:color w:val="000000" w:themeColor="text1"/>
        </w:rPr>
        <w:t xml:space="preserve"> For feasibility, participants reported favorable scores (</w:t>
      </w:r>
      <w:r w:rsidR="007B0D65" w:rsidRPr="00073171">
        <w:rPr>
          <w:i/>
          <w:color w:val="000000" w:themeColor="text1"/>
        </w:rPr>
        <w:t>M</w:t>
      </w:r>
      <w:r w:rsidR="007B0D65" w:rsidRPr="00073171">
        <w:rPr>
          <w:iCs/>
          <w:color w:val="000000" w:themeColor="text1"/>
        </w:rPr>
        <w:t xml:space="preserve"> = 1.6, </w:t>
      </w:r>
      <w:r w:rsidR="007B0D65" w:rsidRPr="00073171">
        <w:rPr>
          <w:i/>
          <w:color w:val="000000" w:themeColor="text1"/>
        </w:rPr>
        <w:t>SD</w:t>
      </w:r>
      <w:r w:rsidR="007B0D65" w:rsidRPr="00073171">
        <w:rPr>
          <w:iCs/>
          <w:color w:val="000000" w:themeColor="text1"/>
        </w:rPr>
        <w:t xml:space="preserve"> = 0.5), as lower scores indicate greater feasibility</w:t>
      </w:r>
      <w:r w:rsidR="00D85FCC" w:rsidRPr="00073171">
        <w:rPr>
          <w:iCs/>
          <w:color w:val="000000" w:themeColor="text1"/>
        </w:rPr>
        <w:t xml:space="preserve"> for this subscale</w:t>
      </w:r>
      <w:r w:rsidR="007B0D65" w:rsidRPr="00073171">
        <w:rPr>
          <w:iCs/>
          <w:color w:val="000000" w:themeColor="text1"/>
        </w:rPr>
        <w:t>.</w:t>
      </w:r>
      <w:r w:rsidR="00DF6C8E" w:rsidRPr="00073171">
        <w:rPr>
          <w:iCs/>
          <w:color w:val="000000" w:themeColor="text1"/>
        </w:rPr>
        <w:t xml:space="preserve"> </w:t>
      </w:r>
      <w:r w:rsidR="00AE43D5" w:rsidRPr="00073171">
        <w:rPr>
          <w:iCs/>
          <w:color w:val="000000" w:themeColor="text1"/>
        </w:rPr>
        <w:t xml:space="preserve">Furthermore, no issues needing revision to the protocol or implementation strategy were identified by participants. </w:t>
      </w:r>
      <w:r w:rsidR="004A1681" w:rsidRPr="00073171">
        <w:rPr>
          <w:iCs/>
          <w:color w:val="000000" w:themeColor="text1"/>
        </w:rPr>
        <w:t>In the open-ended discussion at the end of groups and in feedback emails to group leaders, participants reported positive feelings towards the group</w:t>
      </w:r>
      <w:r w:rsidR="00D613EA" w:rsidRPr="00073171">
        <w:rPr>
          <w:iCs/>
          <w:color w:val="000000" w:themeColor="text1"/>
        </w:rPr>
        <w:t xml:space="preserve">. </w:t>
      </w:r>
      <w:r w:rsidR="004A1681" w:rsidRPr="00073171">
        <w:rPr>
          <w:iCs/>
          <w:color w:val="000000" w:themeColor="text1"/>
        </w:rPr>
        <w:t>Several participants expressed gratitude for the availability of the group and noted that it was helpful to them</w:t>
      </w:r>
      <w:r w:rsidR="00D613EA" w:rsidRPr="00073171">
        <w:rPr>
          <w:iCs/>
          <w:color w:val="000000" w:themeColor="text1"/>
        </w:rPr>
        <w:t xml:space="preserve"> (e.g., “[the group] was a great benefit to me,” “I’m really happy you guys decided to do this”).</w:t>
      </w:r>
    </w:p>
    <w:p w14:paraId="3EE4E8D4" w14:textId="7017389E" w:rsidR="003B584B" w:rsidRPr="00073171" w:rsidRDefault="0077422B" w:rsidP="003B584B">
      <w:pPr>
        <w:spacing w:line="480" w:lineRule="auto"/>
        <w:jc w:val="center"/>
        <w:rPr>
          <w:b/>
          <w:bCs/>
          <w:iCs/>
          <w:color w:val="000000" w:themeColor="text1"/>
        </w:rPr>
      </w:pPr>
      <w:r w:rsidRPr="00073171">
        <w:rPr>
          <w:b/>
          <w:bCs/>
          <w:iCs/>
          <w:color w:val="000000" w:themeColor="text1"/>
        </w:rPr>
        <w:t>Discussion</w:t>
      </w:r>
    </w:p>
    <w:p w14:paraId="05C35DDF" w14:textId="5C3DFA7C" w:rsidR="00835EC1" w:rsidRPr="00073171" w:rsidRDefault="001E32CC" w:rsidP="002E3C4A">
      <w:pPr>
        <w:spacing w:line="480" w:lineRule="auto"/>
        <w:ind w:firstLine="720"/>
        <w:rPr>
          <w:color w:val="000000" w:themeColor="text1"/>
        </w:rPr>
      </w:pPr>
      <w:r w:rsidRPr="00073171">
        <w:rPr>
          <w:color w:val="000000" w:themeColor="text1"/>
        </w:rPr>
        <w:t xml:space="preserve">This study </w:t>
      </w:r>
      <w:r w:rsidR="00B44899" w:rsidRPr="00073171">
        <w:rPr>
          <w:color w:val="000000" w:themeColor="text1"/>
        </w:rPr>
        <w:t>aimed</w:t>
      </w:r>
      <w:r w:rsidRPr="00073171">
        <w:rPr>
          <w:color w:val="000000" w:themeColor="text1"/>
        </w:rPr>
        <w:t xml:space="preserve"> to assess the acceptability and effectiveness of </w:t>
      </w:r>
      <w:r w:rsidR="00CA33FB" w:rsidRPr="00073171">
        <w:rPr>
          <w:color w:val="000000" w:themeColor="text1"/>
        </w:rPr>
        <w:t xml:space="preserve">a </w:t>
      </w:r>
      <w:r w:rsidRPr="00073171">
        <w:rPr>
          <w:color w:val="000000" w:themeColor="text1"/>
        </w:rPr>
        <w:t xml:space="preserve">school-based group ACT </w:t>
      </w:r>
      <w:r w:rsidR="00CA33FB" w:rsidRPr="00073171">
        <w:rPr>
          <w:color w:val="000000" w:themeColor="text1"/>
        </w:rPr>
        <w:t xml:space="preserve">intervention, DNA-V, </w:t>
      </w:r>
      <w:r w:rsidRPr="00073171">
        <w:rPr>
          <w:color w:val="000000" w:themeColor="text1"/>
        </w:rPr>
        <w:t>for adolescents with anxiety as compared to a waitlist</w:t>
      </w:r>
      <w:r w:rsidR="004E0935" w:rsidRPr="00073171">
        <w:rPr>
          <w:color w:val="000000" w:themeColor="text1"/>
        </w:rPr>
        <w:t xml:space="preserve"> control</w:t>
      </w:r>
      <w:r w:rsidRPr="00073171">
        <w:rPr>
          <w:color w:val="000000" w:themeColor="text1"/>
        </w:rPr>
        <w:t>. Small to medium between-group effect sizes across timepoints indicate</w:t>
      </w:r>
      <w:r w:rsidR="00CD35E7" w:rsidRPr="00073171">
        <w:rPr>
          <w:color w:val="000000" w:themeColor="text1"/>
        </w:rPr>
        <w:t>d</w:t>
      </w:r>
      <w:r w:rsidRPr="00073171">
        <w:rPr>
          <w:color w:val="000000" w:themeColor="text1"/>
        </w:rPr>
        <w:t xml:space="preserve"> a significant decrease in </w:t>
      </w:r>
      <w:r w:rsidR="00DB42EF">
        <w:rPr>
          <w:color w:val="000000" w:themeColor="text1"/>
        </w:rPr>
        <w:t xml:space="preserve">total </w:t>
      </w:r>
      <w:r w:rsidRPr="00073171">
        <w:rPr>
          <w:color w:val="000000" w:themeColor="text1"/>
        </w:rPr>
        <w:t>anxiety</w:t>
      </w:r>
      <w:r w:rsidR="00DB42EF">
        <w:rPr>
          <w:color w:val="000000" w:themeColor="text1"/>
        </w:rPr>
        <w:t>, as well as the subscales,</w:t>
      </w:r>
      <w:r w:rsidRPr="00073171">
        <w:rPr>
          <w:color w:val="000000" w:themeColor="text1"/>
        </w:rPr>
        <w:t xml:space="preserve"> in the group ACT </w:t>
      </w:r>
      <w:r w:rsidR="0043047B" w:rsidRPr="00073171">
        <w:rPr>
          <w:color w:val="000000" w:themeColor="text1"/>
        </w:rPr>
        <w:t xml:space="preserve">condition </w:t>
      </w:r>
      <w:r w:rsidRPr="00073171">
        <w:rPr>
          <w:color w:val="000000" w:themeColor="text1"/>
        </w:rPr>
        <w:t>as compared to the waitlist.</w:t>
      </w:r>
      <w:r w:rsidR="00E14C4B" w:rsidRPr="00073171">
        <w:rPr>
          <w:color w:val="000000" w:themeColor="text1"/>
        </w:rPr>
        <w:t xml:space="preserve"> </w:t>
      </w:r>
      <w:r w:rsidR="004117E7" w:rsidRPr="00073171">
        <w:rPr>
          <w:color w:val="000000" w:themeColor="text1"/>
        </w:rPr>
        <w:t xml:space="preserve">These findings are consistent with past </w:t>
      </w:r>
      <w:r w:rsidR="00BE24AD" w:rsidRPr="00073171">
        <w:rPr>
          <w:color w:val="000000" w:themeColor="text1"/>
        </w:rPr>
        <w:t>pilot studies of</w:t>
      </w:r>
      <w:r w:rsidR="004117E7" w:rsidRPr="00073171">
        <w:rPr>
          <w:color w:val="000000" w:themeColor="text1"/>
        </w:rPr>
        <w:t xml:space="preserve"> ACT-based groups in schools (Smith, Oxman, &amp; </w:t>
      </w:r>
      <w:r w:rsidR="004117E7" w:rsidRPr="00073171">
        <w:rPr>
          <w:color w:val="000000" w:themeColor="text1"/>
        </w:rPr>
        <w:lastRenderedPageBreak/>
        <w:t>Hayes, 2020; Brookshier, 2016).</w:t>
      </w:r>
      <w:r w:rsidR="00BE24AD" w:rsidRPr="00073171">
        <w:rPr>
          <w:color w:val="000000" w:themeColor="text1"/>
        </w:rPr>
        <w:t xml:space="preserve"> In both previous studies of ACT groups implemented in schools, small samples reported improvements in anxiety, psychological flexibility, and other outcomes (</w:t>
      </w:r>
      <w:r w:rsidR="00731E59" w:rsidRPr="00073171">
        <w:rPr>
          <w:color w:val="000000" w:themeColor="text1"/>
        </w:rPr>
        <w:t>Smith, Oxman, &amp; Hayes, 2020; Brookshier, 2016). The decrease in anxiety following ACT is also supported by broader past research documenting the effectiveness of ACT as a treatment for anxiety across ages (Bluett et al., 2014</w:t>
      </w:r>
      <w:r w:rsidR="00D76109" w:rsidRPr="00073171">
        <w:rPr>
          <w:color w:val="000000" w:themeColor="text1"/>
        </w:rPr>
        <w:t>).</w:t>
      </w:r>
    </w:p>
    <w:p w14:paraId="32F4F2BA" w14:textId="0D292CA6" w:rsidR="001A483E" w:rsidRPr="00073171" w:rsidRDefault="00835EC1" w:rsidP="002E3C4A">
      <w:pPr>
        <w:spacing w:line="480" w:lineRule="auto"/>
        <w:ind w:firstLine="720"/>
        <w:rPr>
          <w:color w:val="000000" w:themeColor="text1"/>
        </w:rPr>
      </w:pPr>
      <w:r w:rsidRPr="00073171">
        <w:rPr>
          <w:color w:val="000000" w:themeColor="text1"/>
        </w:rPr>
        <w:t>T</w:t>
      </w:r>
      <w:r w:rsidR="003342EE" w:rsidRPr="00073171">
        <w:rPr>
          <w:color w:val="000000" w:themeColor="text1"/>
        </w:rPr>
        <w:t xml:space="preserve">here were also small between-group differences for class attendance across timepoints, </w:t>
      </w:r>
      <w:r w:rsidR="00642397" w:rsidRPr="00073171">
        <w:rPr>
          <w:color w:val="000000" w:themeColor="text1"/>
        </w:rPr>
        <w:t>indicating a</w:t>
      </w:r>
      <w:r w:rsidR="003342EE" w:rsidRPr="00073171">
        <w:rPr>
          <w:color w:val="000000" w:themeColor="text1"/>
        </w:rPr>
        <w:t xml:space="preserve"> significant decrease in class</w:t>
      </w:r>
      <w:r w:rsidR="00E45390" w:rsidRPr="00073171">
        <w:rPr>
          <w:color w:val="000000" w:themeColor="text1"/>
        </w:rPr>
        <w:t xml:space="preserve"> periods </w:t>
      </w:r>
      <w:r w:rsidR="003342EE" w:rsidRPr="00073171">
        <w:rPr>
          <w:color w:val="000000" w:themeColor="text1"/>
        </w:rPr>
        <w:t>missed</w:t>
      </w:r>
      <w:r w:rsidR="00BA7BBC" w:rsidRPr="00073171">
        <w:rPr>
          <w:color w:val="000000" w:themeColor="text1"/>
        </w:rPr>
        <w:t xml:space="preserve"> by adolescents</w:t>
      </w:r>
      <w:r w:rsidR="003342EE" w:rsidRPr="00073171">
        <w:rPr>
          <w:color w:val="000000" w:themeColor="text1"/>
        </w:rPr>
        <w:t xml:space="preserve"> in the </w:t>
      </w:r>
      <w:r w:rsidR="00BA7BBC" w:rsidRPr="00073171">
        <w:rPr>
          <w:color w:val="000000" w:themeColor="text1"/>
        </w:rPr>
        <w:t xml:space="preserve">group </w:t>
      </w:r>
      <w:r w:rsidR="003342EE" w:rsidRPr="00073171">
        <w:rPr>
          <w:color w:val="000000" w:themeColor="text1"/>
        </w:rPr>
        <w:t>ACT condition.</w:t>
      </w:r>
      <w:r w:rsidR="002E4643" w:rsidRPr="00073171">
        <w:rPr>
          <w:color w:val="000000" w:themeColor="text1"/>
        </w:rPr>
        <w:t xml:space="preserve"> </w:t>
      </w:r>
      <w:r w:rsidR="008739CC" w:rsidRPr="00073171">
        <w:rPr>
          <w:color w:val="000000" w:themeColor="text1"/>
        </w:rPr>
        <w:t>T</w:t>
      </w:r>
      <w:r w:rsidR="00CB061B" w:rsidRPr="00073171">
        <w:rPr>
          <w:color w:val="000000" w:themeColor="text1"/>
        </w:rPr>
        <w:t>here are no comparable results</w:t>
      </w:r>
      <w:r w:rsidR="0047134F" w:rsidRPr="00073171">
        <w:rPr>
          <w:color w:val="000000" w:themeColor="text1"/>
        </w:rPr>
        <w:t xml:space="preserve"> from past research</w:t>
      </w:r>
      <w:r w:rsidR="00CB061B" w:rsidRPr="00073171">
        <w:rPr>
          <w:color w:val="000000" w:themeColor="text1"/>
        </w:rPr>
        <w:t xml:space="preserve"> examining how </w:t>
      </w:r>
      <w:r w:rsidR="00E36785" w:rsidRPr="00073171">
        <w:rPr>
          <w:color w:val="000000" w:themeColor="text1"/>
        </w:rPr>
        <w:t xml:space="preserve">participation in </w:t>
      </w:r>
      <w:r w:rsidR="00CB061B" w:rsidRPr="00073171">
        <w:rPr>
          <w:color w:val="000000" w:themeColor="text1"/>
        </w:rPr>
        <w:t xml:space="preserve">group ACT may alter or bolster school attendance. </w:t>
      </w:r>
      <w:r w:rsidR="004B3DA1" w:rsidRPr="00073171">
        <w:rPr>
          <w:color w:val="000000" w:themeColor="text1"/>
        </w:rPr>
        <w:t>However, previous research indicates that anxiety negatively impacts school attendance (</w:t>
      </w:r>
      <w:r w:rsidR="004B3DA1" w:rsidRPr="00073171">
        <w:rPr>
          <w:noProof/>
          <w:color w:val="000000" w:themeColor="text1"/>
        </w:rPr>
        <w:t>de Lijster et al., 2018)</w:t>
      </w:r>
      <w:r w:rsidR="008739CC" w:rsidRPr="00073171">
        <w:rPr>
          <w:noProof/>
          <w:color w:val="000000" w:themeColor="text1"/>
        </w:rPr>
        <w:t>.</w:t>
      </w:r>
      <w:r w:rsidR="004B3DA1" w:rsidRPr="00073171">
        <w:rPr>
          <w:noProof/>
          <w:color w:val="000000" w:themeColor="text1"/>
        </w:rPr>
        <w:t xml:space="preserve"> </w:t>
      </w:r>
      <w:r w:rsidR="008739CC" w:rsidRPr="00073171">
        <w:rPr>
          <w:noProof/>
          <w:color w:val="000000" w:themeColor="text1"/>
        </w:rPr>
        <w:t>T</w:t>
      </w:r>
      <w:r w:rsidR="000E7CA0" w:rsidRPr="00073171">
        <w:rPr>
          <w:noProof/>
          <w:color w:val="000000" w:themeColor="text1"/>
        </w:rPr>
        <w:t>hus, t</w:t>
      </w:r>
      <w:r w:rsidR="004B3DA1" w:rsidRPr="00073171">
        <w:rPr>
          <w:noProof/>
          <w:color w:val="000000" w:themeColor="text1"/>
        </w:rPr>
        <w:t xml:space="preserve">his </w:t>
      </w:r>
      <w:r w:rsidR="00956F4C" w:rsidRPr="00073171">
        <w:rPr>
          <w:noProof/>
          <w:color w:val="000000" w:themeColor="text1"/>
        </w:rPr>
        <w:t xml:space="preserve">pilot </w:t>
      </w:r>
      <w:r w:rsidR="004B3DA1" w:rsidRPr="00073171">
        <w:rPr>
          <w:noProof/>
          <w:color w:val="000000" w:themeColor="text1"/>
        </w:rPr>
        <w:t>result points to the effectiveness of group</w:t>
      </w:r>
      <w:r w:rsidR="00BC33E8" w:rsidRPr="00073171">
        <w:rPr>
          <w:noProof/>
          <w:color w:val="000000" w:themeColor="text1"/>
        </w:rPr>
        <w:t xml:space="preserve"> ACT</w:t>
      </w:r>
      <w:r w:rsidR="004B3DA1" w:rsidRPr="00073171">
        <w:rPr>
          <w:noProof/>
          <w:color w:val="000000" w:themeColor="text1"/>
        </w:rPr>
        <w:t xml:space="preserve"> in</w:t>
      </w:r>
      <w:r w:rsidR="00B8510E" w:rsidRPr="00073171">
        <w:rPr>
          <w:noProof/>
          <w:color w:val="000000" w:themeColor="text1"/>
        </w:rPr>
        <w:t xml:space="preserve"> potentially</w:t>
      </w:r>
      <w:r w:rsidR="004B3DA1" w:rsidRPr="00073171">
        <w:rPr>
          <w:noProof/>
          <w:color w:val="000000" w:themeColor="text1"/>
        </w:rPr>
        <w:t xml:space="preserve"> improving secondary outcomes</w:t>
      </w:r>
      <w:r w:rsidR="002B73DE" w:rsidRPr="00073171">
        <w:rPr>
          <w:noProof/>
          <w:color w:val="000000" w:themeColor="text1"/>
        </w:rPr>
        <w:t xml:space="preserve"> that anxiety </w:t>
      </w:r>
      <w:r w:rsidR="004D732E" w:rsidRPr="00073171">
        <w:rPr>
          <w:noProof/>
          <w:color w:val="000000" w:themeColor="text1"/>
        </w:rPr>
        <w:t>may impede</w:t>
      </w:r>
      <w:r w:rsidR="004B3DA1" w:rsidRPr="00073171">
        <w:rPr>
          <w:noProof/>
          <w:color w:val="000000" w:themeColor="text1"/>
        </w:rPr>
        <w:t>.</w:t>
      </w:r>
      <w:r w:rsidR="001A483E" w:rsidRPr="00073171">
        <w:rPr>
          <w:noProof/>
          <w:color w:val="000000" w:themeColor="text1"/>
        </w:rPr>
        <w:t xml:space="preserve"> </w:t>
      </w:r>
      <w:r w:rsidR="001C3B3B" w:rsidRPr="00073171">
        <w:rPr>
          <w:noProof/>
          <w:color w:val="000000" w:themeColor="text1"/>
        </w:rPr>
        <w:t>It is also</w:t>
      </w:r>
      <w:r w:rsidR="001A483E" w:rsidRPr="00073171">
        <w:rPr>
          <w:noProof/>
          <w:color w:val="000000" w:themeColor="text1"/>
        </w:rPr>
        <w:t xml:space="preserve"> possible </w:t>
      </w:r>
      <w:r w:rsidR="001A483E" w:rsidRPr="00073171">
        <w:rPr>
          <w:color w:val="000000" w:themeColor="text1"/>
        </w:rPr>
        <w:t>that integrating the group into school</w:t>
      </w:r>
      <w:r w:rsidR="0075135D" w:rsidRPr="00073171">
        <w:rPr>
          <w:color w:val="000000" w:themeColor="text1"/>
        </w:rPr>
        <w:t xml:space="preserve"> hours</w:t>
      </w:r>
      <w:r w:rsidR="001A483E" w:rsidRPr="00073171">
        <w:rPr>
          <w:color w:val="000000" w:themeColor="text1"/>
        </w:rPr>
        <w:t xml:space="preserve"> encourage</w:t>
      </w:r>
      <w:r w:rsidR="005644A6" w:rsidRPr="00073171">
        <w:rPr>
          <w:color w:val="000000" w:themeColor="text1"/>
        </w:rPr>
        <w:t>d</w:t>
      </w:r>
      <w:r w:rsidR="009C0E03" w:rsidRPr="00073171">
        <w:rPr>
          <w:color w:val="000000" w:themeColor="text1"/>
        </w:rPr>
        <w:t xml:space="preserve"> school</w:t>
      </w:r>
      <w:r w:rsidR="001A483E" w:rsidRPr="00073171">
        <w:rPr>
          <w:color w:val="000000" w:themeColor="text1"/>
        </w:rPr>
        <w:t xml:space="preserve"> attendance</w:t>
      </w:r>
      <w:r w:rsidR="00296E9A" w:rsidRPr="00073171">
        <w:rPr>
          <w:color w:val="000000" w:themeColor="text1"/>
        </w:rPr>
        <w:t xml:space="preserve">. For example, a student who would normally skip school when experiencing anxiety may </w:t>
      </w:r>
      <w:r w:rsidR="003F3774" w:rsidRPr="00073171">
        <w:rPr>
          <w:color w:val="000000" w:themeColor="text1"/>
        </w:rPr>
        <w:t>attend</w:t>
      </w:r>
      <w:r w:rsidR="00296E9A" w:rsidRPr="00073171">
        <w:rPr>
          <w:color w:val="000000" w:themeColor="text1"/>
        </w:rPr>
        <w:t xml:space="preserve"> school to receive support </w:t>
      </w:r>
      <w:r w:rsidR="0031465D" w:rsidRPr="00073171">
        <w:rPr>
          <w:color w:val="000000" w:themeColor="text1"/>
        </w:rPr>
        <w:t>from</w:t>
      </w:r>
      <w:r w:rsidR="00296E9A" w:rsidRPr="00073171">
        <w:rPr>
          <w:color w:val="000000" w:themeColor="text1"/>
        </w:rPr>
        <w:t xml:space="preserve"> the group.</w:t>
      </w:r>
      <w:r w:rsidR="004608D5" w:rsidRPr="00073171">
        <w:rPr>
          <w:color w:val="000000" w:themeColor="text1"/>
        </w:rPr>
        <w:t xml:space="preserve"> It is also possible that holding the group during a free period improved class attendance—because students were receiving support during the school day, they did not have to miss classes as much for anxiety-related problems.</w:t>
      </w:r>
      <w:r w:rsidR="00296E9A" w:rsidRPr="00073171">
        <w:rPr>
          <w:color w:val="000000" w:themeColor="text1"/>
        </w:rPr>
        <w:t xml:space="preserve"> </w:t>
      </w:r>
      <w:r w:rsidR="001A483E" w:rsidRPr="00073171">
        <w:rPr>
          <w:color w:val="000000" w:themeColor="text1"/>
        </w:rPr>
        <w:t xml:space="preserve">However, one group </w:t>
      </w:r>
      <w:r w:rsidR="00B51B04" w:rsidRPr="00073171">
        <w:rPr>
          <w:color w:val="000000" w:themeColor="text1"/>
        </w:rPr>
        <w:t xml:space="preserve">in </w:t>
      </w:r>
      <w:r w:rsidR="006A6143" w:rsidRPr="00073171">
        <w:rPr>
          <w:color w:val="000000" w:themeColor="text1"/>
        </w:rPr>
        <w:t>this study was held during</w:t>
      </w:r>
      <w:r w:rsidR="001A483E" w:rsidRPr="00073171">
        <w:rPr>
          <w:color w:val="000000" w:themeColor="text1"/>
        </w:rPr>
        <w:t xml:space="preserve"> a class period, so</w:t>
      </w:r>
      <w:r w:rsidRPr="00073171">
        <w:rPr>
          <w:color w:val="000000" w:themeColor="text1"/>
        </w:rPr>
        <w:t xml:space="preserve"> it is not possible to discern these effects. It is important for future research to examine the</w:t>
      </w:r>
      <w:r w:rsidR="00DE1868" w:rsidRPr="00073171">
        <w:rPr>
          <w:color w:val="000000" w:themeColor="text1"/>
        </w:rPr>
        <w:t xml:space="preserve"> </w:t>
      </w:r>
      <w:r w:rsidR="00757445" w:rsidRPr="00073171">
        <w:rPr>
          <w:color w:val="000000" w:themeColor="text1"/>
        </w:rPr>
        <w:t>potential benefits</w:t>
      </w:r>
      <w:r w:rsidRPr="00073171">
        <w:rPr>
          <w:color w:val="000000" w:themeColor="text1"/>
        </w:rPr>
        <w:t xml:space="preserve"> </w:t>
      </w:r>
      <w:r w:rsidR="009B1924" w:rsidRPr="00073171">
        <w:rPr>
          <w:color w:val="000000" w:themeColor="text1"/>
        </w:rPr>
        <w:t>of</w:t>
      </w:r>
      <w:r w:rsidRPr="00073171">
        <w:rPr>
          <w:color w:val="000000" w:themeColor="text1"/>
        </w:rPr>
        <w:t xml:space="preserve"> missing a class to attend group therapy (i.e., weighing academic costs vs. mental health benefits)</w:t>
      </w:r>
      <w:r w:rsidR="00B44899" w:rsidRPr="00073171">
        <w:rPr>
          <w:color w:val="000000" w:themeColor="text1"/>
        </w:rPr>
        <w:t>, as well as the potential effect of key ACT processes, like personal values, on class attendance.</w:t>
      </w:r>
    </w:p>
    <w:p w14:paraId="7A10A4AE" w14:textId="72063E59" w:rsidR="004B3DA1" w:rsidRPr="00073171" w:rsidRDefault="004B3DA1" w:rsidP="00402438">
      <w:pPr>
        <w:spacing w:line="480" w:lineRule="auto"/>
        <w:ind w:firstLine="720"/>
        <w:rPr>
          <w:noProof/>
          <w:color w:val="000000" w:themeColor="text1"/>
        </w:rPr>
      </w:pPr>
      <w:r w:rsidRPr="00073171">
        <w:rPr>
          <w:noProof/>
          <w:color w:val="000000" w:themeColor="text1"/>
        </w:rPr>
        <w:t>No between-group differences were found for depression</w:t>
      </w:r>
      <w:r w:rsidR="00D528B2" w:rsidRPr="00073171">
        <w:rPr>
          <w:noProof/>
          <w:color w:val="000000" w:themeColor="text1"/>
        </w:rPr>
        <w:t>, although there was a medium within-</w:t>
      </w:r>
      <w:r w:rsidR="00AD1283" w:rsidRPr="00073171">
        <w:rPr>
          <w:noProof/>
          <w:color w:val="000000" w:themeColor="text1"/>
        </w:rPr>
        <w:t xml:space="preserve">group </w:t>
      </w:r>
      <w:r w:rsidR="00D528B2" w:rsidRPr="00073171">
        <w:rPr>
          <w:noProof/>
          <w:color w:val="000000" w:themeColor="text1"/>
        </w:rPr>
        <w:t xml:space="preserve">effect size for </w:t>
      </w:r>
      <w:r w:rsidR="00ED02BA" w:rsidRPr="00073171">
        <w:rPr>
          <w:noProof/>
          <w:color w:val="000000" w:themeColor="text1"/>
        </w:rPr>
        <w:t xml:space="preserve">decreases in </w:t>
      </w:r>
      <w:r w:rsidR="00D528B2" w:rsidRPr="00073171">
        <w:rPr>
          <w:noProof/>
          <w:color w:val="000000" w:themeColor="text1"/>
        </w:rPr>
        <w:t>depression</w:t>
      </w:r>
      <w:r w:rsidRPr="00073171">
        <w:rPr>
          <w:noProof/>
          <w:color w:val="000000" w:themeColor="text1"/>
        </w:rPr>
        <w:t>.</w:t>
      </w:r>
      <w:r w:rsidR="0007672B" w:rsidRPr="00073171">
        <w:rPr>
          <w:noProof/>
          <w:color w:val="000000" w:themeColor="text1"/>
        </w:rPr>
        <w:t xml:space="preserve"> Despite nascent research supporting the use of group ACT for treating </w:t>
      </w:r>
      <w:r w:rsidR="00A80DF9" w:rsidRPr="00073171">
        <w:rPr>
          <w:noProof/>
          <w:color w:val="000000" w:themeColor="text1"/>
        </w:rPr>
        <w:t xml:space="preserve">adolescent </w:t>
      </w:r>
      <w:r w:rsidR="0007672B" w:rsidRPr="00073171">
        <w:rPr>
          <w:noProof/>
          <w:color w:val="000000" w:themeColor="text1"/>
        </w:rPr>
        <w:t xml:space="preserve">depression (e.g., Livheim et al., 2015), this result is </w:t>
      </w:r>
      <w:r w:rsidR="0007672B" w:rsidRPr="00073171">
        <w:rPr>
          <w:noProof/>
          <w:color w:val="000000" w:themeColor="text1"/>
        </w:rPr>
        <w:lastRenderedPageBreak/>
        <w:t xml:space="preserve">consistent with previous </w:t>
      </w:r>
      <w:r w:rsidR="008370C8" w:rsidRPr="00073171">
        <w:rPr>
          <w:noProof/>
          <w:color w:val="000000" w:themeColor="text1"/>
        </w:rPr>
        <w:t xml:space="preserve">pilot </w:t>
      </w:r>
      <w:r w:rsidR="0007672B" w:rsidRPr="00073171">
        <w:rPr>
          <w:noProof/>
          <w:color w:val="000000" w:themeColor="text1"/>
        </w:rPr>
        <w:t xml:space="preserve">research </w:t>
      </w:r>
      <w:r w:rsidR="00423CBD" w:rsidRPr="00073171">
        <w:rPr>
          <w:noProof/>
          <w:color w:val="000000" w:themeColor="text1"/>
        </w:rPr>
        <w:t xml:space="preserve">that </w:t>
      </w:r>
      <w:r w:rsidR="0007672B" w:rsidRPr="00073171">
        <w:rPr>
          <w:noProof/>
          <w:color w:val="000000" w:themeColor="text1"/>
        </w:rPr>
        <w:t xml:space="preserve">found no significant decreases in </w:t>
      </w:r>
      <w:r w:rsidR="003E3BA2" w:rsidRPr="00073171">
        <w:rPr>
          <w:noProof/>
          <w:color w:val="000000" w:themeColor="text1"/>
        </w:rPr>
        <w:t xml:space="preserve">youth </w:t>
      </w:r>
      <w:r w:rsidR="0007672B" w:rsidRPr="00073171">
        <w:rPr>
          <w:noProof/>
          <w:color w:val="000000" w:themeColor="text1"/>
        </w:rPr>
        <w:t>depression</w:t>
      </w:r>
      <w:r w:rsidR="00423CBD" w:rsidRPr="00073171">
        <w:rPr>
          <w:noProof/>
          <w:color w:val="000000" w:themeColor="text1"/>
        </w:rPr>
        <w:t xml:space="preserve"> </w:t>
      </w:r>
      <w:r w:rsidR="003E3BA2" w:rsidRPr="00073171">
        <w:rPr>
          <w:noProof/>
          <w:color w:val="000000" w:themeColor="text1"/>
        </w:rPr>
        <w:t>after receiving</w:t>
      </w:r>
      <w:r w:rsidR="00423CBD" w:rsidRPr="00073171">
        <w:rPr>
          <w:noProof/>
          <w:color w:val="000000" w:themeColor="text1"/>
        </w:rPr>
        <w:t xml:space="preserve"> a school-based, ACT group for anxiety</w:t>
      </w:r>
      <w:r w:rsidR="0007672B" w:rsidRPr="00073171">
        <w:rPr>
          <w:noProof/>
          <w:color w:val="000000" w:themeColor="text1"/>
        </w:rPr>
        <w:t xml:space="preserve"> (Smith, Oxman, &amp; Hayes, 2020).</w:t>
      </w:r>
      <w:r w:rsidR="00402438" w:rsidRPr="00073171">
        <w:rPr>
          <w:noProof/>
          <w:color w:val="000000" w:themeColor="text1"/>
        </w:rPr>
        <w:t xml:space="preserve"> </w:t>
      </w:r>
      <w:r w:rsidR="00BB569F" w:rsidRPr="00073171">
        <w:rPr>
          <w:noProof/>
          <w:color w:val="000000" w:themeColor="text1"/>
        </w:rPr>
        <w:t>As indicated by the CES</w:t>
      </w:r>
      <w:r w:rsidR="00001785" w:rsidRPr="00073171">
        <w:rPr>
          <w:noProof/>
          <w:color w:val="000000" w:themeColor="text1"/>
        </w:rPr>
        <w:t>-</w:t>
      </w:r>
      <w:r w:rsidR="00BB569F" w:rsidRPr="00073171">
        <w:rPr>
          <w:noProof/>
          <w:color w:val="000000" w:themeColor="text1"/>
        </w:rPr>
        <w:t>D pre-treatment scores</w:t>
      </w:r>
      <w:r w:rsidR="00637164" w:rsidRPr="00073171">
        <w:rPr>
          <w:noProof/>
          <w:color w:val="000000" w:themeColor="text1"/>
        </w:rPr>
        <w:t xml:space="preserve"> (see Table </w:t>
      </w:r>
      <w:r w:rsidR="00F10FC6" w:rsidRPr="00073171">
        <w:rPr>
          <w:noProof/>
          <w:color w:val="000000" w:themeColor="text1"/>
        </w:rPr>
        <w:t>2</w:t>
      </w:r>
      <w:r w:rsidR="00637164" w:rsidRPr="00073171">
        <w:rPr>
          <w:noProof/>
          <w:color w:val="000000" w:themeColor="text1"/>
        </w:rPr>
        <w:t>)</w:t>
      </w:r>
      <w:r w:rsidR="00BB569F" w:rsidRPr="00073171">
        <w:rPr>
          <w:noProof/>
          <w:color w:val="000000" w:themeColor="text1"/>
        </w:rPr>
        <w:t>, many participants were struggling with</w:t>
      </w:r>
      <w:r w:rsidR="00C44212" w:rsidRPr="00073171">
        <w:rPr>
          <w:noProof/>
          <w:color w:val="000000" w:themeColor="text1"/>
        </w:rPr>
        <w:t xml:space="preserve"> elevated</w:t>
      </w:r>
      <w:r w:rsidR="00BB569F" w:rsidRPr="00073171">
        <w:rPr>
          <w:noProof/>
          <w:color w:val="000000" w:themeColor="text1"/>
        </w:rPr>
        <w:t xml:space="preserve"> depressive symptoms in addition to anxiety</w:t>
      </w:r>
      <w:r w:rsidR="004E1270" w:rsidRPr="00073171">
        <w:rPr>
          <w:noProof/>
          <w:color w:val="000000" w:themeColor="text1"/>
        </w:rPr>
        <w:t xml:space="preserve">; however, </w:t>
      </w:r>
      <w:r w:rsidR="00CA4E79" w:rsidRPr="00073171">
        <w:rPr>
          <w:noProof/>
          <w:color w:val="000000" w:themeColor="text1"/>
        </w:rPr>
        <w:t>the sample may have been underpowered to detect changes in depression</w:t>
      </w:r>
      <w:r w:rsidR="00BB569F" w:rsidRPr="00073171">
        <w:rPr>
          <w:noProof/>
          <w:color w:val="000000" w:themeColor="text1"/>
        </w:rPr>
        <w:t xml:space="preserve">. </w:t>
      </w:r>
      <w:r w:rsidR="00151833" w:rsidRPr="00073171">
        <w:rPr>
          <w:noProof/>
          <w:color w:val="000000" w:themeColor="text1"/>
        </w:rPr>
        <w:t xml:space="preserve">Because this intervention was highly focused on anixety, rather than other mental health concerns, it is </w:t>
      </w:r>
      <w:r w:rsidR="00A05ED1" w:rsidRPr="00073171">
        <w:rPr>
          <w:noProof/>
          <w:color w:val="000000" w:themeColor="text1"/>
        </w:rPr>
        <w:t xml:space="preserve">also </w:t>
      </w:r>
      <w:r w:rsidR="00151833" w:rsidRPr="00073171">
        <w:rPr>
          <w:noProof/>
          <w:color w:val="000000" w:themeColor="text1"/>
        </w:rPr>
        <w:t xml:space="preserve">possible that depressive symptoms were not sufficiently targeted. </w:t>
      </w:r>
      <w:r w:rsidR="008F17C9" w:rsidRPr="00073171">
        <w:rPr>
          <w:noProof/>
          <w:color w:val="000000" w:themeColor="text1"/>
        </w:rPr>
        <w:t xml:space="preserve">However, ACT is understood as a transdiagnostic treatment, so it is </w:t>
      </w:r>
      <w:r w:rsidR="008F39E0" w:rsidRPr="00073171">
        <w:rPr>
          <w:noProof/>
          <w:color w:val="000000" w:themeColor="text1"/>
        </w:rPr>
        <w:t>a</w:t>
      </w:r>
      <w:r w:rsidR="008F17C9" w:rsidRPr="00073171">
        <w:rPr>
          <w:noProof/>
          <w:color w:val="000000" w:themeColor="text1"/>
        </w:rPr>
        <w:t>lso possible that</w:t>
      </w:r>
      <w:r w:rsidR="00B5305F" w:rsidRPr="00073171">
        <w:rPr>
          <w:noProof/>
          <w:color w:val="000000" w:themeColor="text1"/>
        </w:rPr>
        <w:t xml:space="preserve"> </w:t>
      </w:r>
      <w:r w:rsidR="001E16C6" w:rsidRPr="00073171">
        <w:rPr>
          <w:noProof/>
          <w:color w:val="000000" w:themeColor="text1"/>
        </w:rPr>
        <w:t>the DNA</w:t>
      </w:r>
      <w:r w:rsidR="007178CE" w:rsidRPr="00073171">
        <w:rPr>
          <w:noProof/>
          <w:color w:val="000000" w:themeColor="text1"/>
        </w:rPr>
        <w:t>-</w:t>
      </w:r>
      <w:r w:rsidR="001E16C6" w:rsidRPr="00073171">
        <w:rPr>
          <w:noProof/>
          <w:color w:val="000000" w:themeColor="text1"/>
        </w:rPr>
        <w:t>V</w:t>
      </w:r>
      <w:r w:rsidR="00B5305F" w:rsidRPr="00073171">
        <w:rPr>
          <w:noProof/>
          <w:color w:val="000000" w:themeColor="text1"/>
        </w:rPr>
        <w:t xml:space="preserve"> skills were not taught in a generalizable manner</w:t>
      </w:r>
      <w:r w:rsidR="00AA321E" w:rsidRPr="00073171">
        <w:rPr>
          <w:noProof/>
          <w:color w:val="000000" w:themeColor="text1"/>
        </w:rPr>
        <w:t xml:space="preserve">. </w:t>
      </w:r>
      <w:r w:rsidR="0047558E" w:rsidRPr="00073171">
        <w:rPr>
          <w:noProof/>
          <w:color w:val="000000" w:themeColor="text1"/>
        </w:rPr>
        <w:t xml:space="preserve">Because </w:t>
      </w:r>
      <w:r w:rsidR="008F39E0" w:rsidRPr="00073171">
        <w:rPr>
          <w:noProof/>
          <w:color w:val="000000" w:themeColor="text1"/>
        </w:rPr>
        <w:t xml:space="preserve">time was </w:t>
      </w:r>
      <w:r w:rsidR="00543D6E" w:rsidRPr="00073171">
        <w:rPr>
          <w:noProof/>
          <w:color w:val="000000" w:themeColor="text1"/>
        </w:rPr>
        <w:t xml:space="preserve">limited, addressing depression </w:t>
      </w:r>
      <w:r w:rsidR="007178CE" w:rsidRPr="00073171">
        <w:rPr>
          <w:noProof/>
          <w:color w:val="000000" w:themeColor="text1"/>
        </w:rPr>
        <w:t xml:space="preserve">was </w:t>
      </w:r>
      <w:r w:rsidR="00624633" w:rsidRPr="00073171">
        <w:rPr>
          <w:noProof/>
          <w:color w:val="000000" w:themeColor="text1"/>
        </w:rPr>
        <w:t xml:space="preserve">typically </w:t>
      </w:r>
      <w:r w:rsidR="007178CE" w:rsidRPr="00073171">
        <w:rPr>
          <w:noProof/>
          <w:color w:val="000000" w:themeColor="text1"/>
        </w:rPr>
        <w:t>outside the</w:t>
      </w:r>
      <w:r w:rsidR="008F39E0" w:rsidRPr="00073171">
        <w:rPr>
          <w:noProof/>
          <w:color w:val="000000" w:themeColor="text1"/>
        </w:rPr>
        <w:t xml:space="preserve"> scope of the group </w:t>
      </w:r>
      <w:r w:rsidR="00E17C56" w:rsidRPr="00073171">
        <w:rPr>
          <w:noProof/>
          <w:color w:val="000000" w:themeColor="text1"/>
        </w:rPr>
        <w:t>ses</w:t>
      </w:r>
      <w:r w:rsidR="008F39E0" w:rsidRPr="00073171">
        <w:rPr>
          <w:noProof/>
          <w:color w:val="000000" w:themeColor="text1"/>
        </w:rPr>
        <w:t>s</w:t>
      </w:r>
      <w:r w:rsidR="00E17C56" w:rsidRPr="00073171">
        <w:rPr>
          <w:noProof/>
          <w:color w:val="000000" w:themeColor="text1"/>
        </w:rPr>
        <w:t>ions</w:t>
      </w:r>
      <w:r w:rsidR="008F39E0" w:rsidRPr="00073171">
        <w:rPr>
          <w:noProof/>
          <w:color w:val="000000" w:themeColor="text1"/>
        </w:rPr>
        <w:t xml:space="preserve">. </w:t>
      </w:r>
      <w:r w:rsidR="00B86526" w:rsidRPr="00073171">
        <w:rPr>
          <w:noProof/>
          <w:color w:val="000000" w:themeColor="text1"/>
        </w:rPr>
        <w:t xml:space="preserve">Future research should consider </w:t>
      </w:r>
      <w:r w:rsidR="00410BB7" w:rsidRPr="00073171">
        <w:rPr>
          <w:noProof/>
          <w:color w:val="000000" w:themeColor="text1"/>
        </w:rPr>
        <w:t xml:space="preserve">additional sessions or greater efforts to generalize in order </w:t>
      </w:r>
      <w:r w:rsidR="00B86526" w:rsidRPr="00073171">
        <w:rPr>
          <w:noProof/>
          <w:color w:val="000000" w:themeColor="text1"/>
        </w:rPr>
        <w:t>to make treatments more effective</w:t>
      </w:r>
      <w:r w:rsidR="00F65685" w:rsidRPr="00073171">
        <w:rPr>
          <w:noProof/>
          <w:color w:val="000000" w:themeColor="text1"/>
        </w:rPr>
        <w:t xml:space="preserve"> across mental health concerns</w:t>
      </w:r>
      <w:r w:rsidR="00B86526" w:rsidRPr="00073171">
        <w:rPr>
          <w:noProof/>
          <w:color w:val="000000" w:themeColor="text1"/>
        </w:rPr>
        <w:t xml:space="preserve">. </w:t>
      </w:r>
      <w:r w:rsidR="00177838" w:rsidRPr="00073171">
        <w:rPr>
          <w:noProof/>
          <w:color w:val="000000" w:themeColor="text1"/>
        </w:rPr>
        <w:t xml:space="preserve">For example, instead of asking about how students used DNA-V when anxiety was present, </w:t>
      </w:r>
      <w:r w:rsidR="005308C9" w:rsidRPr="00073171">
        <w:rPr>
          <w:noProof/>
          <w:color w:val="000000" w:themeColor="text1"/>
        </w:rPr>
        <w:t>reframing the question to encompass</w:t>
      </w:r>
      <w:r w:rsidR="00177838" w:rsidRPr="00073171">
        <w:rPr>
          <w:noProof/>
          <w:color w:val="000000" w:themeColor="text1"/>
        </w:rPr>
        <w:t xml:space="preserve"> </w:t>
      </w:r>
      <w:r w:rsidR="005308C9" w:rsidRPr="00073171">
        <w:rPr>
          <w:noProof/>
          <w:color w:val="000000" w:themeColor="text1"/>
        </w:rPr>
        <w:t>any difficult thoughts or feelings.</w:t>
      </w:r>
    </w:p>
    <w:p w14:paraId="6B8AA29E" w14:textId="7BC65913" w:rsidR="00160F4E" w:rsidRPr="00073171" w:rsidRDefault="00160F4E" w:rsidP="009D2F60">
      <w:pPr>
        <w:spacing w:line="480" w:lineRule="auto"/>
        <w:ind w:firstLine="720"/>
        <w:rPr>
          <w:noProof/>
          <w:color w:val="000000" w:themeColor="text1"/>
        </w:rPr>
      </w:pPr>
      <w:r w:rsidRPr="00073171">
        <w:rPr>
          <w:noProof/>
          <w:color w:val="000000" w:themeColor="text1"/>
        </w:rPr>
        <w:t>No between-group differences were found for quality</w:t>
      </w:r>
      <w:r w:rsidR="00690700" w:rsidRPr="00073171">
        <w:rPr>
          <w:noProof/>
          <w:color w:val="000000" w:themeColor="text1"/>
        </w:rPr>
        <w:t>-</w:t>
      </w:r>
      <w:r w:rsidRPr="00073171">
        <w:rPr>
          <w:noProof/>
          <w:color w:val="000000" w:themeColor="text1"/>
        </w:rPr>
        <w:t>of</w:t>
      </w:r>
      <w:r w:rsidR="00690700" w:rsidRPr="00073171">
        <w:rPr>
          <w:noProof/>
          <w:color w:val="000000" w:themeColor="text1"/>
        </w:rPr>
        <w:t>-</w:t>
      </w:r>
      <w:r w:rsidRPr="00073171">
        <w:rPr>
          <w:noProof/>
          <w:color w:val="000000" w:themeColor="text1"/>
        </w:rPr>
        <w:t>life outcomes (i.e., s</w:t>
      </w:r>
      <w:r w:rsidR="006D76A7" w:rsidRPr="00073171">
        <w:rPr>
          <w:noProof/>
          <w:color w:val="000000" w:themeColor="text1"/>
        </w:rPr>
        <w:t>tudent</w:t>
      </w:r>
      <w:r w:rsidRPr="00073171">
        <w:rPr>
          <w:noProof/>
          <w:color w:val="000000" w:themeColor="text1"/>
        </w:rPr>
        <w:t xml:space="preserve"> well-being and positive mental health) and psychological inflexibility. Because these are the outcomes that ACT purports to target specifically, these results are </w:t>
      </w:r>
      <w:r w:rsidR="00B44899" w:rsidRPr="00073171">
        <w:rPr>
          <w:noProof/>
          <w:color w:val="000000" w:themeColor="text1"/>
        </w:rPr>
        <w:t>in</w:t>
      </w:r>
      <w:r w:rsidRPr="00073171">
        <w:rPr>
          <w:noProof/>
          <w:color w:val="000000" w:themeColor="text1"/>
        </w:rPr>
        <w:t>consistent with past larger trials</w:t>
      </w:r>
      <w:r w:rsidR="00C05700" w:rsidRPr="00073171">
        <w:rPr>
          <w:noProof/>
          <w:color w:val="000000" w:themeColor="text1"/>
        </w:rPr>
        <w:t xml:space="preserve"> </w:t>
      </w:r>
      <w:r w:rsidR="00D829F9" w:rsidRPr="00073171">
        <w:rPr>
          <w:noProof/>
          <w:color w:val="000000" w:themeColor="text1"/>
        </w:rPr>
        <w:t xml:space="preserve">in adults </w:t>
      </w:r>
      <w:r w:rsidR="00C05700" w:rsidRPr="00073171">
        <w:rPr>
          <w:noProof/>
          <w:color w:val="000000" w:themeColor="text1"/>
        </w:rPr>
        <w:t>(Bluett et al., 2014)</w:t>
      </w:r>
      <w:r w:rsidRPr="00073171">
        <w:rPr>
          <w:noProof/>
          <w:color w:val="000000" w:themeColor="text1"/>
        </w:rPr>
        <w:t xml:space="preserve">. However, previous studies similar in size </w:t>
      </w:r>
      <w:r w:rsidR="008A2B7C" w:rsidRPr="00073171">
        <w:rPr>
          <w:noProof/>
          <w:color w:val="000000" w:themeColor="text1"/>
        </w:rPr>
        <w:t xml:space="preserve">and population </w:t>
      </w:r>
      <w:r w:rsidRPr="00073171">
        <w:rPr>
          <w:noProof/>
          <w:color w:val="000000" w:themeColor="text1"/>
        </w:rPr>
        <w:t>(</w:t>
      </w:r>
      <w:r w:rsidR="00BE58A2" w:rsidRPr="00073171">
        <w:rPr>
          <w:noProof/>
          <w:color w:val="000000" w:themeColor="text1"/>
        </w:rPr>
        <w:t>e</w:t>
      </w:r>
      <w:r w:rsidRPr="00073171">
        <w:rPr>
          <w:noProof/>
          <w:color w:val="000000" w:themeColor="text1"/>
        </w:rPr>
        <w:t>.g.,</w:t>
      </w:r>
      <w:r w:rsidR="00BE58A2" w:rsidRPr="00073171">
        <w:rPr>
          <w:noProof/>
          <w:color w:val="000000" w:themeColor="text1"/>
        </w:rPr>
        <w:t xml:space="preserve"> </w:t>
      </w:r>
      <w:r w:rsidR="00CE64DE" w:rsidRPr="00073171">
        <w:rPr>
          <w:noProof/>
          <w:color w:val="000000" w:themeColor="text1"/>
        </w:rPr>
        <w:t>Livheim et al., 2015</w:t>
      </w:r>
      <w:r w:rsidRPr="00073171">
        <w:rPr>
          <w:noProof/>
          <w:color w:val="000000" w:themeColor="text1"/>
        </w:rPr>
        <w:t xml:space="preserve">) also did not find </w:t>
      </w:r>
      <w:r w:rsidR="000312FF" w:rsidRPr="00073171">
        <w:rPr>
          <w:noProof/>
          <w:color w:val="000000" w:themeColor="text1"/>
        </w:rPr>
        <w:t xml:space="preserve">significant between-group differences </w:t>
      </w:r>
      <w:r w:rsidRPr="00073171">
        <w:rPr>
          <w:noProof/>
          <w:color w:val="000000" w:themeColor="text1"/>
        </w:rPr>
        <w:t>in psychological inflexibility or quality</w:t>
      </w:r>
      <w:r w:rsidR="00690700" w:rsidRPr="00073171">
        <w:rPr>
          <w:noProof/>
          <w:color w:val="000000" w:themeColor="text1"/>
        </w:rPr>
        <w:t>-</w:t>
      </w:r>
      <w:r w:rsidRPr="00073171">
        <w:rPr>
          <w:noProof/>
          <w:color w:val="000000" w:themeColor="text1"/>
        </w:rPr>
        <w:t>of</w:t>
      </w:r>
      <w:r w:rsidR="00690700" w:rsidRPr="00073171">
        <w:rPr>
          <w:noProof/>
          <w:color w:val="000000" w:themeColor="text1"/>
        </w:rPr>
        <w:t>-</w:t>
      </w:r>
      <w:r w:rsidRPr="00073171">
        <w:rPr>
          <w:noProof/>
          <w:color w:val="000000" w:themeColor="text1"/>
        </w:rPr>
        <w:t>life</w:t>
      </w:r>
      <w:r w:rsidR="0013033E" w:rsidRPr="00073171">
        <w:rPr>
          <w:noProof/>
          <w:color w:val="000000" w:themeColor="text1"/>
        </w:rPr>
        <w:t xml:space="preserve"> variables</w:t>
      </w:r>
      <w:r w:rsidRPr="00073171">
        <w:rPr>
          <w:noProof/>
          <w:color w:val="000000" w:themeColor="text1"/>
        </w:rPr>
        <w:t xml:space="preserve">. </w:t>
      </w:r>
      <w:r w:rsidR="009D2F60" w:rsidRPr="00073171">
        <w:rPr>
          <w:noProof/>
          <w:color w:val="000000" w:themeColor="text1"/>
        </w:rPr>
        <w:t xml:space="preserve">One possible </w:t>
      </w:r>
      <w:r w:rsidR="00B57689" w:rsidRPr="00073171">
        <w:rPr>
          <w:noProof/>
          <w:color w:val="000000" w:themeColor="text1"/>
        </w:rPr>
        <w:t xml:space="preserve">explanation is </w:t>
      </w:r>
      <w:r w:rsidR="009D2F60" w:rsidRPr="00073171">
        <w:rPr>
          <w:noProof/>
          <w:color w:val="000000" w:themeColor="text1"/>
        </w:rPr>
        <w:t xml:space="preserve">that group facilitators were not employees of the school—perhaps students would have improved </w:t>
      </w:r>
      <w:r w:rsidR="00FA0CC7" w:rsidRPr="00073171">
        <w:rPr>
          <w:noProof/>
          <w:color w:val="000000" w:themeColor="text1"/>
        </w:rPr>
        <w:t xml:space="preserve">more on </w:t>
      </w:r>
      <w:r w:rsidR="009D2F60" w:rsidRPr="00073171">
        <w:rPr>
          <w:noProof/>
          <w:color w:val="000000" w:themeColor="text1"/>
        </w:rPr>
        <w:t>s</w:t>
      </w:r>
      <w:r w:rsidR="006D76A7" w:rsidRPr="00073171">
        <w:rPr>
          <w:noProof/>
          <w:color w:val="000000" w:themeColor="text1"/>
        </w:rPr>
        <w:t>tudent</w:t>
      </w:r>
      <w:r w:rsidR="00397AEE" w:rsidRPr="00073171">
        <w:rPr>
          <w:noProof/>
          <w:color w:val="000000" w:themeColor="text1"/>
        </w:rPr>
        <w:t xml:space="preserve"> or general</w:t>
      </w:r>
      <w:r w:rsidR="009D2F60" w:rsidRPr="00073171">
        <w:rPr>
          <w:noProof/>
          <w:color w:val="000000" w:themeColor="text1"/>
        </w:rPr>
        <w:t xml:space="preserve"> well-being if the group was more directly connected to the school environment beyond occurrence during school hours (e.g., seeing facilitators regularly around the school)</w:t>
      </w:r>
      <w:r w:rsidR="00A16E84" w:rsidRPr="00073171">
        <w:rPr>
          <w:noProof/>
          <w:color w:val="000000" w:themeColor="text1"/>
        </w:rPr>
        <w:t xml:space="preserve"> or more integrated into students’ lives (e.g., receiving reminders about skills from counselors or </w:t>
      </w:r>
      <w:r w:rsidR="00A16E84" w:rsidRPr="00073171">
        <w:rPr>
          <w:noProof/>
          <w:color w:val="000000" w:themeColor="text1"/>
        </w:rPr>
        <w:lastRenderedPageBreak/>
        <w:t>teachers)</w:t>
      </w:r>
      <w:r w:rsidR="009D2F60" w:rsidRPr="00073171">
        <w:rPr>
          <w:noProof/>
          <w:color w:val="000000" w:themeColor="text1"/>
        </w:rPr>
        <w:t xml:space="preserve">. </w:t>
      </w:r>
      <w:r w:rsidR="00177838" w:rsidRPr="00073171">
        <w:rPr>
          <w:noProof/>
          <w:color w:val="000000" w:themeColor="text1"/>
        </w:rPr>
        <w:t xml:space="preserve">Another explanation may be that the groups did not focus on anxiety in school settings specifically. </w:t>
      </w:r>
      <w:r w:rsidR="00714CDC" w:rsidRPr="00073171">
        <w:rPr>
          <w:noProof/>
          <w:color w:val="000000" w:themeColor="text1"/>
        </w:rPr>
        <w:t>Greater c</w:t>
      </w:r>
      <w:r w:rsidR="00177838" w:rsidRPr="00073171">
        <w:rPr>
          <w:noProof/>
          <w:color w:val="000000" w:themeColor="text1"/>
        </w:rPr>
        <w:t>hanges in student well-being may have been observed if symptoms interfering with student life (e.g., academics, teacher communication) were directly addressed</w:t>
      </w:r>
      <w:r w:rsidR="000F7BED" w:rsidRPr="00073171">
        <w:rPr>
          <w:noProof/>
          <w:color w:val="000000" w:themeColor="text1"/>
        </w:rPr>
        <w:t xml:space="preserve"> in group sessions</w:t>
      </w:r>
      <w:r w:rsidR="00177838" w:rsidRPr="00073171">
        <w:rPr>
          <w:noProof/>
          <w:color w:val="000000" w:themeColor="text1"/>
        </w:rPr>
        <w:t xml:space="preserve">. </w:t>
      </w:r>
      <w:r w:rsidR="00B57689" w:rsidRPr="00073171">
        <w:rPr>
          <w:noProof/>
          <w:color w:val="000000" w:themeColor="text1"/>
        </w:rPr>
        <w:t>It is also possible that participants may have experienced greater differences in quality of life and psychological inflexibility across longer follow-up points. However, ethical limitations related to the waitlist length prevented exploring this possibility further</w:t>
      </w:r>
      <w:r w:rsidR="00C47D02" w:rsidRPr="00073171">
        <w:rPr>
          <w:noProof/>
          <w:color w:val="000000" w:themeColor="text1"/>
        </w:rPr>
        <w:t xml:space="preserve"> in the present study</w:t>
      </w:r>
      <w:r w:rsidR="00B57689" w:rsidRPr="00073171">
        <w:rPr>
          <w:noProof/>
          <w:color w:val="000000" w:themeColor="text1"/>
        </w:rPr>
        <w:t>. Overall, these results</w:t>
      </w:r>
      <w:r w:rsidR="007A30A3" w:rsidRPr="00073171">
        <w:rPr>
          <w:noProof/>
          <w:color w:val="000000" w:themeColor="text1"/>
        </w:rPr>
        <w:t xml:space="preserve"> point towards </w:t>
      </w:r>
      <w:r w:rsidR="00245CDE" w:rsidRPr="00073171">
        <w:rPr>
          <w:noProof/>
          <w:color w:val="000000" w:themeColor="text1"/>
        </w:rPr>
        <w:t>the need to</w:t>
      </w:r>
      <w:r w:rsidR="007A30A3" w:rsidRPr="00073171">
        <w:rPr>
          <w:noProof/>
          <w:color w:val="000000" w:themeColor="text1"/>
        </w:rPr>
        <w:t xml:space="preserve"> emphasize larger sample sizes and </w:t>
      </w:r>
      <w:r w:rsidR="002C18EF" w:rsidRPr="00073171">
        <w:rPr>
          <w:noProof/>
          <w:color w:val="000000" w:themeColor="text1"/>
        </w:rPr>
        <w:t>longer follow-up points in order to better understand the effectiveness of the i</w:t>
      </w:r>
      <w:r w:rsidR="00D30B83" w:rsidRPr="00073171">
        <w:rPr>
          <w:noProof/>
          <w:color w:val="000000" w:themeColor="text1"/>
        </w:rPr>
        <w:t>nt</w:t>
      </w:r>
      <w:r w:rsidR="002C18EF" w:rsidRPr="00073171">
        <w:rPr>
          <w:noProof/>
          <w:color w:val="000000" w:themeColor="text1"/>
        </w:rPr>
        <w:t>ervention.</w:t>
      </w:r>
      <w:r w:rsidR="002F7D7D" w:rsidRPr="00073171">
        <w:rPr>
          <w:noProof/>
          <w:color w:val="000000" w:themeColor="text1"/>
        </w:rPr>
        <w:t xml:space="preserve"> </w:t>
      </w:r>
    </w:p>
    <w:p w14:paraId="060B2EE9" w14:textId="4D269291" w:rsidR="0005169E" w:rsidRPr="00073171" w:rsidRDefault="0005169E" w:rsidP="0005169E">
      <w:pPr>
        <w:spacing w:line="480" w:lineRule="auto"/>
        <w:rPr>
          <w:b/>
          <w:bCs/>
          <w:noProof/>
          <w:color w:val="000000" w:themeColor="text1"/>
        </w:rPr>
      </w:pPr>
      <w:r w:rsidRPr="00073171">
        <w:rPr>
          <w:b/>
          <w:bCs/>
          <w:noProof/>
          <w:color w:val="000000" w:themeColor="text1"/>
        </w:rPr>
        <w:t>Clinical implications</w:t>
      </w:r>
    </w:p>
    <w:p w14:paraId="1FF73500" w14:textId="70A3E750" w:rsidR="0004590F" w:rsidRPr="00073171" w:rsidRDefault="00B12537" w:rsidP="00A27833">
      <w:pPr>
        <w:spacing w:line="480" w:lineRule="auto"/>
        <w:ind w:firstLine="720"/>
        <w:rPr>
          <w:color w:val="000000" w:themeColor="text1"/>
        </w:rPr>
      </w:pPr>
      <w:r w:rsidRPr="00073171">
        <w:rPr>
          <w:color w:val="000000" w:themeColor="text1"/>
        </w:rPr>
        <w:t>At a clinical level, this study provides some important information regarding</w:t>
      </w:r>
      <w:r w:rsidR="00314631" w:rsidRPr="00073171">
        <w:rPr>
          <w:color w:val="000000" w:themeColor="text1"/>
        </w:rPr>
        <w:t xml:space="preserve"> </w:t>
      </w:r>
      <w:r w:rsidR="00AB49A0" w:rsidRPr="00073171">
        <w:rPr>
          <w:color w:val="000000" w:themeColor="text1"/>
        </w:rPr>
        <w:t xml:space="preserve">the implementation of </w:t>
      </w:r>
      <w:r w:rsidRPr="00073171">
        <w:rPr>
          <w:color w:val="000000" w:themeColor="text1"/>
        </w:rPr>
        <w:t xml:space="preserve">ACT groups </w:t>
      </w:r>
      <w:r w:rsidR="00314631" w:rsidRPr="00073171">
        <w:rPr>
          <w:color w:val="000000" w:themeColor="text1"/>
        </w:rPr>
        <w:t xml:space="preserve">as a treatment </w:t>
      </w:r>
      <w:r w:rsidRPr="00073171">
        <w:rPr>
          <w:color w:val="000000" w:themeColor="text1"/>
        </w:rPr>
        <w:t xml:space="preserve">for anxiety in </w:t>
      </w:r>
      <w:r w:rsidR="002777B9" w:rsidRPr="00073171">
        <w:rPr>
          <w:color w:val="000000" w:themeColor="text1"/>
        </w:rPr>
        <w:t xml:space="preserve">high school </w:t>
      </w:r>
      <w:r w:rsidRPr="00073171">
        <w:rPr>
          <w:color w:val="000000" w:themeColor="text1"/>
        </w:rPr>
        <w:t>s</w:t>
      </w:r>
      <w:r w:rsidR="00314631" w:rsidRPr="00073171">
        <w:rPr>
          <w:color w:val="000000" w:themeColor="text1"/>
        </w:rPr>
        <w:t>tudents</w:t>
      </w:r>
      <w:r w:rsidRPr="00073171">
        <w:rPr>
          <w:color w:val="000000" w:themeColor="text1"/>
        </w:rPr>
        <w:t>. First, the high CURP ratings indicate that the intervention was perceived as acceptable</w:t>
      </w:r>
      <w:r w:rsidR="0049577F" w:rsidRPr="00073171">
        <w:rPr>
          <w:color w:val="000000" w:themeColor="text1"/>
        </w:rPr>
        <w:t>, feasible, and easily understood by the participants. Participants also</w:t>
      </w:r>
      <w:r w:rsidR="005F2347">
        <w:rPr>
          <w:color w:val="000000" w:themeColor="text1"/>
        </w:rPr>
        <w:t xml:space="preserve"> verbally</w:t>
      </w:r>
      <w:r w:rsidR="0049577F" w:rsidRPr="00073171">
        <w:rPr>
          <w:color w:val="000000" w:themeColor="text1"/>
        </w:rPr>
        <w:t xml:space="preserve"> expressed positive reception for the group itself</w:t>
      </w:r>
      <w:r w:rsidR="005F2347">
        <w:rPr>
          <w:color w:val="000000" w:themeColor="text1"/>
        </w:rPr>
        <w:t xml:space="preserve"> during the final session and after the group’s completion</w:t>
      </w:r>
      <w:r w:rsidR="0049577F" w:rsidRPr="00073171">
        <w:rPr>
          <w:color w:val="000000" w:themeColor="text1"/>
        </w:rPr>
        <w:t>.</w:t>
      </w:r>
      <w:r w:rsidR="0004590F" w:rsidRPr="00073171">
        <w:rPr>
          <w:color w:val="000000" w:themeColor="text1"/>
        </w:rPr>
        <w:t xml:space="preserve"> While grounded in the same core construct of psychological flexibility, DNA-V is a unique presentation of ACT which personifies key therapeutic </w:t>
      </w:r>
      <w:r w:rsidR="00D94FC8" w:rsidRPr="00073171">
        <w:rPr>
          <w:color w:val="000000" w:themeColor="text1"/>
        </w:rPr>
        <w:t>skills and additionally incorporates aspects of positive</w:t>
      </w:r>
      <w:r w:rsidR="008F7D77" w:rsidRPr="00073171">
        <w:rPr>
          <w:color w:val="000000" w:themeColor="text1"/>
        </w:rPr>
        <w:t xml:space="preserve"> and developmental</w:t>
      </w:r>
      <w:r w:rsidR="00D94FC8" w:rsidRPr="00073171">
        <w:rPr>
          <w:color w:val="000000" w:themeColor="text1"/>
        </w:rPr>
        <w:t xml:space="preserve"> psychology. The positive effects of DNA-V that we observed, as well as encouraging qualitative feedback, point to the usefulness of creative adaptations of traditional ACT for specific populations.</w:t>
      </w:r>
    </w:p>
    <w:p w14:paraId="39095F5B" w14:textId="6349BC86" w:rsidR="00510B36" w:rsidRPr="00073171" w:rsidRDefault="00472A33" w:rsidP="00510B36">
      <w:pPr>
        <w:spacing w:line="480" w:lineRule="auto"/>
        <w:ind w:firstLine="720"/>
        <w:rPr>
          <w:color w:val="000000" w:themeColor="text1"/>
        </w:rPr>
      </w:pPr>
      <w:r w:rsidRPr="00073171">
        <w:rPr>
          <w:color w:val="000000" w:themeColor="text1"/>
        </w:rPr>
        <w:t>G</w:t>
      </w:r>
      <w:r w:rsidR="0049577F" w:rsidRPr="00073171">
        <w:rPr>
          <w:color w:val="000000" w:themeColor="text1"/>
        </w:rPr>
        <w:t>roups were</w:t>
      </w:r>
      <w:r w:rsidRPr="00073171">
        <w:rPr>
          <w:color w:val="000000" w:themeColor="text1"/>
        </w:rPr>
        <w:t xml:space="preserve"> also</w:t>
      </w:r>
      <w:r w:rsidR="0049577F" w:rsidRPr="00073171">
        <w:rPr>
          <w:color w:val="000000" w:themeColor="text1"/>
        </w:rPr>
        <w:t xml:space="preserve"> able to </w:t>
      </w:r>
      <w:r w:rsidRPr="00073171">
        <w:rPr>
          <w:color w:val="000000" w:themeColor="text1"/>
        </w:rPr>
        <w:t xml:space="preserve">successfully </w:t>
      </w:r>
      <w:r w:rsidR="0049577F" w:rsidRPr="00073171">
        <w:rPr>
          <w:color w:val="000000" w:themeColor="text1"/>
        </w:rPr>
        <w:t xml:space="preserve">integrate </w:t>
      </w:r>
      <w:r w:rsidRPr="00073171">
        <w:rPr>
          <w:color w:val="000000" w:themeColor="text1"/>
        </w:rPr>
        <w:t>into</w:t>
      </w:r>
      <w:r w:rsidR="0049577F" w:rsidRPr="00073171">
        <w:rPr>
          <w:color w:val="000000" w:themeColor="text1"/>
        </w:rPr>
        <w:t xml:space="preserve"> school hours</w:t>
      </w:r>
      <w:r w:rsidRPr="00073171">
        <w:rPr>
          <w:color w:val="000000" w:themeColor="text1"/>
        </w:rPr>
        <w:t>; group attendance rates (75%</w:t>
      </w:r>
      <w:r w:rsidR="007B3E5C" w:rsidRPr="00073171">
        <w:rPr>
          <w:color w:val="000000" w:themeColor="text1"/>
        </w:rPr>
        <w:t xml:space="preserve"> sessions completed)</w:t>
      </w:r>
      <w:r w:rsidRPr="00073171">
        <w:rPr>
          <w:color w:val="000000" w:themeColor="text1"/>
        </w:rPr>
        <w:t xml:space="preserve"> were comparable to past research examining group therapy integrated into schools (Chu et al., 2016; Ginsburg et al., 2012)</w:t>
      </w:r>
      <w:r w:rsidR="003070D4" w:rsidRPr="00073171">
        <w:rPr>
          <w:color w:val="000000" w:themeColor="text1"/>
        </w:rPr>
        <w:t xml:space="preserve"> and outside of schools (</w:t>
      </w:r>
      <w:r w:rsidR="007B3E5C" w:rsidRPr="00073171">
        <w:rPr>
          <w:color w:val="000000" w:themeColor="text1"/>
        </w:rPr>
        <w:t>Hancock et al., 2018</w:t>
      </w:r>
      <w:r w:rsidR="003070D4" w:rsidRPr="00073171">
        <w:rPr>
          <w:color w:val="000000" w:themeColor="text1"/>
        </w:rPr>
        <w:t>)</w:t>
      </w:r>
      <w:r w:rsidR="0049577F" w:rsidRPr="00073171">
        <w:rPr>
          <w:color w:val="000000" w:themeColor="text1"/>
        </w:rPr>
        <w:t xml:space="preserve">. </w:t>
      </w:r>
      <w:r w:rsidR="00494DF5">
        <w:rPr>
          <w:color w:val="000000" w:themeColor="text1"/>
        </w:rPr>
        <w:t>There were slight discrepancies in attendance between the two schools (</w:t>
      </w:r>
      <w:r w:rsidR="00494DF5" w:rsidRPr="00073171">
        <w:rPr>
          <w:iCs/>
          <w:color w:val="000000" w:themeColor="text1"/>
        </w:rPr>
        <w:t>9.7 of 16</w:t>
      </w:r>
      <w:r w:rsidR="00494DF5">
        <w:rPr>
          <w:iCs/>
          <w:color w:val="000000" w:themeColor="text1"/>
        </w:rPr>
        <w:t xml:space="preserve"> sessions </w:t>
      </w:r>
      <w:r w:rsidR="00494DF5">
        <w:rPr>
          <w:iCs/>
          <w:color w:val="000000" w:themeColor="text1"/>
        </w:rPr>
        <w:lastRenderedPageBreak/>
        <w:t xml:space="preserve">for </w:t>
      </w:r>
      <w:r w:rsidR="00494DF5" w:rsidRPr="00D674ED">
        <w:rPr>
          <w:iCs/>
        </w:rPr>
        <w:t xml:space="preserve">School A and 7.25 of 8 sessions for School B). It is possible that these different rates stem from when the groups were run. </w:t>
      </w:r>
      <w:r w:rsidR="00494DF5" w:rsidRPr="00D674ED">
        <w:rPr>
          <w:shd w:val="clear" w:color="auto" w:fill="FFFFFF"/>
        </w:rPr>
        <w:t xml:space="preserve">In School A, students had to miss half of their free hour to attend. This free hour </w:t>
      </w:r>
      <w:r w:rsidR="003C3D75">
        <w:rPr>
          <w:shd w:val="clear" w:color="auto" w:fill="FFFFFF"/>
        </w:rPr>
        <w:t xml:space="preserve">was </w:t>
      </w:r>
      <w:r w:rsidR="00494DF5" w:rsidRPr="00D674ED">
        <w:rPr>
          <w:shd w:val="clear" w:color="auto" w:fill="FFFFFF"/>
        </w:rPr>
        <w:t>often when students see teachers for extra help, eat their lunch, or practice for after-school activities (e.g., band, the musical, speaking to coaches). On the other hand, students in School B selected to miss a specific class period</w:t>
      </w:r>
      <w:r w:rsidR="003D528B">
        <w:rPr>
          <w:shd w:val="clear" w:color="auto" w:fill="FFFFFF"/>
        </w:rPr>
        <w:t xml:space="preserve"> for the group</w:t>
      </w:r>
      <w:r w:rsidR="00494DF5" w:rsidRPr="00D674ED">
        <w:rPr>
          <w:shd w:val="clear" w:color="auto" w:fill="FFFFFF"/>
        </w:rPr>
        <w:t xml:space="preserve">. </w:t>
      </w:r>
      <w:r w:rsidR="008B7164">
        <w:rPr>
          <w:shd w:val="clear" w:color="auto" w:fill="FFFFFF"/>
        </w:rPr>
        <w:t>It is possible students find it more palatable or feasible</w:t>
      </w:r>
      <w:r w:rsidR="00494DF5" w:rsidRPr="00D674ED">
        <w:rPr>
          <w:shd w:val="clear" w:color="auto" w:fill="FFFFFF"/>
        </w:rPr>
        <w:t xml:space="preserve"> to miss a class period</w:t>
      </w:r>
      <w:r w:rsidR="008B7164">
        <w:rPr>
          <w:shd w:val="clear" w:color="auto" w:fill="FFFFFF"/>
        </w:rPr>
        <w:t xml:space="preserve"> for group therapy</w:t>
      </w:r>
      <w:r w:rsidR="00494DF5" w:rsidRPr="00D674ED">
        <w:rPr>
          <w:shd w:val="clear" w:color="auto" w:fill="FFFFFF"/>
        </w:rPr>
        <w:t xml:space="preserve"> rather than their</w:t>
      </w:r>
      <w:r w:rsidR="00DB12EB">
        <w:rPr>
          <w:shd w:val="clear" w:color="auto" w:fill="FFFFFF"/>
        </w:rPr>
        <w:t xml:space="preserve"> only</w:t>
      </w:r>
      <w:r w:rsidR="00494DF5" w:rsidRPr="00D674ED">
        <w:rPr>
          <w:shd w:val="clear" w:color="auto" w:fill="FFFFFF"/>
        </w:rPr>
        <w:t xml:space="preserve"> free period, either by personal preference or simply because of what they had to accomplish in their free period.</w:t>
      </w:r>
      <w:r w:rsidR="0019532D">
        <w:rPr>
          <w:shd w:val="clear" w:color="auto" w:fill="FFFFFF"/>
        </w:rPr>
        <w:t xml:space="preserve"> </w:t>
      </w:r>
      <w:r w:rsidR="00510B36">
        <w:rPr>
          <w:shd w:val="clear" w:color="auto" w:fill="FFFFFF"/>
        </w:rPr>
        <w:t xml:space="preserve">However, </w:t>
      </w:r>
      <w:r w:rsidR="00510B36">
        <w:rPr>
          <w:color w:val="000000" w:themeColor="text1"/>
        </w:rPr>
        <w:t>p</w:t>
      </w:r>
      <w:r w:rsidR="00510B36" w:rsidRPr="00073171">
        <w:rPr>
          <w:color w:val="000000" w:themeColor="text1"/>
        </w:rPr>
        <w:t xml:space="preserve">articipants </w:t>
      </w:r>
      <w:r w:rsidR="00510B36">
        <w:rPr>
          <w:color w:val="000000" w:themeColor="text1"/>
        </w:rPr>
        <w:t>in both groups</w:t>
      </w:r>
      <w:r w:rsidR="00510B36" w:rsidRPr="00073171">
        <w:rPr>
          <w:color w:val="000000" w:themeColor="text1"/>
        </w:rPr>
        <w:t xml:space="preserve"> expressed enjoying the immediate ability to practice new DNA-V skills as they continued throughout their school day. For example, participants were taught a present moment awareness exercise that they could then practice during lunch, a typically anxiety-provoking period.</w:t>
      </w:r>
    </w:p>
    <w:p w14:paraId="7CB4E25F" w14:textId="3BD68FF9" w:rsidR="0004590F" w:rsidRPr="00073171" w:rsidRDefault="00C94954" w:rsidP="00A27833">
      <w:pPr>
        <w:spacing w:line="480" w:lineRule="auto"/>
        <w:ind w:firstLine="720"/>
        <w:rPr>
          <w:color w:val="000000" w:themeColor="text1"/>
        </w:rPr>
      </w:pPr>
      <w:r>
        <w:rPr>
          <w:shd w:val="clear" w:color="auto" w:fill="FFFFFF"/>
        </w:rPr>
        <w:t>Overall, the generally positive attendance rate highlights the</w:t>
      </w:r>
      <w:r w:rsidR="0019532D">
        <w:t xml:space="preserve"> successful implementation of groups integrated into the school day </w:t>
      </w:r>
      <w:r w:rsidR="00BE295F">
        <w:t xml:space="preserve">and provides some </w:t>
      </w:r>
      <w:r w:rsidR="00E56668" w:rsidRPr="00D674ED">
        <w:t>initial support for further efforts to in</w:t>
      </w:r>
      <w:r w:rsidR="00E42C29" w:rsidRPr="00D674ED">
        <w:t xml:space="preserve">corporate </w:t>
      </w:r>
      <w:r w:rsidR="00E56668" w:rsidRPr="00D674ED">
        <w:t>adolescent mental health care into school hours</w:t>
      </w:r>
      <w:r>
        <w:t>.</w:t>
      </w:r>
      <w:r w:rsidR="00E56668" w:rsidRPr="00D674ED">
        <w:t xml:space="preserve"> </w:t>
      </w:r>
      <w:r>
        <w:t>I</w:t>
      </w:r>
      <w:r w:rsidR="00E42C29" w:rsidRPr="00D674ED">
        <w:t>ntegration</w:t>
      </w:r>
      <w:r w:rsidR="0049577F" w:rsidRPr="00D674ED">
        <w:t xml:space="preserve"> </w:t>
      </w:r>
      <w:r w:rsidR="00B112A9" w:rsidRPr="00D674ED">
        <w:t>into</w:t>
      </w:r>
      <w:r w:rsidR="0049577F" w:rsidRPr="00D674ED">
        <w:t xml:space="preserve"> school hours is convenient and cost-effective for students, particularly if clas</w:t>
      </w:r>
      <w:r w:rsidR="00A774C7" w:rsidRPr="00D674ED">
        <w:t>ses are not missed</w:t>
      </w:r>
      <w:r w:rsidR="00C05C02">
        <w:t xml:space="preserve">, and can </w:t>
      </w:r>
      <w:r w:rsidR="00D45727" w:rsidRPr="00073171">
        <w:rPr>
          <w:color w:val="000000" w:themeColor="text1"/>
        </w:rPr>
        <w:t>allo</w:t>
      </w:r>
      <w:r w:rsidR="00C05C02">
        <w:rPr>
          <w:color w:val="000000" w:themeColor="text1"/>
        </w:rPr>
        <w:t>w</w:t>
      </w:r>
      <w:r w:rsidR="00D45727" w:rsidRPr="00073171">
        <w:rPr>
          <w:color w:val="000000" w:themeColor="text1"/>
        </w:rPr>
        <w:t xml:space="preserve"> for students with after-school commitments (e.g., employment, sports, family responsibilities) to receive mental health care in a convenient format. </w:t>
      </w:r>
      <w:r w:rsidR="00C05C02">
        <w:rPr>
          <w:color w:val="000000" w:themeColor="text1"/>
        </w:rPr>
        <w:t xml:space="preserve">However, clinicians and school counselors should </w:t>
      </w:r>
      <w:r w:rsidR="00ED6D58">
        <w:rPr>
          <w:color w:val="000000" w:themeColor="text1"/>
        </w:rPr>
        <w:t xml:space="preserve">consider </w:t>
      </w:r>
      <w:r w:rsidR="00C05C02">
        <w:rPr>
          <w:color w:val="000000" w:themeColor="text1"/>
        </w:rPr>
        <w:t xml:space="preserve">the benefits and costs for </w:t>
      </w:r>
      <w:r w:rsidR="00B454A8">
        <w:rPr>
          <w:color w:val="000000" w:themeColor="text1"/>
        </w:rPr>
        <w:t>whether</w:t>
      </w:r>
      <w:r w:rsidR="00C05C02">
        <w:rPr>
          <w:color w:val="000000" w:themeColor="text1"/>
        </w:rPr>
        <w:t xml:space="preserve"> groups should be in a free period or during class, as it may have impacts on attendance. </w:t>
      </w:r>
    </w:p>
    <w:p w14:paraId="408D6788" w14:textId="3386C361" w:rsidR="00314631" w:rsidRPr="00073171" w:rsidRDefault="00A27833" w:rsidP="00A27833">
      <w:pPr>
        <w:spacing w:line="480" w:lineRule="auto"/>
        <w:ind w:firstLine="720"/>
        <w:rPr>
          <w:color w:val="000000" w:themeColor="text1"/>
        </w:rPr>
      </w:pPr>
      <w:r w:rsidRPr="00073171">
        <w:rPr>
          <w:color w:val="000000" w:themeColor="text1"/>
        </w:rPr>
        <w:t>Lastly,</w:t>
      </w:r>
      <w:r w:rsidR="009928C9" w:rsidRPr="00073171">
        <w:rPr>
          <w:color w:val="000000" w:themeColor="text1"/>
        </w:rPr>
        <w:t xml:space="preserve"> adaptations across schools w</w:t>
      </w:r>
      <w:r w:rsidR="000E5AE9" w:rsidRPr="00073171">
        <w:rPr>
          <w:color w:val="000000" w:themeColor="text1"/>
        </w:rPr>
        <w:t>ere</w:t>
      </w:r>
      <w:r w:rsidR="009928C9" w:rsidRPr="00073171">
        <w:rPr>
          <w:color w:val="000000" w:themeColor="text1"/>
        </w:rPr>
        <w:t xml:space="preserve"> necessary and successful. As previously discussed, the timing (half hour vs. hour) and execution (during free period vs. </w:t>
      </w:r>
      <w:r w:rsidR="00640B22" w:rsidRPr="00073171">
        <w:rPr>
          <w:color w:val="000000" w:themeColor="text1"/>
        </w:rPr>
        <w:t>missing</w:t>
      </w:r>
      <w:r w:rsidR="009928C9" w:rsidRPr="00073171">
        <w:rPr>
          <w:color w:val="000000" w:themeColor="text1"/>
        </w:rPr>
        <w:t xml:space="preserve"> a class) </w:t>
      </w:r>
      <w:r w:rsidR="00FD18F9" w:rsidRPr="00073171">
        <w:rPr>
          <w:color w:val="000000" w:themeColor="text1"/>
        </w:rPr>
        <w:t>varied between schools.</w:t>
      </w:r>
      <w:r w:rsidR="009928C9" w:rsidRPr="00073171">
        <w:rPr>
          <w:color w:val="000000" w:themeColor="text1"/>
        </w:rPr>
        <w:t xml:space="preserve"> However, no meaningful differences between outcomes were found across schools. This finding supports the need for flexibility when adapting clinical treatments to </w:t>
      </w:r>
      <w:r w:rsidR="009928C9" w:rsidRPr="00073171">
        <w:rPr>
          <w:color w:val="000000" w:themeColor="text1"/>
        </w:rPr>
        <w:lastRenderedPageBreak/>
        <w:t>school environments</w:t>
      </w:r>
      <w:r w:rsidR="006A5FC8" w:rsidRPr="00073171">
        <w:rPr>
          <w:color w:val="000000" w:themeColor="text1"/>
        </w:rPr>
        <w:t xml:space="preserve">, as it may not affect treatment outcomes as much as previously thought. Future research in larger samples and </w:t>
      </w:r>
      <w:r w:rsidR="00AE0993" w:rsidRPr="00073171">
        <w:rPr>
          <w:color w:val="000000" w:themeColor="text1"/>
        </w:rPr>
        <w:t xml:space="preserve">varied </w:t>
      </w:r>
      <w:r w:rsidR="006A5FC8" w:rsidRPr="00073171">
        <w:rPr>
          <w:color w:val="000000" w:themeColor="text1"/>
        </w:rPr>
        <w:t>formats may examine if th</w:t>
      </w:r>
      <w:r w:rsidR="001E67AA" w:rsidRPr="00073171">
        <w:rPr>
          <w:color w:val="000000" w:themeColor="text1"/>
        </w:rPr>
        <w:t>e</w:t>
      </w:r>
      <w:r w:rsidR="006A5FC8" w:rsidRPr="00073171">
        <w:rPr>
          <w:color w:val="000000" w:themeColor="text1"/>
        </w:rPr>
        <w:t xml:space="preserve"> lack of differences is due to limited power or to a true lack of difference in treatment </w:t>
      </w:r>
      <w:r w:rsidR="0039366D" w:rsidRPr="00073171">
        <w:rPr>
          <w:color w:val="000000" w:themeColor="text1"/>
        </w:rPr>
        <w:t>delivery.</w:t>
      </w:r>
      <w:r w:rsidR="00F82999">
        <w:rPr>
          <w:color w:val="000000" w:themeColor="text1"/>
        </w:rPr>
        <w:t xml:space="preserve"> However, it is important to note that the present study was not able to assess true sustainability and feasibility of integrating DNA-V groups into school days, as the groups were run by graduate students with training and supervision from an ACT expert. It would be important for future research and/or clinical work to focus on utilizing this format with a school counselor, health teacher, or peer leaders, particularly in comparison to groups run by graduate students. Such research would provide valuable insight into the true feasibility and sustainability of school-based, DNA-V groups for students with anxiety.</w:t>
      </w:r>
    </w:p>
    <w:p w14:paraId="0BC9A80C" w14:textId="77777777" w:rsidR="009928C9" w:rsidRPr="00073171" w:rsidRDefault="009928C9" w:rsidP="009928C9">
      <w:pPr>
        <w:spacing w:line="480" w:lineRule="auto"/>
        <w:rPr>
          <w:b/>
          <w:bCs/>
          <w:color w:val="000000" w:themeColor="text1"/>
        </w:rPr>
      </w:pPr>
      <w:r w:rsidRPr="00073171">
        <w:rPr>
          <w:b/>
          <w:bCs/>
          <w:color w:val="000000" w:themeColor="text1"/>
        </w:rPr>
        <w:t>Limitations</w:t>
      </w:r>
    </w:p>
    <w:p w14:paraId="08E75357" w14:textId="1426FE5F" w:rsidR="00766415" w:rsidRDefault="009928C9" w:rsidP="009928C9">
      <w:pPr>
        <w:spacing w:line="480" w:lineRule="auto"/>
        <w:rPr>
          <w:color w:val="000000" w:themeColor="text1"/>
        </w:rPr>
      </w:pPr>
      <w:r w:rsidRPr="00073171">
        <w:rPr>
          <w:color w:val="000000" w:themeColor="text1"/>
        </w:rPr>
        <w:tab/>
        <w:t xml:space="preserve">This study had several limitations. First, </w:t>
      </w:r>
      <w:r w:rsidR="00F51C75">
        <w:rPr>
          <w:color w:val="000000" w:themeColor="text1"/>
        </w:rPr>
        <w:t>there were some</w:t>
      </w:r>
      <w:r w:rsidR="001840F3">
        <w:rPr>
          <w:color w:val="000000" w:themeColor="text1"/>
        </w:rPr>
        <w:t xml:space="preserve"> significant</w:t>
      </w:r>
      <w:r w:rsidR="00F51C75">
        <w:rPr>
          <w:color w:val="000000" w:themeColor="text1"/>
        </w:rPr>
        <w:t xml:space="preserve"> limitations with the </w:t>
      </w:r>
      <w:r w:rsidR="001A364E">
        <w:rPr>
          <w:color w:val="000000" w:themeColor="text1"/>
        </w:rPr>
        <w:t>study measurement</w:t>
      </w:r>
      <w:r w:rsidR="00F51C75">
        <w:rPr>
          <w:color w:val="000000" w:themeColor="text1"/>
        </w:rPr>
        <w:t xml:space="preserve">. For example, </w:t>
      </w:r>
      <w:r w:rsidRPr="00073171">
        <w:rPr>
          <w:color w:val="000000" w:themeColor="text1"/>
        </w:rPr>
        <w:t>the CURP was not fully given to participants, leaving the acceptability and feasibility outcomes more in question.</w:t>
      </w:r>
      <w:r w:rsidR="00241738" w:rsidRPr="00073171">
        <w:rPr>
          <w:color w:val="000000" w:themeColor="text1"/>
        </w:rPr>
        <w:t xml:space="preserve"> Although half of the CURP items provide valuable information regarding the feasibility, it is still incomplete and not validated in a shortened format.</w:t>
      </w:r>
      <w:r w:rsidRPr="00073171">
        <w:rPr>
          <w:color w:val="000000" w:themeColor="text1"/>
        </w:rPr>
        <w:t xml:space="preserve"> </w:t>
      </w:r>
      <w:r w:rsidR="00FA63E0">
        <w:rPr>
          <w:color w:val="000000" w:themeColor="text1"/>
        </w:rPr>
        <w:t>Additionally,</w:t>
      </w:r>
      <w:r w:rsidR="0080784B">
        <w:rPr>
          <w:color w:val="000000" w:themeColor="text1"/>
        </w:rPr>
        <w:t xml:space="preserve"> all outcomes were measured via self-reports, rather than objective (e.g., school attendance records), parental report, or clinician-rated measures</w:t>
      </w:r>
      <w:r w:rsidR="00386A1F">
        <w:rPr>
          <w:color w:val="000000" w:themeColor="text1"/>
        </w:rPr>
        <w:t>.</w:t>
      </w:r>
      <w:r w:rsidR="005F2347">
        <w:rPr>
          <w:color w:val="000000" w:themeColor="text1"/>
        </w:rPr>
        <w:t xml:space="preserve"> </w:t>
      </w:r>
      <w:r w:rsidR="00386A1F">
        <w:rPr>
          <w:color w:val="000000" w:themeColor="text1"/>
        </w:rPr>
        <w:t>F</w:t>
      </w:r>
      <w:r w:rsidR="005F2347">
        <w:rPr>
          <w:color w:val="000000" w:themeColor="text1"/>
        </w:rPr>
        <w:t>uture research should include data from a variety of sources to provide a better picture of symptom change.</w:t>
      </w:r>
      <w:r w:rsidR="0080784B">
        <w:rPr>
          <w:color w:val="000000" w:themeColor="text1"/>
        </w:rPr>
        <w:t xml:space="preserve"> </w:t>
      </w:r>
      <w:r w:rsidR="00BB4424">
        <w:rPr>
          <w:color w:val="000000" w:themeColor="text1"/>
        </w:rPr>
        <w:t>Furthermore, a</w:t>
      </w:r>
      <w:r w:rsidR="00BB4424" w:rsidRPr="00073171">
        <w:rPr>
          <w:color w:val="000000" w:themeColor="text1"/>
        </w:rPr>
        <w:t>s previously stated, the study results would hold stronger with extended follow-up points. Data from beyond one month would allow for a better understanding of treatment effects in the long term.</w:t>
      </w:r>
      <w:r w:rsidR="001418F1">
        <w:rPr>
          <w:color w:val="000000" w:themeColor="text1"/>
        </w:rPr>
        <w:t xml:space="preserve"> It is also important to note that</w:t>
      </w:r>
      <w:r w:rsidR="001418F1" w:rsidRPr="00073171">
        <w:rPr>
          <w:color w:val="000000" w:themeColor="text1"/>
        </w:rPr>
        <w:t xml:space="preserve"> the study ended</w:t>
      </w:r>
      <w:r w:rsidR="00ED7054">
        <w:rPr>
          <w:color w:val="000000" w:themeColor="text1"/>
        </w:rPr>
        <w:t xml:space="preserve"> at </w:t>
      </w:r>
      <w:r w:rsidR="006701A4">
        <w:rPr>
          <w:color w:val="000000" w:themeColor="text1"/>
        </w:rPr>
        <w:t>S</w:t>
      </w:r>
      <w:r w:rsidR="00ED7054">
        <w:rPr>
          <w:color w:val="000000" w:themeColor="text1"/>
        </w:rPr>
        <w:t>chool B</w:t>
      </w:r>
      <w:r w:rsidR="001418F1" w:rsidRPr="00073171">
        <w:rPr>
          <w:color w:val="000000" w:themeColor="text1"/>
        </w:rPr>
        <w:t xml:space="preserve"> during the beginning of the COVID-19 </w:t>
      </w:r>
      <w:r w:rsidR="00ED7054">
        <w:rPr>
          <w:color w:val="000000" w:themeColor="text1"/>
        </w:rPr>
        <w:t>school shut-downs</w:t>
      </w:r>
      <w:r w:rsidR="00432032">
        <w:rPr>
          <w:color w:val="000000" w:themeColor="text1"/>
        </w:rPr>
        <w:t xml:space="preserve"> in February and March 2020</w:t>
      </w:r>
      <w:r w:rsidR="001418F1" w:rsidRPr="00073171">
        <w:rPr>
          <w:color w:val="000000" w:themeColor="text1"/>
        </w:rPr>
        <w:t>. This resulted in a significant loss of post-treatment</w:t>
      </w:r>
      <w:r w:rsidR="00432032">
        <w:rPr>
          <w:color w:val="000000" w:themeColor="text1"/>
        </w:rPr>
        <w:t xml:space="preserve"> (missing n = 5)</w:t>
      </w:r>
      <w:r w:rsidR="001418F1" w:rsidRPr="00073171">
        <w:rPr>
          <w:color w:val="000000" w:themeColor="text1"/>
        </w:rPr>
        <w:t xml:space="preserve"> and follow-up data</w:t>
      </w:r>
      <w:r w:rsidR="00ED7054">
        <w:rPr>
          <w:color w:val="000000" w:themeColor="text1"/>
        </w:rPr>
        <w:t xml:space="preserve"> </w:t>
      </w:r>
      <w:r w:rsidR="00432032">
        <w:rPr>
          <w:color w:val="000000" w:themeColor="text1"/>
        </w:rPr>
        <w:t xml:space="preserve">(missing n = </w:t>
      </w:r>
      <w:r w:rsidR="00432032">
        <w:rPr>
          <w:color w:val="000000" w:themeColor="text1"/>
        </w:rPr>
        <w:lastRenderedPageBreak/>
        <w:t>6)</w:t>
      </w:r>
      <w:r w:rsidR="00436091">
        <w:rPr>
          <w:color w:val="000000" w:themeColor="text1"/>
        </w:rPr>
        <w:t>, which likely had an impact</w:t>
      </w:r>
      <w:r w:rsidR="00432032">
        <w:rPr>
          <w:color w:val="000000" w:themeColor="text1"/>
        </w:rPr>
        <w:t xml:space="preserve"> </w:t>
      </w:r>
      <w:r w:rsidR="00436091">
        <w:rPr>
          <w:color w:val="000000" w:themeColor="text1"/>
        </w:rPr>
        <w:t xml:space="preserve">with </w:t>
      </w:r>
      <w:r w:rsidR="00ED7054">
        <w:rPr>
          <w:color w:val="000000" w:themeColor="text1"/>
        </w:rPr>
        <w:t xml:space="preserve">such a small </w:t>
      </w:r>
      <w:r w:rsidR="00543332">
        <w:rPr>
          <w:color w:val="000000" w:themeColor="text1"/>
        </w:rPr>
        <w:t xml:space="preserve">total </w:t>
      </w:r>
      <w:r w:rsidR="00ED7054">
        <w:rPr>
          <w:color w:val="000000" w:themeColor="text1"/>
        </w:rPr>
        <w:t>sample</w:t>
      </w:r>
      <w:r w:rsidR="001418F1" w:rsidRPr="00073171">
        <w:rPr>
          <w:color w:val="000000" w:themeColor="text1"/>
        </w:rPr>
        <w:t>.</w:t>
      </w:r>
      <w:r w:rsidR="009B3CE0">
        <w:rPr>
          <w:color w:val="000000" w:themeColor="text1"/>
        </w:rPr>
        <w:t xml:space="preserve"> Additionally,</w:t>
      </w:r>
      <w:r w:rsidR="001418F1" w:rsidRPr="00073171">
        <w:rPr>
          <w:color w:val="000000" w:themeColor="text1"/>
        </w:rPr>
        <w:t xml:space="preserve"> </w:t>
      </w:r>
      <w:r w:rsidR="009B3CE0">
        <w:rPr>
          <w:shd w:val="clear" w:color="auto" w:fill="FFFFFF"/>
        </w:rPr>
        <w:t>f</w:t>
      </w:r>
      <w:r w:rsidR="009B3CE0" w:rsidRPr="009B3CE0">
        <w:rPr>
          <w:shd w:val="clear" w:color="auto" w:fill="FFFFFF"/>
        </w:rPr>
        <w:t>ive mid-treatment surveys from School B and all one-month follow-ups from School A were collected during late January 2020.</w:t>
      </w:r>
      <w:r w:rsidR="000F5E7B">
        <w:rPr>
          <w:shd w:val="clear" w:color="auto" w:fill="FFFFFF"/>
        </w:rPr>
        <w:t xml:space="preserve"> Broadly speaking,</w:t>
      </w:r>
      <w:r w:rsidR="009B3CE0" w:rsidRPr="009B3CE0">
        <w:rPr>
          <w:shd w:val="clear" w:color="auto" w:fill="FFFFFF"/>
        </w:rPr>
        <w:t xml:space="preserve"> </w:t>
      </w:r>
      <w:r w:rsidR="000F5E7B">
        <w:rPr>
          <w:color w:val="000000" w:themeColor="text1"/>
        </w:rPr>
        <w:t>t</w:t>
      </w:r>
      <w:r w:rsidR="001418F1" w:rsidRPr="00073171">
        <w:rPr>
          <w:color w:val="000000" w:themeColor="text1"/>
        </w:rPr>
        <w:t>he beginning of such an uncertain time may have inadvertently affected outcomes at</w:t>
      </w:r>
      <w:r w:rsidR="001830BF">
        <w:rPr>
          <w:color w:val="000000" w:themeColor="text1"/>
        </w:rPr>
        <w:t xml:space="preserve"> these</w:t>
      </w:r>
      <w:r w:rsidR="001418F1" w:rsidRPr="00073171">
        <w:rPr>
          <w:color w:val="000000" w:themeColor="text1"/>
        </w:rPr>
        <w:t xml:space="preserve"> post-treatment and follow-up </w:t>
      </w:r>
      <w:r w:rsidR="001830BF">
        <w:rPr>
          <w:color w:val="000000" w:themeColor="text1"/>
        </w:rPr>
        <w:t xml:space="preserve">points </w:t>
      </w:r>
      <w:r w:rsidR="001418F1" w:rsidRPr="00073171">
        <w:rPr>
          <w:color w:val="000000" w:themeColor="text1"/>
        </w:rPr>
        <w:t>(e.g., quality-of-life outcomes).</w:t>
      </w:r>
    </w:p>
    <w:p w14:paraId="42D8D814" w14:textId="77777777" w:rsidR="001720F7" w:rsidRDefault="00766415" w:rsidP="00766415">
      <w:pPr>
        <w:spacing w:line="480" w:lineRule="auto"/>
        <w:ind w:firstLine="720"/>
        <w:rPr>
          <w:color w:val="000000" w:themeColor="text1"/>
        </w:rPr>
      </w:pPr>
      <w:r>
        <w:rPr>
          <w:color w:val="000000" w:themeColor="text1"/>
        </w:rPr>
        <w:t>The</w:t>
      </w:r>
      <w:r w:rsidR="009928C9" w:rsidRPr="00073171">
        <w:rPr>
          <w:color w:val="000000" w:themeColor="text1"/>
        </w:rPr>
        <w:t xml:space="preserve"> </w:t>
      </w:r>
      <w:r w:rsidR="00D952AF" w:rsidRPr="00073171">
        <w:rPr>
          <w:color w:val="000000" w:themeColor="text1"/>
        </w:rPr>
        <w:t>study</w:t>
      </w:r>
      <w:r>
        <w:rPr>
          <w:color w:val="000000" w:themeColor="text1"/>
        </w:rPr>
        <w:t xml:space="preserve"> wa</w:t>
      </w:r>
      <w:r w:rsidR="00D952AF" w:rsidRPr="00073171">
        <w:rPr>
          <w:color w:val="000000" w:themeColor="text1"/>
        </w:rPr>
        <w:t>s</w:t>
      </w:r>
      <w:r>
        <w:rPr>
          <w:color w:val="000000" w:themeColor="text1"/>
        </w:rPr>
        <w:t xml:space="preserve"> also</w:t>
      </w:r>
      <w:r w:rsidR="00D952AF" w:rsidRPr="00073171">
        <w:rPr>
          <w:color w:val="000000" w:themeColor="text1"/>
        </w:rPr>
        <w:t xml:space="preserve"> underpowered with a small, homogenous </w:t>
      </w:r>
      <w:r w:rsidR="009928C9" w:rsidRPr="00073171">
        <w:rPr>
          <w:color w:val="000000" w:themeColor="text1"/>
        </w:rPr>
        <w:t xml:space="preserve">sample. Although </w:t>
      </w:r>
      <w:r w:rsidR="00B44899" w:rsidRPr="00073171">
        <w:rPr>
          <w:color w:val="000000" w:themeColor="text1"/>
        </w:rPr>
        <w:t>S</w:t>
      </w:r>
      <w:r w:rsidR="00D952AF" w:rsidRPr="00073171">
        <w:rPr>
          <w:color w:val="000000" w:themeColor="text1"/>
        </w:rPr>
        <w:t>chool B</w:t>
      </w:r>
      <w:r w:rsidR="009928C9" w:rsidRPr="00073171">
        <w:rPr>
          <w:color w:val="000000" w:themeColor="text1"/>
        </w:rPr>
        <w:t xml:space="preserve"> was significant</w:t>
      </w:r>
      <w:r w:rsidR="00B44899" w:rsidRPr="00073171">
        <w:rPr>
          <w:color w:val="000000" w:themeColor="text1"/>
        </w:rPr>
        <w:t>ly</w:t>
      </w:r>
      <w:r w:rsidR="009928C9" w:rsidRPr="00073171">
        <w:rPr>
          <w:color w:val="000000" w:themeColor="text1"/>
        </w:rPr>
        <w:t xml:space="preserve"> more diverse than </w:t>
      </w:r>
      <w:r w:rsidR="00B44899" w:rsidRPr="00073171">
        <w:rPr>
          <w:color w:val="000000" w:themeColor="text1"/>
        </w:rPr>
        <w:t>S</w:t>
      </w:r>
      <w:r w:rsidR="00121945" w:rsidRPr="00073171">
        <w:rPr>
          <w:color w:val="000000" w:themeColor="text1"/>
        </w:rPr>
        <w:t>chool A</w:t>
      </w:r>
      <w:r w:rsidR="009928C9" w:rsidRPr="00073171">
        <w:rPr>
          <w:color w:val="000000" w:themeColor="text1"/>
        </w:rPr>
        <w:t xml:space="preserve">, the overall sample </w:t>
      </w:r>
      <w:r w:rsidR="00B44899" w:rsidRPr="00073171">
        <w:rPr>
          <w:color w:val="000000" w:themeColor="text1"/>
        </w:rPr>
        <w:t xml:space="preserve">was </w:t>
      </w:r>
      <w:r w:rsidR="009928C9" w:rsidRPr="00073171">
        <w:rPr>
          <w:color w:val="000000" w:themeColor="text1"/>
        </w:rPr>
        <w:t xml:space="preserve">predominantly white. </w:t>
      </w:r>
      <w:r w:rsidR="00F7076A" w:rsidRPr="00073171">
        <w:rPr>
          <w:color w:val="000000" w:themeColor="text1"/>
        </w:rPr>
        <w:t xml:space="preserve">Family demographic data was also </w:t>
      </w:r>
      <w:r w:rsidR="00D968BF" w:rsidRPr="00073171">
        <w:rPr>
          <w:color w:val="000000" w:themeColor="text1"/>
        </w:rPr>
        <w:t>not collected</w:t>
      </w:r>
      <w:r w:rsidR="00FB671D" w:rsidRPr="00073171">
        <w:rPr>
          <w:color w:val="000000" w:themeColor="text1"/>
        </w:rPr>
        <w:t xml:space="preserve"> (e.g., socioeconomic status)</w:t>
      </w:r>
      <w:r w:rsidR="00F7076A" w:rsidRPr="00073171">
        <w:rPr>
          <w:color w:val="000000" w:themeColor="text1"/>
        </w:rPr>
        <w:t xml:space="preserve">, leaving some questions about what type of students may </w:t>
      </w:r>
      <w:r w:rsidR="00D968BF" w:rsidRPr="00073171">
        <w:rPr>
          <w:color w:val="000000" w:themeColor="text1"/>
        </w:rPr>
        <w:t xml:space="preserve">be </w:t>
      </w:r>
      <w:r w:rsidR="00F7076A" w:rsidRPr="00073171">
        <w:rPr>
          <w:color w:val="000000" w:themeColor="text1"/>
        </w:rPr>
        <w:t>benefit</w:t>
      </w:r>
      <w:r w:rsidR="00D968BF" w:rsidRPr="00073171">
        <w:rPr>
          <w:color w:val="000000" w:themeColor="text1"/>
        </w:rPr>
        <w:t>ing the most</w:t>
      </w:r>
      <w:r w:rsidR="00F7076A" w:rsidRPr="00073171">
        <w:rPr>
          <w:color w:val="000000" w:themeColor="text1"/>
        </w:rPr>
        <w:t xml:space="preserve"> from the intervention. </w:t>
      </w:r>
      <w:r w:rsidR="009928C9" w:rsidRPr="00073171">
        <w:rPr>
          <w:color w:val="000000" w:themeColor="text1"/>
        </w:rPr>
        <w:t>Further research should include diverse students from a range of backgrounds in order to best understand the effectiveness of the intervention.</w:t>
      </w:r>
      <w:r w:rsidR="0080784B">
        <w:rPr>
          <w:color w:val="000000" w:themeColor="text1"/>
        </w:rPr>
        <w:t xml:space="preserve"> </w:t>
      </w:r>
    </w:p>
    <w:p w14:paraId="52408D74" w14:textId="06FFAB5C" w:rsidR="00BD2A15" w:rsidRPr="00073171" w:rsidRDefault="0080784B" w:rsidP="00766415">
      <w:pPr>
        <w:spacing w:line="480" w:lineRule="auto"/>
        <w:ind w:firstLine="720"/>
        <w:rPr>
          <w:color w:val="000000" w:themeColor="text1"/>
        </w:rPr>
      </w:pPr>
      <w:r>
        <w:rPr>
          <w:color w:val="000000" w:themeColor="text1"/>
        </w:rPr>
        <w:t>Additionally</w:t>
      </w:r>
      <w:r w:rsidR="001676B8" w:rsidRPr="00073171">
        <w:rPr>
          <w:color w:val="000000" w:themeColor="text1"/>
        </w:rPr>
        <w:t>, the groups were all run by the same two therapists</w:t>
      </w:r>
      <w:r w:rsidR="009C5F9A" w:rsidRPr="00073171">
        <w:rPr>
          <w:color w:val="000000" w:themeColor="text1"/>
        </w:rPr>
        <w:t>. Future research should use more therapists, perhaps counselors already in the school system, in order to better elucidate intervention effects</w:t>
      </w:r>
      <w:r w:rsidR="001676B8" w:rsidRPr="00073171">
        <w:rPr>
          <w:color w:val="000000" w:themeColor="text1"/>
        </w:rPr>
        <w:t xml:space="preserve">. </w:t>
      </w:r>
      <w:r w:rsidR="0095718B" w:rsidRPr="00073171">
        <w:rPr>
          <w:color w:val="000000" w:themeColor="text1"/>
        </w:rPr>
        <w:t>It would also be beneficial to collect data on treatment fidelity in the future. While weekly supervision was received and the group sessions closely followed the DNA-V manual, it is a weakness of the present study that integrity data was not collected.</w:t>
      </w:r>
      <w:r w:rsidR="000A7A7D">
        <w:rPr>
          <w:color w:val="000000" w:themeColor="text1"/>
        </w:rPr>
        <w:t xml:space="preserve"> </w:t>
      </w:r>
      <w:r w:rsidR="00986A7B">
        <w:rPr>
          <w:color w:val="000000" w:themeColor="text1"/>
        </w:rPr>
        <w:t xml:space="preserve">Furthermore, the groups did not include the full protocol from </w:t>
      </w:r>
      <w:r w:rsidR="00986A7B" w:rsidRPr="000D2C01">
        <w:rPr>
          <w:i/>
          <w:iCs/>
          <w:color w:val="000000" w:themeColor="text1"/>
        </w:rPr>
        <w:t>The Thriving Adolescent</w:t>
      </w:r>
      <w:r w:rsidR="00986A7B">
        <w:rPr>
          <w:color w:val="000000" w:themeColor="text1"/>
        </w:rPr>
        <w:t xml:space="preserve"> and did not present the “social view” aspect of DNA-V. Because the full protocol was not provided to adolescents, it is important to consider how this may have impacted outcomes such as student well-being and/or positive mental health. </w:t>
      </w:r>
      <w:r w:rsidR="000A7A7D">
        <w:rPr>
          <w:color w:val="000000" w:themeColor="text1"/>
        </w:rPr>
        <w:t>As discussed previously, the use of fellow students and/or school employees would likely provide more insight into the sustainability of this approach.</w:t>
      </w:r>
      <w:r w:rsidR="0095718B" w:rsidRPr="00073171">
        <w:rPr>
          <w:color w:val="000000" w:themeColor="text1"/>
        </w:rPr>
        <w:t xml:space="preserve"> </w:t>
      </w:r>
      <w:r w:rsidR="007136F7">
        <w:rPr>
          <w:color w:val="000000" w:themeColor="text1"/>
        </w:rPr>
        <w:t xml:space="preserve">Lastly, a good portion of participants were either on medication (26.9%) or concurrently receiving individual therapy (34.6%). Because of this, the results must be interpreted with caution, as we are unable to fully discern the effects of the intervention </w:t>
      </w:r>
      <w:r w:rsidR="001707E1">
        <w:rPr>
          <w:color w:val="000000" w:themeColor="text1"/>
        </w:rPr>
        <w:t>alone</w:t>
      </w:r>
      <w:r w:rsidR="007136F7">
        <w:rPr>
          <w:color w:val="000000" w:themeColor="text1"/>
        </w:rPr>
        <w:t>.</w:t>
      </w:r>
    </w:p>
    <w:p w14:paraId="117F84B8" w14:textId="77777777" w:rsidR="005D6ADC" w:rsidRPr="00073171" w:rsidRDefault="005D6ADC" w:rsidP="00625D9F">
      <w:pPr>
        <w:tabs>
          <w:tab w:val="left" w:pos="3448"/>
        </w:tabs>
        <w:spacing w:line="480" w:lineRule="auto"/>
        <w:rPr>
          <w:b/>
          <w:bCs/>
          <w:color w:val="000000" w:themeColor="text1"/>
        </w:rPr>
      </w:pPr>
      <w:r w:rsidRPr="00073171">
        <w:rPr>
          <w:b/>
          <w:bCs/>
          <w:color w:val="000000" w:themeColor="text1"/>
        </w:rPr>
        <w:lastRenderedPageBreak/>
        <w:t>Conclusions</w:t>
      </w:r>
      <w:r w:rsidR="00625D9F" w:rsidRPr="00073171">
        <w:rPr>
          <w:b/>
          <w:bCs/>
          <w:color w:val="000000" w:themeColor="text1"/>
        </w:rPr>
        <w:tab/>
      </w:r>
    </w:p>
    <w:p w14:paraId="641337B2" w14:textId="6525944C" w:rsidR="00625D9F" w:rsidRPr="00073171" w:rsidRDefault="00C70CDF" w:rsidP="00B2768A">
      <w:pPr>
        <w:tabs>
          <w:tab w:val="left" w:pos="3448"/>
        </w:tabs>
        <w:spacing w:line="480" w:lineRule="auto"/>
        <w:ind w:firstLine="720"/>
        <w:rPr>
          <w:color w:val="000000" w:themeColor="text1"/>
        </w:rPr>
      </w:pPr>
      <w:r w:rsidRPr="00073171">
        <w:rPr>
          <w:color w:val="000000" w:themeColor="text1"/>
        </w:rPr>
        <w:t>In sum, this study provides preliminary data for the use of ACT groups within schools for adolescents</w:t>
      </w:r>
      <w:r w:rsidR="003061C3" w:rsidRPr="00073171">
        <w:rPr>
          <w:color w:val="000000" w:themeColor="text1"/>
        </w:rPr>
        <w:t xml:space="preserve"> with anxiety</w:t>
      </w:r>
      <w:r w:rsidRPr="00073171">
        <w:rPr>
          <w:color w:val="000000" w:themeColor="text1"/>
        </w:rPr>
        <w:t xml:space="preserve">. </w:t>
      </w:r>
      <w:r w:rsidR="00173775" w:rsidRPr="00073171">
        <w:rPr>
          <w:color w:val="000000" w:themeColor="text1"/>
        </w:rPr>
        <w:t>Adolescents in the group ACT condition reported significant</w:t>
      </w:r>
      <w:r w:rsidR="003C421F" w:rsidRPr="00073171">
        <w:rPr>
          <w:color w:val="000000" w:themeColor="text1"/>
        </w:rPr>
        <w:t xml:space="preserve"> reductions in</w:t>
      </w:r>
      <w:r w:rsidR="00173775" w:rsidRPr="00073171">
        <w:rPr>
          <w:color w:val="000000" w:themeColor="text1"/>
        </w:rPr>
        <w:t xml:space="preserve"> anxie</w:t>
      </w:r>
      <w:r w:rsidR="00B73450" w:rsidRPr="00073171">
        <w:rPr>
          <w:color w:val="000000" w:themeColor="text1"/>
        </w:rPr>
        <w:t>t</w:t>
      </w:r>
      <w:r w:rsidR="00173775" w:rsidRPr="00073171">
        <w:rPr>
          <w:color w:val="000000" w:themeColor="text1"/>
        </w:rPr>
        <w:t xml:space="preserve">y and </w:t>
      </w:r>
      <w:r w:rsidR="003C421F" w:rsidRPr="00073171">
        <w:rPr>
          <w:color w:val="000000" w:themeColor="text1"/>
        </w:rPr>
        <w:t xml:space="preserve">missed </w:t>
      </w:r>
      <w:r w:rsidR="00173775" w:rsidRPr="00073171">
        <w:rPr>
          <w:color w:val="000000" w:themeColor="text1"/>
        </w:rPr>
        <w:t>class periods as compared to the waitlist condition</w:t>
      </w:r>
      <w:r w:rsidR="00D008C6" w:rsidRPr="00073171">
        <w:rPr>
          <w:color w:val="000000" w:themeColor="text1"/>
        </w:rPr>
        <w:t>, along with promising, within-condition medium effect sizes for other outcomes</w:t>
      </w:r>
      <w:r w:rsidR="00173775" w:rsidRPr="00073171">
        <w:rPr>
          <w:color w:val="000000" w:themeColor="text1"/>
        </w:rPr>
        <w:t xml:space="preserve">. </w:t>
      </w:r>
      <w:r w:rsidR="00721D86" w:rsidRPr="00073171">
        <w:rPr>
          <w:color w:val="000000" w:themeColor="text1"/>
        </w:rPr>
        <w:t xml:space="preserve">While the sample was small and fairly homogenous, this study adds to the growing literature supporting ACT for adolescents </w:t>
      </w:r>
      <w:r w:rsidR="0088783D" w:rsidRPr="00073171">
        <w:rPr>
          <w:color w:val="000000" w:themeColor="text1"/>
        </w:rPr>
        <w:t>in schools and beyond.</w:t>
      </w:r>
    </w:p>
    <w:p w14:paraId="504C91FD" w14:textId="77777777" w:rsidR="00D16E7D" w:rsidRPr="003470B1" w:rsidRDefault="00D16E7D" w:rsidP="00D659E5">
      <w:pPr>
        <w:pStyle w:val="ListParagraph"/>
        <w:numPr>
          <w:ilvl w:val="0"/>
          <w:numId w:val="4"/>
        </w:numPr>
        <w:jc w:val="both"/>
        <w:rPr>
          <w:color w:val="000000" w:themeColor="text1"/>
        </w:rPr>
      </w:pPr>
      <w:r w:rsidRPr="003470B1">
        <w:rPr>
          <w:color w:val="000000" w:themeColor="text1"/>
        </w:rPr>
        <w:br w:type="page"/>
      </w:r>
    </w:p>
    <w:p w14:paraId="24896716" w14:textId="77777777" w:rsidR="0089798D" w:rsidRPr="003470B1" w:rsidRDefault="00D16E7D" w:rsidP="0089798D">
      <w:pPr>
        <w:spacing w:line="480" w:lineRule="auto"/>
        <w:jc w:val="center"/>
        <w:rPr>
          <w:b/>
          <w:color w:val="000000" w:themeColor="text1"/>
        </w:rPr>
      </w:pPr>
      <w:r w:rsidRPr="003470B1">
        <w:rPr>
          <w:b/>
          <w:color w:val="000000" w:themeColor="text1"/>
        </w:rPr>
        <w:lastRenderedPageBreak/>
        <w:t>References</w:t>
      </w:r>
    </w:p>
    <w:p w14:paraId="65D0BC82" w14:textId="2E159928" w:rsidR="00D95EBA" w:rsidRPr="00D95EBA" w:rsidRDefault="00D95EBA" w:rsidP="00D95EBA">
      <w:pPr>
        <w:pBdr>
          <w:top w:val="nil"/>
          <w:left w:val="nil"/>
          <w:bottom w:val="nil"/>
          <w:right w:val="nil"/>
          <w:between w:val="nil"/>
        </w:pBdr>
        <w:spacing w:line="480" w:lineRule="auto"/>
        <w:ind w:left="720" w:hanging="720"/>
      </w:pPr>
      <w:r w:rsidRPr="0012063E">
        <w:t xml:space="preserve">American Academy of Pediatrics. (2021, October 19). </w:t>
      </w:r>
      <w:r w:rsidRPr="0012063E">
        <w:rPr>
          <w:i/>
          <w:iCs/>
        </w:rPr>
        <w:t>A</w:t>
      </w:r>
      <w:r>
        <w:rPr>
          <w:i/>
          <w:iCs/>
        </w:rPr>
        <w:t>AP</w:t>
      </w:r>
      <w:r w:rsidRPr="0012063E">
        <w:rPr>
          <w:i/>
          <w:iCs/>
        </w:rPr>
        <w:t>-AACAP-C</w:t>
      </w:r>
      <w:r>
        <w:rPr>
          <w:i/>
          <w:iCs/>
        </w:rPr>
        <w:t>HA</w:t>
      </w:r>
      <w:r w:rsidRPr="0012063E">
        <w:rPr>
          <w:i/>
          <w:iCs/>
        </w:rPr>
        <w:t xml:space="preserve"> Declaration of a national emergency in child and Adolescent Mental Health</w:t>
      </w:r>
      <w:r w:rsidRPr="0012063E">
        <w:t>. American Academy of Pediatrics. Retrieved November 2</w:t>
      </w:r>
      <w:r w:rsidR="00670972">
        <w:t>9,</w:t>
      </w:r>
      <w:r w:rsidRPr="0012063E">
        <w:t xml:space="preserve"> 2021, from https://www.aap.org/en/advocacy/child-and-adolescent-healthy-mental-development/aap-aacap-cha-declaration-of-a-national-emergency-in-child-and-adolescent-mental-health/. </w:t>
      </w:r>
    </w:p>
    <w:p w14:paraId="4644781B" w14:textId="30E53FE3" w:rsidR="00EC535D" w:rsidRPr="003470B1" w:rsidRDefault="03C73090" w:rsidP="00EC535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Armstrong, A. B., Morrison, K. L., &amp; Twohig, M. P. (2013). A preliminary investigation of acceptance and commitment therapy for adolescent obsessive-compulsive disorder. </w:t>
      </w:r>
      <w:r w:rsidRPr="003470B1">
        <w:rPr>
          <w:i/>
          <w:iCs/>
          <w:noProof/>
          <w:color w:val="000000" w:themeColor="text1"/>
        </w:rPr>
        <w:t>Journal of Cognitive Psychotherapy</w:t>
      </w:r>
      <w:r w:rsidRPr="003470B1">
        <w:rPr>
          <w:noProof/>
          <w:color w:val="000000" w:themeColor="text1"/>
        </w:rPr>
        <w:t>, </w:t>
      </w:r>
      <w:r w:rsidRPr="003470B1">
        <w:rPr>
          <w:i/>
          <w:iCs/>
          <w:noProof/>
          <w:color w:val="000000" w:themeColor="text1"/>
        </w:rPr>
        <w:t>27</w:t>
      </w:r>
      <w:r w:rsidRPr="003470B1">
        <w:rPr>
          <w:noProof/>
          <w:color w:val="000000" w:themeColor="text1"/>
        </w:rPr>
        <w:t>(2), 175-190.</w:t>
      </w:r>
    </w:p>
    <w:p w14:paraId="31BE0532" w14:textId="180B6110" w:rsidR="0055458A" w:rsidRPr="003470B1" w:rsidRDefault="03C73090" w:rsidP="0055458A">
      <w:pPr>
        <w:spacing w:line="480" w:lineRule="auto"/>
        <w:rPr>
          <w:color w:val="000000" w:themeColor="text1"/>
        </w:rPr>
      </w:pPr>
      <w:r w:rsidRPr="003470B1">
        <w:rPr>
          <w:color w:val="000000" w:themeColor="text1"/>
        </w:rPr>
        <w:t>Bache, S. M., &amp; Wickham, H. (2014). magrittr: a forward-pipe operator for R. </w:t>
      </w:r>
      <w:r w:rsidRPr="003470B1">
        <w:rPr>
          <w:i/>
          <w:iCs/>
          <w:color w:val="000000" w:themeColor="text1"/>
        </w:rPr>
        <w:t xml:space="preserve">R package </w:t>
      </w:r>
      <w:r w:rsidR="0055458A" w:rsidRPr="003470B1">
        <w:rPr>
          <w:color w:val="000000" w:themeColor="text1"/>
        </w:rPr>
        <w:tab/>
      </w:r>
      <w:r w:rsidR="0055458A" w:rsidRPr="003470B1">
        <w:rPr>
          <w:color w:val="000000" w:themeColor="text1"/>
        </w:rPr>
        <w:tab/>
      </w:r>
      <w:r w:rsidRPr="003470B1">
        <w:rPr>
          <w:i/>
          <w:iCs/>
          <w:color w:val="000000" w:themeColor="text1"/>
        </w:rPr>
        <w:t>version</w:t>
      </w:r>
      <w:r w:rsidRPr="003470B1">
        <w:rPr>
          <w:color w:val="000000" w:themeColor="text1"/>
        </w:rPr>
        <w:t>, </w:t>
      </w:r>
      <w:r w:rsidRPr="003470B1">
        <w:rPr>
          <w:i/>
          <w:iCs/>
          <w:color w:val="000000" w:themeColor="text1"/>
        </w:rPr>
        <w:t>1</w:t>
      </w:r>
      <w:r w:rsidRPr="003470B1">
        <w:rPr>
          <w:color w:val="000000" w:themeColor="text1"/>
        </w:rPr>
        <w:t>(1).</w:t>
      </w:r>
    </w:p>
    <w:p w14:paraId="61DA14D8" w14:textId="77777777" w:rsidR="008C5698" w:rsidRPr="003470B1" w:rsidRDefault="03C73090" w:rsidP="008C5698">
      <w:pPr>
        <w:spacing w:line="480" w:lineRule="auto"/>
        <w:rPr>
          <w:color w:val="000000" w:themeColor="text1"/>
        </w:rPr>
      </w:pPr>
      <w:r w:rsidRPr="003470B1">
        <w:rPr>
          <w:color w:val="000000" w:themeColor="text1"/>
        </w:rPr>
        <w:t>Barrett, T. S., &amp; Brignone, E. (2017). Furniture for Quantitative Scientists. </w:t>
      </w:r>
      <w:r w:rsidRPr="003470B1">
        <w:rPr>
          <w:i/>
          <w:iCs/>
          <w:color w:val="000000" w:themeColor="text1"/>
        </w:rPr>
        <w:t>R Journal</w:t>
      </w:r>
      <w:r w:rsidRPr="003470B1">
        <w:rPr>
          <w:color w:val="000000" w:themeColor="text1"/>
        </w:rPr>
        <w:t>, </w:t>
      </w:r>
      <w:r w:rsidRPr="003470B1">
        <w:rPr>
          <w:i/>
          <w:iCs/>
          <w:color w:val="000000" w:themeColor="text1"/>
        </w:rPr>
        <w:t>9</w:t>
      </w:r>
      <w:r w:rsidRPr="003470B1">
        <w:rPr>
          <w:color w:val="000000" w:themeColor="text1"/>
        </w:rPr>
        <w:t>(2), 142.</w:t>
      </w:r>
    </w:p>
    <w:p w14:paraId="77263711"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Beesdo, K., Knappe, S., &amp; Pine, D. S. (2009). Anxiety and anxiety disorders in children and adolescents: Developmental issues and implications for DSM-V. </w:t>
      </w:r>
      <w:r w:rsidRPr="003470B1">
        <w:rPr>
          <w:i/>
          <w:iCs/>
          <w:noProof/>
          <w:color w:val="000000" w:themeColor="text1"/>
        </w:rPr>
        <w:t>The Psychiatric Clinics of North America</w:t>
      </w:r>
      <w:r w:rsidRPr="003470B1">
        <w:rPr>
          <w:noProof/>
          <w:color w:val="000000" w:themeColor="text1"/>
        </w:rPr>
        <w:t xml:space="preserve">, </w:t>
      </w:r>
      <w:r w:rsidRPr="003470B1">
        <w:rPr>
          <w:i/>
          <w:iCs/>
          <w:noProof/>
          <w:color w:val="000000" w:themeColor="text1"/>
        </w:rPr>
        <w:t>32</w:t>
      </w:r>
      <w:r w:rsidRPr="003470B1">
        <w:rPr>
          <w:noProof/>
          <w:color w:val="000000" w:themeColor="text1"/>
        </w:rPr>
        <w:t>(3), 483–524. https://doi.org/10.1016/j.psc.2009.06.002</w:t>
      </w:r>
    </w:p>
    <w:p w14:paraId="101B8A14"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Bernstein, G. A., Layne, A. E., Egan, E. A., Tennison, D. M., &amp; Bernstein, M. (2005). School-based interventions for anxious children, </w:t>
      </w:r>
      <w:r w:rsidRPr="003470B1">
        <w:rPr>
          <w:i/>
          <w:iCs/>
          <w:noProof/>
          <w:color w:val="000000" w:themeColor="text1"/>
        </w:rPr>
        <w:t>Journal of American Academy of Child &amp; Adolescent Psychiatry</w:t>
      </w:r>
      <w:r w:rsidRPr="003470B1">
        <w:rPr>
          <w:noProof/>
          <w:color w:val="000000" w:themeColor="text1"/>
        </w:rPr>
        <w:t xml:space="preserve">, </w:t>
      </w:r>
      <w:r w:rsidRPr="003470B1">
        <w:rPr>
          <w:i/>
          <w:iCs/>
          <w:noProof/>
          <w:color w:val="000000" w:themeColor="text1"/>
        </w:rPr>
        <w:t>44</w:t>
      </w:r>
      <w:r w:rsidRPr="003470B1">
        <w:rPr>
          <w:noProof/>
          <w:color w:val="000000" w:themeColor="text1"/>
        </w:rPr>
        <w:t xml:space="preserve">(11), 1118-1127. </w:t>
      </w:r>
    </w:p>
    <w:p w14:paraId="0B8CE155"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Birmaher, B., Brent., D. A., Chiappetta, L., Bridge, J., Monga, S., &amp; Baugher, M. (1999). Psychometric properties of the screen for child anxiety related emotional disorders (SCARED): A replication study. </w:t>
      </w:r>
      <w:r w:rsidRPr="003470B1">
        <w:rPr>
          <w:i/>
          <w:iCs/>
          <w:noProof/>
          <w:color w:val="000000" w:themeColor="text1"/>
        </w:rPr>
        <w:t>Journal of the American Academy of Child &amp; Adolescent Psychiatry</w:t>
      </w:r>
      <w:r w:rsidRPr="003470B1">
        <w:rPr>
          <w:noProof/>
          <w:color w:val="000000" w:themeColor="text1"/>
        </w:rPr>
        <w:t xml:space="preserve">, </w:t>
      </w:r>
      <w:r w:rsidRPr="003470B1">
        <w:rPr>
          <w:i/>
          <w:iCs/>
          <w:noProof/>
          <w:color w:val="000000" w:themeColor="text1"/>
        </w:rPr>
        <w:t>38</w:t>
      </w:r>
      <w:r w:rsidRPr="003470B1">
        <w:rPr>
          <w:noProof/>
          <w:color w:val="000000" w:themeColor="text1"/>
        </w:rPr>
        <w:t>(10), 1230–1236. https://doi.org/10.1097/00004583-199910000-00011</w:t>
      </w:r>
    </w:p>
    <w:p w14:paraId="2E6F59B0"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Bluett, E. J., Homan, K. J., Morrison, K. L., Levin, M. E., &amp; Twohig, M. P. (2014). Acceptance </w:t>
      </w:r>
      <w:r w:rsidRPr="003470B1">
        <w:rPr>
          <w:noProof/>
          <w:color w:val="000000" w:themeColor="text1"/>
        </w:rPr>
        <w:lastRenderedPageBreak/>
        <w:t xml:space="preserve">and commitment therapy for anxiety and OCD spectrum disorders: An empirical review. </w:t>
      </w:r>
      <w:r w:rsidRPr="003470B1">
        <w:rPr>
          <w:i/>
          <w:iCs/>
          <w:noProof/>
          <w:color w:val="000000" w:themeColor="text1"/>
        </w:rPr>
        <w:t>Journal of Anxiety Disorders</w:t>
      </w:r>
      <w:r w:rsidRPr="003470B1">
        <w:rPr>
          <w:noProof/>
          <w:color w:val="000000" w:themeColor="text1"/>
        </w:rPr>
        <w:t xml:space="preserve">, </w:t>
      </w:r>
      <w:r w:rsidRPr="003470B1">
        <w:rPr>
          <w:i/>
          <w:iCs/>
          <w:noProof/>
          <w:color w:val="000000" w:themeColor="text1"/>
        </w:rPr>
        <w:t>28</w:t>
      </w:r>
      <w:r w:rsidRPr="003470B1">
        <w:rPr>
          <w:noProof/>
          <w:color w:val="000000" w:themeColor="text1"/>
        </w:rPr>
        <w:t>(6), 612–624. https://doi.org/10.1016/J.JANXDIS.2014.06.008</w:t>
      </w:r>
    </w:p>
    <w:p w14:paraId="00D07561" w14:textId="77777777" w:rsidR="007F10AC" w:rsidRPr="003470B1" w:rsidRDefault="03C73090" w:rsidP="007F10AC">
      <w:pPr>
        <w:widowControl w:val="0"/>
        <w:autoSpaceDE w:val="0"/>
        <w:autoSpaceDN w:val="0"/>
        <w:adjustRightInd w:val="0"/>
        <w:spacing w:line="480" w:lineRule="auto"/>
        <w:ind w:left="480" w:hanging="480"/>
        <w:rPr>
          <w:noProof/>
          <w:color w:val="000000" w:themeColor="text1"/>
        </w:rPr>
      </w:pPr>
      <w:r w:rsidRPr="003470B1">
        <w:rPr>
          <w:noProof/>
          <w:color w:val="000000" w:themeColor="text1"/>
        </w:rPr>
        <w:t>Briesch, A. M., &amp; Chafouleas, S. M. (2009). Exploring student buy-in: Initial development of an instrument to measure likelihood of children's intervention usage. </w:t>
      </w:r>
      <w:r w:rsidRPr="003470B1">
        <w:rPr>
          <w:i/>
          <w:iCs/>
          <w:noProof/>
          <w:color w:val="000000" w:themeColor="text1"/>
        </w:rPr>
        <w:t>Journal of Educational and Psychological Consultation</w:t>
      </w:r>
      <w:r w:rsidRPr="003470B1">
        <w:rPr>
          <w:noProof/>
          <w:color w:val="000000" w:themeColor="text1"/>
        </w:rPr>
        <w:t>, </w:t>
      </w:r>
      <w:r w:rsidRPr="003470B1">
        <w:rPr>
          <w:i/>
          <w:iCs/>
          <w:noProof/>
          <w:color w:val="000000" w:themeColor="text1"/>
        </w:rPr>
        <w:t>19</w:t>
      </w:r>
      <w:r w:rsidRPr="003470B1">
        <w:rPr>
          <w:noProof/>
          <w:color w:val="000000" w:themeColor="text1"/>
        </w:rPr>
        <w:t>(4), 321-336.</w:t>
      </w:r>
    </w:p>
    <w:p w14:paraId="5833C5CE"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Brookshier, A. R. (2016). </w:t>
      </w:r>
      <w:r w:rsidRPr="003470B1">
        <w:rPr>
          <w:i/>
          <w:iCs/>
          <w:noProof/>
          <w:color w:val="000000" w:themeColor="text1"/>
        </w:rPr>
        <w:t>Ameliorating anxiety in the school setting using acceptance and commitment therapy and mindfulness.</w:t>
      </w:r>
      <w:r w:rsidRPr="003470B1">
        <w:rPr>
          <w:noProof/>
          <w:color w:val="000000" w:themeColor="text1"/>
        </w:rPr>
        <w:t xml:space="preserve"> Northern Arizona University.</w:t>
      </w:r>
    </w:p>
    <w:p w14:paraId="5538592F"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Brown, F. J., &amp; Hooper, S. (2009). Acceptance and commitment therapy (ACT) with a learning disabled young person experiencing anxious and obsessive thoughts. </w:t>
      </w:r>
      <w:r w:rsidRPr="003470B1">
        <w:rPr>
          <w:i/>
          <w:iCs/>
          <w:noProof/>
          <w:color w:val="000000" w:themeColor="text1"/>
        </w:rPr>
        <w:t>Journal of Intellectual Disabilities</w:t>
      </w:r>
      <w:r w:rsidRPr="003470B1">
        <w:rPr>
          <w:noProof/>
          <w:color w:val="000000" w:themeColor="text1"/>
        </w:rPr>
        <w:t xml:space="preserve">, </w:t>
      </w:r>
      <w:r w:rsidRPr="003470B1">
        <w:rPr>
          <w:i/>
          <w:iCs/>
          <w:noProof/>
          <w:color w:val="000000" w:themeColor="text1"/>
        </w:rPr>
        <w:t>13</w:t>
      </w:r>
      <w:r w:rsidRPr="003470B1">
        <w:rPr>
          <w:noProof/>
          <w:color w:val="000000" w:themeColor="text1"/>
        </w:rPr>
        <w:t>(3), 195–201.</w:t>
      </w:r>
    </w:p>
    <w:p w14:paraId="6236F74C"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Cartwright-Hatton, S., Roberts, C., Chitsabesan, P., &amp; Fothergill, C., &amp; Harrington, R. (2004). Systematic review of the efficacy of cognitive behaviour therapies for childhood and adolescent anxiety disorders,</w:t>
      </w:r>
      <w:r w:rsidRPr="003470B1">
        <w:rPr>
          <w:i/>
          <w:iCs/>
          <w:noProof/>
          <w:color w:val="000000" w:themeColor="text1"/>
        </w:rPr>
        <w:t xml:space="preserve"> The British Journal of Clinical Psychology</w:t>
      </w:r>
      <w:r w:rsidRPr="003470B1">
        <w:rPr>
          <w:noProof/>
          <w:color w:val="000000" w:themeColor="text1"/>
        </w:rPr>
        <w:t xml:space="preserve">, </w:t>
      </w:r>
      <w:r w:rsidRPr="003470B1">
        <w:rPr>
          <w:i/>
          <w:iCs/>
          <w:noProof/>
          <w:color w:val="000000" w:themeColor="text1"/>
        </w:rPr>
        <w:t>43</w:t>
      </w:r>
      <w:r w:rsidRPr="003470B1">
        <w:rPr>
          <w:noProof/>
          <w:color w:val="000000" w:themeColor="text1"/>
        </w:rPr>
        <w:t xml:space="preserve">, 421-436. </w:t>
      </w:r>
    </w:p>
    <w:p w14:paraId="08407126"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Chu, B. C., Crocco, S. T., Esseling, P., Areizaga, M. J., Lindner, A. M., &amp; Skriner, L. C. (2016). Transdiagnostic group behavioral activation and exposure therapy for youth anxiety and depression: Initial randomized controlled trial. </w:t>
      </w:r>
      <w:r w:rsidRPr="003470B1">
        <w:rPr>
          <w:i/>
          <w:iCs/>
          <w:noProof/>
          <w:color w:val="000000" w:themeColor="text1"/>
        </w:rPr>
        <w:t>Behaviour Research and Therapy</w:t>
      </w:r>
      <w:r w:rsidRPr="003470B1">
        <w:rPr>
          <w:noProof/>
          <w:color w:val="000000" w:themeColor="text1"/>
        </w:rPr>
        <w:t xml:space="preserve">, </w:t>
      </w:r>
      <w:r w:rsidRPr="003470B1">
        <w:rPr>
          <w:i/>
          <w:iCs/>
          <w:noProof/>
          <w:color w:val="000000" w:themeColor="text1"/>
        </w:rPr>
        <w:t>76</w:t>
      </w:r>
      <w:r w:rsidRPr="003470B1">
        <w:rPr>
          <w:noProof/>
          <w:color w:val="000000" w:themeColor="text1"/>
        </w:rPr>
        <w:t>, 65–75. https://doi.org/10.1016/J.BRAT.2015.11.005</w:t>
      </w:r>
    </w:p>
    <w:p w14:paraId="1AF36B19" w14:textId="641C9EF1"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de Lijster, J. M., Dieleman, G. C., Utens, E. M. W. J., Dierckx, B., Wierenga, M., Verhulst, F. C., &amp; Legerstee, J. S. (2018). Social and academic functioning in adolescents with anxiety disorders: A systematic review. </w:t>
      </w:r>
      <w:r w:rsidRPr="003470B1">
        <w:rPr>
          <w:i/>
          <w:iCs/>
          <w:noProof/>
          <w:color w:val="000000" w:themeColor="text1"/>
        </w:rPr>
        <w:t>Journal of Affective Disorders</w:t>
      </w:r>
      <w:r w:rsidRPr="003470B1">
        <w:rPr>
          <w:noProof/>
          <w:color w:val="000000" w:themeColor="text1"/>
        </w:rPr>
        <w:t xml:space="preserve">, </w:t>
      </w:r>
      <w:r w:rsidRPr="003470B1">
        <w:rPr>
          <w:i/>
          <w:iCs/>
          <w:noProof/>
          <w:color w:val="000000" w:themeColor="text1"/>
        </w:rPr>
        <w:t>230</w:t>
      </w:r>
      <w:r w:rsidRPr="003470B1">
        <w:rPr>
          <w:noProof/>
          <w:color w:val="000000" w:themeColor="text1"/>
        </w:rPr>
        <w:t xml:space="preserve">, 108–117. </w:t>
      </w:r>
      <w:hyperlink r:id="rId8" w:history="1">
        <w:r w:rsidR="001D5A35" w:rsidRPr="003470B1">
          <w:rPr>
            <w:rStyle w:val="Hyperlink"/>
            <w:noProof/>
            <w:color w:val="000000" w:themeColor="text1"/>
          </w:rPr>
          <w:t>https://doi.org/10.1016/J.JAD.2018.01.008</w:t>
        </w:r>
      </w:hyperlink>
    </w:p>
    <w:p w14:paraId="291E8651" w14:textId="4CD95FF9" w:rsidR="001D5A35" w:rsidRPr="003470B1" w:rsidRDefault="001D5A35" w:rsidP="001D5A35">
      <w:pPr>
        <w:spacing w:line="480" w:lineRule="auto"/>
        <w:ind w:left="720" w:hanging="720"/>
        <w:rPr>
          <w:color w:val="000000" w:themeColor="text1"/>
          <w:shd w:val="clear" w:color="auto" w:fill="FFFFFF"/>
        </w:rPr>
      </w:pPr>
      <w:r w:rsidRPr="003470B1">
        <w:rPr>
          <w:color w:val="000000" w:themeColor="text1"/>
          <w:shd w:val="clear" w:color="auto" w:fill="FFFFFF"/>
        </w:rPr>
        <w:t xml:space="preserve">Dindal, M. (Director). (2000). </w:t>
      </w:r>
      <w:r w:rsidRPr="003470B1">
        <w:rPr>
          <w:i/>
          <w:iCs/>
          <w:color w:val="000000" w:themeColor="text1"/>
          <w:shd w:val="clear" w:color="auto" w:fill="FFFFFF"/>
        </w:rPr>
        <w:t>The Emperor’s New Groove</w:t>
      </w:r>
      <w:r w:rsidRPr="003470B1">
        <w:rPr>
          <w:color w:val="000000" w:themeColor="text1"/>
          <w:shd w:val="clear" w:color="auto" w:fill="FFFFFF"/>
        </w:rPr>
        <w:t>. Walt Disney Pictures.</w:t>
      </w:r>
    </w:p>
    <w:p w14:paraId="087E0065"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lastRenderedPageBreak/>
        <w:t xml:space="preserve">Farmer, E. . Z., Burns, B. J., Phillips, S. D., Angold, A., &amp; Costello, E. J. (2003). Pathways into and through mental health services for children and adolescents. </w:t>
      </w:r>
      <w:r w:rsidRPr="003470B1">
        <w:rPr>
          <w:i/>
          <w:iCs/>
          <w:noProof/>
          <w:color w:val="000000" w:themeColor="text1"/>
        </w:rPr>
        <w:t>Psychiatric Services</w:t>
      </w:r>
      <w:r w:rsidRPr="003470B1">
        <w:rPr>
          <w:noProof/>
          <w:color w:val="000000" w:themeColor="text1"/>
        </w:rPr>
        <w:t xml:space="preserve">, </w:t>
      </w:r>
      <w:r w:rsidRPr="003470B1">
        <w:rPr>
          <w:i/>
          <w:iCs/>
          <w:noProof/>
          <w:color w:val="000000" w:themeColor="text1"/>
        </w:rPr>
        <w:t>54</w:t>
      </w:r>
      <w:r w:rsidRPr="003470B1">
        <w:rPr>
          <w:noProof/>
          <w:color w:val="000000" w:themeColor="text1"/>
        </w:rPr>
        <w:t>(1), 60–66.</w:t>
      </w:r>
    </w:p>
    <w:p w14:paraId="598BC2C2"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Ginsburg, G. S., Becker, K. D., Drazdowski, T. K., &amp; Tein, J.-Y. (2012). Treating anxiety disorders in inner city schools: Results from a pilot randomized controlled trial comparing CBT and usual care. </w:t>
      </w:r>
      <w:r w:rsidRPr="003470B1">
        <w:rPr>
          <w:i/>
          <w:iCs/>
          <w:noProof/>
          <w:color w:val="000000" w:themeColor="text1"/>
        </w:rPr>
        <w:t>Child &amp; Youth Care Forum</w:t>
      </w:r>
      <w:r w:rsidRPr="003470B1">
        <w:rPr>
          <w:noProof/>
          <w:color w:val="000000" w:themeColor="text1"/>
        </w:rPr>
        <w:t xml:space="preserve">, </w:t>
      </w:r>
      <w:r w:rsidRPr="003470B1">
        <w:rPr>
          <w:i/>
          <w:iCs/>
          <w:noProof/>
          <w:color w:val="000000" w:themeColor="text1"/>
        </w:rPr>
        <w:t>41</w:t>
      </w:r>
      <w:r w:rsidRPr="003470B1">
        <w:rPr>
          <w:noProof/>
          <w:color w:val="000000" w:themeColor="text1"/>
        </w:rPr>
        <w:t>(1), 1–19. https://doi.org/10.1007/s10566-011-9156-4</w:t>
      </w:r>
    </w:p>
    <w:p w14:paraId="71C62FC1"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Greco, L. A., Lambert, W., &amp; Baer, R. A. (2008). Psychological inflexibility in childhood and adolescence: Development and evaluation of the avoidance and fusion questionnaire for youth. </w:t>
      </w:r>
      <w:r w:rsidRPr="003470B1">
        <w:rPr>
          <w:i/>
          <w:iCs/>
          <w:noProof/>
          <w:color w:val="000000" w:themeColor="text1"/>
        </w:rPr>
        <w:t>Psychological Assessment</w:t>
      </w:r>
      <w:r w:rsidRPr="003470B1">
        <w:rPr>
          <w:noProof/>
          <w:color w:val="000000" w:themeColor="text1"/>
        </w:rPr>
        <w:t xml:space="preserve">, </w:t>
      </w:r>
      <w:r w:rsidRPr="003470B1">
        <w:rPr>
          <w:i/>
          <w:iCs/>
          <w:noProof/>
          <w:color w:val="000000" w:themeColor="text1"/>
        </w:rPr>
        <w:t>20</w:t>
      </w:r>
      <w:r w:rsidRPr="003470B1">
        <w:rPr>
          <w:noProof/>
          <w:color w:val="000000" w:themeColor="text1"/>
        </w:rPr>
        <w:t>(2), 93–102. https://doi.org/10.1037/1040-3590.20.2.93</w:t>
      </w:r>
    </w:p>
    <w:p w14:paraId="5B22E610"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Greco, L. A., &amp; Morris, T. L. (2005). Factors influencing the link between social anxiety and peer acceptance: Contributions of social skills and close friendships during middle childhood. </w:t>
      </w:r>
      <w:r w:rsidRPr="003470B1">
        <w:rPr>
          <w:i/>
          <w:iCs/>
          <w:noProof/>
          <w:color w:val="000000" w:themeColor="text1"/>
        </w:rPr>
        <w:t>Behavior Therapy</w:t>
      </w:r>
      <w:r w:rsidRPr="003470B1">
        <w:rPr>
          <w:noProof/>
          <w:color w:val="000000" w:themeColor="text1"/>
        </w:rPr>
        <w:t xml:space="preserve">, </w:t>
      </w:r>
      <w:r w:rsidRPr="003470B1">
        <w:rPr>
          <w:i/>
          <w:iCs/>
          <w:noProof/>
          <w:color w:val="000000" w:themeColor="text1"/>
        </w:rPr>
        <w:t>36</w:t>
      </w:r>
      <w:r w:rsidRPr="003470B1">
        <w:rPr>
          <w:noProof/>
          <w:color w:val="000000" w:themeColor="text1"/>
        </w:rPr>
        <w:t>(2), 197–205. https://doi.org/10.1016/S0005-7894(05)80068-1</w:t>
      </w:r>
    </w:p>
    <w:p w14:paraId="64E0E3D4"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Green, J. G., Comer, J. S., Donaldson, A. R., Elkins, R. M., Nadeau, M. S., Reid, G., &amp; Pincus, D. B. (2016). School functioning and use of school-based accommodations by treatment-seeking anxious children. </w:t>
      </w:r>
      <w:r w:rsidRPr="003470B1">
        <w:rPr>
          <w:i/>
          <w:iCs/>
          <w:noProof/>
          <w:color w:val="000000" w:themeColor="text1"/>
        </w:rPr>
        <w:t>Journal of Emotional and Behavioral Disorders</w:t>
      </w:r>
      <w:r w:rsidRPr="003470B1">
        <w:rPr>
          <w:noProof/>
          <w:color w:val="000000" w:themeColor="text1"/>
        </w:rPr>
        <w:t xml:space="preserve">, </w:t>
      </w:r>
      <w:r w:rsidRPr="003470B1">
        <w:rPr>
          <w:i/>
          <w:iCs/>
          <w:noProof/>
          <w:color w:val="000000" w:themeColor="text1"/>
        </w:rPr>
        <w:t>25</w:t>
      </w:r>
      <w:r w:rsidRPr="003470B1">
        <w:rPr>
          <w:noProof/>
          <w:color w:val="000000" w:themeColor="text1"/>
        </w:rPr>
        <w:t xml:space="preserve">(4), 220–232. </w:t>
      </w:r>
      <w:hyperlink r:id="rId9">
        <w:r w:rsidRPr="003470B1">
          <w:rPr>
            <w:rStyle w:val="Hyperlink"/>
            <w:noProof/>
            <w:color w:val="000000" w:themeColor="text1"/>
          </w:rPr>
          <w:t>https://doi.org/10.1177/1063426616664328</w:t>
        </w:r>
      </w:hyperlink>
    </w:p>
    <w:p w14:paraId="22912B10" w14:textId="77777777" w:rsidR="00414004" w:rsidRPr="003470B1" w:rsidRDefault="03C73090" w:rsidP="00414004">
      <w:pPr>
        <w:spacing w:line="480" w:lineRule="auto"/>
        <w:rPr>
          <w:color w:val="000000" w:themeColor="text1"/>
        </w:rPr>
      </w:pPr>
      <w:r w:rsidRPr="003470B1">
        <w:rPr>
          <w:color w:val="000000" w:themeColor="text1"/>
        </w:rPr>
        <w:t>Grolemund, G., &amp; Wickham, H. (2011). Dates and times made easy with lubridate. </w:t>
      </w:r>
      <w:r w:rsidRPr="003470B1">
        <w:rPr>
          <w:i/>
          <w:iCs/>
          <w:color w:val="000000" w:themeColor="text1"/>
        </w:rPr>
        <w:t xml:space="preserve">Journal of </w:t>
      </w:r>
      <w:r w:rsidR="00414004" w:rsidRPr="003470B1">
        <w:rPr>
          <w:color w:val="000000" w:themeColor="text1"/>
        </w:rPr>
        <w:tab/>
      </w:r>
      <w:r w:rsidRPr="003470B1">
        <w:rPr>
          <w:i/>
          <w:iCs/>
          <w:color w:val="000000" w:themeColor="text1"/>
        </w:rPr>
        <w:t>Statistical Software</w:t>
      </w:r>
      <w:r w:rsidRPr="003470B1">
        <w:rPr>
          <w:color w:val="000000" w:themeColor="text1"/>
        </w:rPr>
        <w:t>, </w:t>
      </w:r>
      <w:r w:rsidRPr="003470B1">
        <w:rPr>
          <w:i/>
          <w:iCs/>
          <w:color w:val="000000" w:themeColor="text1"/>
        </w:rPr>
        <w:t>40</w:t>
      </w:r>
      <w:r w:rsidRPr="003470B1">
        <w:rPr>
          <w:color w:val="000000" w:themeColor="text1"/>
        </w:rPr>
        <w:t>(3), 1-25.</w:t>
      </w:r>
    </w:p>
    <w:p w14:paraId="362DBFA2"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Hancock, K., Swain, J., Hainsworth, C. J., Dixon, A. L., Koo, S., &amp; Munro, K. (2018). Acceptance and commitment therapy versus cognitive behavior therapy for children with anxiety: Outcomes of a randomized controlled trial. </w:t>
      </w:r>
      <w:r w:rsidRPr="003470B1">
        <w:rPr>
          <w:i/>
          <w:iCs/>
          <w:noProof/>
          <w:color w:val="000000" w:themeColor="text1"/>
        </w:rPr>
        <w:t xml:space="preserve">Journal of Clinical Child and </w:t>
      </w:r>
      <w:r w:rsidRPr="003470B1">
        <w:rPr>
          <w:i/>
          <w:iCs/>
          <w:noProof/>
          <w:color w:val="000000" w:themeColor="text1"/>
        </w:rPr>
        <w:lastRenderedPageBreak/>
        <w:t>Adolescent Psychology</w:t>
      </w:r>
      <w:r w:rsidRPr="003470B1">
        <w:rPr>
          <w:noProof/>
          <w:color w:val="000000" w:themeColor="text1"/>
        </w:rPr>
        <w:t xml:space="preserve">, </w:t>
      </w:r>
      <w:r w:rsidRPr="003470B1">
        <w:rPr>
          <w:i/>
          <w:iCs/>
          <w:noProof/>
          <w:color w:val="000000" w:themeColor="text1"/>
        </w:rPr>
        <w:t>47</w:t>
      </w:r>
      <w:r w:rsidRPr="003470B1">
        <w:rPr>
          <w:noProof/>
          <w:color w:val="000000" w:themeColor="text1"/>
        </w:rPr>
        <w:t>(2), 296–311. https://doi.org/10.1080/15374416.2015.1110822</w:t>
      </w:r>
    </w:p>
    <w:p w14:paraId="3D4058EB" w14:textId="798EE1EA" w:rsidR="009662DD"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Hayes, L., &amp; Ciarrochi, J. (2015). </w:t>
      </w:r>
      <w:r w:rsidRPr="003470B1">
        <w:rPr>
          <w:i/>
          <w:iCs/>
          <w:noProof/>
          <w:color w:val="000000" w:themeColor="text1"/>
        </w:rPr>
        <w:t>The thriving adolescent: Using ACT and positive psychology to help teens manage emotions, achieve goals, and build connection</w:t>
      </w:r>
      <w:r w:rsidRPr="003470B1">
        <w:rPr>
          <w:noProof/>
          <w:color w:val="000000" w:themeColor="text1"/>
        </w:rPr>
        <w:t>. Oakland, CA: Context Press.</w:t>
      </w:r>
    </w:p>
    <w:p w14:paraId="797DC690" w14:textId="7B0D8C83" w:rsidR="00313F24" w:rsidRPr="003470B1" w:rsidRDefault="00313F24" w:rsidP="00313F24">
      <w:pPr>
        <w:widowControl w:val="0"/>
        <w:autoSpaceDE w:val="0"/>
        <w:autoSpaceDN w:val="0"/>
        <w:adjustRightInd w:val="0"/>
        <w:spacing w:line="480" w:lineRule="auto"/>
        <w:ind w:left="480" w:hanging="480"/>
        <w:rPr>
          <w:noProof/>
          <w:color w:val="000000" w:themeColor="text1"/>
        </w:rPr>
      </w:pPr>
      <w:r w:rsidRPr="00313F24">
        <w:rPr>
          <w:noProof/>
          <w:color w:val="000000" w:themeColor="text1"/>
        </w:rPr>
        <w:t>Hayes, L</w:t>
      </w:r>
      <w:r w:rsidR="00A944D5">
        <w:rPr>
          <w:noProof/>
          <w:color w:val="000000" w:themeColor="text1"/>
        </w:rPr>
        <w:t>. (2016)</w:t>
      </w:r>
      <w:r w:rsidRPr="00313F24">
        <w:rPr>
          <w:noProof/>
          <w:color w:val="000000" w:themeColor="text1"/>
        </w:rPr>
        <w:t xml:space="preserve">. “Becoming a Mindful Warrior.” </w:t>
      </w:r>
      <w:r w:rsidRPr="00313F24">
        <w:rPr>
          <w:i/>
          <w:iCs/>
          <w:noProof/>
          <w:color w:val="000000" w:themeColor="text1"/>
        </w:rPr>
        <w:t>Thriving Adolescent</w:t>
      </w:r>
      <w:r w:rsidRPr="00313F24">
        <w:rPr>
          <w:noProof/>
          <w:color w:val="000000" w:themeColor="text1"/>
        </w:rPr>
        <w:t xml:space="preserve">, 3 Dec. 2021, https://vimeo.com/109092988/64f50de985. </w:t>
      </w:r>
    </w:p>
    <w:p w14:paraId="689FFB45"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Hayes, S. C., Luoma, J. B., Bond, F. W., Masuda, A., &amp; Lillis, J. (2006). Acceptance and commitment therapy: Model, processes and outcomes. </w:t>
      </w:r>
      <w:r w:rsidRPr="003470B1">
        <w:rPr>
          <w:i/>
          <w:iCs/>
          <w:noProof/>
          <w:color w:val="000000" w:themeColor="text1"/>
        </w:rPr>
        <w:t>Behaviour Research and Therapy</w:t>
      </w:r>
      <w:r w:rsidRPr="003470B1">
        <w:rPr>
          <w:noProof/>
          <w:color w:val="000000" w:themeColor="text1"/>
        </w:rPr>
        <w:t xml:space="preserve">, </w:t>
      </w:r>
      <w:r w:rsidRPr="003470B1">
        <w:rPr>
          <w:i/>
          <w:iCs/>
          <w:noProof/>
          <w:color w:val="000000" w:themeColor="text1"/>
        </w:rPr>
        <w:t>44</w:t>
      </w:r>
      <w:r w:rsidRPr="003470B1">
        <w:rPr>
          <w:noProof/>
          <w:color w:val="000000" w:themeColor="text1"/>
        </w:rPr>
        <w:t>(1), 1-25.</w:t>
      </w:r>
    </w:p>
    <w:p w14:paraId="228F53F1"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James, A. C., James, G., Cowdrey, F. A., Soler, A., &amp; Choke, A. (2015). Cognitive behavioural therapy for anxiety disorders in children and adolescents. </w:t>
      </w:r>
      <w:r w:rsidRPr="003470B1">
        <w:rPr>
          <w:i/>
          <w:iCs/>
          <w:noProof/>
          <w:color w:val="000000" w:themeColor="text1"/>
        </w:rPr>
        <w:t>Cochrane Database of Systematic Reviews</w:t>
      </w:r>
      <w:r w:rsidRPr="003470B1">
        <w:rPr>
          <w:noProof/>
          <w:color w:val="000000" w:themeColor="text1"/>
        </w:rPr>
        <w:t>, (2). https://doi.org/10.1002/14651858.CD004690.pub4</w:t>
      </w:r>
    </w:p>
    <w:p w14:paraId="1023554A"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Keyes, C. L. M. (2006). The subjective well-being of america’s youth: Toward a comprehensive assessment. </w:t>
      </w:r>
      <w:r w:rsidRPr="003470B1">
        <w:rPr>
          <w:i/>
          <w:iCs/>
          <w:noProof/>
          <w:color w:val="000000" w:themeColor="text1"/>
        </w:rPr>
        <w:t>Adolescent &amp; Family Health</w:t>
      </w:r>
      <w:r w:rsidRPr="003470B1">
        <w:rPr>
          <w:noProof/>
          <w:color w:val="000000" w:themeColor="text1"/>
        </w:rPr>
        <w:t xml:space="preserve">, </w:t>
      </w:r>
      <w:r w:rsidRPr="003470B1">
        <w:rPr>
          <w:i/>
          <w:iCs/>
          <w:noProof/>
          <w:color w:val="000000" w:themeColor="text1"/>
        </w:rPr>
        <w:t>4</w:t>
      </w:r>
      <w:r w:rsidRPr="003470B1">
        <w:rPr>
          <w:noProof/>
          <w:color w:val="000000" w:themeColor="text1"/>
        </w:rPr>
        <w:t>(1), 3–11.</w:t>
      </w:r>
    </w:p>
    <w:p w14:paraId="273F79D6" w14:textId="77EB3935" w:rsidR="00955BBA" w:rsidRPr="003470B1" w:rsidRDefault="03C73090" w:rsidP="00955BBA">
      <w:pPr>
        <w:spacing w:line="480" w:lineRule="auto"/>
        <w:rPr>
          <w:color w:val="000000" w:themeColor="text1"/>
        </w:rPr>
      </w:pPr>
      <w:r w:rsidRPr="003470B1">
        <w:rPr>
          <w:color w:val="000000" w:themeColor="text1"/>
        </w:rPr>
        <w:t xml:space="preserve">Kuznetsova, A., Brockhoff, P. B., &amp; Christensen, R. H. (2017). lmerTest package: tests in linear </w:t>
      </w:r>
      <w:r w:rsidR="00955BBA" w:rsidRPr="003470B1">
        <w:rPr>
          <w:color w:val="000000" w:themeColor="text1"/>
        </w:rPr>
        <w:tab/>
      </w:r>
      <w:r w:rsidRPr="003470B1">
        <w:rPr>
          <w:color w:val="000000" w:themeColor="text1"/>
        </w:rPr>
        <w:t>mixed effects models. </w:t>
      </w:r>
      <w:r w:rsidRPr="003470B1">
        <w:rPr>
          <w:i/>
          <w:iCs/>
          <w:color w:val="000000" w:themeColor="text1"/>
        </w:rPr>
        <w:t>Journal of Statistical Software</w:t>
      </w:r>
      <w:r w:rsidRPr="003470B1">
        <w:rPr>
          <w:color w:val="000000" w:themeColor="text1"/>
        </w:rPr>
        <w:t>, </w:t>
      </w:r>
      <w:r w:rsidRPr="003470B1">
        <w:rPr>
          <w:i/>
          <w:iCs/>
          <w:color w:val="000000" w:themeColor="text1"/>
        </w:rPr>
        <w:t>82</w:t>
      </w:r>
      <w:r w:rsidRPr="003470B1">
        <w:rPr>
          <w:color w:val="000000" w:themeColor="text1"/>
        </w:rPr>
        <w:t>(13), 1-26.</w:t>
      </w:r>
    </w:p>
    <w:p w14:paraId="4931D7E4"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Lamers, S. M. A., Westerhof, G. J., Bohlmeijer, E. T., Ten Klooster, P. M., &amp; Keyes, C. L. M. (2011). Evaluating the psychometric properties of the mental health Continuum-Short Form (MHC-SF). </w:t>
      </w:r>
      <w:r w:rsidRPr="003470B1">
        <w:rPr>
          <w:i/>
          <w:iCs/>
          <w:noProof/>
          <w:color w:val="000000" w:themeColor="text1"/>
        </w:rPr>
        <w:t>Journal of Clinical Psychology</w:t>
      </w:r>
      <w:r w:rsidRPr="003470B1">
        <w:rPr>
          <w:noProof/>
          <w:color w:val="000000" w:themeColor="text1"/>
        </w:rPr>
        <w:t xml:space="preserve">, </w:t>
      </w:r>
      <w:r w:rsidRPr="003470B1">
        <w:rPr>
          <w:i/>
          <w:iCs/>
          <w:noProof/>
          <w:color w:val="000000" w:themeColor="text1"/>
        </w:rPr>
        <w:t>67</w:t>
      </w:r>
      <w:r w:rsidRPr="003470B1">
        <w:rPr>
          <w:noProof/>
          <w:color w:val="000000" w:themeColor="text1"/>
        </w:rPr>
        <w:t xml:space="preserve">(1), 99–110. </w:t>
      </w:r>
      <w:hyperlink r:id="rId10">
        <w:r w:rsidRPr="003470B1">
          <w:rPr>
            <w:rStyle w:val="Hyperlink"/>
            <w:noProof/>
            <w:color w:val="000000" w:themeColor="text1"/>
          </w:rPr>
          <w:t>https://doi.org/10.1002/jclp.20741</w:t>
        </w:r>
      </w:hyperlink>
    </w:p>
    <w:p w14:paraId="183414CE" w14:textId="77777777" w:rsidR="00FD0635" w:rsidRPr="003470B1" w:rsidRDefault="03C73090" w:rsidP="00FD0635">
      <w:pPr>
        <w:spacing w:line="480" w:lineRule="auto"/>
        <w:rPr>
          <w:color w:val="000000" w:themeColor="text1"/>
        </w:rPr>
      </w:pPr>
      <w:r w:rsidRPr="003470B1">
        <w:rPr>
          <w:color w:val="000000" w:themeColor="text1"/>
        </w:rPr>
        <w:t xml:space="preserve">Leifeld, P. (2013). texreg: Conversion of Statistical Model Output in R to LATEX and HTML </w:t>
      </w:r>
      <w:r w:rsidR="00FD0635" w:rsidRPr="003470B1">
        <w:rPr>
          <w:color w:val="000000" w:themeColor="text1"/>
        </w:rPr>
        <w:tab/>
      </w:r>
      <w:r w:rsidRPr="003470B1">
        <w:rPr>
          <w:color w:val="000000" w:themeColor="text1"/>
        </w:rPr>
        <w:t>Tables. </w:t>
      </w:r>
      <w:r w:rsidRPr="003470B1">
        <w:rPr>
          <w:i/>
          <w:iCs/>
          <w:color w:val="000000" w:themeColor="text1"/>
        </w:rPr>
        <w:t>Journal of Statistical Software</w:t>
      </w:r>
      <w:r w:rsidRPr="003470B1">
        <w:rPr>
          <w:color w:val="000000" w:themeColor="text1"/>
        </w:rPr>
        <w:t>, </w:t>
      </w:r>
      <w:r w:rsidRPr="003470B1">
        <w:rPr>
          <w:i/>
          <w:iCs/>
          <w:color w:val="000000" w:themeColor="text1"/>
        </w:rPr>
        <w:t>55</w:t>
      </w:r>
      <w:r w:rsidRPr="003470B1">
        <w:rPr>
          <w:color w:val="000000" w:themeColor="text1"/>
        </w:rPr>
        <w:t>(8), 1-24.</w:t>
      </w:r>
    </w:p>
    <w:p w14:paraId="53D5AEFD"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Livheim, F., Hayes, L., Ghaderi, A., Magnusdottir, T., Högfeldt, A., Rowse, J., … Tengström, A. </w:t>
      </w:r>
      <w:r w:rsidRPr="003470B1">
        <w:rPr>
          <w:noProof/>
          <w:color w:val="000000" w:themeColor="text1"/>
        </w:rPr>
        <w:lastRenderedPageBreak/>
        <w:t xml:space="preserve">(2015). The effectiveness of acceptance and commitment therapy for adolescent mental health: Swedish and Australian pilot outcomes. </w:t>
      </w:r>
      <w:r w:rsidRPr="003470B1">
        <w:rPr>
          <w:i/>
          <w:iCs/>
          <w:noProof/>
          <w:color w:val="000000" w:themeColor="text1"/>
        </w:rPr>
        <w:t>Journal of Child and Family Studies</w:t>
      </w:r>
      <w:r w:rsidRPr="003470B1">
        <w:rPr>
          <w:noProof/>
          <w:color w:val="000000" w:themeColor="text1"/>
        </w:rPr>
        <w:t xml:space="preserve">, </w:t>
      </w:r>
      <w:r w:rsidRPr="003470B1">
        <w:rPr>
          <w:i/>
          <w:iCs/>
          <w:noProof/>
          <w:color w:val="000000" w:themeColor="text1"/>
        </w:rPr>
        <w:t>24</w:t>
      </w:r>
      <w:r w:rsidRPr="003470B1">
        <w:rPr>
          <w:noProof/>
          <w:color w:val="000000" w:themeColor="text1"/>
        </w:rPr>
        <w:t xml:space="preserve">, 1016–1030. </w:t>
      </w:r>
      <w:hyperlink r:id="rId11">
        <w:r w:rsidRPr="003470B1">
          <w:rPr>
            <w:rStyle w:val="Hyperlink"/>
            <w:noProof/>
            <w:color w:val="000000" w:themeColor="text1"/>
          </w:rPr>
          <w:t>https://doi.org/10.1007/s10826-014-9912-9</w:t>
        </w:r>
      </w:hyperlink>
    </w:p>
    <w:p w14:paraId="47A7048A" w14:textId="77777777" w:rsidR="001A7CFD" w:rsidRPr="003470B1" w:rsidRDefault="03C73090" w:rsidP="001A7CFD">
      <w:pPr>
        <w:spacing w:line="480" w:lineRule="auto"/>
        <w:rPr>
          <w:color w:val="000000" w:themeColor="text1"/>
        </w:rPr>
      </w:pPr>
      <w:r w:rsidRPr="003470B1">
        <w:rPr>
          <w:color w:val="000000" w:themeColor="text1"/>
        </w:rPr>
        <w:t xml:space="preserve">Makowski, D., Lüdecke, D., Ben-Shachar, M. S., Kelley, K., &amp; Stanley, D. (2020). effectsize: </w:t>
      </w:r>
      <w:r w:rsidR="001A7CFD" w:rsidRPr="003470B1">
        <w:rPr>
          <w:color w:val="000000" w:themeColor="text1"/>
        </w:rPr>
        <w:tab/>
      </w:r>
      <w:r w:rsidRPr="003470B1">
        <w:rPr>
          <w:color w:val="000000" w:themeColor="text1"/>
        </w:rPr>
        <w:t>indices of effect size and standardized parameters.</w:t>
      </w:r>
    </w:p>
    <w:p w14:paraId="63BB399F"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Mazzone, L., Ducci, F., Scoto, M. C., Passaniti, E., D’Arrigo, V. G., &amp; Vitiello, B. (2007). The role of anxiety symptoms in school performance in a community sample of children and adolescents. </w:t>
      </w:r>
      <w:r w:rsidRPr="003470B1">
        <w:rPr>
          <w:i/>
          <w:iCs/>
          <w:noProof/>
          <w:color w:val="000000" w:themeColor="text1"/>
        </w:rPr>
        <w:t>BMC Public Health</w:t>
      </w:r>
      <w:r w:rsidRPr="003470B1">
        <w:rPr>
          <w:noProof/>
          <w:color w:val="000000" w:themeColor="text1"/>
        </w:rPr>
        <w:t xml:space="preserve">, </w:t>
      </w:r>
      <w:r w:rsidRPr="003470B1">
        <w:rPr>
          <w:i/>
          <w:iCs/>
          <w:noProof/>
          <w:color w:val="000000" w:themeColor="text1"/>
        </w:rPr>
        <w:t>7</w:t>
      </w:r>
      <w:r w:rsidRPr="003470B1">
        <w:rPr>
          <w:noProof/>
          <w:color w:val="000000" w:themeColor="text1"/>
        </w:rPr>
        <w:t>(1), 347. https://doi.org/10.1186/1471-2458-7-347</w:t>
      </w:r>
    </w:p>
    <w:p w14:paraId="7AA9180A"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Mendoza, J. J. (2016). </w:t>
      </w:r>
      <w:r w:rsidRPr="003470B1">
        <w:rPr>
          <w:i/>
          <w:iCs/>
          <w:noProof/>
          <w:color w:val="000000" w:themeColor="text1"/>
        </w:rPr>
        <w:t>The effectiveness of a modified acceptance and commitment therapy treatment module within a northern California high school</w:t>
      </w:r>
      <w:r w:rsidRPr="003470B1">
        <w:rPr>
          <w:noProof/>
          <w:color w:val="000000" w:themeColor="text1"/>
        </w:rPr>
        <w:t>. Wright Institute Graduate School of Psychology. https://doi.org/10.1093/cs/cdt010</w:t>
      </w:r>
    </w:p>
    <w:p w14:paraId="440C3C55"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Merikangas, K. R., He, J.-P., Burstein, M., Swanson, S. A., Avenevoli, S., Cui, L., … Swendsen, J. (2010). Lifetime prevalence of mental disorders in U.S. adolescents: Results from the National Comorbidity Survey Replication--Adolescent Supplement (NCS-A). </w:t>
      </w:r>
      <w:r w:rsidRPr="003470B1">
        <w:rPr>
          <w:i/>
          <w:iCs/>
          <w:noProof/>
          <w:color w:val="000000" w:themeColor="text1"/>
        </w:rPr>
        <w:t>Journal of the American Academy of Child and Adolescent Psychiatry</w:t>
      </w:r>
      <w:r w:rsidRPr="003470B1">
        <w:rPr>
          <w:noProof/>
          <w:color w:val="000000" w:themeColor="text1"/>
        </w:rPr>
        <w:t xml:space="preserve">, </w:t>
      </w:r>
      <w:r w:rsidRPr="003470B1">
        <w:rPr>
          <w:i/>
          <w:iCs/>
          <w:noProof/>
          <w:color w:val="000000" w:themeColor="text1"/>
        </w:rPr>
        <w:t>49</w:t>
      </w:r>
      <w:r w:rsidRPr="003470B1">
        <w:rPr>
          <w:noProof/>
          <w:color w:val="000000" w:themeColor="text1"/>
        </w:rPr>
        <w:t>(10), 980–989. https://doi.org/10.1016/j.jaac.2010.05.017</w:t>
      </w:r>
    </w:p>
    <w:p w14:paraId="697FCD98"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Phillips, G. A., Shadish, W. R., Murray, D. M., Kubik, M., Lytle, L. A., &amp; Birnbaum, A. S. (2006). The center for epidemiologic studies depression scale with a young adolescent population: A confirmatory factor analysis. </w:t>
      </w:r>
      <w:r w:rsidRPr="003470B1">
        <w:rPr>
          <w:i/>
          <w:iCs/>
          <w:noProof/>
          <w:color w:val="000000" w:themeColor="text1"/>
        </w:rPr>
        <w:t>Multivariate Behavioral Research</w:t>
      </w:r>
      <w:r w:rsidRPr="003470B1">
        <w:rPr>
          <w:noProof/>
          <w:color w:val="000000" w:themeColor="text1"/>
        </w:rPr>
        <w:t xml:space="preserve">, </w:t>
      </w:r>
      <w:r w:rsidRPr="003470B1">
        <w:rPr>
          <w:i/>
          <w:iCs/>
          <w:noProof/>
          <w:color w:val="000000" w:themeColor="text1"/>
        </w:rPr>
        <w:t>41</w:t>
      </w:r>
      <w:r w:rsidRPr="003470B1">
        <w:rPr>
          <w:noProof/>
          <w:color w:val="000000" w:themeColor="text1"/>
        </w:rPr>
        <w:t>(2), 147–163. https://doi.org/10.1207/s15327906mbr4102_3</w:t>
      </w:r>
    </w:p>
    <w:p w14:paraId="64D694C4" w14:textId="77777777" w:rsidR="00512784" w:rsidRPr="003470B1" w:rsidRDefault="03C73090" w:rsidP="00512784">
      <w:pPr>
        <w:pStyle w:val="EndNoteBibliography"/>
        <w:spacing w:line="480" w:lineRule="auto"/>
        <w:ind w:left="720" w:hanging="720"/>
        <w:rPr>
          <w:rFonts w:cs="Times New Roman"/>
          <w:noProof/>
          <w:color w:val="000000" w:themeColor="text1"/>
        </w:rPr>
      </w:pPr>
      <w:r w:rsidRPr="003470B1">
        <w:rPr>
          <w:rFonts w:cs="Times New Roman"/>
          <w:noProof/>
          <w:color w:val="000000" w:themeColor="text1"/>
        </w:rPr>
        <w:t xml:space="preserve">R Core Team. (2020). </w:t>
      </w:r>
      <w:r w:rsidRPr="003470B1">
        <w:rPr>
          <w:rFonts w:cs="Times New Roman"/>
          <w:i/>
          <w:iCs/>
          <w:noProof/>
          <w:color w:val="000000" w:themeColor="text1"/>
        </w:rPr>
        <w:t>R: A language and environment for statistical computing</w:t>
      </w:r>
      <w:r w:rsidRPr="003470B1">
        <w:rPr>
          <w:rFonts w:cs="Times New Roman"/>
          <w:noProof/>
          <w:color w:val="000000" w:themeColor="text1"/>
        </w:rPr>
        <w:t>. Vienna, Austria: R Foundation for Statistical Computing.</w:t>
      </w:r>
    </w:p>
    <w:p w14:paraId="6B31FFE6" w14:textId="0586E936" w:rsidR="009662DD" w:rsidRPr="003470B1" w:rsidRDefault="03C73090" w:rsidP="00577904">
      <w:pPr>
        <w:spacing w:line="480" w:lineRule="auto"/>
        <w:rPr>
          <w:color w:val="000000" w:themeColor="text1"/>
        </w:rPr>
      </w:pPr>
      <w:r w:rsidRPr="003470B1">
        <w:rPr>
          <w:noProof/>
          <w:color w:val="000000" w:themeColor="text1"/>
        </w:rPr>
        <w:lastRenderedPageBreak/>
        <w:t xml:space="preserve">Renshaw, T. L., &amp; Chenier, J. S. (2018). Screening for student subjective well-being: An analog </w:t>
      </w:r>
      <w:r w:rsidR="00577904" w:rsidRPr="003470B1">
        <w:rPr>
          <w:noProof/>
          <w:color w:val="000000" w:themeColor="text1"/>
        </w:rPr>
        <w:tab/>
      </w:r>
      <w:r w:rsidRPr="003470B1">
        <w:rPr>
          <w:noProof/>
          <w:color w:val="000000" w:themeColor="text1"/>
        </w:rPr>
        <w:t xml:space="preserve">evaluation of broad and targeted models, </w:t>
      </w:r>
      <w:r w:rsidRPr="003470B1">
        <w:rPr>
          <w:i/>
          <w:iCs/>
          <w:noProof/>
          <w:color w:val="000000" w:themeColor="text1"/>
        </w:rPr>
        <w:t xml:space="preserve">Journal of Psychoeducational </w:t>
      </w:r>
      <w:r w:rsidR="00577904" w:rsidRPr="003470B1">
        <w:rPr>
          <w:i/>
          <w:iCs/>
          <w:noProof/>
          <w:color w:val="000000" w:themeColor="text1"/>
        </w:rPr>
        <w:tab/>
      </w:r>
      <w:r w:rsidRPr="003470B1">
        <w:rPr>
          <w:i/>
          <w:iCs/>
          <w:noProof/>
          <w:color w:val="000000" w:themeColor="text1"/>
        </w:rPr>
        <w:t>Assessment</w:t>
      </w:r>
      <w:r w:rsidRPr="003470B1">
        <w:rPr>
          <w:noProof/>
          <w:color w:val="000000" w:themeColor="text1"/>
        </w:rPr>
        <w:t xml:space="preserve">,  </w:t>
      </w:r>
      <w:hyperlink r:id="rId12">
        <w:r w:rsidRPr="003470B1">
          <w:rPr>
            <w:rStyle w:val="Hyperlink"/>
            <w:noProof/>
            <w:color w:val="000000" w:themeColor="text1"/>
          </w:rPr>
          <w:t>https://doi.org/10.1177/0734282918795797</w:t>
        </w:r>
      </w:hyperlink>
      <w:r w:rsidR="00577904" w:rsidRPr="003470B1">
        <w:rPr>
          <w:rStyle w:val="Hyperlink"/>
          <w:noProof/>
          <w:color w:val="000000" w:themeColor="text1"/>
        </w:rPr>
        <w:br/>
      </w:r>
      <w:r w:rsidR="00577904" w:rsidRPr="003470B1">
        <w:rPr>
          <w:color w:val="000000" w:themeColor="text1"/>
          <w:shd w:val="clear" w:color="auto" w:fill="FFFFFF"/>
        </w:rPr>
        <w:t xml:space="preserve">Revelle, W. (2018). psych: Procedures for personality and psychological research (Version 1.8. </w:t>
      </w:r>
      <w:r w:rsidR="00577904" w:rsidRPr="003470B1">
        <w:rPr>
          <w:color w:val="000000" w:themeColor="text1"/>
          <w:shd w:val="clear" w:color="auto" w:fill="FFFFFF"/>
        </w:rPr>
        <w:tab/>
        <w:t>4). </w:t>
      </w:r>
      <w:r w:rsidR="00577904" w:rsidRPr="003470B1">
        <w:rPr>
          <w:i/>
          <w:iCs/>
          <w:color w:val="000000" w:themeColor="text1"/>
          <w:shd w:val="clear" w:color="auto" w:fill="FFFFFF"/>
        </w:rPr>
        <w:t>Evanston: Northwestern University</w:t>
      </w:r>
      <w:r w:rsidR="00577904" w:rsidRPr="003470B1">
        <w:rPr>
          <w:color w:val="000000" w:themeColor="text1"/>
          <w:shd w:val="clear" w:color="auto" w:fill="FFFFFF"/>
        </w:rPr>
        <w:t>.</w:t>
      </w:r>
    </w:p>
    <w:p w14:paraId="5BB314EE" w14:textId="77777777" w:rsidR="00512784" w:rsidRPr="003470B1" w:rsidRDefault="03C73090" w:rsidP="00512784">
      <w:pPr>
        <w:pStyle w:val="EndNoteBibliography"/>
        <w:spacing w:line="480" w:lineRule="auto"/>
        <w:ind w:left="720" w:hanging="720"/>
        <w:rPr>
          <w:rFonts w:cs="Times New Roman"/>
          <w:noProof/>
          <w:color w:val="000000" w:themeColor="text1"/>
        </w:rPr>
      </w:pPr>
      <w:r w:rsidRPr="003470B1">
        <w:rPr>
          <w:rFonts w:cs="Times New Roman"/>
          <w:noProof/>
          <w:color w:val="000000" w:themeColor="text1"/>
        </w:rPr>
        <w:t xml:space="preserve">RStudio Team (2020). RStudio: Integrated Development for R. RStudio, PBC, Boston, MA. </w:t>
      </w:r>
      <w:hyperlink r:id="rId13">
        <w:r w:rsidRPr="003470B1">
          <w:rPr>
            <w:rStyle w:val="Hyperlink"/>
            <w:rFonts w:cs="Times New Roman"/>
            <w:noProof/>
            <w:color w:val="000000" w:themeColor="text1"/>
          </w:rPr>
          <w:t>http://www.rstudio.com/</w:t>
        </w:r>
      </w:hyperlink>
      <w:r w:rsidRPr="003470B1">
        <w:rPr>
          <w:rFonts w:cs="Times New Roman"/>
          <w:noProof/>
          <w:color w:val="000000" w:themeColor="text1"/>
        </w:rPr>
        <w:t>.</w:t>
      </w:r>
    </w:p>
    <w:p w14:paraId="6EEC58DD" w14:textId="3CBBD02E" w:rsidR="009662DD" w:rsidRPr="003470B1" w:rsidRDefault="03C73090" w:rsidP="00C87117">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Seipp, B. (1991). Anxiety and academic performance: A meta-analysis of findings. </w:t>
      </w:r>
      <w:r w:rsidRPr="003470B1">
        <w:rPr>
          <w:i/>
          <w:iCs/>
          <w:noProof/>
          <w:color w:val="000000" w:themeColor="text1"/>
        </w:rPr>
        <w:t>Anxiety Research</w:t>
      </w:r>
      <w:r w:rsidRPr="003470B1">
        <w:rPr>
          <w:noProof/>
          <w:color w:val="000000" w:themeColor="text1"/>
        </w:rPr>
        <w:t xml:space="preserve">, </w:t>
      </w:r>
      <w:r w:rsidRPr="003470B1">
        <w:rPr>
          <w:i/>
          <w:iCs/>
          <w:noProof/>
          <w:color w:val="000000" w:themeColor="text1"/>
        </w:rPr>
        <w:t>4</w:t>
      </w:r>
      <w:r w:rsidRPr="003470B1">
        <w:rPr>
          <w:noProof/>
          <w:color w:val="000000" w:themeColor="text1"/>
        </w:rPr>
        <w:t>(1), 27–41. https://doi.org/10.1080/08917779108248762</w:t>
      </w:r>
    </w:p>
    <w:p w14:paraId="7C1A05A0" w14:textId="77777777" w:rsidR="003F1D75" w:rsidRPr="003470B1" w:rsidRDefault="03C73090" w:rsidP="003F1D75">
      <w:pPr>
        <w:widowControl w:val="0"/>
        <w:autoSpaceDE w:val="0"/>
        <w:autoSpaceDN w:val="0"/>
        <w:adjustRightInd w:val="0"/>
        <w:spacing w:line="480" w:lineRule="auto"/>
        <w:ind w:left="480" w:hanging="480"/>
        <w:rPr>
          <w:noProof/>
          <w:color w:val="000000" w:themeColor="text1"/>
        </w:rPr>
      </w:pPr>
      <w:r w:rsidRPr="003470B1">
        <w:rPr>
          <w:noProof/>
          <w:color w:val="000000" w:themeColor="text1"/>
        </w:rPr>
        <w:t>Smith, K. J., Oxman, L. N., &amp; Hayes, L. (2020). ACT for adolescents: Impact of a pilot group intervention on psychological wellbeing. </w:t>
      </w:r>
      <w:r w:rsidRPr="003470B1">
        <w:rPr>
          <w:i/>
          <w:iCs/>
          <w:noProof/>
          <w:color w:val="000000" w:themeColor="text1"/>
        </w:rPr>
        <w:t>Journal of Psychologists and Counsellors in Schools</w:t>
      </w:r>
      <w:r w:rsidRPr="003470B1">
        <w:rPr>
          <w:noProof/>
          <w:color w:val="000000" w:themeColor="text1"/>
        </w:rPr>
        <w:t>, </w:t>
      </w:r>
      <w:r w:rsidRPr="003470B1">
        <w:rPr>
          <w:i/>
          <w:iCs/>
          <w:noProof/>
          <w:color w:val="000000" w:themeColor="text1"/>
        </w:rPr>
        <w:t>30</w:t>
      </w:r>
      <w:r w:rsidRPr="003470B1">
        <w:rPr>
          <w:noProof/>
          <w:color w:val="000000" w:themeColor="text1"/>
        </w:rPr>
        <w:t>(2), 248-254.</w:t>
      </w:r>
    </w:p>
    <w:p w14:paraId="0D56C855"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Stephan, S. H., Weist, M., Kataoka, S., Adelsheim, S., &amp; Mills, C. (2007). Transformation of children’s mental health services: The role of school mental health. </w:t>
      </w:r>
      <w:r w:rsidRPr="003470B1">
        <w:rPr>
          <w:i/>
          <w:iCs/>
          <w:noProof/>
          <w:color w:val="000000" w:themeColor="text1"/>
        </w:rPr>
        <w:t>Psychiatric Services</w:t>
      </w:r>
      <w:r w:rsidRPr="003470B1">
        <w:rPr>
          <w:noProof/>
          <w:color w:val="000000" w:themeColor="text1"/>
        </w:rPr>
        <w:t xml:space="preserve">, </w:t>
      </w:r>
      <w:r w:rsidRPr="003470B1">
        <w:rPr>
          <w:i/>
          <w:iCs/>
          <w:noProof/>
          <w:color w:val="000000" w:themeColor="text1"/>
        </w:rPr>
        <w:t>58</w:t>
      </w:r>
      <w:r w:rsidRPr="003470B1">
        <w:rPr>
          <w:noProof/>
          <w:color w:val="000000" w:themeColor="text1"/>
        </w:rPr>
        <w:t>(10), 1330–1338. https://doi.org/10.1176/ps.2007.58.10.1330</w:t>
      </w:r>
    </w:p>
    <w:p w14:paraId="55502C6F"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Stockings, E., Degenhardt, L., Lee, Y. Y., Mihalopoulos, C., Liu, A., Hobbs, M., … Patton, G. (2014). Symptom screening scales for detecting major depressive disorder in children and adolescents: A systematic review and meta-analysis of reliability, validity and diagnostic utility. </w:t>
      </w:r>
      <w:r w:rsidRPr="003470B1">
        <w:rPr>
          <w:i/>
          <w:iCs/>
          <w:noProof/>
          <w:color w:val="000000" w:themeColor="text1"/>
        </w:rPr>
        <w:t>Journal of Affective Disorders</w:t>
      </w:r>
      <w:r w:rsidRPr="003470B1">
        <w:rPr>
          <w:noProof/>
          <w:color w:val="000000" w:themeColor="text1"/>
        </w:rPr>
        <w:t xml:space="preserve">, </w:t>
      </w:r>
      <w:r w:rsidRPr="003470B1">
        <w:rPr>
          <w:i/>
          <w:iCs/>
          <w:noProof/>
          <w:color w:val="000000" w:themeColor="text1"/>
        </w:rPr>
        <w:t>174</w:t>
      </w:r>
      <w:r w:rsidRPr="003470B1">
        <w:rPr>
          <w:noProof/>
          <w:color w:val="000000" w:themeColor="text1"/>
        </w:rPr>
        <w:t>, 447–463. https://doi.org/10.1016/j.jad.2014.11.061</w:t>
      </w:r>
    </w:p>
    <w:p w14:paraId="7FC58A11"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Swain, J., Hancock, K., Hainsworth, C., &amp; Bowman, J. (2013). Acceptance and commitment therapy in the treatment of anxiety: A systematic review. </w:t>
      </w:r>
      <w:r w:rsidRPr="003470B1">
        <w:rPr>
          <w:i/>
          <w:iCs/>
          <w:noProof/>
          <w:color w:val="000000" w:themeColor="text1"/>
        </w:rPr>
        <w:t>Clinical Psychology Review</w:t>
      </w:r>
      <w:r w:rsidRPr="003470B1">
        <w:rPr>
          <w:noProof/>
          <w:color w:val="000000" w:themeColor="text1"/>
        </w:rPr>
        <w:t xml:space="preserve">, </w:t>
      </w:r>
      <w:r w:rsidRPr="003470B1">
        <w:rPr>
          <w:i/>
          <w:iCs/>
          <w:noProof/>
          <w:color w:val="000000" w:themeColor="text1"/>
        </w:rPr>
        <w:t>33</w:t>
      </w:r>
      <w:r w:rsidRPr="003470B1">
        <w:rPr>
          <w:noProof/>
          <w:color w:val="000000" w:themeColor="text1"/>
        </w:rPr>
        <w:t>(8), 965–978. https://doi.org/10.1016/J.CPR.2013.07.002</w:t>
      </w:r>
    </w:p>
    <w:p w14:paraId="584EB605"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lastRenderedPageBreak/>
        <w:t xml:space="preserve">Tan, L. B. G., &amp; Martin, G. (2016). Mind full or mindful: A report on mindfulness and psychological health in healthy adolescents. </w:t>
      </w:r>
      <w:r w:rsidRPr="003470B1">
        <w:rPr>
          <w:i/>
          <w:iCs/>
          <w:noProof/>
          <w:color w:val="000000" w:themeColor="text1"/>
        </w:rPr>
        <w:t>International Journal of Adolescence and Youth</w:t>
      </w:r>
      <w:r w:rsidRPr="003470B1">
        <w:rPr>
          <w:noProof/>
          <w:color w:val="000000" w:themeColor="text1"/>
        </w:rPr>
        <w:t xml:space="preserve">, </w:t>
      </w:r>
      <w:r w:rsidRPr="003470B1">
        <w:rPr>
          <w:i/>
          <w:iCs/>
          <w:noProof/>
          <w:color w:val="000000" w:themeColor="text1"/>
        </w:rPr>
        <w:t>21</w:t>
      </w:r>
      <w:r w:rsidRPr="003470B1">
        <w:rPr>
          <w:noProof/>
          <w:color w:val="000000" w:themeColor="text1"/>
        </w:rPr>
        <w:t>(1), 64–75. https://doi.org/10.1080/02673843.2012.709174</w:t>
      </w:r>
    </w:p>
    <w:p w14:paraId="5EA9C3CB"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Twohig, M. P., &amp; Levin, M. P. (2017). Acceptance and commitment therapy as a treatment for anxiety and depression: A review. </w:t>
      </w:r>
      <w:r w:rsidRPr="003470B1">
        <w:rPr>
          <w:i/>
          <w:iCs/>
          <w:noProof/>
          <w:color w:val="000000" w:themeColor="text1"/>
        </w:rPr>
        <w:t>Psychiatric Clinics</w:t>
      </w:r>
      <w:r w:rsidRPr="003470B1">
        <w:rPr>
          <w:noProof/>
          <w:color w:val="000000" w:themeColor="text1"/>
        </w:rPr>
        <w:t xml:space="preserve">, </w:t>
      </w:r>
      <w:r w:rsidRPr="003470B1">
        <w:rPr>
          <w:i/>
          <w:iCs/>
          <w:noProof/>
          <w:color w:val="000000" w:themeColor="text1"/>
        </w:rPr>
        <w:t>40</w:t>
      </w:r>
      <w:r w:rsidRPr="003470B1">
        <w:rPr>
          <w:noProof/>
          <w:color w:val="000000" w:themeColor="text1"/>
        </w:rPr>
        <w:t>(4), 751–770.</w:t>
      </w:r>
    </w:p>
    <w:p w14:paraId="6C9020A1" w14:textId="77777777" w:rsidR="009662DD" w:rsidRPr="003470B1" w:rsidRDefault="03C73090" w:rsidP="009662DD">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Wehry, A. M., Beesdo-Baum, K., Hennelly, M. M., Connolly, S. D., &amp; Strawn, J. R. (2015). Assessment and treatment of anxiety disorders in children and adolescents. </w:t>
      </w:r>
      <w:r w:rsidRPr="003470B1">
        <w:rPr>
          <w:i/>
          <w:iCs/>
          <w:noProof/>
          <w:color w:val="000000" w:themeColor="text1"/>
        </w:rPr>
        <w:t>Current Psychiatry Reports</w:t>
      </w:r>
      <w:r w:rsidRPr="003470B1">
        <w:rPr>
          <w:noProof/>
          <w:color w:val="000000" w:themeColor="text1"/>
        </w:rPr>
        <w:t xml:space="preserve">, </w:t>
      </w:r>
      <w:r w:rsidRPr="003470B1">
        <w:rPr>
          <w:i/>
          <w:iCs/>
          <w:noProof/>
          <w:color w:val="000000" w:themeColor="text1"/>
        </w:rPr>
        <w:t>17</w:t>
      </w:r>
      <w:r w:rsidRPr="003470B1">
        <w:rPr>
          <w:noProof/>
          <w:color w:val="000000" w:themeColor="text1"/>
        </w:rPr>
        <w:t>(7), 52. https://doi.org/10.1007/s11920-015-0591-z</w:t>
      </w:r>
    </w:p>
    <w:p w14:paraId="3A0DEE6F" w14:textId="0ADF753A" w:rsidR="00187793" w:rsidRPr="003470B1" w:rsidRDefault="03C73090" w:rsidP="002A7D5C">
      <w:pPr>
        <w:widowControl w:val="0"/>
        <w:autoSpaceDE w:val="0"/>
        <w:autoSpaceDN w:val="0"/>
        <w:adjustRightInd w:val="0"/>
        <w:spacing w:line="480" w:lineRule="auto"/>
        <w:ind w:left="480" w:hanging="480"/>
        <w:rPr>
          <w:noProof/>
          <w:color w:val="000000" w:themeColor="text1"/>
        </w:rPr>
      </w:pPr>
      <w:r w:rsidRPr="003470B1">
        <w:rPr>
          <w:noProof/>
          <w:color w:val="000000" w:themeColor="text1"/>
        </w:rPr>
        <w:t xml:space="preserve">Weissman, A. S., Antinoro, D., &amp; Chu, B. C. (2008). Cognitive-behavioral therapy for anxious youth in school settings: Advances and challenges. In M. Mayer, R. Van Acker, J. E. Lochan, &amp; F. M. Gresham (Eds.), </w:t>
      </w:r>
      <w:r w:rsidRPr="003470B1">
        <w:rPr>
          <w:i/>
          <w:iCs/>
          <w:noProof/>
          <w:color w:val="000000" w:themeColor="text1"/>
        </w:rPr>
        <w:t>Cognitive behavioral interventions for students with emotional/behavioral disorders</w:t>
      </w:r>
      <w:r w:rsidRPr="003470B1">
        <w:rPr>
          <w:noProof/>
          <w:color w:val="000000" w:themeColor="text1"/>
        </w:rPr>
        <w:t xml:space="preserve"> (pp. 173–203). Guilford.</w:t>
      </w:r>
      <w:r w:rsidR="00187793" w:rsidRPr="003470B1">
        <w:rPr>
          <w:noProof/>
          <w:color w:val="000000" w:themeColor="text1"/>
        </w:rPr>
        <w:br w:type="page"/>
      </w:r>
    </w:p>
    <w:p w14:paraId="2922D61B" w14:textId="77777777" w:rsidR="00187793" w:rsidRPr="00B47118" w:rsidRDefault="00187793" w:rsidP="00187793">
      <w:r w:rsidRPr="00B47118">
        <w:lastRenderedPageBreak/>
        <w:t>Figure 1</w:t>
      </w:r>
    </w:p>
    <w:p w14:paraId="387C9988" w14:textId="77777777" w:rsidR="00187793" w:rsidRPr="00B47118" w:rsidRDefault="00187793" w:rsidP="00187793"/>
    <w:p w14:paraId="1F1ADA70" w14:textId="77777777" w:rsidR="00187793" w:rsidRPr="00B47118" w:rsidRDefault="00187793" w:rsidP="00187793">
      <w:pPr>
        <w:rPr>
          <w:i/>
          <w:iCs/>
        </w:rPr>
      </w:pPr>
      <w:r w:rsidRPr="00B47118">
        <w:rPr>
          <w:i/>
          <w:iCs/>
        </w:rPr>
        <w:t>CONSORT diagram for participant flow in the full sample.</w:t>
      </w:r>
    </w:p>
    <w:p w14:paraId="643AC0F8" w14:textId="77777777" w:rsidR="00187793" w:rsidRDefault="00187793" w:rsidP="00187793">
      <w:r w:rsidRPr="00D66BA9">
        <w:rPr>
          <w:i/>
          <w:noProof/>
        </w:rPr>
        <mc:AlternateContent>
          <mc:Choice Requires="wps">
            <w:drawing>
              <wp:anchor distT="36576" distB="36576" distL="36576" distR="36576" simplePos="0" relativeHeight="251662336" behindDoc="0" locked="0" layoutInCell="1" allowOverlap="1" wp14:anchorId="63D41550" wp14:editId="5A428E9A">
                <wp:simplePos x="0" y="0"/>
                <wp:positionH relativeFrom="column">
                  <wp:posOffset>3161665</wp:posOffset>
                </wp:positionH>
                <wp:positionV relativeFrom="paragraph">
                  <wp:posOffset>1562735</wp:posOffset>
                </wp:positionV>
                <wp:extent cx="656590" cy="635"/>
                <wp:effectExtent l="0" t="63500" r="0" b="7556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00749C" id="_x0000_t32" coordsize="21600,21600" o:spt="32" o:oned="t" path="m,l21600,21600e" filled="f">
                <v:path arrowok="t" fillok="f" o:connecttype="none"/>
                <o:lock v:ext="edit" shapetype="t"/>
              </v:shapetype>
              <v:shape id="AutoShape 42" o:spid="_x0000_s1026" type="#_x0000_t32" style="position:absolute;margin-left:248.95pt;margin-top:123.05pt;width:51.7pt;height:.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">
                <v:stroke endarrow="block"/>
                <v:shadow color="#ccc"/>
                <o:lock v:ext="edit" shapetype="f"/>
              </v:shape>
            </w:pict>
          </mc:Fallback>
        </mc:AlternateContent>
      </w:r>
      <w:r w:rsidRPr="00D66BA9">
        <w:rPr>
          <w:i/>
          <w:noProof/>
        </w:rPr>
        <mc:AlternateContent>
          <mc:Choice Requires="wps">
            <w:drawing>
              <wp:anchor distT="0" distB="0" distL="114300" distR="114300" simplePos="0" relativeHeight="251659264" behindDoc="0" locked="0" layoutInCell="1" allowOverlap="1" wp14:anchorId="4665A367" wp14:editId="443A911E">
                <wp:simplePos x="0" y="0"/>
                <wp:positionH relativeFrom="column">
                  <wp:posOffset>2171700</wp:posOffset>
                </wp:positionH>
                <wp:positionV relativeFrom="paragraph">
                  <wp:posOffset>293370</wp:posOffset>
                </wp:positionV>
                <wp:extent cx="2000250" cy="533400"/>
                <wp:effectExtent l="0" t="0" r="190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533400"/>
                        </a:xfrm>
                        <a:prstGeom prst="rect">
                          <a:avLst/>
                        </a:prstGeom>
                        <a:solidFill>
                          <a:srgbClr val="FFFFFF"/>
                        </a:solidFill>
                        <a:ln w="9525">
                          <a:solidFill>
                            <a:srgbClr val="000000"/>
                          </a:solidFill>
                          <a:miter lim="800000"/>
                          <a:headEnd/>
                          <a:tailEnd/>
                        </a:ln>
                      </wps:spPr>
                      <wps:txbx>
                        <w:txbxContent>
                          <w:p w14:paraId="477C7A08" w14:textId="77777777" w:rsidR="00187793" w:rsidRPr="00E97625" w:rsidRDefault="00187793" w:rsidP="00187793">
                            <w:pPr>
                              <w:jc w:val="center"/>
                            </w:pPr>
                            <w:r>
                              <w:rPr>
                                <w:lang w:val="en-CA"/>
                              </w:rPr>
                              <w:t>Assessed for eligibility via Qualtrics screener (n=29)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A367" id="Rectangle 23" o:spid="_x0000_s1026" style="position:absolute;margin-left:171pt;margin-top:23.1pt;width:15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">
                <v:path arrowok="t"/>
                <v:textbox inset=",7.2pt,,7.2pt">
                  <w:txbxContent>
                    <w:p w14:paraId="477C7A08" w14:textId="77777777" w:rsidR="00187793" w:rsidRPr="00E97625" w:rsidRDefault="00187793" w:rsidP="00187793">
                      <w:pPr>
                        <w:jc w:val="center"/>
                      </w:pPr>
                      <w:r>
                        <w:rPr>
                          <w:lang w:val="en-CA"/>
                        </w:rPr>
                        <w:t>Assessed for eligibility via Qualtrics screener (n=29)</w:t>
                      </w:r>
                    </w:p>
                  </w:txbxContent>
                </v:textbox>
              </v:rect>
            </w:pict>
          </mc:Fallback>
        </mc:AlternateContent>
      </w:r>
    </w:p>
    <w:p w14:paraId="3D09D278" w14:textId="77777777" w:rsidR="00187793" w:rsidRDefault="00187793" w:rsidP="00187793"/>
    <w:p w14:paraId="3CDC2068" w14:textId="77777777" w:rsidR="00187793" w:rsidRDefault="00187793" w:rsidP="00187793">
      <w:r w:rsidRPr="00D66BA9">
        <w:rPr>
          <w:i/>
          <w:noProof/>
        </w:rPr>
        <mc:AlternateContent>
          <mc:Choice Requires="wps">
            <w:drawing>
              <wp:anchor distT="0" distB="0" distL="114300" distR="114300" simplePos="0" relativeHeight="251660288" behindDoc="0" locked="0" layoutInCell="1" allowOverlap="1" wp14:anchorId="15DDF88E" wp14:editId="7F950C17">
                <wp:simplePos x="0" y="0"/>
                <wp:positionH relativeFrom="column">
                  <wp:posOffset>3811270</wp:posOffset>
                </wp:positionH>
                <wp:positionV relativeFrom="paragraph">
                  <wp:posOffset>1005384</wp:posOffset>
                </wp:positionV>
                <wp:extent cx="2457450" cy="412124"/>
                <wp:effectExtent l="0" t="0" r="19050" b="698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412124"/>
                        </a:xfrm>
                        <a:prstGeom prst="rect">
                          <a:avLst/>
                        </a:prstGeom>
                        <a:solidFill>
                          <a:srgbClr val="FFFFFF"/>
                        </a:solidFill>
                        <a:ln w="9525">
                          <a:solidFill>
                            <a:srgbClr val="000000"/>
                          </a:solidFill>
                          <a:miter lim="800000"/>
                          <a:headEnd/>
                          <a:tailEnd/>
                        </a:ln>
                      </wps:spPr>
                      <wps:txbx>
                        <w:txbxContent>
                          <w:p w14:paraId="0D62686A" w14:textId="77777777" w:rsidR="00187793" w:rsidRPr="00E97625" w:rsidRDefault="00187793" w:rsidP="00187793">
                            <w:pPr>
                              <w:rPr>
                                <w:rFonts w:ascii="Arial" w:hAnsi="Arial" w:cs="Arial"/>
                              </w:rPr>
                            </w:pPr>
                            <w:r>
                              <w:t>Anxiety below clinical cutoff (n=3)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F88E" id="Rectangle 24" o:spid="_x0000_s1027" style="position:absolute;margin-left:300.1pt;margin-top:79.15pt;width:193.5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">
                <v:path arrowok="t"/>
                <v:textbox inset=",7.2pt,,7.2pt">
                  <w:txbxContent>
                    <w:p w14:paraId="0D62686A" w14:textId="77777777" w:rsidR="00187793" w:rsidRPr="00E97625" w:rsidRDefault="00187793" w:rsidP="00187793">
                      <w:pPr>
                        <w:rPr>
                          <w:rFonts w:ascii="Arial" w:hAnsi="Arial" w:cs="Arial"/>
                        </w:rPr>
                      </w:pPr>
                      <w:r>
                        <w:t>Anxiety below clinical cutoff (n=3)</w:t>
                      </w:r>
                    </w:p>
                  </w:txbxContent>
                </v:textbox>
              </v:rect>
            </w:pict>
          </mc:Fallback>
        </mc:AlternateContent>
      </w:r>
      <w:r>
        <w:rPr>
          <w:i/>
          <w:noProof/>
        </w:rPr>
        <mc:AlternateContent>
          <mc:Choice Requires="wps">
            <w:drawing>
              <wp:anchor distT="0" distB="0" distL="114300" distR="114300" simplePos="0" relativeHeight="251677696" behindDoc="0" locked="0" layoutInCell="1" allowOverlap="1" wp14:anchorId="13FDCA84" wp14:editId="0A4EDCAF">
                <wp:simplePos x="0" y="0"/>
                <wp:positionH relativeFrom="column">
                  <wp:posOffset>3155324</wp:posOffset>
                </wp:positionH>
                <wp:positionV relativeFrom="paragraph">
                  <wp:posOffset>470553</wp:posOffset>
                </wp:positionV>
                <wp:extent cx="12879" cy="1797676"/>
                <wp:effectExtent l="50800" t="0" r="38100" b="31750"/>
                <wp:wrapNone/>
                <wp:docPr id="16" name="Straight Arrow Connector 16"/>
                <wp:cNvGraphicFramePr/>
                <a:graphic xmlns:a="http://schemas.openxmlformats.org/drawingml/2006/main">
                  <a:graphicData uri="http://schemas.microsoft.com/office/word/2010/wordprocessingShape">
                    <wps:wsp>
                      <wps:cNvCnPr/>
                      <wps:spPr>
                        <a:xfrm>
                          <a:off x="0" y="0"/>
                          <a:ext cx="12879" cy="17976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FAE47B" id="Straight Arrow Connector 16" o:spid="_x0000_s1026" type="#_x0000_t32" style="position:absolute;margin-left:248.45pt;margin-top:37.05pt;width:1pt;height:141.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" strokecolor="black [3200]" strokeweight=".5pt">
                <v:stroke endarrow="block" joinstyle="miter"/>
              </v:shape>
            </w:pict>
          </mc:Fallback>
        </mc:AlternateContent>
      </w:r>
      <w:r w:rsidRPr="00D66BA9">
        <w:rPr>
          <w:i/>
          <w:noProof/>
        </w:rPr>
        <mc:AlternateContent>
          <mc:Choice Requires="wps">
            <w:drawing>
              <wp:anchor distT="0" distB="0" distL="114300" distR="114300" simplePos="0" relativeHeight="251663360" behindDoc="0" locked="0" layoutInCell="1" allowOverlap="1" wp14:anchorId="0E74D7EE" wp14:editId="338C7B56">
                <wp:simplePos x="0" y="0"/>
                <wp:positionH relativeFrom="column">
                  <wp:posOffset>443230</wp:posOffset>
                </wp:positionH>
                <wp:positionV relativeFrom="paragraph">
                  <wp:posOffset>4027349</wp:posOffset>
                </wp:positionV>
                <wp:extent cx="2099310" cy="536575"/>
                <wp:effectExtent l="0" t="0" r="8890" b="952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536575"/>
                        </a:xfrm>
                        <a:prstGeom prst="rect">
                          <a:avLst/>
                        </a:prstGeom>
                        <a:solidFill>
                          <a:srgbClr val="FFFFFF"/>
                        </a:solidFill>
                        <a:ln w="9525">
                          <a:solidFill>
                            <a:srgbClr val="000000"/>
                          </a:solidFill>
                          <a:miter lim="800000"/>
                          <a:headEnd/>
                          <a:tailEnd/>
                        </a:ln>
                      </wps:spPr>
                      <wps:txbx>
                        <w:txbxContent>
                          <w:p w14:paraId="134C6661" w14:textId="77777777" w:rsidR="00187793" w:rsidRDefault="00187793" w:rsidP="00187793">
                            <w:pPr>
                              <w:jc w:val="center"/>
                              <w:rPr>
                                <w:lang w:val="en-CA"/>
                              </w:rPr>
                            </w:pPr>
                            <w:r w:rsidRPr="00E97625">
                              <w:rPr>
                                <w:lang w:val="en-CA"/>
                              </w:rPr>
                              <w:t>Post</w:t>
                            </w:r>
                            <w:r>
                              <w:rPr>
                                <w:lang w:val="en-CA"/>
                              </w:rPr>
                              <w:t>-treatment</w:t>
                            </w:r>
                            <w:r w:rsidRPr="00E97625">
                              <w:rPr>
                                <w:lang w:val="en-CA"/>
                              </w:rPr>
                              <w:t xml:space="preserve"> assessment</w:t>
                            </w:r>
                            <w:r>
                              <w:rPr>
                                <w:lang w:val="en-CA"/>
                              </w:rPr>
                              <w:t xml:space="preserve"> </w:t>
                            </w:r>
                            <w:r w:rsidRPr="00E97625">
                              <w:rPr>
                                <w:lang w:val="en-CA"/>
                              </w:rPr>
                              <w:t>(n=</w:t>
                            </w:r>
                            <w:r>
                              <w:rPr>
                                <w:lang w:val="en-CA"/>
                              </w:rPr>
                              <w:t>12</w:t>
                            </w:r>
                            <w:r w:rsidRPr="00E97625">
                              <w:rPr>
                                <w:lang w:val="en-CA"/>
                              </w:rPr>
                              <w:t>)</w:t>
                            </w:r>
                          </w:p>
                          <w:p w14:paraId="75004FBB" w14:textId="77777777" w:rsidR="00187793" w:rsidRPr="00E97625" w:rsidRDefault="00187793" w:rsidP="00187793">
                            <w:pP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4D7EE" id="Rectangle 27" o:spid="_x0000_s1028" style="position:absolute;margin-left:34.9pt;margin-top:317.1pt;width:165.3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">
                <v:path arrowok="t"/>
                <v:textbox inset=",7.2pt,,7.2pt">
                  <w:txbxContent>
                    <w:p w14:paraId="134C6661" w14:textId="77777777" w:rsidR="00187793" w:rsidRDefault="00187793" w:rsidP="00187793">
                      <w:pPr>
                        <w:jc w:val="center"/>
                        <w:rPr>
                          <w:lang w:val="en-CA"/>
                        </w:rPr>
                      </w:pPr>
                      <w:r w:rsidRPr="00E97625">
                        <w:rPr>
                          <w:lang w:val="en-CA"/>
                        </w:rPr>
                        <w:t>Post</w:t>
                      </w:r>
                      <w:r>
                        <w:rPr>
                          <w:lang w:val="en-CA"/>
                        </w:rPr>
                        <w:t>-treatment</w:t>
                      </w:r>
                      <w:r w:rsidRPr="00E97625">
                        <w:rPr>
                          <w:lang w:val="en-CA"/>
                        </w:rPr>
                        <w:t xml:space="preserve"> assessment</w:t>
                      </w:r>
                      <w:r>
                        <w:rPr>
                          <w:lang w:val="en-CA"/>
                        </w:rPr>
                        <w:t xml:space="preserve"> </w:t>
                      </w:r>
                      <w:r w:rsidRPr="00E97625">
                        <w:rPr>
                          <w:lang w:val="en-CA"/>
                        </w:rPr>
                        <w:t>(n=</w:t>
                      </w:r>
                      <w:r>
                        <w:rPr>
                          <w:lang w:val="en-CA"/>
                        </w:rPr>
                        <w:t>12</w:t>
                      </w:r>
                      <w:r w:rsidRPr="00E97625">
                        <w:rPr>
                          <w:lang w:val="en-CA"/>
                        </w:rPr>
                        <w:t>)</w:t>
                      </w:r>
                    </w:p>
                    <w:p w14:paraId="75004FBB" w14:textId="77777777" w:rsidR="00187793" w:rsidRPr="00E97625" w:rsidRDefault="00187793" w:rsidP="00187793">
                      <w:pPr>
                        <w:rPr>
                          <w:lang w:val="en-CA"/>
                        </w:rPr>
                      </w:pPr>
                    </w:p>
                  </w:txbxContent>
                </v:textbox>
              </v:rect>
            </w:pict>
          </mc:Fallback>
        </mc:AlternateContent>
      </w:r>
      <w:r>
        <w:rPr>
          <w:i/>
          <w:noProof/>
        </w:rPr>
        <mc:AlternateContent>
          <mc:Choice Requires="wps">
            <w:drawing>
              <wp:anchor distT="0" distB="0" distL="114300" distR="114300" simplePos="0" relativeHeight="251669504" behindDoc="0" locked="0" layoutInCell="1" allowOverlap="1" wp14:anchorId="2F645CB9" wp14:editId="3845EDD0">
                <wp:simplePos x="0" y="0"/>
                <wp:positionH relativeFrom="column">
                  <wp:posOffset>1498600</wp:posOffset>
                </wp:positionH>
                <wp:positionV relativeFrom="paragraph">
                  <wp:posOffset>2819927</wp:posOffset>
                </wp:positionV>
                <wp:extent cx="0" cy="139700"/>
                <wp:effectExtent l="63500" t="0" r="38100" b="38100"/>
                <wp:wrapNone/>
                <wp:docPr id="28" name="Straight Arrow Connector 28"/>
                <wp:cNvGraphicFramePr/>
                <a:graphic xmlns:a="http://schemas.openxmlformats.org/drawingml/2006/main">
                  <a:graphicData uri="http://schemas.microsoft.com/office/word/2010/wordprocessingShape">
                    <wps:wsp>
                      <wps:cNvCnPr/>
                      <wps:spPr>
                        <a:xfrm>
                          <a:off x="0" y="0"/>
                          <a:ext cx="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54DEC" id="Straight Arrow Connector 28" o:spid="_x0000_s1026" type="#_x0000_t32" style="position:absolute;margin-left:118pt;margin-top:222.05pt;width:0;height:1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" strokecolor="black [3213]" strokeweight=".5pt">
                <v:stroke endarrow="block" joinstyle="miter"/>
              </v:shape>
            </w:pict>
          </mc:Fallback>
        </mc:AlternateContent>
      </w:r>
      <w:r>
        <w:rPr>
          <w:i/>
          <w:noProof/>
        </w:rPr>
        <mc:AlternateContent>
          <mc:Choice Requires="wps">
            <w:drawing>
              <wp:anchor distT="0" distB="0" distL="114300" distR="114300" simplePos="0" relativeHeight="251670528" behindDoc="0" locked="0" layoutInCell="1" allowOverlap="1" wp14:anchorId="6DC11EC6" wp14:editId="24C68672">
                <wp:simplePos x="0" y="0"/>
                <wp:positionH relativeFrom="column">
                  <wp:posOffset>4572000</wp:posOffset>
                </wp:positionH>
                <wp:positionV relativeFrom="paragraph">
                  <wp:posOffset>2827118</wp:posOffset>
                </wp:positionV>
                <wp:extent cx="0" cy="139700"/>
                <wp:effectExtent l="63500" t="0" r="38100" b="38100"/>
                <wp:wrapNone/>
                <wp:docPr id="30" name="Straight Arrow Connector 30"/>
                <wp:cNvGraphicFramePr/>
                <a:graphic xmlns:a="http://schemas.openxmlformats.org/drawingml/2006/main">
                  <a:graphicData uri="http://schemas.microsoft.com/office/word/2010/wordprocessingShape">
                    <wps:wsp>
                      <wps:cNvCnPr/>
                      <wps:spPr>
                        <a:xfrm>
                          <a:off x="0" y="0"/>
                          <a:ext cx="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6E6FD" id="Straight Arrow Connector 30" o:spid="_x0000_s1026" type="#_x0000_t32" style="position:absolute;margin-left:5in;margin-top:222.6pt;width:0;height:1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" strokecolor="black [3213]" strokeweight=".5pt">
                <v:stroke endarrow="block" joinstyle="miter"/>
              </v:shape>
            </w:pict>
          </mc:Fallback>
        </mc:AlternateContent>
      </w:r>
      <w:r>
        <w:rPr>
          <w:i/>
          <w:noProof/>
        </w:rPr>
        <mc:AlternateContent>
          <mc:Choice Requires="wps">
            <w:drawing>
              <wp:anchor distT="0" distB="0" distL="114300" distR="114300" simplePos="0" relativeHeight="251667456" behindDoc="0" locked="0" layoutInCell="1" allowOverlap="1" wp14:anchorId="6F208845" wp14:editId="4E18BC7F">
                <wp:simplePos x="0" y="0"/>
                <wp:positionH relativeFrom="column">
                  <wp:posOffset>3166745</wp:posOffset>
                </wp:positionH>
                <wp:positionV relativeFrom="paragraph">
                  <wp:posOffset>2634544</wp:posOffset>
                </wp:positionV>
                <wp:extent cx="0" cy="187960"/>
                <wp:effectExtent l="0" t="0" r="12700" b="15240"/>
                <wp:wrapNone/>
                <wp:docPr id="24" name="Straight Connector 24"/>
                <wp:cNvGraphicFramePr/>
                <a:graphic xmlns:a="http://schemas.openxmlformats.org/drawingml/2006/main">
                  <a:graphicData uri="http://schemas.microsoft.com/office/word/2010/wordprocessingShape">
                    <wps:wsp>
                      <wps:cNvCnPr/>
                      <wps:spPr>
                        <a:xfrm>
                          <a:off x="0" y="0"/>
                          <a:ext cx="0" cy="187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73F7F2" id="Straight Connector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9.35pt,207.45pt" to="249.35pt,22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" strokecolor="black [3200]" strokeweight=".5pt">
                <v:stroke joinstyle="miter"/>
              </v:line>
            </w:pict>
          </mc:Fallback>
        </mc:AlternateContent>
      </w:r>
      <w:r w:rsidRPr="00F0061E">
        <w:rPr>
          <w:noProof/>
        </w:rPr>
        <mc:AlternateContent>
          <mc:Choice Requires="wps">
            <w:drawing>
              <wp:anchor distT="0" distB="0" distL="114300" distR="114300" simplePos="0" relativeHeight="251671552" behindDoc="0" locked="0" layoutInCell="1" allowOverlap="1" wp14:anchorId="260430AD" wp14:editId="09CC1CD7">
                <wp:simplePos x="0" y="0"/>
                <wp:positionH relativeFrom="column">
                  <wp:posOffset>3608070</wp:posOffset>
                </wp:positionH>
                <wp:positionV relativeFrom="paragraph">
                  <wp:posOffset>4020820</wp:posOffset>
                </wp:positionV>
                <wp:extent cx="2099310" cy="536575"/>
                <wp:effectExtent l="0" t="0" r="8890" b="952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536575"/>
                        </a:xfrm>
                        <a:prstGeom prst="rect">
                          <a:avLst/>
                        </a:prstGeom>
                        <a:solidFill>
                          <a:srgbClr val="FFFFFF"/>
                        </a:solidFill>
                        <a:ln w="9525">
                          <a:solidFill>
                            <a:srgbClr val="000000"/>
                          </a:solidFill>
                          <a:miter lim="800000"/>
                          <a:headEnd/>
                          <a:tailEnd/>
                        </a:ln>
                      </wps:spPr>
                      <wps:txbx>
                        <w:txbxContent>
                          <w:p w14:paraId="27FFB77D" w14:textId="77777777" w:rsidR="00187793" w:rsidRDefault="00187793" w:rsidP="00187793">
                            <w:pPr>
                              <w:jc w:val="center"/>
                              <w:rPr>
                                <w:lang w:val="en-CA"/>
                              </w:rPr>
                            </w:pPr>
                            <w:r w:rsidRPr="00E97625">
                              <w:rPr>
                                <w:lang w:val="en-CA"/>
                              </w:rPr>
                              <w:t>Post</w:t>
                            </w:r>
                            <w:r>
                              <w:rPr>
                                <w:lang w:val="en-CA"/>
                              </w:rPr>
                              <w:t>-treatment</w:t>
                            </w:r>
                            <w:r w:rsidRPr="00E97625">
                              <w:rPr>
                                <w:lang w:val="en-CA"/>
                              </w:rPr>
                              <w:t xml:space="preserve"> assessment (n=</w:t>
                            </w:r>
                            <w:r>
                              <w:rPr>
                                <w:lang w:val="en-CA"/>
                              </w:rPr>
                              <w:t>9</w:t>
                            </w:r>
                            <w:r w:rsidRPr="00E97625">
                              <w:rPr>
                                <w:lang w:val="en-CA"/>
                              </w:rPr>
                              <w:t>)</w:t>
                            </w:r>
                          </w:p>
                          <w:p w14:paraId="182F084F" w14:textId="77777777" w:rsidR="00187793" w:rsidRPr="00E97625" w:rsidRDefault="00187793" w:rsidP="00187793">
                            <w:pPr>
                              <w:jc w:val="cente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30AD" id="_x0000_s1029" style="position:absolute;margin-left:284.1pt;margin-top:316.6pt;width:165.3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">
                <v:path arrowok="t"/>
                <v:textbox inset=",7.2pt,,7.2pt">
                  <w:txbxContent>
                    <w:p w14:paraId="27FFB77D" w14:textId="77777777" w:rsidR="00187793" w:rsidRDefault="00187793" w:rsidP="00187793">
                      <w:pPr>
                        <w:jc w:val="center"/>
                        <w:rPr>
                          <w:lang w:val="en-CA"/>
                        </w:rPr>
                      </w:pPr>
                      <w:r w:rsidRPr="00E97625">
                        <w:rPr>
                          <w:lang w:val="en-CA"/>
                        </w:rPr>
                        <w:t>Post</w:t>
                      </w:r>
                      <w:r>
                        <w:rPr>
                          <w:lang w:val="en-CA"/>
                        </w:rPr>
                        <w:t>-treatment</w:t>
                      </w:r>
                      <w:r w:rsidRPr="00E97625">
                        <w:rPr>
                          <w:lang w:val="en-CA"/>
                        </w:rPr>
                        <w:t xml:space="preserve"> assessment (n=</w:t>
                      </w:r>
                      <w:r>
                        <w:rPr>
                          <w:lang w:val="en-CA"/>
                        </w:rPr>
                        <w:t>9</w:t>
                      </w:r>
                      <w:r w:rsidRPr="00E97625">
                        <w:rPr>
                          <w:lang w:val="en-CA"/>
                        </w:rPr>
                        <w:t>)</w:t>
                      </w:r>
                    </w:p>
                    <w:p w14:paraId="182F084F" w14:textId="77777777" w:rsidR="00187793" w:rsidRPr="00E97625" w:rsidRDefault="00187793" w:rsidP="00187793">
                      <w:pPr>
                        <w:jc w:val="center"/>
                        <w:rPr>
                          <w:lang w:val="en-CA"/>
                        </w:rPr>
                      </w:pPr>
                    </w:p>
                  </w:txbxContent>
                </v:textbox>
              </v:rect>
            </w:pict>
          </mc:Fallback>
        </mc:AlternateContent>
      </w:r>
      <w:r w:rsidRPr="00F0061E">
        <w:rPr>
          <w:noProof/>
        </w:rPr>
        <mc:AlternateContent>
          <mc:Choice Requires="wps">
            <w:drawing>
              <wp:anchor distT="0" distB="0" distL="114300" distR="114300" simplePos="0" relativeHeight="251672576" behindDoc="0" locked="0" layoutInCell="1" allowOverlap="1" wp14:anchorId="767B1C39" wp14:editId="6BF6B8C8">
                <wp:simplePos x="0" y="0"/>
                <wp:positionH relativeFrom="column">
                  <wp:posOffset>4598670</wp:posOffset>
                </wp:positionH>
                <wp:positionV relativeFrom="paragraph">
                  <wp:posOffset>3357880</wp:posOffset>
                </wp:positionV>
                <wp:extent cx="0" cy="662940"/>
                <wp:effectExtent l="50800" t="0" r="63500" b="35560"/>
                <wp:wrapNone/>
                <wp:docPr id="6" name="Straight Arrow Connector 6"/>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31331F" id="Straight Arrow Connector 6" o:spid="_x0000_s1026" type="#_x0000_t32" style="position:absolute;margin-left:362.1pt;margin-top:264.4pt;width:0;height:52.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" strokecolor="black [3213]" strokeweight=".5pt">
                <v:stroke endarrow="block" joinstyle="miter"/>
              </v:shape>
            </w:pict>
          </mc:Fallback>
        </mc:AlternateContent>
      </w:r>
      <w:r>
        <w:rPr>
          <w:i/>
          <w:noProof/>
        </w:rPr>
        <mc:AlternateContent>
          <mc:Choice Requires="wps">
            <w:drawing>
              <wp:anchor distT="0" distB="0" distL="114300" distR="114300" simplePos="0" relativeHeight="251668480" behindDoc="0" locked="0" layoutInCell="1" allowOverlap="1" wp14:anchorId="731BB715" wp14:editId="094B8629">
                <wp:simplePos x="0" y="0"/>
                <wp:positionH relativeFrom="column">
                  <wp:posOffset>1498600</wp:posOffset>
                </wp:positionH>
                <wp:positionV relativeFrom="paragraph">
                  <wp:posOffset>2823845</wp:posOffset>
                </wp:positionV>
                <wp:extent cx="30734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307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C2A3D"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8pt,222.35pt" to="5in,2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" strokecolor="black [3200]" strokeweight=".5pt">
                <v:stroke joinstyle="miter"/>
              </v:line>
            </w:pict>
          </mc:Fallback>
        </mc:AlternateContent>
      </w:r>
      <w:r>
        <w:rPr>
          <w:i/>
          <w:noProof/>
        </w:rPr>
        <mc:AlternateContent>
          <mc:Choice Requires="wps">
            <w:drawing>
              <wp:anchor distT="0" distB="0" distL="114300" distR="114300" simplePos="0" relativeHeight="251666432" behindDoc="0" locked="0" layoutInCell="1" allowOverlap="1" wp14:anchorId="31668B2B" wp14:editId="45F5B3E8">
                <wp:simplePos x="0" y="0"/>
                <wp:positionH relativeFrom="column">
                  <wp:posOffset>1498600</wp:posOffset>
                </wp:positionH>
                <wp:positionV relativeFrom="paragraph">
                  <wp:posOffset>3357245</wp:posOffset>
                </wp:positionV>
                <wp:extent cx="0" cy="662940"/>
                <wp:effectExtent l="50800" t="0" r="63500" b="35560"/>
                <wp:wrapNone/>
                <wp:docPr id="22" name="Straight Arrow Connector 22"/>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D3A96" id="Straight Arrow Connector 22" o:spid="_x0000_s1026" type="#_x0000_t32" style="position:absolute;margin-left:118pt;margin-top:264.35pt;width:0;height:52.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" strokecolor="black [3213]" strokeweight=".5pt">
                <v:stroke endarrow="block" joinstyle="miter"/>
              </v:shape>
            </w:pict>
          </mc:Fallback>
        </mc:AlternateContent>
      </w:r>
      <w:r w:rsidRPr="00D66BA9">
        <w:rPr>
          <w:i/>
          <w:noProof/>
        </w:rPr>
        <mc:AlternateContent>
          <mc:Choice Requires="wps">
            <w:drawing>
              <wp:anchor distT="0" distB="0" distL="114300" distR="114300" simplePos="0" relativeHeight="251665408" behindDoc="0" locked="0" layoutInCell="1" allowOverlap="1" wp14:anchorId="7E03A976" wp14:editId="6D89206E">
                <wp:simplePos x="0" y="0"/>
                <wp:positionH relativeFrom="column">
                  <wp:posOffset>3505200</wp:posOffset>
                </wp:positionH>
                <wp:positionV relativeFrom="paragraph">
                  <wp:posOffset>2964180</wp:posOffset>
                </wp:positionV>
                <wp:extent cx="2099310" cy="391160"/>
                <wp:effectExtent l="0" t="0" r="8890" b="1524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391160"/>
                        </a:xfrm>
                        <a:prstGeom prst="rect">
                          <a:avLst/>
                        </a:prstGeom>
                        <a:solidFill>
                          <a:srgbClr val="FFFFFF"/>
                        </a:solidFill>
                        <a:ln w="9525">
                          <a:solidFill>
                            <a:srgbClr val="000000"/>
                          </a:solidFill>
                          <a:miter lim="800000"/>
                          <a:headEnd/>
                          <a:tailEnd/>
                        </a:ln>
                      </wps:spPr>
                      <wps:txbx>
                        <w:txbxContent>
                          <w:p w14:paraId="5F5E86A1" w14:textId="77777777" w:rsidR="00187793" w:rsidRPr="00E97625" w:rsidRDefault="00187793" w:rsidP="00187793">
                            <w:pPr>
                              <w:jc w:val="center"/>
                              <w:rPr>
                                <w:lang w:val="en-CA"/>
                              </w:rPr>
                            </w:pPr>
                            <w:r w:rsidRPr="00E97625">
                              <w:rPr>
                                <w:lang w:val="en-CA"/>
                              </w:rPr>
                              <w:t>Allocated to</w:t>
                            </w:r>
                            <w:r>
                              <w:rPr>
                                <w:lang w:val="en-CA"/>
                              </w:rPr>
                              <w:t xml:space="preserve"> waitlist</w:t>
                            </w:r>
                            <w:r w:rsidRPr="00E97625">
                              <w:rPr>
                                <w:lang w:val="en-CA"/>
                              </w:rPr>
                              <w:t xml:space="preserve"> (n=</w:t>
                            </w:r>
                            <w:r>
                              <w:rPr>
                                <w:lang w:val="en-CA"/>
                              </w:rPr>
                              <w:t>13</w:t>
                            </w:r>
                            <w:r w:rsidRPr="00E97625">
                              <w:rPr>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A976" id="_x0000_s1030" style="position:absolute;margin-left:276pt;margin-top:233.4pt;width:165.3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">
                <v:path arrowok="t"/>
                <v:textbox inset=",7.2pt,,7.2pt">
                  <w:txbxContent>
                    <w:p w14:paraId="5F5E86A1" w14:textId="77777777" w:rsidR="00187793" w:rsidRPr="00E97625" w:rsidRDefault="00187793" w:rsidP="00187793">
                      <w:pPr>
                        <w:jc w:val="center"/>
                        <w:rPr>
                          <w:lang w:val="en-CA"/>
                        </w:rPr>
                      </w:pPr>
                      <w:r w:rsidRPr="00E97625">
                        <w:rPr>
                          <w:lang w:val="en-CA"/>
                        </w:rPr>
                        <w:t>Allocated to</w:t>
                      </w:r>
                      <w:r>
                        <w:rPr>
                          <w:lang w:val="en-CA"/>
                        </w:rPr>
                        <w:t xml:space="preserve"> waitlist</w:t>
                      </w:r>
                      <w:r w:rsidRPr="00E97625">
                        <w:rPr>
                          <w:lang w:val="en-CA"/>
                        </w:rPr>
                        <w:t xml:space="preserve"> (n=</w:t>
                      </w:r>
                      <w:r>
                        <w:rPr>
                          <w:lang w:val="en-CA"/>
                        </w:rPr>
                        <w:t>13</w:t>
                      </w:r>
                      <w:r w:rsidRPr="00E97625">
                        <w:rPr>
                          <w:lang w:val="en-CA"/>
                        </w:rPr>
                        <w:t>)</w:t>
                      </w:r>
                    </w:p>
                  </w:txbxContent>
                </v:textbox>
              </v:rect>
            </w:pict>
          </mc:Fallback>
        </mc:AlternateContent>
      </w:r>
      <w:r w:rsidRPr="00D66BA9">
        <w:rPr>
          <w:i/>
          <w:noProof/>
        </w:rPr>
        <mc:AlternateContent>
          <mc:Choice Requires="wps">
            <w:drawing>
              <wp:anchor distT="0" distB="0" distL="114300" distR="114300" simplePos="0" relativeHeight="251664384" behindDoc="0" locked="0" layoutInCell="1" allowOverlap="1" wp14:anchorId="40AE12DF" wp14:editId="7116D90A">
                <wp:simplePos x="0" y="0"/>
                <wp:positionH relativeFrom="column">
                  <wp:posOffset>2362200</wp:posOffset>
                </wp:positionH>
                <wp:positionV relativeFrom="paragraph">
                  <wp:posOffset>2263140</wp:posOffset>
                </wp:positionV>
                <wp:extent cx="1611630" cy="370840"/>
                <wp:effectExtent l="0" t="0" r="13970" b="1016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370840"/>
                        </a:xfrm>
                        <a:prstGeom prst="rect">
                          <a:avLst/>
                        </a:prstGeom>
                        <a:solidFill>
                          <a:srgbClr val="FFFFFF"/>
                        </a:solidFill>
                        <a:ln w="9525">
                          <a:solidFill>
                            <a:srgbClr val="000000"/>
                          </a:solidFill>
                          <a:miter lim="800000"/>
                          <a:headEnd/>
                          <a:tailEnd/>
                        </a:ln>
                      </wps:spPr>
                      <wps:txbx>
                        <w:txbxContent>
                          <w:p w14:paraId="485FB6B7" w14:textId="77777777" w:rsidR="00187793" w:rsidRPr="00E97625" w:rsidRDefault="00187793" w:rsidP="00187793">
                            <w:pPr>
                              <w:widowControl w:val="0"/>
                              <w:jc w:val="center"/>
                            </w:pPr>
                            <w:r>
                              <w:rPr>
                                <w:lang w:val="en-CA"/>
                              </w:rPr>
                              <w:t>Randomized (n=26)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12DF" id="Rectangle 41" o:spid="_x0000_s1031" style="position:absolute;margin-left:186pt;margin-top:178.2pt;width:126.9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">
                <v:path arrowok="t"/>
                <v:textbox inset=",7.2pt,,7.2pt">
                  <w:txbxContent>
                    <w:p w14:paraId="485FB6B7" w14:textId="77777777" w:rsidR="00187793" w:rsidRPr="00E97625" w:rsidRDefault="00187793" w:rsidP="00187793">
                      <w:pPr>
                        <w:widowControl w:val="0"/>
                        <w:jc w:val="center"/>
                      </w:pPr>
                      <w:r>
                        <w:rPr>
                          <w:lang w:val="en-CA"/>
                        </w:rPr>
                        <w:t>Randomized (n=26)</w:t>
                      </w:r>
                    </w:p>
                  </w:txbxContent>
                </v:textbox>
              </v:rect>
            </w:pict>
          </mc:Fallback>
        </mc:AlternateContent>
      </w:r>
      <w:r w:rsidRPr="00654CC5">
        <w:rPr>
          <w:noProof/>
        </w:rPr>
        <mc:AlternateContent>
          <mc:Choice Requires="wps">
            <w:drawing>
              <wp:anchor distT="0" distB="0" distL="114300" distR="114300" simplePos="0" relativeHeight="251673600" behindDoc="0" locked="0" layoutInCell="1" allowOverlap="1" wp14:anchorId="14914148" wp14:editId="23822952">
                <wp:simplePos x="0" y="0"/>
                <wp:positionH relativeFrom="column">
                  <wp:posOffset>436880</wp:posOffset>
                </wp:positionH>
                <wp:positionV relativeFrom="paragraph">
                  <wp:posOffset>5241290</wp:posOffset>
                </wp:positionV>
                <wp:extent cx="2099310" cy="536575"/>
                <wp:effectExtent l="0" t="0" r="8890" b="952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536575"/>
                        </a:xfrm>
                        <a:prstGeom prst="rect">
                          <a:avLst/>
                        </a:prstGeom>
                        <a:solidFill>
                          <a:srgbClr val="FFFFFF"/>
                        </a:solidFill>
                        <a:ln w="9525">
                          <a:solidFill>
                            <a:srgbClr val="000000"/>
                          </a:solidFill>
                          <a:miter lim="800000"/>
                          <a:headEnd/>
                          <a:tailEnd/>
                        </a:ln>
                      </wps:spPr>
                      <wps:txbx>
                        <w:txbxContent>
                          <w:p w14:paraId="1AF1575C" w14:textId="04980576" w:rsidR="00187793" w:rsidRDefault="00763D9A" w:rsidP="00187793">
                            <w:pPr>
                              <w:jc w:val="center"/>
                              <w:rPr>
                                <w:lang w:val="en-CA"/>
                              </w:rPr>
                            </w:pPr>
                            <w:r>
                              <w:rPr>
                                <w:lang w:val="en-CA"/>
                              </w:rPr>
                              <w:t xml:space="preserve">One </w:t>
                            </w:r>
                            <w:r w:rsidR="00187793">
                              <w:rPr>
                                <w:lang w:val="en-CA"/>
                              </w:rPr>
                              <w:t xml:space="preserve">month follow-up </w:t>
                            </w:r>
                            <w:r w:rsidR="00187793" w:rsidRPr="00E97625">
                              <w:rPr>
                                <w:lang w:val="en-CA"/>
                              </w:rPr>
                              <w:t>(n</w:t>
                            </w:r>
                            <w:r w:rsidR="00187793">
                              <w:rPr>
                                <w:lang w:val="en-CA"/>
                              </w:rPr>
                              <w:t>=11)</w:t>
                            </w:r>
                          </w:p>
                          <w:p w14:paraId="37B125D6" w14:textId="77777777" w:rsidR="00187793" w:rsidRPr="00E97625" w:rsidRDefault="00187793" w:rsidP="00187793">
                            <w:pP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4148" id="_x0000_s1032" style="position:absolute;margin-left:34.4pt;margin-top:412.7pt;width:165.3pt;height: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">
                <v:path arrowok="t"/>
                <v:textbox inset=",7.2pt,,7.2pt">
                  <w:txbxContent>
                    <w:p w14:paraId="1AF1575C" w14:textId="04980576" w:rsidR="00187793" w:rsidRDefault="00763D9A" w:rsidP="00187793">
                      <w:pPr>
                        <w:jc w:val="center"/>
                        <w:rPr>
                          <w:lang w:val="en-CA"/>
                        </w:rPr>
                      </w:pPr>
                      <w:r>
                        <w:rPr>
                          <w:lang w:val="en-CA"/>
                        </w:rPr>
                        <w:t xml:space="preserve">One </w:t>
                      </w:r>
                      <w:r w:rsidR="00187793">
                        <w:rPr>
                          <w:lang w:val="en-CA"/>
                        </w:rPr>
                        <w:t xml:space="preserve">month follow-up </w:t>
                      </w:r>
                      <w:r w:rsidR="00187793" w:rsidRPr="00E97625">
                        <w:rPr>
                          <w:lang w:val="en-CA"/>
                        </w:rPr>
                        <w:t>(n</w:t>
                      </w:r>
                      <w:r w:rsidR="00187793">
                        <w:rPr>
                          <w:lang w:val="en-CA"/>
                        </w:rPr>
                        <w:t>=11)</w:t>
                      </w:r>
                    </w:p>
                    <w:p w14:paraId="37B125D6" w14:textId="77777777" w:rsidR="00187793" w:rsidRPr="00E97625" w:rsidRDefault="00187793" w:rsidP="00187793">
                      <w:pPr>
                        <w:rPr>
                          <w:lang w:val="en-CA"/>
                        </w:rPr>
                      </w:pPr>
                    </w:p>
                  </w:txbxContent>
                </v:textbox>
              </v:rect>
            </w:pict>
          </mc:Fallback>
        </mc:AlternateContent>
      </w:r>
      <w:r w:rsidRPr="00654CC5">
        <w:rPr>
          <w:noProof/>
        </w:rPr>
        <mc:AlternateContent>
          <mc:Choice Requires="wps">
            <w:drawing>
              <wp:anchor distT="0" distB="0" distL="114300" distR="114300" simplePos="0" relativeHeight="251674624" behindDoc="0" locked="0" layoutInCell="1" allowOverlap="1" wp14:anchorId="5377F12D" wp14:editId="3B6C22A4">
                <wp:simplePos x="0" y="0"/>
                <wp:positionH relativeFrom="column">
                  <wp:posOffset>1427480</wp:posOffset>
                </wp:positionH>
                <wp:positionV relativeFrom="paragraph">
                  <wp:posOffset>4578350</wp:posOffset>
                </wp:positionV>
                <wp:extent cx="0" cy="662940"/>
                <wp:effectExtent l="50800" t="0" r="63500" b="35560"/>
                <wp:wrapNone/>
                <wp:docPr id="11" name="Straight Arrow Connector 11"/>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53081" id="Straight Arrow Connector 11" o:spid="_x0000_s1026" type="#_x0000_t32" style="position:absolute;margin-left:112.4pt;margin-top:360.5pt;width:0;height:52.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" strokecolor="black [3213]" strokeweight=".5pt">
                <v:stroke endarrow="block" joinstyle="miter"/>
              </v:shape>
            </w:pict>
          </mc:Fallback>
        </mc:AlternateContent>
      </w:r>
      <w:r w:rsidRPr="00654CC5">
        <w:rPr>
          <w:noProof/>
        </w:rPr>
        <mc:AlternateContent>
          <mc:Choice Requires="wps">
            <w:drawing>
              <wp:anchor distT="0" distB="0" distL="114300" distR="114300" simplePos="0" relativeHeight="251675648" behindDoc="0" locked="0" layoutInCell="1" allowOverlap="1" wp14:anchorId="3E79B882" wp14:editId="5EA81F47">
                <wp:simplePos x="0" y="0"/>
                <wp:positionH relativeFrom="column">
                  <wp:posOffset>3536950</wp:posOffset>
                </wp:positionH>
                <wp:positionV relativeFrom="paragraph">
                  <wp:posOffset>5241925</wp:posOffset>
                </wp:positionV>
                <wp:extent cx="2099310" cy="536575"/>
                <wp:effectExtent l="0" t="0" r="8890" b="952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536575"/>
                        </a:xfrm>
                        <a:prstGeom prst="rect">
                          <a:avLst/>
                        </a:prstGeom>
                        <a:solidFill>
                          <a:srgbClr val="FFFFFF"/>
                        </a:solidFill>
                        <a:ln w="9525">
                          <a:solidFill>
                            <a:srgbClr val="000000"/>
                          </a:solidFill>
                          <a:miter lim="800000"/>
                          <a:headEnd/>
                          <a:tailEnd/>
                        </a:ln>
                      </wps:spPr>
                      <wps:txbx>
                        <w:txbxContent>
                          <w:p w14:paraId="22054C2D" w14:textId="77C2E68E" w:rsidR="00187793" w:rsidRDefault="00763D9A" w:rsidP="00187793">
                            <w:pPr>
                              <w:jc w:val="center"/>
                              <w:rPr>
                                <w:lang w:val="en-CA"/>
                              </w:rPr>
                            </w:pPr>
                            <w:r>
                              <w:rPr>
                                <w:lang w:val="en-CA"/>
                              </w:rPr>
                              <w:t xml:space="preserve">One </w:t>
                            </w:r>
                            <w:r w:rsidR="00187793">
                              <w:rPr>
                                <w:lang w:val="en-CA"/>
                              </w:rPr>
                              <w:t>month follow-up</w:t>
                            </w:r>
                            <w:r w:rsidR="00187793" w:rsidRPr="00E97625">
                              <w:rPr>
                                <w:lang w:val="en-CA"/>
                              </w:rPr>
                              <w:t xml:space="preserve"> (n</w:t>
                            </w:r>
                            <w:r w:rsidR="00187793">
                              <w:rPr>
                                <w:lang w:val="en-CA"/>
                              </w:rPr>
                              <w:t>=9)</w:t>
                            </w:r>
                          </w:p>
                          <w:p w14:paraId="40480E20" w14:textId="77777777" w:rsidR="00187793" w:rsidRPr="00E97625" w:rsidRDefault="00187793" w:rsidP="00187793">
                            <w:pPr>
                              <w:jc w:val="cente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B882" id="_x0000_s1033" style="position:absolute;margin-left:278.5pt;margin-top:412.75pt;width:165.3pt;height: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">
                <v:path arrowok="t"/>
                <v:textbox inset=",7.2pt,,7.2pt">
                  <w:txbxContent>
                    <w:p w14:paraId="22054C2D" w14:textId="77C2E68E" w:rsidR="00187793" w:rsidRDefault="00763D9A" w:rsidP="00187793">
                      <w:pPr>
                        <w:jc w:val="center"/>
                        <w:rPr>
                          <w:lang w:val="en-CA"/>
                        </w:rPr>
                      </w:pPr>
                      <w:r>
                        <w:rPr>
                          <w:lang w:val="en-CA"/>
                        </w:rPr>
                        <w:t xml:space="preserve">One </w:t>
                      </w:r>
                      <w:r w:rsidR="00187793">
                        <w:rPr>
                          <w:lang w:val="en-CA"/>
                        </w:rPr>
                        <w:t>month follow-up</w:t>
                      </w:r>
                      <w:r w:rsidR="00187793" w:rsidRPr="00E97625">
                        <w:rPr>
                          <w:lang w:val="en-CA"/>
                        </w:rPr>
                        <w:t xml:space="preserve"> (n</w:t>
                      </w:r>
                      <w:r w:rsidR="00187793">
                        <w:rPr>
                          <w:lang w:val="en-CA"/>
                        </w:rPr>
                        <w:t>=9)</w:t>
                      </w:r>
                    </w:p>
                    <w:p w14:paraId="40480E20" w14:textId="77777777" w:rsidR="00187793" w:rsidRPr="00E97625" w:rsidRDefault="00187793" w:rsidP="00187793">
                      <w:pPr>
                        <w:jc w:val="center"/>
                        <w:rPr>
                          <w:lang w:val="en-CA"/>
                        </w:rPr>
                      </w:pPr>
                    </w:p>
                  </w:txbxContent>
                </v:textbox>
              </v:rect>
            </w:pict>
          </mc:Fallback>
        </mc:AlternateContent>
      </w:r>
      <w:r w:rsidRPr="00654CC5">
        <w:rPr>
          <w:noProof/>
        </w:rPr>
        <mc:AlternateContent>
          <mc:Choice Requires="wps">
            <w:drawing>
              <wp:anchor distT="0" distB="0" distL="114300" distR="114300" simplePos="0" relativeHeight="251676672" behindDoc="0" locked="0" layoutInCell="1" allowOverlap="1" wp14:anchorId="72C4CEA4" wp14:editId="03386058">
                <wp:simplePos x="0" y="0"/>
                <wp:positionH relativeFrom="column">
                  <wp:posOffset>4527550</wp:posOffset>
                </wp:positionH>
                <wp:positionV relativeFrom="paragraph">
                  <wp:posOffset>4578985</wp:posOffset>
                </wp:positionV>
                <wp:extent cx="0" cy="662940"/>
                <wp:effectExtent l="50800" t="0" r="63500" b="35560"/>
                <wp:wrapNone/>
                <wp:docPr id="15" name="Straight Arrow Connector 15"/>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046D1" id="Straight Arrow Connector 15" o:spid="_x0000_s1026" type="#_x0000_t32" style="position:absolute;margin-left:356.5pt;margin-top:360.55pt;width:0;height:52.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" strokecolor="black [3213]" strokeweight=".5pt">
                <v:stroke endarrow="block" joinstyle="miter"/>
              </v:shape>
            </w:pict>
          </mc:Fallback>
        </mc:AlternateContent>
      </w:r>
      <w:r w:rsidRPr="00D66BA9">
        <w:rPr>
          <w:i/>
          <w:noProof/>
        </w:rPr>
        <mc:AlternateContent>
          <mc:Choice Requires="wps">
            <w:drawing>
              <wp:anchor distT="0" distB="0" distL="114300" distR="114300" simplePos="0" relativeHeight="251661312" behindDoc="0" locked="0" layoutInCell="1" allowOverlap="1" wp14:anchorId="24D4BFB3" wp14:editId="10CB048F">
                <wp:simplePos x="0" y="0"/>
                <wp:positionH relativeFrom="column">
                  <wp:posOffset>514985</wp:posOffset>
                </wp:positionH>
                <wp:positionV relativeFrom="paragraph">
                  <wp:posOffset>2965271</wp:posOffset>
                </wp:positionV>
                <wp:extent cx="2343785" cy="391160"/>
                <wp:effectExtent l="0" t="0" r="18415" b="1524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785" cy="391160"/>
                        </a:xfrm>
                        <a:prstGeom prst="rect">
                          <a:avLst/>
                        </a:prstGeom>
                        <a:solidFill>
                          <a:srgbClr val="FFFFFF"/>
                        </a:solidFill>
                        <a:ln w="9525">
                          <a:solidFill>
                            <a:srgbClr val="000000"/>
                          </a:solidFill>
                          <a:miter lim="800000"/>
                          <a:headEnd/>
                          <a:tailEnd/>
                        </a:ln>
                      </wps:spPr>
                      <wps:txbx>
                        <w:txbxContent>
                          <w:p w14:paraId="2752A8CF" w14:textId="77777777" w:rsidR="00187793" w:rsidRPr="00E97625" w:rsidRDefault="00187793" w:rsidP="00187793">
                            <w:pPr>
                              <w:jc w:val="center"/>
                              <w:rPr>
                                <w:lang w:val="en-CA"/>
                              </w:rPr>
                            </w:pPr>
                            <w:r w:rsidRPr="00E97625">
                              <w:rPr>
                                <w:lang w:val="en-CA"/>
                              </w:rPr>
                              <w:t>Allocated to</w:t>
                            </w:r>
                            <w:r>
                              <w:rPr>
                                <w:lang w:val="en-CA"/>
                              </w:rPr>
                              <w:t xml:space="preserve"> group</w:t>
                            </w:r>
                            <w:r w:rsidRPr="00E97625">
                              <w:rPr>
                                <w:lang w:val="en-CA"/>
                              </w:rPr>
                              <w:t xml:space="preserve"> ACT (n=</w:t>
                            </w:r>
                            <w:r>
                              <w:rPr>
                                <w:lang w:val="en-CA"/>
                              </w:rPr>
                              <w:t>13</w:t>
                            </w:r>
                            <w:r w:rsidRPr="00E97625">
                              <w:rPr>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4BFB3" id="_x0000_s1034" style="position:absolute;margin-left:40.55pt;margin-top:233.5pt;width:184.5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">
                <v:path arrowok="t"/>
                <v:textbox inset=",7.2pt,,7.2pt">
                  <w:txbxContent>
                    <w:p w14:paraId="2752A8CF" w14:textId="77777777" w:rsidR="00187793" w:rsidRPr="00E97625" w:rsidRDefault="00187793" w:rsidP="00187793">
                      <w:pPr>
                        <w:jc w:val="center"/>
                        <w:rPr>
                          <w:lang w:val="en-CA"/>
                        </w:rPr>
                      </w:pPr>
                      <w:r w:rsidRPr="00E97625">
                        <w:rPr>
                          <w:lang w:val="en-CA"/>
                        </w:rPr>
                        <w:t>Allocated to</w:t>
                      </w:r>
                      <w:r>
                        <w:rPr>
                          <w:lang w:val="en-CA"/>
                        </w:rPr>
                        <w:t xml:space="preserve"> group</w:t>
                      </w:r>
                      <w:r w:rsidRPr="00E97625">
                        <w:rPr>
                          <w:lang w:val="en-CA"/>
                        </w:rPr>
                        <w:t xml:space="preserve"> ACT (n=</w:t>
                      </w:r>
                      <w:r>
                        <w:rPr>
                          <w:lang w:val="en-CA"/>
                        </w:rPr>
                        <w:t>13</w:t>
                      </w:r>
                      <w:r w:rsidRPr="00E97625">
                        <w:rPr>
                          <w:lang w:val="en-CA"/>
                        </w:rPr>
                        <w:t>)</w:t>
                      </w:r>
                    </w:p>
                  </w:txbxContent>
                </v:textbox>
              </v:rect>
            </w:pict>
          </mc:Fallback>
        </mc:AlternateContent>
      </w:r>
      <w:r>
        <w:br w:type="page"/>
      </w:r>
    </w:p>
    <w:p w14:paraId="458F5874" w14:textId="77777777" w:rsidR="009A4529" w:rsidRDefault="009A4529" w:rsidP="009A4529">
      <w:pPr>
        <w:spacing w:line="276" w:lineRule="auto"/>
        <w:jc w:val="both"/>
      </w:pPr>
      <w:r>
        <w:lastRenderedPageBreak/>
        <w:t>Figure 2</w:t>
      </w:r>
    </w:p>
    <w:p w14:paraId="27414298" w14:textId="77777777" w:rsidR="009A4529" w:rsidRDefault="009A4529" w:rsidP="009A4529">
      <w:pPr>
        <w:spacing w:line="276" w:lineRule="auto"/>
        <w:jc w:val="both"/>
      </w:pPr>
    </w:p>
    <w:p w14:paraId="0DA47CA4" w14:textId="77777777" w:rsidR="009A4529" w:rsidRDefault="009A4529" w:rsidP="009A4529">
      <w:r w:rsidRPr="00372483">
        <w:t>Estimated marginal means and standard error ribbons from best-fitting model</w:t>
      </w:r>
      <w:r>
        <w:t xml:space="preserve"> </w:t>
      </w:r>
      <w:r w:rsidRPr="00372483">
        <w:t xml:space="preserve">for SCARED scores at p &lt; .05 </w:t>
      </w:r>
    </w:p>
    <w:p w14:paraId="7A4E54A0" w14:textId="77777777" w:rsidR="009A4529" w:rsidRPr="00372483" w:rsidRDefault="009A4529" w:rsidP="009A4529"/>
    <w:p w14:paraId="2A116F0B" w14:textId="77777777" w:rsidR="009A4529" w:rsidRDefault="009A4529" w:rsidP="009A4529">
      <w:r>
        <w:rPr>
          <w:noProof/>
        </w:rPr>
        <w:drawing>
          <wp:inline distT="0" distB="0" distL="0" distR="0" wp14:anchorId="4DD1E403" wp14:editId="0825390F">
            <wp:extent cx="5943600" cy="3543300"/>
            <wp:effectExtent l="0" t="0" r="0" b="0"/>
            <wp:docPr id="34" name="Picture 3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rotWithShape="1">
                    <a:blip r:embed="rId14">
                      <a:extLst>
                        <a:ext uri="{28A0092B-C50C-407E-A947-70E740481C1C}">
                          <a14:useLocalDpi xmlns:a14="http://schemas.microsoft.com/office/drawing/2010/main" val="0"/>
                        </a:ext>
                      </a:extLst>
                    </a:blip>
                    <a:srcRect t="1718" b="2439"/>
                    <a:stretch/>
                  </pic:blipFill>
                  <pic:spPr bwMode="auto">
                    <a:xfrm>
                      <a:off x="0" y="0"/>
                      <a:ext cx="5943600" cy="3543300"/>
                    </a:xfrm>
                    <a:prstGeom prst="rect">
                      <a:avLst/>
                    </a:prstGeom>
                    <a:ln>
                      <a:noFill/>
                    </a:ln>
                    <a:extLst>
                      <a:ext uri="{53640926-AAD7-44D8-BBD7-CCE9431645EC}">
                        <a14:shadowObscured xmlns:a14="http://schemas.microsoft.com/office/drawing/2010/main"/>
                      </a:ext>
                    </a:extLst>
                  </pic:spPr>
                </pic:pic>
              </a:graphicData>
            </a:graphic>
          </wp:inline>
        </w:drawing>
      </w:r>
    </w:p>
    <w:p w14:paraId="79DDC8A4" w14:textId="77777777" w:rsidR="009A4529" w:rsidRPr="000A4383" w:rsidRDefault="009A4529" w:rsidP="009A4529"/>
    <w:p w14:paraId="4C673F00" w14:textId="77777777" w:rsidR="009A4529" w:rsidRPr="00372483" w:rsidRDefault="009A4529" w:rsidP="009A4529">
      <w:r w:rsidRPr="00D17F7E">
        <w:rPr>
          <w:bCs/>
          <w:i/>
          <w:iCs/>
        </w:rPr>
        <w:t>Note</w:t>
      </w:r>
      <w:r w:rsidRPr="00D17F7E">
        <w:rPr>
          <w:bCs/>
        </w:rPr>
        <w:t>.</w:t>
      </w:r>
      <w:r>
        <w:rPr>
          <w:b/>
        </w:rPr>
        <w:t xml:space="preserve"> </w:t>
      </w:r>
      <w:r w:rsidRPr="00372483">
        <w:t xml:space="preserve">SCARED = </w:t>
      </w:r>
      <w:r w:rsidRPr="00372483">
        <w:rPr>
          <w:bCs/>
        </w:rPr>
        <w:t>Screen for Child Anxiety and Related Disorders – Child Report</w:t>
      </w:r>
    </w:p>
    <w:p w14:paraId="2FE8D3EB" w14:textId="77777777" w:rsidR="009A4529" w:rsidRDefault="009A4529" w:rsidP="009A4529">
      <w:pPr>
        <w:spacing w:line="480" w:lineRule="auto"/>
        <w:ind w:firstLine="720"/>
        <w:rPr>
          <w:iCs/>
        </w:rPr>
      </w:pPr>
    </w:p>
    <w:p w14:paraId="1216ADF3" w14:textId="77777777" w:rsidR="009A4529" w:rsidRDefault="009A4529" w:rsidP="009A4529">
      <w:pPr>
        <w:spacing w:line="480" w:lineRule="auto"/>
        <w:ind w:firstLine="720"/>
        <w:rPr>
          <w:iCs/>
        </w:rPr>
      </w:pPr>
    </w:p>
    <w:p w14:paraId="7500A3C1" w14:textId="61EBABAF" w:rsidR="009A4529" w:rsidRPr="00463E65" w:rsidRDefault="009A4529">
      <w:pPr>
        <w:rPr>
          <w:iCs/>
        </w:rPr>
      </w:pPr>
      <w:r>
        <w:rPr>
          <w:iCs/>
        </w:rPr>
        <w:br w:type="page"/>
      </w:r>
    </w:p>
    <w:p w14:paraId="3497106F" w14:textId="649323DE" w:rsidR="009A4529" w:rsidRDefault="009A4529" w:rsidP="009A4529">
      <w:pPr>
        <w:spacing w:line="276" w:lineRule="auto"/>
        <w:jc w:val="both"/>
      </w:pPr>
      <w:r>
        <w:lastRenderedPageBreak/>
        <w:t xml:space="preserve">Figure </w:t>
      </w:r>
      <w:r w:rsidR="00463E65">
        <w:t>3</w:t>
      </w:r>
    </w:p>
    <w:p w14:paraId="225E4CC4" w14:textId="77777777" w:rsidR="009A4529" w:rsidRDefault="009A4529" w:rsidP="009A4529">
      <w:pPr>
        <w:spacing w:line="276" w:lineRule="auto"/>
        <w:jc w:val="both"/>
      </w:pPr>
    </w:p>
    <w:p w14:paraId="16B3B7E6" w14:textId="77777777" w:rsidR="009A4529" w:rsidRDefault="009A4529" w:rsidP="009A4529">
      <w:r w:rsidRPr="00372483">
        <w:t>Estimated marginal means and standard error ribbons from best-fitting model for</w:t>
      </w:r>
      <w:r>
        <w:t xml:space="preserve"> class periods missed</w:t>
      </w:r>
      <w:r w:rsidRPr="00372483">
        <w:t xml:space="preserve"> at p &lt; .05 </w:t>
      </w:r>
    </w:p>
    <w:p w14:paraId="07A2AAFB" w14:textId="77777777" w:rsidR="009A4529" w:rsidRPr="00372483" w:rsidRDefault="009A4529" w:rsidP="009A4529"/>
    <w:p w14:paraId="06860A0C" w14:textId="77777777" w:rsidR="009A4529" w:rsidRDefault="009A4529" w:rsidP="009A4529">
      <w:pPr>
        <w:spacing w:line="480" w:lineRule="auto"/>
        <w:ind w:firstLine="720"/>
        <w:rPr>
          <w:iCs/>
        </w:rPr>
      </w:pPr>
      <w:r w:rsidRPr="00AC3FA4">
        <w:rPr>
          <w:b/>
          <w:noProof/>
        </w:rPr>
        <w:drawing>
          <wp:inline distT="0" distB="0" distL="0" distR="0" wp14:anchorId="0C4E614B" wp14:editId="35F7312B">
            <wp:extent cx="5943600" cy="3680460"/>
            <wp:effectExtent l="0" t="0" r="0" b="2540"/>
            <wp:docPr id="37" name="Picture 3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pic:nvPicPr>
                  <pic:blipFill>
                    <a:blip r:embed="rId15"/>
                    <a:stretch>
                      <a:fillRect/>
                    </a:stretch>
                  </pic:blipFill>
                  <pic:spPr>
                    <a:xfrm>
                      <a:off x="0" y="0"/>
                      <a:ext cx="5943600" cy="3680460"/>
                    </a:xfrm>
                    <a:prstGeom prst="rect">
                      <a:avLst/>
                    </a:prstGeom>
                  </pic:spPr>
                </pic:pic>
              </a:graphicData>
            </a:graphic>
          </wp:inline>
        </w:drawing>
      </w:r>
    </w:p>
    <w:p w14:paraId="3B82A8C4" w14:textId="5FCBCD74" w:rsidR="009A4529" w:rsidRPr="00463E65" w:rsidRDefault="009A4529" w:rsidP="00463E65">
      <w:pPr>
        <w:rPr>
          <w:b/>
          <w:bCs/>
          <w:iCs/>
        </w:rPr>
      </w:pPr>
      <w:r>
        <w:rPr>
          <w:b/>
          <w:bCs/>
          <w:iCs/>
        </w:rPr>
        <w:br w:type="page"/>
      </w:r>
    </w:p>
    <w:p w14:paraId="7036272D" w14:textId="18AFF448" w:rsidR="00EB61B8" w:rsidRPr="002A78DC" w:rsidRDefault="00EB61B8" w:rsidP="00EB61B8">
      <w:pPr>
        <w:widowControl w:val="0"/>
        <w:autoSpaceDE w:val="0"/>
        <w:autoSpaceDN w:val="0"/>
        <w:adjustRightInd w:val="0"/>
        <w:spacing w:line="480" w:lineRule="auto"/>
        <w:rPr>
          <w:iCs/>
        </w:rPr>
      </w:pPr>
      <w:r w:rsidRPr="002A78DC">
        <w:rPr>
          <w:iCs/>
        </w:rPr>
        <w:lastRenderedPageBreak/>
        <w:t>Table 1</w:t>
      </w:r>
    </w:p>
    <w:p w14:paraId="74D1A988" w14:textId="77777777" w:rsidR="0077422B" w:rsidRPr="003F3657" w:rsidRDefault="0077422B" w:rsidP="0077422B">
      <w:pPr>
        <w:rPr>
          <w:i/>
          <w:iCs/>
        </w:rPr>
      </w:pPr>
      <w:r>
        <w:rPr>
          <w:i/>
          <w:iCs/>
        </w:rPr>
        <w:t>Demographics for the entire sample and by condition.</w:t>
      </w:r>
    </w:p>
    <w:p w14:paraId="2A61C590" w14:textId="77777777" w:rsidR="0077422B" w:rsidRDefault="0077422B" w:rsidP="0077422B"/>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77422B" w14:paraId="5E811370" w14:textId="77777777" w:rsidTr="00B01D84">
        <w:trPr>
          <w:trHeight w:val="701"/>
        </w:trPr>
        <w:tc>
          <w:tcPr>
            <w:tcW w:w="2517" w:type="dxa"/>
            <w:tcBorders>
              <w:top w:val="single" w:sz="4" w:space="0" w:color="auto"/>
              <w:bottom w:val="single" w:sz="4" w:space="0" w:color="auto"/>
            </w:tcBorders>
          </w:tcPr>
          <w:p w14:paraId="03E4E23C" w14:textId="77777777" w:rsidR="0077422B" w:rsidRDefault="0077422B" w:rsidP="00B01D84"/>
        </w:tc>
        <w:tc>
          <w:tcPr>
            <w:tcW w:w="2517" w:type="dxa"/>
            <w:tcBorders>
              <w:top w:val="single" w:sz="4" w:space="0" w:color="auto"/>
              <w:bottom w:val="single" w:sz="4" w:space="0" w:color="auto"/>
            </w:tcBorders>
          </w:tcPr>
          <w:p w14:paraId="7EC7BEC2" w14:textId="77777777" w:rsidR="0077422B" w:rsidRDefault="0077422B" w:rsidP="00B01D84">
            <w:pPr>
              <w:jc w:val="center"/>
            </w:pPr>
            <w:r>
              <w:t>Entire Sample</w:t>
            </w:r>
          </w:p>
          <w:p w14:paraId="4FEE03B3" w14:textId="77777777" w:rsidR="0077422B" w:rsidRDefault="0077422B" w:rsidP="00B01D84">
            <w:pPr>
              <w:jc w:val="center"/>
            </w:pPr>
            <w:r>
              <w:t>(N = 26)</w:t>
            </w:r>
          </w:p>
        </w:tc>
        <w:tc>
          <w:tcPr>
            <w:tcW w:w="2518" w:type="dxa"/>
            <w:tcBorders>
              <w:top w:val="single" w:sz="4" w:space="0" w:color="auto"/>
              <w:bottom w:val="single" w:sz="4" w:space="0" w:color="auto"/>
            </w:tcBorders>
          </w:tcPr>
          <w:p w14:paraId="7910C12A" w14:textId="77777777" w:rsidR="0077422B" w:rsidRDefault="0077422B" w:rsidP="00B01D84">
            <w:pPr>
              <w:jc w:val="center"/>
            </w:pPr>
            <w:r>
              <w:t>Group ACT</w:t>
            </w:r>
          </w:p>
          <w:p w14:paraId="12CF71FB" w14:textId="77777777" w:rsidR="0077422B" w:rsidRDefault="0077422B" w:rsidP="00B01D84">
            <w:pPr>
              <w:jc w:val="center"/>
            </w:pPr>
            <w:r>
              <w:t>(n = 13)</w:t>
            </w:r>
          </w:p>
        </w:tc>
        <w:tc>
          <w:tcPr>
            <w:tcW w:w="2518" w:type="dxa"/>
            <w:tcBorders>
              <w:top w:val="single" w:sz="4" w:space="0" w:color="auto"/>
              <w:bottom w:val="single" w:sz="4" w:space="0" w:color="auto"/>
            </w:tcBorders>
          </w:tcPr>
          <w:p w14:paraId="3B545844" w14:textId="77777777" w:rsidR="0077422B" w:rsidRDefault="0077422B" w:rsidP="00B01D84">
            <w:pPr>
              <w:jc w:val="center"/>
            </w:pPr>
            <w:r>
              <w:t>Waitlist</w:t>
            </w:r>
          </w:p>
          <w:p w14:paraId="2DCAF761" w14:textId="77777777" w:rsidR="0077422B" w:rsidRDefault="0077422B" w:rsidP="00B01D84">
            <w:pPr>
              <w:jc w:val="center"/>
            </w:pPr>
            <w:r>
              <w:t>(n = 13)</w:t>
            </w:r>
          </w:p>
        </w:tc>
      </w:tr>
      <w:tr w:rsidR="0077422B" w14:paraId="09DA60E2" w14:textId="77777777" w:rsidTr="00B01D84">
        <w:trPr>
          <w:trHeight w:val="521"/>
        </w:trPr>
        <w:tc>
          <w:tcPr>
            <w:tcW w:w="2517" w:type="dxa"/>
            <w:tcBorders>
              <w:top w:val="single" w:sz="4" w:space="0" w:color="auto"/>
            </w:tcBorders>
          </w:tcPr>
          <w:p w14:paraId="18D3894E" w14:textId="77777777" w:rsidR="0077422B" w:rsidRDefault="0077422B" w:rsidP="00B01D84">
            <w:r>
              <w:t>Age (SD)</w:t>
            </w:r>
          </w:p>
        </w:tc>
        <w:tc>
          <w:tcPr>
            <w:tcW w:w="2517" w:type="dxa"/>
            <w:tcBorders>
              <w:top w:val="single" w:sz="4" w:space="0" w:color="auto"/>
            </w:tcBorders>
          </w:tcPr>
          <w:p w14:paraId="0647321B" w14:textId="77777777" w:rsidR="0077422B" w:rsidRDefault="0077422B" w:rsidP="00B01D84">
            <w:pPr>
              <w:jc w:val="center"/>
            </w:pPr>
            <w:r>
              <w:t>15.7 (1.6)</w:t>
            </w:r>
          </w:p>
        </w:tc>
        <w:tc>
          <w:tcPr>
            <w:tcW w:w="2518" w:type="dxa"/>
            <w:tcBorders>
              <w:top w:val="single" w:sz="4" w:space="0" w:color="auto"/>
            </w:tcBorders>
          </w:tcPr>
          <w:p w14:paraId="7459F532" w14:textId="77777777" w:rsidR="0077422B" w:rsidRDefault="0077422B" w:rsidP="00B01D84">
            <w:pPr>
              <w:jc w:val="center"/>
            </w:pPr>
            <w:r>
              <w:t>15.6 (1.1)</w:t>
            </w:r>
          </w:p>
        </w:tc>
        <w:tc>
          <w:tcPr>
            <w:tcW w:w="2518" w:type="dxa"/>
            <w:tcBorders>
              <w:top w:val="single" w:sz="4" w:space="0" w:color="auto"/>
            </w:tcBorders>
          </w:tcPr>
          <w:p w14:paraId="3A2072A1" w14:textId="77777777" w:rsidR="0077422B" w:rsidRDefault="0077422B" w:rsidP="00B01D84">
            <w:pPr>
              <w:jc w:val="center"/>
            </w:pPr>
            <w:r>
              <w:t>15.8 (2.0)</w:t>
            </w:r>
          </w:p>
        </w:tc>
      </w:tr>
      <w:tr w:rsidR="0077422B" w14:paraId="60F640D0" w14:textId="77777777" w:rsidTr="00B01D84">
        <w:trPr>
          <w:trHeight w:val="521"/>
        </w:trPr>
        <w:tc>
          <w:tcPr>
            <w:tcW w:w="2517" w:type="dxa"/>
          </w:tcPr>
          <w:p w14:paraId="19C38224" w14:textId="77777777" w:rsidR="0077422B" w:rsidRDefault="0077422B" w:rsidP="00B01D84">
            <w:r>
              <w:t>Gender (%)</w:t>
            </w:r>
          </w:p>
        </w:tc>
        <w:tc>
          <w:tcPr>
            <w:tcW w:w="2517" w:type="dxa"/>
          </w:tcPr>
          <w:p w14:paraId="7C644FDA" w14:textId="77777777" w:rsidR="0077422B" w:rsidRDefault="0077422B" w:rsidP="00B01D84">
            <w:pPr>
              <w:jc w:val="center"/>
            </w:pPr>
          </w:p>
        </w:tc>
        <w:tc>
          <w:tcPr>
            <w:tcW w:w="2518" w:type="dxa"/>
          </w:tcPr>
          <w:p w14:paraId="2F5867EA" w14:textId="77777777" w:rsidR="0077422B" w:rsidRDefault="0077422B" w:rsidP="00B01D84">
            <w:pPr>
              <w:jc w:val="center"/>
            </w:pPr>
          </w:p>
        </w:tc>
        <w:tc>
          <w:tcPr>
            <w:tcW w:w="2518" w:type="dxa"/>
          </w:tcPr>
          <w:p w14:paraId="6D975073" w14:textId="77777777" w:rsidR="0077422B" w:rsidRDefault="0077422B" w:rsidP="00B01D84">
            <w:pPr>
              <w:jc w:val="center"/>
            </w:pPr>
          </w:p>
        </w:tc>
      </w:tr>
      <w:tr w:rsidR="0077422B" w14:paraId="4A835E0E" w14:textId="77777777" w:rsidTr="00B01D84">
        <w:trPr>
          <w:trHeight w:val="549"/>
        </w:trPr>
        <w:tc>
          <w:tcPr>
            <w:tcW w:w="2517" w:type="dxa"/>
          </w:tcPr>
          <w:p w14:paraId="62216146" w14:textId="77777777" w:rsidR="0077422B" w:rsidRDefault="0077422B" w:rsidP="00B01D84">
            <w:r>
              <w:t xml:space="preserve">Male </w:t>
            </w:r>
          </w:p>
        </w:tc>
        <w:tc>
          <w:tcPr>
            <w:tcW w:w="2517" w:type="dxa"/>
          </w:tcPr>
          <w:p w14:paraId="359DA1FB" w14:textId="77777777" w:rsidR="0077422B" w:rsidRDefault="0077422B" w:rsidP="00B01D84">
            <w:pPr>
              <w:jc w:val="center"/>
            </w:pPr>
            <w:r>
              <w:t>7 (26.9)</w:t>
            </w:r>
          </w:p>
        </w:tc>
        <w:tc>
          <w:tcPr>
            <w:tcW w:w="2518" w:type="dxa"/>
          </w:tcPr>
          <w:p w14:paraId="7B5BF511" w14:textId="77777777" w:rsidR="0077422B" w:rsidRDefault="0077422B" w:rsidP="00B01D84">
            <w:pPr>
              <w:jc w:val="center"/>
            </w:pPr>
            <w:r>
              <w:t>4 (30.8)</w:t>
            </w:r>
          </w:p>
        </w:tc>
        <w:tc>
          <w:tcPr>
            <w:tcW w:w="2518" w:type="dxa"/>
          </w:tcPr>
          <w:p w14:paraId="11D59A0B" w14:textId="77777777" w:rsidR="0077422B" w:rsidRDefault="0077422B" w:rsidP="00B01D84">
            <w:pPr>
              <w:jc w:val="center"/>
            </w:pPr>
            <w:r>
              <w:t>3 (23.1)</w:t>
            </w:r>
          </w:p>
        </w:tc>
      </w:tr>
      <w:tr w:rsidR="0077422B" w14:paraId="6CA480E5" w14:textId="77777777" w:rsidTr="00B01D84">
        <w:trPr>
          <w:trHeight w:val="521"/>
        </w:trPr>
        <w:tc>
          <w:tcPr>
            <w:tcW w:w="2517" w:type="dxa"/>
          </w:tcPr>
          <w:p w14:paraId="2CBC128F" w14:textId="77777777" w:rsidR="0077422B" w:rsidRDefault="0077422B" w:rsidP="00B01D84">
            <w:r>
              <w:t>Female</w:t>
            </w:r>
          </w:p>
        </w:tc>
        <w:tc>
          <w:tcPr>
            <w:tcW w:w="2517" w:type="dxa"/>
          </w:tcPr>
          <w:p w14:paraId="4620B8C3" w14:textId="77777777" w:rsidR="0077422B" w:rsidRDefault="0077422B" w:rsidP="00B01D84">
            <w:pPr>
              <w:jc w:val="center"/>
            </w:pPr>
            <w:r>
              <w:t>19 (73.1)</w:t>
            </w:r>
          </w:p>
        </w:tc>
        <w:tc>
          <w:tcPr>
            <w:tcW w:w="2518" w:type="dxa"/>
          </w:tcPr>
          <w:p w14:paraId="705CEF3F" w14:textId="77777777" w:rsidR="0077422B" w:rsidRDefault="0077422B" w:rsidP="00B01D84">
            <w:pPr>
              <w:jc w:val="center"/>
            </w:pPr>
            <w:r>
              <w:t>9 (69.2)</w:t>
            </w:r>
          </w:p>
        </w:tc>
        <w:tc>
          <w:tcPr>
            <w:tcW w:w="2518" w:type="dxa"/>
          </w:tcPr>
          <w:p w14:paraId="38533EFF" w14:textId="77777777" w:rsidR="0077422B" w:rsidRDefault="0077422B" w:rsidP="00B01D84">
            <w:pPr>
              <w:jc w:val="center"/>
            </w:pPr>
            <w:r>
              <w:t>10 (76.9)</w:t>
            </w:r>
          </w:p>
        </w:tc>
      </w:tr>
      <w:tr w:rsidR="0077422B" w14:paraId="12FCA132" w14:textId="77777777" w:rsidTr="00B01D84">
        <w:trPr>
          <w:trHeight w:val="521"/>
        </w:trPr>
        <w:tc>
          <w:tcPr>
            <w:tcW w:w="2517" w:type="dxa"/>
          </w:tcPr>
          <w:p w14:paraId="7DF1BD3C" w14:textId="77777777" w:rsidR="0077422B" w:rsidRDefault="0077422B" w:rsidP="00B01D84">
            <w:r>
              <w:t>Race (%)</w:t>
            </w:r>
          </w:p>
        </w:tc>
        <w:tc>
          <w:tcPr>
            <w:tcW w:w="2517" w:type="dxa"/>
          </w:tcPr>
          <w:p w14:paraId="3DF5A44D" w14:textId="77777777" w:rsidR="0077422B" w:rsidRDefault="0077422B" w:rsidP="00B01D84">
            <w:pPr>
              <w:jc w:val="center"/>
            </w:pPr>
          </w:p>
        </w:tc>
        <w:tc>
          <w:tcPr>
            <w:tcW w:w="2518" w:type="dxa"/>
          </w:tcPr>
          <w:p w14:paraId="13AD0168" w14:textId="77777777" w:rsidR="0077422B" w:rsidRDefault="0077422B" w:rsidP="00B01D84">
            <w:pPr>
              <w:jc w:val="center"/>
            </w:pPr>
          </w:p>
        </w:tc>
        <w:tc>
          <w:tcPr>
            <w:tcW w:w="2518" w:type="dxa"/>
          </w:tcPr>
          <w:p w14:paraId="6F1BA7AE" w14:textId="77777777" w:rsidR="0077422B" w:rsidRDefault="0077422B" w:rsidP="00B01D84">
            <w:pPr>
              <w:jc w:val="center"/>
            </w:pPr>
          </w:p>
        </w:tc>
      </w:tr>
      <w:tr w:rsidR="0077422B" w14:paraId="1FCE8B07" w14:textId="77777777" w:rsidTr="00B01D84">
        <w:trPr>
          <w:trHeight w:val="521"/>
        </w:trPr>
        <w:tc>
          <w:tcPr>
            <w:tcW w:w="2517" w:type="dxa"/>
          </w:tcPr>
          <w:p w14:paraId="00C0ACB2" w14:textId="77777777" w:rsidR="0077422B" w:rsidRDefault="0077422B" w:rsidP="00B01D84">
            <w:r>
              <w:t>White or Caucasian</w:t>
            </w:r>
          </w:p>
        </w:tc>
        <w:tc>
          <w:tcPr>
            <w:tcW w:w="2517" w:type="dxa"/>
          </w:tcPr>
          <w:p w14:paraId="7AADDE9C" w14:textId="77777777" w:rsidR="0077422B" w:rsidRDefault="0077422B" w:rsidP="00B01D84">
            <w:pPr>
              <w:jc w:val="center"/>
            </w:pPr>
            <w:r>
              <w:t>22 (84.6)</w:t>
            </w:r>
          </w:p>
        </w:tc>
        <w:tc>
          <w:tcPr>
            <w:tcW w:w="2518" w:type="dxa"/>
          </w:tcPr>
          <w:p w14:paraId="7B41FE7B" w14:textId="77777777" w:rsidR="0077422B" w:rsidRDefault="0077422B" w:rsidP="00B01D84">
            <w:pPr>
              <w:jc w:val="center"/>
            </w:pPr>
            <w:r>
              <w:t>9 (69.2)</w:t>
            </w:r>
          </w:p>
        </w:tc>
        <w:tc>
          <w:tcPr>
            <w:tcW w:w="2518" w:type="dxa"/>
          </w:tcPr>
          <w:p w14:paraId="2DCCAB26" w14:textId="77777777" w:rsidR="0077422B" w:rsidRDefault="0077422B" w:rsidP="00B01D84">
            <w:pPr>
              <w:jc w:val="center"/>
            </w:pPr>
            <w:r>
              <w:t>13 (100)</w:t>
            </w:r>
          </w:p>
        </w:tc>
      </w:tr>
      <w:tr w:rsidR="0077422B" w14:paraId="1D94D13E" w14:textId="77777777" w:rsidTr="00B01D84">
        <w:trPr>
          <w:trHeight w:val="549"/>
        </w:trPr>
        <w:tc>
          <w:tcPr>
            <w:tcW w:w="2517" w:type="dxa"/>
          </w:tcPr>
          <w:p w14:paraId="51B84430" w14:textId="77777777" w:rsidR="0077422B" w:rsidRDefault="0077422B" w:rsidP="00B01D84">
            <w:r>
              <w:t>Other</w:t>
            </w:r>
          </w:p>
        </w:tc>
        <w:tc>
          <w:tcPr>
            <w:tcW w:w="2517" w:type="dxa"/>
          </w:tcPr>
          <w:p w14:paraId="251CCB91" w14:textId="77777777" w:rsidR="0077422B" w:rsidRDefault="0077422B" w:rsidP="00B01D84">
            <w:pPr>
              <w:jc w:val="center"/>
            </w:pPr>
            <w:r>
              <w:t>3 (11.5)</w:t>
            </w:r>
          </w:p>
        </w:tc>
        <w:tc>
          <w:tcPr>
            <w:tcW w:w="2518" w:type="dxa"/>
          </w:tcPr>
          <w:p w14:paraId="5CBA4341" w14:textId="77777777" w:rsidR="0077422B" w:rsidRDefault="0077422B" w:rsidP="00B01D84">
            <w:pPr>
              <w:jc w:val="center"/>
            </w:pPr>
            <w:r>
              <w:t>3 (23.1)</w:t>
            </w:r>
          </w:p>
        </w:tc>
        <w:tc>
          <w:tcPr>
            <w:tcW w:w="2518" w:type="dxa"/>
          </w:tcPr>
          <w:p w14:paraId="70B2FCB0" w14:textId="77777777" w:rsidR="0077422B" w:rsidRDefault="0077422B" w:rsidP="00B01D84">
            <w:pPr>
              <w:jc w:val="center"/>
            </w:pPr>
            <w:r>
              <w:t>0 (0)</w:t>
            </w:r>
          </w:p>
        </w:tc>
      </w:tr>
      <w:tr w:rsidR="0077422B" w14:paraId="174202DB" w14:textId="77777777" w:rsidTr="00B01D84">
        <w:trPr>
          <w:trHeight w:val="521"/>
        </w:trPr>
        <w:tc>
          <w:tcPr>
            <w:tcW w:w="2517" w:type="dxa"/>
          </w:tcPr>
          <w:p w14:paraId="712C012D" w14:textId="77777777" w:rsidR="0077422B" w:rsidRDefault="0077422B" w:rsidP="00B01D84">
            <w:r>
              <w:t>Ethnicity (%)</w:t>
            </w:r>
          </w:p>
        </w:tc>
        <w:tc>
          <w:tcPr>
            <w:tcW w:w="2517" w:type="dxa"/>
          </w:tcPr>
          <w:p w14:paraId="40360A64" w14:textId="77777777" w:rsidR="0077422B" w:rsidRDefault="0077422B" w:rsidP="00B01D84">
            <w:pPr>
              <w:jc w:val="center"/>
            </w:pPr>
          </w:p>
        </w:tc>
        <w:tc>
          <w:tcPr>
            <w:tcW w:w="2518" w:type="dxa"/>
          </w:tcPr>
          <w:p w14:paraId="74397FA8" w14:textId="77777777" w:rsidR="0077422B" w:rsidRDefault="0077422B" w:rsidP="00B01D84">
            <w:pPr>
              <w:jc w:val="center"/>
            </w:pPr>
          </w:p>
        </w:tc>
        <w:tc>
          <w:tcPr>
            <w:tcW w:w="2518" w:type="dxa"/>
          </w:tcPr>
          <w:p w14:paraId="5CE34E5C" w14:textId="77777777" w:rsidR="0077422B" w:rsidRDefault="0077422B" w:rsidP="00B01D84">
            <w:pPr>
              <w:jc w:val="center"/>
            </w:pPr>
          </w:p>
        </w:tc>
      </w:tr>
      <w:tr w:rsidR="0077422B" w14:paraId="7A28600E" w14:textId="77777777" w:rsidTr="00B01D84">
        <w:trPr>
          <w:trHeight w:val="521"/>
        </w:trPr>
        <w:tc>
          <w:tcPr>
            <w:tcW w:w="2517" w:type="dxa"/>
          </w:tcPr>
          <w:p w14:paraId="5A744075" w14:textId="77777777" w:rsidR="0077422B" w:rsidRDefault="0077422B" w:rsidP="00B01D84">
            <w:r>
              <w:t>Hispanic/Latinx</w:t>
            </w:r>
          </w:p>
        </w:tc>
        <w:tc>
          <w:tcPr>
            <w:tcW w:w="2517" w:type="dxa"/>
          </w:tcPr>
          <w:p w14:paraId="38D9AB7C" w14:textId="77777777" w:rsidR="0077422B" w:rsidRDefault="0077422B" w:rsidP="00B01D84">
            <w:pPr>
              <w:jc w:val="center"/>
            </w:pPr>
            <w:r>
              <w:t>3 (11.5)</w:t>
            </w:r>
          </w:p>
        </w:tc>
        <w:tc>
          <w:tcPr>
            <w:tcW w:w="2518" w:type="dxa"/>
          </w:tcPr>
          <w:p w14:paraId="11948BDE" w14:textId="77777777" w:rsidR="0077422B" w:rsidRDefault="0077422B" w:rsidP="00B01D84">
            <w:pPr>
              <w:jc w:val="center"/>
            </w:pPr>
            <w:r>
              <w:t>2 (15.4)</w:t>
            </w:r>
          </w:p>
        </w:tc>
        <w:tc>
          <w:tcPr>
            <w:tcW w:w="2518" w:type="dxa"/>
          </w:tcPr>
          <w:p w14:paraId="0AC672A2" w14:textId="77777777" w:rsidR="0077422B" w:rsidRDefault="0077422B" w:rsidP="00B01D84">
            <w:pPr>
              <w:jc w:val="center"/>
            </w:pPr>
            <w:r>
              <w:t>1 (7.7)</w:t>
            </w:r>
          </w:p>
        </w:tc>
      </w:tr>
      <w:tr w:rsidR="0077422B" w14:paraId="76547232" w14:textId="77777777" w:rsidTr="001150C7">
        <w:trPr>
          <w:trHeight w:val="521"/>
        </w:trPr>
        <w:tc>
          <w:tcPr>
            <w:tcW w:w="2517" w:type="dxa"/>
          </w:tcPr>
          <w:p w14:paraId="79F9E38E" w14:textId="77777777" w:rsidR="0077422B" w:rsidRDefault="0077422B" w:rsidP="00B01D84">
            <w:r>
              <w:t>Not Hispanic/Latinx</w:t>
            </w:r>
          </w:p>
        </w:tc>
        <w:tc>
          <w:tcPr>
            <w:tcW w:w="2517" w:type="dxa"/>
          </w:tcPr>
          <w:p w14:paraId="029BC323" w14:textId="77777777" w:rsidR="0077422B" w:rsidRDefault="0077422B" w:rsidP="00B01D84">
            <w:pPr>
              <w:jc w:val="center"/>
            </w:pPr>
            <w:r>
              <w:t>22 (84.6)</w:t>
            </w:r>
          </w:p>
        </w:tc>
        <w:tc>
          <w:tcPr>
            <w:tcW w:w="2518" w:type="dxa"/>
          </w:tcPr>
          <w:p w14:paraId="2C99D5A1" w14:textId="77777777" w:rsidR="0077422B" w:rsidRDefault="0077422B" w:rsidP="00B01D84">
            <w:pPr>
              <w:jc w:val="center"/>
            </w:pPr>
            <w:r>
              <w:t>10 (76.9)</w:t>
            </w:r>
          </w:p>
        </w:tc>
        <w:tc>
          <w:tcPr>
            <w:tcW w:w="2518" w:type="dxa"/>
          </w:tcPr>
          <w:p w14:paraId="24A55902" w14:textId="77777777" w:rsidR="0077422B" w:rsidRDefault="0077422B" w:rsidP="00B01D84">
            <w:pPr>
              <w:jc w:val="center"/>
            </w:pPr>
            <w:r>
              <w:t>12 (92.3)</w:t>
            </w:r>
          </w:p>
        </w:tc>
      </w:tr>
      <w:tr w:rsidR="001150C7" w14:paraId="7234BB1C" w14:textId="77777777" w:rsidTr="00EA4C1F">
        <w:trPr>
          <w:trHeight w:val="521"/>
        </w:trPr>
        <w:tc>
          <w:tcPr>
            <w:tcW w:w="2517" w:type="dxa"/>
          </w:tcPr>
          <w:p w14:paraId="6DDE2CF4" w14:textId="7380AFD4" w:rsidR="001150C7" w:rsidRDefault="001150C7" w:rsidP="00B01D84">
            <w:r>
              <w:t>Current therapy (%)</w:t>
            </w:r>
          </w:p>
        </w:tc>
        <w:tc>
          <w:tcPr>
            <w:tcW w:w="2517" w:type="dxa"/>
          </w:tcPr>
          <w:p w14:paraId="7F6F88F1" w14:textId="78082EF0" w:rsidR="001150C7" w:rsidRDefault="002B1E5A" w:rsidP="00B01D84">
            <w:pPr>
              <w:jc w:val="center"/>
            </w:pPr>
            <w:r>
              <w:t>9 (34.6)</w:t>
            </w:r>
          </w:p>
        </w:tc>
        <w:tc>
          <w:tcPr>
            <w:tcW w:w="2518" w:type="dxa"/>
          </w:tcPr>
          <w:p w14:paraId="74E592F0" w14:textId="3B681304" w:rsidR="001150C7" w:rsidRDefault="001150C7" w:rsidP="00B01D84">
            <w:pPr>
              <w:jc w:val="center"/>
            </w:pPr>
            <w:r>
              <w:t>4 (30.8)</w:t>
            </w:r>
          </w:p>
        </w:tc>
        <w:tc>
          <w:tcPr>
            <w:tcW w:w="2518" w:type="dxa"/>
          </w:tcPr>
          <w:p w14:paraId="2642F81A" w14:textId="51AA80B6" w:rsidR="001150C7" w:rsidRDefault="001150C7" w:rsidP="00B01D84">
            <w:pPr>
              <w:jc w:val="center"/>
            </w:pPr>
            <w:r>
              <w:t>5 (38.5)</w:t>
            </w:r>
          </w:p>
        </w:tc>
      </w:tr>
      <w:tr w:rsidR="001150C7" w14:paraId="26AD45D3" w14:textId="77777777" w:rsidTr="00EA4C1F">
        <w:trPr>
          <w:trHeight w:val="521"/>
        </w:trPr>
        <w:tc>
          <w:tcPr>
            <w:tcW w:w="2517" w:type="dxa"/>
            <w:tcBorders>
              <w:bottom w:val="single" w:sz="4" w:space="0" w:color="auto"/>
            </w:tcBorders>
          </w:tcPr>
          <w:p w14:paraId="6723EFA6" w14:textId="29F30377" w:rsidR="001150C7" w:rsidRDefault="001150C7" w:rsidP="00B01D84">
            <w:r>
              <w:t>Current medication (%)</w:t>
            </w:r>
          </w:p>
        </w:tc>
        <w:tc>
          <w:tcPr>
            <w:tcW w:w="2517" w:type="dxa"/>
            <w:tcBorders>
              <w:bottom w:val="single" w:sz="4" w:space="0" w:color="auto"/>
            </w:tcBorders>
          </w:tcPr>
          <w:p w14:paraId="68ADAAE3" w14:textId="2A1AA3C0" w:rsidR="001150C7" w:rsidRDefault="002B1E5A" w:rsidP="00B01D84">
            <w:pPr>
              <w:jc w:val="center"/>
            </w:pPr>
            <w:r>
              <w:t>7 (26.9)</w:t>
            </w:r>
          </w:p>
        </w:tc>
        <w:tc>
          <w:tcPr>
            <w:tcW w:w="2518" w:type="dxa"/>
            <w:tcBorders>
              <w:bottom w:val="single" w:sz="4" w:space="0" w:color="auto"/>
            </w:tcBorders>
          </w:tcPr>
          <w:p w14:paraId="6981C2C5" w14:textId="6A2D4237" w:rsidR="001150C7" w:rsidRDefault="001150C7" w:rsidP="00B01D84">
            <w:pPr>
              <w:jc w:val="center"/>
            </w:pPr>
            <w:r>
              <w:t>2 (15.4)</w:t>
            </w:r>
          </w:p>
        </w:tc>
        <w:tc>
          <w:tcPr>
            <w:tcW w:w="2518" w:type="dxa"/>
            <w:tcBorders>
              <w:bottom w:val="single" w:sz="4" w:space="0" w:color="auto"/>
            </w:tcBorders>
          </w:tcPr>
          <w:p w14:paraId="3219E685" w14:textId="0E74C5C1" w:rsidR="001150C7" w:rsidRDefault="001150C7" w:rsidP="00B01D84">
            <w:pPr>
              <w:jc w:val="center"/>
            </w:pPr>
            <w:r>
              <w:t>5 (38.5)</w:t>
            </w:r>
          </w:p>
        </w:tc>
      </w:tr>
    </w:tbl>
    <w:p w14:paraId="0D250228" w14:textId="77777777" w:rsidR="00AD65CA" w:rsidRDefault="00AD65CA" w:rsidP="0077422B">
      <w:pPr>
        <w:sectPr w:rsidR="00AD65CA" w:rsidSect="00A6357F">
          <w:headerReference w:type="even" r:id="rId16"/>
          <w:headerReference w:type="default" r:id="rId17"/>
          <w:footerReference w:type="default" r:id="rId18"/>
          <w:headerReference w:type="first" r:id="rId19"/>
          <w:pgSz w:w="12240" w:h="15840"/>
          <w:pgMar w:top="1440" w:right="1440" w:bottom="1440" w:left="1440" w:header="720" w:footer="720" w:gutter="0"/>
          <w:cols w:space="720"/>
          <w:titlePg/>
          <w:docGrid w:linePitch="360"/>
        </w:sectPr>
      </w:pPr>
    </w:p>
    <w:p w14:paraId="715B3FE4" w14:textId="2AFA2DAF" w:rsidR="00AD65CA" w:rsidRPr="002A78DC" w:rsidRDefault="00AD65CA" w:rsidP="00AD65CA">
      <w:r w:rsidRPr="002A78DC">
        <w:lastRenderedPageBreak/>
        <w:t xml:space="preserve">Table </w:t>
      </w:r>
      <w:r w:rsidR="00F10FC6">
        <w:t>2</w:t>
      </w:r>
    </w:p>
    <w:p w14:paraId="54AF038A" w14:textId="77777777" w:rsidR="00AD65CA" w:rsidRPr="00B31D1F" w:rsidRDefault="00AD65CA" w:rsidP="00AD65CA">
      <w:pPr>
        <w:rPr>
          <w:i/>
          <w:iCs/>
        </w:rPr>
      </w:pPr>
      <w:r w:rsidRPr="00B31D1F">
        <w:rPr>
          <w:i/>
          <w:iCs/>
        </w:rPr>
        <w:t xml:space="preserve">Means and standard deviations </w:t>
      </w:r>
      <w:r>
        <w:rPr>
          <w:i/>
          <w:iCs/>
        </w:rPr>
        <w:t xml:space="preserve">of outcome measures </w:t>
      </w:r>
      <w:r w:rsidRPr="00B31D1F">
        <w:rPr>
          <w:i/>
          <w:iCs/>
        </w:rPr>
        <w:t>for full sample</w:t>
      </w:r>
    </w:p>
    <w:tbl>
      <w:tblPr>
        <w:tblW w:w="13050" w:type="dxa"/>
        <w:tblLayout w:type="fixed"/>
        <w:tblLook w:val="04A0" w:firstRow="1" w:lastRow="0" w:firstColumn="1" w:lastColumn="0" w:noHBand="0" w:noVBand="1"/>
      </w:tblPr>
      <w:tblGrid>
        <w:gridCol w:w="1674"/>
        <w:gridCol w:w="1454"/>
        <w:gridCol w:w="1456"/>
        <w:gridCol w:w="1356"/>
        <w:gridCol w:w="1350"/>
        <w:gridCol w:w="1440"/>
        <w:gridCol w:w="1350"/>
        <w:gridCol w:w="1530"/>
        <w:gridCol w:w="1440"/>
      </w:tblGrid>
      <w:tr w:rsidR="00AD65CA" w:rsidRPr="002A78DC" w14:paraId="350358AF" w14:textId="77777777" w:rsidTr="00B01D84">
        <w:trPr>
          <w:trHeight w:val="893"/>
        </w:trPr>
        <w:tc>
          <w:tcPr>
            <w:tcW w:w="1674" w:type="dxa"/>
            <w:tcBorders>
              <w:top w:val="single" w:sz="4" w:space="0" w:color="auto"/>
              <w:left w:val="nil"/>
              <w:bottom w:val="nil"/>
              <w:right w:val="nil"/>
            </w:tcBorders>
            <w:shd w:val="clear" w:color="auto" w:fill="auto"/>
            <w:noWrap/>
            <w:vAlign w:val="bottom"/>
            <w:hideMark/>
          </w:tcPr>
          <w:p w14:paraId="5927ACC2" w14:textId="77777777" w:rsidR="00AD65CA" w:rsidRPr="002A78DC" w:rsidRDefault="00AD65CA" w:rsidP="00B01D84">
            <w:pPr>
              <w:rPr>
                <w:color w:val="000000"/>
              </w:rPr>
            </w:pPr>
            <w:r w:rsidRPr="002A78DC">
              <w:rPr>
                <w:color w:val="000000"/>
              </w:rPr>
              <w:t> </w:t>
            </w:r>
          </w:p>
        </w:tc>
        <w:tc>
          <w:tcPr>
            <w:tcW w:w="2910" w:type="dxa"/>
            <w:gridSpan w:val="2"/>
            <w:tcBorders>
              <w:top w:val="single" w:sz="4" w:space="0" w:color="auto"/>
              <w:left w:val="nil"/>
              <w:bottom w:val="nil"/>
              <w:right w:val="nil"/>
            </w:tcBorders>
            <w:shd w:val="clear" w:color="auto" w:fill="auto"/>
            <w:noWrap/>
            <w:vAlign w:val="center"/>
            <w:hideMark/>
          </w:tcPr>
          <w:p w14:paraId="621B7055" w14:textId="77777777" w:rsidR="00AD65CA" w:rsidRPr="002A78DC" w:rsidRDefault="00AD65CA" w:rsidP="00B01D84">
            <w:pPr>
              <w:jc w:val="center"/>
              <w:rPr>
                <w:color w:val="000000"/>
              </w:rPr>
            </w:pPr>
            <w:r w:rsidRPr="002A78DC">
              <w:rPr>
                <w:color w:val="000000"/>
              </w:rPr>
              <w:t>Waitlist</w:t>
            </w:r>
          </w:p>
        </w:tc>
        <w:tc>
          <w:tcPr>
            <w:tcW w:w="1356" w:type="dxa"/>
            <w:tcBorders>
              <w:top w:val="single" w:sz="4" w:space="0" w:color="auto"/>
              <w:left w:val="nil"/>
              <w:bottom w:val="nil"/>
              <w:right w:val="nil"/>
            </w:tcBorders>
          </w:tcPr>
          <w:p w14:paraId="51B14F42" w14:textId="77777777" w:rsidR="00AD65CA" w:rsidRPr="002A78DC" w:rsidRDefault="00AD65CA" w:rsidP="00B01D84">
            <w:pPr>
              <w:jc w:val="center"/>
              <w:rPr>
                <w:color w:val="000000"/>
              </w:rPr>
            </w:pPr>
          </w:p>
        </w:tc>
        <w:tc>
          <w:tcPr>
            <w:tcW w:w="1350" w:type="dxa"/>
            <w:tcBorders>
              <w:top w:val="single" w:sz="4" w:space="0" w:color="auto"/>
              <w:left w:val="nil"/>
              <w:bottom w:val="nil"/>
              <w:right w:val="nil"/>
            </w:tcBorders>
          </w:tcPr>
          <w:p w14:paraId="1A3A83C6" w14:textId="77777777" w:rsidR="00AD65CA" w:rsidRPr="002A78DC" w:rsidRDefault="00AD65CA" w:rsidP="00B01D84">
            <w:pPr>
              <w:jc w:val="center"/>
              <w:rPr>
                <w:color w:val="000000"/>
              </w:rPr>
            </w:pPr>
          </w:p>
        </w:tc>
        <w:tc>
          <w:tcPr>
            <w:tcW w:w="2790" w:type="dxa"/>
            <w:gridSpan w:val="2"/>
            <w:tcBorders>
              <w:top w:val="single" w:sz="4" w:space="0" w:color="auto"/>
              <w:left w:val="nil"/>
              <w:bottom w:val="nil"/>
              <w:right w:val="nil"/>
            </w:tcBorders>
            <w:vAlign w:val="center"/>
          </w:tcPr>
          <w:p w14:paraId="51DE12E1" w14:textId="77777777" w:rsidR="00AD65CA" w:rsidRPr="002A78DC" w:rsidRDefault="00AD65CA" w:rsidP="00B01D84">
            <w:pPr>
              <w:jc w:val="center"/>
              <w:rPr>
                <w:color w:val="000000"/>
              </w:rPr>
            </w:pPr>
            <w:r w:rsidRPr="002A78DC">
              <w:rPr>
                <w:color w:val="000000"/>
              </w:rPr>
              <w:t>Treatment</w:t>
            </w:r>
          </w:p>
        </w:tc>
        <w:tc>
          <w:tcPr>
            <w:tcW w:w="1530" w:type="dxa"/>
            <w:tcBorders>
              <w:top w:val="single" w:sz="4" w:space="0" w:color="auto"/>
              <w:left w:val="nil"/>
              <w:bottom w:val="nil"/>
              <w:right w:val="nil"/>
            </w:tcBorders>
          </w:tcPr>
          <w:p w14:paraId="4F87144F" w14:textId="77777777" w:rsidR="00AD65CA" w:rsidRPr="002A78DC" w:rsidRDefault="00AD65CA" w:rsidP="00B01D84">
            <w:pPr>
              <w:jc w:val="center"/>
              <w:rPr>
                <w:color w:val="000000"/>
              </w:rPr>
            </w:pPr>
          </w:p>
        </w:tc>
        <w:tc>
          <w:tcPr>
            <w:tcW w:w="1440" w:type="dxa"/>
            <w:tcBorders>
              <w:top w:val="single" w:sz="4" w:space="0" w:color="auto"/>
              <w:left w:val="nil"/>
              <w:bottom w:val="nil"/>
              <w:right w:val="nil"/>
            </w:tcBorders>
          </w:tcPr>
          <w:p w14:paraId="0C22FAFC" w14:textId="77777777" w:rsidR="00AD65CA" w:rsidRPr="002A78DC" w:rsidRDefault="00AD65CA" w:rsidP="00B01D84">
            <w:pPr>
              <w:jc w:val="center"/>
              <w:rPr>
                <w:color w:val="000000"/>
              </w:rPr>
            </w:pPr>
          </w:p>
        </w:tc>
      </w:tr>
      <w:tr w:rsidR="00AD65CA" w:rsidRPr="002A78DC" w14:paraId="3ED9D45E" w14:textId="77777777" w:rsidTr="00B01D84">
        <w:trPr>
          <w:trHeight w:val="342"/>
        </w:trPr>
        <w:tc>
          <w:tcPr>
            <w:tcW w:w="1674" w:type="dxa"/>
            <w:tcBorders>
              <w:top w:val="nil"/>
              <w:left w:val="nil"/>
              <w:bottom w:val="single" w:sz="4" w:space="0" w:color="auto"/>
              <w:right w:val="nil"/>
            </w:tcBorders>
            <w:shd w:val="clear" w:color="auto" w:fill="auto"/>
            <w:noWrap/>
            <w:vAlign w:val="bottom"/>
            <w:hideMark/>
          </w:tcPr>
          <w:p w14:paraId="5C6E01D2" w14:textId="77777777" w:rsidR="00AD65CA" w:rsidRPr="002A78DC" w:rsidRDefault="00AD65CA" w:rsidP="00B01D84">
            <w:pPr>
              <w:rPr>
                <w:color w:val="000000"/>
              </w:rPr>
            </w:pPr>
            <w:r w:rsidRPr="002A78DC">
              <w:rPr>
                <w:color w:val="000000"/>
              </w:rPr>
              <w:t> </w:t>
            </w:r>
          </w:p>
        </w:tc>
        <w:tc>
          <w:tcPr>
            <w:tcW w:w="1454" w:type="dxa"/>
            <w:tcBorders>
              <w:top w:val="nil"/>
              <w:left w:val="nil"/>
              <w:bottom w:val="single" w:sz="4" w:space="0" w:color="auto"/>
              <w:right w:val="nil"/>
            </w:tcBorders>
            <w:shd w:val="clear" w:color="auto" w:fill="auto"/>
            <w:noWrap/>
            <w:vAlign w:val="bottom"/>
            <w:hideMark/>
          </w:tcPr>
          <w:p w14:paraId="0348C3BD" w14:textId="77777777" w:rsidR="00AD65CA" w:rsidRPr="002A78DC" w:rsidRDefault="00AD65CA" w:rsidP="00B01D84">
            <w:pPr>
              <w:jc w:val="center"/>
              <w:rPr>
                <w:color w:val="000000"/>
              </w:rPr>
            </w:pPr>
            <w:r w:rsidRPr="002A78DC">
              <w:rPr>
                <w:color w:val="000000"/>
              </w:rPr>
              <w:t>Pre</w:t>
            </w:r>
            <w:r>
              <w:rPr>
                <w:color w:val="000000"/>
              </w:rPr>
              <w:t>-treatment</w:t>
            </w:r>
          </w:p>
          <w:p w14:paraId="1989D319" w14:textId="77777777" w:rsidR="00AD65CA" w:rsidRPr="002A78DC" w:rsidRDefault="00AD65CA" w:rsidP="00B01D84">
            <w:pPr>
              <w:jc w:val="center"/>
              <w:rPr>
                <w:color w:val="000000"/>
              </w:rPr>
            </w:pPr>
            <w:r w:rsidRPr="002A78DC">
              <w:rPr>
                <w:color w:val="000000"/>
              </w:rPr>
              <w:t>(n = 1</w:t>
            </w:r>
            <w:r>
              <w:rPr>
                <w:color w:val="000000"/>
              </w:rPr>
              <w:t>2</w:t>
            </w:r>
            <w:r w:rsidRPr="002A78DC">
              <w:rPr>
                <w:color w:val="000000"/>
              </w:rPr>
              <w:t>)</w:t>
            </w:r>
          </w:p>
        </w:tc>
        <w:tc>
          <w:tcPr>
            <w:tcW w:w="1456" w:type="dxa"/>
            <w:tcBorders>
              <w:top w:val="nil"/>
              <w:left w:val="nil"/>
              <w:bottom w:val="single" w:sz="4" w:space="0" w:color="auto"/>
              <w:right w:val="nil"/>
            </w:tcBorders>
            <w:shd w:val="clear" w:color="auto" w:fill="auto"/>
            <w:noWrap/>
            <w:vAlign w:val="bottom"/>
            <w:hideMark/>
          </w:tcPr>
          <w:p w14:paraId="57742AB8" w14:textId="77777777" w:rsidR="00AD65CA" w:rsidRPr="002A78DC" w:rsidRDefault="00AD65CA" w:rsidP="00B01D84">
            <w:pPr>
              <w:jc w:val="center"/>
              <w:rPr>
                <w:color w:val="000000"/>
              </w:rPr>
            </w:pPr>
            <w:r>
              <w:rPr>
                <w:color w:val="000000"/>
              </w:rPr>
              <w:t>Mid-treatment</w:t>
            </w:r>
          </w:p>
          <w:p w14:paraId="1E97AE03" w14:textId="77777777" w:rsidR="00AD65CA" w:rsidRPr="002A78DC" w:rsidRDefault="00AD65CA" w:rsidP="00B01D84">
            <w:pPr>
              <w:jc w:val="center"/>
              <w:rPr>
                <w:color w:val="000000"/>
              </w:rPr>
            </w:pPr>
            <w:r w:rsidRPr="002A78DC">
              <w:rPr>
                <w:color w:val="000000"/>
              </w:rPr>
              <w:t>(n = 1</w:t>
            </w:r>
            <w:r>
              <w:rPr>
                <w:color w:val="000000"/>
              </w:rPr>
              <w:t>0</w:t>
            </w:r>
            <w:r w:rsidRPr="002A78DC">
              <w:rPr>
                <w:color w:val="000000"/>
              </w:rPr>
              <w:t>)</w:t>
            </w:r>
          </w:p>
        </w:tc>
        <w:tc>
          <w:tcPr>
            <w:tcW w:w="1356" w:type="dxa"/>
            <w:tcBorders>
              <w:top w:val="nil"/>
              <w:left w:val="nil"/>
              <w:bottom w:val="single" w:sz="4" w:space="0" w:color="auto"/>
              <w:right w:val="nil"/>
            </w:tcBorders>
            <w:vAlign w:val="bottom"/>
          </w:tcPr>
          <w:p w14:paraId="3BFB6269" w14:textId="77777777" w:rsidR="00AD65CA" w:rsidRDefault="00AD65CA" w:rsidP="00B01D84">
            <w:pPr>
              <w:jc w:val="center"/>
              <w:rPr>
                <w:color w:val="000000"/>
              </w:rPr>
            </w:pPr>
            <w:r>
              <w:rPr>
                <w:color w:val="000000"/>
              </w:rPr>
              <w:t>Post-treatment</w:t>
            </w:r>
          </w:p>
          <w:p w14:paraId="35FB2E43" w14:textId="77777777" w:rsidR="00AD65CA" w:rsidRDefault="00AD65CA" w:rsidP="00B01D84">
            <w:pPr>
              <w:jc w:val="center"/>
              <w:rPr>
                <w:color w:val="000000"/>
              </w:rPr>
            </w:pPr>
            <w:r>
              <w:rPr>
                <w:color w:val="000000"/>
              </w:rPr>
              <w:t>(n = 9)</w:t>
            </w:r>
          </w:p>
        </w:tc>
        <w:tc>
          <w:tcPr>
            <w:tcW w:w="1350" w:type="dxa"/>
            <w:tcBorders>
              <w:top w:val="nil"/>
              <w:left w:val="nil"/>
              <w:bottom w:val="single" w:sz="4" w:space="0" w:color="auto"/>
              <w:right w:val="nil"/>
            </w:tcBorders>
            <w:vAlign w:val="bottom"/>
          </w:tcPr>
          <w:p w14:paraId="002A8B33" w14:textId="6D2E7EB2" w:rsidR="00AD65CA" w:rsidRDefault="00763D9A" w:rsidP="00B01D84">
            <w:pPr>
              <w:jc w:val="center"/>
              <w:rPr>
                <w:color w:val="000000"/>
              </w:rPr>
            </w:pPr>
            <w:r>
              <w:rPr>
                <w:color w:val="000000"/>
              </w:rPr>
              <w:t>One</w:t>
            </w:r>
            <w:r w:rsidR="00AD65CA">
              <w:rPr>
                <w:color w:val="000000"/>
              </w:rPr>
              <w:t xml:space="preserve"> month</w:t>
            </w:r>
          </w:p>
          <w:p w14:paraId="7B2AC23F" w14:textId="77777777" w:rsidR="00AD65CA" w:rsidRDefault="00AD65CA" w:rsidP="00B01D84">
            <w:pPr>
              <w:jc w:val="center"/>
              <w:rPr>
                <w:color w:val="000000"/>
              </w:rPr>
            </w:pPr>
            <w:r>
              <w:rPr>
                <w:color w:val="000000"/>
              </w:rPr>
              <w:t>Follow-up</w:t>
            </w:r>
          </w:p>
          <w:p w14:paraId="326AD6DC" w14:textId="77777777" w:rsidR="00AD65CA" w:rsidRPr="002A78DC" w:rsidRDefault="00AD65CA" w:rsidP="00B01D84">
            <w:pPr>
              <w:jc w:val="center"/>
              <w:rPr>
                <w:color w:val="000000"/>
              </w:rPr>
            </w:pPr>
            <w:r>
              <w:rPr>
                <w:color w:val="000000"/>
              </w:rPr>
              <w:t>(n = 9)</w:t>
            </w:r>
          </w:p>
        </w:tc>
        <w:tc>
          <w:tcPr>
            <w:tcW w:w="1440" w:type="dxa"/>
            <w:tcBorders>
              <w:top w:val="nil"/>
              <w:left w:val="nil"/>
              <w:bottom w:val="single" w:sz="4" w:space="0" w:color="auto"/>
              <w:right w:val="nil"/>
            </w:tcBorders>
            <w:vAlign w:val="bottom"/>
          </w:tcPr>
          <w:p w14:paraId="47C19468" w14:textId="77777777" w:rsidR="00AD65CA" w:rsidRPr="002A78DC" w:rsidRDefault="00AD65CA" w:rsidP="00B01D84">
            <w:pPr>
              <w:jc w:val="center"/>
              <w:rPr>
                <w:color w:val="000000"/>
              </w:rPr>
            </w:pPr>
            <w:r w:rsidRPr="002A78DC">
              <w:rPr>
                <w:color w:val="000000"/>
              </w:rPr>
              <w:t>Pre</w:t>
            </w:r>
            <w:r>
              <w:rPr>
                <w:color w:val="000000"/>
              </w:rPr>
              <w:t>-treatment</w:t>
            </w:r>
          </w:p>
          <w:p w14:paraId="6867357E" w14:textId="77777777" w:rsidR="00AD65CA" w:rsidRPr="002A78DC" w:rsidRDefault="00AD65CA" w:rsidP="00B01D84">
            <w:pPr>
              <w:jc w:val="center"/>
              <w:rPr>
                <w:color w:val="000000"/>
              </w:rPr>
            </w:pPr>
            <w:r w:rsidRPr="002A78DC">
              <w:rPr>
                <w:color w:val="000000"/>
              </w:rPr>
              <w:t>(n = 1</w:t>
            </w:r>
            <w:r>
              <w:rPr>
                <w:color w:val="000000"/>
              </w:rPr>
              <w:t>2</w:t>
            </w:r>
            <w:r w:rsidRPr="002A78DC">
              <w:rPr>
                <w:color w:val="000000"/>
              </w:rPr>
              <w:t>)</w:t>
            </w:r>
          </w:p>
        </w:tc>
        <w:tc>
          <w:tcPr>
            <w:tcW w:w="1350" w:type="dxa"/>
            <w:tcBorders>
              <w:top w:val="nil"/>
              <w:left w:val="nil"/>
              <w:bottom w:val="single" w:sz="4" w:space="0" w:color="auto"/>
              <w:right w:val="nil"/>
            </w:tcBorders>
            <w:vAlign w:val="bottom"/>
          </w:tcPr>
          <w:p w14:paraId="5A7C0933" w14:textId="77777777" w:rsidR="00AD65CA" w:rsidRPr="002A78DC" w:rsidRDefault="00AD65CA" w:rsidP="00B01D84">
            <w:pPr>
              <w:jc w:val="center"/>
              <w:rPr>
                <w:color w:val="000000"/>
              </w:rPr>
            </w:pPr>
            <w:r>
              <w:rPr>
                <w:color w:val="000000"/>
              </w:rPr>
              <w:t>Mid-treatment</w:t>
            </w:r>
          </w:p>
          <w:p w14:paraId="6379CEFA" w14:textId="77777777" w:rsidR="00AD65CA" w:rsidRPr="002A78DC" w:rsidRDefault="00AD65CA" w:rsidP="00B01D84">
            <w:pPr>
              <w:jc w:val="center"/>
              <w:rPr>
                <w:color w:val="000000"/>
              </w:rPr>
            </w:pPr>
            <w:r w:rsidRPr="002A78DC">
              <w:rPr>
                <w:color w:val="000000"/>
              </w:rPr>
              <w:t>(n = 1</w:t>
            </w:r>
            <w:r>
              <w:rPr>
                <w:color w:val="000000"/>
              </w:rPr>
              <w:t>3</w:t>
            </w:r>
            <w:r w:rsidRPr="002A78DC">
              <w:rPr>
                <w:color w:val="000000"/>
              </w:rPr>
              <w:t>)</w:t>
            </w:r>
          </w:p>
        </w:tc>
        <w:tc>
          <w:tcPr>
            <w:tcW w:w="1530" w:type="dxa"/>
            <w:tcBorders>
              <w:top w:val="nil"/>
              <w:left w:val="nil"/>
              <w:bottom w:val="single" w:sz="4" w:space="0" w:color="auto"/>
              <w:right w:val="nil"/>
            </w:tcBorders>
            <w:vAlign w:val="bottom"/>
          </w:tcPr>
          <w:p w14:paraId="53064AC6" w14:textId="77777777" w:rsidR="00AD65CA" w:rsidRDefault="00AD65CA" w:rsidP="00B01D84">
            <w:pPr>
              <w:jc w:val="center"/>
              <w:rPr>
                <w:color w:val="000000"/>
              </w:rPr>
            </w:pPr>
            <w:r>
              <w:rPr>
                <w:color w:val="000000"/>
              </w:rPr>
              <w:t>Post-treatment</w:t>
            </w:r>
          </w:p>
          <w:p w14:paraId="336F74BB" w14:textId="77777777" w:rsidR="00AD65CA" w:rsidRDefault="00AD65CA" w:rsidP="00B01D84">
            <w:pPr>
              <w:jc w:val="center"/>
              <w:rPr>
                <w:color w:val="000000"/>
              </w:rPr>
            </w:pPr>
            <w:r>
              <w:rPr>
                <w:color w:val="000000"/>
              </w:rPr>
              <w:t>(n = 12)</w:t>
            </w:r>
          </w:p>
        </w:tc>
        <w:tc>
          <w:tcPr>
            <w:tcW w:w="1440" w:type="dxa"/>
            <w:tcBorders>
              <w:top w:val="nil"/>
              <w:left w:val="nil"/>
              <w:bottom w:val="single" w:sz="4" w:space="0" w:color="auto"/>
              <w:right w:val="nil"/>
            </w:tcBorders>
            <w:vAlign w:val="bottom"/>
          </w:tcPr>
          <w:p w14:paraId="55DE0BDD" w14:textId="006063B6" w:rsidR="00AD65CA" w:rsidRDefault="00763D9A" w:rsidP="00B01D84">
            <w:pPr>
              <w:jc w:val="center"/>
              <w:rPr>
                <w:color w:val="000000"/>
              </w:rPr>
            </w:pPr>
            <w:r>
              <w:rPr>
                <w:color w:val="000000"/>
              </w:rPr>
              <w:t>One</w:t>
            </w:r>
            <w:r w:rsidR="00AD65CA">
              <w:rPr>
                <w:color w:val="000000"/>
              </w:rPr>
              <w:t xml:space="preserve"> month</w:t>
            </w:r>
          </w:p>
          <w:p w14:paraId="427A06A2" w14:textId="77777777" w:rsidR="00AD65CA" w:rsidRDefault="00AD65CA" w:rsidP="00B01D84">
            <w:pPr>
              <w:jc w:val="center"/>
              <w:rPr>
                <w:color w:val="000000"/>
              </w:rPr>
            </w:pPr>
            <w:r>
              <w:rPr>
                <w:color w:val="000000"/>
              </w:rPr>
              <w:t>Follow-up</w:t>
            </w:r>
          </w:p>
          <w:p w14:paraId="5E5D5D86" w14:textId="77777777" w:rsidR="00AD65CA" w:rsidRPr="002A78DC" w:rsidRDefault="00AD65CA" w:rsidP="00B01D84">
            <w:pPr>
              <w:jc w:val="center"/>
              <w:rPr>
                <w:color w:val="000000"/>
              </w:rPr>
            </w:pPr>
            <w:r>
              <w:rPr>
                <w:color w:val="000000"/>
              </w:rPr>
              <w:t>(n=11)</w:t>
            </w:r>
          </w:p>
        </w:tc>
      </w:tr>
      <w:tr w:rsidR="00AD65CA" w:rsidRPr="002A78DC" w14:paraId="4B53AAC0" w14:textId="77777777" w:rsidTr="00B01D84">
        <w:trPr>
          <w:trHeight w:val="893"/>
        </w:trPr>
        <w:tc>
          <w:tcPr>
            <w:tcW w:w="1674" w:type="dxa"/>
            <w:tcBorders>
              <w:top w:val="nil"/>
              <w:left w:val="nil"/>
              <w:bottom w:val="nil"/>
              <w:right w:val="nil"/>
            </w:tcBorders>
            <w:shd w:val="clear" w:color="auto" w:fill="auto"/>
            <w:noWrap/>
            <w:vAlign w:val="bottom"/>
            <w:hideMark/>
          </w:tcPr>
          <w:p w14:paraId="45B4E933" w14:textId="77777777" w:rsidR="00AD65CA" w:rsidRPr="00E16DFA" w:rsidRDefault="00AD65CA" w:rsidP="00B01D84">
            <w:pPr>
              <w:rPr>
                <w:color w:val="000000"/>
                <w:vertAlign w:val="superscript"/>
              </w:rPr>
            </w:pPr>
            <w:r w:rsidRPr="00E16F9D">
              <w:rPr>
                <w:color w:val="000000"/>
              </w:rPr>
              <w:t>SCARED</w:t>
            </w:r>
            <w:r>
              <w:rPr>
                <w:color w:val="000000"/>
                <w:vertAlign w:val="superscript"/>
              </w:rPr>
              <w:t>1</w:t>
            </w:r>
          </w:p>
        </w:tc>
        <w:tc>
          <w:tcPr>
            <w:tcW w:w="1454" w:type="dxa"/>
            <w:tcBorders>
              <w:top w:val="nil"/>
              <w:left w:val="nil"/>
              <w:bottom w:val="nil"/>
              <w:right w:val="nil"/>
            </w:tcBorders>
            <w:shd w:val="clear" w:color="auto" w:fill="auto"/>
            <w:noWrap/>
            <w:vAlign w:val="bottom"/>
            <w:hideMark/>
          </w:tcPr>
          <w:p w14:paraId="48631534" w14:textId="77777777" w:rsidR="00AD65CA" w:rsidRPr="002A78DC" w:rsidRDefault="00AD65CA" w:rsidP="00B01D84">
            <w:pPr>
              <w:jc w:val="center"/>
              <w:rPr>
                <w:color w:val="000000"/>
              </w:rPr>
            </w:pPr>
            <w:r>
              <w:rPr>
                <w:color w:val="000000"/>
              </w:rPr>
              <w:t>51.8 (5.9)</w:t>
            </w:r>
          </w:p>
        </w:tc>
        <w:tc>
          <w:tcPr>
            <w:tcW w:w="1456" w:type="dxa"/>
            <w:tcBorders>
              <w:top w:val="nil"/>
              <w:left w:val="nil"/>
              <w:bottom w:val="nil"/>
              <w:right w:val="nil"/>
            </w:tcBorders>
            <w:shd w:val="clear" w:color="auto" w:fill="auto"/>
            <w:noWrap/>
            <w:vAlign w:val="bottom"/>
            <w:hideMark/>
          </w:tcPr>
          <w:p w14:paraId="1C315744" w14:textId="77777777" w:rsidR="00AD65CA" w:rsidRPr="002A78DC" w:rsidRDefault="00AD65CA" w:rsidP="00B01D84">
            <w:pPr>
              <w:jc w:val="center"/>
              <w:rPr>
                <w:color w:val="000000"/>
              </w:rPr>
            </w:pPr>
            <w:r>
              <w:rPr>
                <w:color w:val="000000"/>
              </w:rPr>
              <w:t>48.9 (10.3)</w:t>
            </w:r>
          </w:p>
        </w:tc>
        <w:tc>
          <w:tcPr>
            <w:tcW w:w="1356" w:type="dxa"/>
            <w:tcBorders>
              <w:top w:val="nil"/>
              <w:left w:val="nil"/>
              <w:bottom w:val="nil"/>
              <w:right w:val="nil"/>
            </w:tcBorders>
            <w:vAlign w:val="bottom"/>
          </w:tcPr>
          <w:p w14:paraId="2BED8A58" w14:textId="77777777" w:rsidR="00AD65CA" w:rsidRPr="002A78DC" w:rsidRDefault="00AD65CA" w:rsidP="00B01D84">
            <w:pPr>
              <w:jc w:val="center"/>
              <w:rPr>
                <w:color w:val="000000"/>
              </w:rPr>
            </w:pPr>
            <w:r>
              <w:rPr>
                <w:color w:val="000000"/>
              </w:rPr>
              <w:t>46.7 (12.4)</w:t>
            </w:r>
          </w:p>
        </w:tc>
        <w:tc>
          <w:tcPr>
            <w:tcW w:w="1350" w:type="dxa"/>
            <w:tcBorders>
              <w:top w:val="nil"/>
              <w:left w:val="nil"/>
              <w:bottom w:val="nil"/>
              <w:right w:val="nil"/>
            </w:tcBorders>
            <w:vAlign w:val="bottom"/>
          </w:tcPr>
          <w:p w14:paraId="52E1261D" w14:textId="77777777" w:rsidR="00AD65CA" w:rsidRPr="002A78DC" w:rsidRDefault="00AD65CA" w:rsidP="00B01D84">
            <w:pPr>
              <w:jc w:val="center"/>
              <w:rPr>
                <w:color w:val="000000"/>
              </w:rPr>
            </w:pPr>
            <w:r>
              <w:rPr>
                <w:color w:val="000000"/>
              </w:rPr>
              <w:t>49.8 (10.1)</w:t>
            </w:r>
          </w:p>
        </w:tc>
        <w:tc>
          <w:tcPr>
            <w:tcW w:w="1440" w:type="dxa"/>
            <w:tcBorders>
              <w:top w:val="nil"/>
              <w:left w:val="nil"/>
              <w:bottom w:val="nil"/>
              <w:right w:val="nil"/>
            </w:tcBorders>
            <w:vAlign w:val="bottom"/>
          </w:tcPr>
          <w:p w14:paraId="227FFFB4" w14:textId="77777777" w:rsidR="00AD65CA" w:rsidRPr="002A78DC" w:rsidRDefault="00AD65CA" w:rsidP="00B01D84">
            <w:pPr>
              <w:jc w:val="center"/>
              <w:rPr>
                <w:color w:val="000000"/>
              </w:rPr>
            </w:pPr>
            <w:r>
              <w:rPr>
                <w:color w:val="000000"/>
              </w:rPr>
              <w:t>48.3 (12.4)</w:t>
            </w:r>
          </w:p>
        </w:tc>
        <w:tc>
          <w:tcPr>
            <w:tcW w:w="1350" w:type="dxa"/>
            <w:tcBorders>
              <w:top w:val="nil"/>
              <w:left w:val="nil"/>
              <w:bottom w:val="nil"/>
              <w:right w:val="nil"/>
            </w:tcBorders>
            <w:vAlign w:val="bottom"/>
          </w:tcPr>
          <w:p w14:paraId="238155B6" w14:textId="77777777" w:rsidR="00AD65CA" w:rsidRPr="002A78DC" w:rsidRDefault="00AD65CA" w:rsidP="00B01D84">
            <w:pPr>
              <w:jc w:val="center"/>
              <w:rPr>
                <w:color w:val="000000"/>
              </w:rPr>
            </w:pPr>
            <w:r>
              <w:rPr>
                <w:color w:val="000000"/>
              </w:rPr>
              <w:t>47.2</w:t>
            </w:r>
            <w:r w:rsidRPr="002A78DC">
              <w:rPr>
                <w:color w:val="000000"/>
              </w:rPr>
              <w:t xml:space="preserve"> (</w:t>
            </w:r>
            <w:r>
              <w:rPr>
                <w:color w:val="000000"/>
              </w:rPr>
              <w:t>12.4</w:t>
            </w:r>
            <w:r w:rsidRPr="002A78DC">
              <w:rPr>
                <w:color w:val="000000"/>
              </w:rPr>
              <w:t>)</w:t>
            </w:r>
          </w:p>
        </w:tc>
        <w:tc>
          <w:tcPr>
            <w:tcW w:w="1530" w:type="dxa"/>
            <w:tcBorders>
              <w:top w:val="nil"/>
              <w:left w:val="nil"/>
              <w:bottom w:val="nil"/>
              <w:right w:val="nil"/>
            </w:tcBorders>
            <w:vAlign w:val="bottom"/>
          </w:tcPr>
          <w:p w14:paraId="33C1FF3C" w14:textId="77777777" w:rsidR="00AD65CA" w:rsidRPr="002A78DC" w:rsidRDefault="00AD65CA" w:rsidP="00B01D84">
            <w:pPr>
              <w:jc w:val="center"/>
              <w:rPr>
                <w:color w:val="000000"/>
              </w:rPr>
            </w:pPr>
            <w:r>
              <w:rPr>
                <w:color w:val="000000"/>
              </w:rPr>
              <w:t>41.6 (15.2)</w:t>
            </w:r>
          </w:p>
        </w:tc>
        <w:tc>
          <w:tcPr>
            <w:tcW w:w="1440" w:type="dxa"/>
            <w:tcBorders>
              <w:top w:val="nil"/>
              <w:left w:val="nil"/>
              <w:bottom w:val="nil"/>
              <w:right w:val="nil"/>
            </w:tcBorders>
            <w:vAlign w:val="bottom"/>
          </w:tcPr>
          <w:p w14:paraId="34696BA7" w14:textId="77777777" w:rsidR="00AD65CA" w:rsidRPr="002A78DC" w:rsidRDefault="00AD65CA" w:rsidP="00B01D84">
            <w:pPr>
              <w:jc w:val="center"/>
              <w:rPr>
                <w:color w:val="000000"/>
              </w:rPr>
            </w:pPr>
            <w:r>
              <w:rPr>
                <w:color w:val="000000"/>
              </w:rPr>
              <w:t>38.6 (12.7)</w:t>
            </w:r>
          </w:p>
        </w:tc>
      </w:tr>
      <w:tr w:rsidR="00AD65CA" w:rsidRPr="002A78DC" w14:paraId="67AC587E" w14:textId="77777777" w:rsidTr="00B01D84">
        <w:trPr>
          <w:trHeight w:val="893"/>
        </w:trPr>
        <w:tc>
          <w:tcPr>
            <w:tcW w:w="1674" w:type="dxa"/>
            <w:tcBorders>
              <w:top w:val="nil"/>
              <w:left w:val="nil"/>
              <w:bottom w:val="nil"/>
              <w:right w:val="nil"/>
            </w:tcBorders>
            <w:shd w:val="clear" w:color="auto" w:fill="auto"/>
            <w:noWrap/>
            <w:vAlign w:val="bottom"/>
            <w:hideMark/>
          </w:tcPr>
          <w:p w14:paraId="63CA73B8" w14:textId="77777777" w:rsidR="00AD65CA" w:rsidRPr="00E16DFA" w:rsidRDefault="00AD65CA" w:rsidP="00B01D84">
            <w:pPr>
              <w:rPr>
                <w:color w:val="000000"/>
                <w:vertAlign w:val="superscript"/>
              </w:rPr>
            </w:pPr>
            <w:r w:rsidRPr="00E16F9D">
              <w:rPr>
                <w:color w:val="000000"/>
              </w:rPr>
              <w:t>CESD</w:t>
            </w:r>
            <w:r>
              <w:rPr>
                <w:color w:val="000000"/>
                <w:vertAlign w:val="superscript"/>
              </w:rPr>
              <w:t>1</w:t>
            </w:r>
          </w:p>
        </w:tc>
        <w:tc>
          <w:tcPr>
            <w:tcW w:w="1454" w:type="dxa"/>
            <w:tcBorders>
              <w:top w:val="nil"/>
              <w:left w:val="nil"/>
              <w:bottom w:val="nil"/>
              <w:right w:val="nil"/>
            </w:tcBorders>
            <w:shd w:val="clear" w:color="auto" w:fill="auto"/>
            <w:noWrap/>
            <w:vAlign w:val="bottom"/>
            <w:hideMark/>
          </w:tcPr>
          <w:p w14:paraId="68C6503A" w14:textId="77777777" w:rsidR="00AD65CA" w:rsidRPr="002A78DC" w:rsidRDefault="00AD65CA" w:rsidP="00B01D84">
            <w:pPr>
              <w:jc w:val="center"/>
              <w:rPr>
                <w:color w:val="000000"/>
              </w:rPr>
            </w:pPr>
            <w:r>
              <w:rPr>
                <w:color w:val="000000"/>
              </w:rPr>
              <w:t>34.2 (10.8)</w:t>
            </w:r>
          </w:p>
        </w:tc>
        <w:tc>
          <w:tcPr>
            <w:tcW w:w="1456" w:type="dxa"/>
            <w:tcBorders>
              <w:top w:val="nil"/>
              <w:left w:val="nil"/>
              <w:bottom w:val="nil"/>
              <w:right w:val="nil"/>
            </w:tcBorders>
            <w:shd w:val="clear" w:color="auto" w:fill="auto"/>
            <w:noWrap/>
            <w:vAlign w:val="bottom"/>
            <w:hideMark/>
          </w:tcPr>
          <w:p w14:paraId="1B00C0FA" w14:textId="77777777" w:rsidR="00AD65CA" w:rsidRPr="002A78DC" w:rsidRDefault="00AD65CA" w:rsidP="00B01D84">
            <w:pPr>
              <w:jc w:val="center"/>
              <w:rPr>
                <w:color w:val="000000"/>
              </w:rPr>
            </w:pPr>
            <w:r>
              <w:rPr>
                <w:color w:val="000000"/>
              </w:rPr>
              <w:t>32.6 (7.8)</w:t>
            </w:r>
          </w:p>
        </w:tc>
        <w:tc>
          <w:tcPr>
            <w:tcW w:w="1356" w:type="dxa"/>
            <w:tcBorders>
              <w:top w:val="nil"/>
              <w:left w:val="nil"/>
              <w:bottom w:val="nil"/>
              <w:right w:val="nil"/>
            </w:tcBorders>
            <w:vAlign w:val="bottom"/>
          </w:tcPr>
          <w:p w14:paraId="06F7EC9F" w14:textId="77777777" w:rsidR="00AD65CA" w:rsidRPr="002A78DC" w:rsidRDefault="00AD65CA" w:rsidP="00B01D84">
            <w:pPr>
              <w:jc w:val="center"/>
              <w:rPr>
                <w:color w:val="000000"/>
              </w:rPr>
            </w:pPr>
            <w:r>
              <w:rPr>
                <w:color w:val="000000"/>
              </w:rPr>
              <w:t>29.4 (12.8)</w:t>
            </w:r>
          </w:p>
        </w:tc>
        <w:tc>
          <w:tcPr>
            <w:tcW w:w="1350" w:type="dxa"/>
            <w:tcBorders>
              <w:top w:val="nil"/>
              <w:left w:val="nil"/>
              <w:bottom w:val="nil"/>
              <w:right w:val="nil"/>
            </w:tcBorders>
            <w:vAlign w:val="bottom"/>
          </w:tcPr>
          <w:p w14:paraId="703D5345" w14:textId="77777777" w:rsidR="00AD65CA" w:rsidRPr="002A78DC" w:rsidRDefault="00AD65CA" w:rsidP="00B01D84">
            <w:pPr>
              <w:jc w:val="center"/>
              <w:rPr>
                <w:color w:val="000000"/>
              </w:rPr>
            </w:pPr>
            <w:r>
              <w:rPr>
                <w:color w:val="000000"/>
              </w:rPr>
              <w:t>29.1 (9.0)</w:t>
            </w:r>
          </w:p>
        </w:tc>
        <w:tc>
          <w:tcPr>
            <w:tcW w:w="1440" w:type="dxa"/>
            <w:tcBorders>
              <w:top w:val="nil"/>
              <w:left w:val="nil"/>
              <w:bottom w:val="nil"/>
              <w:right w:val="nil"/>
            </w:tcBorders>
            <w:vAlign w:val="bottom"/>
          </w:tcPr>
          <w:p w14:paraId="7BB07127" w14:textId="77777777" w:rsidR="00AD65CA" w:rsidRPr="002A78DC" w:rsidRDefault="00AD65CA" w:rsidP="00B01D84">
            <w:pPr>
              <w:jc w:val="center"/>
              <w:rPr>
                <w:color w:val="000000"/>
              </w:rPr>
            </w:pPr>
            <w:r>
              <w:rPr>
                <w:color w:val="000000"/>
              </w:rPr>
              <w:t>32.2 (9.7)</w:t>
            </w:r>
          </w:p>
        </w:tc>
        <w:tc>
          <w:tcPr>
            <w:tcW w:w="1350" w:type="dxa"/>
            <w:tcBorders>
              <w:top w:val="nil"/>
              <w:left w:val="nil"/>
              <w:bottom w:val="nil"/>
              <w:right w:val="nil"/>
            </w:tcBorders>
            <w:vAlign w:val="bottom"/>
          </w:tcPr>
          <w:p w14:paraId="3AF1E55F" w14:textId="77777777" w:rsidR="00AD65CA" w:rsidRPr="002A78DC" w:rsidRDefault="00AD65CA" w:rsidP="00B01D84">
            <w:pPr>
              <w:jc w:val="center"/>
              <w:rPr>
                <w:color w:val="000000"/>
              </w:rPr>
            </w:pPr>
            <w:r>
              <w:rPr>
                <w:color w:val="000000"/>
              </w:rPr>
              <w:t>26.1</w:t>
            </w:r>
            <w:r w:rsidRPr="002A78DC">
              <w:rPr>
                <w:color w:val="000000"/>
              </w:rPr>
              <w:t xml:space="preserve"> (</w:t>
            </w:r>
            <w:r>
              <w:rPr>
                <w:color w:val="000000"/>
              </w:rPr>
              <w:t>11.9</w:t>
            </w:r>
            <w:r w:rsidRPr="002A78DC">
              <w:rPr>
                <w:color w:val="000000"/>
              </w:rPr>
              <w:t>)</w:t>
            </w:r>
          </w:p>
        </w:tc>
        <w:tc>
          <w:tcPr>
            <w:tcW w:w="1530" w:type="dxa"/>
            <w:tcBorders>
              <w:top w:val="nil"/>
              <w:left w:val="nil"/>
              <w:bottom w:val="nil"/>
              <w:right w:val="nil"/>
            </w:tcBorders>
            <w:vAlign w:val="bottom"/>
          </w:tcPr>
          <w:p w14:paraId="6CF93F42" w14:textId="77777777" w:rsidR="00AD65CA" w:rsidRPr="002A78DC" w:rsidRDefault="00AD65CA" w:rsidP="00B01D84">
            <w:pPr>
              <w:jc w:val="center"/>
              <w:rPr>
                <w:color w:val="000000"/>
              </w:rPr>
            </w:pPr>
            <w:r>
              <w:rPr>
                <w:color w:val="000000"/>
              </w:rPr>
              <w:t>26.3 (10.2)</w:t>
            </w:r>
          </w:p>
        </w:tc>
        <w:tc>
          <w:tcPr>
            <w:tcW w:w="1440" w:type="dxa"/>
            <w:tcBorders>
              <w:top w:val="nil"/>
              <w:left w:val="nil"/>
              <w:bottom w:val="nil"/>
              <w:right w:val="nil"/>
            </w:tcBorders>
            <w:vAlign w:val="bottom"/>
          </w:tcPr>
          <w:p w14:paraId="30FCA756" w14:textId="77777777" w:rsidR="00AD65CA" w:rsidRPr="002A78DC" w:rsidRDefault="00AD65CA" w:rsidP="00B01D84">
            <w:pPr>
              <w:jc w:val="center"/>
              <w:rPr>
                <w:color w:val="000000"/>
              </w:rPr>
            </w:pPr>
            <w:r>
              <w:rPr>
                <w:color w:val="000000"/>
              </w:rPr>
              <w:t>23.7 (10.6)</w:t>
            </w:r>
          </w:p>
        </w:tc>
      </w:tr>
      <w:tr w:rsidR="00AD65CA" w:rsidRPr="002A78DC" w14:paraId="7EE8790A" w14:textId="77777777" w:rsidTr="00B01D84">
        <w:trPr>
          <w:trHeight w:val="893"/>
        </w:trPr>
        <w:tc>
          <w:tcPr>
            <w:tcW w:w="1674" w:type="dxa"/>
            <w:tcBorders>
              <w:top w:val="nil"/>
              <w:left w:val="nil"/>
              <w:bottom w:val="nil"/>
              <w:right w:val="nil"/>
            </w:tcBorders>
            <w:shd w:val="clear" w:color="auto" w:fill="auto"/>
            <w:noWrap/>
            <w:vAlign w:val="bottom"/>
            <w:hideMark/>
          </w:tcPr>
          <w:p w14:paraId="59CBDA33" w14:textId="77777777" w:rsidR="00AD65CA" w:rsidRPr="00E16DFA" w:rsidRDefault="00AD65CA" w:rsidP="00B01D84">
            <w:pPr>
              <w:rPr>
                <w:color w:val="000000"/>
              </w:rPr>
            </w:pPr>
            <w:r w:rsidRPr="00E16F9D">
              <w:rPr>
                <w:color w:val="000000"/>
              </w:rPr>
              <w:t>AFQ-Y</w:t>
            </w:r>
            <w:r>
              <w:rPr>
                <w:color w:val="000000"/>
                <w:vertAlign w:val="superscript"/>
              </w:rPr>
              <w:t>1</w:t>
            </w:r>
          </w:p>
        </w:tc>
        <w:tc>
          <w:tcPr>
            <w:tcW w:w="1454" w:type="dxa"/>
            <w:tcBorders>
              <w:top w:val="nil"/>
              <w:left w:val="nil"/>
              <w:bottom w:val="nil"/>
              <w:right w:val="nil"/>
            </w:tcBorders>
            <w:shd w:val="clear" w:color="auto" w:fill="auto"/>
            <w:noWrap/>
            <w:vAlign w:val="bottom"/>
            <w:hideMark/>
          </w:tcPr>
          <w:p w14:paraId="7C7EBD1A" w14:textId="77777777" w:rsidR="00AD65CA" w:rsidRPr="002A78DC" w:rsidRDefault="00AD65CA" w:rsidP="00B01D84">
            <w:pPr>
              <w:jc w:val="center"/>
            </w:pPr>
            <w:r>
              <w:t>37.5 (8.6)</w:t>
            </w:r>
          </w:p>
        </w:tc>
        <w:tc>
          <w:tcPr>
            <w:tcW w:w="1456" w:type="dxa"/>
            <w:tcBorders>
              <w:top w:val="nil"/>
              <w:left w:val="nil"/>
              <w:bottom w:val="nil"/>
              <w:right w:val="nil"/>
            </w:tcBorders>
            <w:shd w:val="clear" w:color="auto" w:fill="auto"/>
            <w:noWrap/>
            <w:vAlign w:val="bottom"/>
            <w:hideMark/>
          </w:tcPr>
          <w:p w14:paraId="252981D6" w14:textId="77777777" w:rsidR="00AD65CA" w:rsidRPr="002A78DC" w:rsidRDefault="00AD65CA" w:rsidP="00B01D84">
            <w:pPr>
              <w:jc w:val="center"/>
            </w:pPr>
            <w:r>
              <w:t>36.8 (9.9)</w:t>
            </w:r>
          </w:p>
        </w:tc>
        <w:tc>
          <w:tcPr>
            <w:tcW w:w="1356" w:type="dxa"/>
            <w:tcBorders>
              <w:top w:val="nil"/>
              <w:left w:val="nil"/>
              <w:bottom w:val="nil"/>
              <w:right w:val="nil"/>
            </w:tcBorders>
            <w:vAlign w:val="bottom"/>
          </w:tcPr>
          <w:p w14:paraId="4466BE17" w14:textId="77777777" w:rsidR="00AD65CA" w:rsidRPr="002A78DC" w:rsidRDefault="00AD65CA" w:rsidP="00B01D84">
            <w:pPr>
              <w:jc w:val="center"/>
            </w:pPr>
            <w:r>
              <w:t>35.2 (10.2)</w:t>
            </w:r>
          </w:p>
        </w:tc>
        <w:tc>
          <w:tcPr>
            <w:tcW w:w="1350" w:type="dxa"/>
            <w:tcBorders>
              <w:top w:val="nil"/>
              <w:left w:val="nil"/>
              <w:bottom w:val="nil"/>
              <w:right w:val="nil"/>
            </w:tcBorders>
            <w:vAlign w:val="bottom"/>
          </w:tcPr>
          <w:p w14:paraId="34975FE8" w14:textId="77777777" w:rsidR="00AD65CA" w:rsidRPr="002A78DC" w:rsidRDefault="00AD65CA" w:rsidP="00B01D84">
            <w:pPr>
              <w:jc w:val="center"/>
            </w:pPr>
            <w:r>
              <w:t>31.6 (11.5)</w:t>
            </w:r>
          </w:p>
        </w:tc>
        <w:tc>
          <w:tcPr>
            <w:tcW w:w="1440" w:type="dxa"/>
            <w:tcBorders>
              <w:top w:val="nil"/>
              <w:left w:val="nil"/>
              <w:bottom w:val="nil"/>
              <w:right w:val="nil"/>
            </w:tcBorders>
            <w:vAlign w:val="bottom"/>
          </w:tcPr>
          <w:p w14:paraId="2E47222C" w14:textId="77777777" w:rsidR="00AD65CA" w:rsidRPr="002A78DC" w:rsidRDefault="00AD65CA" w:rsidP="00B01D84">
            <w:pPr>
              <w:jc w:val="center"/>
            </w:pPr>
            <w:r>
              <w:t>37.2 (10.5)</w:t>
            </w:r>
          </w:p>
        </w:tc>
        <w:tc>
          <w:tcPr>
            <w:tcW w:w="1350" w:type="dxa"/>
            <w:tcBorders>
              <w:top w:val="nil"/>
              <w:left w:val="nil"/>
              <w:bottom w:val="nil"/>
              <w:right w:val="nil"/>
            </w:tcBorders>
            <w:vAlign w:val="bottom"/>
          </w:tcPr>
          <w:p w14:paraId="79F6B21F" w14:textId="77777777" w:rsidR="00AD65CA" w:rsidRPr="002A78DC" w:rsidRDefault="00AD65CA" w:rsidP="00B01D84">
            <w:pPr>
              <w:jc w:val="center"/>
            </w:pPr>
            <w:r>
              <w:t>34.2 (13.0)</w:t>
            </w:r>
          </w:p>
        </w:tc>
        <w:tc>
          <w:tcPr>
            <w:tcW w:w="1530" w:type="dxa"/>
            <w:tcBorders>
              <w:top w:val="nil"/>
              <w:left w:val="nil"/>
              <w:bottom w:val="nil"/>
              <w:right w:val="nil"/>
            </w:tcBorders>
            <w:vAlign w:val="bottom"/>
          </w:tcPr>
          <w:p w14:paraId="081C3BB0" w14:textId="77777777" w:rsidR="00AD65CA" w:rsidRPr="002A78DC" w:rsidRDefault="00AD65CA" w:rsidP="00B01D84">
            <w:pPr>
              <w:jc w:val="center"/>
            </w:pPr>
            <w:r>
              <w:t>30.8 (15.1)</w:t>
            </w:r>
          </w:p>
        </w:tc>
        <w:tc>
          <w:tcPr>
            <w:tcW w:w="1440" w:type="dxa"/>
            <w:tcBorders>
              <w:top w:val="nil"/>
              <w:left w:val="nil"/>
              <w:bottom w:val="nil"/>
              <w:right w:val="nil"/>
            </w:tcBorders>
            <w:vAlign w:val="bottom"/>
          </w:tcPr>
          <w:p w14:paraId="3E2A7C1F" w14:textId="77777777" w:rsidR="00AD65CA" w:rsidRPr="002A78DC" w:rsidRDefault="00AD65CA" w:rsidP="00B01D84">
            <w:pPr>
              <w:jc w:val="center"/>
            </w:pPr>
            <w:r>
              <w:t>32.3 (11.4)</w:t>
            </w:r>
          </w:p>
        </w:tc>
      </w:tr>
      <w:tr w:rsidR="00AD65CA" w:rsidRPr="002A78DC" w14:paraId="048421D3" w14:textId="77777777" w:rsidTr="00B01D84">
        <w:trPr>
          <w:trHeight w:val="893"/>
        </w:trPr>
        <w:tc>
          <w:tcPr>
            <w:tcW w:w="1674" w:type="dxa"/>
            <w:tcBorders>
              <w:top w:val="nil"/>
              <w:left w:val="nil"/>
              <w:bottom w:val="nil"/>
              <w:right w:val="nil"/>
            </w:tcBorders>
            <w:shd w:val="clear" w:color="auto" w:fill="auto"/>
            <w:noWrap/>
            <w:vAlign w:val="bottom"/>
            <w:hideMark/>
          </w:tcPr>
          <w:p w14:paraId="37787549" w14:textId="77777777" w:rsidR="00AD65CA" w:rsidRPr="00E16F9D" w:rsidRDefault="00AD65CA" w:rsidP="00B01D84">
            <w:pPr>
              <w:rPr>
                <w:color w:val="000000"/>
              </w:rPr>
            </w:pPr>
            <w:r w:rsidRPr="00E16F9D">
              <w:rPr>
                <w:color w:val="000000"/>
              </w:rPr>
              <w:t>MHC-SF</w:t>
            </w:r>
          </w:p>
        </w:tc>
        <w:tc>
          <w:tcPr>
            <w:tcW w:w="1454" w:type="dxa"/>
            <w:tcBorders>
              <w:top w:val="nil"/>
              <w:left w:val="nil"/>
              <w:bottom w:val="nil"/>
              <w:right w:val="nil"/>
            </w:tcBorders>
            <w:shd w:val="clear" w:color="auto" w:fill="auto"/>
            <w:noWrap/>
            <w:vAlign w:val="bottom"/>
            <w:hideMark/>
          </w:tcPr>
          <w:p w14:paraId="233846B7" w14:textId="77777777" w:rsidR="00AD65CA" w:rsidRPr="002A78DC" w:rsidRDefault="00AD65CA" w:rsidP="00B01D84">
            <w:pPr>
              <w:jc w:val="center"/>
              <w:rPr>
                <w:color w:val="000000"/>
              </w:rPr>
            </w:pPr>
            <w:r>
              <w:rPr>
                <w:color w:val="000000"/>
              </w:rPr>
              <w:t>32.6 (9.4)</w:t>
            </w:r>
          </w:p>
        </w:tc>
        <w:tc>
          <w:tcPr>
            <w:tcW w:w="1456" w:type="dxa"/>
            <w:tcBorders>
              <w:top w:val="nil"/>
              <w:left w:val="nil"/>
              <w:bottom w:val="nil"/>
              <w:right w:val="nil"/>
            </w:tcBorders>
            <w:shd w:val="clear" w:color="auto" w:fill="auto"/>
            <w:noWrap/>
            <w:vAlign w:val="bottom"/>
            <w:hideMark/>
          </w:tcPr>
          <w:p w14:paraId="40FDA21D" w14:textId="77777777" w:rsidR="00AD65CA" w:rsidRPr="002A78DC" w:rsidRDefault="00AD65CA" w:rsidP="00B01D84">
            <w:pPr>
              <w:jc w:val="center"/>
              <w:rPr>
                <w:color w:val="000000"/>
              </w:rPr>
            </w:pPr>
            <w:r>
              <w:rPr>
                <w:color w:val="000000"/>
              </w:rPr>
              <w:t>33.5 (7.6)</w:t>
            </w:r>
          </w:p>
        </w:tc>
        <w:tc>
          <w:tcPr>
            <w:tcW w:w="1356" w:type="dxa"/>
            <w:tcBorders>
              <w:top w:val="nil"/>
              <w:left w:val="nil"/>
              <w:bottom w:val="nil"/>
              <w:right w:val="nil"/>
            </w:tcBorders>
            <w:vAlign w:val="bottom"/>
          </w:tcPr>
          <w:p w14:paraId="5D40FEE3" w14:textId="77777777" w:rsidR="00AD65CA" w:rsidRPr="002A78DC" w:rsidRDefault="00AD65CA" w:rsidP="00B01D84">
            <w:pPr>
              <w:jc w:val="center"/>
              <w:rPr>
                <w:color w:val="000000"/>
              </w:rPr>
            </w:pPr>
            <w:r>
              <w:rPr>
                <w:color w:val="000000"/>
              </w:rPr>
              <w:t>37.0 (5.4)</w:t>
            </w:r>
          </w:p>
        </w:tc>
        <w:tc>
          <w:tcPr>
            <w:tcW w:w="1350" w:type="dxa"/>
            <w:tcBorders>
              <w:top w:val="nil"/>
              <w:left w:val="nil"/>
              <w:bottom w:val="nil"/>
              <w:right w:val="nil"/>
            </w:tcBorders>
            <w:vAlign w:val="bottom"/>
          </w:tcPr>
          <w:p w14:paraId="217F27D4" w14:textId="77777777" w:rsidR="00AD65CA" w:rsidRPr="002A78DC" w:rsidRDefault="00AD65CA" w:rsidP="00B01D84">
            <w:pPr>
              <w:jc w:val="center"/>
              <w:rPr>
                <w:color w:val="000000"/>
              </w:rPr>
            </w:pPr>
            <w:r>
              <w:rPr>
                <w:color w:val="000000"/>
              </w:rPr>
              <w:t>39.4 (10.1)</w:t>
            </w:r>
          </w:p>
        </w:tc>
        <w:tc>
          <w:tcPr>
            <w:tcW w:w="1440" w:type="dxa"/>
            <w:tcBorders>
              <w:top w:val="nil"/>
              <w:left w:val="nil"/>
              <w:bottom w:val="nil"/>
              <w:right w:val="nil"/>
            </w:tcBorders>
            <w:vAlign w:val="bottom"/>
          </w:tcPr>
          <w:p w14:paraId="2627AFEE" w14:textId="77777777" w:rsidR="00AD65CA" w:rsidRPr="002A78DC" w:rsidRDefault="00AD65CA" w:rsidP="00B01D84">
            <w:pPr>
              <w:jc w:val="center"/>
              <w:rPr>
                <w:color w:val="000000"/>
              </w:rPr>
            </w:pPr>
            <w:r>
              <w:rPr>
                <w:color w:val="000000"/>
              </w:rPr>
              <w:t>33.6 (12.6)</w:t>
            </w:r>
          </w:p>
        </w:tc>
        <w:tc>
          <w:tcPr>
            <w:tcW w:w="1350" w:type="dxa"/>
            <w:tcBorders>
              <w:top w:val="nil"/>
              <w:left w:val="nil"/>
              <w:bottom w:val="nil"/>
              <w:right w:val="nil"/>
            </w:tcBorders>
            <w:vAlign w:val="bottom"/>
          </w:tcPr>
          <w:p w14:paraId="5B9514FA" w14:textId="77777777" w:rsidR="00AD65CA" w:rsidRPr="002A78DC" w:rsidRDefault="00AD65CA" w:rsidP="00B01D84">
            <w:pPr>
              <w:jc w:val="center"/>
              <w:rPr>
                <w:color w:val="000000"/>
              </w:rPr>
            </w:pPr>
            <w:r>
              <w:rPr>
                <w:color w:val="000000"/>
              </w:rPr>
              <w:t>37.2 (10.6)</w:t>
            </w:r>
          </w:p>
        </w:tc>
        <w:tc>
          <w:tcPr>
            <w:tcW w:w="1530" w:type="dxa"/>
            <w:tcBorders>
              <w:top w:val="nil"/>
              <w:left w:val="nil"/>
              <w:bottom w:val="nil"/>
              <w:right w:val="nil"/>
            </w:tcBorders>
            <w:vAlign w:val="bottom"/>
          </w:tcPr>
          <w:p w14:paraId="01529AA8" w14:textId="77777777" w:rsidR="00AD65CA" w:rsidRPr="002A78DC" w:rsidRDefault="00AD65CA" w:rsidP="00B01D84">
            <w:pPr>
              <w:jc w:val="center"/>
              <w:rPr>
                <w:color w:val="000000"/>
              </w:rPr>
            </w:pPr>
            <w:r>
              <w:rPr>
                <w:color w:val="000000"/>
              </w:rPr>
              <w:t>40.9 (14.0)</w:t>
            </w:r>
          </w:p>
        </w:tc>
        <w:tc>
          <w:tcPr>
            <w:tcW w:w="1440" w:type="dxa"/>
            <w:tcBorders>
              <w:top w:val="nil"/>
              <w:left w:val="nil"/>
              <w:bottom w:val="nil"/>
              <w:right w:val="nil"/>
            </w:tcBorders>
            <w:vAlign w:val="bottom"/>
          </w:tcPr>
          <w:p w14:paraId="5903DEB8" w14:textId="77777777" w:rsidR="00AD65CA" w:rsidRPr="002A78DC" w:rsidRDefault="00AD65CA" w:rsidP="00B01D84">
            <w:pPr>
              <w:jc w:val="center"/>
              <w:rPr>
                <w:color w:val="000000"/>
              </w:rPr>
            </w:pPr>
            <w:r>
              <w:rPr>
                <w:color w:val="000000"/>
              </w:rPr>
              <w:t>37.4 (11.9)</w:t>
            </w:r>
          </w:p>
        </w:tc>
      </w:tr>
      <w:tr w:rsidR="00AD65CA" w:rsidRPr="002A78DC" w14:paraId="109AEBA3" w14:textId="77777777" w:rsidTr="00B01D84">
        <w:trPr>
          <w:trHeight w:val="893"/>
        </w:trPr>
        <w:tc>
          <w:tcPr>
            <w:tcW w:w="1674" w:type="dxa"/>
            <w:tcBorders>
              <w:top w:val="nil"/>
              <w:left w:val="nil"/>
              <w:right w:val="nil"/>
            </w:tcBorders>
            <w:shd w:val="clear" w:color="auto" w:fill="auto"/>
            <w:noWrap/>
            <w:vAlign w:val="bottom"/>
            <w:hideMark/>
          </w:tcPr>
          <w:p w14:paraId="5C124696" w14:textId="77777777" w:rsidR="00AD65CA" w:rsidRPr="00E16F9D" w:rsidRDefault="00AD65CA" w:rsidP="00B01D84">
            <w:pPr>
              <w:rPr>
                <w:color w:val="000000"/>
              </w:rPr>
            </w:pPr>
            <w:r w:rsidRPr="00E16F9D">
              <w:rPr>
                <w:color w:val="000000"/>
              </w:rPr>
              <w:t>SSWQ</w:t>
            </w:r>
          </w:p>
        </w:tc>
        <w:tc>
          <w:tcPr>
            <w:tcW w:w="1454" w:type="dxa"/>
            <w:tcBorders>
              <w:top w:val="nil"/>
              <w:left w:val="nil"/>
              <w:right w:val="nil"/>
            </w:tcBorders>
            <w:shd w:val="clear" w:color="auto" w:fill="auto"/>
            <w:noWrap/>
            <w:vAlign w:val="bottom"/>
            <w:hideMark/>
          </w:tcPr>
          <w:p w14:paraId="442AC567" w14:textId="77777777" w:rsidR="00AD65CA" w:rsidRPr="002A78DC" w:rsidRDefault="00AD65CA" w:rsidP="00B01D84">
            <w:pPr>
              <w:jc w:val="center"/>
              <w:rPr>
                <w:color w:val="000000"/>
              </w:rPr>
            </w:pPr>
            <w:r>
              <w:rPr>
                <w:color w:val="000000"/>
              </w:rPr>
              <w:t>40.9 (9.1)</w:t>
            </w:r>
          </w:p>
        </w:tc>
        <w:tc>
          <w:tcPr>
            <w:tcW w:w="1456" w:type="dxa"/>
            <w:tcBorders>
              <w:top w:val="nil"/>
              <w:left w:val="nil"/>
              <w:right w:val="nil"/>
            </w:tcBorders>
            <w:shd w:val="clear" w:color="auto" w:fill="auto"/>
            <w:noWrap/>
            <w:vAlign w:val="bottom"/>
            <w:hideMark/>
          </w:tcPr>
          <w:p w14:paraId="37E3E340" w14:textId="77777777" w:rsidR="00AD65CA" w:rsidRPr="002A78DC" w:rsidRDefault="00AD65CA" w:rsidP="00B01D84">
            <w:pPr>
              <w:jc w:val="center"/>
              <w:rPr>
                <w:color w:val="000000"/>
              </w:rPr>
            </w:pPr>
            <w:r>
              <w:rPr>
                <w:color w:val="000000"/>
              </w:rPr>
              <w:t>41.5 (8.0)</w:t>
            </w:r>
          </w:p>
        </w:tc>
        <w:tc>
          <w:tcPr>
            <w:tcW w:w="1356" w:type="dxa"/>
            <w:tcBorders>
              <w:top w:val="nil"/>
              <w:left w:val="nil"/>
              <w:right w:val="nil"/>
            </w:tcBorders>
            <w:vAlign w:val="bottom"/>
          </w:tcPr>
          <w:p w14:paraId="3C91D821" w14:textId="77777777" w:rsidR="00AD65CA" w:rsidRPr="002A78DC" w:rsidRDefault="00AD65CA" w:rsidP="00B01D84">
            <w:pPr>
              <w:jc w:val="center"/>
              <w:rPr>
                <w:color w:val="000000"/>
              </w:rPr>
            </w:pPr>
            <w:r>
              <w:rPr>
                <w:color w:val="000000"/>
              </w:rPr>
              <w:t>44.4 (8.5)</w:t>
            </w:r>
          </w:p>
        </w:tc>
        <w:tc>
          <w:tcPr>
            <w:tcW w:w="1350" w:type="dxa"/>
            <w:tcBorders>
              <w:top w:val="nil"/>
              <w:left w:val="nil"/>
              <w:right w:val="nil"/>
            </w:tcBorders>
            <w:vAlign w:val="bottom"/>
          </w:tcPr>
          <w:p w14:paraId="421D4793" w14:textId="77777777" w:rsidR="00AD65CA" w:rsidRPr="002A78DC" w:rsidRDefault="00AD65CA" w:rsidP="00B01D84">
            <w:pPr>
              <w:jc w:val="center"/>
              <w:rPr>
                <w:color w:val="000000"/>
              </w:rPr>
            </w:pPr>
            <w:r>
              <w:rPr>
                <w:color w:val="000000"/>
              </w:rPr>
              <w:t>43.3 (8.4)</w:t>
            </w:r>
          </w:p>
        </w:tc>
        <w:tc>
          <w:tcPr>
            <w:tcW w:w="1440" w:type="dxa"/>
            <w:tcBorders>
              <w:top w:val="nil"/>
              <w:left w:val="nil"/>
              <w:right w:val="nil"/>
            </w:tcBorders>
            <w:vAlign w:val="bottom"/>
          </w:tcPr>
          <w:p w14:paraId="784FA738" w14:textId="77777777" w:rsidR="00AD65CA" w:rsidRPr="002A78DC" w:rsidRDefault="00AD65CA" w:rsidP="00B01D84">
            <w:pPr>
              <w:jc w:val="center"/>
              <w:rPr>
                <w:color w:val="000000"/>
              </w:rPr>
            </w:pPr>
            <w:r>
              <w:rPr>
                <w:color w:val="000000"/>
              </w:rPr>
              <w:t>42.7 (8.3)</w:t>
            </w:r>
          </w:p>
        </w:tc>
        <w:tc>
          <w:tcPr>
            <w:tcW w:w="1350" w:type="dxa"/>
            <w:tcBorders>
              <w:top w:val="nil"/>
              <w:left w:val="nil"/>
              <w:right w:val="nil"/>
            </w:tcBorders>
            <w:vAlign w:val="bottom"/>
          </w:tcPr>
          <w:p w14:paraId="22CF00DD" w14:textId="77777777" w:rsidR="00AD65CA" w:rsidRPr="002A78DC" w:rsidRDefault="00AD65CA" w:rsidP="00B01D84">
            <w:pPr>
              <w:jc w:val="center"/>
              <w:rPr>
                <w:color w:val="000000"/>
              </w:rPr>
            </w:pPr>
            <w:r>
              <w:rPr>
                <w:color w:val="000000"/>
              </w:rPr>
              <w:t>44.9 (9.1)</w:t>
            </w:r>
          </w:p>
        </w:tc>
        <w:tc>
          <w:tcPr>
            <w:tcW w:w="1530" w:type="dxa"/>
            <w:tcBorders>
              <w:top w:val="nil"/>
              <w:left w:val="nil"/>
              <w:right w:val="nil"/>
            </w:tcBorders>
            <w:vAlign w:val="bottom"/>
          </w:tcPr>
          <w:p w14:paraId="7A60D8F3" w14:textId="77777777" w:rsidR="00AD65CA" w:rsidRPr="002A78DC" w:rsidRDefault="00AD65CA" w:rsidP="00B01D84">
            <w:pPr>
              <w:jc w:val="center"/>
              <w:rPr>
                <w:color w:val="000000"/>
              </w:rPr>
            </w:pPr>
            <w:r>
              <w:rPr>
                <w:color w:val="000000"/>
              </w:rPr>
              <w:t>47.8 (11.0)</w:t>
            </w:r>
          </w:p>
        </w:tc>
        <w:tc>
          <w:tcPr>
            <w:tcW w:w="1440" w:type="dxa"/>
            <w:tcBorders>
              <w:top w:val="nil"/>
              <w:left w:val="nil"/>
              <w:right w:val="nil"/>
            </w:tcBorders>
            <w:vAlign w:val="bottom"/>
          </w:tcPr>
          <w:p w14:paraId="706FEB18" w14:textId="77777777" w:rsidR="00AD65CA" w:rsidRPr="002A78DC" w:rsidRDefault="00AD65CA" w:rsidP="00B01D84">
            <w:pPr>
              <w:jc w:val="center"/>
              <w:rPr>
                <w:color w:val="000000"/>
              </w:rPr>
            </w:pPr>
            <w:r>
              <w:rPr>
                <w:color w:val="000000"/>
              </w:rPr>
              <w:t>43.5 (9.5)</w:t>
            </w:r>
          </w:p>
        </w:tc>
      </w:tr>
      <w:tr w:rsidR="00AD65CA" w:rsidRPr="002A78DC" w14:paraId="36580240" w14:textId="77777777" w:rsidTr="00B01D84">
        <w:trPr>
          <w:trHeight w:val="893"/>
        </w:trPr>
        <w:tc>
          <w:tcPr>
            <w:tcW w:w="1674" w:type="dxa"/>
            <w:tcBorders>
              <w:top w:val="nil"/>
              <w:left w:val="nil"/>
              <w:bottom w:val="single" w:sz="4" w:space="0" w:color="auto"/>
              <w:right w:val="nil"/>
            </w:tcBorders>
            <w:shd w:val="clear" w:color="auto" w:fill="auto"/>
            <w:noWrap/>
            <w:vAlign w:val="bottom"/>
            <w:hideMark/>
          </w:tcPr>
          <w:p w14:paraId="224E7FB1" w14:textId="77777777" w:rsidR="00AD65CA" w:rsidRPr="002A78DC" w:rsidRDefault="00AD65CA" w:rsidP="00B01D84">
            <w:pPr>
              <w:rPr>
                <w:color w:val="000000"/>
              </w:rPr>
            </w:pPr>
            <w:r>
              <w:rPr>
                <w:color w:val="000000"/>
              </w:rPr>
              <w:t>Class absences</w:t>
            </w:r>
          </w:p>
        </w:tc>
        <w:tc>
          <w:tcPr>
            <w:tcW w:w="1454" w:type="dxa"/>
            <w:tcBorders>
              <w:top w:val="nil"/>
              <w:left w:val="nil"/>
              <w:bottom w:val="single" w:sz="4" w:space="0" w:color="auto"/>
              <w:right w:val="nil"/>
            </w:tcBorders>
            <w:shd w:val="clear" w:color="auto" w:fill="auto"/>
            <w:noWrap/>
            <w:vAlign w:val="bottom"/>
            <w:hideMark/>
          </w:tcPr>
          <w:p w14:paraId="38857AF9" w14:textId="77777777" w:rsidR="00AD65CA" w:rsidRPr="002A78DC" w:rsidRDefault="00AD65CA" w:rsidP="00B01D84">
            <w:pPr>
              <w:jc w:val="center"/>
            </w:pPr>
            <w:r>
              <w:t>3.3 (3.4)</w:t>
            </w:r>
          </w:p>
        </w:tc>
        <w:tc>
          <w:tcPr>
            <w:tcW w:w="1456" w:type="dxa"/>
            <w:tcBorders>
              <w:top w:val="nil"/>
              <w:left w:val="nil"/>
              <w:bottom w:val="single" w:sz="4" w:space="0" w:color="auto"/>
              <w:right w:val="nil"/>
            </w:tcBorders>
            <w:shd w:val="clear" w:color="auto" w:fill="auto"/>
            <w:noWrap/>
            <w:vAlign w:val="bottom"/>
            <w:hideMark/>
          </w:tcPr>
          <w:p w14:paraId="73CB7BD8" w14:textId="77777777" w:rsidR="00AD65CA" w:rsidRPr="002A78DC" w:rsidRDefault="00AD65CA" w:rsidP="00B01D84">
            <w:pPr>
              <w:jc w:val="center"/>
            </w:pPr>
            <w:r>
              <w:t>3.1 (2.5)</w:t>
            </w:r>
          </w:p>
        </w:tc>
        <w:tc>
          <w:tcPr>
            <w:tcW w:w="1356" w:type="dxa"/>
            <w:tcBorders>
              <w:top w:val="nil"/>
              <w:left w:val="nil"/>
              <w:bottom w:val="single" w:sz="4" w:space="0" w:color="auto"/>
              <w:right w:val="nil"/>
            </w:tcBorders>
            <w:vAlign w:val="bottom"/>
          </w:tcPr>
          <w:p w14:paraId="605B020E" w14:textId="77777777" w:rsidR="00AD65CA" w:rsidRPr="002A78DC" w:rsidRDefault="00AD65CA" w:rsidP="00B01D84">
            <w:pPr>
              <w:jc w:val="center"/>
            </w:pPr>
            <w:r>
              <w:t>9.1 (9.9)</w:t>
            </w:r>
          </w:p>
        </w:tc>
        <w:tc>
          <w:tcPr>
            <w:tcW w:w="1350" w:type="dxa"/>
            <w:tcBorders>
              <w:top w:val="nil"/>
              <w:left w:val="nil"/>
              <w:bottom w:val="single" w:sz="4" w:space="0" w:color="auto"/>
              <w:right w:val="nil"/>
            </w:tcBorders>
            <w:vAlign w:val="bottom"/>
          </w:tcPr>
          <w:p w14:paraId="1E6AC534" w14:textId="77777777" w:rsidR="00AD65CA" w:rsidRPr="002A78DC" w:rsidRDefault="00AD65CA" w:rsidP="00B01D84">
            <w:pPr>
              <w:jc w:val="center"/>
            </w:pPr>
            <w:r>
              <w:t>5.6 (5.7)</w:t>
            </w:r>
          </w:p>
        </w:tc>
        <w:tc>
          <w:tcPr>
            <w:tcW w:w="1440" w:type="dxa"/>
            <w:tcBorders>
              <w:top w:val="nil"/>
              <w:left w:val="nil"/>
              <w:bottom w:val="single" w:sz="4" w:space="0" w:color="auto"/>
              <w:right w:val="nil"/>
            </w:tcBorders>
            <w:vAlign w:val="bottom"/>
          </w:tcPr>
          <w:p w14:paraId="011C27DF" w14:textId="77777777" w:rsidR="00AD65CA" w:rsidRPr="002A78DC" w:rsidRDefault="00AD65CA" w:rsidP="00B01D84">
            <w:pPr>
              <w:jc w:val="center"/>
            </w:pPr>
            <w:r>
              <w:t>7.9 (14.6)</w:t>
            </w:r>
          </w:p>
        </w:tc>
        <w:tc>
          <w:tcPr>
            <w:tcW w:w="1350" w:type="dxa"/>
            <w:tcBorders>
              <w:top w:val="nil"/>
              <w:left w:val="nil"/>
              <w:bottom w:val="single" w:sz="4" w:space="0" w:color="auto"/>
              <w:right w:val="nil"/>
            </w:tcBorders>
            <w:vAlign w:val="bottom"/>
          </w:tcPr>
          <w:p w14:paraId="30325088" w14:textId="77777777" w:rsidR="00AD65CA" w:rsidRPr="002A78DC" w:rsidRDefault="00AD65CA" w:rsidP="00B01D84">
            <w:pPr>
              <w:jc w:val="center"/>
            </w:pPr>
            <w:r>
              <w:t>5.8 (7.3)</w:t>
            </w:r>
          </w:p>
        </w:tc>
        <w:tc>
          <w:tcPr>
            <w:tcW w:w="1530" w:type="dxa"/>
            <w:tcBorders>
              <w:top w:val="nil"/>
              <w:left w:val="nil"/>
              <w:bottom w:val="single" w:sz="4" w:space="0" w:color="auto"/>
              <w:right w:val="nil"/>
            </w:tcBorders>
            <w:vAlign w:val="bottom"/>
          </w:tcPr>
          <w:p w14:paraId="154845EE" w14:textId="77777777" w:rsidR="00AD65CA" w:rsidRPr="002A78DC" w:rsidRDefault="00AD65CA" w:rsidP="00B01D84">
            <w:pPr>
              <w:jc w:val="center"/>
            </w:pPr>
            <w:r>
              <w:t>3.1 (2.8)</w:t>
            </w:r>
          </w:p>
        </w:tc>
        <w:tc>
          <w:tcPr>
            <w:tcW w:w="1440" w:type="dxa"/>
            <w:tcBorders>
              <w:top w:val="nil"/>
              <w:left w:val="nil"/>
              <w:bottom w:val="single" w:sz="4" w:space="0" w:color="auto"/>
              <w:right w:val="nil"/>
            </w:tcBorders>
            <w:vAlign w:val="bottom"/>
          </w:tcPr>
          <w:p w14:paraId="10AF763F" w14:textId="77777777" w:rsidR="00AD65CA" w:rsidRPr="002A78DC" w:rsidRDefault="00AD65CA" w:rsidP="00B01D84">
            <w:pPr>
              <w:jc w:val="center"/>
            </w:pPr>
            <w:r>
              <w:t>3.0 (3.0)</w:t>
            </w:r>
          </w:p>
        </w:tc>
      </w:tr>
    </w:tbl>
    <w:p w14:paraId="695B2BA6" w14:textId="77777777" w:rsidR="00AD65CA" w:rsidRPr="002A78DC" w:rsidRDefault="00AD65CA" w:rsidP="00AD65CA">
      <w:pPr>
        <w:rPr>
          <w:color w:val="000000"/>
        </w:rPr>
      </w:pPr>
      <w:r>
        <w:rPr>
          <w:color w:val="000000"/>
          <w:vertAlign w:val="superscript"/>
        </w:rPr>
        <w:t>1</w:t>
      </w:r>
      <w:r w:rsidRPr="002A78DC">
        <w:rPr>
          <w:color w:val="000000"/>
          <w:vertAlign w:val="superscript"/>
        </w:rPr>
        <w:t xml:space="preserve"> </w:t>
      </w:r>
      <w:r w:rsidRPr="002A78DC">
        <w:rPr>
          <w:color w:val="000000"/>
        </w:rPr>
        <w:t xml:space="preserve">Higher scores </w:t>
      </w:r>
      <w:r>
        <w:rPr>
          <w:color w:val="000000"/>
        </w:rPr>
        <w:t>indicate greater severity</w:t>
      </w:r>
    </w:p>
    <w:p w14:paraId="69A67218" w14:textId="77777777" w:rsidR="00AD65CA" w:rsidRDefault="00AD65CA" w:rsidP="00AD65CA">
      <w:r w:rsidRPr="002A78DC">
        <w:rPr>
          <w:i/>
          <w:iCs/>
        </w:rPr>
        <w:t>Note.</w:t>
      </w:r>
      <w:r w:rsidRPr="002A78DC">
        <w:t xml:space="preserve"> </w:t>
      </w:r>
      <w:r>
        <w:t xml:space="preserve">SCARED = </w:t>
      </w:r>
      <w:r w:rsidRPr="00581E1F">
        <w:rPr>
          <w:bCs/>
        </w:rPr>
        <w:t>Screen for Child Anxiety and Related Disorders – Child Report</w:t>
      </w:r>
      <w:r>
        <w:t>, CES-D = Center for Epidemiologic Studies Depression Scale, AFQ-Y = Avoidance and Fusion Questionnaire for Youth, MHC-SF = Mental Health Continuum Short Form, SSWQ = Student Subjective Well-being Questionnaire</w:t>
      </w:r>
    </w:p>
    <w:p w14:paraId="3173E70D" w14:textId="77777777" w:rsidR="00AD65CA" w:rsidRDefault="00AD65CA" w:rsidP="00AD65CA">
      <w:r>
        <w:br w:type="page"/>
      </w:r>
    </w:p>
    <w:p w14:paraId="4940962B" w14:textId="3B768CCF" w:rsidR="00C322D9" w:rsidRPr="002A78DC" w:rsidRDefault="00C322D9" w:rsidP="00C322D9">
      <w:r w:rsidRPr="002A78DC">
        <w:lastRenderedPageBreak/>
        <w:t xml:space="preserve">Table </w:t>
      </w:r>
      <w:r>
        <w:t>3</w:t>
      </w:r>
    </w:p>
    <w:p w14:paraId="4DCDBFB8" w14:textId="21BEA9CC" w:rsidR="00C322D9" w:rsidRPr="00B31D1F" w:rsidRDefault="00C322D9" w:rsidP="00C322D9">
      <w:pPr>
        <w:rPr>
          <w:i/>
          <w:iCs/>
        </w:rPr>
      </w:pPr>
      <w:r w:rsidRPr="00B31D1F">
        <w:rPr>
          <w:i/>
          <w:iCs/>
        </w:rPr>
        <w:t xml:space="preserve">Means and standard deviations </w:t>
      </w:r>
      <w:r>
        <w:rPr>
          <w:i/>
          <w:iCs/>
        </w:rPr>
        <w:t xml:space="preserve">of </w:t>
      </w:r>
      <w:r w:rsidR="00A249FD">
        <w:rPr>
          <w:i/>
          <w:iCs/>
        </w:rPr>
        <w:t>SCARED subscales for entire sample.</w:t>
      </w:r>
    </w:p>
    <w:tbl>
      <w:tblPr>
        <w:tblW w:w="13050" w:type="dxa"/>
        <w:tblLayout w:type="fixed"/>
        <w:tblLook w:val="04A0" w:firstRow="1" w:lastRow="0" w:firstColumn="1" w:lastColumn="0" w:noHBand="0" w:noVBand="1"/>
      </w:tblPr>
      <w:tblGrid>
        <w:gridCol w:w="1674"/>
        <w:gridCol w:w="1454"/>
        <w:gridCol w:w="1456"/>
        <w:gridCol w:w="1356"/>
        <w:gridCol w:w="1350"/>
        <w:gridCol w:w="1440"/>
        <w:gridCol w:w="1350"/>
        <w:gridCol w:w="1530"/>
        <w:gridCol w:w="1440"/>
      </w:tblGrid>
      <w:tr w:rsidR="00C322D9" w:rsidRPr="002A78DC" w14:paraId="008D04A9" w14:textId="77777777" w:rsidTr="006C59C5">
        <w:trPr>
          <w:trHeight w:val="893"/>
        </w:trPr>
        <w:tc>
          <w:tcPr>
            <w:tcW w:w="1674" w:type="dxa"/>
            <w:tcBorders>
              <w:top w:val="single" w:sz="4" w:space="0" w:color="auto"/>
              <w:left w:val="nil"/>
              <w:bottom w:val="nil"/>
              <w:right w:val="nil"/>
            </w:tcBorders>
            <w:shd w:val="clear" w:color="auto" w:fill="auto"/>
            <w:noWrap/>
            <w:vAlign w:val="bottom"/>
            <w:hideMark/>
          </w:tcPr>
          <w:p w14:paraId="6940D659" w14:textId="77777777" w:rsidR="00C322D9" w:rsidRPr="002A78DC" w:rsidRDefault="00C322D9" w:rsidP="006C59C5">
            <w:pPr>
              <w:rPr>
                <w:color w:val="000000"/>
              </w:rPr>
            </w:pPr>
            <w:r w:rsidRPr="002A78DC">
              <w:rPr>
                <w:color w:val="000000"/>
              </w:rPr>
              <w:t> </w:t>
            </w:r>
          </w:p>
        </w:tc>
        <w:tc>
          <w:tcPr>
            <w:tcW w:w="2910" w:type="dxa"/>
            <w:gridSpan w:val="2"/>
            <w:tcBorders>
              <w:top w:val="single" w:sz="4" w:space="0" w:color="auto"/>
              <w:left w:val="nil"/>
              <w:bottom w:val="nil"/>
              <w:right w:val="nil"/>
            </w:tcBorders>
            <w:shd w:val="clear" w:color="auto" w:fill="auto"/>
            <w:noWrap/>
            <w:vAlign w:val="center"/>
            <w:hideMark/>
          </w:tcPr>
          <w:p w14:paraId="776C12BC" w14:textId="77777777" w:rsidR="00C322D9" w:rsidRPr="002A78DC" w:rsidRDefault="00C322D9" w:rsidP="006C59C5">
            <w:pPr>
              <w:jc w:val="center"/>
              <w:rPr>
                <w:color w:val="000000"/>
              </w:rPr>
            </w:pPr>
            <w:r w:rsidRPr="002A78DC">
              <w:rPr>
                <w:color w:val="000000"/>
              </w:rPr>
              <w:t>Waitlist</w:t>
            </w:r>
          </w:p>
        </w:tc>
        <w:tc>
          <w:tcPr>
            <w:tcW w:w="1356" w:type="dxa"/>
            <w:tcBorders>
              <w:top w:val="single" w:sz="4" w:space="0" w:color="auto"/>
              <w:left w:val="nil"/>
              <w:bottom w:val="nil"/>
              <w:right w:val="nil"/>
            </w:tcBorders>
          </w:tcPr>
          <w:p w14:paraId="0817A08D" w14:textId="77777777" w:rsidR="00C322D9" w:rsidRPr="002A78DC" w:rsidRDefault="00C322D9" w:rsidP="006C59C5">
            <w:pPr>
              <w:jc w:val="center"/>
              <w:rPr>
                <w:color w:val="000000"/>
              </w:rPr>
            </w:pPr>
          </w:p>
        </w:tc>
        <w:tc>
          <w:tcPr>
            <w:tcW w:w="1350" w:type="dxa"/>
            <w:tcBorders>
              <w:top w:val="single" w:sz="4" w:space="0" w:color="auto"/>
              <w:left w:val="nil"/>
              <w:bottom w:val="nil"/>
              <w:right w:val="nil"/>
            </w:tcBorders>
          </w:tcPr>
          <w:p w14:paraId="0D76E438" w14:textId="77777777" w:rsidR="00C322D9" w:rsidRPr="002A78DC" w:rsidRDefault="00C322D9" w:rsidP="006C59C5">
            <w:pPr>
              <w:jc w:val="center"/>
              <w:rPr>
                <w:color w:val="000000"/>
              </w:rPr>
            </w:pPr>
          </w:p>
        </w:tc>
        <w:tc>
          <w:tcPr>
            <w:tcW w:w="2790" w:type="dxa"/>
            <w:gridSpan w:val="2"/>
            <w:tcBorders>
              <w:top w:val="single" w:sz="4" w:space="0" w:color="auto"/>
              <w:left w:val="nil"/>
              <w:bottom w:val="nil"/>
              <w:right w:val="nil"/>
            </w:tcBorders>
            <w:vAlign w:val="center"/>
          </w:tcPr>
          <w:p w14:paraId="251DE527" w14:textId="77777777" w:rsidR="00C322D9" w:rsidRPr="002A78DC" w:rsidRDefault="00C322D9" w:rsidP="006C59C5">
            <w:pPr>
              <w:jc w:val="center"/>
              <w:rPr>
                <w:color w:val="000000"/>
              </w:rPr>
            </w:pPr>
            <w:r w:rsidRPr="002A78DC">
              <w:rPr>
                <w:color w:val="000000"/>
              </w:rPr>
              <w:t>Treatment</w:t>
            </w:r>
          </w:p>
        </w:tc>
        <w:tc>
          <w:tcPr>
            <w:tcW w:w="1530" w:type="dxa"/>
            <w:tcBorders>
              <w:top w:val="single" w:sz="4" w:space="0" w:color="auto"/>
              <w:left w:val="nil"/>
              <w:bottom w:val="nil"/>
              <w:right w:val="nil"/>
            </w:tcBorders>
          </w:tcPr>
          <w:p w14:paraId="06ECD47A" w14:textId="77777777" w:rsidR="00C322D9" w:rsidRPr="002A78DC" w:rsidRDefault="00C322D9" w:rsidP="006C59C5">
            <w:pPr>
              <w:jc w:val="center"/>
              <w:rPr>
                <w:color w:val="000000"/>
              </w:rPr>
            </w:pPr>
          </w:p>
        </w:tc>
        <w:tc>
          <w:tcPr>
            <w:tcW w:w="1440" w:type="dxa"/>
            <w:tcBorders>
              <w:top w:val="single" w:sz="4" w:space="0" w:color="auto"/>
              <w:left w:val="nil"/>
              <w:bottom w:val="nil"/>
              <w:right w:val="nil"/>
            </w:tcBorders>
          </w:tcPr>
          <w:p w14:paraId="469FEE7D" w14:textId="77777777" w:rsidR="00C322D9" w:rsidRPr="002A78DC" w:rsidRDefault="00C322D9" w:rsidP="006C59C5">
            <w:pPr>
              <w:jc w:val="center"/>
              <w:rPr>
                <w:color w:val="000000"/>
              </w:rPr>
            </w:pPr>
          </w:p>
        </w:tc>
      </w:tr>
      <w:tr w:rsidR="00C322D9" w:rsidRPr="002A78DC" w14:paraId="1D63FCA9" w14:textId="77777777" w:rsidTr="006C59C5">
        <w:trPr>
          <w:trHeight w:val="342"/>
        </w:trPr>
        <w:tc>
          <w:tcPr>
            <w:tcW w:w="1674" w:type="dxa"/>
            <w:tcBorders>
              <w:top w:val="nil"/>
              <w:left w:val="nil"/>
              <w:bottom w:val="single" w:sz="4" w:space="0" w:color="auto"/>
              <w:right w:val="nil"/>
            </w:tcBorders>
            <w:shd w:val="clear" w:color="auto" w:fill="auto"/>
            <w:noWrap/>
            <w:vAlign w:val="bottom"/>
            <w:hideMark/>
          </w:tcPr>
          <w:p w14:paraId="3CF8734E" w14:textId="77777777" w:rsidR="00C322D9" w:rsidRPr="002A78DC" w:rsidRDefault="00C322D9" w:rsidP="006C59C5">
            <w:pPr>
              <w:rPr>
                <w:color w:val="000000"/>
              </w:rPr>
            </w:pPr>
            <w:r w:rsidRPr="002A78DC">
              <w:rPr>
                <w:color w:val="000000"/>
              </w:rPr>
              <w:t> </w:t>
            </w:r>
          </w:p>
        </w:tc>
        <w:tc>
          <w:tcPr>
            <w:tcW w:w="1454" w:type="dxa"/>
            <w:tcBorders>
              <w:top w:val="nil"/>
              <w:left w:val="nil"/>
              <w:bottom w:val="single" w:sz="4" w:space="0" w:color="auto"/>
              <w:right w:val="nil"/>
            </w:tcBorders>
            <w:shd w:val="clear" w:color="auto" w:fill="auto"/>
            <w:noWrap/>
            <w:vAlign w:val="bottom"/>
            <w:hideMark/>
          </w:tcPr>
          <w:p w14:paraId="226C3BC0" w14:textId="77777777" w:rsidR="00C322D9" w:rsidRPr="002A78DC" w:rsidRDefault="00C322D9" w:rsidP="006C59C5">
            <w:pPr>
              <w:jc w:val="center"/>
              <w:rPr>
                <w:color w:val="000000"/>
              </w:rPr>
            </w:pPr>
            <w:r w:rsidRPr="002A78DC">
              <w:rPr>
                <w:color w:val="000000"/>
              </w:rPr>
              <w:t>Pre</w:t>
            </w:r>
            <w:r>
              <w:rPr>
                <w:color w:val="000000"/>
              </w:rPr>
              <w:t>-treatment</w:t>
            </w:r>
          </w:p>
          <w:p w14:paraId="2D3CED79" w14:textId="77777777" w:rsidR="00C322D9" w:rsidRPr="002A78DC" w:rsidRDefault="00C322D9" w:rsidP="006C59C5">
            <w:pPr>
              <w:jc w:val="center"/>
              <w:rPr>
                <w:color w:val="000000"/>
              </w:rPr>
            </w:pPr>
            <w:r w:rsidRPr="002A78DC">
              <w:rPr>
                <w:color w:val="000000"/>
              </w:rPr>
              <w:t>(n = 1</w:t>
            </w:r>
            <w:r>
              <w:rPr>
                <w:color w:val="000000"/>
              </w:rPr>
              <w:t>2</w:t>
            </w:r>
            <w:r w:rsidRPr="002A78DC">
              <w:rPr>
                <w:color w:val="000000"/>
              </w:rPr>
              <w:t>)</w:t>
            </w:r>
          </w:p>
        </w:tc>
        <w:tc>
          <w:tcPr>
            <w:tcW w:w="1456" w:type="dxa"/>
            <w:tcBorders>
              <w:top w:val="nil"/>
              <w:left w:val="nil"/>
              <w:bottom w:val="single" w:sz="4" w:space="0" w:color="auto"/>
              <w:right w:val="nil"/>
            </w:tcBorders>
            <w:shd w:val="clear" w:color="auto" w:fill="auto"/>
            <w:noWrap/>
            <w:vAlign w:val="bottom"/>
            <w:hideMark/>
          </w:tcPr>
          <w:p w14:paraId="156F01B1" w14:textId="77777777" w:rsidR="00C322D9" w:rsidRPr="002A78DC" w:rsidRDefault="00C322D9" w:rsidP="006C59C5">
            <w:pPr>
              <w:jc w:val="center"/>
              <w:rPr>
                <w:color w:val="000000"/>
              </w:rPr>
            </w:pPr>
            <w:r>
              <w:rPr>
                <w:color w:val="000000"/>
              </w:rPr>
              <w:t>Mid-treatment</w:t>
            </w:r>
          </w:p>
          <w:p w14:paraId="5EA0A8C2" w14:textId="77777777" w:rsidR="00C322D9" w:rsidRPr="002A78DC" w:rsidRDefault="00C322D9" w:rsidP="006C59C5">
            <w:pPr>
              <w:jc w:val="center"/>
              <w:rPr>
                <w:color w:val="000000"/>
              </w:rPr>
            </w:pPr>
            <w:r w:rsidRPr="002A78DC">
              <w:rPr>
                <w:color w:val="000000"/>
              </w:rPr>
              <w:t>(n = 1</w:t>
            </w:r>
            <w:r>
              <w:rPr>
                <w:color w:val="000000"/>
              </w:rPr>
              <w:t>0</w:t>
            </w:r>
            <w:r w:rsidRPr="002A78DC">
              <w:rPr>
                <w:color w:val="000000"/>
              </w:rPr>
              <w:t>)</w:t>
            </w:r>
          </w:p>
        </w:tc>
        <w:tc>
          <w:tcPr>
            <w:tcW w:w="1356" w:type="dxa"/>
            <w:tcBorders>
              <w:top w:val="nil"/>
              <w:left w:val="nil"/>
              <w:bottom w:val="single" w:sz="4" w:space="0" w:color="auto"/>
              <w:right w:val="nil"/>
            </w:tcBorders>
            <w:vAlign w:val="bottom"/>
          </w:tcPr>
          <w:p w14:paraId="547702ED" w14:textId="77777777" w:rsidR="00C322D9" w:rsidRDefault="00C322D9" w:rsidP="006C59C5">
            <w:pPr>
              <w:jc w:val="center"/>
              <w:rPr>
                <w:color w:val="000000"/>
              </w:rPr>
            </w:pPr>
            <w:r>
              <w:rPr>
                <w:color w:val="000000"/>
              </w:rPr>
              <w:t>Post-treatment</w:t>
            </w:r>
          </w:p>
          <w:p w14:paraId="74B81FE0" w14:textId="77777777" w:rsidR="00C322D9" w:rsidRDefault="00C322D9" w:rsidP="006C59C5">
            <w:pPr>
              <w:jc w:val="center"/>
              <w:rPr>
                <w:color w:val="000000"/>
              </w:rPr>
            </w:pPr>
            <w:r>
              <w:rPr>
                <w:color w:val="000000"/>
              </w:rPr>
              <w:t>(n = 9)</w:t>
            </w:r>
          </w:p>
        </w:tc>
        <w:tc>
          <w:tcPr>
            <w:tcW w:w="1350" w:type="dxa"/>
            <w:tcBorders>
              <w:top w:val="nil"/>
              <w:left w:val="nil"/>
              <w:bottom w:val="single" w:sz="4" w:space="0" w:color="auto"/>
              <w:right w:val="nil"/>
            </w:tcBorders>
            <w:vAlign w:val="bottom"/>
          </w:tcPr>
          <w:p w14:paraId="56ABD626" w14:textId="77777777" w:rsidR="00C322D9" w:rsidRDefault="00C322D9" w:rsidP="006C59C5">
            <w:pPr>
              <w:jc w:val="center"/>
              <w:rPr>
                <w:color w:val="000000"/>
              </w:rPr>
            </w:pPr>
            <w:r>
              <w:rPr>
                <w:color w:val="000000"/>
              </w:rPr>
              <w:t>One month</w:t>
            </w:r>
          </w:p>
          <w:p w14:paraId="194360B9" w14:textId="77777777" w:rsidR="00C322D9" w:rsidRDefault="00C322D9" w:rsidP="006C59C5">
            <w:pPr>
              <w:jc w:val="center"/>
              <w:rPr>
                <w:color w:val="000000"/>
              </w:rPr>
            </w:pPr>
            <w:r>
              <w:rPr>
                <w:color w:val="000000"/>
              </w:rPr>
              <w:t>Follow-up</w:t>
            </w:r>
          </w:p>
          <w:p w14:paraId="48E268C8" w14:textId="77777777" w:rsidR="00C322D9" w:rsidRPr="002A78DC" w:rsidRDefault="00C322D9" w:rsidP="006C59C5">
            <w:pPr>
              <w:jc w:val="center"/>
              <w:rPr>
                <w:color w:val="000000"/>
              </w:rPr>
            </w:pPr>
            <w:r>
              <w:rPr>
                <w:color w:val="000000"/>
              </w:rPr>
              <w:t>(n = 9)</w:t>
            </w:r>
          </w:p>
        </w:tc>
        <w:tc>
          <w:tcPr>
            <w:tcW w:w="1440" w:type="dxa"/>
            <w:tcBorders>
              <w:top w:val="nil"/>
              <w:left w:val="nil"/>
              <w:bottom w:val="single" w:sz="4" w:space="0" w:color="auto"/>
              <w:right w:val="nil"/>
            </w:tcBorders>
            <w:vAlign w:val="bottom"/>
          </w:tcPr>
          <w:p w14:paraId="30DA96C0" w14:textId="77777777" w:rsidR="00C322D9" w:rsidRPr="002A78DC" w:rsidRDefault="00C322D9" w:rsidP="006C59C5">
            <w:pPr>
              <w:jc w:val="center"/>
              <w:rPr>
                <w:color w:val="000000"/>
              </w:rPr>
            </w:pPr>
            <w:r w:rsidRPr="002A78DC">
              <w:rPr>
                <w:color w:val="000000"/>
              </w:rPr>
              <w:t>Pre</w:t>
            </w:r>
            <w:r>
              <w:rPr>
                <w:color w:val="000000"/>
              </w:rPr>
              <w:t>-treatment</w:t>
            </w:r>
          </w:p>
          <w:p w14:paraId="4CD61246" w14:textId="77777777" w:rsidR="00C322D9" w:rsidRPr="002A78DC" w:rsidRDefault="00C322D9" w:rsidP="006C59C5">
            <w:pPr>
              <w:jc w:val="center"/>
              <w:rPr>
                <w:color w:val="000000"/>
              </w:rPr>
            </w:pPr>
            <w:r w:rsidRPr="002A78DC">
              <w:rPr>
                <w:color w:val="000000"/>
              </w:rPr>
              <w:t>(n = 1</w:t>
            </w:r>
            <w:r>
              <w:rPr>
                <w:color w:val="000000"/>
              </w:rPr>
              <w:t>2</w:t>
            </w:r>
            <w:r w:rsidRPr="002A78DC">
              <w:rPr>
                <w:color w:val="000000"/>
              </w:rPr>
              <w:t>)</w:t>
            </w:r>
          </w:p>
        </w:tc>
        <w:tc>
          <w:tcPr>
            <w:tcW w:w="1350" w:type="dxa"/>
            <w:tcBorders>
              <w:top w:val="nil"/>
              <w:left w:val="nil"/>
              <w:bottom w:val="single" w:sz="4" w:space="0" w:color="auto"/>
              <w:right w:val="nil"/>
            </w:tcBorders>
            <w:vAlign w:val="bottom"/>
          </w:tcPr>
          <w:p w14:paraId="4B87EF0E" w14:textId="77777777" w:rsidR="00C322D9" w:rsidRPr="002A78DC" w:rsidRDefault="00C322D9" w:rsidP="006C59C5">
            <w:pPr>
              <w:jc w:val="center"/>
              <w:rPr>
                <w:color w:val="000000"/>
              </w:rPr>
            </w:pPr>
            <w:r>
              <w:rPr>
                <w:color w:val="000000"/>
              </w:rPr>
              <w:t>Mid-treatment</w:t>
            </w:r>
          </w:p>
          <w:p w14:paraId="38EACDF1" w14:textId="77777777" w:rsidR="00C322D9" w:rsidRPr="002A78DC" w:rsidRDefault="00C322D9" w:rsidP="006C59C5">
            <w:pPr>
              <w:jc w:val="center"/>
              <w:rPr>
                <w:color w:val="000000"/>
              </w:rPr>
            </w:pPr>
            <w:r w:rsidRPr="002A78DC">
              <w:rPr>
                <w:color w:val="000000"/>
              </w:rPr>
              <w:t>(n = 1</w:t>
            </w:r>
            <w:r>
              <w:rPr>
                <w:color w:val="000000"/>
              </w:rPr>
              <w:t>3</w:t>
            </w:r>
            <w:r w:rsidRPr="002A78DC">
              <w:rPr>
                <w:color w:val="000000"/>
              </w:rPr>
              <w:t>)</w:t>
            </w:r>
          </w:p>
        </w:tc>
        <w:tc>
          <w:tcPr>
            <w:tcW w:w="1530" w:type="dxa"/>
            <w:tcBorders>
              <w:top w:val="nil"/>
              <w:left w:val="nil"/>
              <w:bottom w:val="single" w:sz="4" w:space="0" w:color="auto"/>
              <w:right w:val="nil"/>
            </w:tcBorders>
            <w:vAlign w:val="bottom"/>
          </w:tcPr>
          <w:p w14:paraId="22EB78EF" w14:textId="77777777" w:rsidR="00C322D9" w:rsidRDefault="00C322D9" w:rsidP="006C59C5">
            <w:pPr>
              <w:jc w:val="center"/>
              <w:rPr>
                <w:color w:val="000000"/>
              </w:rPr>
            </w:pPr>
            <w:r>
              <w:rPr>
                <w:color w:val="000000"/>
              </w:rPr>
              <w:t>Post-treatment</w:t>
            </w:r>
          </w:p>
          <w:p w14:paraId="3E8B2F42" w14:textId="77777777" w:rsidR="00C322D9" w:rsidRDefault="00C322D9" w:rsidP="006C59C5">
            <w:pPr>
              <w:jc w:val="center"/>
              <w:rPr>
                <w:color w:val="000000"/>
              </w:rPr>
            </w:pPr>
            <w:r>
              <w:rPr>
                <w:color w:val="000000"/>
              </w:rPr>
              <w:t>(n = 12)</w:t>
            </w:r>
          </w:p>
        </w:tc>
        <w:tc>
          <w:tcPr>
            <w:tcW w:w="1440" w:type="dxa"/>
            <w:tcBorders>
              <w:top w:val="nil"/>
              <w:left w:val="nil"/>
              <w:bottom w:val="single" w:sz="4" w:space="0" w:color="auto"/>
              <w:right w:val="nil"/>
            </w:tcBorders>
            <w:vAlign w:val="bottom"/>
          </w:tcPr>
          <w:p w14:paraId="7CA0C6EC" w14:textId="77777777" w:rsidR="00C322D9" w:rsidRDefault="00C322D9" w:rsidP="006C59C5">
            <w:pPr>
              <w:jc w:val="center"/>
              <w:rPr>
                <w:color w:val="000000"/>
              </w:rPr>
            </w:pPr>
            <w:r>
              <w:rPr>
                <w:color w:val="000000"/>
              </w:rPr>
              <w:t>One month</w:t>
            </w:r>
          </w:p>
          <w:p w14:paraId="3EFC44AB" w14:textId="77777777" w:rsidR="00C322D9" w:rsidRDefault="00C322D9" w:rsidP="006C59C5">
            <w:pPr>
              <w:jc w:val="center"/>
              <w:rPr>
                <w:color w:val="000000"/>
              </w:rPr>
            </w:pPr>
            <w:r>
              <w:rPr>
                <w:color w:val="000000"/>
              </w:rPr>
              <w:t>Follow-up</w:t>
            </w:r>
          </w:p>
          <w:p w14:paraId="6EE3348D" w14:textId="77777777" w:rsidR="00C322D9" w:rsidRPr="002A78DC" w:rsidRDefault="00C322D9" w:rsidP="006C59C5">
            <w:pPr>
              <w:jc w:val="center"/>
              <w:rPr>
                <w:color w:val="000000"/>
              </w:rPr>
            </w:pPr>
            <w:r>
              <w:rPr>
                <w:color w:val="000000"/>
              </w:rPr>
              <w:t>(n=11)</w:t>
            </w:r>
          </w:p>
        </w:tc>
      </w:tr>
      <w:tr w:rsidR="00C322D9" w:rsidRPr="002A78DC" w14:paraId="636B9E03" w14:textId="77777777" w:rsidTr="006C59C5">
        <w:trPr>
          <w:trHeight w:val="893"/>
        </w:trPr>
        <w:tc>
          <w:tcPr>
            <w:tcW w:w="1674" w:type="dxa"/>
            <w:tcBorders>
              <w:top w:val="nil"/>
              <w:left w:val="nil"/>
              <w:bottom w:val="nil"/>
              <w:right w:val="nil"/>
            </w:tcBorders>
            <w:shd w:val="clear" w:color="auto" w:fill="auto"/>
            <w:noWrap/>
            <w:vAlign w:val="bottom"/>
            <w:hideMark/>
          </w:tcPr>
          <w:p w14:paraId="1FE0A78E" w14:textId="2163ED1F" w:rsidR="00C322D9" w:rsidRPr="00E16DFA" w:rsidRDefault="001C2034" w:rsidP="006C59C5">
            <w:pPr>
              <w:rPr>
                <w:color w:val="000000"/>
                <w:vertAlign w:val="superscript"/>
              </w:rPr>
            </w:pPr>
            <w:r>
              <w:rPr>
                <w:color w:val="000000"/>
              </w:rPr>
              <w:t>PN</w:t>
            </w:r>
          </w:p>
        </w:tc>
        <w:tc>
          <w:tcPr>
            <w:tcW w:w="1454" w:type="dxa"/>
            <w:tcBorders>
              <w:top w:val="nil"/>
              <w:left w:val="nil"/>
              <w:bottom w:val="nil"/>
              <w:right w:val="nil"/>
            </w:tcBorders>
            <w:shd w:val="clear" w:color="auto" w:fill="auto"/>
            <w:noWrap/>
            <w:vAlign w:val="bottom"/>
            <w:hideMark/>
          </w:tcPr>
          <w:p w14:paraId="0888A2FE" w14:textId="6AEF51A2" w:rsidR="00C322D9" w:rsidRPr="002A78DC" w:rsidRDefault="00C322D9" w:rsidP="006C59C5">
            <w:pPr>
              <w:jc w:val="center"/>
              <w:rPr>
                <w:color w:val="000000"/>
              </w:rPr>
            </w:pPr>
            <w:r>
              <w:rPr>
                <w:color w:val="000000"/>
              </w:rPr>
              <w:t>14.8 (4.7)</w:t>
            </w:r>
          </w:p>
        </w:tc>
        <w:tc>
          <w:tcPr>
            <w:tcW w:w="1456" w:type="dxa"/>
            <w:tcBorders>
              <w:top w:val="nil"/>
              <w:left w:val="nil"/>
              <w:bottom w:val="nil"/>
              <w:right w:val="nil"/>
            </w:tcBorders>
            <w:shd w:val="clear" w:color="auto" w:fill="auto"/>
            <w:noWrap/>
            <w:vAlign w:val="bottom"/>
            <w:hideMark/>
          </w:tcPr>
          <w:p w14:paraId="7CE1AAC9" w14:textId="23425DE3" w:rsidR="00C322D9" w:rsidRPr="002A78DC" w:rsidRDefault="00C322D9" w:rsidP="006C59C5">
            <w:pPr>
              <w:jc w:val="center"/>
              <w:rPr>
                <w:color w:val="000000"/>
              </w:rPr>
            </w:pPr>
            <w:r>
              <w:rPr>
                <w:color w:val="000000"/>
              </w:rPr>
              <w:t>13.6 (5.4)</w:t>
            </w:r>
          </w:p>
        </w:tc>
        <w:tc>
          <w:tcPr>
            <w:tcW w:w="1356" w:type="dxa"/>
            <w:tcBorders>
              <w:top w:val="nil"/>
              <w:left w:val="nil"/>
              <w:bottom w:val="nil"/>
              <w:right w:val="nil"/>
            </w:tcBorders>
            <w:vAlign w:val="bottom"/>
          </w:tcPr>
          <w:p w14:paraId="7861C9EB" w14:textId="59BE341A" w:rsidR="00C322D9" w:rsidRPr="002A78DC" w:rsidRDefault="00C322D9" w:rsidP="006C59C5">
            <w:pPr>
              <w:jc w:val="center"/>
              <w:rPr>
                <w:color w:val="000000"/>
              </w:rPr>
            </w:pPr>
            <w:r>
              <w:rPr>
                <w:color w:val="000000"/>
              </w:rPr>
              <w:t>14.2 (6.8)</w:t>
            </w:r>
          </w:p>
        </w:tc>
        <w:tc>
          <w:tcPr>
            <w:tcW w:w="1350" w:type="dxa"/>
            <w:tcBorders>
              <w:top w:val="nil"/>
              <w:left w:val="nil"/>
              <w:bottom w:val="nil"/>
              <w:right w:val="nil"/>
            </w:tcBorders>
            <w:vAlign w:val="bottom"/>
          </w:tcPr>
          <w:p w14:paraId="5A8C2199" w14:textId="3EEEE085" w:rsidR="00C322D9" w:rsidRPr="002A78DC" w:rsidRDefault="00461E12" w:rsidP="006C59C5">
            <w:pPr>
              <w:jc w:val="center"/>
              <w:rPr>
                <w:color w:val="000000"/>
              </w:rPr>
            </w:pPr>
            <w:r>
              <w:rPr>
                <w:color w:val="000000"/>
              </w:rPr>
              <w:t>14.0 (6.3)</w:t>
            </w:r>
          </w:p>
        </w:tc>
        <w:tc>
          <w:tcPr>
            <w:tcW w:w="1440" w:type="dxa"/>
            <w:tcBorders>
              <w:top w:val="nil"/>
              <w:left w:val="nil"/>
              <w:bottom w:val="nil"/>
              <w:right w:val="nil"/>
            </w:tcBorders>
            <w:vAlign w:val="bottom"/>
          </w:tcPr>
          <w:p w14:paraId="4CF1D3B5" w14:textId="05375A91" w:rsidR="00C322D9" w:rsidRPr="002A78DC" w:rsidRDefault="00C95BEB" w:rsidP="006C59C5">
            <w:pPr>
              <w:jc w:val="center"/>
              <w:rPr>
                <w:color w:val="000000"/>
              </w:rPr>
            </w:pPr>
            <w:r>
              <w:rPr>
                <w:color w:val="000000"/>
              </w:rPr>
              <w:t>13.7 (5.2)</w:t>
            </w:r>
          </w:p>
        </w:tc>
        <w:tc>
          <w:tcPr>
            <w:tcW w:w="1350" w:type="dxa"/>
            <w:tcBorders>
              <w:top w:val="nil"/>
              <w:left w:val="nil"/>
              <w:bottom w:val="nil"/>
              <w:right w:val="nil"/>
            </w:tcBorders>
            <w:vAlign w:val="bottom"/>
          </w:tcPr>
          <w:p w14:paraId="74539A85" w14:textId="4717A527" w:rsidR="00C322D9" w:rsidRPr="002A78DC" w:rsidRDefault="00C95BEB" w:rsidP="006C59C5">
            <w:pPr>
              <w:jc w:val="center"/>
              <w:rPr>
                <w:color w:val="000000"/>
              </w:rPr>
            </w:pPr>
            <w:r>
              <w:rPr>
                <w:color w:val="000000"/>
              </w:rPr>
              <w:t>13.2 (4.8)</w:t>
            </w:r>
          </w:p>
        </w:tc>
        <w:tc>
          <w:tcPr>
            <w:tcW w:w="1530" w:type="dxa"/>
            <w:tcBorders>
              <w:top w:val="nil"/>
              <w:left w:val="nil"/>
              <w:bottom w:val="nil"/>
              <w:right w:val="nil"/>
            </w:tcBorders>
            <w:vAlign w:val="bottom"/>
          </w:tcPr>
          <w:p w14:paraId="465BE35E" w14:textId="7565CC98" w:rsidR="00C322D9" w:rsidRPr="002A78DC" w:rsidRDefault="00C95BEB" w:rsidP="006C59C5">
            <w:pPr>
              <w:jc w:val="center"/>
              <w:rPr>
                <w:color w:val="000000"/>
              </w:rPr>
            </w:pPr>
            <w:r>
              <w:rPr>
                <w:color w:val="000000"/>
              </w:rPr>
              <w:t>11.8 (5.2)</w:t>
            </w:r>
          </w:p>
        </w:tc>
        <w:tc>
          <w:tcPr>
            <w:tcW w:w="1440" w:type="dxa"/>
            <w:tcBorders>
              <w:top w:val="nil"/>
              <w:left w:val="nil"/>
              <w:bottom w:val="nil"/>
              <w:right w:val="nil"/>
            </w:tcBorders>
            <w:vAlign w:val="bottom"/>
          </w:tcPr>
          <w:p w14:paraId="4E2E5B26" w14:textId="5B3D99B3" w:rsidR="00C322D9" w:rsidRPr="002A78DC" w:rsidRDefault="00C95BEB" w:rsidP="006C59C5">
            <w:pPr>
              <w:jc w:val="center"/>
              <w:rPr>
                <w:color w:val="000000"/>
              </w:rPr>
            </w:pPr>
            <w:r>
              <w:rPr>
                <w:color w:val="000000"/>
              </w:rPr>
              <w:t>10.9 (4.9)</w:t>
            </w:r>
          </w:p>
        </w:tc>
      </w:tr>
      <w:tr w:rsidR="00C322D9" w:rsidRPr="002A78DC" w14:paraId="708EFCC9" w14:textId="77777777" w:rsidTr="006C59C5">
        <w:trPr>
          <w:trHeight w:val="893"/>
        </w:trPr>
        <w:tc>
          <w:tcPr>
            <w:tcW w:w="1674" w:type="dxa"/>
            <w:tcBorders>
              <w:top w:val="nil"/>
              <w:left w:val="nil"/>
              <w:bottom w:val="nil"/>
              <w:right w:val="nil"/>
            </w:tcBorders>
            <w:shd w:val="clear" w:color="auto" w:fill="auto"/>
            <w:noWrap/>
            <w:vAlign w:val="bottom"/>
            <w:hideMark/>
          </w:tcPr>
          <w:p w14:paraId="3299D7CB" w14:textId="3CB2FAB6" w:rsidR="00C322D9" w:rsidRPr="00E16DFA" w:rsidRDefault="001C2034" w:rsidP="006C59C5">
            <w:pPr>
              <w:rPr>
                <w:color w:val="000000"/>
                <w:vertAlign w:val="superscript"/>
              </w:rPr>
            </w:pPr>
            <w:r>
              <w:rPr>
                <w:color w:val="000000"/>
              </w:rPr>
              <w:t>GD</w:t>
            </w:r>
          </w:p>
        </w:tc>
        <w:tc>
          <w:tcPr>
            <w:tcW w:w="1454" w:type="dxa"/>
            <w:tcBorders>
              <w:top w:val="nil"/>
              <w:left w:val="nil"/>
              <w:bottom w:val="nil"/>
              <w:right w:val="nil"/>
            </w:tcBorders>
            <w:shd w:val="clear" w:color="auto" w:fill="auto"/>
            <w:noWrap/>
            <w:vAlign w:val="bottom"/>
            <w:hideMark/>
          </w:tcPr>
          <w:p w14:paraId="52F86681" w14:textId="40276E6F" w:rsidR="00C322D9" w:rsidRPr="002A78DC" w:rsidRDefault="00C322D9" w:rsidP="006C59C5">
            <w:pPr>
              <w:jc w:val="center"/>
              <w:rPr>
                <w:color w:val="000000"/>
              </w:rPr>
            </w:pPr>
            <w:r>
              <w:rPr>
                <w:color w:val="000000"/>
              </w:rPr>
              <w:t>15.1 (1.8)</w:t>
            </w:r>
          </w:p>
        </w:tc>
        <w:tc>
          <w:tcPr>
            <w:tcW w:w="1456" w:type="dxa"/>
            <w:tcBorders>
              <w:top w:val="nil"/>
              <w:left w:val="nil"/>
              <w:bottom w:val="nil"/>
              <w:right w:val="nil"/>
            </w:tcBorders>
            <w:shd w:val="clear" w:color="auto" w:fill="auto"/>
            <w:noWrap/>
            <w:vAlign w:val="bottom"/>
            <w:hideMark/>
          </w:tcPr>
          <w:p w14:paraId="1E8141F3" w14:textId="6E50714C" w:rsidR="00C322D9" w:rsidRPr="002A78DC" w:rsidRDefault="00C322D9" w:rsidP="006C59C5">
            <w:pPr>
              <w:jc w:val="center"/>
              <w:rPr>
                <w:color w:val="000000"/>
              </w:rPr>
            </w:pPr>
            <w:r>
              <w:rPr>
                <w:color w:val="000000"/>
              </w:rPr>
              <w:t>15.1 (1.8)</w:t>
            </w:r>
          </w:p>
        </w:tc>
        <w:tc>
          <w:tcPr>
            <w:tcW w:w="1356" w:type="dxa"/>
            <w:tcBorders>
              <w:top w:val="nil"/>
              <w:left w:val="nil"/>
              <w:bottom w:val="nil"/>
              <w:right w:val="nil"/>
            </w:tcBorders>
            <w:vAlign w:val="bottom"/>
          </w:tcPr>
          <w:p w14:paraId="5FCBCE02" w14:textId="342BF4FC" w:rsidR="00C322D9" w:rsidRPr="002A78DC" w:rsidRDefault="00C322D9" w:rsidP="006C59C5">
            <w:pPr>
              <w:jc w:val="center"/>
              <w:rPr>
                <w:color w:val="000000"/>
              </w:rPr>
            </w:pPr>
            <w:r>
              <w:rPr>
                <w:color w:val="000000"/>
              </w:rPr>
              <w:t>14.4 (3.6)</w:t>
            </w:r>
          </w:p>
        </w:tc>
        <w:tc>
          <w:tcPr>
            <w:tcW w:w="1350" w:type="dxa"/>
            <w:tcBorders>
              <w:top w:val="nil"/>
              <w:left w:val="nil"/>
              <w:bottom w:val="nil"/>
              <w:right w:val="nil"/>
            </w:tcBorders>
            <w:vAlign w:val="bottom"/>
          </w:tcPr>
          <w:p w14:paraId="28AB0E8D" w14:textId="55C5D847" w:rsidR="00C322D9" w:rsidRPr="002A78DC" w:rsidRDefault="00461E12" w:rsidP="006C59C5">
            <w:pPr>
              <w:jc w:val="center"/>
              <w:rPr>
                <w:color w:val="000000"/>
              </w:rPr>
            </w:pPr>
            <w:r>
              <w:rPr>
                <w:color w:val="000000"/>
              </w:rPr>
              <w:t>15.2 (2.6)</w:t>
            </w:r>
          </w:p>
        </w:tc>
        <w:tc>
          <w:tcPr>
            <w:tcW w:w="1440" w:type="dxa"/>
            <w:tcBorders>
              <w:top w:val="nil"/>
              <w:left w:val="nil"/>
              <w:bottom w:val="nil"/>
              <w:right w:val="nil"/>
            </w:tcBorders>
            <w:vAlign w:val="bottom"/>
          </w:tcPr>
          <w:p w14:paraId="4559F94F" w14:textId="413E570D" w:rsidR="00C322D9" w:rsidRPr="002A78DC" w:rsidRDefault="00C95BEB" w:rsidP="006C59C5">
            <w:pPr>
              <w:jc w:val="center"/>
              <w:rPr>
                <w:color w:val="000000"/>
              </w:rPr>
            </w:pPr>
            <w:r>
              <w:rPr>
                <w:color w:val="000000"/>
              </w:rPr>
              <w:t>14.0 (3.8)</w:t>
            </w:r>
          </w:p>
        </w:tc>
        <w:tc>
          <w:tcPr>
            <w:tcW w:w="1350" w:type="dxa"/>
            <w:tcBorders>
              <w:top w:val="nil"/>
              <w:left w:val="nil"/>
              <w:bottom w:val="nil"/>
              <w:right w:val="nil"/>
            </w:tcBorders>
            <w:vAlign w:val="bottom"/>
          </w:tcPr>
          <w:p w14:paraId="27BE2D7C" w14:textId="6F9BC3CD" w:rsidR="00C322D9" w:rsidRPr="002A78DC" w:rsidRDefault="00C95BEB" w:rsidP="006C59C5">
            <w:pPr>
              <w:jc w:val="center"/>
              <w:rPr>
                <w:color w:val="000000"/>
              </w:rPr>
            </w:pPr>
            <w:r>
              <w:rPr>
                <w:color w:val="000000"/>
              </w:rPr>
              <w:t>14.4 (3.8)</w:t>
            </w:r>
          </w:p>
        </w:tc>
        <w:tc>
          <w:tcPr>
            <w:tcW w:w="1530" w:type="dxa"/>
            <w:tcBorders>
              <w:top w:val="nil"/>
              <w:left w:val="nil"/>
              <w:bottom w:val="nil"/>
              <w:right w:val="nil"/>
            </w:tcBorders>
            <w:vAlign w:val="bottom"/>
          </w:tcPr>
          <w:p w14:paraId="45E3A319" w14:textId="00E01067" w:rsidR="00C322D9" w:rsidRPr="002A78DC" w:rsidRDefault="00C95BEB" w:rsidP="006C59C5">
            <w:pPr>
              <w:jc w:val="center"/>
              <w:rPr>
                <w:color w:val="000000"/>
              </w:rPr>
            </w:pPr>
            <w:r>
              <w:rPr>
                <w:color w:val="000000"/>
              </w:rPr>
              <w:t>12.6 (4.6)</w:t>
            </w:r>
          </w:p>
        </w:tc>
        <w:tc>
          <w:tcPr>
            <w:tcW w:w="1440" w:type="dxa"/>
            <w:tcBorders>
              <w:top w:val="nil"/>
              <w:left w:val="nil"/>
              <w:bottom w:val="nil"/>
              <w:right w:val="nil"/>
            </w:tcBorders>
            <w:vAlign w:val="bottom"/>
          </w:tcPr>
          <w:p w14:paraId="48F4C0A3" w14:textId="61F7107C" w:rsidR="00C322D9" w:rsidRPr="002A78DC" w:rsidRDefault="00C95BEB" w:rsidP="006C59C5">
            <w:pPr>
              <w:jc w:val="center"/>
              <w:rPr>
                <w:color w:val="000000"/>
              </w:rPr>
            </w:pPr>
            <w:r>
              <w:rPr>
                <w:color w:val="000000"/>
              </w:rPr>
              <w:t>12.0 (4.6)</w:t>
            </w:r>
          </w:p>
        </w:tc>
      </w:tr>
      <w:tr w:rsidR="00C322D9" w:rsidRPr="002A78DC" w14:paraId="63980071" w14:textId="77777777" w:rsidTr="006C59C5">
        <w:trPr>
          <w:trHeight w:val="893"/>
        </w:trPr>
        <w:tc>
          <w:tcPr>
            <w:tcW w:w="1674" w:type="dxa"/>
            <w:tcBorders>
              <w:top w:val="nil"/>
              <w:left w:val="nil"/>
              <w:bottom w:val="nil"/>
              <w:right w:val="nil"/>
            </w:tcBorders>
            <w:shd w:val="clear" w:color="auto" w:fill="auto"/>
            <w:noWrap/>
            <w:vAlign w:val="bottom"/>
            <w:hideMark/>
          </w:tcPr>
          <w:p w14:paraId="3884A77A" w14:textId="0070A7EC" w:rsidR="00C322D9" w:rsidRPr="00E16DFA" w:rsidRDefault="00C322D9" w:rsidP="006C59C5">
            <w:pPr>
              <w:rPr>
                <w:color w:val="000000"/>
              </w:rPr>
            </w:pPr>
            <w:r>
              <w:rPr>
                <w:color w:val="000000"/>
              </w:rPr>
              <w:t>SP</w:t>
            </w:r>
          </w:p>
        </w:tc>
        <w:tc>
          <w:tcPr>
            <w:tcW w:w="1454" w:type="dxa"/>
            <w:tcBorders>
              <w:top w:val="nil"/>
              <w:left w:val="nil"/>
              <w:bottom w:val="nil"/>
              <w:right w:val="nil"/>
            </w:tcBorders>
            <w:shd w:val="clear" w:color="auto" w:fill="auto"/>
            <w:noWrap/>
            <w:vAlign w:val="bottom"/>
            <w:hideMark/>
          </w:tcPr>
          <w:p w14:paraId="5419C1EB" w14:textId="0CDA69F8" w:rsidR="00C322D9" w:rsidRPr="002A78DC" w:rsidRDefault="00C322D9" w:rsidP="006C59C5">
            <w:pPr>
              <w:jc w:val="center"/>
            </w:pPr>
            <w:r>
              <w:t>7.6 (4.1)</w:t>
            </w:r>
          </w:p>
        </w:tc>
        <w:tc>
          <w:tcPr>
            <w:tcW w:w="1456" w:type="dxa"/>
            <w:tcBorders>
              <w:top w:val="nil"/>
              <w:left w:val="nil"/>
              <w:bottom w:val="nil"/>
              <w:right w:val="nil"/>
            </w:tcBorders>
            <w:shd w:val="clear" w:color="auto" w:fill="auto"/>
            <w:noWrap/>
            <w:vAlign w:val="bottom"/>
            <w:hideMark/>
          </w:tcPr>
          <w:p w14:paraId="7B3142F6" w14:textId="5815DF42" w:rsidR="00C322D9" w:rsidRPr="002A78DC" w:rsidRDefault="00C322D9" w:rsidP="006C59C5">
            <w:pPr>
              <w:jc w:val="center"/>
            </w:pPr>
            <w:r>
              <w:t>6.3 (3.9)</w:t>
            </w:r>
          </w:p>
        </w:tc>
        <w:tc>
          <w:tcPr>
            <w:tcW w:w="1356" w:type="dxa"/>
            <w:tcBorders>
              <w:top w:val="nil"/>
              <w:left w:val="nil"/>
              <w:bottom w:val="nil"/>
              <w:right w:val="nil"/>
            </w:tcBorders>
            <w:vAlign w:val="bottom"/>
          </w:tcPr>
          <w:p w14:paraId="2BE2DB78" w14:textId="07410128" w:rsidR="00C322D9" w:rsidRPr="002A78DC" w:rsidRDefault="00C322D9" w:rsidP="006C59C5">
            <w:pPr>
              <w:jc w:val="center"/>
            </w:pPr>
            <w:r>
              <w:t>6.6 (3.0)</w:t>
            </w:r>
          </w:p>
        </w:tc>
        <w:tc>
          <w:tcPr>
            <w:tcW w:w="1350" w:type="dxa"/>
            <w:tcBorders>
              <w:top w:val="nil"/>
              <w:left w:val="nil"/>
              <w:bottom w:val="nil"/>
              <w:right w:val="nil"/>
            </w:tcBorders>
            <w:vAlign w:val="bottom"/>
          </w:tcPr>
          <w:p w14:paraId="390A4710" w14:textId="7B3F8369" w:rsidR="00C322D9" w:rsidRPr="002A78DC" w:rsidRDefault="00461E12" w:rsidP="006C59C5">
            <w:pPr>
              <w:jc w:val="center"/>
            </w:pPr>
            <w:r>
              <w:t>6.2 (3.4)</w:t>
            </w:r>
          </w:p>
        </w:tc>
        <w:tc>
          <w:tcPr>
            <w:tcW w:w="1440" w:type="dxa"/>
            <w:tcBorders>
              <w:top w:val="nil"/>
              <w:left w:val="nil"/>
              <w:bottom w:val="nil"/>
              <w:right w:val="nil"/>
            </w:tcBorders>
            <w:vAlign w:val="bottom"/>
          </w:tcPr>
          <w:p w14:paraId="5A54FAB1" w14:textId="4B91D50A" w:rsidR="00C322D9" w:rsidRPr="002A78DC" w:rsidRDefault="00C95BEB" w:rsidP="006C59C5">
            <w:pPr>
              <w:jc w:val="center"/>
            </w:pPr>
            <w:r>
              <w:t>6.8 (3.4)</w:t>
            </w:r>
          </w:p>
        </w:tc>
        <w:tc>
          <w:tcPr>
            <w:tcW w:w="1350" w:type="dxa"/>
            <w:tcBorders>
              <w:top w:val="nil"/>
              <w:left w:val="nil"/>
              <w:bottom w:val="nil"/>
              <w:right w:val="nil"/>
            </w:tcBorders>
            <w:vAlign w:val="bottom"/>
          </w:tcPr>
          <w:p w14:paraId="092235E4" w14:textId="6A7F1173" w:rsidR="00C322D9" w:rsidRPr="002A78DC" w:rsidRDefault="00C95BEB" w:rsidP="006C59C5">
            <w:pPr>
              <w:jc w:val="center"/>
            </w:pPr>
            <w:r>
              <w:t>5.6 (3.6)</w:t>
            </w:r>
          </w:p>
        </w:tc>
        <w:tc>
          <w:tcPr>
            <w:tcW w:w="1530" w:type="dxa"/>
            <w:tcBorders>
              <w:top w:val="nil"/>
              <w:left w:val="nil"/>
              <w:bottom w:val="nil"/>
              <w:right w:val="nil"/>
            </w:tcBorders>
            <w:vAlign w:val="bottom"/>
          </w:tcPr>
          <w:p w14:paraId="007A1A4A" w14:textId="32371357" w:rsidR="00C322D9" w:rsidRPr="002A78DC" w:rsidRDefault="00C95BEB" w:rsidP="006C59C5">
            <w:pPr>
              <w:jc w:val="center"/>
            </w:pPr>
            <w:r>
              <w:t>4.3 (3.2)</w:t>
            </w:r>
          </w:p>
        </w:tc>
        <w:tc>
          <w:tcPr>
            <w:tcW w:w="1440" w:type="dxa"/>
            <w:tcBorders>
              <w:top w:val="nil"/>
              <w:left w:val="nil"/>
              <w:bottom w:val="nil"/>
              <w:right w:val="nil"/>
            </w:tcBorders>
            <w:vAlign w:val="bottom"/>
          </w:tcPr>
          <w:p w14:paraId="674F2DAC" w14:textId="51DA395E" w:rsidR="00C322D9" w:rsidRPr="002A78DC" w:rsidRDefault="00C95BEB" w:rsidP="006C59C5">
            <w:pPr>
              <w:jc w:val="center"/>
            </w:pPr>
            <w:r>
              <w:t>3.8 (3.5)</w:t>
            </w:r>
          </w:p>
        </w:tc>
      </w:tr>
      <w:tr w:rsidR="00C322D9" w:rsidRPr="002A78DC" w14:paraId="5055935A" w14:textId="77777777" w:rsidTr="009419DC">
        <w:trPr>
          <w:trHeight w:val="893"/>
        </w:trPr>
        <w:tc>
          <w:tcPr>
            <w:tcW w:w="1674" w:type="dxa"/>
            <w:tcBorders>
              <w:top w:val="nil"/>
              <w:left w:val="nil"/>
              <w:right w:val="nil"/>
            </w:tcBorders>
            <w:shd w:val="clear" w:color="auto" w:fill="auto"/>
            <w:noWrap/>
            <w:vAlign w:val="bottom"/>
            <w:hideMark/>
          </w:tcPr>
          <w:p w14:paraId="5955D600" w14:textId="58ECBFA6" w:rsidR="00C322D9" w:rsidRPr="00E16F9D" w:rsidRDefault="00C322D9" w:rsidP="006C59C5">
            <w:pPr>
              <w:rPr>
                <w:color w:val="000000"/>
              </w:rPr>
            </w:pPr>
            <w:r>
              <w:rPr>
                <w:color w:val="000000"/>
              </w:rPr>
              <w:t>SC</w:t>
            </w:r>
          </w:p>
        </w:tc>
        <w:tc>
          <w:tcPr>
            <w:tcW w:w="1454" w:type="dxa"/>
            <w:tcBorders>
              <w:top w:val="nil"/>
              <w:left w:val="nil"/>
              <w:right w:val="nil"/>
            </w:tcBorders>
            <w:shd w:val="clear" w:color="auto" w:fill="auto"/>
            <w:noWrap/>
            <w:vAlign w:val="bottom"/>
            <w:hideMark/>
          </w:tcPr>
          <w:p w14:paraId="4CFFADDE" w14:textId="2ECFBC78" w:rsidR="00C322D9" w:rsidRPr="002A78DC" w:rsidRDefault="00C322D9" w:rsidP="006C59C5">
            <w:pPr>
              <w:jc w:val="center"/>
              <w:rPr>
                <w:color w:val="000000"/>
              </w:rPr>
            </w:pPr>
            <w:r>
              <w:rPr>
                <w:color w:val="000000"/>
              </w:rPr>
              <w:t>10.2 (3.5)</w:t>
            </w:r>
          </w:p>
        </w:tc>
        <w:tc>
          <w:tcPr>
            <w:tcW w:w="1456" w:type="dxa"/>
            <w:tcBorders>
              <w:top w:val="nil"/>
              <w:left w:val="nil"/>
              <w:right w:val="nil"/>
            </w:tcBorders>
            <w:shd w:val="clear" w:color="auto" w:fill="auto"/>
            <w:noWrap/>
            <w:vAlign w:val="bottom"/>
            <w:hideMark/>
          </w:tcPr>
          <w:p w14:paraId="07BDFEC2" w14:textId="4019F95E" w:rsidR="00C322D9" w:rsidRPr="002A78DC" w:rsidRDefault="00C322D9" w:rsidP="006C59C5">
            <w:pPr>
              <w:jc w:val="center"/>
              <w:rPr>
                <w:color w:val="000000"/>
              </w:rPr>
            </w:pPr>
            <w:r>
              <w:rPr>
                <w:color w:val="000000"/>
              </w:rPr>
              <w:t>8.9 (3.7)</w:t>
            </w:r>
          </w:p>
        </w:tc>
        <w:tc>
          <w:tcPr>
            <w:tcW w:w="1356" w:type="dxa"/>
            <w:tcBorders>
              <w:top w:val="nil"/>
              <w:left w:val="nil"/>
              <w:right w:val="nil"/>
            </w:tcBorders>
            <w:vAlign w:val="bottom"/>
          </w:tcPr>
          <w:p w14:paraId="1EE31B8A" w14:textId="1AE034E1" w:rsidR="00C322D9" w:rsidRPr="002A78DC" w:rsidRDefault="00C322D9" w:rsidP="006C59C5">
            <w:pPr>
              <w:jc w:val="center"/>
              <w:rPr>
                <w:color w:val="000000"/>
              </w:rPr>
            </w:pPr>
            <w:r>
              <w:rPr>
                <w:color w:val="000000"/>
              </w:rPr>
              <w:t>7.7 (3.5)</w:t>
            </w:r>
          </w:p>
        </w:tc>
        <w:tc>
          <w:tcPr>
            <w:tcW w:w="1350" w:type="dxa"/>
            <w:tcBorders>
              <w:top w:val="nil"/>
              <w:left w:val="nil"/>
              <w:right w:val="nil"/>
            </w:tcBorders>
            <w:vAlign w:val="bottom"/>
          </w:tcPr>
          <w:p w14:paraId="09A4466B" w14:textId="48B984EC" w:rsidR="00C322D9" w:rsidRPr="002A78DC" w:rsidRDefault="00461E12" w:rsidP="006C59C5">
            <w:pPr>
              <w:jc w:val="center"/>
              <w:rPr>
                <w:color w:val="000000"/>
              </w:rPr>
            </w:pPr>
            <w:r>
              <w:rPr>
                <w:color w:val="000000"/>
              </w:rPr>
              <w:t>9.3 (3.0)</w:t>
            </w:r>
          </w:p>
        </w:tc>
        <w:tc>
          <w:tcPr>
            <w:tcW w:w="1440" w:type="dxa"/>
            <w:tcBorders>
              <w:top w:val="nil"/>
              <w:left w:val="nil"/>
              <w:right w:val="nil"/>
            </w:tcBorders>
            <w:vAlign w:val="bottom"/>
          </w:tcPr>
          <w:p w14:paraId="7E2E1CB5" w14:textId="6D202CD2" w:rsidR="00C322D9" w:rsidRPr="002A78DC" w:rsidRDefault="00C95BEB" w:rsidP="006C59C5">
            <w:pPr>
              <w:jc w:val="center"/>
              <w:rPr>
                <w:color w:val="000000"/>
              </w:rPr>
            </w:pPr>
            <w:r>
              <w:rPr>
                <w:color w:val="000000"/>
              </w:rPr>
              <w:t>10.3 (3.1)</w:t>
            </w:r>
          </w:p>
        </w:tc>
        <w:tc>
          <w:tcPr>
            <w:tcW w:w="1350" w:type="dxa"/>
            <w:tcBorders>
              <w:top w:val="nil"/>
              <w:left w:val="nil"/>
              <w:right w:val="nil"/>
            </w:tcBorders>
            <w:vAlign w:val="bottom"/>
          </w:tcPr>
          <w:p w14:paraId="4A10418A" w14:textId="6A157EE1" w:rsidR="00C322D9" w:rsidRPr="002A78DC" w:rsidRDefault="00C95BEB" w:rsidP="006C59C5">
            <w:pPr>
              <w:jc w:val="center"/>
              <w:rPr>
                <w:color w:val="000000"/>
              </w:rPr>
            </w:pPr>
            <w:r>
              <w:rPr>
                <w:color w:val="000000"/>
              </w:rPr>
              <w:t>10.3 (2.5)</w:t>
            </w:r>
          </w:p>
        </w:tc>
        <w:tc>
          <w:tcPr>
            <w:tcW w:w="1530" w:type="dxa"/>
            <w:tcBorders>
              <w:top w:val="nil"/>
              <w:left w:val="nil"/>
              <w:right w:val="nil"/>
            </w:tcBorders>
            <w:vAlign w:val="bottom"/>
          </w:tcPr>
          <w:p w14:paraId="6CAF39A6" w14:textId="31C6F90C" w:rsidR="00C322D9" w:rsidRPr="002A78DC" w:rsidRDefault="00C95BEB" w:rsidP="006C59C5">
            <w:pPr>
              <w:jc w:val="center"/>
              <w:rPr>
                <w:color w:val="000000"/>
              </w:rPr>
            </w:pPr>
            <w:r>
              <w:rPr>
                <w:color w:val="000000"/>
              </w:rPr>
              <w:t>9.4 (3.9)</w:t>
            </w:r>
          </w:p>
        </w:tc>
        <w:tc>
          <w:tcPr>
            <w:tcW w:w="1440" w:type="dxa"/>
            <w:tcBorders>
              <w:top w:val="nil"/>
              <w:left w:val="nil"/>
              <w:right w:val="nil"/>
            </w:tcBorders>
            <w:vAlign w:val="bottom"/>
          </w:tcPr>
          <w:p w14:paraId="19439270" w14:textId="697DED25" w:rsidR="00C322D9" w:rsidRPr="002A78DC" w:rsidRDefault="00C95BEB" w:rsidP="006C59C5">
            <w:pPr>
              <w:jc w:val="center"/>
              <w:rPr>
                <w:color w:val="000000"/>
              </w:rPr>
            </w:pPr>
            <w:r>
              <w:rPr>
                <w:color w:val="000000"/>
              </w:rPr>
              <w:t>9.2 (3.7)</w:t>
            </w:r>
          </w:p>
        </w:tc>
      </w:tr>
      <w:tr w:rsidR="00C322D9" w:rsidRPr="002A78DC" w14:paraId="71FEE56F" w14:textId="77777777" w:rsidTr="009419DC">
        <w:trPr>
          <w:trHeight w:val="893"/>
        </w:trPr>
        <w:tc>
          <w:tcPr>
            <w:tcW w:w="1674" w:type="dxa"/>
            <w:tcBorders>
              <w:top w:val="nil"/>
              <w:left w:val="nil"/>
              <w:bottom w:val="single" w:sz="4" w:space="0" w:color="auto"/>
              <w:right w:val="nil"/>
            </w:tcBorders>
            <w:shd w:val="clear" w:color="auto" w:fill="auto"/>
            <w:noWrap/>
            <w:vAlign w:val="bottom"/>
            <w:hideMark/>
          </w:tcPr>
          <w:p w14:paraId="7E02B42A" w14:textId="1EBA5E2D" w:rsidR="00C322D9" w:rsidRPr="00E16F9D" w:rsidRDefault="00C322D9" w:rsidP="006C59C5">
            <w:pPr>
              <w:rPr>
                <w:color w:val="000000"/>
              </w:rPr>
            </w:pPr>
            <w:r>
              <w:rPr>
                <w:color w:val="000000"/>
              </w:rPr>
              <w:t>SH</w:t>
            </w:r>
          </w:p>
        </w:tc>
        <w:tc>
          <w:tcPr>
            <w:tcW w:w="1454" w:type="dxa"/>
            <w:tcBorders>
              <w:top w:val="nil"/>
              <w:left w:val="nil"/>
              <w:bottom w:val="single" w:sz="4" w:space="0" w:color="auto"/>
              <w:right w:val="nil"/>
            </w:tcBorders>
            <w:shd w:val="clear" w:color="auto" w:fill="auto"/>
            <w:noWrap/>
            <w:vAlign w:val="bottom"/>
            <w:hideMark/>
          </w:tcPr>
          <w:p w14:paraId="48C6B29B" w14:textId="76C9038E" w:rsidR="00C322D9" w:rsidRPr="002A78DC" w:rsidRDefault="00C322D9" w:rsidP="006C59C5">
            <w:pPr>
              <w:jc w:val="center"/>
              <w:rPr>
                <w:color w:val="000000"/>
              </w:rPr>
            </w:pPr>
            <w:r>
              <w:rPr>
                <w:color w:val="000000"/>
              </w:rPr>
              <w:t>4.7 (2.1)</w:t>
            </w:r>
          </w:p>
        </w:tc>
        <w:tc>
          <w:tcPr>
            <w:tcW w:w="1456" w:type="dxa"/>
            <w:tcBorders>
              <w:top w:val="nil"/>
              <w:left w:val="nil"/>
              <w:bottom w:val="single" w:sz="4" w:space="0" w:color="auto"/>
              <w:right w:val="nil"/>
            </w:tcBorders>
            <w:shd w:val="clear" w:color="auto" w:fill="auto"/>
            <w:noWrap/>
            <w:vAlign w:val="bottom"/>
            <w:hideMark/>
          </w:tcPr>
          <w:p w14:paraId="09BECE30" w14:textId="099E5FD8" w:rsidR="00C322D9" w:rsidRPr="002A78DC" w:rsidRDefault="00C322D9" w:rsidP="006C59C5">
            <w:pPr>
              <w:jc w:val="center"/>
              <w:rPr>
                <w:color w:val="000000"/>
              </w:rPr>
            </w:pPr>
            <w:r>
              <w:rPr>
                <w:color w:val="000000"/>
              </w:rPr>
              <w:t>4.5 (2.1)</w:t>
            </w:r>
          </w:p>
        </w:tc>
        <w:tc>
          <w:tcPr>
            <w:tcW w:w="1356" w:type="dxa"/>
            <w:tcBorders>
              <w:top w:val="nil"/>
              <w:left w:val="nil"/>
              <w:bottom w:val="single" w:sz="4" w:space="0" w:color="auto"/>
              <w:right w:val="nil"/>
            </w:tcBorders>
            <w:vAlign w:val="bottom"/>
          </w:tcPr>
          <w:p w14:paraId="77F8ADCC" w14:textId="5352DC06" w:rsidR="00C322D9" w:rsidRPr="002A78DC" w:rsidRDefault="00C322D9" w:rsidP="006C59C5">
            <w:pPr>
              <w:jc w:val="center"/>
              <w:rPr>
                <w:color w:val="000000"/>
              </w:rPr>
            </w:pPr>
            <w:r>
              <w:rPr>
                <w:color w:val="000000"/>
              </w:rPr>
              <w:t>3.8 (1.4)</w:t>
            </w:r>
          </w:p>
        </w:tc>
        <w:tc>
          <w:tcPr>
            <w:tcW w:w="1350" w:type="dxa"/>
            <w:tcBorders>
              <w:top w:val="nil"/>
              <w:left w:val="nil"/>
              <w:bottom w:val="single" w:sz="4" w:space="0" w:color="auto"/>
              <w:right w:val="nil"/>
            </w:tcBorders>
            <w:vAlign w:val="bottom"/>
          </w:tcPr>
          <w:p w14:paraId="1A306B50" w14:textId="2DAEF3AF" w:rsidR="00C322D9" w:rsidRPr="002A78DC" w:rsidRDefault="00461E12" w:rsidP="006C59C5">
            <w:pPr>
              <w:jc w:val="center"/>
              <w:rPr>
                <w:color w:val="000000"/>
              </w:rPr>
            </w:pPr>
            <w:r>
              <w:rPr>
                <w:color w:val="000000"/>
              </w:rPr>
              <w:t>4.3 (1.9)</w:t>
            </w:r>
          </w:p>
        </w:tc>
        <w:tc>
          <w:tcPr>
            <w:tcW w:w="1440" w:type="dxa"/>
            <w:tcBorders>
              <w:top w:val="nil"/>
              <w:left w:val="nil"/>
              <w:bottom w:val="single" w:sz="4" w:space="0" w:color="auto"/>
              <w:right w:val="nil"/>
            </w:tcBorders>
            <w:vAlign w:val="bottom"/>
          </w:tcPr>
          <w:p w14:paraId="4E91ADCF" w14:textId="36A6262F" w:rsidR="00C322D9" w:rsidRPr="002A78DC" w:rsidRDefault="00C95BEB" w:rsidP="006C59C5">
            <w:pPr>
              <w:jc w:val="center"/>
              <w:rPr>
                <w:color w:val="000000"/>
              </w:rPr>
            </w:pPr>
            <w:r>
              <w:rPr>
                <w:color w:val="000000"/>
              </w:rPr>
              <w:t>4.1 (1.9)</w:t>
            </w:r>
          </w:p>
        </w:tc>
        <w:tc>
          <w:tcPr>
            <w:tcW w:w="1350" w:type="dxa"/>
            <w:tcBorders>
              <w:top w:val="nil"/>
              <w:left w:val="nil"/>
              <w:bottom w:val="single" w:sz="4" w:space="0" w:color="auto"/>
              <w:right w:val="nil"/>
            </w:tcBorders>
            <w:vAlign w:val="bottom"/>
          </w:tcPr>
          <w:p w14:paraId="45C5BE8F" w14:textId="20ACDD0F" w:rsidR="00C322D9" w:rsidRPr="002A78DC" w:rsidRDefault="00C95BEB" w:rsidP="006C59C5">
            <w:pPr>
              <w:jc w:val="center"/>
              <w:rPr>
                <w:color w:val="000000"/>
              </w:rPr>
            </w:pPr>
            <w:r>
              <w:rPr>
                <w:color w:val="000000"/>
              </w:rPr>
              <w:t>4.2 (2.1)</w:t>
            </w:r>
          </w:p>
        </w:tc>
        <w:tc>
          <w:tcPr>
            <w:tcW w:w="1530" w:type="dxa"/>
            <w:tcBorders>
              <w:top w:val="nil"/>
              <w:left w:val="nil"/>
              <w:bottom w:val="single" w:sz="4" w:space="0" w:color="auto"/>
              <w:right w:val="nil"/>
            </w:tcBorders>
            <w:vAlign w:val="bottom"/>
          </w:tcPr>
          <w:p w14:paraId="4E2C3E0E" w14:textId="6668C626" w:rsidR="00C322D9" w:rsidRPr="002A78DC" w:rsidRDefault="00C95BEB" w:rsidP="006C59C5">
            <w:pPr>
              <w:jc w:val="center"/>
              <w:rPr>
                <w:color w:val="000000"/>
              </w:rPr>
            </w:pPr>
            <w:r>
              <w:rPr>
                <w:color w:val="000000"/>
              </w:rPr>
              <w:t>3.9 (1.8)</w:t>
            </w:r>
          </w:p>
        </w:tc>
        <w:tc>
          <w:tcPr>
            <w:tcW w:w="1440" w:type="dxa"/>
            <w:tcBorders>
              <w:top w:val="nil"/>
              <w:left w:val="nil"/>
              <w:bottom w:val="single" w:sz="4" w:space="0" w:color="auto"/>
              <w:right w:val="nil"/>
            </w:tcBorders>
            <w:vAlign w:val="bottom"/>
          </w:tcPr>
          <w:p w14:paraId="12556B37" w14:textId="698CFC75" w:rsidR="00C322D9" w:rsidRPr="002A78DC" w:rsidRDefault="00C95BEB" w:rsidP="006C59C5">
            <w:pPr>
              <w:jc w:val="center"/>
              <w:rPr>
                <w:color w:val="000000"/>
              </w:rPr>
            </w:pPr>
            <w:r>
              <w:rPr>
                <w:color w:val="000000"/>
              </w:rPr>
              <w:t>2.9 (2.3)</w:t>
            </w:r>
          </w:p>
        </w:tc>
      </w:tr>
    </w:tbl>
    <w:p w14:paraId="41013EBA" w14:textId="64BF6A7E" w:rsidR="00C322D9" w:rsidRDefault="00C322D9" w:rsidP="00C322D9">
      <w:r w:rsidRPr="002A78DC">
        <w:rPr>
          <w:i/>
          <w:iCs/>
        </w:rPr>
        <w:t>Note.</w:t>
      </w:r>
      <w:r w:rsidRPr="002A78DC">
        <w:t xml:space="preserve"> </w:t>
      </w:r>
      <w:r w:rsidR="00A249FD">
        <w:t xml:space="preserve">PN = Panic </w:t>
      </w:r>
      <w:r w:rsidR="008C35C5">
        <w:t>di</w:t>
      </w:r>
      <w:r w:rsidR="00A249FD">
        <w:t>sorder or significant somatic symptoms; GD = generalized anxiety disorder; SP = separation anxiety disorder; SC = social anxiety disorder; SH = significant school avoidance</w:t>
      </w:r>
      <w:r w:rsidR="008C35C5">
        <w:t>.</w:t>
      </w:r>
      <w:r w:rsidR="00F81C05">
        <w:t xml:space="preserve"> </w:t>
      </w:r>
      <w:r w:rsidR="00F81C05">
        <w:rPr>
          <w:color w:val="000000" w:themeColor="text1"/>
        </w:rPr>
        <w:t>A score greater than seven for PN, nine for GD, five for SP, eight for SC, and three for SH indicate</w:t>
      </w:r>
      <w:r w:rsidR="00F725E8">
        <w:rPr>
          <w:color w:val="000000" w:themeColor="text1"/>
        </w:rPr>
        <w:t>s</w:t>
      </w:r>
      <w:r w:rsidR="00F81C05">
        <w:rPr>
          <w:color w:val="000000" w:themeColor="text1"/>
        </w:rPr>
        <w:t xml:space="preserve"> the potential presence of that specific anxiety disorder</w:t>
      </w:r>
      <w:r w:rsidR="000C6F3D">
        <w:rPr>
          <w:color w:val="000000" w:themeColor="text1"/>
        </w:rPr>
        <w:t>.</w:t>
      </w:r>
    </w:p>
    <w:p w14:paraId="1622776F" w14:textId="77777777" w:rsidR="00C322D9" w:rsidRDefault="00C322D9">
      <w:r>
        <w:br w:type="page"/>
      </w:r>
    </w:p>
    <w:p w14:paraId="46739984" w14:textId="09350E4D" w:rsidR="00AD65CA" w:rsidRPr="002A78DC" w:rsidRDefault="00AD65CA" w:rsidP="00AD65CA">
      <w:r w:rsidRPr="002A78DC">
        <w:lastRenderedPageBreak/>
        <w:t xml:space="preserve">Table </w:t>
      </w:r>
      <w:r w:rsidR="00412801">
        <w:t>4</w:t>
      </w:r>
    </w:p>
    <w:p w14:paraId="5BD534D8" w14:textId="77777777" w:rsidR="00AD65CA" w:rsidRPr="00B31D1F" w:rsidRDefault="00AD65CA" w:rsidP="00AD65CA">
      <w:pPr>
        <w:rPr>
          <w:i/>
          <w:iCs/>
        </w:rPr>
      </w:pPr>
      <w:r w:rsidRPr="00B31D1F">
        <w:rPr>
          <w:i/>
          <w:iCs/>
        </w:rPr>
        <w:t>Hedges’ g effect sizes within</w:t>
      </w:r>
      <w:r>
        <w:rPr>
          <w:i/>
          <w:iCs/>
        </w:rPr>
        <w:t xml:space="preserve"> ACT condition</w:t>
      </w:r>
      <w:r w:rsidRPr="00B31D1F">
        <w:rPr>
          <w:i/>
          <w:iCs/>
        </w:rPr>
        <w:t xml:space="preserve"> and between groups across timepoints</w:t>
      </w:r>
      <w:r>
        <w:rPr>
          <w:i/>
          <w:iCs/>
        </w:rPr>
        <w:t xml:space="preserve"> for full sample</w:t>
      </w:r>
    </w:p>
    <w:tbl>
      <w:tblPr>
        <w:tblW w:w="11645" w:type="dxa"/>
        <w:tblLayout w:type="fixed"/>
        <w:tblLook w:val="04A0" w:firstRow="1" w:lastRow="0" w:firstColumn="1" w:lastColumn="0" w:noHBand="0" w:noVBand="1"/>
      </w:tblPr>
      <w:tblGrid>
        <w:gridCol w:w="3019"/>
        <w:gridCol w:w="2156"/>
        <w:gridCol w:w="2157"/>
        <w:gridCol w:w="2156"/>
        <w:gridCol w:w="2157"/>
      </w:tblGrid>
      <w:tr w:rsidR="00AD65CA" w:rsidRPr="002A78DC" w14:paraId="7CFBD7FB" w14:textId="77777777" w:rsidTr="00B01D84">
        <w:trPr>
          <w:trHeight w:val="545"/>
        </w:trPr>
        <w:tc>
          <w:tcPr>
            <w:tcW w:w="3019" w:type="dxa"/>
            <w:tcBorders>
              <w:top w:val="single" w:sz="4" w:space="0" w:color="auto"/>
              <w:left w:val="nil"/>
              <w:bottom w:val="single" w:sz="4" w:space="0" w:color="auto"/>
              <w:right w:val="nil"/>
            </w:tcBorders>
            <w:shd w:val="clear" w:color="auto" w:fill="auto"/>
            <w:noWrap/>
            <w:vAlign w:val="bottom"/>
          </w:tcPr>
          <w:p w14:paraId="1D591EC8" w14:textId="77777777" w:rsidR="00AD65CA" w:rsidRPr="002A78DC" w:rsidRDefault="00AD65CA" w:rsidP="00B01D84">
            <w:pPr>
              <w:rPr>
                <w:color w:val="000000"/>
              </w:rPr>
            </w:pPr>
          </w:p>
        </w:tc>
        <w:tc>
          <w:tcPr>
            <w:tcW w:w="4313" w:type="dxa"/>
            <w:gridSpan w:val="2"/>
            <w:tcBorders>
              <w:top w:val="single" w:sz="4" w:space="0" w:color="auto"/>
              <w:left w:val="nil"/>
              <w:bottom w:val="single" w:sz="4" w:space="0" w:color="auto"/>
              <w:right w:val="nil"/>
            </w:tcBorders>
          </w:tcPr>
          <w:p w14:paraId="7EFEB01A" w14:textId="77777777" w:rsidR="00AD65CA" w:rsidRPr="002A78DC" w:rsidRDefault="00AD65CA" w:rsidP="00B01D84">
            <w:pPr>
              <w:jc w:val="center"/>
              <w:rPr>
                <w:color w:val="000000"/>
              </w:rPr>
            </w:pPr>
            <w:r>
              <w:rPr>
                <w:color w:val="000000"/>
              </w:rPr>
              <w:t>Pre- to post-treatment</w:t>
            </w:r>
          </w:p>
        </w:tc>
        <w:tc>
          <w:tcPr>
            <w:tcW w:w="4313" w:type="dxa"/>
            <w:gridSpan w:val="2"/>
            <w:tcBorders>
              <w:top w:val="single" w:sz="4" w:space="0" w:color="auto"/>
              <w:left w:val="nil"/>
              <w:bottom w:val="single" w:sz="4" w:space="0" w:color="auto"/>
              <w:right w:val="nil"/>
            </w:tcBorders>
          </w:tcPr>
          <w:p w14:paraId="0BB6C04C" w14:textId="77777777" w:rsidR="00AD65CA" w:rsidRPr="002A78DC" w:rsidRDefault="00AD65CA" w:rsidP="00B01D84">
            <w:pPr>
              <w:jc w:val="center"/>
              <w:rPr>
                <w:color w:val="000000"/>
              </w:rPr>
            </w:pPr>
            <w:r>
              <w:rPr>
                <w:color w:val="000000"/>
              </w:rPr>
              <w:t>Post-treatment to follow-up</w:t>
            </w:r>
          </w:p>
        </w:tc>
      </w:tr>
      <w:tr w:rsidR="00AD65CA" w:rsidRPr="002A78DC" w14:paraId="74654DA2" w14:textId="77777777" w:rsidTr="00B01D84">
        <w:trPr>
          <w:trHeight w:val="545"/>
        </w:trPr>
        <w:tc>
          <w:tcPr>
            <w:tcW w:w="3019" w:type="dxa"/>
            <w:tcBorders>
              <w:top w:val="single" w:sz="4" w:space="0" w:color="auto"/>
              <w:left w:val="nil"/>
              <w:bottom w:val="single" w:sz="4" w:space="0" w:color="auto"/>
              <w:right w:val="nil"/>
            </w:tcBorders>
            <w:shd w:val="clear" w:color="auto" w:fill="auto"/>
            <w:noWrap/>
            <w:vAlign w:val="bottom"/>
            <w:hideMark/>
          </w:tcPr>
          <w:p w14:paraId="6499B71C" w14:textId="77777777" w:rsidR="00AD65CA" w:rsidRPr="002A78DC" w:rsidRDefault="00AD65CA" w:rsidP="00B01D84">
            <w:pPr>
              <w:rPr>
                <w:color w:val="000000"/>
              </w:rPr>
            </w:pPr>
            <w:r w:rsidRPr="002A78DC">
              <w:rPr>
                <w:color w:val="000000"/>
              </w:rPr>
              <w:t> </w:t>
            </w:r>
          </w:p>
        </w:tc>
        <w:tc>
          <w:tcPr>
            <w:tcW w:w="2156" w:type="dxa"/>
            <w:tcBorders>
              <w:top w:val="single" w:sz="4" w:space="0" w:color="auto"/>
              <w:left w:val="nil"/>
              <w:bottom w:val="single" w:sz="4" w:space="0" w:color="auto"/>
              <w:right w:val="nil"/>
            </w:tcBorders>
            <w:vAlign w:val="bottom"/>
          </w:tcPr>
          <w:p w14:paraId="7812A1FB" w14:textId="77777777" w:rsidR="00AD65CA" w:rsidRPr="002A78DC" w:rsidRDefault="00AD65CA" w:rsidP="00B01D84">
            <w:pPr>
              <w:jc w:val="center"/>
              <w:rPr>
                <w:color w:val="000000"/>
              </w:rPr>
            </w:pPr>
            <w:r w:rsidRPr="002A78DC">
              <w:rPr>
                <w:color w:val="000000"/>
              </w:rPr>
              <w:t>Within-group</w:t>
            </w:r>
            <w:r w:rsidRPr="002A78DC">
              <w:rPr>
                <w:color w:val="000000"/>
                <w:vertAlign w:val="superscript"/>
              </w:rPr>
              <w:t>1</w:t>
            </w:r>
          </w:p>
        </w:tc>
        <w:tc>
          <w:tcPr>
            <w:tcW w:w="2156" w:type="dxa"/>
            <w:tcBorders>
              <w:top w:val="single" w:sz="4" w:space="0" w:color="auto"/>
              <w:left w:val="nil"/>
              <w:bottom w:val="single" w:sz="4" w:space="0" w:color="auto"/>
              <w:right w:val="nil"/>
            </w:tcBorders>
            <w:shd w:val="clear" w:color="auto" w:fill="auto"/>
            <w:vAlign w:val="bottom"/>
          </w:tcPr>
          <w:p w14:paraId="7DDD2133" w14:textId="77777777" w:rsidR="00AD65CA" w:rsidRPr="002A78DC" w:rsidRDefault="00AD65CA" w:rsidP="00B01D84">
            <w:pPr>
              <w:jc w:val="center"/>
              <w:rPr>
                <w:color w:val="000000"/>
              </w:rPr>
            </w:pPr>
            <w:r w:rsidRPr="002A78DC">
              <w:rPr>
                <w:color w:val="000000"/>
              </w:rPr>
              <w:t>Between-groups</w:t>
            </w:r>
          </w:p>
        </w:tc>
        <w:tc>
          <w:tcPr>
            <w:tcW w:w="2156" w:type="dxa"/>
            <w:tcBorders>
              <w:top w:val="single" w:sz="4" w:space="0" w:color="auto"/>
              <w:left w:val="nil"/>
              <w:bottom w:val="single" w:sz="4" w:space="0" w:color="auto"/>
              <w:right w:val="nil"/>
            </w:tcBorders>
            <w:vAlign w:val="bottom"/>
          </w:tcPr>
          <w:p w14:paraId="274FAE05" w14:textId="77777777" w:rsidR="00AD65CA" w:rsidRPr="002A78DC" w:rsidRDefault="00AD65CA" w:rsidP="00B01D84">
            <w:pPr>
              <w:jc w:val="center"/>
              <w:rPr>
                <w:color w:val="000000"/>
              </w:rPr>
            </w:pPr>
            <w:r w:rsidRPr="002A78DC">
              <w:rPr>
                <w:color w:val="000000"/>
              </w:rPr>
              <w:t>Within-group</w:t>
            </w:r>
            <w:r w:rsidRPr="002A78DC">
              <w:rPr>
                <w:color w:val="000000"/>
                <w:vertAlign w:val="superscript"/>
              </w:rPr>
              <w:t>1</w:t>
            </w:r>
          </w:p>
        </w:tc>
        <w:tc>
          <w:tcPr>
            <w:tcW w:w="2156" w:type="dxa"/>
            <w:tcBorders>
              <w:top w:val="single" w:sz="4" w:space="0" w:color="auto"/>
              <w:left w:val="nil"/>
              <w:bottom w:val="single" w:sz="4" w:space="0" w:color="auto"/>
              <w:right w:val="nil"/>
            </w:tcBorders>
            <w:vAlign w:val="bottom"/>
          </w:tcPr>
          <w:p w14:paraId="36D3BF79" w14:textId="77777777" w:rsidR="00AD65CA" w:rsidRPr="002A78DC" w:rsidRDefault="00AD65CA" w:rsidP="00B01D84">
            <w:pPr>
              <w:jc w:val="center"/>
              <w:rPr>
                <w:color w:val="000000"/>
              </w:rPr>
            </w:pPr>
            <w:r w:rsidRPr="002A78DC">
              <w:rPr>
                <w:color w:val="000000"/>
              </w:rPr>
              <w:t>Between-groups</w:t>
            </w:r>
          </w:p>
        </w:tc>
      </w:tr>
      <w:tr w:rsidR="00AD65CA" w:rsidRPr="002A78DC" w14:paraId="27184E5F" w14:textId="77777777" w:rsidTr="00B01D84">
        <w:trPr>
          <w:trHeight w:val="545"/>
        </w:trPr>
        <w:tc>
          <w:tcPr>
            <w:tcW w:w="3019" w:type="dxa"/>
            <w:tcBorders>
              <w:top w:val="nil"/>
              <w:left w:val="nil"/>
              <w:bottom w:val="nil"/>
              <w:right w:val="nil"/>
            </w:tcBorders>
            <w:shd w:val="clear" w:color="auto" w:fill="auto"/>
            <w:noWrap/>
            <w:vAlign w:val="center"/>
            <w:hideMark/>
          </w:tcPr>
          <w:p w14:paraId="6D604765" w14:textId="77777777" w:rsidR="00AD65CA" w:rsidRPr="00E16F9D" w:rsidRDefault="00AD65CA" w:rsidP="00B01D84">
            <w:pPr>
              <w:jc w:val="center"/>
              <w:rPr>
                <w:color w:val="000000"/>
              </w:rPr>
            </w:pPr>
            <w:r w:rsidRPr="00E16F9D">
              <w:rPr>
                <w:color w:val="000000"/>
              </w:rPr>
              <w:t>SCARED</w:t>
            </w:r>
          </w:p>
        </w:tc>
        <w:tc>
          <w:tcPr>
            <w:tcW w:w="2156" w:type="dxa"/>
            <w:tcBorders>
              <w:top w:val="nil"/>
              <w:left w:val="nil"/>
              <w:bottom w:val="nil"/>
              <w:right w:val="nil"/>
            </w:tcBorders>
            <w:vAlign w:val="center"/>
          </w:tcPr>
          <w:p w14:paraId="219FDE29" w14:textId="77777777" w:rsidR="00AD65CA" w:rsidRPr="002A78DC" w:rsidRDefault="00AD65CA" w:rsidP="00B01D84">
            <w:pPr>
              <w:jc w:val="center"/>
              <w:rPr>
                <w:color w:val="000000"/>
              </w:rPr>
            </w:pPr>
            <w:r w:rsidRPr="002A78DC">
              <w:rPr>
                <w:color w:val="000000"/>
              </w:rPr>
              <w:t>-</w:t>
            </w:r>
            <w:r>
              <w:rPr>
                <w:color w:val="000000"/>
              </w:rPr>
              <w:t>0.48</w:t>
            </w:r>
          </w:p>
        </w:tc>
        <w:tc>
          <w:tcPr>
            <w:tcW w:w="2156" w:type="dxa"/>
            <w:tcBorders>
              <w:top w:val="nil"/>
              <w:left w:val="nil"/>
              <w:bottom w:val="nil"/>
              <w:right w:val="nil"/>
            </w:tcBorders>
            <w:shd w:val="clear" w:color="auto" w:fill="auto"/>
            <w:noWrap/>
            <w:vAlign w:val="center"/>
            <w:hideMark/>
          </w:tcPr>
          <w:p w14:paraId="0D1A971A" w14:textId="77777777" w:rsidR="00AD65CA" w:rsidRPr="002A78DC" w:rsidRDefault="00AD65CA" w:rsidP="00B01D84">
            <w:pPr>
              <w:jc w:val="center"/>
              <w:rPr>
                <w:color w:val="000000"/>
              </w:rPr>
            </w:pPr>
            <w:r w:rsidRPr="002A78DC">
              <w:rPr>
                <w:color w:val="000000"/>
              </w:rPr>
              <w:t>-0.</w:t>
            </w:r>
            <w:r>
              <w:rPr>
                <w:color w:val="000000"/>
              </w:rPr>
              <w:t>38</w:t>
            </w:r>
          </w:p>
        </w:tc>
        <w:tc>
          <w:tcPr>
            <w:tcW w:w="2156" w:type="dxa"/>
            <w:tcBorders>
              <w:top w:val="nil"/>
              <w:left w:val="nil"/>
              <w:bottom w:val="nil"/>
              <w:right w:val="nil"/>
            </w:tcBorders>
            <w:vAlign w:val="center"/>
          </w:tcPr>
          <w:p w14:paraId="50236981" w14:textId="77777777" w:rsidR="00AD65CA" w:rsidRPr="002A78DC" w:rsidRDefault="00AD65CA" w:rsidP="00B01D84">
            <w:pPr>
              <w:jc w:val="center"/>
              <w:rPr>
                <w:color w:val="000000"/>
              </w:rPr>
            </w:pPr>
            <w:r>
              <w:rPr>
                <w:color w:val="000000"/>
              </w:rPr>
              <w:t>-0.22</w:t>
            </w:r>
          </w:p>
        </w:tc>
        <w:tc>
          <w:tcPr>
            <w:tcW w:w="2156" w:type="dxa"/>
            <w:tcBorders>
              <w:top w:val="nil"/>
              <w:left w:val="nil"/>
              <w:bottom w:val="nil"/>
              <w:right w:val="nil"/>
            </w:tcBorders>
            <w:vAlign w:val="center"/>
          </w:tcPr>
          <w:p w14:paraId="79936861" w14:textId="77777777" w:rsidR="00AD65CA" w:rsidRPr="002A78DC" w:rsidRDefault="00AD65CA" w:rsidP="00B01D84">
            <w:pPr>
              <w:jc w:val="center"/>
              <w:rPr>
                <w:color w:val="000000"/>
              </w:rPr>
            </w:pPr>
            <w:r>
              <w:rPr>
                <w:color w:val="000000"/>
              </w:rPr>
              <w:t>-0.63</w:t>
            </w:r>
          </w:p>
        </w:tc>
      </w:tr>
      <w:tr w:rsidR="00AD65CA" w:rsidRPr="002A78DC" w14:paraId="758D8BC2" w14:textId="77777777" w:rsidTr="00B01D84">
        <w:trPr>
          <w:trHeight w:val="545"/>
        </w:trPr>
        <w:tc>
          <w:tcPr>
            <w:tcW w:w="3019" w:type="dxa"/>
            <w:tcBorders>
              <w:top w:val="nil"/>
              <w:left w:val="nil"/>
              <w:bottom w:val="nil"/>
              <w:right w:val="nil"/>
            </w:tcBorders>
            <w:shd w:val="clear" w:color="auto" w:fill="auto"/>
            <w:noWrap/>
            <w:vAlign w:val="center"/>
            <w:hideMark/>
          </w:tcPr>
          <w:p w14:paraId="6A83532C" w14:textId="77777777" w:rsidR="00AD65CA" w:rsidRPr="00E16F9D" w:rsidRDefault="00AD65CA" w:rsidP="00B01D84">
            <w:pPr>
              <w:jc w:val="center"/>
              <w:rPr>
                <w:color w:val="000000"/>
              </w:rPr>
            </w:pPr>
            <w:r w:rsidRPr="00E16F9D">
              <w:rPr>
                <w:color w:val="000000"/>
              </w:rPr>
              <w:t>CESD</w:t>
            </w:r>
          </w:p>
        </w:tc>
        <w:tc>
          <w:tcPr>
            <w:tcW w:w="2156" w:type="dxa"/>
            <w:tcBorders>
              <w:top w:val="nil"/>
              <w:left w:val="nil"/>
              <w:bottom w:val="nil"/>
              <w:right w:val="nil"/>
            </w:tcBorders>
            <w:vAlign w:val="center"/>
          </w:tcPr>
          <w:p w14:paraId="4B1AB5D2" w14:textId="77777777" w:rsidR="00AD65CA" w:rsidRPr="002A78DC" w:rsidRDefault="00AD65CA" w:rsidP="00B01D84">
            <w:pPr>
              <w:jc w:val="center"/>
              <w:rPr>
                <w:color w:val="000000"/>
              </w:rPr>
            </w:pPr>
            <w:r w:rsidRPr="002A78DC">
              <w:rPr>
                <w:color w:val="000000"/>
              </w:rPr>
              <w:t>-0.</w:t>
            </w:r>
            <w:r>
              <w:rPr>
                <w:color w:val="000000"/>
              </w:rPr>
              <w:t>59</w:t>
            </w:r>
          </w:p>
        </w:tc>
        <w:tc>
          <w:tcPr>
            <w:tcW w:w="2156" w:type="dxa"/>
            <w:tcBorders>
              <w:top w:val="nil"/>
              <w:left w:val="nil"/>
              <w:bottom w:val="nil"/>
              <w:right w:val="nil"/>
            </w:tcBorders>
            <w:shd w:val="clear" w:color="auto" w:fill="auto"/>
            <w:noWrap/>
            <w:vAlign w:val="center"/>
            <w:hideMark/>
          </w:tcPr>
          <w:p w14:paraId="5ABE1646" w14:textId="77777777" w:rsidR="00AD65CA" w:rsidRPr="002A78DC" w:rsidRDefault="00AD65CA" w:rsidP="00B01D84">
            <w:pPr>
              <w:jc w:val="center"/>
              <w:rPr>
                <w:color w:val="000000"/>
              </w:rPr>
            </w:pPr>
            <w:r w:rsidRPr="002A78DC">
              <w:rPr>
                <w:color w:val="000000"/>
              </w:rPr>
              <w:t>-0.</w:t>
            </w:r>
            <w:r>
              <w:rPr>
                <w:color w:val="000000"/>
              </w:rPr>
              <w:t>26</w:t>
            </w:r>
          </w:p>
        </w:tc>
        <w:tc>
          <w:tcPr>
            <w:tcW w:w="2156" w:type="dxa"/>
            <w:tcBorders>
              <w:top w:val="nil"/>
              <w:left w:val="nil"/>
              <w:bottom w:val="nil"/>
              <w:right w:val="nil"/>
            </w:tcBorders>
            <w:vAlign w:val="center"/>
          </w:tcPr>
          <w:p w14:paraId="4969653A" w14:textId="77777777" w:rsidR="00AD65CA" w:rsidRPr="002A78DC" w:rsidRDefault="00AD65CA" w:rsidP="00B01D84">
            <w:pPr>
              <w:jc w:val="center"/>
              <w:rPr>
                <w:color w:val="000000"/>
              </w:rPr>
            </w:pPr>
            <w:r>
              <w:rPr>
                <w:color w:val="000000"/>
              </w:rPr>
              <w:t>-.025</w:t>
            </w:r>
          </w:p>
        </w:tc>
        <w:tc>
          <w:tcPr>
            <w:tcW w:w="2156" w:type="dxa"/>
            <w:tcBorders>
              <w:top w:val="nil"/>
              <w:left w:val="nil"/>
              <w:bottom w:val="nil"/>
              <w:right w:val="nil"/>
            </w:tcBorders>
            <w:vAlign w:val="center"/>
          </w:tcPr>
          <w:p w14:paraId="6B5D4E31" w14:textId="77777777" w:rsidR="00AD65CA" w:rsidRPr="002A78DC" w:rsidRDefault="00AD65CA" w:rsidP="00B01D84">
            <w:pPr>
              <w:jc w:val="center"/>
              <w:rPr>
                <w:color w:val="000000"/>
              </w:rPr>
            </w:pPr>
            <w:r>
              <w:rPr>
                <w:color w:val="000000"/>
              </w:rPr>
              <w:t>-0.40</w:t>
            </w:r>
          </w:p>
        </w:tc>
      </w:tr>
      <w:tr w:rsidR="00AD65CA" w:rsidRPr="002A78DC" w14:paraId="55F12CF0" w14:textId="77777777" w:rsidTr="00B01D84">
        <w:trPr>
          <w:trHeight w:val="545"/>
        </w:trPr>
        <w:tc>
          <w:tcPr>
            <w:tcW w:w="3019" w:type="dxa"/>
            <w:tcBorders>
              <w:top w:val="nil"/>
              <w:left w:val="nil"/>
              <w:bottom w:val="nil"/>
              <w:right w:val="nil"/>
            </w:tcBorders>
            <w:shd w:val="clear" w:color="auto" w:fill="auto"/>
            <w:noWrap/>
            <w:vAlign w:val="center"/>
            <w:hideMark/>
          </w:tcPr>
          <w:p w14:paraId="52378949" w14:textId="77777777" w:rsidR="00AD65CA" w:rsidRPr="00E16F9D" w:rsidRDefault="00AD65CA" w:rsidP="00B01D84">
            <w:pPr>
              <w:jc w:val="center"/>
              <w:rPr>
                <w:color w:val="000000"/>
              </w:rPr>
            </w:pPr>
            <w:r w:rsidRPr="00E16F9D">
              <w:rPr>
                <w:color w:val="000000"/>
              </w:rPr>
              <w:t>AFQ-Y</w:t>
            </w:r>
          </w:p>
        </w:tc>
        <w:tc>
          <w:tcPr>
            <w:tcW w:w="2156" w:type="dxa"/>
            <w:tcBorders>
              <w:top w:val="nil"/>
              <w:left w:val="nil"/>
              <w:bottom w:val="nil"/>
              <w:right w:val="nil"/>
            </w:tcBorders>
            <w:vAlign w:val="center"/>
          </w:tcPr>
          <w:p w14:paraId="379AA071" w14:textId="77777777" w:rsidR="00AD65CA" w:rsidRPr="002A78DC" w:rsidRDefault="00AD65CA" w:rsidP="00B01D84">
            <w:pPr>
              <w:jc w:val="center"/>
            </w:pPr>
            <w:r>
              <w:t>-0.49</w:t>
            </w:r>
          </w:p>
        </w:tc>
        <w:tc>
          <w:tcPr>
            <w:tcW w:w="2156" w:type="dxa"/>
            <w:tcBorders>
              <w:top w:val="nil"/>
              <w:left w:val="nil"/>
              <w:bottom w:val="nil"/>
              <w:right w:val="nil"/>
            </w:tcBorders>
            <w:shd w:val="clear" w:color="auto" w:fill="auto"/>
            <w:noWrap/>
            <w:vAlign w:val="center"/>
            <w:hideMark/>
          </w:tcPr>
          <w:p w14:paraId="4209F09C" w14:textId="77777777" w:rsidR="00AD65CA" w:rsidRPr="002A78DC" w:rsidRDefault="00AD65CA" w:rsidP="00B01D84">
            <w:pPr>
              <w:jc w:val="center"/>
            </w:pPr>
            <w:r>
              <w:t>-0.21</w:t>
            </w:r>
          </w:p>
        </w:tc>
        <w:tc>
          <w:tcPr>
            <w:tcW w:w="2156" w:type="dxa"/>
            <w:tcBorders>
              <w:top w:val="nil"/>
              <w:left w:val="nil"/>
              <w:bottom w:val="nil"/>
              <w:right w:val="nil"/>
            </w:tcBorders>
            <w:vAlign w:val="center"/>
          </w:tcPr>
          <w:p w14:paraId="1260572F" w14:textId="40A90107" w:rsidR="00AD65CA" w:rsidRPr="002A78DC" w:rsidRDefault="00AD65CA" w:rsidP="00B01D84">
            <w:pPr>
              <w:jc w:val="center"/>
            </w:pPr>
            <w:r>
              <w:t>0.10</w:t>
            </w:r>
          </w:p>
        </w:tc>
        <w:tc>
          <w:tcPr>
            <w:tcW w:w="2156" w:type="dxa"/>
            <w:tcBorders>
              <w:top w:val="nil"/>
              <w:left w:val="nil"/>
              <w:bottom w:val="nil"/>
              <w:right w:val="nil"/>
            </w:tcBorders>
            <w:vAlign w:val="center"/>
          </w:tcPr>
          <w:p w14:paraId="14FD56A1" w14:textId="2E99312D" w:rsidR="00AD65CA" w:rsidRPr="002A78DC" w:rsidRDefault="00AD65CA" w:rsidP="00B01D84">
            <w:pPr>
              <w:jc w:val="center"/>
            </w:pPr>
            <w:r>
              <w:t>-0.15</w:t>
            </w:r>
          </w:p>
        </w:tc>
      </w:tr>
      <w:tr w:rsidR="00AD65CA" w:rsidRPr="002A78DC" w14:paraId="2D77B11F" w14:textId="77777777" w:rsidTr="00B01D84">
        <w:trPr>
          <w:trHeight w:val="545"/>
        </w:trPr>
        <w:tc>
          <w:tcPr>
            <w:tcW w:w="3019" w:type="dxa"/>
            <w:tcBorders>
              <w:top w:val="nil"/>
              <w:left w:val="nil"/>
              <w:bottom w:val="nil"/>
              <w:right w:val="nil"/>
            </w:tcBorders>
            <w:shd w:val="clear" w:color="auto" w:fill="auto"/>
            <w:noWrap/>
            <w:vAlign w:val="center"/>
            <w:hideMark/>
          </w:tcPr>
          <w:p w14:paraId="2055D3D9" w14:textId="77777777" w:rsidR="00AD65CA" w:rsidRPr="00E16F9D" w:rsidRDefault="00AD65CA" w:rsidP="00B01D84">
            <w:pPr>
              <w:jc w:val="center"/>
              <w:rPr>
                <w:color w:val="000000"/>
              </w:rPr>
            </w:pPr>
            <w:r w:rsidRPr="00E16F9D">
              <w:rPr>
                <w:color w:val="000000"/>
              </w:rPr>
              <w:t>MHC-SF</w:t>
            </w:r>
          </w:p>
        </w:tc>
        <w:tc>
          <w:tcPr>
            <w:tcW w:w="2156" w:type="dxa"/>
            <w:tcBorders>
              <w:top w:val="nil"/>
              <w:left w:val="nil"/>
              <w:bottom w:val="nil"/>
              <w:right w:val="nil"/>
            </w:tcBorders>
            <w:vAlign w:val="center"/>
          </w:tcPr>
          <w:p w14:paraId="17ACEB73" w14:textId="77777777" w:rsidR="00AD65CA" w:rsidRPr="002A78DC" w:rsidRDefault="00AD65CA" w:rsidP="00B01D84">
            <w:pPr>
              <w:jc w:val="center"/>
              <w:rPr>
                <w:color w:val="000000"/>
              </w:rPr>
            </w:pPr>
            <w:r>
              <w:rPr>
                <w:color w:val="000000"/>
              </w:rPr>
              <w:t>0.55</w:t>
            </w:r>
          </w:p>
        </w:tc>
        <w:tc>
          <w:tcPr>
            <w:tcW w:w="2156" w:type="dxa"/>
            <w:tcBorders>
              <w:top w:val="nil"/>
              <w:left w:val="nil"/>
              <w:bottom w:val="nil"/>
              <w:right w:val="nil"/>
            </w:tcBorders>
            <w:shd w:val="clear" w:color="auto" w:fill="auto"/>
            <w:noWrap/>
            <w:vAlign w:val="center"/>
            <w:hideMark/>
          </w:tcPr>
          <w:p w14:paraId="5FD1566B" w14:textId="77777777" w:rsidR="00AD65CA" w:rsidRPr="002A78DC" w:rsidRDefault="00AD65CA" w:rsidP="00B01D84">
            <w:pPr>
              <w:jc w:val="center"/>
              <w:rPr>
                <w:color w:val="000000"/>
              </w:rPr>
            </w:pPr>
            <w:r>
              <w:rPr>
                <w:color w:val="000000"/>
              </w:rPr>
              <w:t>0.24</w:t>
            </w:r>
          </w:p>
        </w:tc>
        <w:tc>
          <w:tcPr>
            <w:tcW w:w="2156" w:type="dxa"/>
            <w:tcBorders>
              <w:top w:val="nil"/>
              <w:left w:val="nil"/>
              <w:bottom w:val="nil"/>
              <w:right w:val="nil"/>
            </w:tcBorders>
            <w:vAlign w:val="center"/>
          </w:tcPr>
          <w:p w14:paraId="7CED372F" w14:textId="77777777" w:rsidR="00AD65CA" w:rsidRPr="002A78DC" w:rsidRDefault="00AD65CA" w:rsidP="00B01D84">
            <w:pPr>
              <w:jc w:val="center"/>
              <w:rPr>
                <w:color w:val="000000"/>
              </w:rPr>
            </w:pPr>
            <w:r>
              <w:rPr>
                <w:color w:val="000000"/>
              </w:rPr>
              <w:t>-0.26</w:t>
            </w:r>
          </w:p>
        </w:tc>
        <w:tc>
          <w:tcPr>
            <w:tcW w:w="2156" w:type="dxa"/>
            <w:tcBorders>
              <w:top w:val="nil"/>
              <w:left w:val="nil"/>
              <w:bottom w:val="nil"/>
              <w:right w:val="nil"/>
            </w:tcBorders>
            <w:vAlign w:val="center"/>
          </w:tcPr>
          <w:p w14:paraId="336B10FE" w14:textId="460057B3" w:rsidR="00AD65CA" w:rsidRPr="002A78DC" w:rsidRDefault="00AD65CA" w:rsidP="00B01D84">
            <w:pPr>
              <w:jc w:val="center"/>
              <w:rPr>
                <w:color w:val="000000"/>
              </w:rPr>
            </w:pPr>
            <w:r>
              <w:rPr>
                <w:color w:val="000000"/>
              </w:rPr>
              <w:t>0.10</w:t>
            </w:r>
          </w:p>
        </w:tc>
      </w:tr>
      <w:tr w:rsidR="00AD65CA" w:rsidRPr="002A78DC" w14:paraId="7F159269" w14:textId="77777777" w:rsidTr="00B01D84">
        <w:trPr>
          <w:trHeight w:val="545"/>
        </w:trPr>
        <w:tc>
          <w:tcPr>
            <w:tcW w:w="3019" w:type="dxa"/>
            <w:tcBorders>
              <w:top w:val="nil"/>
              <w:left w:val="nil"/>
              <w:right w:val="nil"/>
            </w:tcBorders>
            <w:shd w:val="clear" w:color="auto" w:fill="auto"/>
            <w:noWrap/>
            <w:vAlign w:val="center"/>
            <w:hideMark/>
          </w:tcPr>
          <w:p w14:paraId="63D2CBB9" w14:textId="77777777" w:rsidR="00AD65CA" w:rsidRPr="00E16F9D" w:rsidRDefault="00AD65CA" w:rsidP="00B01D84">
            <w:pPr>
              <w:jc w:val="center"/>
              <w:rPr>
                <w:color w:val="000000"/>
              </w:rPr>
            </w:pPr>
            <w:r w:rsidRPr="00E16F9D">
              <w:rPr>
                <w:color w:val="000000"/>
              </w:rPr>
              <w:t>SSWQ</w:t>
            </w:r>
          </w:p>
        </w:tc>
        <w:tc>
          <w:tcPr>
            <w:tcW w:w="2156" w:type="dxa"/>
            <w:tcBorders>
              <w:top w:val="nil"/>
              <w:left w:val="nil"/>
              <w:right w:val="nil"/>
            </w:tcBorders>
            <w:vAlign w:val="center"/>
          </w:tcPr>
          <w:p w14:paraId="28DE73C4" w14:textId="77777777" w:rsidR="00AD65CA" w:rsidRPr="002A78DC" w:rsidRDefault="00AD65CA" w:rsidP="00B01D84">
            <w:pPr>
              <w:jc w:val="center"/>
              <w:rPr>
                <w:color w:val="000000"/>
              </w:rPr>
            </w:pPr>
            <w:r>
              <w:rPr>
                <w:color w:val="000000"/>
              </w:rPr>
              <w:t>0.53</w:t>
            </w:r>
          </w:p>
        </w:tc>
        <w:tc>
          <w:tcPr>
            <w:tcW w:w="2156" w:type="dxa"/>
            <w:tcBorders>
              <w:top w:val="nil"/>
              <w:left w:val="nil"/>
              <w:right w:val="nil"/>
            </w:tcBorders>
            <w:shd w:val="clear" w:color="auto" w:fill="auto"/>
            <w:noWrap/>
            <w:vAlign w:val="center"/>
            <w:hideMark/>
          </w:tcPr>
          <w:p w14:paraId="790BEDD5" w14:textId="77777777" w:rsidR="00AD65CA" w:rsidRPr="002A78DC" w:rsidRDefault="00AD65CA" w:rsidP="00B01D84">
            <w:pPr>
              <w:jc w:val="center"/>
              <w:rPr>
                <w:color w:val="000000"/>
              </w:rPr>
            </w:pPr>
            <w:r>
              <w:rPr>
                <w:color w:val="000000"/>
              </w:rPr>
              <w:t>0.30</w:t>
            </w:r>
          </w:p>
        </w:tc>
        <w:tc>
          <w:tcPr>
            <w:tcW w:w="2156" w:type="dxa"/>
            <w:tcBorders>
              <w:top w:val="nil"/>
              <w:left w:val="nil"/>
              <w:right w:val="nil"/>
            </w:tcBorders>
            <w:vAlign w:val="center"/>
          </w:tcPr>
          <w:p w14:paraId="59AFF718" w14:textId="77777777" w:rsidR="00AD65CA" w:rsidRPr="002A78DC" w:rsidRDefault="00AD65CA" w:rsidP="00B01D84">
            <w:pPr>
              <w:jc w:val="center"/>
              <w:rPr>
                <w:color w:val="000000"/>
              </w:rPr>
            </w:pPr>
            <w:r>
              <w:rPr>
                <w:color w:val="000000"/>
              </w:rPr>
              <w:t>-0.42</w:t>
            </w:r>
          </w:p>
        </w:tc>
        <w:tc>
          <w:tcPr>
            <w:tcW w:w="2156" w:type="dxa"/>
            <w:tcBorders>
              <w:top w:val="nil"/>
              <w:left w:val="nil"/>
              <w:right w:val="nil"/>
            </w:tcBorders>
            <w:vAlign w:val="center"/>
          </w:tcPr>
          <w:p w14:paraId="4EA73127" w14:textId="77777777" w:rsidR="00AD65CA" w:rsidRPr="002A78DC" w:rsidRDefault="00AD65CA" w:rsidP="00B01D84">
            <w:pPr>
              <w:jc w:val="center"/>
              <w:rPr>
                <w:color w:val="000000"/>
              </w:rPr>
            </w:pPr>
            <w:r>
              <w:rPr>
                <w:color w:val="000000"/>
              </w:rPr>
              <w:t>0.21</w:t>
            </w:r>
          </w:p>
        </w:tc>
      </w:tr>
      <w:tr w:rsidR="00AD65CA" w:rsidRPr="002A78DC" w14:paraId="30139F05" w14:textId="77777777" w:rsidTr="00B01D84">
        <w:trPr>
          <w:trHeight w:val="545"/>
        </w:trPr>
        <w:tc>
          <w:tcPr>
            <w:tcW w:w="3019" w:type="dxa"/>
            <w:tcBorders>
              <w:top w:val="nil"/>
              <w:left w:val="nil"/>
              <w:bottom w:val="single" w:sz="4" w:space="0" w:color="auto"/>
              <w:right w:val="nil"/>
            </w:tcBorders>
            <w:shd w:val="clear" w:color="auto" w:fill="auto"/>
            <w:noWrap/>
            <w:vAlign w:val="center"/>
            <w:hideMark/>
          </w:tcPr>
          <w:p w14:paraId="799EBFE6" w14:textId="77777777" w:rsidR="00AD65CA" w:rsidRPr="002A78DC" w:rsidRDefault="00AD65CA" w:rsidP="00B01D84">
            <w:pPr>
              <w:jc w:val="center"/>
              <w:rPr>
                <w:color w:val="000000"/>
              </w:rPr>
            </w:pPr>
            <w:r>
              <w:rPr>
                <w:color w:val="000000"/>
              </w:rPr>
              <w:t>Class absences</w:t>
            </w:r>
          </w:p>
        </w:tc>
        <w:tc>
          <w:tcPr>
            <w:tcW w:w="2156" w:type="dxa"/>
            <w:tcBorders>
              <w:top w:val="nil"/>
              <w:left w:val="nil"/>
              <w:bottom w:val="single" w:sz="4" w:space="0" w:color="auto"/>
              <w:right w:val="nil"/>
            </w:tcBorders>
            <w:vAlign w:val="center"/>
          </w:tcPr>
          <w:p w14:paraId="5A34E133" w14:textId="77777777" w:rsidR="00AD65CA" w:rsidRPr="002A78DC" w:rsidRDefault="00AD65CA" w:rsidP="00B01D84">
            <w:pPr>
              <w:jc w:val="center"/>
            </w:pPr>
            <w:r>
              <w:t>-0.50</w:t>
            </w:r>
          </w:p>
        </w:tc>
        <w:tc>
          <w:tcPr>
            <w:tcW w:w="2156" w:type="dxa"/>
            <w:tcBorders>
              <w:top w:val="nil"/>
              <w:left w:val="nil"/>
              <w:bottom w:val="single" w:sz="4" w:space="0" w:color="auto"/>
              <w:right w:val="nil"/>
            </w:tcBorders>
            <w:shd w:val="clear" w:color="auto" w:fill="auto"/>
            <w:noWrap/>
            <w:vAlign w:val="center"/>
            <w:hideMark/>
          </w:tcPr>
          <w:p w14:paraId="39B04B1A" w14:textId="6581D3D8" w:rsidR="00AD65CA" w:rsidRPr="002A78DC" w:rsidRDefault="00AD65CA" w:rsidP="00B01D84">
            <w:pPr>
              <w:jc w:val="center"/>
            </w:pPr>
            <w:r>
              <w:t>-0.11</w:t>
            </w:r>
          </w:p>
        </w:tc>
        <w:tc>
          <w:tcPr>
            <w:tcW w:w="2156" w:type="dxa"/>
            <w:tcBorders>
              <w:top w:val="nil"/>
              <w:left w:val="nil"/>
              <w:bottom w:val="single" w:sz="4" w:space="0" w:color="auto"/>
              <w:right w:val="nil"/>
            </w:tcBorders>
            <w:vAlign w:val="center"/>
          </w:tcPr>
          <w:p w14:paraId="3B3DFBAA" w14:textId="77777777" w:rsidR="00AD65CA" w:rsidRPr="002A78DC" w:rsidRDefault="00AD65CA" w:rsidP="00B01D84">
            <w:pPr>
              <w:jc w:val="center"/>
            </w:pPr>
            <w:r>
              <w:t>-0.03</w:t>
            </w:r>
          </w:p>
        </w:tc>
        <w:tc>
          <w:tcPr>
            <w:tcW w:w="2156" w:type="dxa"/>
            <w:tcBorders>
              <w:top w:val="nil"/>
              <w:left w:val="nil"/>
              <w:bottom w:val="single" w:sz="4" w:space="0" w:color="auto"/>
              <w:right w:val="nil"/>
            </w:tcBorders>
            <w:vAlign w:val="center"/>
          </w:tcPr>
          <w:p w14:paraId="53EC6CB8" w14:textId="77777777" w:rsidR="00AD65CA" w:rsidRPr="002A78DC" w:rsidRDefault="00AD65CA" w:rsidP="00B01D84">
            <w:pPr>
              <w:jc w:val="center"/>
            </w:pPr>
            <w:r>
              <w:t>-0.72</w:t>
            </w:r>
          </w:p>
        </w:tc>
      </w:tr>
    </w:tbl>
    <w:p w14:paraId="7BC843ED" w14:textId="77777777" w:rsidR="00AD65CA" w:rsidRDefault="00AD65CA" w:rsidP="00AD65CA">
      <w:pPr>
        <w:rPr>
          <w:color w:val="000000"/>
        </w:rPr>
      </w:pPr>
      <w:r w:rsidRPr="002A78DC">
        <w:rPr>
          <w:color w:val="000000"/>
          <w:vertAlign w:val="superscript"/>
        </w:rPr>
        <w:t xml:space="preserve">1 </w:t>
      </w:r>
      <w:r>
        <w:rPr>
          <w:color w:val="000000"/>
        </w:rPr>
        <w:t>Within treatment group</w:t>
      </w:r>
    </w:p>
    <w:p w14:paraId="3520D4DD" w14:textId="77777777" w:rsidR="00AD65CA" w:rsidRDefault="00AD65CA" w:rsidP="00AD65CA">
      <w:r w:rsidRPr="002A78DC">
        <w:rPr>
          <w:i/>
          <w:iCs/>
        </w:rPr>
        <w:t>Note.</w:t>
      </w:r>
      <w:r w:rsidRPr="002A78DC">
        <w:t xml:space="preserve"> </w:t>
      </w:r>
      <w:r>
        <w:t xml:space="preserve">SCARED = </w:t>
      </w:r>
      <w:r w:rsidRPr="00581E1F">
        <w:rPr>
          <w:bCs/>
        </w:rPr>
        <w:t>Screen for Child Anxiety and Related Disorders – Child Report</w:t>
      </w:r>
      <w:r>
        <w:t>, CES-D = Center for Epidemiologic Studies Depression Scale, AFQ-Y = Avoidance and Fusion Questionnaire for Youth, MHC-SF = Mental Health Continuum Short Form, SSWQ = Student Subjective Well-being Questionnaire</w:t>
      </w:r>
    </w:p>
    <w:p w14:paraId="4792E7F8" w14:textId="77777777" w:rsidR="00AD65CA" w:rsidRDefault="00AD65CA" w:rsidP="00AD65CA"/>
    <w:p w14:paraId="69D9EC15" w14:textId="77777777" w:rsidR="00AD65CA" w:rsidRPr="00337EA7" w:rsidRDefault="00AD65CA" w:rsidP="00AD65CA"/>
    <w:p w14:paraId="6842DD69" w14:textId="77777777" w:rsidR="00AD65CA" w:rsidRDefault="00AD65CA" w:rsidP="00AD65CA">
      <w:r>
        <w:br w:type="page"/>
      </w:r>
    </w:p>
    <w:p w14:paraId="6834E1AE" w14:textId="671D103C" w:rsidR="00AD65CA" w:rsidRPr="00F43CDD" w:rsidRDefault="00AD65CA" w:rsidP="00AD65CA">
      <w:r w:rsidRPr="00F43CDD">
        <w:lastRenderedPageBreak/>
        <w:t xml:space="preserve">Table </w:t>
      </w:r>
      <w:r w:rsidR="00412801">
        <w:t>5</w:t>
      </w:r>
    </w:p>
    <w:p w14:paraId="4FC2B690" w14:textId="77777777" w:rsidR="00AD65CA" w:rsidRPr="00F43CDD" w:rsidRDefault="00AD65CA" w:rsidP="00AD65CA">
      <w:r>
        <w:t>Estimated marginal means</w:t>
      </w:r>
      <w:r w:rsidRPr="00F43CDD">
        <w:t xml:space="preserve"> and 95% </w:t>
      </w:r>
      <w:r>
        <w:t>c</w:t>
      </w:r>
      <w:r w:rsidRPr="00F43CDD">
        <w:t xml:space="preserve">onfidence </w:t>
      </w:r>
      <w:r>
        <w:t>i</w:t>
      </w:r>
      <w:r w:rsidRPr="00F43CDD">
        <w:t xml:space="preserve">ntervals </w:t>
      </w:r>
      <w:r>
        <w:t>f</w:t>
      </w:r>
      <w:r w:rsidRPr="00F43CDD">
        <w:t xml:space="preserve">rom </w:t>
      </w:r>
      <w:r>
        <w:t>b</w:t>
      </w:r>
      <w:r w:rsidRPr="00F43CDD">
        <w:t>est-</w:t>
      </w:r>
      <w:r>
        <w:t>f</w:t>
      </w:r>
      <w:r w:rsidRPr="00F43CDD">
        <w:t xml:space="preserve">itting </w:t>
      </w:r>
      <w:r>
        <w:t>m</w:t>
      </w:r>
      <w:r w:rsidRPr="00F43CDD">
        <w:t xml:space="preserve">ultilevel </w:t>
      </w:r>
      <w:r>
        <w:t>m</w:t>
      </w:r>
      <w:r w:rsidRPr="00F43CDD">
        <w:t>odels</w:t>
      </w:r>
    </w:p>
    <w:tbl>
      <w:tblPr>
        <w:tblW w:w="13724" w:type="dxa"/>
        <w:tblCellSpacing w:w="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1934"/>
        <w:gridCol w:w="1935"/>
        <w:gridCol w:w="1934"/>
        <w:gridCol w:w="1935"/>
        <w:gridCol w:w="2153"/>
        <w:gridCol w:w="2099"/>
      </w:tblGrid>
      <w:tr w:rsidR="00AD65CA" w:rsidRPr="00F43CDD" w14:paraId="6D1196D6" w14:textId="77777777" w:rsidTr="00B01D84">
        <w:trPr>
          <w:trHeight w:val="514"/>
          <w:tblCellSpacing w:w="0" w:type="dxa"/>
        </w:trPr>
        <w:tc>
          <w:tcPr>
            <w:tcW w:w="1734" w:type="dxa"/>
            <w:tcBorders>
              <w:top w:val="single" w:sz="4" w:space="0" w:color="auto"/>
              <w:bottom w:val="single" w:sz="4" w:space="0" w:color="auto"/>
            </w:tcBorders>
            <w:tcMar>
              <w:top w:w="15" w:type="dxa"/>
              <w:left w:w="15" w:type="dxa"/>
              <w:bottom w:w="15" w:type="dxa"/>
              <w:right w:w="180" w:type="dxa"/>
            </w:tcMar>
            <w:vAlign w:val="center"/>
            <w:hideMark/>
          </w:tcPr>
          <w:p w14:paraId="7BE290CB" w14:textId="77777777" w:rsidR="00AD65CA" w:rsidRPr="00F43CDD" w:rsidRDefault="00AD65CA" w:rsidP="00B01D84">
            <w:pPr>
              <w:spacing w:before="72"/>
              <w:jc w:val="center"/>
              <w:textAlignment w:val="baseline"/>
            </w:pPr>
          </w:p>
        </w:tc>
        <w:tc>
          <w:tcPr>
            <w:tcW w:w="1934" w:type="dxa"/>
            <w:tcBorders>
              <w:top w:val="single" w:sz="4" w:space="0" w:color="auto"/>
              <w:bottom w:val="single" w:sz="4" w:space="0" w:color="auto"/>
            </w:tcBorders>
            <w:tcMar>
              <w:top w:w="15" w:type="dxa"/>
              <w:left w:w="15" w:type="dxa"/>
              <w:bottom w:w="15" w:type="dxa"/>
              <w:right w:w="180" w:type="dxa"/>
            </w:tcMar>
            <w:vAlign w:val="center"/>
            <w:hideMark/>
          </w:tcPr>
          <w:p w14:paraId="3DD9BDD2" w14:textId="77777777" w:rsidR="00AD65CA" w:rsidRPr="00F43CDD" w:rsidRDefault="00AD65CA" w:rsidP="00B01D84">
            <w:pPr>
              <w:jc w:val="center"/>
            </w:pPr>
            <w:r>
              <w:t>SCARED</w:t>
            </w:r>
          </w:p>
        </w:tc>
        <w:tc>
          <w:tcPr>
            <w:tcW w:w="1935" w:type="dxa"/>
            <w:tcBorders>
              <w:top w:val="single" w:sz="4" w:space="0" w:color="auto"/>
              <w:bottom w:val="single" w:sz="4" w:space="0" w:color="auto"/>
            </w:tcBorders>
            <w:tcMar>
              <w:top w:w="15" w:type="dxa"/>
              <w:left w:w="15" w:type="dxa"/>
              <w:bottom w:w="15" w:type="dxa"/>
              <w:right w:w="180" w:type="dxa"/>
            </w:tcMar>
            <w:vAlign w:val="center"/>
            <w:hideMark/>
          </w:tcPr>
          <w:p w14:paraId="655407B7" w14:textId="77777777" w:rsidR="00AD65CA" w:rsidRPr="00F43CDD" w:rsidRDefault="00AD65CA" w:rsidP="00B01D84">
            <w:pPr>
              <w:jc w:val="center"/>
            </w:pPr>
            <w:r>
              <w:t>CESD</w:t>
            </w:r>
          </w:p>
        </w:tc>
        <w:tc>
          <w:tcPr>
            <w:tcW w:w="1934" w:type="dxa"/>
            <w:tcBorders>
              <w:top w:val="single" w:sz="4" w:space="0" w:color="auto"/>
              <w:bottom w:val="single" w:sz="4" w:space="0" w:color="auto"/>
            </w:tcBorders>
            <w:tcMar>
              <w:top w:w="15" w:type="dxa"/>
              <w:left w:w="15" w:type="dxa"/>
              <w:bottom w:w="15" w:type="dxa"/>
              <w:right w:w="180" w:type="dxa"/>
            </w:tcMar>
            <w:vAlign w:val="center"/>
            <w:hideMark/>
          </w:tcPr>
          <w:p w14:paraId="63B8DCEE" w14:textId="77777777" w:rsidR="00AD65CA" w:rsidRPr="00F43CDD" w:rsidRDefault="00AD65CA" w:rsidP="00B01D84">
            <w:pPr>
              <w:jc w:val="center"/>
            </w:pPr>
            <w:r>
              <w:t>AFQ-Y</w:t>
            </w:r>
          </w:p>
        </w:tc>
        <w:tc>
          <w:tcPr>
            <w:tcW w:w="1935" w:type="dxa"/>
            <w:tcBorders>
              <w:top w:val="single" w:sz="4" w:space="0" w:color="auto"/>
              <w:bottom w:val="single" w:sz="4" w:space="0" w:color="auto"/>
            </w:tcBorders>
            <w:tcMar>
              <w:top w:w="15" w:type="dxa"/>
              <w:left w:w="15" w:type="dxa"/>
              <w:bottom w:w="15" w:type="dxa"/>
              <w:right w:w="180" w:type="dxa"/>
            </w:tcMar>
            <w:vAlign w:val="center"/>
            <w:hideMark/>
          </w:tcPr>
          <w:p w14:paraId="4600946A" w14:textId="77777777" w:rsidR="00AD65CA" w:rsidRPr="00F43CDD" w:rsidRDefault="00AD65CA" w:rsidP="00B01D84">
            <w:pPr>
              <w:jc w:val="center"/>
            </w:pPr>
            <w:r>
              <w:t>MHCSF</w:t>
            </w:r>
          </w:p>
        </w:tc>
        <w:tc>
          <w:tcPr>
            <w:tcW w:w="2153" w:type="dxa"/>
            <w:tcBorders>
              <w:top w:val="single" w:sz="4" w:space="0" w:color="auto"/>
              <w:bottom w:val="single" w:sz="4" w:space="0" w:color="auto"/>
            </w:tcBorders>
            <w:tcMar>
              <w:top w:w="15" w:type="dxa"/>
              <w:left w:w="15" w:type="dxa"/>
              <w:bottom w:w="15" w:type="dxa"/>
              <w:right w:w="180" w:type="dxa"/>
            </w:tcMar>
            <w:vAlign w:val="center"/>
            <w:hideMark/>
          </w:tcPr>
          <w:p w14:paraId="1F4A8D50" w14:textId="77777777" w:rsidR="00AD65CA" w:rsidRPr="00F43CDD" w:rsidRDefault="00AD65CA" w:rsidP="00B01D84">
            <w:pPr>
              <w:jc w:val="center"/>
            </w:pPr>
            <w:r>
              <w:t>SSWQ</w:t>
            </w:r>
          </w:p>
        </w:tc>
        <w:tc>
          <w:tcPr>
            <w:tcW w:w="2099" w:type="dxa"/>
            <w:tcBorders>
              <w:top w:val="single" w:sz="4" w:space="0" w:color="auto"/>
              <w:bottom w:val="single" w:sz="4" w:space="0" w:color="auto"/>
            </w:tcBorders>
            <w:tcMar>
              <w:top w:w="15" w:type="dxa"/>
              <w:left w:w="15" w:type="dxa"/>
              <w:bottom w:w="15" w:type="dxa"/>
              <w:right w:w="180" w:type="dxa"/>
            </w:tcMar>
            <w:vAlign w:val="center"/>
            <w:hideMark/>
          </w:tcPr>
          <w:p w14:paraId="0A1BF1A2" w14:textId="77777777" w:rsidR="00AD65CA" w:rsidRPr="00F43CDD" w:rsidRDefault="00AD65CA" w:rsidP="00B01D84">
            <w:pPr>
              <w:jc w:val="center"/>
            </w:pPr>
            <w:r>
              <w:t>Class absences</w:t>
            </w:r>
          </w:p>
        </w:tc>
      </w:tr>
      <w:tr w:rsidR="00AD65CA" w:rsidRPr="00F43CDD" w14:paraId="6BEA2A13" w14:textId="77777777" w:rsidTr="00B01D84">
        <w:trPr>
          <w:trHeight w:val="1209"/>
          <w:tblCellSpacing w:w="0" w:type="dxa"/>
        </w:trPr>
        <w:tc>
          <w:tcPr>
            <w:tcW w:w="1734" w:type="dxa"/>
            <w:tcMar>
              <w:top w:w="15" w:type="dxa"/>
              <w:left w:w="15" w:type="dxa"/>
              <w:bottom w:w="15" w:type="dxa"/>
              <w:right w:w="180" w:type="dxa"/>
            </w:tcMar>
            <w:vAlign w:val="center"/>
            <w:hideMark/>
          </w:tcPr>
          <w:p w14:paraId="56D4786A" w14:textId="77777777" w:rsidR="00AD65CA" w:rsidRPr="00F43CDD" w:rsidRDefault="00AD65CA" w:rsidP="00B01D84">
            <w:r w:rsidRPr="00F43CDD">
              <w:t>Intercept</w:t>
            </w:r>
          </w:p>
        </w:tc>
        <w:tc>
          <w:tcPr>
            <w:tcW w:w="1934" w:type="dxa"/>
            <w:tcMar>
              <w:top w:w="15" w:type="dxa"/>
              <w:left w:w="15" w:type="dxa"/>
              <w:bottom w:w="15" w:type="dxa"/>
              <w:right w:w="180" w:type="dxa"/>
            </w:tcMar>
            <w:vAlign w:val="center"/>
            <w:hideMark/>
          </w:tcPr>
          <w:p w14:paraId="301C7145" w14:textId="77777777" w:rsidR="00AD65CA" w:rsidRPr="00F43CDD" w:rsidRDefault="00AD65CA" w:rsidP="00B01D84">
            <w:pPr>
              <w:jc w:val="center"/>
            </w:pPr>
            <w:r>
              <w:t>50.09</w:t>
            </w:r>
          </w:p>
          <w:p w14:paraId="4E323A15" w14:textId="77777777" w:rsidR="00AD65CA" w:rsidRPr="00F43CDD" w:rsidRDefault="00AD65CA" w:rsidP="00B01D84">
            <w:pPr>
              <w:jc w:val="center"/>
            </w:pPr>
            <w:r w:rsidRPr="00F43CDD">
              <w:t>[</w:t>
            </w:r>
            <w:r>
              <w:t>44.03</w:t>
            </w:r>
            <w:r w:rsidRPr="00F43CDD">
              <w:t xml:space="preserve">; </w:t>
            </w:r>
            <w:r>
              <w:t>56.15</w:t>
            </w:r>
            <w:r w:rsidRPr="00F43CDD">
              <w:t>]</w:t>
            </w:r>
            <w:r w:rsidRPr="00F43CDD">
              <w:rPr>
                <w:vertAlign w:val="superscript"/>
              </w:rPr>
              <w:t>*</w:t>
            </w:r>
          </w:p>
        </w:tc>
        <w:tc>
          <w:tcPr>
            <w:tcW w:w="1935" w:type="dxa"/>
            <w:tcMar>
              <w:top w:w="15" w:type="dxa"/>
              <w:left w:w="15" w:type="dxa"/>
              <w:bottom w:w="15" w:type="dxa"/>
              <w:right w:w="180" w:type="dxa"/>
            </w:tcMar>
            <w:vAlign w:val="center"/>
            <w:hideMark/>
          </w:tcPr>
          <w:p w14:paraId="77EB258C" w14:textId="77777777" w:rsidR="00AD65CA" w:rsidRPr="00F43CDD" w:rsidRDefault="00AD65CA" w:rsidP="00B01D84">
            <w:pPr>
              <w:jc w:val="center"/>
            </w:pPr>
            <w:r>
              <w:t>30.11</w:t>
            </w:r>
          </w:p>
          <w:p w14:paraId="130C579C" w14:textId="77777777" w:rsidR="00AD65CA" w:rsidRPr="00F43CDD" w:rsidRDefault="00AD65CA" w:rsidP="00B01D84">
            <w:pPr>
              <w:jc w:val="center"/>
            </w:pPr>
            <w:r w:rsidRPr="00F43CDD">
              <w:t>[</w:t>
            </w:r>
            <w:r>
              <w:t>25.02</w:t>
            </w:r>
            <w:r w:rsidRPr="00F43CDD">
              <w:t xml:space="preserve">; </w:t>
            </w:r>
            <w:r>
              <w:t>35.20</w:t>
            </w:r>
            <w:r w:rsidRPr="00F43CDD">
              <w:t>]</w:t>
            </w:r>
            <w:r w:rsidRPr="00F43CDD">
              <w:rPr>
                <w:vertAlign w:val="superscript"/>
              </w:rPr>
              <w:t>*</w:t>
            </w:r>
          </w:p>
        </w:tc>
        <w:tc>
          <w:tcPr>
            <w:tcW w:w="1934" w:type="dxa"/>
            <w:tcMar>
              <w:top w:w="15" w:type="dxa"/>
              <w:left w:w="15" w:type="dxa"/>
              <w:bottom w:w="15" w:type="dxa"/>
              <w:right w:w="180" w:type="dxa"/>
            </w:tcMar>
            <w:vAlign w:val="center"/>
            <w:hideMark/>
          </w:tcPr>
          <w:p w14:paraId="5B89B6F0" w14:textId="77777777" w:rsidR="00AD65CA" w:rsidRPr="00F43CDD" w:rsidRDefault="00AD65CA" w:rsidP="00B01D84">
            <w:pPr>
              <w:jc w:val="center"/>
            </w:pPr>
            <w:r>
              <w:t>36.69</w:t>
            </w:r>
          </w:p>
          <w:p w14:paraId="4D3C0907" w14:textId="77777777" w:rsidR="00AD65CA" w:rsidRPr="00F43CDD" w:rsidRDefault="00AD65CA" w:rsidP="00B01D84">
            <w:pPr>
              <w:jc w:val="center"/>
            </w:pPr>
            <w:r w:rsidRPr="00F43CDD">
              <w:t>[</w:t>
            </w:r>
            <w:r>
              <w:t>30.91</w:t>
            </w:r>
            <w:r w:rsidRPr="00F43CDD">
              <w:t xml:space="preserve">; </w:t>
            </w:r>
            <w:r>
              <w:t>42.48</w:t>
            </w:r>
            <w:r w:rsidRPr="00F43CDD">
              <w:t>]</w:t>
            </w:r>
            <w:r w:rsidRPr="00F43CDD">
              <w:rPr>
                <w:vertAlign w:val="superscript"/>
              </w:rPr>
              <w:t>*</w:t>
            </w:r>
          </w:p>
        </w:tc>
        <w:tc>
          <w:tcPr>
            <w:tcW w:w="1935" w:type="dxa"/>
            <w:tcMar>
              <w:top w:w="15" w:type="dxa"/>
              <w:left w:w="15" w:type="dxa"/>
              <w:bottom w:w="15" w:type="dxa"/>
              <w:right w:w="180" w:type="dxa"/>
            </w:tcMar>
            <w:vAlign w:val="center"/>
            <w:hideMark/>
          </w:tcPr>
          <w:p w14:paraId="13332457" w14:textId="77777777" w:rsidR="00AD65CA" w:rsidRPr="00F43CDD" w:rsidRDefault="00AD65CA" w:rsidP="00B01D84">
            <w:pPr>
              <w:jc w:val="center"/>
            </w:pPr>
            <w:r>
              <w:t>34.57</w:t>
            </w:r>
          </w:p>
          <w:p w14:paraId="2C05EC6E" w14:textId="77777777" w:rsidR="00AD65CA" w:rsidRPr="00F43CDD" w:rsidRDefault="00AD65CA" w:rsidP="00B01D84">
            <w:pPr>
              <w:jc w:val="center"/>
            </w:pPr>
            <w:r w:rsidRPr="00F43CDD">
              <w:t>[</w:t>
            </w:r>
            <w:r>
              <w:t>28.98</w:t>
            </w:r>
            <w:r w:rsidRPr="00F43CDD">
              <w:t xml:space="preserve">; </w:t>
            </w:r>
            <w:r>
              <w:t>40.16</w:t>
            </w:r>
            <w:r w:rsidRPr="00F43CDD">
              <w:t>]</w:t>
            </w:r>
            <w:r w:rsidRPr="00F43CDD">
              <w:rPr>
                <w:vertAlign w:val="superscript"/>
              </w:rPr>
              <w:t>*</w:t>
            </w:r>
          </w:p>
        </w:tc>
        <w:tc>
          <w:tcPr>
            <w:tcW w:w="2153" w:type="dxa"/>
            <w:tcMar>
              <w:top w:w="15" w:type="dxa"/>
              <w:left w:w="15" w:type="dxa"/>
              <w:bottom w:w="15" w:type="dxa"/>
              <w:right w:w="180" w:type="dxa"/>
            </w:tcMar>
            <w:vAlign w:val="center"/>
            <w:hideMark/>
          </w:tcPr>
          <w:p w14:paraId="7A4C1518" w14:textId="77777777" w:rsidR="00AD65CA" w:rsidRPr="00F43CDD" w:rsidRDefault="00AD65CA" w:rsidP="00B01D84">
            <w:pPr>
              <w:jc w:val="center"/>
            </w:pPr>
            <w:r>
              <w:t>45.02</w:t>
            </w:r>
          </w:p>
          <w:p w14:paraId="53D23174" w14:textId="77777777" w:rsidR="00AD65CA" w:rsidRPr="00F43CDD" w:rsidRDefault="00AD65CA" w:rsidP="00B01D84">
            <w:pPr>
              <w:jc w:val="center"/>
            </w:pPr>
            <w:r w:rsidRPr="00F43CDD">
              <w:t>[</w:t>
            </w:r>
            <w:r>
              <w:t>40.47</w:t>
            </w:r>
            <w:r w:rsidRPr="00F43CDD">
              <w:t xml:space="preserve">; </w:t>
            </w:r>
            <w:r>
              <w:t>49.58</w:t>
            </w:r>
            <w:r w:rsidRPr="00F43CDD">
              <w:t>]</w:t>
            </w:r>
            <w:r w:rsidRPr="00F43CDD">
              <w:rPr>
                <w:vertAlign w:val="superscript"/>
              </w:rPr>
              <w:t>*</w:t>
            </w:r>
          </w:p>
        </w:tc>
        <w:tc>
          <w:tcPr>
            <w:tcW w:w="2099" w:type="dxa"/>
            <w:tcMar>
              <w:top w:w="15" w:type="dxa"/>
              <w:left w:w="15" w:type="dxa"/>
              <w:bottom w:w="15" w:type="dxa"/>
              <w:right w:w="180" w:type="dxa"/>
            </w:tcMar>
            <w:vAlign w:val="center"/>
            <w:hideMark/>
          </w:tcPr>
          <w:p w14:paraId="41C0132C" w14:textId="77777777" w:rsidR="00AD65CA" w:rsidRPr="00F43CDD" w:rsidRDefault="00AD65CA" w:rsidP="00B01D84">
            <w:pPr>
              <w:jc w:val="center"/>
            </w:pPr>
            <w:r>
              <w:t>7.59</w:t>
            </w:r>
          </w:p>
          <w:p w14:paraId="00AC4545" w14:textId="77777777" w:rsidR="00AD65CA" w:rsidRPr="00F43CDD" w:rsidRDefault="00AD65CA" w:rsidP="00B01D84">
            <w:pPr>
              <w:jc w:val="center"/>
            </w:pPr>
            <w:r w:rsidRPr="00F43CDD">
              <w:t>[</w:t>
            </w:r>
            <w:r>
              <w:t>3.60</w:t>
            </w:r>
            <w:r w:rsidRPr="00F43CDD">
              <w:t xml:space="preserve">; </w:t>
            </w:r>
            <w:r>
              <w:t>11.59</w:t>
            </w:r>
            <w:r w:rsidRPr="00F43CDD">
              <w:t>]</w:t>
            </w:r>
            <w:r w:rsidRPr="00F43CDD">
              <w:rPr>
                <w:vertAlign w:val="superscript"/>
              </w:rPr>
              <w:t xml:space="preserve"> *</w:t>
            </w:r>
          </w:p>
        </w:tc>
      </w:tr>
      <w:tr w:rsidR="00AD65CA" w:rsidRPr="00F43CDD" w14:paraId="7A41B9FC" w14:textId="77777777" w:rsidTr="00B01D84">
        <w:trPr>
          <w:trHeight w:val="817"/>
          <w:tblCellSpacing w:w="0" w:type="dxa"/>
        </w:trPr>
        <w:tc>
          <w:tcPr>
            <w:tcW w:w="1734" w:type="dxa"/>
            <w:tcMar>
              <w:top w:w="15" w:type="dxa"/>
              <w:left w:w="15" w:type="dxa"/>
              <w:bottom w:w="15" w:type="dxa"/>
              <w:right w:w="180" w:type="dxa"/>
            </w:tcMar>
            <w:vAlign w:val="center"/>
            <w:hideMark/>
          </w:tcPr>
          <w:p w14:paraId="115D1C15" w14:textId="77777777" w:rsidR="00AD65CA" w:rsidRPr="00F43CDD" w:rsidRDefault="00AD65CA" w:rsidP="00B01D84">
            <w:r w:rsidRPr="00F43CDD">
              <w:t>Week</w:t>
            </w:r>
          </w:p>
        </w:tc>
        <w:tc>
          <w:tcPr>
            <w:tcW w:w="1934" w:type="dxa"/>
            <w:tcMar>
              <w:top w:w="15" w:type="dxa"/>
              <w:left w:w="15" w:type="dxa"/>
              <w:bottom w:w="15" w:type="dxa"/>
              <w:right w:w="180" w:type="dxa"/>
            </w:tcMar>
            <w:vAlign w:val="center"/>
            <w:hideMark/>
          </w:tcPr>
          <w:p w14:paraId="3C0B1657" w14:textId="77777777" w:rsidR="00AD65CA" w:rsidRPr="00F43CDD" w:rsidRDefault="00AD65CA" w:rsidP="00B01D84">
            <w:pPr>
              <w:jc w:val="center"/>
            </w:pPr>
            <w:r w:rsidRPr="00F43CDD">
              <w:t>-</w:t>
            </w:r>
            <w:r>
              <w:t>1.02</w:t>
            </w:r>
          </w:p>
          <w:p w14:paraId="1064D0BD" w14:textId="77777777" w:rsidR="00AD65CA" w:rsidRPr="00F43CDD" w:rsidRDefault="00AD65CA" w:rsidP="00B01D84">
            <w:pPr>
              <w:jc w:val="center"/>
            </w:pPr>
            <w:r w:rsidRPr="00F43CDD">
              <w:t>[-</w:t>
            </w:r>
            <w:r>
              <w:t>1.44</w:t>
            </w:r>
            <w:r w:rsidRPr="00F43CDD">
              <w:t>; -0.</w:t>
            </w:r>
            <w:r>
              <w:t>60</w:t>
            </w:r>
            <w:r w:rsidRPr="00F43CDD">
              <w:t>]</w:t>
            </w:r>
            <w:r w:rsidRPr="00F43CDD">
              <w:rPr>
                <w:vertAlign w:val="superscript"/>
              </w:rPr>
              <w:t>*</w:t>
            </w:r>
          </w:p>
        </w:tc>
        <w:tc>
          <w:tcPr>
            <w:tcW w:w="1935" w:type="dxa"/>
            <w:tcMar>
              <w:top w:w="15" w:type="dxa"/>
              <w:left w:w="15" w:type="dxa"/>
              <w:bottom w:w="15" w:type="dxa"/>
              <w:right w:w="180" w:type="dxa"/>
            </w:tcMar>
            <w:vAlign w:val="center"/>
            <w:hideMark/>
          </w:tcPr>
          <w:p w14:paraId="06A8A0EE" w14:textId="77777777" w:rsidR="00AD65CA" w:rsidRPr="00F43CDD" w:rsidRDefault="00AD65CA" w:rsidP="00B01D84">
            <w:pPr>
              <w:jc w:val="center"/>
            </w:pPr>
            <w:r w:rsidRPr="00F43CDD">
              <w:t>-0.</w:t>
            </w:r>
            <w:r>
              <w:t>49</w:t>
            </w:r>
          </w:p>
          <w:p w14:paraId="0E327BC4" w14:textId="77777777" w:rsidR="00AD65CA" w:rsidRPr="00F43CDD" w:rsidRDefault="00AD65CA" w:rsidP="00B01D84">
            <w:pPr>
              <w:jc w:val="center"/>
            </w:pPr>
            <w:r w:rsidRPr="00F43CDD">
              <w:t>[-0.</w:t>
            </w:r>
            <w:r>
              <w:t>81</w:t>
            </w:r>
            <w:r w:rsidRPr="00F43CDD">
              <w:t>; -0.1</w:t>
            </w:r>
            <w:r>
              <w:t>7</w:t>
            </w:r>
            <w:r w:rsidRPr="00F43CDD">
              <w:t>]</w:t>
            </w:r>
            <w:r w:rsidRPr="00F43CDD">
              <w:rPr>
                <w:vertAlign w:val="superscript"/>
              </w:rPr>
              <w:t>*</w:t>
            </w:r>
          </w:p>
        </w:tc>
        <w:tc>
          <w:tcPr>
            <w:tcW w:w="1934" w:type="dxa"/>
            <w:tcMar>
              <w:top w:w="15" w:type="dxa"/>
              <w:left w:w="15" w:type="dxa"/>
              <w:bottom w:w="15" w:type="dxa"/>
              <w:right w:w="180" w:type="dxa"/>
            </w:tcMar>
            <w:vAlign w:val="center"/>
            <w:hideMark/>
          </w:tcPr>
          <w:p w14:paraId="41C2D59C" w14:textId="77777777" w:rsidR="00AD65CA" w:rsidRPr="00F43CDD" w:rsidRDefault="00AD65CA" w:rsidP="00B01D84">
            <w:pPr>
              <w:jc w:val="center"/>
            </w:pPr>
            <w:r w:rsidRPr="00F43CDD">
              <w:t>-0.</w:t>
            </w:r>
            <w:r>
              <w:t>55</w:t>
            </w:r>
          </w:p>
          <w:p w14:paraId="6A899F7B" w14:textId="77777777" w:rsidR="00AD65CA" w:rsidRPr="00F43CDD" w:rsidRDefault="00AD65CA" w:rsidP="00B01D84">
            <w:pPr>
              <w:jc w:val="center"/>
            </w:pPr>
            <w:r w:rsidRPr="00F43CDD">
              <w:t>[-0.</w:t>
            </w:r>
            <w:r>
              <w:t>86</w:t>
            </w:r>
            <w:r w:rsidRPr="00F43CDD">
              <w:t>; -0.</w:t>
            </w:r>
            <w:r>
              <w:t>24</w:t>
            </w:r>
            <w:r w:rsidRPr="00F43CDD">
              <w:t>]</w:t>
            </w:r>
            <w:r w:rsidRPr="00F43CDD">
              <w:rPr>
                <w:vertAlign w:val="superscript"/>
              </w:rPr>
              <w:t>*</w:t>
            </w:r>
          </w:p>
        </w:tc>
        <w:tc>
          <w:tcPr>
            <w:tcW w:w="1935" w:type="dxa"/>
            <w:tcMar>
              <w:top w:w="15" w:type="dxa"/>
              <w:left w:w="15" w:type="dxa"/>
              <w:bottom w:w="15" w:type="dxa"/>
              <w:right w:w="180" w:type="dxa"/>
            </w:tcMar>
            <w:vAlign w:val="center"/>
            <w:hideMark/>
          </w:tcPr>
          <w:p w14:paraId="3CB81B68" w14:textId="77777777" w:rsidR="00AD65CA" w:rsidRPr="00F43CDD" w:rsidRDefault="00AD65CA" w:rsidP="00B01D84">
            <w:pPr>
              <w:jc w:val="center"/>
            </w:pPr>
            <w:r>
              <w:t>0.45</w:t>
            </w:r>
          </w:p>
          <w:p w14:paraId="7E0049EE" w14:textId="77777777" w:rsidR="00AD65CA" w:rsidRPr="00F43CDD" w:rsidRDefault="00AD65CA" w:rsidP="00B01D84">
            <w:pPr>
              <w:jc w:val="center"/>
            </w:pPr>
            <w:r w:rsidRPr="00F43CDD">
              <w:t>[</w:t>
            </w:r>
            <w:r>
              <w:t>0.18</w:t>
            </w:r>
            <w:r w:rsidRPr="00F43CDD">
              <w:t xml:space="preserve">; </w:t>
            </w:r>
            <w:r>
              <w:t>0.71</w:t>
            </w:r>
            <w:r w:rsidRPr="00F43CDD">
              <w:t>]</w:t>
            </w:r>
            <w:r w:rsidRPr="00F43CDD">
              <w:rPr>
                <w:vertAlign w:val="superscript"/>
              </w:rPr>
              <w:t>*</w:t>
            </w:r>
          </w:p>
        </w:tc>
        <w:tc>
          <w:tcPr>
            <w:tcW w:w="2153" w:type="dxa"/>
            <w:tcMar>
              <w:top w:w="15" w:type="dxa"/>
              <w:left w:w="15" w:type="dxa"/>
              <w:bottom w:w="15" w:type="dxa"/>
              <w:right w:w="180" w:type="dxa"/>
            </w:tcMar>
            <w:vAlign w:val="center"/>
            <w:hideMark/>
          </w:tcPr>
          <w:p w14:paraId="6C2137E7" w14:textId="77777777" w:rsidR="00AD65CA" w:rsidRPr="00F43CDD" w:rsidRDefault="00AD65CA" w:rsidP="00B01D84">
            <w:pPr>
              <w:jc w:val="center"/>
            </w:pPr>
          </w:p>
        </w:tc>
        <w:tc>
          <w:tcPr>
            <w:tcW w:w="2099" w:type="dxa"/>
            <w:tcMar>
              <w:top w:w="15" w:type="dxa"/>
              <w:left w:w="15" w:type="dxa"/>
              <w:bottom w:w="15" w:type="dxa"/>
              <w:right w:w="180" w:type="dxa"/>
            </w:tcMar>
            <w:vAlign w:val="center"/>
            <w:hideMark/>
          </w:tcPr>
          <w:p w14:paraId="516A9047" w14:textId="77777777" w:rsidR="00AD65CA" w:rsidRPr="00F43CDD" w:rsidRDefault="00AD65CA" w:rsidP="00B01D84">
            <w:pPr>
              <w:jc w:val="center"/>
            </w:pPr>
            <w:r w:rsidRPr="00F43CDD">
              <w:t>-0</w:t>
            </w:r>
            <w:r>
              <w:t>.43</w:t>
            </w:r>
          </w:p>
          <w:p w14:paraId="002DDB46" w14:textId="77777777" w:rsidR="00AD65CA" w:rsidRPr="00F43CDD" w:rsidRDefault="00AD65CA" w:rsidP="00B01D84">
            <w:pPr>
              <w:jc w:val="center"/>
            </w:pPr>
            <w:r w:rsidRPr="00F43CDD">
              <w:t>[</w:t>
            </w:r>
            <w:r>
              <w:t>-0.92; 0.06</w:t>
            </w:r>
            <w:r w:rsidRPr="00F43CDD">
              <w:t>]</w:t>
            </w:r>
          </w:p>
        </w:tc>
      </w:tr>
      <w:tr w:rsidR="00AD65CA" w:rsidRPr="00F43CDD" w14:paraId="00B4AFEC" w14:textId="77777777" w:rsidTr="00B01D84">
        <w:trPr>
          <w:trHeight w:val="817"/>
          <w:tblCellSpacing w:w="0" w:type="dxa"/>
        </w:trPr>
        <w:tc>
          <w:tcPr>
            <w:tcW w:w="1734" w:type="dxa"/>
            <w:tcMar>
              <w:top w:w="15" w:type="dxa"/>
              <w:left w:w="15" w:type="dxa"/>
              <w:bottom w:w="15" w:type="dxa"/>
              <w:right w:w="180" w:type="dxa"/>
            </w:tcMar>
            <w:vAlign w:val="center"/>
            <w:hideMark/>
          </w:tcPr>
          <w:p w14:paraId="4688E32C" w14:textId="77777777" w:rsidR="00AD65CA" w:rsidRPr="00F43CDD" w:rsidRDefault="00AD65CA" w:rsidP="00B01D84">
            <w:r w:rsidRPr="00F43CDD">
              <w:t>Condition</w:t>
            </w:r>
            <w:r w:rsidRPr="00F43CDD">
              <w:rPr>
                <w:vertAlign w:val="superscript"/>
              </w:rPr>
              <w:t>1</w:t>
            </w:r>
          </w:p>
        </w:tc>
        <w:tc>
          <w:tcPr>
            <w:tcW w:w="1934" w:type="dxa"/>
            <w:tcMar>
              <w:top w:w="15" w:type="dxa"/>
              <w:left w:w="15" w:type="dxa"/>
              <w:bottom w:w="15" w:type="dxa"/>
              <w:right w:w="180" w:type="dxa"/>
            </w:tcMar>
            <w:vAlign w:val="center"/>
            <w:hideMark/>
          </w:tcPr>
          <w:p w14:paraId="0C7FE322" w14:textId="77777777" w:rsidR="00AD65CA" w:rsidRPr="00F43CDD" w:rsidRDefault="00AD65CA" w:rsidP="00B01D84">
            <w:pPr>
              <w:jc w:val="center"/>
            </w:pPr>
            <w:r>
              <w:t>0.39</w:t>
            </w:r>
          </w:p>
          <w:p w14:paraId="21394228" w14:textId="77777777" w:rsidR="00AD65CA" w:rsidRPr="00F43CDD" w:rsidRDefault="00AD65CA" w:rsidP="00B01D84">
            <w:pPr>
              <w:jc w:val="center"/>
            </w:pPr>
            <w:r>
              <w:t>[-8.33; 9.12</w:t>
            </w:r>
            <w:r w:rsidRPr="00F43CDD">
              <w:t>]</w:t>
            </w:r>
          </w:p>
        </w:tc>
        <w:tc>
          <w:tcPr>
            <w:tcW w:w="1935" w:type="dxa"/>
            <w:tcMar>
              <w:top w:w="15" w:type="dxa"/>
              <w:left w:w="15" w:type="dxa"/>
              <w:bottom w:w="15" w:type="dxa"/>
              <w:right w:w="180" w:type="dxa"/>
            </w:tcMar>
            <w:vAlign w:val="center"/>
            <w:hideMark/>
          </w:tcPr>
          <w:p w14:paraId="2CABB1DA" w14:textId="77777777" w:rsidR="00AD65CA" w:rsidRDefault="00AD65CA" w:rsidP="00B01D84">
            <w:pPr>
              <w:jc w:val="center"/>
            </w:pPr>
            <w:r>
              <w:t>5.15</w:t>
            </w:r>
          </w:p>
          <w:p w14:paraId="51D2D04F" w14:textId="77777777" w:rsidR="00AD65CA" w:rsidRPr="00F43CDD" w:rsidRDefault="00AD65CA" w:rsidP="00B01D84">
            <w:pPr>
              <w:jc w:val="center"/>
            </w:pPr>
            <w:r>
              <w:t>[-1.79; 12.10]</w:t>
            </w:r>
          </w:p>
        </w:tc>
        <w:tc>
          <w:tcPr>
            <w:tcW w:w="1934" w:type="dxa"/>
            <w:tcMar>
              <w:top w:w="15" w:type="dxa"/>
              <w:left w:w="15" w:type="dxa"/>
              <w:bottom w:w="15" w:type="dxa"/>
              <w:right w:w="180" w:type="dxa"/>
            </w:tcMar>
            <w:vAlign w:val="center"/>
            <w:hideMark/>
          </w:tcPr>
          <w:p w14:paraId="1F8E57EB" w14:textId="77777777" w:rsidR="00AD65CA" w:rsidRDefault="00AD65CA" w:rsidP="00B01D84">
            <w:pPr>
              <w:jc w:val="center"/>
            </w:pPr>
            <w:r>
              <w:t>2.47</w:t>
            </w:r>
          </w:p>
          <w:p w14:paraId="32CF9775" w14:textId="77777777" w:rsidR="00AD65CA" w:rsidRPr="00F43CDD" w:rsidRDefault="00AD65CA" w:rsidP="00B01D84">
            <w:pPr>
              <w:jc w:val="center"/>
            </w:pPr>
            <w:r>
              <w:t>[-5.57; 10.50]</w:t>
            </w:r>
          </w:p>
        </w:tc>
        <w:tc>
          <w:tcPr>
            <w:tcW w:w="1935" w:type="dxa"/>
            <w:tcMar>
              <w:top w:w="15" w:type="dxa"/>
              <w:left w:w="15" w:type="dxa"/>
              <w:bottom w:w="15" w:type="dxa"/>
              <w:right w:w="180" w:type="dxa"/>
            </w:tcMar>
            <w:vAlign w:val="center"/>
            <w:hideMark/>
          </w:tcPr>
          <w:p w14:paraId="60F2291C" w14:textId="77777777" w:rsidR="00AD65CA" w:rsidRDefault="00AD65CA" w:rsidP="00B01D84">
            <w:pPr>
              <w:jc w:val="center"/>
            </w:pPr>
            <w:r>
              <w:t>-3.27</w:t>
            </w:r>
          </w:p>
          <w:p w14:paraId="45200D8F" w14:textId="77777777" w:rsidR="00AD65CA" w:rsidRPr="00F43CDD" w:rsidRDefault="00AD65CA" w:rsidP="00B01D84">
            <w:pPr>
              <w:jc w:val="center"/>
            </w:pPr>
            <w:r>
              <w:t>[-11.10; 4.56]</w:t>
            </w:r>
          </w:p>
        </w:tc>
        <w:tc>
          <w:tcPr>
            <w:tcW w:w="2153" w:type="dxa"/>
            <w:tcMar>
              <w:top w:w="15" w:type="dxa"/>
              <w:left w:w="15" w:type="dxa"/>
              <w:bottom w:w="15" w:type="dxa"/>
              <w:right w:w="180" w:type="dxa"/>
            </w:tcMar>
            <w:vAlign w:val="center"/>
            <w:hideMark/>
          </w:tcPr>
          <w:p w14:paraId="79B5007C" w14:textId="77777777" w:rsidR="00AD65CA" w:rsidRPr="00F43CDD" w:rsidRDefault="00AD65CA" w:rsidP="00B01D84">
            <w:pPr>
              <w:jc w:val="center"/>
            </w:pPr>
            <w:r w:rsidRPr="00F43CDD">
              <w:t>-</w:t>
            </w:r>
            <w:r>
              <w:t>3.58</w:t>
            </w:r>
          </w:p>
          <w:p w14:paraId="2FE09793" w14:textId="77777777" w:rsidR="00AD65CA" w:rsidRPr="00F43CDD" w:rsidRDefault="00AD65CA" w:rsidP="00B01D84">
            <w:pPr>
              <w:jc w:val="center"/>
            </w:pPr>
            <w:r w:rsidRPr="00F43CDD">
              <w:t>[-</w:t>
            </w:r>
            <w:r>
              <w:t>10.19</w:t>
            </w:r>
            <w:r w:rsidRPr="00F43CDD">
              <w:t xml:space="preserve">; </w:t>
            </w:r>
            <w:r>
              <w:t>3.03</w:t>
            </w:r>
            <w:r w:rsidRPr="00F43CDD">
              <w:t>]</w:t>
            </w:r>
          </w:p>
        </w:tc>
        <w:tc>
          <w:tcPr>
            <w:tcW w:w="2099" w:type="dxa"/>
            <w:tcMar>
              <w:top w:w="15" w:type="dxa"/>
              <w:left w:w="15" w:type="dxa"/>
              <w:bottom w:w="15" w:type="dxa"/>
              <w:right w:w="180" w:type="dxa"/>
            </w:tcMar>
            <w:vAlign w:val="center"/>
            <w:hideMark/>
          </w:tcPr>
          <w:p w14:paraId="5623A610" w14:textId="77777777" w:rsidR="00AD65CA" w:rsidRPr="00F43CDD" w:rsidRDefault="00AD65CA" w:rsidP="00B01D84">
            <w:pPr>
              <w:jc w:val="center"/>
            </w:pPr>
            <w:r w:rsidRPr="00F43CDD">
              <w:t>-</w:t>
            </w:r>
            <w:r>
              <w:t>4.25</w:t>
            </w:r>
          </w:p>
          <w:p w14:paraId="30A68E7A" w14:textId="77777777" w:rsidR="00AD65CA" w:rsidRPr="00F43CDD" w:rsidRDefault="00AD65CA" w:rsidP="00B01D84">
            <w:pPr>
              <w:jc w:val="center"/>
            </w:pPr>
            <w:r w:rsidRPr="00F43CDD">
              <w:t>[-</w:t>
            </w:r>
            <w:r>
              <w:t>9.69</w:t>
            </w:r>
            <w:r w:rsidRPr="00F43CDD">
              <w:t xml:space="preserve">; </w:t>
            </w:r>
            <w:r>
              <w:t>1.19</w:t>
            </w:r>
            <w:r w:rsidRPr="00F43CDD">
              <w:t>]</w:t>
            </w:r>
          </w:p>
        </w:tc>
      </w:tr>
      <w:tr w:rsidR="00AD65CA" w:rsidRPr="00F43CDD" w14:paraId="66F2D120" w14:textId="77777777" w:rsidTr="00B01D84">
        <w:trPr>
          <w:trHeight w:val="817"/>
          <w:tblCellSpacing w:w="0" w:type="dxa"/>
        </w:trPr>
        <w:tc>
          <w:tcPr>
            <w:tcW w:w="1734" w:type="dxa"/>
            <w:tcMar>
              <w:top w:w="15" w:type="dxa"/>
              <w:left w:w="15" w:type="dxa"/>
              <w:bottom w:w="15" w:type="dxa"/>
              <w:right w:w="180" w:type="dxa"/>
            </w:tcMar>
            <w:vAlign w:val="center"/>
            <w:hideMark/>
          </w:tcPr>
          <w:p w14:paraId="2ECD9CCB" w14:textId="77777777" w:rsidR="00AD65CA" w:rsidRPr="00F43CDD" w:rsidRDefault="00AD65CA" w:rsidP="00B01D84">
            <w:r w:rsidRPr="00F43CDD">
              <w:t xml:space="preserve">Week </w:t>
            </w:r>
            <w:r w:rsidRPr="00F43CDD">
              <w:rPr>
                <w:rFonts w:ascii="Symbol" w:eastAsia="Symbol" w:hAnsi="Symbol" w:cs="Symbol"/>
              </w:rPr>
              <w:t>´</w:t>
            </w:r>
            <w:r w:rsidRPr="00F43CDD">
              <w:t xml:space="preserve"> Condition</w:t>
            </w:r>
          </w:p>
        </w:tc>
        <w:tc>
          <w:tcPr>
            <w:tcW w:w="1934" w:type="dxa"/>
            <w:tcMar>
              <w:top w:w="15" w:type="dxa"/>
              <w:left w:w="15" w:type="dxa"/>
              <w:bottom w:w="15" w:type="dxa"/>
              <w:right w:w="180" w:type="dxa"/>
            </w:tcMar>
            <w:vAlign w:val="center"/>
            <w:hideMark/>
          </w:tcPr>
          <w:p w14:paraId="2104EA18" w14:textId="77777777" w:rsidR="00AD65CA" w:rsidRPr="00F43CDD" w:rsidRDefault="00AD65CA" w:rsidP="00B01D84">
            <w:pPr>
              <w:jc w:val="center"/>
            </w:pPr>
            <w:r w:rsidRPr="00F43CDD">
              <w:t>0.</w:t>
            </w:r>
            <w:r>
              <w:t>91</w:t>
            </w:r>
          </w:p>
          <w:p w14:paraId="54957199" w14:textId="77777777" w:rsidR="00AD65CA" w:rsidRPr="00F43CDD" w:rsidRDefault="00AD65CA" w:rsidP="00B01D84">
            <w:pPr>
              <w:jc w:val="center"/>
            </w:pPr>
            <w:r w:rsidRPr="00F43CDD">
              <w:t>[0.</w:t>
            </w:r>
            <w:r>
              <w:t>28</w:t>
            </w:r>
            <w:r w:rsidRPr="00F43CDD">
              <w:t xml:space="preserve">; </w:t>
            </w:r>
            <w:r>
              <w:t>1.53</w:t>
            </w:r>
            <w:r w:rsidRPr="00F43CDD">
              <w:t>]</w:t>
            </w:r>
            <w:r w:rsidRPr="00F43CDD">
              <w:rPr>
                <w:vertAlign w:val="superscript"/>
              </w:rPr>
              <w:t>*</w:t>
            </w:r>
          </w:p>
        </w:tc>
        <w:tc>
          <w:tcPr>
            <w:tcW w:w="1935" w:type="dxa"/>
            <w:tcMar>
              <w:top w:w="15" w:type="dxa"/>
              <w:left w:w="15" w:type="dxa"/>
              <w:bottom w:w="15" w:type="dxa"/>
              <w:right w:w="180" w:type="dxa"/>
            </w:tcMar>
            <w:vAlign w:val="center"/>
            <w:hideMark/>
          </w:tcPr>
          <w:p w14:paraId="0433D8BC" w14:textId="77777777" w:rsidR="00AD65CA" w:rsidRPr="00F43CDD" w:rsidRDefault="00AD65CA" w:rsidP="00B01D84">
            <w:pPr>
              <w:jc w:val="center"/>
            </w:pPr>
          </w:p>
        </w:tc>
        <w:tc>
          <w:tcPr>
            <w:tcW w:w="1934" w:type="dxa"/>
            <w:tcMar>
              <w:top w:w="15" w:type="dxa"/>
              <w:left w:w="15" w:type="dxa"/>
              <w:bottom w:w="15" w:type="dxa"/>
              <w:right w:w="180" w:type="dxa"/>
            </w:tcMar>
            <w:vAlign w:val="center"/>
            <w:hideMark/>
          </w:tcPr>
          <w:p w14:paraId="540E4D82" w14:textId="77777777" w:rsidR="00AD65CA" w:rsidRPr="00F43CDD" w:rsidRDefault="00AD65CA" w:rsidP="00B01D84">
            <w:pPr>
              <w:jc w:val="center"/>
            </w:pPr>
          </w:p>
        </w:tc>
        <w:tc>
          <w:tcPr>
            <w:tcW w:w="1935" w:type="dxa"/>
            <w:tcMar>
              <w:top w:w="15" w:type="dxa"/>
              <w:left w:w="15" w:type="dxa"/>
              <w:bottom w:w="15" w:type="dxa"/>
              <w:right w:w="180" w:type="dxa"/>
            </w:tcMar>
            <w:vAlign w:val="center"/>
            <w:hideMark/>
          </w:tcPr>
          <w:p w14:paraId="43C04A52" w14:textId="77777777" w:rsidR="00AD65CA" w:rsidRPr="00F43CDD" w:rsidRDefault="00AD65CA" w:rsidP="00B01D84">
            <w:pPr>
              <w:jc w:val="center"/>
            </w:pPr>
          </w:p>
        </w:tc>
        <w:tc>
          <w:tcPr>
            <w:tcW w:w="2153" w:type="dxa"/>
            <w:tcMar>
              <w:top w:w="15" w:type="dxa"/>
              <w:left w:w="15" w:type="dxa"/>
              <w:bottom w:w="15" w:type="dxa"/>
              <w:right w:w="180" w:type="dxa"/>
            </w:tcMar>
            <w:vAlign w:val="center"/>
            <w:hideMark/>
          </w:tcPr>
          <w:p w14:paraId="42EFFA50" w14:textId="77777777" w:rsidR="00AD65CA" w:rsidRPr="00F43CDD" w:rsidRDefault="00AD65CA" w:rsidP="00B01D84">
            <w:pPr>
              <w:jc w:val="center"/>
            </w:pPr>
          </w:p>
        </w:tc>
        <w:tc>
          <w:tcPr>
            <w:tcW w:w="2099" w:type="dxa"/>
            <w:tcMar>
              <w:top w:w="15" w:type="dxa"/>
              <w:left w:w="15" w:type="dxa"/>
              <w:bottom w:w="15" w:type="dxa"/>
              <w:right w:w="180" w:type="dxa"/>
            </w:tcMar>
            <w:vAlign w:val="center"/>
            <w:hideMark/>
          </w:tcPr>
          <w:p w14:paraId="0B62B6B1" w14:textId="77777777" w:rsidR="00AD65CA" w:rsidRPr="00F43CDD" w:rsidRDefault="00AD65CA" w:rsidP="00B01D84">
            <w:pPr>
              <w:jc w:val="center"/>
            </w:pPr>
            <w:r w:rsidRPr="00F43CDD">
              <w:t>0.</w:t>
            </w:r>
            <w:r>
              <w:t>75</w:t>
            </w:r>
          </w:p>
          <w:p w14:paraId="65075FCB" w14:textId="77777777" w:rsidR="00AD65CA" w:rsidRPr="00F43CDD" w:rsidRDefault="00AD65CA" w:rsidP="00B01D84">
            <w:pPr>
              <w:jc w:val="center"/>
            </w:pPr>
            <w:r w:rsidRPr="00F43CDD">
              <w:t>[0.</w:t>
            </w:r>
            <w:r>
              <w:t>07</w:t>
            </w:r>
            <w:r w:rsidRPr="00F43CDD">
              <w:t>; 1.</w:t>
            </w:r>
            <w:r>
              <w:t>42</w:t>
            </w:r>
            <w:r w:rsidRPr="00F43CDD">
              <w:t>]</w:t>
            </w:r>
            <w:r w:rsidRPr="00F43CDD">
              <w:rPr>
                <w:vertAlign w:val="superscript"/>
              </w:rPr>
              <w:t xml:space="preserve"> *</w:t>
            </w:r>
          </w:p>
        </w:tc>
      </w:tr>
      <w:tr w:rsidR="00AD65CA" w:rsidRPr="00F43CDD" w14:paraId="457DCFB6" w14:textId="77777777" w:rsidTr="00B01D84">
        <w:trPr>
          <w:trHeight w:val="393"/>
          <w:tblCellSpacing w:w="0" w:type="dxa"/>
        </w:trPr>
        <w:tc>
          <w:tcPr>
            <w:tcW w:w="1734" w:type="dxa"/>
            <w:tcMar>
              <w:top w:w="15" w:type="dxa"/>
              <w:left w:w="15" w:type="dxa"/>
              <w:bottom w:w="15" w:type="dxa"/>
              <w:right w:w="180" w:type="dxa"/>
            </w:tcMar>
            <w:vAlign w:val="center"/>
            <w:hideMark/>
          </w:tcPr>
          <w:p w14:paraId="0C4DA56D" w14:textId="77777777" w:rsidR="00AD65CA" w:rsidRPr="00F43CDD" w:rsidRDefault="00AD65CA" w:rsidP="00B01D84">
            <w:r w:rsidRPr="00F43CDD">
              <w:t>BIC</w:t>
            </w:r>
          </w:p>
        </w:tc>
        <w:tc>
          <w:tcPr>
            <w:tcW w:w="1934" w:type="dxa"/>
            <w:tcMar>
              <w:top w:w="15" w:type="dxa"/>
              <w:left w:w="15" w:type="dxa"/>
              <w:bottom w:w="15" w:type="dxa"/>
              <w:right w:w="180" w:type="dxa"/>
            </w:tcMar>
            <w:vAlign w:val="center"/>
            <w:hideMark/>
          </w:tcPr>
          <w:p w14:paraId="19CFF02F" w14:textId="77777777" w:rsidR="00AD65CA" w:rsidRPr="00F43CDD" w:rsidRDefault="00AD65CA" w:rsidP="00B01D84">
            <w:pPr>
              <w:jc w:val="center"/>
            </w:pPr>
            <w:r>
              <w:t>655.70</w:t>
            </w:r>
          </w:p>
        </w:tc>
        <w:tc>
          <w:tcPr>
            <w:tcW w:w="1935" w:type="dxa"/>
            <w:tcMar>
              <w:top w:w="15" w:type="dxa"/>
              <w:left w:w="15" w:type="dxa"/>
              <w:bottom w:w="15" w:type="dxa"/>
              <w:right w:w="180" w:type="dxa"/>
            </w:tcMar>
            <w:vAlign w:val="center"/>
            <w:hideMark/>
          </w:tcPr>
          <w:p w14:paraId="593E0DA5" w14:textId="77777777" w:rsidR="00AD65CA" w:rsidRPr="00F43CDD" w:rsidRDefault="00AD65CA" w:rsidP="00B01D84">
            <w:pPr>
              <w:jc w:val="center"/>
            </w:pPr>
            <w:r>
              <w:t>632.89</w:t>
            </w:r>
          </w:p>
        </w:tc>
        <w:tc>
          <w:tcPr>
            <w:tcW w:w="1934" w:type="dxa"/>
            <w:tcMar>
              <w:top w:w="15" w:type="dxa"/>
              <w:left w:w="15" w:type="dxa"/>
              <w:bottom w:w="15" w:type="dxa"/>
              <w:right w:w="180" w:type="dxa"/>
            </w:tcMar>
            <w:vAlign w:val="center"/>
            <w:hideMark/>
          </w:tcPr>
          <w:p w14:paraId="3C9E533A" w14:textId="77777777" w:rsidR="00AD65CA" w:rsidRPr="00F43CDD" w:rsidRDefault="00AD65CA" w:rsidP="00B01D84">
            <w:pPr>
              <w:jc w:val="center"/>
            </w:pPr>
            <w:r>
              <w:t>635.12</w:t>
            </w:r>
          </w:p>
        </w:tc>
        <w:tc>
          <w:tcPr>
            <w:tcW w:w="1935" w:type="dxa"/>
            <w:tcMar>
              <w:top w:w="15" w:type="dxa"/>
              <w:left w:w="15" w:type="dxa"/>
              <w:bottom w:w="15" w:type="dxa"/>
              <w:right w:w="180" w:type="dxa"/>
            </w:tcMar>
            <w:vAlign w:val="center"/>
            <w:hideMark/>
          </w:tcPr>
          <w:p w14:paraId="20EB9B35" w14:textId="77777777" w:rsidR="00AD65CA" w:rsidRPr="00F43CDD" w:rsidRDefault="00AD65CA" w:rsidP="00B01D84">
            <w:pPr>
              <w:jc w:val="center"/>
            </w:pPr>
            <w:r>
              <w:t>614.90</w:t>
            </w:r>
          </w:p>
        </w:tc>
        <w:tc>
          <w:tcPr>
            <w:tcW w:w="2153" w:type="dxa"/>
            <w:tcMar>
              <w:top w:w="15" w:type="dxa"/>
              <w:left w:w="15" w:type="dxa"/>
              <w:bottom w:w="15" w:type="dxa"/>
              <w:right w:w="180" w:type="dxa"/>
            </w:tcMar>
            <w:vAlign w:val="center"/>
            <w:hideMark/>
          </w:tcPr>
          <w:p w14:paraId="09AE1081" w14:textId="77777777" w:rsidR="00AD65CA" w:rsidRPr="00F43CDD" w:rsidRDefault="00AD65CA" w:rsidP="00B01D84">
            <w:pPr>
              <w:jc w:val="center"/>
            </w:pPr>
            <w:r w:rsidRPr="00F43CDD">
              <w:t>431.77</w:t>
            </w:r>
          </w:p>
        </w:tc>
        <w:tc>
          <w:tcPr>
            <w:tcW w:w="2099" w:type="dxa"/>
            <w:tcMar>
              <w:top w:w="15" w:type="dxa"/>
              <w:left w:w="15" w:type="dxa"/>
              <w:bottom w:w="15" w:type="dxa"/>
              <w:right w:w="180" w:type="dxa"/>
            </w:tcMar>
            <w:vAlign w:val="center"/>
            <w:hideMark/>
          </w:tcPr>
          <w:p w14:paraId="75BBECF1" w14:textId="77777777" w:rsidR="00AD65CA" w:rsidRPr="00F43CDD" w:rsidRDefault="00AD65CA" w:rsidP="00B01D84">
            <w:pPr>
              <w:jc w:val="center"/>
            </w:pPr>
            <w:r>
              <w:t>519.82</w:t>
            </w:r>
          </w:p>
        </w:tc>
      </w:tr>
      <w:tr w:rsidR="00AD65CA" w:rsidRPr="00F43CDD" w14:paraId="6F73F2E4" w14:textId="77777777" w:rsidTr="00B01D84">
        <w:trPr>
          <w:trHeight w:val="817"/>
          <w:tblCellSpacing w:w="0" w:type="dxa"/>
        </w:trPr>
        <w:tc>
          <w:tcPr>
            <w:tcW w:w="1734" w:type="dxa"/>
            <w:tcMar>
              <w:top w:w="15" w:type="dxa"/>
              <w:left w:w="15" w:type="dxa"/>
              <w:bottom w:w="15" w:type="dxa"/>
              <w:right w:w="180" w:type="dxa"/>
            </w:tcMar>
            <w:vAlign w:val="center"/>
          </w:tcPr>
          <w:p w14:paraId="06966432" w14:textId="77777777" w:rsidR="00AD65CA" w:rsidRPr="00F43CDD" w:rsidRDefault="00AD65CA" w:rsidP="00B01D84">
            <w:r w:rsidRPr="00F43CDD">
              <w:t>Number of observations</w:t>
            </w:r>
          </w:p>
        </w:tc>
        <w:tc>
          <w:tcPr>
            <w:tcW w:w="1934" w:type="dxa"/>
            <w:tcMar>
              <w:top w:w="15" w:type="dxa"/>
              <w:left w:w="15" w:type="dxa"/>
              <w:bottom w:w="15" w:type="dxa"/>
              <w:right w:w="180" w:type="dxa"/>
            </w:tcMar>
            <w:vAlign w:val="center"/>
          </w:tcPr>
          <w:p w14:paraId="528E74EE" w14:textId="77777777" w:rsidR="00AD65CA" w:rsidRPr="00F43CDD" w:rsidRDefault="00AD65CA" w:rsidP="00B01D84">
            <w:pPr>
              <w:jc w:val="center"/>
            </w:pPr>
            <w:r>
              <w:t>89</w:t>
            </w:r>
          </w:p>
        </w:tc>
        <w:tc>
          <w:tcPr>
            <w:tcW w:w="1935" w:type="dxa"/>
            <w:tcMar>
              <w:top w:w="15" w:type="dxa"/>
              <w:left w:w="15" w:type="dxa"/>
              <w:bottom w:w="15" w:type="dxa"/>
              <w:right w:w="180" w:type="dxa"/>
            </w:tcMar>
            <w:vAlign w:val="center"/>
          </w:tcPr>
          <w:p w14:paraId="3E28B317" w14:textId="77777777" w:rsidR="00AD65CA" w:rsidRPr="00F43CDD" w:rsidRDefault="00AD65CA" w:rsidP="00B01D84">
            <w:pPr>
              <w:jc w:val="center"/>
            </w:pPr>
            <w:r>
              <w:t>87</w:t>
            </w:r>
          </w:p>
        </w:tc>
        <w:tc>
          <w:tcPr>
            <w:tcW w:w="1934" w:type="dxa"/>
            <w:tcMar>
              <w:top w:w="15" w:type="dxa"/>
              <w:left w:w="15" w:type="dxa"/>
              <w:bottom w:w="15" w:type="dxa"/>
              <w:right w:w="180" w:type="dxa"/>
            </w:tcMar>
            <w:vAlign w:val="center"/>
          </w:tcPr>
          <w:p w14:paraId="3A6B5106" w14:textId="77777777" w:rsidR="00AD65CA" w:rsidRPr="00F43CDD" w:rsidRDefault="00AD65CA" w:rsidP="00B01D84">
            <w:pPr>
              <w:jc w:val="center"/>
            </w:pPr>
            <w:r>
              <w:t>87</w:t>
            </w:r>
          </w:p>
        </w:tc>
        <w:tc>
          <w:tcPr>
            <w:tcW w:w="1935" w:type="dxa"/>
            <w:tcMar>
              <w:top w:w="15" w:type="dxa"/>
              <w:left w:w="15" w:type="dxa"/>
              <w:bottom w:w="15" w:type="dxa"/>
              <w:right w:w="180" w:type="dxa"/>
            </w:tcMar>
            <w:vAlign w:val="center"/>
          </w:tcPr>
          <w:p w14:paraId="42101A96" w14:textId="77777777" w:rsidR="00AD65CA" w:rsidRPr="00F43CDD" w:rsidRDefault="00AD65CA" w:rsidP="00B01D84">
            <w:pPr>
              <w:jc w:val="center"/>
            </w:pPr>
            <w:r>
              <w:t>87</w:t>
            </w:r>
          </w:p>
        </w:tc>
        <w:tc>
          <w:tcPr>
            <w:tcW w:w="2153" w:type="dxa"/>
            <w:tcMar>
              <w:top w:w="15" w:type="dxa"/>
              <w:left w:w="15" w:type="dxa"/>
              <w:bottom w:w="15" w:type="dxa"/>
              <w:right w:w="180" w:type="dxa"/>
            </w:tcMar>
            <w:vAlign w:val="center"/>
          </w:tcPr>
          <w:p w14:paraId="7ED8CA4D" w14:textId="77777777" w:rsidR="00AD65CA" w:rsidRPr="00F43CDD" w:rsidRDefault="00AD65CA" w:rsidP="00B01D84">
            <w:pPr>
              <w:jc w:val="center"/>
            </w:pPr>
            <w:r>
              <w:t>87</w:t>
            </w:r>
          </w:p>
        </w:tc>
        <w:tc>
          <w:tcPr>
            <w:tcW w:w="2099" w:type="dxa"/>
            <w:tcMar>
              <w:top w:w="15" w:type="dxa"/>
              <w:left w:w="15" w:type="dxa"/>
              <w:bottom w:w="15" w:type="dxa"/>
              <w:right w:w="180" w:type="dxa"/>
            </w:tcMar>
            <w:vAlign w:val="center"/>
          </w:tcPr>
          <w:p w14:paraId="5DD5D5B2" w14:textId="77777777" w:rsidR="00AD65CA" w:rsidRPr="00F43CDD" w:rsidRDefault="00AD65CA" w:rsidP="00B01D84">
            <w:pPr>
              <w:jc w:val="center"/>
            </w:pPr>
            <w:r>
              <w:t>75</w:t>
            </w:r>
          </w:p>
        </w:tc>
      </w:tr>
      <w:tr w:rsidR="00AD65CA" w:rsidRPr="00F43CDD" w14:paraId="596F2648" w14:textId="77777777" w:rsidTr="00B01D84">
        <w:trPr>
          <w:trHeight w:val="817"/>
          <w:tblCellSpacing w:w="0" w:type="dxa"/>
        </w:trPr>
        <w:tc>
          <w:tcPr>
            <w:tcW w:w="1734" w:type="dxa"/>
            <w:tcMar>
              <w:top w:w="15" w:type="dxa"/>
              <w:left w:w="15" w:type="dxa"/>
              <w:bottom w:w="15" w:type="dxa"/>
              <w:right w:w="180" w:type="dxa"/>
            </w:tcMar>
            <w:vAlign w:val="center"/>
            <w:hideMark/>
          </w:tcPr>
          <w:p w14:paraId="4E39FDE1" w14:textId="77777777" w:rsidR="00AD65CA" w:rsidRPr="00F43CDD" w:rsidRDefault="00AD65CA" w:rsidP="00B01D84">
            <w:r w:rsidRPr="00F43CDD">
              <w:t>Number of participants</w:t>
            </w:r>
          </w:p>
        </w:tc>
        <w:tc>
          <w:tcPr>
            <w:tcW w:w="1934" w:type="dxa"/>
            <w:tcMar>
              <w:top w:w="15" w:type="dxa"/>
              <w:left w:w="15" w:type="dxa"/>
              <w:bottom w:w="15" w:type="dxa"/>
              <w:right w:w="180" w:type="dxa"/>
            </w:tcMar>
            <w:vAlign w:val="center"/>
            <w:hideMark/>
          </w:tcPr>
          <w:p w14:paraId="21CD6DB1" w14:textId="77777777" w:rsidR="00AD65CA" w:rsidRPr="00F43CDD" w:rsidRDefault="00AD65CA" w:rsidP="00B01D84">
            <w:pPr>
              <w:jc w:val="center"/>
            </w:pPr>
            <w:r w:rsidRPr="00F43CDD">
              <w:t>2</w:t>
            </w:r>
            <w:r>
              <w:t>5</w:t>
            </w:r>
          </w:p>
        </w:tc>
        <w:tc>
          <w:tcPr>
            <w:tcW w:w="1935" w:type="dxa"/>
            <w:tcMar>
              <w:top w:w="15" w:type="dxa"/>
              <w:left w:w="15" w:type="dxa"/>
              <w:bottom w:w="15" w:type="dxa"/>
              <w:right w:w="180" w:type="dxa"/>
            </w:tcMar>
            <w:vAlign w:val="center"/>
            <w:hideMark/>
          </w:tcPr>
          <w:p w14:paraId="60F5E7AE" w14:textId="77777777" w:rsidR="00AD65CA" w:rsidRPr="00F43CDD" w:rsidRDefault="00AD65CA" w:rsidP="00B01D84">
            <w:pPr>
              <w:jc w:val="center"/>
            </w:pPr>
            <w:r w:rsidRPr="00F43CDD">
              <w:t>2</w:t>
            </w:r>
            <w:r>
              <w:t>5</w:t>
            </w:r>
          </w:p>
        </w:tc>
        <w:tc>
          <w:tcPr>
            <w:tcW w:w="1934" w:type="dxa"/>
            <w:tcMar>
              <w:top w:w="15" w:type="dxa"/>
              <w:left w:w="15" w:type="dxa"/>
              <w:bottom w:w="15" w:type="dxa"/>
              <w:right w:w="180" w:type="dxa"/>
            </w:tcMar>
            <w:vAlign w:val="center"/>
            <w:hideMark/>
          </w:tcPr>
          <w:p w14:paraId="54C5E9E2" w14:textId="77777777" w:rsidR="00AD65CA" w:rsidRPr="00F43CDD" w:rsidRDefault="00AD65CA" w:rsidP="00B01D84">
            <w:pPr>
              <w:jc w:val="center"/>
            </w:pPr>
            <w:r w:rsidRPr="00F43CDD">
              <w:t>2</w:t>
            </w:r>
            <w:r>
              <w:t>5</w:t>
            </w:r>
          </w:p>
        </w:tc>
        <w:tc>
          <w:tcPr>
            <w:tcW w:w="1935" w:type="dxa"/>
            <w:tcMar>
              <w:top w:w="15" w:type="dxa"/>
              <w:left w:w="15" w:type="dxa"/>
              <w:bottom w:w="15" w:type="dxa"/>
              <w:right w:w="180" w:type="dxa"/>
            </w:tcMar>
            <w:vAlign w:val="center"/>
            <w:hideMark/>
          </w:tcPr>
          <w:p w14:paraId="47AA5D9D" w14:textId="77777777" w:rsidR="00AD65CA" w:rsidRPr="00F43CDD" w:rsidRDefault="00AD65CA" w:rsidP="00B01D84">
            <w:pPr>
              <w:jc w:val="center"/>
            </w:pPr>
            <w:r>
              <w:t>25</w:t>
            </w:r>
          </w:p>
        </w:tc>
        <w:tc>
          <w:tcPr>
            <w:tcW w:w="2153" w:type="dxa"/>
            <w:tcMar>
              <w:top w:w="15" w:type="dxa"/>
              <w:left w:w="15" w:type="dxa"/>
              <w:bottom w:w="15" w:type="dxa"/>
              <w:right w:w="180" w:type="dxa"/>
            </w:tcMar>
            <w:vAlign w:val="center"/>
            <w:hideMark/>
          </w:tcPr>
          <w:p w14:paraId="6DD63A0E" w14:textId="77777777" w:rsidR="00AD65CA" w:rsidRPr="00F43CDD" w:rsidRDefault="00AD65CA" w:rsidP="00B01D84">
            <w:pPr>
              <w:jc w:val="center"/>
            </w:pPr>
            <w:r w:rsidRPr="00F43CDD">
              <w:t>2</w:t>
            </w:r>
            <w:r>
              <w:t>5</w:t>
            </w:r>
          </w:p>
        </w:tc>
        <w:tc>
          <w:tcPr>
            <w:tcW w:w="2099" w:type="dxa"/>
            <w:tcMar>
              <w:top w:w="15" w:type="dxa"/>
              <w:left w:w="15" w:type="dxa"/>
              <w:bottom w:w="15" w:type="dxa"/>
              <w:right w:w="180" w:type="dxa"/>
            </w:tcMar>
            <w:vAlign w:val="center"/>
            <w:hideMark/>
          </w:tcPr>
          <w:p w14:paraId="4E7E2C1D" w14:textId="77777777" w:rsidR="00AD65CA" w:rsidRPr="00F43CDD" w:rsidRDefault="00AD65CA" w:rsidP="00B01D84">
            <w:pPr>
              <w:jc w:val="center"/>
            </w:pPr>
            <w:r w:rsidRPr="00F43CDD">
              <w:t>2</w:t>
            </w:r>
            <w:r>
              <w:t>3</w:t>
            </w:r>
          </w:p>
        </w:tc>
      </w:tr>
    </w:tbl>
    <w:p w14:paraId="181C7884" w14:textId="77777777" w:rsidR="00AD65CA" w:rsidRPr="00F43CDD" w:rsidRDefault="00AD65CA" w:rsidP="00AD65CA">
      <w:r w:rsidRPr="00F43CDD">
        <w:t>* 0 outside the confidence interval.</w:t>
      </w:r>
    </w:p>
    <w:p w14:paraId="17482A0F" w14:textId="77777777" w:rsidR="00AD65CA" w:rsidRPr="00F43CDD" w:rsidRDefault="00AD65CA" w:rsidP="00AD65CA">
      <w:r w:rsidRPr="00F43CDD">
        <w:rPr>
          <w:vertAlign w:val="superscript"/>
        </w:rPr>
        <w:t xml:space="preserve">1 </w:t>
      </w:r>
      <w:r w:rsidRPr="00F43CDD">
        <w:t>Relative to waitlist condition.</w:t>
      </w:r>
    </w:p>
    <w:p w14:paraId="46824D94" w14:textId="77777777" w:rsidR="00AD65CA" w:rsidRPr="00F43CDD" w:rsidRDefault="00AD65CA" w:rsidP="00AD65CA">
      <w:r w:rsidRPr="00F43CDD">
        <w:rPr>
          <w:vertAlign w:val="superscript"/>
        </w:rPr>
        <w:t xml:space="preserve">2 </w:t>
      </w:r>
      <w:r w:rsidRPr="00F43CDD">
        <w:t xml:space="preserve">Best-fitting model at </w:t>
      </w:r>
      <w:r w:rsidRPr="00F43CDD">
        <w:rPr>
          <w:i/>
          <w:iCs/>
        </w:rPr>
        <w:t>p</w:t>
      </w:r>
      <w:r w:rsidRPr="00F43CDD">
        <w:t xml:space="preserve"> &lt; .</w:t>
      </w:r>
      <w:r>
        <w:t>05.</w:t>
      </w:r>
    </w:p>
    <w:p w14:paraId="2830D8B5" w14:textId="0D86A1D0" w:rsidR="008D1D53" w:rsidRDefault="00AD65CA" w:rsidP="0077422B">
      <w:pPr>
        <w:sectPr w:rsidR="008D1D53" w:rsidSect="00872BCC">
          <w:pgSz w:w="15840" w:h="12240" w:orient="landscape"/>
          <w:pgMar w:top="1440" w:right="1440" w:bottom="1440" w:left="1440" w:header="720" w:footer="720" w:gutter="0"/>
          <w:cols w:space="720"/>
          <w:docGrid w:linePitch="360"/>
        </w:sectPr>
      </w:pPr>
      <w:r w:rsidRPr="002A78DC">
        <w:rPr>
          <w:i/>
          <w:iCs/>
        </w:rPr>
        <w:t>Note.</w:t>
      </w:r>
      <w:r w:rsidRPr="002A78DC">
        <w:t xml:space="preserve"> </w:t>
      </w:r>
      <w:r>
        <w:t xml:space="preserve">SCARED = </w:t>
      </w:r>
      <w:r w:rsidRPr="00581E1F">
        <w:rPr>
          <w:bCs/>
        </w:rPr>
        <w:t>Screen for Child Anxiety and Related Disorders – Child Report</w:t>
      </w:r>
      <w:r>
        <w:t>, CES-D = Center for Epidemiologic Studies Depression Scale, AFQ-Y = Avoidance and Fusion Questionnaire for Youth, MHC-SF = Mental Health Continuum Short Form, SSWQ = Student Subjective Well-being Questionnair</w:t>
      </w:r>
      <w:r w:rsidR="008D1D53">
        <w:t>e</w:t>
      </w:r>
      <w:r w:rsidR="003C1981">
        <w:t>.</w:t>
      </w:r>
    </w:p>
    <w:p w14:paraId="20ADEB84" w14:textId="284E906E" w:rsidR="00872BCC" w:rsidRDefault="00872BCC" w:rsidP="0077422B">
      <w:pPr>
        <w:sectPr w:rsidR="00872BCC" w:rsidSect="008D1D53">
          <w:type w:val="continuous"/>
          <w:pgSz w:w="15840" w:h="12240" w:orient="landscape"/>
          <w:pgMar w:top="1440" w:right="1440" w:bottom="1440" w:left="1440" w:header="720" w:footer="720" w:gutter="0"/>
          <w:cols w:space="720"/>
          <w:docGrid w:linePitch="360"/>
        </w:sectPr>
      </w:pPr>
    </w:p>
    <w:p w14:paraId="1AA9B48B" w14:textId="6A26C5A9" w:rsidR="00187793" w:rsidRPr="009A4529" w:rsidRDefault="00187793" w:rsidP="00872BCC"/>
    <w:sectPr w:rsidR="00187793" w:rsidRPr="009A4529" w:rsidSect="00872BC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2B7F" w14:textId="77777777" w:rsidR="005F4E9D" w:rsidRDefault="005F4E9D" w:rsidP="00DC0755">
      <w:r>
        <w:separator/>
      </w:r>
    </w:p>
  </w:endnote>
  <w:endnote w:type="continuationSeparator" w:id="0">
    <w:p w14:paraId="56BB97C0" w14:textId="77777777" w:rsidR="005F4E9D" w:rsidRDefault="005F4E9D" w:rsidP="00DC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D00F" w14:textId="1FFBB2E5" w:rsidR="007747AC" w:rsidRDefault="007747AC" w:rsidP="00656E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30B6" w14:textId="77777777" w:rsidR="005F4E9D" w:rsidRDefault="005F4E9D" w:rsidP="00DC0755">
      <w:r>
        <w:separator/>
      </w:r>
    </w:p>
  </w:footnote>
  <w:footnote w:type="continuationSeparator" w:id="0">
    <w:p w14:paraId="0392FF3F" w14:textId="77777777" w:rsidR="005F4E9D" w:rsidRDefault="005F4E9D" w:rsidP="00DC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033246"/>
      <w:docPartObj>
        <w:docPartGallery w:val="Page Numbers (Top of Page)"/>
        <w:docPartUnique/>
      </w:docPartObj>
    </w:sdtPr>
    <w:sdtEndPr>
      <w:rPr>
        <w:rStyle w:val="PageNumber"/>
      </w:rPr>
    </w:sdtEndPr>
    <w:sdtContent>
      <w:p w14:paraId="058C4A76" w14:textId="1CF32492" w:rsidR="004B10CE" w:rsidRDefault="004B10CE" w:rsidP="00600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51C51" w14:textId="77777777" w:rsidR="004B10CE" w:rsidRDefault="004B10CE" w:rsidP="004B10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947441"/>
      <w:docPartObj>
        <w:docPartGallery w:val="Page Numbers (Top of Page)"/>
        <w:docPartUnique/>
      </w:docPartObj>
    </w:sdtPr>
    <w:sdtEndPr>
      <w:rPr>
        <w:rStyle w:val="PageNumber"/>
      </w:rPr>
    </w:sdtEndPr>
    <w:sdtContent>
      <w:p w14:paraId="71686307" w14:textId="49985F1E" w:rsidR="004B10CE" w:rsidRDefault="004B10CE" w:rsidP="00600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C9775E6" w14:textId="33CC4EBB" w:rsidR="00D249B8" w:rsidRDefault="00A6357F" w:rsidP="00A6357F">
    <w:pPr>
      <w:pStyle w:val="Header"/>
      <w:ind w:right="360"/>
    </w:pPr>
    <w:r>
      <w:t>SCHOOL-BASED ACT FOR ADOLESCENTS WITH ANXIETY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3F1" w14:textId="7D5B6C3A" w:rsidR="00D249B8" w:rsidRDefault="005F4E9D">
    <w:pPr>
      <w:pStyle w:val="Header"/>
    </w:pPr>
    <w:sdt>
      <w:sdtPr>
        <w:id w:val="96077804"/>
        <w:docPartObj>
          <w:docPartGallery w:val="Page Numbers (Margins)"/>
          <w:docPartUnique/>
        </w:docPartObj>
      </w:sdtPr>
      <w:sdtEndPr/>
      <w:sdtContent>
        <w:r w:rsidR="00D249B8">
          <w:rPr>
            <w:noProof/>
          </w:rPr>
          <mc:AlternateContent>
            <mc:Choice Requires="wps">
              <w:drawing>
                <wp:anchor distT="0" distB="0" distL="114300" distR="114300" simplePos="0" relativeHeight="251659264" behindDoc="0" locked="0" layoutInCell="0" allowOverlap="1" wp14:anchorId="717C2751" wp14:editId="4D7C15E6">
                  <wp:simplePos x="0" y="0"/>
                  <wp:positionH relativeFrom="rightMargin">
                    <wp:align>center</wp:align>
                  </wp:positionH>
                  <wp:positionV relativeFrom="margin">
                    <wp:align>bottom</wp:align>
                  </wp:positionV>
                  <wp:extent cx="510540" cy="2183130"/>
                  <wp:effectExtent l="0" t="0" r="381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D5512" w14:textId="5563B0EB" w:rsidR="00D249B8" w:rsidRPr="00D249B8" w:rsidRDefault="00D249B8" w:rsidP="00D249B8">
                              <w:pPr>
                                <w:pStyle w:val="Footer"/>
                                <w:jc w:val="right"/>
                                <w:rPr>
                                  <w:rFonts w:eastAsiaTheme="majorEastAsia"/>
                                </w:rPr>
                              </w:pPr>
                              <w:r w:rsidRPr="00D249B8">
                                <w:rPr>
                                  <w:rFonts w:eastAsiaTheme="minorEastAsia"/>
                                </w:rPr>
                                <w:fldChar w:fldCharType="begin"/>
                              </w:r>
                              <w:r w:rsidRPr="00D249B8">
                                <w:instrText xml:space="preserve"> PAGE    \* MERGEFORMAT </w:instrText>
                              </w:r>
                              <w:r w:rsidRPr="00D249B8">
                                <w:rPr>
                                  <w:rFonts w:eastAsiaTheme="minorEastAsia"/>
                                </w:rPr>
                                <w:fldChar w:fldCharType="separate"/>
                              </w:r>
                              <w:r w:rsidRPr="00D249B8">
                                <w:rPr>
                                  <w:rFonts w:eastAsiaTheme="majorEastAsia"/>
                                  <w:noProof/>
                                </w:rPr>
                                <w:t>2</w:t>
                              </w:r>
                              <w:r w:rsidRPr="00D249B8">
                                <w:rPr>
                                  <w:rFonts w:eastAsiaTheme="majorEastAsia"/>
                                  <w:noProof/>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7C2751" id="Rectangle 17" o:spid="_x0000_s1035"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" o:allowincell="f" filled="f" stroked="f">
                  <v:textbox style="layout-flow:vertical;mso-fit-shape-to-text:t">
                    <w:txbxContent>
                      <w:p w14:paraId="42FD5512" w14:textId="5563B0EB" w:rsidR="00D249B8" w:rsidRPr="00D249B8" w:rsidRDefault="00D249B8" w:rsidP="00D249B8">
                        <w:pPr>
                          <w:pStyle w:val="Footer"/>
                          <w:jc w:val="right"/>
                          <w:rPr>
                            <w:rFonts w:eastAsiaTheme="majorEastAsia"/>
                          </w:rPr>
                        </w:pPr>
                        <w:r w:rsidRPr="00D249B8">
                          <w:rPr>
                            <w:rFonts w:eastAsiaTheme="minorEastAsia"/>
                          </w:rPr>
                          <w:fldChar w:fldCharType="begin"/>
                        </w:r>
                        <w:r w:rsidRPr="00D249B8">
                          <w:instrText xml:space="preserve"> PAGE    \* MERGEFORMAT </w:instrText>
                        </w:r>
                        <w:r w:rsidRPr="00D249B8">
                          <w:rPr>
                            <w:rFonts w:eastAsiaTheme="minorEastAsia"/>
                          </w:rPr>
                          <w:fldChar w:fldCharType="separate"/>
                        </w:r>
                        <w:r w:rsidRPr="00D249B8">
                          <w:rPr>
                            <w:rFonts w:eastAsiaTheme="majorEastAsia"/>
                            <w:noProof/>
                          </w:rPr>
                          <w:t>2</w:t>
                        </w:r>
                        <w:r w:rsidRPr="00D249B8">
                          <w:rPr>
                            <w:rFonts w:eastAsiaTheme="majorEastAsia"/>
                            <w:noProof/>
                          </w:rPr>
                          <w:fldChar w:fldCharType="end"/>
                        </w:r>
                      </w:p>
                    </w:txbxContent>
                  </v:textbox>
                  <w10:wrap anchorx="margin" anchory="margin"/>
                </v:rect>
              </w:pict>
            </mc:Fallback>
          </mc:AlternateContent>
        </w:r>
      </w:sdtContent>
    </w:sdt>
    <w:r w:rsidR="00A6357F">
      <w:t>Running head: SCHOOL-BASED ACT FOR ADOLESCENTS WITH ANXIETY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75310"/>
      <w:docPartObj>
        <w:docPartGallery w:val="Page Numbers (Top of Page)"/>
        <w:docPartUnique/>
      </w:docPartObj>
    </w:sdtPr>
    <w:sdtEndPr>
      <w:rPr>
        <w:rStyle w:val="PageNumber"/>
      </w:rPr>
    </w:sdtEndPr>
    <w:sdtContent>
      <w:p w14:paraId="55170017" w14:textId="77777777" w:rsidR="007747AC" w:rsidRDefault="007747AC" w:rsidP="00A206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E6B50EA" w14:textId="77777777" w:rsidR="007747AC" w:rsidRDefault="007747AC" w:rsidP="00DC07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1641"/>
    <w:multiLevelType w:val="hybridMultilevel"/>
    <w:tmpl w:val="478C3142"/>
    <w:lvl w:ilvl="0" w:tplc="8CF2B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D1F63"/>
    <w:multiLevelType w:val="hybridMultilevel"/>
    <w:tmpl w:val="B2469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967007"/>
    <w:multiLevelType w:val="hybridMultilevel"/>
    <w:tmpl w:val="FBFA61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7F95C86"/>
    <w:multiLevelType w:val="hybridMultilevel"/>
    <w:tmpl w:val="989A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17936"/>
    <w:multiLevelType w:val="hybridMultilevel"/>
    <w:tmpl w:val="846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sDQwNjIyNzAzMbJU0lEKTi0uzszPAykwqgUAVtYy3CwAAAA="/>
  </w:docVars>
  <w:rsids>
    <w:rsidRoot w:val="0073455F"/>
    <w:rsid w:val="00000653"/>
    <w:rsid w:val="000007D0"/>
    <w:rsid w:val="00001785"/>
    <w:rsid w:val="00002565"/>
    <w:rsid w:val="00002C51"/>
    <w:rsid w:val="00002D99"/>
    <w:rsid w:val="00003F4A"/>
    <w:rsid w:val="00006CEF"/>
    <w:rsid w:val="00007E14"/>
    <w:rsid w:val="00010EA2"/>
    <w:rsid w:val="00012AAF"/>
    <w:rsid w:val="00012D71"/>
    <w:rsid w:val="00013918"/>
    <w:rsid w:val="00014344"/>
    <w:rsid w:val="00014DF8"/>
    <w:rsid w:val="00015081"/>
    <w:rsid w:val="000164EE"/>
    <w:rsid w:val="00020520"/>
    <w:rsid w:val="0002103A"/>
    <w:rsid w:val="00022A1C"/>
    <w:rsid w:val="00022CEC"/>
    <w:rsid w:val="00022E62"/>
    <w:rsid w:val="00024B1C"/>
    <w:rsid w:val="000257BC"/>
    <w:rsid w:val="00027CFD"/>
    <w:rsid w:val="00030667"/>
    <w:rsid w:val="00030C34"/>
    <w:rsid w:val="000312FF"/>
    <w:rsid w:val="00032328"/>
    <w:rsid w:val="00032D50"/>
    <w:rsid w:val="0003300E"/>
    <w:rsid w:val="00033BC6"/>
    <w:rsid w:val="00040235"/>
    <w:rsid w:val="00042999"/>
    <w:rsid w:val="00043676"/>
    <w:rsid w:val="00043753"/>
    <w:rsid w:val="0004590F"/>
    <w:rsid w:val="00045AF4"/>
    <w:rsid w:val="00045C63"/>
    <w:rsid w:val="00045C67"/>
    <w:rsid w:val="00045EEF"/>
    <w:rsid w:val="00047F59"/>
    <w:rsid w:val="00051205"/>
    <w:rsid w:val="0005169E"/>
    <w:rsid w:val="00052355"/>
    <w:rsid w:val="00053A3C"/>
    <w:rsid w:val="00053EF6"/>
    <w:rsid w:val="00054042"/>
    <w:rsid w:val="0005422B"/>
    <w:rsid w:val="000545B5"/>
    <w:rsid w:val="00054DBA"/>
    <w:rsid w:val="000563FA"/>
    <w:rsid w:val="000576B0"/>
    <w:rsid w:val="000576DD"/>
    <w:rsid w:val="00061A03"/>
    <w:rsid w:val="000620CD"/>
    <w:rsid w:val="000638A6"/>
    <w:rsid w:val="00064FB7"/>
    <w:rsid w:val="00065342"/>
    <w:rsid w:val="000662E0"/>
    <w:rsid w:val="000730FA"/>
    <w:rsid w:val="00073171"/>
    <w:rsid w:val="00073C0E"/>
    <w:rsid w:val="00074197"/>
    <w:rsid w:val="000743B4"/>
    <w:rsid w:val="000745D8"/>
    <w:rsid w:val="000747EB"/>
    <w:rsid w:val="00074C32"/>
    <w:rsid w:val="0007518A"/>
    <w:rsid w:val="00075A20"/>
    <w:rsid w:val="00075FC1"/>
    <w:rsid w:val="0007672B"/>
    <w:rsid w:val="00076C51"/>
    <w:rsid w:val="0007705C"/>
    <w:rsid w:val="00077927"/>
    <w:rsid w:val="00081184"/>
    <w:rsid w:val="00081266"/>
    <w:rsid w:val="00082988"/>
    <w:rsid w:val="00083CA1"/>
    <w:rsid w:val="00084B5F"/>
    <w:rsid w:val="00085E8A"/>
    <w:rsid w:val="00085EB6"/>
    <w:rsid w:val="00086383"/>
    <w:rsid w:val="00090456"/>
    <w:rsid w:val="00090ED1"/>
    <w:rsid w:val="0009186C"/>
    <w:rsid w:val="000925CB"/>
    <w:rsid w:val="00094B6B"/>
    <w:rsid w:val="00094F82"/>
    <w:rsid w:val="00096C6C"/>
    <w:rsid w:val="000A2532"/>
    <w:rsid w:val="000A3E5E"/>
    <w:rsid w:val="000A4383"/>
    <w:rsid w:val="000A4873"/>
    <w:rsid w:val="000A4E28"/>
    <w:rsid w:val="000A6281"/>
    <w:rsid w:val="000A6B0D"/>
    <w:rsid w:val="000A7A7D"/>
    <w:rsid w:val="000B0204"/>
    <w:rsid w:val="000B19BD"/>
    <w:rsid w:val="000B2E7E"/>
    <w:rsid w:val="000B2F6E"/>
    <w:rsid w:val="000B465C"/>
    <w:rsid w:val="000B4BDB"/>
    <w:rsid w:val="000B4E4F"/>
    <w:rsid w:val="000B5FE6"/>
    <w:rsid w:val="000B67D1"/>
    <w:rsid w:val="000B68D8"/>
    <w:rsid w:val="000B754A"/>
    <w:rsid w:val="000B7EF1"/>
    <w:rsid w:val="000C285C"/>
    <w:rsid w:val="000C3999"/>
    <w:rsid w:val="000C5430"/>
    <w:rsid w:val="000C5EB8"/>
    <w:rsid w:val="000C659C"/>
    <w:rsid w:val="000C691E"/>
    <w:rsid w:val="000C6F3D"/>
    <w:rsid w:val="000C7515"/>
    <w:rsid w:val="000C7601"/>
    <w:rsid w:val="000D0C72"/>
    <w:rsid w:val="000D1AD6"/>
    <w:rsid w:val="000D299C"/>
    <w:rsid w:val="000D2C01"/>
    <w:rsid w:val="000D335F"/>
    <w:rsid w:val="000D4A12"/>
    <w:rsid w:val="000D4F92"/>
    <w:rsid w:val="000D5B9E"/>
    <w:rsid w:val="000D5BED"/>
    <w:rsid w:val="000D7B2B"/>
    <w:rsid w:val="000E1986"/>
    <w:rsid w:val="000E1DA6"/>
    <w:rsid w:val="000E24A4"/>
    <w:rsid w:val="000E31D9"/>
    <w:rsid w:val="000E3DD1"/>
    <w:rsid w:val="000E4ABD"/>
    <w:rsid w:val="000E5660"/>
    <w:rsid w:val="000E5AE9"/>
    <w:rsid w:val="000E686B"/>
    <w:rsid w:val="000E6F3B"/>
    <w:rsid w:val="000E7CA0"/>
    <w:rsid w:val="000F08CC"/>
    <w:rsid w:val="000F0BB2"/>
    <w:rsid w:val="000F0CEC"/>
    <w:rsid w:val="000F12AE"/>
    <w:rsid w:val="000F1B31"/>
    <w:rsid w:val="000F1D53"/>
    <w:rsid w:val="000F1DF7"/>
    <w:rsid w:val="000F2E60"/>
    <w:rsid w:val="000F2E87"/>
    <w:rsid w:val="000F2F29"/>
    <w:rsid w:val="000F3234"/>
    <w:rsid w:val="000F3D09"/>
    <w:rsid w:val="000F3D54"/>
    <w:rsid w:val="000F406E"/>
    <w:rsid w:val="000F5E7B"/>
    <w:rsid w:val="000F6677"/>
    <w:rsid w:val="000F7BED"/>
    <w:rsid w:val="000F7EF2"/>
    <w:rsid w:val="00100954"/>
    <w:rsid w:val="00100CA0"/>
    <w:rsid w:val="001012BC"/>
    <w:rsid w:val="001019DB"/>
    <w:rsid w:val="001025A4"/>
    <w:rsid w:val="00102DE3"/>
    <w:rsid w:val="0010372A"/>
    <w:rsid w:val="00103B19"/>
    <w:rsid w:val="00103F18"/>
    <w:rsid w:val="00103FFC"/>
    <w:rsid w:val="00106411"/>
    <w:rsid w:val="00107A62"/>
    <w:rsid w:val="00112A78"/>
    <w:rsid w:val="00112E0B"/>
    <w:rsid w:val="00112F0A"/>
    <w:rsid w:val="001132DE"/>
    <w:rsid w:val="0011366F"/>
    <w:rsid w:val="00113AB4"/>
    <w:rsid w:val="00114EC7"/>
    <w:rsid w:val="00115066"/>
    <w:rsid w:val="001150C7"/>
    <w:rsid w:val="0011713C"/>
    <w:rsid w:val="0012001E"/>
    <w:rsid w:val="00120D14"/>
    <w:rsid w:val="00120F78"/>
    <w:rsid w:val="00121945"/>
    <w:rsid w:val="0012388B"/>
    <w:rsid w:val="00123928"/>
    <w:rsid w:val="00124067"/>
    <w:rsid w:val="0012461A"/>
    <w:rsid w:val="001275CF"/>
    <w:rsid w:val="001301C5"/>
    <w:rsid w:val="0013033E"/>
    <w:rsid w:val="001308D3"/>
    <w:rsid w:val="00130DC5"/>
    <w:rsid w:val="00133073"/>
    <w:rsid w:val="0013358B"/>
    <w:rsid w:val="001355E9"/>
    <w:rsid w:val="00135B18"/>
    <w:rsid w:val="00137BBB"/>
    <w:rsid w:val="00141178"/>
    <w:rsid w:val="001418F1"/>
    <w:rsid w:val="001420DE"/>
    <w:rsid w:val="001428BD"/>
    <w:rsid w:val="00142F98"/>
    <w:rsid w:val="00151410"/>
    <w:rsid w:val="001516FC"/>
    <w:rsid w:val="00151833"/>
    <w:rsid w:val="00151B7B"/>
    <w:rsid w:val="001522CC"/>
    <w:rsid w:val="001527C5"/>
    <w:rsid w:val="0015331F"/>
    <w:rsid w:val="00155139"/>
    <w:rsid w:val="001576AA"/>
    <w:rsid w:val="001577E3"/>
    <w:rsid w:val="00157D6F"/>
    <w:rsid w:val="0016053C"/>
    <w:rsid w:val="0016072A"/>
    <w:rsid w:val="00160F4E"/>
    <w:rsid w:val="00162370"/>
    <w:rsid w:val="001625A6"/>
    <w:rsid w:val="00163282"/>
    <w:rsid w:val="001634D2"/>
    <w:rsid w:val="001637A3"/>
    <w:rsid w:val="00163DBD"/>
    <w:rsid w:val="00163E38"/>
    <w:rsid w:val="00165331"/>
    <w:rsid w:val="00165F03"/>
    <w:rsid w:val="001676B8"/>
    <w:rsid w:val="001707E1"/>
    <w:rsid w:val="00171946"/>
    <w:rsid w:val="001720F7"/>
    <w:rsid w:val="0017227D"/>
    <w:rsid w:val="00172982"/>
    <w:rsid w:val="00173775"/>
    <w:rsid w:val="00173892"/>
    <w:rsid w:val="00174047"/>
    <w:rsid w:val="00177582"/>
    <w:rsid w:val="00177838"/>
    <w:rsid w:val="00177B33"/>
    <w:rsid w:val="001820A6"/>
    <w:rsid w:val="00182168"/>
    <w:rsid w:val="001826A7"/>
    <w:rsid w:val="00182A2B"/>
    <w:rsid w:val="00182F6D"/>
    <w:rsid w:val="001830BF"/>
    <w:rsid w:val="00183305"/>
    <w:rsid w:val="001840F3"/>
    <w:rsid w:val="00184257"/>
    <w:rsid w:val="00184453"/>
    <w:rsid w:val="001849E5"/>
    <w:rsid w:val="00185933"/>
    <w:rsid w:val="00185BC0"/>
    <w:rsid w:val="00186877"/>
    <w:rsid w:val="00186E33"/>
    <w:rsid w:val="00187793"/>
    <w:rsid w:val="00187B11"/>
    <w:rsid w:val="001901B8"/>
    <w:rsid w:val="001916D1"/>
    <w:rsid w:val="00191EAE"/>
    <w:rsid w:val="00192014"/>
    <w:rsid w:val="0019249B"/>
    <w:rsid w:val="00192AA5"/>
    <w:rsid w:val="00192D09"/>
    <w:rsid w:val="0019397C"/>
    <w:rsid w:val="001942B8"/>
    <w:rsid w:val="001949BB"/>
    <w:rsid w:val="0019532D"/>
    <w:rsid w:val="0019544E"/>
    <w:rsid w:val="00195AC0"/>
    <w:rsid w:val="0019670E"/>
    <w:rsid w:val="001A1328"/>
    <w:rsid w:val="001A1FBE"/>
    <w:rsid w:val="001A2016"/>
    <w:rsid w:val="001A23AF"/>
    <w:rsid w:val="001A2552"/>
    <w:rsid w:val="001A2940"/>
    <w:rsid w:val="001A348E"/>
    <w:rsid w:val="001A364E"/>
    <w:rsid w:val="001A3BEA"/>
    <w:rsid w:val="001A3E55"/>
    <w:rsid w:val="001A483E"/>
    <w:rsid w:val="001A7CFD"/>
    <w:rsid w:val="001A7D43"/>
    <w:rsid w:val="001B0C27"/>
    <w:rsid w:val="001B127D"/>
    <w:rsid w:val="001B262F"/>
    <w:rsid w:val="001B382A"/>
    <w:rsid w:val="001B3A1C"/>
    <w:rsid w:val="001B3AB2"/>
    <w:rsid w:val="001B46A1"/>
    <w:rsid w:val="001B5801"/>
    <w:rsid w:val="001B5ECD"/>
    <w:rsid w:val="001B6FB5"/>
    <w:rsid w:val="001C085A"/>
    <w:rsid w:val="001C0D39"/>
    <w:rsid w:val="001C1D88"/>
    <w:rsid w:val="001C2034"/>
    <w:rsid w:val="001C2095"/>
    <w:rsid w:val="001C3B3B"/>
    <w:rsid w:val="001C3B97"/>
    <w:rsid w:val="001C4268"/>
    <w:rsid w:val="001C58E3"/>
    <w:rsid w:val="001C5CEB"/>
    <w:rsid w:val="001C60EA"/>
    <w:rsid w:val="001C6E63"/>
    <w:rsid w:val="001D055E"/>
    <w:rsid w:val="001D078B"/>
    <w:rsid w:val="001D0FD2"/>
    <w:rsid w:val="001D18CE"/>
    <w:rsid w:val="001D3D55"/>
    <w:rsid w:val="001D401B"/>
    <w:rsid w:val="001D423D"/>
    <w:rsid w:val="001D5A35"/>
    <w:rsid w:val="001D61C6"/>
    <w:rsid w:val="001D7364"/>
    <w:rsid w:val="001D7B25"/>
    <w:rsid w:val="001D7C91"/>
    <w:rsid w:val="001E0D76"/>
    <w:rsid w:val="001E115C"/>
    <w:rsid w:val="001E16C6"/>
    <w:rsid w:val="001E2688"/>
    <w:rsid w:val="001E2968"/>
    <w:rsid w:val="001E2EDE"/>
    <w:rsid w:val="001E32CC"/>
    <w:rsid w:val="001E34AB"/>
    <w:rsid w:val="001E4872"/>
    <w:rsid w:val="001E4CE3"/>
    <w:rsid w:val="001E5CA9"/>
    <w:rsid w:val="001E6617"/>
    <w:rsid w:val="001E67AA"/>
    <w:rsid w:val="001E6F66"/>
    <w:rsid w:val="001F0306"/>
    <w:rsid w:val="001F0FA7"/>
    <w:rsid w:val="001F1B2D"/>
    <w:rsid w:val="001F23B5"/>
    <w:rsid w:val="001F2C08"/>
    <w:rsid w:val="001F2C4F"/>
    <w:rsid w:val="001F32A1"/>
    <w:rsid w:val="001F39E9"/>
    <w:rsid w:val="001F3AF0"/>
    <w:rsid w:val="001F4683"/>
    <w:rsid w:val="001F5016"/>
    <w:rsid w:val="001F5654"/>
    <w:rsid w:val="001F63D6"/>
    <w:rsid w:val="001F7012"/>
    <w:rsid w:val="001F73C2"/>
    <w:rsid w:val="00200DAA"/>
    <w:rsid w:val="00202416"/>
    <w:rsid w:val="0020396D"/>
    <w:rsid w:val="0020683C"/>
    <w:rsid w:val="002079BA"/>
    <w:rsid w:val="002161EC"/>
    <w:rsid w:val="00216A97"/>
    <w:rsid w:val="00216CDA"/>
    <w:rsid w:val="002179A9"/>
    <w:rsid w:val="002179E3"/>
    <w:rsid w:val="0022271A"/>
    <w:rsid w:val="00223155"/>
    <w:rsid w:val="002237AE"/>
    <w:rsid w:val="00223980"/>
    <w:rsid w:val="00223E88"/>
    <w:rsid w:val="00224B4B"/>
    <w:rsid w:val="002260F3"/>
    <w:rsid w:val="00227F7B"/>
    <w:rsid w:val="00230538"/>
    <w:rsid w:val="002309CA"/>
    <w:rsid w:val="00234839"/>
    <w:rsid w:val="00234F0E"/>
    <w:rsid w:val="002357F5"/>
    <w:rsid w:val="00235D7A"/>
    <w:rsid w:val="00237DE2"/>
    <w:rsid w:val="00240562"/>
    <w:rsid w:val="00241738"/>
    <w:rsid w:val="002437E8"/>
    <w:rsid w:val="00244A5C"/>
    <w:rsid w:val="00245CDE"/>
    <w:rsid w:val="00247246"/>
    <w:rsid w:val="00250391"/>
    <w:rsid w:val="00251125"/>
    <w:rsid w:val="00252E75"/>
    <w:rsid w:val="00253306"/>
    <w:rsid w:val="0025431E"/>
    <w:rsid w:val="002569C2"/>
    <w:rsid w:val="00257FCD"/>
    <w:rsid w:val="00260C79"/>
    <w:rsid w:val="00261459"/>
    <w:rsid w:val="002615C4"/>
    <w:rsid w:val="00262365"/>
    <w:rsid w:val="00265625"/>
    <w:rsid w:val="002664EA"/>
    <w:rsid w:val="002673E5"/>
    <w:rsid w:val="002707F4"/>
    <w:rsid w:val="0027117C"/>
    <w:rsid w:val="002717A3"/>
    <w:rsid w:val="00271A7C"/>
    <w:rsid w:val="00272909"/>
    <w:rsid w:val="00272994"/>
    <w:rsid w:val="00274F83"/>
    <w:rsid w:val="002750E4"/>
    <w:rsid w:val="00276CF3"/>
    <w:rsid w:val="002774FF"/>
    <w:rsid w:val="002777B9"/>
    <w:rsid w:val="002777DF"/>
    <w:rsid w:val="002777EB"/>
    <w:rsid w:val="00281F38"/>
    <w:rsid w:val="002820B6"/>
    <w:rsid w:val="00282450"/>
    <w:rsid w:val="0028299C"/>
    <w:rsid w:val="002866A8"/>
    <w:rsid w:val="00287555"/>
    <w:rsid w:val="00290023"/>
    <w:rsid w:val="002924D6"/>
    <w:rsid w:val="002926B8"/>
    <w:rsid w:val="00292C72"/>
    <w:rsid w:val="002949F4"/>
    <w:rsid w:val="00295062"/>
    <w:rsid w:val="00296611"/>
    <w:rsid w:val="00296E9A"/>
    <w:rsid w:val="0029766C"/>
    <w:rsid w:val="00297AA6"/>
    <w:rsid w:val="002A0042"/>
    <w:rsid w:val="002A07FA"/>
    <w:rsid w:val="002A0F7B"/>
    <w:rsid w:val="002A1645"/>
    <w:rsid w:val="002A17D1"/>
    <w:rsid w:val="002A2A4C"/>
    <w:rsid w:val="002A41C3"/>
    <w:rsid w:val="002A456C"/>
    <w:rsid w:val="002A4CC4"/>
    <w:rsid w:val="002A5946"/>
    <w:rsid w:val="002A5961"/>
    <w:rsid w:val="002A6839"/>
    <w:rsid w:val="002A78DC"/>
    <w:rsid w:val="002A7B65"/>
    <w:rsid w:val="002A7C9E"/>
    <w:rsid w:val="002A7D5C"/>
    <w:rsid w:val="002B0440"/>
    <w:rsid w:val="002B1890"/>
    <w:rsid w:val="002B1AFD"/>
    <w:rsid w:val="002B1E5A"/>
    <w:rsid w:val="002B32C5"/>
    <w:rsid w:val="002B4CC1"/>
    <w:rsid w:val="002B5981"/>
    <w:rsid w:val="002B5ED6"/>
    <w:rsid w:val="002B6502"/>
    <w:rsid w:val="002B6731"/>
    <w:rsid w:val="002B6FAF"/>
    <w:rsid w:val="002B73DE"/>
    <w:rsid w:val="002B7F49"/>
    <w:rsid w:val="002B7F6A"/>
    <w:rsid w:val="002C04D0"/>
    <w:rsid w:val="002C144C"/>
    <w:rsid w:val="002C18EF"/>
    <w:rsid w:val="002C1EB3"/>
    <w:rsid w:val="002C1FC6"/>
    <w:rsid w:val="002C50E9"/>
    <w:rsid w:val="002C53C2"/>
    <w:rsid w:val="002C76B1"/>
    <w:rsid w:val="002D13D6"/>
    <w:rsid w:val="002D1AF0"/>
    <w:rsid w:val="002D34B1"/>
    <w:rsid w:val="002D3BFC"/>
    <w:rsid w:val="002D40BC"/>
    <w:rsid w:val="002D5DFD"/>
    <w:rsid w:val="002D6749"/>
    <w:rsid w:val="002D6A21"/>
    <w:rsid w:val="002D6B9B"/>
    <w:rsid w:val="002D6C1D"/>
    <w:rsid w:val="002E03F7"/>
    <w:rsid w:val="002E1AF8"/>
    <w:rsid w:val="002E1E8E"/>
    <w:rsid w:val="002E2851"/>
    <w:rsid w:val="002E3238"/>
    <w:rsid w:val="002E3C4A"/>
    <w:rsid w:val="002E4245"/>
    <w:rsid w:val="002E4643"/>
    <w:rsid w:val="002E55B7"/>
    <w:rsid w:val="002E6435"/>
    <w:rsid w:val="002E6690"/>
    <w:rsid w:val="002E7293"/>
    <w:rsid w:val="002F0D46"/>
    <w:rsid w:val="002F2324"/>
    <w:rsid w:val="002F2328"/>
    <w:rsid w:val="002F26A0"/>
    <w:rsid w:val="002F391E"/>
    <w:rsid w:val="002F50DA"/>
    <w:rsid w:val="002F6796"/>
    <w:rsid w:val="002F6BE2"/>
    <w:rsid w:val="002F7B91"/>
    <w:rsid w:val="002F7D7D"/>
    <w:rsid w:val="002F7E28"/>
    <w:rsid w:val="00300390"/>
    <w:rsid w:val="003003D7"/>
    <w:rsid w:val="003029A2"/>
    <w:rsid w:val="00303032"/>
    <w:rsid w:val="00305566"/>
    <w:rsid w:val="00305A4B"/>
    <w:rsid w:val="00305F9B"/>
    <w:rsid w:val="003061C3"/>
    <w:rsid w:val="003070D4"/>
    <w:rsid w:val="003070E9"/>
    <w:rsid w:val="00310FDE"/>
    <w:rsid w:val="00311E45"/>
    <w:rsid w:val="00312574"/>
    <w:rsid w:val="00312DFD"/>
    <w:rsid w:val="00313F24"/>
    <w:rsid w:val="00314631"/>
    <w:rsid w:val="0031465D"/>
    <w:rsid w:val="00314D7D"/>
    <w:rsid w:val="003150B1"/>
    <w:rsid w:val="00316071"/>
    <w:rsid w:val="003160DE"/>
    <w:rsid w:val="00316AE0"/>
    <w:rsid w:val="003174A0"/>
    <w:rsid w:val="00317532"/>
    <w:rsid w:val="00317886"/>
    <w:rsid w:val="00317DE1"/>
    <w:rsid w:val="003208F3"/>
    <w:rsid w:val="00321AE9"/>
    <w:rsid w:val="0032203B"/>
    <w:rsid w:val="00322D8C"/>
    <w:rsid w:val="00323397"/>
    <w:rsid w:val="00323CC7"/>
    <w:rsid w:val="0032476D"/>
    <w:rsid w:val="00324935"/>
    <w:rsid w:val="00324EE9"/>
    <w:rsid w:val="0032561B"/>
    <w:rsid w:val="00325AF8"/>
    <w:rsid w:val="00326B07"/>
    <w:rsid w:val="00326BBA"/>
    <w:rsid w:val="00326ED9"/>
    <w:rsid w:val="003300C7"/>
    <w:rsid w:val="00330460"/>
    <w:rsid w:val="00331017"/>
    <w:rsid w:val="00331057"/>
    <w:rsid w:val="00331342"/>
    <w:rsid w:val="003317D3"/>
    <w:rsid w:val="00331C6D"/>
    <w:rsid w:val="0033226B"/>
    <w:rsid w:val="00333652"/>
    <w:rsid w:val="0033418A"/>
    <w:rsid w:val="003342EE"/>
    <w:rsid w:val="00334627"/>
    <w:rsid w:val="0033471C"/>
    <w:rsid w:val="00334FAF"/>
    <w:rsid w:val="00335D41"/>
    <w:rsid w:val="0033621D"/>
    <w:rsid w:val="00337EA7"/>
    <w:rsid w:val="00340326"/>
    <w:rsid w:val="00340A07"/>
    <w:rsid w:val="00341C6E"/>
    <w:rsid w:val="00341CCC"/>
    <w:rsid w:val="00342E52"/>
    <w:rsid w:val="00343722"/>
    <w:rsid w:val="00344C92"/>
    <w:rsid w:val="0034568F"/>
    <w:rsid w:val="003457F2"/>
    <w:rsid w:val="00345903"/>
    <w:rsid w:val="00345FAD"/>
    <w:rsid w:val="00346DB8"/>
    <w:rsid w:val="00346DC7"/>
    <w:rsid w:val="003470B1"/>
    <w:rsid w:val="00350BCC"/>
    <w:rsid w:val="003521E1"/>
    <w:rsid w:val="0035336D"/>
    <w:rsid w:val="00353542"/>
    <w:rsid w:val="00353655"/>
    <w:rsid w:val="00353A1C"/>
    <w:rsid w:val="00353C20"/>
    <w:rsid w:val="003547F8"/>
    <w:rsid w:val="00355563"/>
    <w:rsid w:val="00355EE3"/>
    <w:rsid w:val="003564B0"/>
    <w:rsid w:val="00357241"/>
    <w:rsid w:val="00357BF0"/>
    <w:rsid w:val="00357C62"/>
    <w:rsid w:val="00360344"/>
    <w:rsid w:val="0036097B"/>
    <w:rsid w:val="003615AC"/>
    <w:rsid w:val="00362452"/>
    <w:rsid w:val="003624D5"/>
    <w:rsid w:val="00362E41"/>
    <w:rsid w:val="00362E6B"/>
    <w:rsid w:val="003632E5"/>
    <w:rsid w:val="0036333E"/>
    <w:rsid w:val="00364933"/>
    <w:rsid w:val="00364E97"/>
    <w:rsid w:val="00365CD5"/>
    <w:rsid w:val="00366180"/>
    <w:rsid w:val="00366B27"/>
    <w:rsid w:val="003678C8"/>
    <w:rsid w:val="003679B2"/>
    <w:rsid w:val="00371C01"/>
    <w:rsid w:val="00372483"/>
    <w:rsid w:val="003728CD"/>
    <w:rsid w:val="00373AC1"/>
    <w:rsid w:val="00373FE9"/>
    <w:rsid w:val="00374C1A"/>
    <w:rsid w:val="00375F8E"/>
    <w:rsid w:val="00380063"/>
    <w:rsid w:val="00381409"/>
    <w:rsid w:val="00381B59"/>
    <w:rsid w:val="00381BCB"/>
    <w:rsid w:val="00382736"/>
    <w:rsid w:val="00383410"/>
    <w:rsid w:val="003838D4"/>
    <w:rsid w:val="00385EC7"/>
    <w:rsid w:val="00385F79"/>
    <w:rsid w:val="00386A1F"/>
    <w:rsid w:val="00386A87"/>
    <w:rsid w:val="003878DB"/>
    <w:rsid w:val="00391C1C"/>
    <w:rsid w:val="0039221B"/>
    <w:rsid w:val="003924E1"/>
    <w:rsid w:val="00392963"/>
    <w:rsid w:val="00392E12"/>
    <w:rsid w:val="0039366D"/>
    <w:rsid w:val="003944C4"/>
    <w:rsid w:val="003952EF"/>
    <w:rsid w:val="0039609F"/>
    <w:rsid w:val="003968D8"/>
    <w:rsid w:val="00396F8A"/>
    <w:rsid w:val="00397AEE"/>
    <w:rsid w:val="003A12A1"/>
    <w:rsid w:val="003A1F06"/>
    <w:rsid w:val="003A619B"/>
    <w:rsid w:val="003A719E"/>
    <w:rsid w:val="003B0EBC"/>
    <w:rsid w:val="003B13AE"/>
    <w:rsid w:val="003B236A"/>
    <w:rsid w:val="003B420E"/>
    <w:rsid w:val="003B48D1"/>
    <w:rsid w:val="003B509D"/>
    <w:rsid w:val="003B512C"/>
    <w:rsid w:val="003B584B"/>
    <w:rsid w:val="003B5A34"/>
    <w:rsid w:val="003B769E"/>
    <w:rsid w:val="003C0AFD"/>
    <w:rsid w:val="003C1981"/>
    <w:rsid w:val="003C1FC1"/>
    <w:rsid w:val="003C3D75"/>
    <w:rsid w:val="003C421F"/>
    <w:rsid w:val="003C4980"/>
    <w:rsid w:val="003C4FA9"/>
    <w:rsid w:val="003C5086"/>
    <w:rsid w:val="003C5723"/>
    <w:rsid w:val="003C640E"/>
    <w:rsid w:val="003D08DD"/>
    <w:rsid w:val="003D19B3"/>
    <w:rsid w:val="003D1CD3"/>
    <w:rsid w:val="003D2837"/>
    <w:rsid w:val="003D29CB"/>
    <w:rsid w:val="003D45DD"/>
    <w:rsid w:val="003D4DB2"/>
    <w:rsid w:val="003D528B"/>
    <w:rsid w:val="003D6078"/>
    <w:rsid w:val="003D6108"/>
    <w:rsid w:val="003D63E3"/>
    <w:rsid w:val="003D6599"/>
    <w:rsid w:val="003D6628"/>
    <w:rsid w:val="003D6A6D"/>
    <w:rsid w:val="003D703E"/>
    <w:rsid w:val="003E0520"/>
    <w:rsid w:val="003E0BD4"/>
    <w:rsid w:val="003E1249"/>
    <w:rsid w:val="003E1612"/>
    <w:rsid w:val="003E1B67"/>
    <w:rsid w:val="003E24E7"/>
    <w:rsid w:val="003E273B"/>
    <w:rsid w:val="003E310E"/>
    <w:rsid w:val="003E3535"/>
    <w:rsid w:val="003E3BA2"/>
    <w:rsid w:val="003E3FD2"/>
    <w:rsid w:val="003E6D00"/>
    <w:rsid w:val="003E6FA1"/>
    <w:rsid w:val="003E75D9"/>
    <w:rsid w:val="003F07E1"/>
    <w:rsid w:val="003F1D75"/>
    <w:rsid w:val="003F30BE"/>
    <w:rsid w:val="003F3244"/>
    <w:rsid w:val="003F3774"/>
    <w:rsid w:val="003F3EBB"/>
    <w:rsid w:val="003F6814"/>
    <w:rsid w:val="003F69D0"/>
    <w:rsid w:val="003F7031"/>
    <w:rsid w:val="0040203E"/>
    <w:rsid w:val="00402438"/>
    <w:rsid w:val="004034F0"/>
    <w:rsid w:val="00403AFC"/>
    <w:rsid w:val="00404C7D"/>
    <w:rsid w:val="00404E5A"/>
    <w:rsid w:val="00405DF7"/>
    <w:rsid w:val="0040764F"/>
    <w:rsid w:val="00410BB7"/>
    <w:rsid w:val="004111E8"/>
    <w:rsid w:val="0041175F"/>
    <w:rsid w:val="004117E7"/>
    <w:rsid w:val="00412009"/>
    <w:rsid w:val="00412106"/>
    <w:rsid w:val="00412399"/>
    <w:rsid w:val="00412801"/>
    <w:rsid w:val="00412B86"/>
    <w:rsid w:val="00412CB8"/>
    <w:rsid w:val="00414004"/>
    <w:rsid w:val="00415762"/>
    <w:rsid w:val="00415E76"/>
    <w:rsid w:val="00417F52"/>
    <w:rsid w:val="00420563"/>
    <w:rsid w:val="00420629"/>
    <w:rsid w:val="00423CBD"/>
    <w:rsid w:val="00424AC2"/>
    <w:rsid w:val="00425045"/>
    <w:rsid w:val="00425398"/>
    <w:rsid w:val="004256A9"/>
    <w:rsid w:val="0042599B"/>
    <w:rsid w:val="00426AA1"/>
    <w:rsid w:val="00426B62"/>
    <w:rsid w:val="0043047B"/>
    <w:rsid w:val="00430FF0"/>
    <w:rsid w:val="00432032"/>
    <w:rsid w:val="00432A2F"/>
    <w:rsid w:val="00432ECC"/>
    <w:rsid w:val="004330D8"/>
    <w:rsid w:val="004331DE"/>
    <w:rsid w:val="00433955"/>
    <w:rsid w:val="00433DA8"/>
    <w:rsid w:val="00434038"/>
    <w:rsid w:val="00434981"/>
    <w:rsid w:val="00435671"/>
    <w:rsid w:val="004356A1"/>
    <w:rsid w:val="00436091"/>
    <w:rsid w:val="00436CBD"/>
    <w:rsid w:val="00441DCA"/>
    <w:rsid w:val="004420F4"/>
    <w:rsid w:val="00442284"/>
    <w:rsid w:val="00442995"/>
    <w:rsid w:val="00442A6D"/>
    <w:rsid w:val="004441E7"/>
    <w:rsid w:val="00445365"/>
    <w:rsid w:val="004463AE"/>
    <w:rsid w:val="00446EE2"/>
    <w:rsid w:val="00447931"/>
    <w:rsid w:val="00451762"/>
    <w:rsid w:val="00452258"/>
    <w:rsid w:val="00452E86"/>
    <w:rsid w:val="00454438"/>
    <w:rsid w:val="00454C94"/>
    <w:rsid w:val="00454DF2"/>
    <w:rsid w:val="00454FEF"/>
    <w:rsid w:val="00455791"/>
    <w:rsid w:val="00455841"/>
    <w:rsid w:val="00456768"/>
    <w:rsid w:val="00456B54"/>
    <w:rsid w:val="00457169"/>
    <w:rsid w:val="00457993"/>
    <w:rsid w:val="004579A5"/>
    <w:rsid w:val="004603AA"/>
    <w:rsid w:val="004608D5"/>
    <w:rsid w:val="00460D8E"/>
    <w:rsid w:val="004617C7"/>
    <w:rsid w:val="00461E12"/>
    <w:rsid w:val="0046390A"/>
    <w:rsid w:val="00463C36"/>
    <w:rsid w:val="00463E65"/>
    <w:rsid w:val="004648D2"/>
    <w:rsid w:val="004650DE"/>
    <w:rsid w:val="0047134F"/>
    <w:rsid w:val="004727A1"/>
    <w:rsid w:val="00472A33"/>
    <w:rsid w:val="00472F66"/>
    <w:rsid w:val="004730D7"/>
    <w:rsid w:val="00473741"/>
    <w:rsid w:val="0047558E"/>
    <w:rsid w:val="00475860"/>
    <w:rsid w:val="0048054F"/>
    <w:rsid w:val="004810F8"/>
    <w:rsid w:val="004818F4"/>
    <w:rsid w:val="00481DCE"/>
    <w:rsid w:val="004825D3"/>
    <w:rsid w:val="00483887"/>
    <w:rsid w:val="00484421"/>
    <w:rsid w:val="00484C68"/>
    <w:rsid w:val="004871FE"/>
    <w:rsid w:val="00490253"/>
    <w:rsid w:val="00490308"/>
    <w:rsid w:val="00491DDE"/>
    <w:rsid w:val="004926D0"/>
    <w:rsid w:val="00492BA2"/>
    <w:rsid w:val="00492E21"/>
    <w:rsid w:val="004931D0"/>
    <w:rsid w:val="00493FB2"/>
    <w:rsid w:val="00494DF5"/>
    <w:rsid w:val="0049577F"/>
    <w:rsid w:val="00496134"/>
    <w:rsid w:val="004A01F3"/>
    <w:rsid w:val="004A161C"/>
    <w:rsid w:val="004A1681"/>
    <w:rsid w:val="004A1B63"/>
    <w:rsid w:val="004A4001"/>
    <w:rsid w:val="004A43C2"/>
    <w:rsid w:val="004A4487"/>
    <w:rsid w:val="004A4EF3"/>
    <w:rsid w:val="004B1078"/>
    <w:rsid w:val="004B10CE"/>
    <w:rsid w:val="004B28E6"/>
    <w:rsid w:val="004B29F0"/>
    <w:rsid w:val="004B2AB0"/>
    <w:rsid w:val="004B3CA7"/>
    <w:rsid w:val="004B3DA1"/>
    <w:rsid w:val="004B3E26"/>
    <w:rsid w:val="004B5A25"/>
    <w:rsid w:val="004B7E4A"/>
    <w:rsid w:val="004C1B64"/>
    <w:rsid w:val="004C2A27"/>
    <w:rsid w:val="004C4660"/>
    <w:rsid w:val="004C5595"/>
    <w:rsid w:val="004C62FB"/>
    <w:rsid w:val="004C7917"/>
    <w:rsid w:val="004C7978"/>
    <w:rsid w:val="004D1A59"/>
    <w:rsid w:val="004D1EAE"/>
    <w:rsid w:val="004D1F90"/>
    <w:rsid w:val="004D25FC"/>
    <w:rsid w:val="004D4044"/>
    <w:rsid w:val="004D4C09"/>
    <w:rsid w:val="004D4E05"/>
    <w:rsid w:val="004D6663"/>
    <w:rsid w:val="004D732E"/>
    <w:rsid w:val="004D7E34"/>
    <w:rsid w:val="004E0935"/>
    <w:rsid w:val="004E0BA0"/>
    <w:rsid w:val="004E1270"/>
    <w:rsid w:val="004E250A"/>
    <w:rsid w:val="004E4C56"/>
    <w:rsid w:val="004E60CA"/>
    <w:rsid w:val="004E6C87"/>
    <w:rsid w:val="004E7610"/>
    <w:rsid w:val="004E7945"/>
    <w:rsid w:val="004F0D32"/>
    <w:rsid w:val="004F140C"/>
    <w:rsid w:val="004F2204"/>
    <w:rsid w:val="004F258B"/>
    <w:rsid w:val="004F2617"/>
    <w:rsid w:val="004F36EB"/>
    <w:rsid w:val="004F43E3"/>
    <w:rsid w:val="004F5C61"/>
    <w:rsid w:val="004F5D3D"/>
    <w:rsid w:val="004F7A9A"/>
    <w:rsid w:val="004F7D0D"/>
    <w:rsid w:val="004F7EC5"/>
    <w:rsid w:val="005005E1"/>
    <w:rsid w:val="005018CC"/>
    <w:rsid w:val="005018EF"/>
    <w:rsid w:val="00502D80"/>
    <w:rsid w:val="005030CB"/>
    <w:rsid w:val="00503F95"/>
    <w:rsid w:val="00503FBC"/>
    <w:rsid w:val="00505A8B"/>
    <w:rsid w:val="005064B8"/>
    <w:rsid w:val="005068E9"/>
    <w:rsid w:val="00507FBA"/>
    <w:rsid w:val="005105E9"/>
    <w:rsid w:val="00510B36"/>
    <w:rsid w:val="00512784"/>
    <w:rsid w:val="00513924"/>
    <w:rsid w:val="00515767"/>
    <w:rsid w:val="0051619C"/>
    <w:rsid w:val="005161E6"/>
    <w:rsid w:val="005176DF"/>
    <w:rsid w:val="00517DFD"/>
    <w:rsid w:val="00520036"/>
    <w:rsid w:val="00520255"/>
    <w:rsid w:val="00521332"/>
    <w:rsid w:val="005216C1"/>
    <w:rsid w:val="005216CE"/>
    <w:rsid w:val="00521867"/>
    <w:rsid w:val="00521E61"/>
    <w:rsid w:val="00522AA3"/>
    <w:rsid w:val="00522D7A"/>
    <w:rsid w:val="00522FCA"/>
    <w:rsid w:val="00523A43"/>
    <w:rsid w:val="005245E7"/>
    <w:rsid w:val="00526368"/>
    <w:rsid w:val="005308C9"/>
    <w:rsid w:val="0053092F"/>
    <w:rsid w:val="00531744"/>
    <w:rsid w:val="005331AE"/>
    <w:rsid w:val="00533A95"/>
    <w:rsid w:val="00533F98"/>
    <w:rsid w:val="00537631"/>
    <w:rsid w:val="00537A38"/>
    <w:rsid w:val="00537BDE"/>
    <w:rsid w:val="005406B6"/>
    <w:rsid w:val="00540E40"/>
    <w:rsid w:val="00541622"/>
    <w:rsid w:val="00543332"/>
    <w:rsid w:val="00543353"/>
    <w:rsid w:val="0054337F"/>
    <w:rsid w:val="00543AD3"/>
    <w:rsid w:val="00543D6E"/>
    <w:rsid w:val="00543F57"/>
    <w:rsid w:val="00544381"/>
    <w:rsid w:val="00544D93"/>
    <w:rsid w:val="0054517A"/>
    <w:rsid w:val="00545D6A"/>
    <w:rsid w:val="005460AB"/>
    <w:rsid w:val="00546667"/>
    <w:rsid w:val="00546BE3"/>
    <w:rsid w:val="005471EE"/>
    <w:rsid w:val="00550961"/>
    <w:rsid w:val="0055135A"/>
    <w:rsid w:val="0055209D"/>
    <w:rsid w:val="00552394"/>
    <w:rsid w:val="00552541"/>
    <w:rsid w:val="0055299D"/>
    <w:rsid w:val="005529CB"/>
    <w:rsid w:val="00552E52"/>
    <w:rsid w:val="005543C1"/>
    <w:rsid w:val="0055458A"/>
    <w:rsid w:val="0055589D"/>
    <w:rsid w:val="005570A7"/>
    <w:rsid w:val="00557AC1"/>
    <w:rsid w:val="005612BE"/>
    <w:rsid w:val="00561B39"/>
    <w:rsid w:val="005623CC"/>
    <w:rsid w:val="005634D8"/>
    <w:rsid w:val="00563571"/>
    <w:rsid w:val="005639DB"/>
    <w:rsid w:val="0056405A"/>
    <w:rsid w:val="005644A6"/>
    <w:rsid w:val="00566D4B"/>
    <w:rsid w:val="005675BE"/>
    <w:rsid w:val="00567DAF"/>
    <w:rsid w:val="00570BDF"/>
    <w:rsid w:val="00571422"/>
    <w:rsid w:val="005717EA"/>
    <w:rsid w:val="00571CDE"/>
    <w:rsid w:val="00571F7D"/>
    <w:rsid w:val="00572170"/>
    <w:rsid w:val="0057394B"/>
    <w:rsid w:val="0057595D"/>
    <w:rsid w:val="005762EE"/>
    <w:rsid w:val="00576D14"/>
    <w:rsid w:val="005775DA"/>
    <w:rsid w:val="00577904"/>
    <w:rsid w:val="0058019C"/>
    <w:rsid w:val="00580412"/>
    <w:rsid w:val="00581500"/>
    <w:rsid w:val="00581E1F"/>
    <w:rsid w:val="005844E9"/>
    <w:rsid w:val="00586633"/>
    <w:rsid w:val="005879DA"/>
    <w:rsid w:val="00587B6D"/>
    <w:rsid w:val="00590444"/>
    <w:rsid w:val="0059192A"/>
    <w:rsid w:val="00591A0C"/>
    <w:rsid w:val="00592918"/>
    <w:rsid w:val="00592F57"/>
    <w:rsid w:val="005931B6"/>
    <w:rsid w:val="005953AE"/>
    <w:rsid w:val="00595BB4"/>
    <w:rsid w:val="00595EC7"/>
    <w:rsid w:val="0059673E"/>
    <w:rsid w:val="00596B88"/>
    <w:rsid w:val="00597728"/>
    <w:rsid w:val="00597940"/>
    <w:rsid w:val="005A017E"/>
    <w:rsid w:val="005A0458"/>
    <w:rsid w:val="005A14F3"/>
    <w:rsid w:val="005A2A4A"/>
    <w:rsid w:val="005A2DE1"/>
    <w:rsid w:val="005A3B52"/>
    <w:rsid w:val="005A3FF7"/>
    <w:rsid w:val="005A4153"/>
    <w:rsid w:val="005A6457"/>
    <w:rsid w:val="005A7A20"/>
    <w:rsid w:val="005A7F9C"/>
    <w:rsid w:val="005B0143"/>
    <w:rsid w:val="005B16F0"/>
    <w:rsid w:val="005B31B2"/>
    <w:rsid w:val="005B3415"/>
    <w:rsid w:val="005B3E51"/>
    <w:rsid w:val="005B40CC"/>
    <w:rsid w:val="005B4E27"/>
    <w:rsid w:val="005B4F8E"/>
    <w:rsid w:val="005B69BE"/>
    <w:rsid w:val="005B7CAE"/>
    <w:rsid w:val="005C0C2D"/>
    <w:rsid w:val="005C144A"/>
    <w:rsid w:val="005C14F9"/>
    <w:rsid w:val="005C3C33"/>
    <w:rsid w:val="005C4A97"/>
    <w:rsid w:val="005C5862"/>
    <w:rsid w:val="005C5B5D"/>
    <w:rsid w:val="005C753D"/>
    <w:rsid w:val="005C7EB1"/>
    <w:rsid w:val="005C7F24"/>
    <w:rsid w:val="005C7FE9"/>
    <w:rsid w:val="005D062D"/>
    <w:rsid w:val="005D1AB3"/>
    <w:rsid w:val="005D4E7D"/>
    <w:rsid w:val="005D6ADC"/>
    <w:rsid w:val="005D6C21"/>
    <w:rsid w:val="005D7A2F"/>
    <w:rsid w:val="005E0C40"/>
    <w:rsid w:val="005E1CD7"/>
    <w:rsid w:val="005E2590"/>
    <w:rsid w:val="005E2FA5"/>
    <w:rsid w:val="005E6E8B"/>
    <w:rsid w:val="005E6F4D"/>
    <w:rsid w:val="005F01FF"/>
    <w:rsid w:val="005F02E8"/>
    <w:rsid w:val="005F0AEE"/>
    <w:rsid w:val="005F2347"/>
    <w:rsid w:val="005F332F"/>
    <w:rsid w:val="005F3A80"/>
    <w:rsid w:val="005F3CC9"/>
    <w:rsid w:val="005F3FCB"/>
    <w:rsid w:val="005F4B4B"/>
    <w:rsid w:val="005F4E9D"/>
    <w:rsid w:val="005F5D1B"/>
    <w:rsid w:val="005F6612"/>
    <w:rsid w:val="00600159"/>
    <w:rsid w:val="00601860"/>
    <w:rsid w:val="0060187D"/>
    <w:rsid w:val="0060202F"/>
    <w:rsid w:val="00602062"/>
    <w:rsid w:val="006026AD"/>
    <w:rsid w:val="00604607"/>
    <w:rsid w:val="006065CB"/>
    <w:rsid w:val="006075F1"/>
    <w:rsid w:val="00607763"/>
    <w:rsid w:val="00611238"/>
    <w:rsid w:val="00611CC9"/>
    <w:rsid w:val="006135CC"/>
    <w:rsid w:val="00613940"/>
    <w:rsid w:val="00614C49"/>
    <w:rsid w:val="006153B3"/>
    <w:rsid w:val="00616765"/>
    <w:rsid w:val="00616967"/>
    <w:rsid w:val="00621047"/>
    <w:rsid w:val="00621BC7"/>
    <w:rsid w:val="00621BE6"/>
    <w:rsid w:val="006221D6"/>
    <w:rsid w:val="006222B5"/>
    <w:rsid w:val="00622CB3"/>
    <w:rsid w:val="006237C6"/>
    <w:rsid w:val="00624633"/>
    <w:rsid w:val="00624CB6"/>
    <w:rsid w:val="00625705"/>
    <w:rsid w:val="00625D9F"/>
    <w:rsid w:val="00626EC2"/>
    <w:rsid w:val="00627802"/>
    <w:rsid w:val="00627F10"/>
    <w:rsid w:val="0063008B"/>
    <w:rsid w:val="0063028B"/>
    <w:rsid w:val="006304E7"/>
    <w:rsid w:val="00630A80"/>
    <w:rsid w:val="00630B49"/>
    <w:rsid w:val="006315AC"/>
    <w:rsid w:val="00631644"/>
    <w:rsid w:val="00631720"/>
    <w:rsid w:val="00632849"/>
    <w:rsid w:val="00635F45"/>
    <w:rsid w:val="00636290"/>
    <w:rsid w:val="00636F95"/>
    <w:rsid w:val="00637164"/>
    <w:rsid w:val="00637D3F"/>
    <w:rsid w:val="00637E5B"/>
    <w:rsid w:val="0064023B"/>
    <w:rsid w:val="00640919"/>
    <w:rsid w:val="00640B22"/>
    <w:rsid w:val="00642397"/>
    <w:rsid w:val="00643146"/>
    <w:rsid w:val="0064336C"/>
    <w:rsid w:val="0064385C"/>
    <w:rsid w:val="00643F77"/>
    <w:rsid w:val="00645897"/>
    <w:rsid w:val="006458B6"/>
    <w:rsid w:val="00645BD7"/>
    <w:rsid w:val="00646B55"/>
    <w:rsid w:val="00647111"/>
    <w:rsid w:val="00647C66"/>
    <w:rsid w:val="00653FDA"/>
    <w:rsid w:val="00654AC6"/>
    <w:rsid w:val="00654CC5"/>
    <w:rsid w:val="00654D1D"/>
    <w:rsid w:val="00654FB6"/>
    <w:rsid w:val="00656E7C"/>
    <w:rsid w:val="006606B8"/>
    <w:rsid w:val="00660A57"/>
    <w:rsid w:val="00660F4F"/>
    <w:rsid w:val="006619B6"/>
    <w:rsid w:val="00665D5C"/>
    <w:rsid w:val="00665FB0"/>
    <w:rsid w:val="006664FA"/>
    <w:rsid w:val="00667FDF"/>
    <w:rsid w:val="006701A4"/>
    <w:rsid w:val="00670972"/>
    <w:rsid w:val="00670AB2"/>
    <w:rsid w:val="006714D4"/>
    <w:rsid w:val="00672EDE"/>
    <w:rsid w:val="00675285"/>
    <w:rsid w:val="0067568E"/>
    <w:rsid w:val="00675F27"/>
    <w:rsid w:val="0067612E"/>
    <w:rsid w:val="006765D8"/>
    <w:rsid w:val="00677ABC"/>
    <w:rsid w:val="00677E4D"/>
    <w:rsid w:val="006804CD"/>
    <w:rsid w:val="00682076"/>
    <w:rsid w:val="00683D60"/>
    <w:rsid w:val="00685DA5"/>
    <w:rsid w:val="00686F16"/>
    <w:rsid w:val="00687520"/>
    <w:rsid w:val="006900B3"/>
    <w:rsid w:val="0069011F"/>
    <w:rsid w:val="006904D0"/>
    <w:rsid w:val="00690700"/>
    <w:rsid w:val="0069154E"/>
    <w:rsid w:val="00692112"/>
    <w:rsid w:val="006922B2"/>
    <w:rsid w:val="00692F30"/>
    <w:rsid w:val="006936F9"/>
    <w:rsid w:val="00693D0C"/>
    <w:rsid w:val="00694D2D"/>
    <w:rsid w:val="00695F34"/>
    <w:rsid w:val="006A00C6"/>
    <w:rsid w:val="006A2148"/>
    <w:rsid w:val="006A24A1"/>
    <w:rsid w:val="006A27ED"/>
    <w:rsid w:val="006A29C7"/>
    <w:rsid w:val="006A5FC8"/>
    <w:rsid w:val="006A6143"/>
    <w:rsid w:val="006A7053"/>
    <w:rsid w:val="006A7C74"/>
    <w:rsid w:val="006A7D99"/>
    <w:rsid w:val="006B0066"/>
    <w:rsid w:val="006B04C3"/>
    <w:rsid w:val="006B185B"/>
    <w:rsid w:val="006B19DC"/>
    <w:rsid w:val="006B2B15"/>
    <w:rsid w:val="006B37CF"/>
    <w:rsid w:val="006B6072"/>
    <w:rsid w:val="006C0AC4"/>
    <w:rsid w:val="006C1843"/>
    <w:rsid w:val="006C1C56"/>
    <w:rsid w:val="006C2200"/>
    <w:rsid w:val="006C263F"/>
    <w:rsid w:val="006C3949"/>
    <w:rsid w:val="006C4D97"/>
    <w:rsid w:val="006C5495"/>
    <w:rsid w:val="006C552F"/>
    <w:rsid w:val="006C588E"/>
    <w:rsid w:val="006C6657"/>
    <w:rsid w:val="006C6B01"/>
    <w:rsid w:val="006C6D9F"/>
    <w:rsid w:val="006D049E"/>
    <w:rsid w:val="006D58B3"/>
    <w:rsid w:val="006D5C47"/>
    <w:rsid w:val="006D6EA7"/>
    <w:rsid w:val="006D71B0"/>
    <w:rsid w:val="006D76A7"/>
    <w:rsid w:val="006E0CFD"/>
    <w:rsid w:val="006E0E81"/>
    <w:rsid w:val="006E14CC"/>
    <w:rsid w:val="006E25C7"/>
    <w:rsid w:val="006E2842"/>
    <w:rsid w:val="006E289A"/>
    <w:rsid w:val="006E2D7A"/>
    <w:rsid w:val="006E3C42"/>
    <w:rsid w:val="006E46F6"/>
    <w:rsid w:val="006E4C10"/>
    <w:rsid w:val="006E6882"/>
    <w:rsid w:val="006E6F49"/>
    <w:rsid w:val="006E75C3"/>
    <w:rsid w:val="006E7E18"/>
    <w:rsid w:val="006F01FB"/>
    <w:rsid w:val="006F0BCF"/>
    <w:rsid w:val="006F0F0E"/>
    <w:rsid w:val="006F1A86"/>
    <w:rsid w:val="006F1BA8"/>
    <w:rsid w:val="006F1EC1"/>
    <w:rsid w:val="006F1FDD"/>
    <w:rsid w:val="006F2A11"/>
    <w:rsid w:val="006F3DC4"/>
    <w:rsid w:val="006F40AF"/>
    <w:rsid w:val="006F44A3"/>
    <w:rsid w:val="006F5F94"/>
    <w:rsid w:val="006F64E1"/>
    <w:rsid w:val="006F6C67"/>
    <w:rsid w:val="006F713D"/>
    <w:rsid w:val="006F7241"/>
    <w:rsid w:val="006F75F7"/>
    <w:rsid w:val="00700ADA"/>
    <w:rsid w:val="00701CA2"/>
    <w:rsid w:val="007026EB"/>
    <w:rsid w:val="00704991"/>
    <w:rsid w:val="00704F72"/>
    <w:rsid w:val="007055DB"/>
    <w:rsid w:val="007061FF"/>
    <w:rsid w:val="00706423"/>
    <w:rsid w:val="00706F9B"/>
    <w:rsid w:val="00713627"/>
    <w:rsid w:val="007136F7"/>
    <w:rsid w:val="00713912"/>
    <w:rsid w:val="00714CDC"/>
    <w:rsid w:val="00714F09"/>
    <w:rsid w:val="00715E87"/>
    <w:rsid w:val="00717731"/>
    <w:rsid w:val="007178CE"/>
    <w:rsid w:val="00717B10"/>
    <w:rsid w:val="00721230"/>
    <w:rsid w:val="00721D86"/>
    <w:rsid w:val="0072207C"/>
    <w:rsid w:val="007238A9"/>
    <w:rsid w:val="0072408F"/>
    <w:rsid w:val="00724737"/>
    <w:rsid w:val="00731E59"/>
    <w:rsid w:val="00733DFF"/>
    <w:rsid w:val="0073455F"/>
    <w:rsid w:val="00734831"/>
    <w:rsid w:val="00735293"/>
    <w:rsid w:val="00736032"/>
    <w:rsid w:val="00736684"/>
    <w:rsid w:val="00736D9C"/>
    <w:rsid w:val="007372FA"/>
    <w:rsid w:val="00737884"/>
    <w:rsid w:val="0074014A"/>
    <w:rsid w:val="00741D49"/>
    <w:rsid w:val="007421EC"/>
    <w:rsid w:val="00742955"/>
    <w:rsid w:val="007449FD"/>
    <w:rsid w:val="00744A2A"/>
    <w:rsid w:val="00744A5A"/>
    <w:rsid w:val="00745733"/>
    <w:rsid w:val="00746C72"/>
    <w:rsid w:val="0074785B"/>
    <w:rsid w:val="007509F2"/>
    <w:rsid w:val="00750E1F"/>
    <w:rsid w:val="0075135D"/>
    <w:rsid w:val="00752773"/>
    <w:rsid w:val="0075645F"/>
    <w:rsid w:val="007570D5"/>
    <w:rsid w:val="00757445"/>
    <w:rsid w:val="00762950"/>
    <w:rsid w:val="00763531"/>
    <w:rsid w:val="00763D9A"/>
    <w:rsid w:val="00765D4B"/>
    <w:rsid w:val="0076636B"/>
    <w:rsid w:val="00766415"/>
    <w:rsid w:val="0076710D"/>
    <w:rsid w:val="00770EF1"/>
    <w:rsid w:val="00771263"/>
    <w:rsid w:val="0077422B"/>
    <w:rsid w:val="007747AC"/>
    <w:rsid w:val="00774AE9"/>
    <w:rsid w:val="00775A03"/>
    <w:rsid w:val="007776CC"/>
    <w:rsid w:val="00780887"/>
    <w:rsid w:val="00780C1C"/>
    <w:rsid w:val="007822E2"/>
    <w:rsid w:val="007834E3"/>
    <w:rsid w:val="00784EBA"/>
    <w:rsid w:val="0078501A"/>
    <w:rsid w:val="007873CE"/>
    <w:rsid w:val="007904C6"/>
    <w:rsid w:val="007907CB"/>
    <w:rsid w:val="00790B88"/>
    <w:rsid w:val="00791D95"/>
    <w:rsid w:val="00792AB8"/>
    <w:rsid w:val="00793D0D"/>
    <w:rsid w:val="00796415"/>
    <w:rsid w:val="0079708F"/>
    <w:rsid w:val="00797DD0"/>
    <w:rsid w:val="007A0946"/>
    <w:rsid w:val="007A0E96"/>
    <w:rsid w:val="007A0EC8"/>
    <w:rsid w:val="007A1F46"/>
    <w:rsid w:val="007A2579"/>
    <w:rsid w:val="007A30A3"/>
    <w:rsid w:val="007A3987"/>
    <w:rsid w:val="007A4737"/>
    <w:rsid w:val="007A63F1"/>
    <w:rsid w:val="007B0ADD"/>
    <w:rsid w:val="007B0D65"/>
    <w:rsid w:val="007B1531"/>
    <w:rsid w:val="007B1A61"/>
    <w:rsid w:val="007B1B9E"/>
    <w:rsid w:val="007B2666"/>
    <w:rsid w:val="007B30B7"/>
    <w:rsid w:val="007B31AF"/>
    <w:rsid w:val="007B3E5C"/>
    <w:rsid w:val="007B4742"/>
    <w:rsid w:val="007B4750"/>
    <w:rsid w:val="007B5F89"/>
    <w:rsid w:val="007B65ED"/>
    <w:rsid w:val="007B7697"/>
    <w:rsid w:val="007C138B"/>
    <w:rsid w:val="007C27E1"/>
    <w:rsid w:val="007C290D"/>
    <w:rsid w:val="007C292C"/>
    <w:rsid w:val="007C3511"/>
    <w:rsid w:val="007C420B"/>
    <w:rsid w:val="007C77CC"/>
    <w:rsid w:val="007D4C34"/>
    <w:rsid w:val="007D70DA"/>
    <w:rsid w:val="007D785E"/>
    <w:rsid w:val="007E03D7"/>
    <w:rsid w:val="007E1DDB"/>
    <w:rsid w:val="007E3524"/>
    <w:rsid w:val="007E3FD3"/>
    <w:rsid w:val="007E4849"/>
    <w:rsid w:val="007E4A39"/>
    <w:rsid w:val="007E62BB"/>
    <w:rsid w:val="007E7644"/>
    <w:rsid w:val="007F10AC"/>
    <w:rsid w:val="007F1149"/>
    <w:rsid w:val="007F1394"/>
    <w:rsid w:val="007F1A3C"/>
    <w:rsid w:val="007F1F71"/>
    <w:rsid w:val="007F328F"/>
    <w:rsid w:val="007F4D34"/>
    <w:rsid w:val="007F5066"/>
    <w:rsid w:val="007F51A6"/>
    <w:rsid w:val="007F537D"/>
    <w:rsid w:val="007F6482"/>
    <w:rsid w:val="00800192"/>
    <w:rsid w:val="00801D24"/>
    <w:rsid w:val="00801D5C"/>
    <w:rsid w:val="0080362E"/>
    <w:rsid w:val="00804621"/>
    <w:rsid w:val="008050AF"/>
    <w:rsid w:val="00805535"/>
    <w:rsid w:val="008069F5"/>
    <w:rsid w:val="00806B1B"/>
    <w:rsid w:val="0080784B"/>
    <w:rsid w:val="00810E98"/>
    <w:rsid w:val="008131D3"/>
    <w:rsid w:val="00813AAC"/>
    <w:rsid w:val="0081403A"/>
    <w:rsid w:val="0081453A"/>
    <w:rsid w:val="00814B8C"/>
    <w:rsid w:val="00815A0E"/>
    <w:rsid w:val="00817096"/>
    <w:rsid w:val="00817BBE"/>
    <w:rsid w:val="00820680"/>
    <w:rsid w:val="00820B99"/>
    <w:rsid w:val="00820F54"/>
    <w:rsid w:val="008219EB"/>
    <w:rsid w:val="00822D32"/>
    <w:rsid w:val="00822DC3"/>
    <w:rsid w:val="0082572D"/>
    <w:rsid w:val="0082616D"/>
    <w:rsid w:val="00827450"/>
    <w:rsid w:val="00830090"/>
    <w:rsid w:val="0083141C"/>
    <w:rsid w:val="008321D1"/>
    <w:rsid w:val="008334EE"/>
    <w:rsid w:val="008337F3"/>
    <w:rsid w:val="00833E62"/>
    <w:rsid w:val="00834358"/>
    <w:rsid w:val="008344B7"/>
    <w:rsid w:val="00834A9D"/>
    <w:rsid w:val="008352B6"/>
    <w:rsid w:val="00835EC1"/>
    <w:rsid w:val="008370C8"/>
    <w:rsid w:val="00837727"/>
    <w:rsid w:val="00837F95"/>
    <w:rsid w:val="00840454"/>
    <w:rsid w:val="00841177"/>
    <w:rsid w:val="0084146B"/>
    <w:rsid w:val="00841532"/>
    <w:rsid w:val="00842F87"/>
    <w:rsid w:val="00843D79"/>
    <w:rsid w:val="00844103"/>
    <w:rsid w:val="00844B95"/>
    <w:rsid w:val="00845362"/>
    <w:rsid w:val="0084649F"/>
    <w:rsid w:val="0085012C"/>
    <w:rsid w:val="008508F3"/>
    <w:rsid w:val="00853154"/>
    <w:rsid w:val="00854B81"/>
    <w:rsid w:val="00854C8A"/>
    <w:rsid w:val="00856769"/>
    <w:rsid w:val="008573BD"/>
    <w:rsid w:val="00857B7B"/>
    <w:rsid w:val="00861299"/>
    <w:rsid w:val="008613DB"/>
    <w:rsid w:val="008626F7"/>
    <w:rsid w:val="00863388"/>
    <w:rsid w:val="00863BFF"/>
    <w:rsid w:val="00864B4F"/>
    <w:rsid w:val="00865E4D"/>
    <w:rsid w:val="00867FD6"/>
    <w:rsid w:val="008704AD"/>
    <w:rsid w:val="008707C0"/>
    <w:rsid w:val="00870E63"/>
    <w:rsid w:val="0087133F"/>
    <w:rsid w:val="0087143E"/>
    <w:rsid w:val="0087286B"/>
    <w:rsid w:val="008729A9"/>
    <w:rsid w:val="00872BCC"/>
    <w:rsid w:val="008739CC"/>
    <w:rsid w:val="00877AD8"/>
    <w:rsid w:val="00877CD3"/>
    <w:rsid w:val="00880523"/>
    <w:rsid w:val="00880F9D"/>
    <w:rsid w:val="00881957"/>
    <w:rsid w:val="00882841"/>
    <w:rsid w:val="00882EFF"/>
    <w:rsid w:val="008831B1"/>
    <w:rsid w:val="008837DF"/>
    <w:rsid w:val="008844D4"/>
    <w:rsid w:val="00884700"/>
    <w:rsid w:val="00884F19"/>
    <w:rsid w:val="00884F83"/>
    <w:rsid w:val="008851B2"/>
    <w:rsid w:val="00885239"/>
    <w:rsid w:val="0088693D"/>
    <w:rsid w:val="008869AA"/>
    <w:rsid w:val="00886A73"/>
    <w:rsid w:val="00886B50"/>
    <w:rsid w:val="00886EC5"/>
    <w:rsid w:val="0088783D"/>
    <w:rsid w:val="00890C41"/>
    <w:rsid w:val="00890F54"/>
    <w:rsid w:val="00891118"/>
    <w:rsid w:val="00891D82"/>
    <w:rsid w:val="0089287F"/>
    <w:rsid w:val="0089344E"/>
    <w:rsid w:val="00893687"/>
    <w:rsid w:val="00893845"/>
    <w:rsid w:val="00893FAD"/>
    <w:rsid w:val="00895491"/>
    <w:rsid w:val="0089675E"/>
    <w:rsid w:val="0089798D"/>
    <w:rsid w:val="00897B6E"/>
    <w:rsid w:val="00897DC4"/>
    <w:rsid w:val="008A0059"/>
    <w:rsid w:val="008A18F4"/>
    <w:rsid w:val="008A1CB7"/>
    <w:rsid w:val="008A257F"/>
    <w:rsid w:val="008A2B7C"/>
    <w:rsid w:val="008A345D"/>
    <w:rsid w:val="008A3B48"/>
    <w:rsid w:val="008A3C44"/>
    <w:rsid w:val="008A4BB8"/>
    <w:rsid w:val="008A4D8F"/>
    <w:rsid w:val="008A4DD0"/>
    <w:rsid w:val="008B0FE9"/>
    <w:rsid w:val="008B12C8"/>
    <w:rsid w:val="008B20F0"/>
    <w:rsid w:val="008B260C"/>
    <w:rsid w:val="008B2D26"/>
    <w:rsid w:val="008B41A6"/>
    <w:rsid w:val="008B48E3"/>
    <w:rsid w:val="008B7164"/>
    <w:rsid w:val="008C0CA4"/>
    <w:rsid w:val="008C1A0C"/>
    <w:rsid w:val="008C2273"/>
    <w:rsid w:val="008C2C8C"/>
    <w:rsid w:val="008C35C5"/>
    <w:rsid w:val="008C4290"/>
    <w:rsid w:val="008C5698"/>
    <w:rsid w:val="008C5CFC"/>
    <w:rsid w:val="008C6926"/>
    <w:rsid w:val="008C76ED"/>
    <w:rsid w:val="008D1D53"/>
    <w:rsid w:val="008D1FA7"/>
    <w:rsid w:val="008D2CDA"/>
    <w:rsid w:val="008D3A86"/>
    <w:rsid w:val="008D3AD6"/>
    <w:rsid w:val="008D4662"/>
    <w:rsid w:val="008D5399"/>
    <w:rsid w:val="008D5F49"/>
    <w:rsid w:val="008D6413"/>
    <w:rsid w:val="008D6A39"/>
    <w:rsid w:val="008D716D"/>
    <w:rsid w:val="008D7649"/>
    <w:rsid w:val="008E08D8"/>
    <w:rsid w:val="008E2246"/>
    <w:rsid w:val="008E27EE"/>
    <w:rsid w:val="008E288D"/>
    <w:rsid w:val="008E290B"/>
    <w:rsid w:val="008E2AC9"/>
    <w:rsid w:val="008E3362"/>
    <w:rsid w:val="008E371C"/>
    <w:rsid w:val="008E5FBD"/>
    <w:rsid w:val="008E76F9"/>
    <w:rsid w:val="008F17C9"/>
    <w:rsid w:val="008F2563"/>
    <w:rsid w:val="008F2C76"/>
    <w:rsid w:val="008F39E0"/>
    <w:rsid w:val="008F4FDF"/>
    <w:rsid w:val="008F7AA8"/>
    <w:rsid w:val="008F7B66"/>
    <w:rsid w:val="008F7D3C"/>
    <w:rsid w:val="008F7D77"/>
    <w:rsid w:val="00900ADA"/>
    <w:rsid w:val="00901C47"/>
    <w:rsid w:val="00902A4A"/>
    <w:rsid w:val="009041AB"/>
    <w:rsid w:val="00904BD9"/>
    <w:rsid w:val="009066E7"/>
    <w:rsid w:val="00910147"/>
    <w:rsid w:val="009106D3"/>
    <w:rsid w:val="00911E58"/>
    <w:rsid w:val="009134E7"/>
    <w:rsid w:val="00914723"/>
    <w:rsid w:val="00916C03"/>
    <w:rsid w:val="00916E99"/>
    <w:rsid w:val="00917794"/>
    <w:rsid w:val="00917F3F"/>
    <w:rsid w:val="0092094D"/>
    <w:rsid w:val="009213DF"/>
    <w:rsid w:val="00923299"/>
    <w:rsid w:val="00923A42"/>
    <w:rsid w:val="009250C3"/>
    <w:rsid w:val="00925474"/>
    <w:rsid w:val="00925F7A"/>
    <w:rsid w:val="009266B3"/>
    <w:rsid w:val="0092670B"/>
    <w:rsid w:val="00927E24"/>
    <w:rsid w:val="00927F15"/>
    <w:rsid w:val="009334A9"/>
    <w:rsid w:val="00934394"/>
    <w:rsid w:val="00936689"/>
    <w:rsid w:val="00936986"/>
    <w:rsid w:val="00937A74"/>
    <w:rsid w:val="009419DC"/>
    <w:rsid w:val="00941F9E"/>
    <w:rsid w:val="00944B4B"/>
    <w:rsid w:val="00944F5B"/>
    <w:rsid w:val="00945829"/>
    <w:rsid w:val="00946E03"/>
    <w:rsid w:val="00947226"/>
    <w:rsid w:val="00950088"/>
    <w:rsid w:val="00950172"/>
    <w:rsid w:val="009506D2"/>
    <w:rsid w:val="00950722"/>
    <w:rsid w:val="009511AA"/>
    <w:rsid w:val="009515AE"/>
    <w:rsid w:val="00951F86"/>
    <w:rsid w:val="00952642"/>
    <w:rsid w:val="00952D41"/>
    <w:rsid w:val="00953B02"/>
    <w:rsid w:val="009551D2"/>
    <w:rsid w:val="00955BBA"/>
    <w:rsid w:val="0095633E"/>
    <w:rsid w:val="009566E0"/>
    <w:rsid w:val="00956F4C"/>
    <w:rsid w:val="0095718B"/>
    <w:rsid w:val="0095770A"/>
    <w:rsid w:val="0096014D"/>
    <w:rsid w:val="00961429"/>
    <w:rsid w:val="0096234E"/>
    <w:rsid w:val="00962606"/>
    <w:rsid w:val="009662DD"/>
    <w:rsid w:val="0096766D"/>
    <w:rsid w:val="00967727"/>
    <w:rsid w:val="00967C61"/>
    <w:rsid w:val="009706F7"/>
    <w:rsid w:val="009731BF"/>
    <w:rsid w:val="0097367B"/>
    <w:rsid w:val="00973C5B"/>
    <w:rsid w:val="00973EB9"/>
    <w:rsid w:val="0097488C"/>
    <w:rsid w:val="00975066"/>
    <w:rsid w:val="009751D8"/>
    <w:rsid w:val="00975631"/>
    <w:rsid w:val="00977376"/>
    <w:rsid w:val="00977684"/>
    <w:rsid w:val="00977A81"/>
    <w:rsid w:val="00980CD4"/>
    <w:rsid w:val="00981761"/>
    <w:rsid w:val="0098218E"/>
    <w:rsid w:val="0098238F"/>
    <w:rsid w:val="00983535"/>
    <w:rsid w:val="00983BBD"/>
    <w:rsid w:val="0098651A"/>
    <w:rsid w:val="009867E7"/>
    <w:rsid w:val="00986A7B"/>
    <w:rsid w:val="0098751A"/>
    <w:rsid w:val="00987B77"/>
    <w:rsid w:val="00990DCE"/>
    <w:rsid w:val="00990F1D"/>
    <w:rsid w:val="009917E3"/>
    <w:rsid w:val="009928C9"/>
    <w:rsid w:val="009963A7"/>
    <w:rsid w:val="00996A2E"/>
    <w:rsid w:val="00996FBF"/>
    <w:rsid w:val="00997666"/>
    <w:rsid w:val="009A13CA"/>
    <w:rsid w:val="009A2A29"/>
    <w:rsid w:val="009A2EF7"/>
    <w:rsid w:val="009A317B"/>
    <w:rsid w:val="009A4529"/>
    <w:rsid w:val="009A7D75"/>
    <w:rsid w:val="009B02BC"/>
    <w:rsid w:val="009B10AA"/>
    <w:rsid w:val="009B17D5"/>
    <w:rsid w:val="009B1924"/>
    <w:rsid w:val="009B1BF9"/>
    <w:rsid w:val="009B1F72"/>
    <w:rsid w:val="009B2AC5"/>
    <w:rsid w:val="009B3CE0"/>
    <w:rsid w:val="009B4522"/>
    <w:rsid w:val="009B488C"/>
    <w:rsid w:val="009B6FE1"/>
    <w:rsid w:val="009C0500"/>
    <w:rsid w:val="009C0E03"/>
    <w:rsid w:val="009C30E1"/>
    <w:rsid w:val="009C321A"/>
    <w:rsid w:val="009C3AE3"/>
    <w:rsid w:val="009C48EF"/>
    <w:rsid w:val="009C4952"/>
    <w:rsid w:val="009C5167"/>
    <w:rsid w:val="009C5F9A"/>
    <w:rsid w:val="009C7419"/>
    <w:rsid w:val="009C7A86"/>
    <w:rsid w:val="009D0033"/>
    <w:rsid w:val="009D032B"/>
    <w:rsid w:val="009D186F"/>
    <w:rsid w:val="009D1D3C"/>
    <w:rsid w:val="009D2106"/>
    <w:rsid w:val="009D2E3B"/>
    <w:rsid w:val="009D2F60"/>
    <w:rsid w:val="009D38D2"/>
    <w:rsid w:val="009D3C41"/>
    <w:rsid w:val="009D3E4B"/>
    <w:rsid w:val="009D3FA0"/>
    <w:rsid w:val="009D4FDB"/>
    <w:rsid w:val="009D5882"/>
    <w:rsid w:val="009D593F"/>
    <w:rsid w:val="009D66D0"/>
    <w:rsid w:val="009D79B9"/>
    <w:rsid w:val="009E074F"/>
    <w:rsid w:val="009E0750"/>
    <w:rsid w:val="009E2757"/>
    <w:rsid w:val="009E3460"/>
    <w:rsid w:val="009E352A"/>
    <w:rsid w:val="009E3C4A"/>
    <w:rsid w:val="009E594A"/>
    <w:rsid w:val="009E5B47"/>
    <w:rsid w:val="009E62A2"/>
    <w:rsid w:val="009E6D6E"/>
    <w:rsid w:val="009E6E9E"/>
    <w:rsid w:val="009E7663"/>
    <w:rsid w:val="009F0915"/>
    <w:rsid w:val="009F0F6F"/>
    <w:rsid w:val="009F23F5"/>
    <w:rsid w:val="009F2ABA"/>
    <w:rsid w:val="009F2CBD"/>
    <w:rsid w:val="009F2D4A"/>
    <w:rsid w:val="009F3D1D"/>
    <w:rsid w:val="009F44CF"/>
    <w:rsid w:val="009F4A9F"/>
    <w:rsid w:val="009F4D54"/>
    <w:rsid w:val="009F5695"/>
    <w:rsid w:val="009F627D"/>
    <w:rsid w:val="009F675A"/>
    <w:rsid w:val="00A0005C"/>
    <w:rsid w:val="00A00527"/>
    <w:rsid w:val="00A0068C"/>
    <w:rsid w:val="00A0408B"/>
    <w:rsid w:val="00A051FD"/>
    <w:rsid w:val="00A05ED1"/>
    <w:rsid w:val="00A06769"/>
    <w:rsid w:val="00A070C0"/>
    <w:rsid w:val="00A073D0"/>
    <w:rsid w:val="00A11037"/>
    <w:rsid w:val="00A13DD2"/>
    <w:rsid w:val="00A147BD"/>
    <w:rsid w:val="00A14A31"/>
    <w:rsid w:val="00A15192"/>
    <w:rsid w:val="00A152F7"/>
    <w:rsid w:val="00A169B4"/>
    <w:rsid w:val="00A16E84"/>
    <w:rsid w:val="00A205FF"/>
    <w:rsid w:val="00A206EB"/>
    <w:rsid w:val="00A20CCE"/>
    <w:rsid w:val="00A222A1"/>
    <w:rsid w:val="00A22C77"/>
    <w:rsid w:val="00A23085"/>
    <w:rsid w:val="00A23263"/>
    <w:rsid w:val="00A2397A"/>
    <w:rsid w:val="00A23A63"/>
    <w:rsid w:val="00A23AEA"/>
    <w:rsid w:val="00A249FD"/>
    <w:rsid w:val="00A265B0"/>
    <w:rsid w:val="00A2697A"/>
    <w:rsid w:val="00A27833"/>
    <w:rsid w:val="00A27A31"/>
    <w:rsid w:val="00A31384"/>
    <w:rsid w:val="00A326EA"/>
    <w:rsid w:val="00A32D44"/>
    <w:rsid w:val="00A3381F"/>
    <w:rsid w:val="00A33A38"/>
    <w:rsid w:val="00A357AB"/>
    <w:rsid w:val="00A36A6B"/>
    <w:rsid w:val="00A40B45"/>
    <w:rsid w:val="00A40E6C"/>
    <w:rsid w:val="00A40F16"/>
    <w:rsid w:val="00A419D6"/>
    <w:rsid w:val="00A41A62"/>
    <w:rsid w:val="00A4261F"/>
    <w:rsid w:val="00A430FB"/>
    <w:rsid w:val="00A4469B"/>
    <w:rsid w:val="00A44746"/>
    <w:rsid w:val="00A45659"/>
    <w:rsid w:val="00A45A7C"/>
    <w:rsid w:val="00A45EEF"/>
    <w:rsid w:val="00A46CB3"/>
    <w:rsid w:val="00A47E84"/>
    <w:rsid w:val="00A50984"/>
    <w:rsid w:val="00A51D44"/>
    <w:rsid w:val="00A52152"/>
    <w:rsid w:val="00A52FF4"/>
    <w:rsid w:val="00A53942"/>
    <w:rsid w:val="00A54302"/>
    <w:rsid w:val="00A54F94"/>
    <w:rsid w:val="00A56A76"/>
    <w:rsid w:val="00A56F07"/>
    <w:rsid w:val="00A56F7A"/>
    <w:rsid w:val="00A576BB"/>
    <w:rsid w:val="00A57DAD"/>
    <w:rsid w:val="00A57DB2"/>
    <w:rsid w:val="00A60AC0"/>
    <w:rsid w:val="00A60AFB"/>
    <w:rsid w:val="00A60FA2"/>
    <w:rsid w:val="00A61128"/>
    <w:rsid w:val="00A617B2"/>
    <w:rsid w:val="00A619C1"/>
    <w:rsid w:val="00A61A4C"/>
    <w:rsid w:val="00A61C44"/>
    <w:rsid w:val="00A62066"/>
    <w:rsid w:val="00A62725"/>
    <w:rsid w:val="00A6357F"/>
    <w:rsid w:val="00A63BCA"/>
    <w:rsid w:val="00A64050"/>
    <w:rsid w:val="00A6429C"/>
    <w:rsid w:val="00A64A97"/>
    <w:rsid w:val="00A64B99"/>
    <w:rsid w:val="00A64CA9"/>
    <w:rsid w:val="00A64D4E"/>
    <w:rsid w:val="00A65421"/>
    <w:rsid w:val="00A65639"/>
    <w:rsid w:val="00A66DE1"/>
    <w:rsid w:val="00A7095A"/>
    <w:rsid w:val="00A73A03"/>
    <w:rsid w:val="00A750DF"/>
    <w:rsid w:val="00A75D4A"/>
    <w:rsid w:val="00A75E4B"/>
    <w:rsid w:val="00A75FF5"/>
    <w:rsid w:val="00A774C7"/>
    <w:rsid w:val="00A77C07"/>
    <w:rsid w:val="00A8093C"/>
    <w:rsid w:val="00A80DF9"/>
    <w:rsid w:val="00A81BD7"/>
    <w:rsid w:val="00A8245C"/>
    <w:rsid w:val="00A82C72"/>
    <w:rsid w:val="00A83AD8"/>
    <w:rsid w:val="00A83B9D"/>
    <w:rsid w:val="00A84B34"/>
    <w:rsid w:val="00A8642E"/>
    <w:rsid w:val="00A86F71"/>
    <w:rsid w:val="00A8758A"/>
    <w:rsid w:val="00A87FFC"/>
    <w:rsid w:val="00A92BA0"/>
    <w:rsid w:val="00A944D5"/>
    <w:rsid w:val="00A94ADA"/>
    <w:rsid w:val="00A952C4"/>
    <w:rsid w:val="00A95F9A"/>
    <w:rsid w:val="00AA1BBB"/>
    <w:rsid w:val="00AA2199"/>
    <w:rsid w:val="00AA229C"/>
    <w:rsid w:val="00AA2C6A"/>
    <w:rsid w:val="00AA300C"/>
    <w:rsid w:val="00AA30D0"/>
    <w:rsid w:val="00AA321E"/>
    <w:rsid w:val="00AA699C"/>
    <w:rsid w:val="00AB15D5"/>
    <w:rsid w:val="00AB37DB"/>
    <w:rsid w:val="00AB3A54"/>
    <w:rsid w:val="00AB3AC2"/>
    <w:rsid w:val="00AB3B90"/>
    <w:rsid w:val="00AB48FC"/>
    <w:rsid w:val="00AB49A0"/>
    <w:rsid w:val="00AB6582"/>
    <w:rsid w:val="00AB6F00"/>
    <w:rsid w:val="00AB7741"/>
    <w:rsid w:val="00AB7D12"/>
    <w:rsid w:val="00AC1823"/>
    <w:rsid w:val="00AC233D"/>
    <w:rsid w:val="00AC26E0"/>
    <w:rsid w:val="00AC2F12"/>
    <w:rsid w:val="00AC2F59"/>
    <w:rsid w:val="00AC3BF9"/>
    <w:rsid w:val="00AC3CD0"/>
    <w:rsid w:val="00AC3FA4"/>
    <w:rsid w:val="00AC3FA9"/>
    <w:rsid w:val="00AC485E"/>
    <w:rsid w:val="00AC4994"/>
    <w:rsid w:val="00AD0286"/>
    <w:rsid w:val="00AD1283"/>
    <w:rsid w:val="00AD153F"/>
    <w:rsid w:val="00AD1DF3"/>
    <w:rsid w:val="00AD23F3"/>
    <w:rsid w:val="00AD3051"/>
    <w:rsid w:val="00AD38E1"/>
    <w:rsid w:val="00AD4C0B"/>
    <w:rsid w:val="00AD4EC8"/>
    <w:rsid w:val="00AD59D5"/>
    <w:rsid w:val="00AD5D44"/>
    <w:rsid w:val="00AD5DB2"/>
    <w:rsid w:val="00AD65CA"/>
    <w:rsid w:val="00AD76B5"/>
    <w:rsid w:val="00AE0592"/>
    <w:rsid w:val="00AE0993"/>
    <w:rsid w:val="00AE0B77"/>
    <w:rsid w:val="00AE1CA5"/>
    <w:rsid w:val="00AE1E9D"/>
    <w:rsid w:val="00AE2FF3"/>
    <w:rsid w:val="00AE3A07"/>
    <w:rsid w:val="00AE43D5"/>
    <w:rsid w:val="00AE4635"/>
    <w:rsid w:val="00AE5F44"/>
    <w:rsid w:val="00AF0513"/>
    <w:rsid w:val="00AF0528"/>
    <w:rsid w:val="00AF2A7A"/>
    <w:rsid w:val="00AF33AF"/>
    <w:rsid w:val="00AF3A2B"/>
    <w:rsid w:val="00AF3BEB"/>
    <w:rsid w:val="00AF57D6"/>
    <w:rsid w:val="00B0056A"/>
    <w:rsid w:val="00B02BC0"/>
    <w:rsid w:val="00B03647"/>
    <w:rsid w:val="00B04009"/>
    <w:rsid w:val="00B0453F"/>
    <w:rsid w:val="00B04BCB"/>
    <w:rsid w:val="00B076A2"/>
    <w:rsid w:val="00B07D5C"/>
    <w:rsid w:val="00B10C18"/>
    <w:rsid w:val="00B112A9"/>
    <w:rsid w:val="00B12537"/>
    <w:rsid w:val="00B13D72"/>
    <w:rsid w:val="00B147C4"/>
    <w:rsid w:val="00B14848"/>
    <w:rsid w:val="00B14DF0"/>
    <w:rsid w:val="00B15EF9"/>
    <w:rsid w:val="00B167AF"/>
    <w:rsid w:val="00B17005"/>
    <w:rsid w:val="00B1746C"/>
    <w:rsid w:val="00B205CB"/>
    <w:rsid w:val="00B22602"/>
    <w:rsid w:val="00B22F57"/>
    <w:rsid w:val="00B22FA5"/>
    <w:rsid w:val="00B242E7"/>
    <w:rsid w:val="00B244AB"/>
    <w:rsid w:val="00B24BEC"/>
    <w:rsid w:val="00B26A82"/>
    <w:rsid w:val="00B2768A"/>
    <w:rsid w:val="00B27F67"/>
    <w:rsid w:val="00B30268"/>
    <w:rsid w:val="00B30BF4"/>
    <w:rsid w:val="00B31D1F"/>
    <w:rsid w:val="00B33644"/>
    <w:rsid w:val="00B35ADA"/>
    <w:rsid w:val="00B3691B"/>
    <w:rsid w:val="00B37541"/>
    <w:rsid w:val="00B41325"/>
    <w:rsid w:val="00B41CA5"/>
    <w:rsid w:val="00B42545"/>
    <w:rsid w:val="00B42B43"/>
    <w:rsid w:val="00B4364B"/>
    <w:rsid w:val="00B44899"/>
    <w:rsid w:val="00B449EE"/>
    <w:rsid w:val="00B44E4A"/>
    <w:rsid w:val="00B454A8"/>
    <w:rsid w:val="00B46505"/>
    <w:rsid w:val="00B46DBD"/>
    <w:rsid w:val="00B47118"/>
    <w:rsid w:val="00B51B04"/>
    <w:rsid w:val="00B52E25"/>
    <w:rsid w:val="00B5305F"/>
    <w:rsid w:val="00B53093"/>
    <w:rsid w:val="00B533C3"/>
    <w:rsid w:val="00B53C0E"/>
    <w:rsid w:val="00B53F1D"/>
    <w:rsid w:val="00B54E83"/>
    <w:rsid w:val="00B552F5"/>
    <w:rsid w:val="00B5557B"/>
    <w:rsid w:val="00B55F0E"/>
    <w:rsid w:val="00B56052"/>
    <w:rsid w:val="00B56D2C"/>
    <w:rsid w:val="00B57689"/>
    <w:rsid w:val="00B57874"/>
    <w:rsid w:val="00B61AC2"/>
    <w:rsid w:val="00B6208E"/>
    <w:rsid w:val="00B62672"/>
    <w:rsid w:val="00B64207"/>
    <w:rsid w:val="00B64BDC"/>
    <w:rsid w:val="00B652E9"/>
    <w:rsid w:val="00B66638"/>
    <w:rsid w:val="00B66F74"/>
    <w:rsid w:val="00B674D0"/>
    <w:rsid w:val="00B719B8"/>
    <w:rsid w:val="00B71C75"/>
    <w:rsid w:val="00B727BB"/>
    <w:rsid w:val="00B727C1"/>
    <w:rsid w:val="00B72C66"/>
    <w:rsid w:val="00B72EF5"/>
    <w:rsid w:val="00B73450"/>
    <w:rsid w:val="00B7397E"/>
    <w:rsid w:val="00B756BC"/>
    <w:rsid w:val="00B75B78"/>
    <w:rsid w:val="00B77179"/>
    <w:rsid w:val="00B779DA"/>
    <w:rsid w:val="00B77D37"/>
    <w:rsid w:val="00B77F09"/>
    <w:rsid w:val="00B80770"/>
    <w:rsid w:val="00B8171B"/>
    <w:rsid w:val="00B81BD4"/>
    <w:rsid w:val="00B8273E"/>
    <w:rsid w:val="00B831E7"/>
    <w:rsid w:val="00B83AEA"/>
    <w:rsid w:val="00B84B5F"/>
    <w:rsid w:val="00B84C8B"/>
    <w:rsid w:val="00B8510E"/>
    <w:rsid w:val="00B86526"/>
    <w:rsid w:val="00B8757B"/>
    <w:rsid w:val="00B87677"/>
    <w:rsid w:val="00B87E2C"/>
    <w:rsid w:val="00B90AEE"/>
    <w:rsid w:val="00B91788"/>
    <w:rsid w:val="00B926D3"/>
    <w:rsid w:val="00B92E45"/>
    <w:rsid w:val="00B931B4"/>
    <w:rsid w:val="00B9392A"/>
    <w:rsid w:val="00B948FB"/>
    <w:rsid w:val="00B95155"/>
    <w:rsid w:val="00B951AB"/>
    <w:rsid w:val="00B957E3"/>
    <w:rsid w:val="00B96991"/>
    <w:rsid w:val="00B976AB"/>
    <w:rsid w:val="00B97952"/>
    <w:rsid w:val="00B97A20"/>
    <w:rsid w:val="00B97FA7"/>
    <w:rsid w:val="00BA01C9"/>
    <w:rsid w:val="00BA166F"/>
    <w:rsid w:val="00BA23A0"/>
    <w:rsid w:val="00BA24F9"/>
    <w:rsid w:val="00BA371D"/>
    <w:rsid w:val="00BA3864"/>
    <w:rsid w:val="00BA40F3"/>
    <w:rsid w:val="00BA5B76"/>
    <w:rsid w:val="00BA649A"/>
    <w:rsid w:val="00BA7B4A"/>
    <w:rsid w:val="00BA7BBC"/>
    <w:rsid w:val="00BB3533"/>
    <w:rsid w:val="00BB3609"/>
    <w:rsid w:val="00BB4424"/>
    <w:rsid w:val="00BB569F"/>
    <w:rsid w:val="00BB7E98"/>
    <w:rsid w:val="00BC1437"/>
    <w:rsid w:val="00BC21EC"/>
    <w:rsid w:val="00BC33E8"/>
    <w:rsid w:val="00BC7FDA"/>
    <w:rsid w:val="00BD0200"/>
    <w:rsid w:val="00BD0887"/>
    <w:rsid w:val="00BD09EC"/>
    <w:rsid w:val="00BD109A"/>
    <w:rsid w:val="00BD1323"/>
    <w:rsid w:val="00BD2A15"/>
    <w:rsid w:val="00BD3D62"/>
    <w:rsid w:val="00BD64C2"/>
    <w:rsid w:val="00BE022F"/>
    <w:rsid w:val="00BE242C"/>
    <w:rsid w:val="00BE24AD"/>
    <w:rsid w:val="00BE295F"/>
    <w:rsid w:val="00BE3781"/>
    <w:rsid w:val="00BE42B4"/>
    <w:rsid w:val="00BE58A2"/>
    <w:rsid w:val="00BE5EA3"/>
    <w:rsid w:val="00BE7570"/>
    <w:rsid w:val="00BF00E0"/>
    <w:rsid w:val="00BF02C2"/>
    <w:rsid w:val="00BF08EC"/>
    <w:rsid w:val="00BF0DE4"/>
    <w:rsid w:val="00BF386D"/>
    <w:rsid w:val="00BF3F1F"/>
    <w:rsid w:val="00BF50D3"/>
    <w:rsid w:val="00BF59B2"/>
    <w:rsid w:val="00BF60F5"/>
    <w:rsid w:val="00C02863"/>
    <w:rsid w:val="00C0559F"/>
    <w:rsid w:val="00C055A7"/>
    <w:rsid w:val="00C05700"/>
    <w:rsid w:val="00C05AD1"/>
    <w:rsid w:val="00C05C02"/>
    <w:rsid w:val="00C06AC0"/>
    <w:rsid w:val="00C110F6"/>
    <w:rsid w:val="00C1507F"/>
    <w:rsid w:val="00C15F55"/>
    <w:rsid w:val="00C20DB3"/>
    <w:rsid w:val="00C2223E"/>
    <w:rsid w:val="00C22DA7"/>
    <w:rsid w:val="00C23C3F"/>
    <w:rsid w:val="00C24F52"/>
    <w:rsid w:val="00C2653C"/>
    <w:rsid w:val="00C305CB"/>
    <w:rsid w:val="00C3115C"/>
    <w:rsid w:val="00C31D0C"/>
    <w:rsid w:val="00C322D9"/>
    <w:rsid w:val="00C35D0E"/>
    <w:rsid w:val="00C401E9"/>
    <w:rsid w:val="00C40309"/>
    <w:rsid w:val="00C406FB"/>
    <w:rsid w:val="00C40EF2"/>
    <w:rsid w:val="00C4158F"/>
    <w:rsid w:val="00C41733"/>
    <w:rsid w:val="00C41983"/>
    <w:rsid w:val="00C41A2B"/>
    <w:rsid w:val="00C42DEC"/>
    <w:rsid w:val="00C44212"/>
    <w:rsid w:val="00C4578B"/>
    <w:rsid w:val="00C47C7B"/>
    <w:rsid w:val="00C47CE5"/>
    <w:rsid w:val="00C47D02"/>
    <w:rsid w:val="00C50A9D"/>
    <w:rsid w:val="00C5220E"/>
    <w:rsid w:val="00C53490"/>
    <w:rsid w:val="00C5588E"/>
    <w:rsid w:val="00C55DF9"/>
    <w:rsid w:val="00C55E1A"/>
    <w:rsid w:val="00C57515"/>
    <w:rsid w:val="00C57A4F"/>
    <w:rsid w:val="00C57CB2"/>
    <w:rsid w:val="00C612A3"/>
    <w:rsid w:val="00C62329"/>
    <w:rsid w:val="00C6330B"/>
    <w:rsid w:val="00C63760"/>
    <w:rsid w:val="00C63C54"/>
    <w:rsid w:val="00C658A3"/>
    <w:rsid w:val="00C66293"/>
    <w:rsid w:val="00C662BA"/>
    <w:rsid w:val="00C67AD5"/>
    <w:rsid w:val="00C70094"/>
    <w:rsid w:val="00C7047C"/>
    <w:rsid w:val="00C708BC"/>
    <w:rsid w:val="00C70CDF"/>
    <w:rsid w:val="00C71E9C"/>
    <w:rsid w:val="00C739E3"/>
    <w:rsid w:val="00C74010"/>
    <w:rsid w:val="00C774D1"/>
    <w:rsid w:val="00C77AC5"/>
    <w:rsid w:val="00C81370"/>
    <w:rsid w:val="00C823CD"/>
    <w:rsid w:val="00C8357E"/>
    <w:rsid w:val="00C858D2"/>
    <w:rsid w:val="00C85BC7"/>
    <w:rsid w:val="00C85CD0"/>
    <w:rsid w:val="00C87117"/>
    <w:rsid w:val="00C92D88"/>
    <w:rsid w:val="00C9348B"/>
    <w:rsid w:val="00C9414A"/>
    <w:rsid w:val="00C94954"/>
    <w:rsid w:val="00C949DB"/>
    <w:rsid w:val="00C95BEB"/>
    <w:rsid w:val="00C96525"/>
    <w:rsid w:val="00C96E3F"/>
    <w:rsid w:val="00C97619"/>
    <w:rsid w:val="00C978B7"/>
    <w:rsid w:val="00C97F94"/>
    <w:rsid w:val="00C97FB0"/>
    <w:rsid w:val="00CA0167"/>
    <w:rsid w:val="00CA1C9F"/>
    <w:rsid w:val="00CA2B72"/>
    <w:rsid w:val="00CA2FC5"/>
    <w:rsid w:val="00CA33FB"/>
    <w:rsid w:val="00CA4E79"/>
    <w:rsid w:val="00CA53A0"/>
    <w:rsid w:val="00CA5A24"/>
    <w:rsid w:val="00CB061B"/>
    <w:rsid w:val="00CB0733"/>
    <w:rsid w:val="00CB137E"/>
    <w:rsid w:val="00CB1861"/>
    <w:rsid w:val="00CB18AE"/>
    <w:rsid w:val="00CB19E0"/>
    <w:rsid w:val="00CB325E"/>
    <w:rsid w:val="00CB35FE"/>
    <w:rsid w:val="00CB41F2"/>
    <w:rsid w:val="00CB41FF"/>
    <w:rsid w:val="00CB4690"/>
    <w:rsid w:val="00CB492C"/>
    <w:rsid w:val="00CB5255"/>
    <w:rsid w:val="00CB7288"/>
    <w:rsid w:val="00CC0B88"/>
    <w:rsid w:val="00CC2A00"/>
    <w:rsid w:val="00CC2A93"/>
    <w:rsid w:val="00CC45DB"/>
    <w:rsid w:val="00CC4EB9"/>
    <w:rsid w:val="00CC50B0"/>
    <w:rsid w:val="00CC6FE6"/>
    <w:rsid w:val="00CC7A71"/>
    <w:rsid w:val="00CD09A9"/>
    <w:rsid w:val="00CD0F35"/>
    <w:rsid w:val="00CD12A5"/>
    <w:rsid w:val="00CD2735"/>
    <w:rsid w:val="00CD3232"/>
    <w:rsid w:val="00CD35E7"/>
    <w:rsid w:val="00CD3F0E"/>
    <w:rsid w:val="00CD3F91"/>
    <w:rsid w:val="00CD4179"/>
    <w:rsid w:val="00CD4C1C"/>
    <w:rsid w:val="00CD5B3E"/>
    <w:rsid w:val="00CD6F7C"/>
    <w:rsid w:val="00CD7963"/>
    <w:rsid w:val="00CE0061"/>
    <w:rsid w:val="00CE0ACD"/>
    <w:rsid w:val="00CE1203"/>
    <w:rsid w:val="00CE1B06"/>
    <w:rsid w:val="00CE25AD"/>
    <w:rsid w:val="00CE4804"/>
    <w:rsid w:val="00CE51C9"/>
    <w:rsid w:val="00CE64DE"/>
    <w:rsid w:val="00CE71D4"/>
    <w:rsid w:val="00CF151D"/>
    <w:rsid w:val="00CF184B"/>
    <w:rsid w:val="00CF395D"/>
    <w:rsid w:val="00CF415D"/>
    <w:rsid w:val="00CF466F"/>
    <w:rsid w:val="00CF47D5"/>
    <w:rsid w:val="00CF4E67"/>
    <w:rsid w:val="00CF5896"/>
    <w:rsid w:val="00CF5F61"/>
    <w:rsid w:val="00CF700C"/>
    <w:rsid w:val="00D005FF"/>
    <w:rsid w:val="00D008C6"/>
    <w:rsid w:val="00D01716"/>
    <w:rsid w:val="00D04159"/>
    <w:rsid w:val="00D04DFD"/>
    <w:rsid w:val="00D05063"/>
    <w:rsid w:val="00D0551E"/>
    <w:rsid w:val="00D0638A"/>
    <w:rsid w:val="00D07C66"/>
    <w:rsid w:val="00D07EBE"/>
    <w:rsid w:val="00D10F1F"/>
    <w:rsid w:val="00D12EF1"/>
    <w:rsid w:val="00D1598B"/>
    <w:rsid w:val="00D15CFB"/>
    <w:rsid w:val="00D15D87"/>
    <w:rsid w:val="00D16E7D"/>
    <w:rsid w:val="00D17F7E"/>
    <w:rsid w:val="00D20DF1"/>
    <w:rsid w:val="00D21B24"/>
    <w:rsid w:val="00D2421F"/>
    <w:rsid w:val="00D249B8"/>
    <w:rsid w:val="00D24D19"/>
    <w:rsid w:val="00D2520F"/>
    <w:rsid w:val="00D25957"/>
    <w:rsid w:val="00D26773"/>
    <w:rsid w:val="00D277FC"/>
    <w:rsid w:val="00D30B83"/>
    <w:rsid w:val="00D316E0"/>
    <w:rsid w:val="00D32112"/>
    <w:rsid w:val="00D347B0"/>
    <w:rsid w:val="00D34B1B"/>
    <w:rsid w:val="00D35B75"/>
    <w:rsid w:val="00D36CD9"/>
    <w:rsid w:val="00D36F4C"/>
    <w:rsid w:val="00D41C7A"/>
    <w:rsid w:val="00D43944"/>
    <w:rsid w:val="00D44158"/>
    <w:rsid w:val="00D44670"/>
    <w:rsid w:val="00D44918"/>
    <w:rsid w:val="00D44D41"/>
    <w:rsid w:val="00D45727"/>
    <w:rsid w:val="00D46006"/>
    <w:rsid w:val="00D47CC1"/>
    <w:rsid w:val="00D507F1"/>
    <w:rsid w:val="00D513E2"/>
    <w:rsid w:val="00D52830"/>
    <w:rsid w:val="00D528B2"/>
    <w:rsid w:val="00D55E04"/>
    <w:rsid w:val="00D5653B"/>
    <w:rsid w:val="00D56605"/>
    <w:rsid w:val="00D56786"/>
    <w:rsid w:val="00D567BE"/>
    <w:rsid w:val="00D571B0"/>
    <w:rsid w:val="00D613EA"/>
    <w:rsid w:val="00D61BFB"/>
    <w:rsid w:val="00D633C2"/>
    <w:rsid w:val="00D64938"/>
    <w:rsid w:val="00D659E5"/>
    <w:rsid w:val="00D66FAC"/>
    <w:rsid w:val="00D674ED"/>
    <w:rsid w:val="00D73A34"/>
    <w:rsid w:val="00D76109"/>
    <w:rsid w:val="00D76B5A"/>
    <w:rsid w:val="00D81D6A"/>
    <w:rsid w:val="00D82562"/>
    <w:rsid w:val="00D829F9"/>
    <w:rsid w:val="00D82BC8"/>
    <w:rsid w:val="00D831A1"/>
    <w:rsid w:val="00D83650"/>
    <w:rsid w:val="00D83BD1"/>
    <w:rsid w:val="00D85294"/>
    <w:rsid w:val="00D85FCC"/>
    <w:rsid w:val="00D863FF"/>
    <w:rsid w:val="00D86898"/>
    <w:rsid w:val="00D86F87"/>
    <w:rsid w:val="00D871B5"/>
    <w:rsid w:val="00D87E73"/>
    <w:rsid w:val="00D909DE"/>
    <w:rsid w:val="00D90FAD"/>
    <w:rsid w:val="00D9114A"/>
    <w:rsid w:val="00D9130A"/>
    <w:rsid w:val="00D92C8D"/>
    <w:rsid w:val="00D932C6"/>
    <w:rsid w:val="00D93B72"/>
    <w:rsid w:val="00D93C0C"/>
    <w:rsid w:val="00D93F47"/>
    <w:rsid w:val="00D94D67"/>
    <w:rsid w:val="00D94FC8"/>
    <w:rsid w:val="00D95004"/>
    <w:rsid w:val="00D952AF"/>
    <w:rsid w:val="00D95A35"/>
    <w:rsid w:val="00D95EBA"/>
    <w:rsid w:val="00D9637C"/>
    <w:rsid w:val="00D968BF"/>
    <w:rsid w:val="00D97132"/>
    <w:rsid w:val="00D975D8"/>
    <w:rsid w:val="00D97812"/>
    <w:rsid w:val="00D97916"/>
    <w:rsid w:val="00D979E9"/>
    <w:rsid w:val="00D97F12"/>
    <w:rsid w:val="00DA05DE"/>
    <w:rsid w:val="00DA0B68"/>
    <w:rsid w:val="00DA1B6E"/>
    <w:rsid w:val="00DA3835"/>
    <w:rsid w:val="00DA3E2B"/>
    <w:rsid w:val="00DA4BBA"/>
    <w:rsid w:val="00DA6184"/>
    <w:rsid w:val="00DA6D96"/>
    <w:rsid w:val="00DA6DDB"/>
    <w:rsid w:val="00DB0BD3"/>
    <w:rsid w:val="00DB12EB"/>
    <w:rsid w:val="00DB27EB"/>
    <w:rsid w:val="00DB3719"/>
    <w:rsid w:val="00DB42EF"/>
    <w:rsid w:val="00DB48AA"/>
    <w:rsid w:val="00DB514D"/>
    <w:rsid w:val="00DB57DA"/>
    <w:rsid w:val="00DB5A98"/>
    <w:rsid w:val="00DB67AC"/>
    <w:rsid w:val="00DB67FC"/>
    <w:rsid w:val="00DB6B5A"/>
    <w:rsid w:val="00DB7633"/>
    <w:rsid w:val="00DC0755"/>
    <w:rsid w:val="00DC10B6"/>
    <w:rsid w:val="00DC28A3"/>
    <w:rsid w:val="00DC42A3"/>
    <w:rsid w:val="00DC49F7"/>
    <w:rsid w:val="00DC5BCA"/>
    <w:rsid w:val="00DC62A9"/>
    <w:rsid w:val="00DC7464"/>
    <w:rsid w:val="00DD01DF"/>
    <w:rsid w:val="00DD0DD8"/>
    <w:rsid w:val="00DD1DD8"/>
    <w:rsid w:val="00DD215D"/>
    <w:rsid w:val="00DD227E"/>
    <w:rsid w:val="00DD43A7"/>
    <w:rsid w:val="00DD642E"/>
    <w:rsid w:val="00DD66F2"/>
    <w:rsid w:val="00DD7B32"/>
    <w:rsid w:val="00DE0CBA"/>
    <w:rsid w:val="00DE1868"/>
    <w:rsid w:val="00DE3463"/>
    <w:rsid w:val="00DE4A4D"/>
    <w:rsid w:val="00DE720D"/>
    <w:rsid w:val="00DE7FF4"/>
    <w:rsid w:val="00DF0A00"/>
    <w:rsid w:val="00DF0ED2"/>
    <w:rsid w:val="00DF1234"/>
    <w:rsid w:val="00DF1E2E"/>
    <w:rsid w:val="00DF2083"/>
    <w:rsid w:val="00DF2B58"/>
    <w:rsid w:val="00DF54CC"/>
    <w:rsid w:val="00DF59D4"/>
    <w:rsid w:val="00DF60F4"/>
    <w:rsid w:val="00DF6C8E"/>
    <w:rsid w:val="00DF7C1E"/>
    <w:rsid w:val="00E011C9"/>
    <w:rsid w:val="00E0290E"/>
    <w:rsid w:val="00E02ACD"/>
    <w:rsid w:val="00E06354"/>
    <w:rsid w:val="00E109FE"/>
    <w:rsid w:val="00E111E4"/>
    <w:rsid w:val="00E120CB"/>
    <w:rsid w:val="00E12F53"/>
    <w:rsid w:val="00E13118"/>
    <w:rsid w:val="00E13F1F"/>
    <w:rsid w:val="00E14C4B"/>
    <w:rsid w:val="00E16B26"/>
    <w:rsid w:val="00E16DFA"/>
    <w:rsid w:val="00E16F9D"/>
    <w:rsid w:val="00E178CE"/>
    <w:rsid w:val="00E17C56"/>
    <w:rsid w:val="00E2091C"/>
    <w:rsid w:val="00E20F2C"/>
    <w:rsid w:val="00E21149"/>
    <w:rsid w:val="00E21567"/>
    <w:rsid w:val="00E21D49"/>
    <w:rsid w:val="00E22B30"/>
    <w:rsid w:val="00E248A8"/>
    <w:rsid w:val="00E25788"/>
    <w:rsid w:val="00E25BF6"/>
    <w:rsid w:val="00E27015"/>
    <w:rsid w:val="00E27DFF"/>
    <w:rsid w:val="00E27E81"/>
    <w:rsid w:val="00E30119"/>
    <w:rsid w:val="00E3022F"/>
    <w:rsid w:val="00E30ED9"/>
    <w:rsid w:val="00E320DF"/>
    <w:rsid w:val="00E341E4"/>
    <w:rsid w:val="00E342A7"/>
    <w:rsid w:val="00E35EAE"/>
    <w:rsid w:val="00E3626E"/>
    <w:rsid w:val="00E36785"/>
    <w:rsid w:val="00E415AD"/>
    <w:rsid w:val="00E422AD"/>
    <w:rsid w:val="00E42C29"/>
    <w:rsid w:val="00E45390"/>
    <w:rsid w:val="00E51BB7"/>
    <w:rsid w:val="00E53098"/>
    <w:rsid w:val="00E5369D"/>
    <w:rsid w:val="00E54012"/>
    <w:rsid w:val="00E56668"/>
    <w:rsid w:val="00E56708"/>
    <w:rsid w:val="00E6163C"/>
    <w:rsid w:val="00E62C15"/>
    <w:rsid w:val="00E64A44"/>
    <w:rsid w:val="00E654B5"/>
    <w:rsid w:val="00E65AA5"/>
    <w:rsid w:val="00E670FC"/>
    <w:rsid w:val="00E710AC"/>
    <w:rsid w:val="00E7166B"/>
    <w:rsid w:val="00E71FD8"/>
    <w:rsid w:val="00E727B4"/>
    <w:rsid w:val="00E7406D"/>
    <w:rsid w:val="00E7440B"/>
    <w:rsid w:val="00E775A0"/>
    <w:rsid w:val="00E778A8"/>
    <w:rsid w:val="00E80877"/>
    <w:rsid w:val="00E81C97"/>
    <w:rsid w:val="00E83949"/>
    <w:rsid w:val="00E8481D"/>
    <w:rsid w:val="00E85716"/>
    <w:rsid w:val="00E86986"/>
    <w:rsid w:val="00E86B7E"/>
    <w:rsid w:val="00E8716F"/>
    <w:rsid w:val="00E87A91"/>
    <w:rsid w:val="00E87E94"/>
    <w:rsid w:val="00E9028C"/>
    <w:rsid w:val="00E90A8F"/>
    <w:rsid w:val="00E90B8F"/>
    <w:rsid w:val="00E92031"/>
    <w:rsid w:val="00E92314"/>
    <w:rsid w:val="00E92938"/>
    <w:rsid w:val="00E929B5"/>
    <w:rsid w:val="00E92FFA"/>
    <w:rsid w:val="00E964DB"/>
    <w:rsid w:val="00E96A9E"/>
    <w:rsid w:val="00E978CB"/>
    <w:rsid w:val="00E97FD7"/>
    <w:rsid w:val="00EA0015"/>
    <w:rsid w:val="00EA10D2"/>
    <w:rsid w:val="00EA21E0"/>
    <w:rsid w:val="00EA4C1F"/>
    <w:rsid w:val="00EA7B15"/>
    <w:rsid w:val="00EB004B"/>
    <w:rsid w:val="00EB14C0"/>
    <w:rsid w:val="00EB1B7C"/>
    <w:rsid w:val="00EB285C"/>
    <w:rsid w:val="00EB2FB6"/>
    <w:rsid w:val="00EB3CD3"/>
    <w:rsid w:val="00EB4572"/>
    <w:rsid w:val="00EB497B"/>
    <w:rsid w:val="00EB4BDC"/>
    <w:rsid w:val="00EB4CBB"/>
    <w:rsid w:val="00EB4F18"/>
    <w:rsid w:val="00EB5CD9"/>
    <w:rsid w:val="00EB61B8"/>
    <w:rsid w:val="00EB67A0"/>
    <w:rsid w:val="00EB6B38"/>
    <w:rsid w:val="00EC0C85"/>
    <w:rsid w:val="00EC13A5"/>
    <w:rsid w:val="00EC2865"/>
    <w:rsid w:val="00EC32BD"/>
    <w:rsid w:val="00EC3605"/>
    <w:rsid w:val="00EC455D"/>
    <w:rsid w:val="00EC49DC"/>
    <w:rsid w:val="00EC535D"/>
    <w:rsid w:val="00EC66D4"/>
    <w:rsid w:val="00EC76AC"/>
    <w:rsid w:val="00ED009A"/>
    <w:rsid w:val="00ED02BA"/>
    <w:rsid w:val="00ED0AFF"/>
    <w:rsid w:val="00ED140A"/>
    <w:rsid w:val="00ED143E"/>
    <w:rsid w:val="00ED1510"/>
    <w:rsid w:val="00ED279D"/>
    <w:rsid w:val="00ED4E46"/>
    <w:rsid w:val="00ED4F61"/>
    <w:rsid w:val="00ED6D58"/>
    <w:rsid w:val="00ED7054"/>
    <w:rsid w:val="00ED73E0"/>
    <w:rsid w:val="00ED7A86"/>
    <w:rsid w:val="00EE0BCA"/>
    <w:rsid w:val="00EE17B3"/>
    <w:rsid w:val="00EE318F"/>
    <w:rsid w:val="00EE3BF6"/>
    <w:rsid w:val="00EE40F7"/>
    <w:rsid w:val="00EE5ED7"/>
    <w:rsid w:val="00EE5FBF"/>
    <w:rsid w:val="00EE69C9"/>
    <w:rsid w:val="00EE69D2"/>
    <w:rsid w:val="00EE7BBC"/>
    <w:rsid w:val="00EF0F45"/>
    <w:rsid w:val="00EF13D9"/>
    <w:rsid w:val="00EF1692"/>
    <w:rsid w:val="00EF5C51"/>
    <w:rsid w:val="00EF6469"/>
    <w:rsid w:val="00EF6EC4"/>
    <w:rsid w:val="00F01798"/>
    <w:rsid w:val="00F02227"/>
    <w:rsid w:val="00F02271"/>
    <w:rsid w:val="00F02D2C"/>
    <w:rsid w:val="00F05478"/>
    <w:rsid w:val="00F06271"/>
    <w:rsid w:val="00F069DF"/>
    <w:rsid w:val="00F06A03"/>
    <w:rsid w:val="00F070AF"/>
    <w:rsid w:val="00F10CDC"/>
    <w:rsid w:val="00F10F54"/>
    <w:rsid w:val="00F10FC6"/>
    <w:rsid w:val="00F11C1F"/>
    <w:rsid w:val="00F12098"/>
    <w:rsid w:val="00F131F3"/>
    <w:rsid w:val="00F139F0"/>
    <w:rsid w:val="00F13E21"/>
    <w:rsid w:val="00F14C81"/>
    <w:rsid w:val="00F154E0"/>
    <w:rsid w:val="00F17620"/>
    <w:rsid w:val="00F20005"/>
    <w:rsid w:val="00F21B52"/>
    <w:rsid w:val="00F2208E"/>
    <w:rsid w:val="00F22839"/>
    <w:rsid w:val="00F22D64"/>
    <w:rsid w:val="00F22D95"/>
    <w:rsid w:val="00F2320F"/>
    <w:rsid w:val="00F244E9"/>
    <w:rsid w:val="00F24F77"/>
    <w:rsid w:val="00F24FEB"/>
    <w:rsid w:val="00F25FBD"/>
    <w:rsid w:val="00F26779"/>
    <w:rsid w:val="00F267B3"/>
    <w:rsid w:val="00F30BB3"/>
    <w:rsid w:val="00F30E42"/>
    <w:rsid w:val="00F30F79"/>
    <w:rsid w:val="00F31C04"/>
    <w:rsid w:val="00F32CD8"/>
    <w:rsid w:val="00F34D7D"/>
    <w:rsid w:val="00F35F6D"/>
    <w:rsid w:val="00F36009"/>
    <w:rsid w:val="00F365EC"/>
    <w:rsid w:val="00F36DE8"/>
    <w:rsid w:val="00F37211"/>
    <w:rsid w:val="00F37AC8"/>
    <w:rsid w:val="00F422EF"/>
    <w:rsid w:val="00F42F22"/>
    <w:rsid w:val="00F43106"/>
    <w:rsid w:val="00F43B7E"/>
    <w:rsid w:val="00F43CDD"/>
    <w:rsid w:val="00F4542A"/>
    <w:rsid w:val="00F475D8"/>
    <w:rsid w:val="00F476BE"/>
    <w:rsid w:val="00F51BA5"/>
    <w:rsid w:val="00F51C75"/>
    <w:rsid w:val="00F52215"/>
    <w:rsid w:val="00F537EA"/>
    <w:rsid w:val="00F549DD"/>
    <w:rsid w:val="00F54BB7"/>
    <w:rsid w:val="00F54CA6"/>
    <w:rsid w:val="00F60975"/>
    <w:rsid w:val="00F60A8F"/>
    <w:rsid w:val="00F61CEC"/>
    <w:rsid w:val="00F6226C"/>
    <w:rsid w:val="00F62BBE"/>
    <w:rsid w:val="00F63052"/>
    <w:rsid w:val="00F63546"/>
    <w:rsid w:val="00F6427C"/>
    <w:rsid w:val="00F642C7"/>
    <w:rsid w:val="00F65685"/>
    <w:rsid w:val="00F66C60"/>
    <w:rsid w:val="00F67DF4"/>
    <w:rsid w:val="00F7076A"/>
    <w:rsid w:val="00F7126D"/>
    <w:rsid w:val="00F71B18"/>
    <w:rsid w:val="00F725E8"/>
    <w:rsid w:val="00F72895"/>
    <w:rsid w:val="00F77028"/>
    <w:rsid w:val="00F80D4F"/>
    <w:rsid w:val="00F81686"/>
    <w:rsid w:val="00F81C05"/>
    <w:rsid w:val="00F82999"/>
    <w:rsid w:val="00F839A2"/>
    <w:rsid w:val="00F84847"/>
    <w:rsid w:val="00F85F2D"/>
    <w:rsid w:val="00F869BC"/>
    <w:rsid w:val="00F91B4C"/>
    <w:rsid w:val="00F94403"/>
    <w:rsid w:val="00F94495"/>
    <w:rsid w:val="00F945A7"/>
    <w:rsid w:val="00F9486F"/>
    <w:rsid w:val="00F95166"/>
    <w:rsid w:val="00F969E4"/>
    <w:rsid w:val="00F979E2"/>
    <w:rsid w:val="00F97A29"/>
    <w:rsid w:val="00F97B83"/>
    <w:rsid w:val="00FA0045"/>
    <w:rsid w:val="00FA078E"/>
    <w:rsid w:val="00FA085A"/>
    <w:rsid w:val="00FA0CC7"/>
    <w:rsid w:val="00FA102D"/>
    <w:rsid w:val="00FA14E9"/>
    <w:rsid w:val="00FA2FE3"/>
    <w:rsid w:val="00FA3BB6"/>
    <w:rsid w:val="00FA3C61"/>
    <w:rsid w:val="00FA63E0"/>
    <w:rsid w:val="00FB1092"/>
    <w:rsid w:val="00FB15BA"/>
    <w:rsid w:val="00FB18C8"/>
    <w:rsid w:val="00FB18FB"/>
    <w:rsid w:val="00FB1BCD"/>
    <w:rsid w:val="00FB2233"/>
    <w:rsid w:val="00FB28E8"/>
    <w:rsid w:val="00FB5F7E"/>
    <w:rsid w:val="00FB671D"/>
    <w:rsid w:val="00FB75D6"/>
    <w:rsid w:val="00FB783D"/>
    <w:rsid w:val="00FC03D3"/>
    <w:rsid w:val="00FC1EFC"/>
    <w:rsid w:val="00FC2157"/>
    <w:rsid w:val="00FC2E0B"/>
    <w:rsid w:val="00FC3778"/>
    <w:rsid w:val="00FC3CC9"/>
    <w:rsid w:val="00FC4B87"/>
    <w:rsid w:val="00FC4C43"/>
    <w:rsid w:val="00FC7009"/>
    <w:rsid w:val="00FC7599"/>
    <w:rsid w:val="00FC7AC7"/>
    <w:rsid w:val="00FD0347"/>
    <w:rsid w:val="00FD0635"/>
    <w:rsid w:val="00FD08E1"/>
    <w:rsid w:val="00FD0C6C"/>
    <w:rsid w:val="00FD0E27"/>
    <w:rsid w:val="00FD0EF3"/>
    <w:rsid w:val="00FD18F9"/>
    <w:rsid w:val="00FD35F7"/>
    <w:rsid w:val="00FD5084"/>
    <w:rsid w:val="00FD5453"/>
    <w:rsid w:val="00FE09BF"/>
    <w:rsid w:val="00FE09FE"/>
    <w:rsid w:val="00FE2370"/>
    <w:rsid w:val="00FE3099"/>
    <w:rsid w:val="00FE30AA"/>
    <w:rsid w:val="00FE690B"/>
    <w:rsid w:val="00FE71C5"/>
    <w:rsid w:val="00FE7C05"/>
    <w:rsid w:val="00FF0A58"/>
    <w:rsid w:val="00FF1CD6"/>
    <w:rsid w:val="00FF3D6C"/>
    <w:rsid w:val="00FF405F"/>
    <w:rsid w:val="00FF546D"/>
    <w:rsid w:val="00FF5F98"/>
    <w:rsid w:val="00FF62E2"/>
    <w:rsid w:val="00FF6735"/>
    <w:rsid w:val="00FF7ED2"/>
    <w:rsid w:val="03C7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2AFC8"/>
  <w15:chartTrackingRefBased/>
  <w15:docId w15:val="{F990BFBC-4F89-5941-BA50-B8AC312E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0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755"/>
    <w:pPr>
      <w:tabs>
        <w:tab w:val="center" w:pos="4680"/>
        <w:tab w:val="right" w:pos="9360"/>
      </w:tabs>
    </w:pPr>
  </w:style>
  <w:style w:type="character" w:customStyle="1" w:styleId="HeaderChar">
    <w:name w:val="Header Char"/>
    <w:basedOn w:val="DefaultParagraphFont"/>
    <w:link w:val="Header"/>
    <w:uiPriority w:val="99"/>
    <w:rsid w:val="00DC0755"/>
  </w:style>
  <w:style w:type="character" w:styleId="PageNumber">
    <w:name w:val="page number"/>
    <w:basedOn w:val="DefaultParagraphFont"/>
    <w:uiPriority w:val="99"/>
    <w:semiHidden/>
    <w:unhideWhenUsed/>
    <w:rsid w:val="00DC0755"/>
  </w:style>
  <w:style w:type="paragraph" w:styleId="Footer">
    <w:name w:val="footer"/>
    <w:basedOn w:val="Normal"/>
    <w:link w:val="FooterChar"/>
    <w:uiPriority w:val="99"/>
    <w:unhideWhenUsed/>
    <w:rsid w:val="00DC0755"/>
    <w:pPr>
      <w:tabs>
        <w:tab w:val="center" w:pos="4680"/>
        <w:tab w:val="right" w:pos="9360"/>
      </w:tabs>
    </w:pPr>
  </w:style>
  <w:style w:type="character" w:customStyle="1" w:styleId="FooterChar">
    <w:name w:val="Footer Char"/>
    <w:basedOn w:val="DefaultParagraphFont"/>
    <w:link w:val="Footer"/>
    <w:uiPriority w:val="99"/>
    <w:rsid w:val="00DC0755"/>
  </w:style>
  <w:style w:type="character" w:styleId="CommentReference">
    <w:name w:val="annotation reference"/>
    <w:uiPriority w:val="99"/>
    <w:semiHidden/>
    <w:unhideWhenUsed/>
    <w:rsid w:val="007C3511"/>
    <w:rPr>
      <w:sz w:val="16"/>
      <w:szCs w:val="16"/>
    </w:rPr>
  </w:style>
  <w:style w:type="paragraph" w:styleId="CommentText">
    <w:name w:val="annotation text"/>
    <w:basedOn w:val="Normal"/>
    <w:link w:val="CommentTextChar"/>
    <w:uiPriority w:val="99"/>
    <w:unhideWhenUsed/>
    <w:rsid w:val="007C3511"/>
    <w:rPr>
      <w:sz w:val="20"/>
      <w:szCs w:val="20"/>
    </w:rPr>
  </w:style>
  <w:style w:type="character" w:customStyle="1" w:styleId="CommentTextChar">
    <w:name w:val="Comment Text Char"/>
    <w:link w:val="CommentText"/>
    <w:uiPriority w:val="99"/>
    <w:rsid w:val="007C3511"/>
    <w:rPr>
      <w:sz w:val="20"/>
      <w:szCs w:val="20"/>
    </w:rPr>
  </w:style>
  <w:style w:type="paragraph" w:styleId="CommentSubject">
    <w:name w:val="annotation subject"/>
    <w:basedOn w:val="CommentText"/>
    <w:next w:val="CommentText"/>
    <w:link w:val="CommentSubjectChar"/>
    <w:uiPriority w:val="99"/>
    <w:semiHidden/>
    <w:unhideWhenUsed/>
    <w:rsid w:val="007C3511"/>
    <w:rPr>
      <w:b/>
      <w:bCs/>
    </w:rPr>
  </w:style>
  <w:style w:type="character" w:customStyle="1" w:styleId="CommentSubjectChar">
    <w:name w:val="Comment Subject Char"/>
    <w:link w:val="CommentSubject"/>
    <w:uiPriority w:val="99"/>
    <w:semiHidden/>
    <w:rsid w:val="007C3511"/>
    <w:rPr>
      <w:b/>
      <w:bCs/>
      <w:sz w:val="20"/>
      <w:szCs w:val="20"/>
    </w:rPr>
  </w:style>
  <w:style w:type="paragraph" w:styleId="BalloonText">
    <w:name w:val="Balloon Text"/>
    <w:basedOn w:val="Normal"/>
    <w:link w:val="BalloonTextChar"/>
    <w:uiPriority w:val="99"/>
    <w:semiHidden/>
    <w:unhideWhenUsed/>
    <w:rsid w:val="007C3511"/>
    <w:rPr>
      <w:sz w:val="18"/>
      <w:szCs w:val="18"/>
    </w:rPr>
  </w:style>
  <w:style w:type="character" w:customStyle="1" w:styleId="BalloonTextChar">
    <w:name w:val="Balloon Text Char"/>
    <w:link w:val="BalloonText"/>
    <w:uiPriority w:val="99"/>
    <w:semiHidden/>
    <w:rsid w:val="007C3511"/>
    <w:rPr>
      <w:rFonts w:ascii="Times New Roman" w:hAnsi="Times New Roman" w:cs="Times New Roman"/>
      <w:sz w:val="18"/>
      <w:szCs w:val="18"/>
    </w:rPr>
  </w:style>
  <w:style w:type="table" w:styleId="TableGrid">
    <w:name w:val="Table Grid"/>
    <w:basedOn w:val="TableNormal"/>
    <w:uiPriority w:val="39"/>
    <w:rsid w:val="00A5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6FB"/>
    <w:pPr>
      <w:ind w:left="720"/>
      <w:contextualSpacing/>
    </w:pPr>
  </w:style>
  <w:style w:type="paragraph" w:styleId="NoSpacing">
    <w:name w:val="No Spacing"/>
    <w:uiPriority w:val="1"/>
    <w:qFormat/>
    <w:rsid w:val="008C4290"/>
    <w:pPr>
      <w:jc w:val="right"/>
    </w:pPr>
    <w:rPr>
      <w:rFonts w:ascii="Times New Roman" w:eastAsiaTheme="minorHAnsi" w:hAnsi="Times New Roman" w:cstheme="minorBidi"/>
      <w:sz w:val="24"/>
      <w:szCs w:val="22"/>
    </w:rPr>
  </w:style>
  <w:style w:type="character" w:styleId="Hyperlink">
    <w:name w:val="Hyperlink"/>
    <w:basedOn w:val="DefaultParagraphFont"/>
    <w:uiPriority w:val="99"/>
    <w:unhideWhenUsed/>
    <w:rsid w:val="00BA01C9"/>
    <w:rPr>
      <w:color w:val="0563C1" w:themeColor="hyperlink"/>
      <w:u w:val="single"/>
    </w:rPr>
  </w:style>
  <w:style w:type="character" w:styleId="UnresolvedMention">
    <w:name w:val="Unresolved Mention"/>
    <w:basedOn w:val="DefaultParagraphFont"/>
    <w:uiPriority w:val="99"/>
    <w:semiHidden/>
    <w:unhideWhenUsed/>
    <w:rsid w:val="00BA01C9"/>
    <w:rPr>
      <w:color w:val="605E5C"/>
      <w:shd w:val="clear" w:color="auto" w:fill="E1DFDD"/>
    </w:rPr>
  </w:style>
  <w:style w:type="paragraph" w:customStyle="1" w:styleId="EndNoteBibliography">
    <w:name w:val="EndNote Bibliography"/>
    <w:basedOn w:val="Normal"/>
    <w:link w:val="EndNoteBibliographyChar"/>
    <w:rsid w:val="00512784"/>
    <w:rPr>
      <w:rFonts w:eastAsiaTheme="minorEastAsia" w:cs="Calibri"/>
      <w:lang w:eastAsia="zh-CN"/>
    </w:rPr>
  </w:style>
  <w:style w:type="character" w:customStyle="1" w:styleId="EndNoteBibliographyChar">
    <w:name w:val="EndNote Bibliography Char"/>
    <w:basedOn w:val="DefaultParagraphFont"/>
    <w:link w:val="EndNoteBibliography"/>
    <w:rsid w:val="00512784"/>
    <w:rPr>
      <w:rFonts w:eastAsiaTheme="minorEastAsia" w:cs="Calibri"/>
      <w:sz w:val="24"/>
      <w:szCs w:val="24"/>
      <w:lang w:eastAsia="zh-CN"/>
    </w:rPr>
  </w:style>
  <w:style w:type="character" w:styleId="FollowedHyperlink">
    <w:name w:val="FollowedHyperlink"/>
    <w:basedOn w:val="DefaultParagraphFont"/>
    <w:uiPriority w:val="99"/>
    <w:semiHidden/>
    <w:unhideWhenUsed/>
    <w:rsid w:val="007747AC"/>
    <w:rPr>
      <w:color w:val="954F72" w:themeColor="followedHyperlink"/>
      <w:u w:val="single"/>
    </w:rPr>
  </w:style>
  <w:style w:type="paragraph" w:styleId="Revision">
    <w:name w:val="Revision"/>
    <w:hidden/>
    <w:uiPriority w:val="99"/>
    <w:semiHidden/>
    <w:rsid w:val="00DF54CC"/>
    <w:rPr>
      <w:rFonts w:ascii="Times New Roman" w:eastAsia="Times New Roman" w:hAnsi="Times New Roman"/>
      <w:sz w:val="24"/>
      <w:szCs w:val="24"/>
    </w:rPr>
  </w:style>
  <w:style w:type="character" w:styleId="LineNumber">
    <w:name w:val="line number"/>
    <w:basedOn w:val="DefaultParagraphFont"/>
    <w:uiPriority w:val="99"/>
    <w:semiHidden/>
    <w:unhideWhenUsed/>
    <w:rsid w:val="008D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842">
      <w:bodyDiv w:val="1"/>
      <w:marLeft w:val="0"/>
      <w:marRight w:val="0"/>
      <w:marTop w:val="0"/>
      <w:marBottom w:val="0"/>
      <w:divBdr>
        <w:top w:val="none" w:sz="0" w:space="0" w:color="auto"/>
        <w:left w:val="none" w:sz="0" w:space="0" w:color="auto"/>
        <w:bottom w:val="none" w:sz="0" w:space="0" w:color="auto"/>
        <w:right w:val="none" w:sz="0" w:space="0" w:color="auto"/>
      </w:divBdr>
    </w:div>
    <w:div w:id="34157310">
      <w:bodyDiv w:val="1"/>
      <w:marLeft w:val="0"/>
      <w:marRight w:val="0"/>
      <w:marTop w:val="0"/>
      <w:marBottom w:val="0"/>
      <w:divBdr>
        <w:top w:val="none" w:sz="0" w:space="0" w:color="auto"/>
        <w:left w:val="none" w:sz="0" w:space="0" w:color="auto"/>
        <w:bottom w:val="none" w:sz="0" w:space="0" w:color="auto"/>
        <w:right w:val="none" w:sz="0" w:space="0" w:color="auto"/>
      </w:divBdr>
    </w:div>
    <w:div w:id="101734015">
      <w:bodyDiv w:val="1"/>
      <w:marLeft w:val="0"/>
      <w:marRight w:val="0"/>
      <w:marTop w:val="0"/>
      <w:marBottom w:val="0"/>
      <w:divBdr>
        <w:top w:val="none" w:sz="0" w:space="0" w:color="auto"/>
        <w:left w:val="none" w:sz="0" w:space="0" w:color="auto"/>
        <w:bottom w:val="none" w:sz="0" w:space="0" w:color="auto"/>
        <w:right w:val="none" w:sz="0" w:space="0" w:color="auto"/>
      </w:divBdr>
    </w:div>
    <w:div w:id="137891750">
      <w:bodyDiv w:val="1"/>
      <w:marLeft w:val="0"/>
      <w:marRight w:val="0"/>
      <w:marTop w:val="0"/>
      <w:marBottom w:val="0"/>
      <w:divBdr>
        <w:top w:val="none" w:sz="0" w:space="0" w:color="auto"/>
        <w:left w:val="none" w:sz="0" w:space="0" w:color="auto"/>
        <w:bottom w:val="none" w:sz="0" w:space="0" w:color="auto"/>
        <w:right w:val="none" w:sz="0" w:space="0" w:color="auto"/>
      </w:divBdr>
    </w:div>
    <w:div w:id="258756578">
      <w:bodyDiv w:val="1"/>
      <w:marLeft w:val="0"/>
      <w:marRight w:val="0"/>
      <w:marTop w:val="0"/>
      <w:marBottom w:val="0"/>
      <w:divBdr>
        <w:top w:val="none" w:sz="0" w:space="0" w:color="auto"/>
        <w:left w:val="none" w:sz="0" w:space="0" w:color="auto"/>
        <w:bottom w:val="none" w:sz="0" w:space="0" w:color="auto"/>
        <w:right w:val="none" w:sz="0" w:space="0" w:color="auto"/>
      </w:divBdr>
    </w:div>
    <w:div w:id="455028030">
      <w:bodyDiv w:val="1"/>
      <w:marLeft w:val="0"/>
      <w:marRight w:val="0"/>
      <w:marTop w:val="0"/>
      <w:marBottom w:val="0"/>
      <w:divBdr>
        <w:top w:val="none" w:sz="0" w:space="0" w:color="auto"/>
        <w:left w:val="none" w:sz="0" w:space="0" w:color="auto"/>
        <w:bottom w:val="none" w:sz="0" w:space="0" w:color="auto"/>
        <w:right w:val="none" w:sz="0" w:space="0" w:color="auto"/>
      </w:divBdr>
    </w:div>
    <w:div w:id="534315244">
      <w:bodyDiv w:val="1"/>
      <w:marLeft w:val="0"/>
      <w:marRight w:val="0"/>
      <w:marTop w:val="0"/>
      <w:marBottom w:val="0"/>
      <w:divBdr>
        <w:top w:val="none" w:sz="0" w:space="0" w:color="auto"/>
        <w:left w:val="none" w:sz="0" w:space="0" w:color="auto"/>
        <w:bottom w:val="none" w:sz="0" w:space="0" w:color="auto"/>
        <w:right w:val="none" w:sz="0" w:space="0" w:color="auto"/>
      </w:divBdr>
    </w:div>
    <w:div w:id="558713850">
      <w:bodyDiv w:val="1"/>
      <w:marLeft w:val="0"/>
      <w:marRight w:val="0"/>
      <w:marTop w:val="0"/>
      <w:marBottom w:val="0"/>
      <w:divBdr>
        <w:top w:val="none" w:sz="0" w:space="0" w:color="auto"/>
        <w:left w:val="none" w:sz="0" w:space="0" w:color="auto"/>
        <w:bottom w:val="none" w:sz="0" w:space="0" w:color="auto"/>
        <w:right w:val="none" w:sz="0" w:space="0" w:color="auto"/>
      </w:divBdr>
    </w:div>
    <w:div w:id="645478284">
      <w:bodyDiv w:val="1"/>
      <w:marLeft w:val="0"/>
      <w:marRight w:val="0"/>
      <w:marTop w:val="0"/>
      <w:marBottom w:val="0"/>
      <w:divBdr>
        <w:top w:val="none" w:sz="0" w:space="0" w:color="auto"/>
        <w:left w:val="none" w:sz="0" w:space="0" w:color="auto"/>
        <w:bottom w:val="none" w:sz="0" w:space="0" w:color="auto"/>
        <w:right w:val="none" w:sz="0" w:space="0" w:color="auto"/>
      </w:divBdr>
    </w:div>
    <w:div w:id="692339607">
      <w:bodyDiv w:val="1"/>
      <w:marLeft w:val="0"/>
      <w:marRight w:val="0"/>
      <w:marTop w:val="0"/>
      <w:marBottom w:val="0"/>
      <w:divBdr>
        <w:top w:val="none" w:sz="0" w:space="0" w:color="auto"/>
        <w:left w:val="none" w:sz="0" w:space="0" w:color="auto"/>
        <w:bottom w:val="none" w:sz="0" w:space="0" w:color="auto"/>
        <w:right w:val="none" w:sz="0" w:space="0" w:color="auto"/>
      </w:divBdr>
    </w:div>
    <w:div w:id="788087475">
      <w:bodyDiv w:val="1"/>
      <w:marLeft w:val="0"/>
      <w:marRight w:val="0"/>
      <w:marTop w:val="0"/>
      <w:marBottom w:val="0"/>
      <w:divBdr>
        <w:top w:val="none" w:sz="0" w:space="0" w:color="auto"/>
        <w:left w:val="none" w:sz="0" w:space="0" w:color="auto"/>
        <w:bottom w:val="none" w:sz="0" w:space="0" w:color="auto"/>
        <w:right w:val="none" w:sz="0" w:space="0" w:color="auto"/>
      </w:divBdr>
    </w:div>
    <w:div w:id="870459134">
      <w:bodyDiv w:val="1"/>
      <w:marLeft w:val="0"/>
      <w:marRight w:val="0"/>
      <w:marTop w:val="0"/>
      <w:marBottom w:val="0"/>
      <w:divBdr>
        <w:top w:val="none" w:sz="0" w:space="0" w:color="auto"/>
        <w:left w:val="none" w:sz="0" w:space="0" w:color="auto"/>
        <w:bottom w:val="none" w:sz="0" w:space="0" w:color="auto"/>
        <w:right w:val="none" w:sz="0" w:space="0" w:color="auto"/>
      </w:divBdr>
    </w:div>
    <w:div w:id="914895429">
      <w:bodyDiv w:val="1"/>
      <w:marLeft w:val="0"/>
      <w:marRight w:val="0"/>
      <w:marTop w:val="0"/>
      <w:marBottom w:val="0"/>
      <w:divBdr>
        <w:top w:val="none" w:sz="0" w:space="0" w:color="auto"/>
        <w:left w:val="none" w:sz="0" w:space="0" w:color="auto"/>
        <w:bottom w:val="none" w:sz="0" w:space="0" w:color="auto"/>
        <w:right w:val="none" w:sz="0" w:space="0" w:color="auto"/>
      </w:divBdr>
    </w:div>
    <w:div w:id="1112941059">
      <w:bodyDiv w:val="1"/>
      <w:marLeft w:val="0"/>
      <w:marRight w:val="0"/>
      <w:marTop w:val="0"/>
      <w:marBottom w:val="0"/>
      <w:divBdr>
        <w:top w:val="none" w:sz="0" w:space="0" w:color="auto"/>
        <w:left w:val="none" w:sz="0" w:space="0" w:color="auto"/>
        <w:bottom w:val="none" w:sz="0" w:space="0" w:color="auto"/>
        <w:right w:val="none" w:sz="0" w:space="0" w:color="auto"/>
      </w:divBdr>
    </w:div>
    <w:div w:id="1210919254">
      <w:bodyDiv w:val="1"/>
      <w:marLeft w:val="0"/>
      <w:marRight w:val="0"/>
      <w:marTop w:val="0"/>
      <w:marBottom w:val="0"/>
      <w:divBdr>
        <w:top w:val="none" w:sz="0" w:space="0" w:color="auto"/>
        <w:left w:val="none" w:sz="0" w:space="0" w:color="auto"/>
        <w:bottom w:val="none" w:sz="0" w:space="0" w:color="auto"/>
        <w:right w:val="none" w:sz="0" w:space="0" w:color="auto"/>
      </w:divBdr>
    </w:div>
    <w:div w:id="1246568334">
      <w:bodyDiv w:val="1"/>
      <w:marLeft w:val="0"/>
      <w:marRight w:val="0"/>
      <w:marTop w:val="0"/>
      <w:marBottom w:val="0"/>
      <w:divBdr>
        <w:top w:val="none" w:sz="0" w:space="0" w:color="auto"/>
        <w:left w:val="none" w:sz="0" w:space="0" w:color="auto"/>
        <w:bottom w:val="none" w:sz="0" w:space="0" w:color="auto"/>
        <w:right w:val="none" w:sz="0" w:space="0" w:color="auto"/>
      </w:divBdr>
    </w:div>
    <w:div w:id="1276716439">
      <w:bodyDiv w:val="1"/>
      <w:marLeft w:val="0"/>
      <w:marRight w:val="0"/>
      <w:marTop w:val="0"/>
      <w:marBottom w:val="0"/>
      <w:divBdr>
        <w:top w:val="none" w:sz="0" w:space="0" w:color="auto"/>
        <w:left w:val="none" w:sz="0" w:space="0" w:color="auto"/>
        <w:bottom w:val="none" w:sz="0" w:space="0" w:color="auto"/>
        <w:right w:val="none" w:sz="0" w:space="0" w:color="auto"/>
      </w:divBdr>
    </w:div>
    <w:div w:id="1289553623">
      <w:bodyDiv w:val="1"/>
      <w:marLeft w:val="0"/>
      <w:marRight w:val="0"/>
      <w:marTop w:val="0"/>
      <w:marBottom w:val="0"/>
      <w:divBdr>
        <w:top w:val="none" w:sz="0" w:space="0" w:color="auto"/>
        <w:left w:val="none" w:sz="0" w:space="0" w:color="auto"/>
        <w:bottom w:val="none" w:sz="0" w:space="0" w:color="auto"/>
        <w:right w:val="none" w:sz="0" w:space="0" w:color="auto"/>
      </w:divBdr>
    </w:div>
    <w:div w:id="1454523010">
      <w:bodyDiv w:val="1"/>
      <w:marLeft w:val="0"/>
      <w:marRight w:val="0"/>
      <w:marTop w:val="0"/>
      <w:marBottom w:val="0"/>
      <w:divBdr>
        <w:top w:val="none" w:sz="0" w:space="0" w:color="auto"/>
        <w:left w:val="none" w:sz="0" w:space="0" w:color="auto"/>
        <w:bottom w:val="none" w:sz="0" w:space="0" w:color="auto"/>
        <w:right w:val="none" w:sz="0" w:space="0" w:color="auto"/>
      </w:divBdr>
    </w:div>
    <w:div w:id="1488012858">
      <w:bodyDiv w:val="1"/>
      <w:marLeft w:val="0"/>
      <w:marRight w:val="0"/>
      <w:marTop w:val="0"/>
      <w:marBottom w:val="0"/>
      <w:divBdr>
        <w:top w:val="none" w:sz="0" w:space="0" w:color="auto"/>
        <w:left w:val="none" w:sz="0" w:space="0" w:color="auto"/>
        <w:bottom w:val="none" w:sz="0" w:space="0" w:color="auto"/>
        <w:right w:val="none" w:sz="0" w:space="0" w:color="auto"/>
      </w:divBdr>
    </w:div>
    <w:div w:id="1488591256">
      <w:bodyDiv w:val="1"/>
      <w:marLeft w:val="0"/>
      <w:marRight w:val="0"/>
      <w:marTop w:val="0"/>
      <w:marBottom w:val="0"/>
      <w:divBdr>
        <w:top w:val="none" w:sz="0" w:space="0" w:color="auto"/>
        <w:left w:val="none" w:sz="0" w:space="0" w:color="auto"/>
        <w:bottom w:val="none" w:sz="0" w:space="0" w:color="auto"/>
        <w:right w:val="none" w:sz="0" w:space="0" w:color="auto"/>
      </w:divBdr>
    </w:div>
    <w:div w:id="1513495582">
      <w:bodyDiv w:val="1"/>
      <w:marLeft w:val="0"/>
      <w:marRight w:val="0"/>
      <w:marTop w:val="0"/>
      <w:marBottom w:val="0"/>
      <w:divBdr>
        <w:top w:val="none" w:sz="0" w:space="0" w:color="auto"/>
        <w:left w:val="none" w:sz="0" w:space="0" w:color="auto"/>
        <w:bottom w:val="none" w:sz="0" w:space="0" w:color="auto"/>
        <w:right w:val="none" w:sz="0" w:space="0" w:color="auto"/>
      </w:divBdr>
    </w:div>
    <w:div w:id="1521314527">
      <w:bodyDiv w:val="1"/>
      <w:marLeft w:val="0"/>
      <w:marRight w:val="0"/>
      <w:marTop w:val="0"/>
      <w:marBottom w:val="0"/>
      <w:divBdr>
        <w:top w:val="none" w:sz="0" w:space="0" w:color="auto"/>
        <w:left w:val="none" w:sz="0" w:space="0" w:color="auto"/>
        <w:bottom w:val="none" w:sz="0" w:space="0" w:color="auto"/>
        <w:right w:val="none" w:sz="0" w:space="0" w:color="auto"/>
      </w:divBdr>
    </w:div>
    <w:div w:id="1570143115">
      <w:bodyDiv w:val="1"/>
      <w:marLeft w:val="0"/>
      <w:marRight w:val="0"/>
      <w:marTop w:val="0"/>
      <w:marBottom w:val="0"/>
      <w:divBdr>
        <w:top w:val="none" w:sz="0" w:space="0" w:color="auto"/>
        <w:left w:val="none" w:sz="0" w:space="0" w:color="auto"/>
        <w:bottom w:val="none" w:sz="0" w:space="0" w:color="auto"/>
        <w:right w:val="none" w:sz="0" w:space="0" w:color="auto"/>
      </w:divBdr>
    </w:div>
    <w:div w:id="1688483300">
      <w:bodyDiv w:val="1"/>
      <w:marLeft w:val="0"/>
      <w:marRight w:val="0"/>
      <w:marTop w:val="0"/>
      <w:marBottom w:val="0"/>
      <w:divBdr>
        <w:top w:val="none" w:sz="0" w:space="0" w:color="auto"/>
        <w:left w:val="none" w:sz="0" w:space="0" w:color="auto"/>
        <w:bottom w:val="none" w:sz="0" w:space="0" w:color="auto"/>
        <w:right w:val="none" w:sz="0" w:space="0" w:color="auto"/>
      </w:divBdr>
    </w:div>
    <w:div w:id="1768112385">
      <w:bodyDiv w:val="1"/>
      <w:marLeft w:val="0"/>
      <w:marRight w:val="0"/>
      <w:marTop w:val="0"/>
      <w:marBottom w:val="0"/>
      <w:divBdr>
        <w:top w:val="none" w:sz="0" w:space="0" w:color="auto"/>
        <w:left w:val="none" w:sz="0" w:space="0" w:color="auto"/>
        <w:bottom w:val="none" w:sz="0" w:space="0" w:color="auto"/>
        <w:right w:val="none" w:sz="0" w:space="0" w:color="auto"/>
      </w:divBdr>
    </w:div>
    <w:div w:id="1813476548">
      <w:bodyDiv w:val="1"/>
      <w:marLeft w:val="0"/>
      <w:marRight w:val="0"/>
      <w:marTop w:val="0"/>
      <w:marBottom w:val="0"/>
      <w:divBdr>
        <w:top w:val="none" w:sz="0" w:space="0" w:color="auto"/>
        <w:left w:val="none" w:sz="0" w:space="0" w:color="auto"/>
        <w:bottom w:val="none" w:sz="0" w:space="0" w:color="auto"/>
        <w:right w:val="none" w:sz="0" w:space="0" w:color="auto"/>
      </w:divBdr>
    </w:div>
    <w:div w:id="1882866149">
      <w:bodyDiv w:val="1"/>
      <w:marLeft w:val="0"/>
      <w:marRight w:val="0"/>
      <w:marTop w:val="0"/>
      <w:marBottom w:val="0"/>
      <w:divBdr>
        <w:top w:val="none" w:sz="0" w:space="0" w:color="auto"/>
        <w:left w:val="none" w:sz="0" w:space="0" w:color="auto"/>
        <w:bottom w:val="none" w:sz="0" w:space="0" w:color="auto"/>
        <w:right w:val="none" w:sz="0" w:space="0" w:color="auto"/>
      </w:divBdr>
    </w:div>
    <w:div w:id="2002611231">
      <w:bodyDiv w:val="1"/>
      <w:marLeft w:val="0"/>
      <w:marRight w:val="0"/>
      <w:marTop w:val="0"/>
      <w:marBottom w:val="0"/>
      <w:divBdr>
        <w:top w:val="none" w:sz="0" w:space="0" w:color="auto"/>
        <w:left w:val="none" w:sz="0" w:space="0" w:color="auto"/>
        <w:bottom w:val="none" w:sz="0" w:space="0" w:color="auto"/>
        <w:right w:val="none" w:sz="0" w:space="0" w:color="auto"/>
      </w:divBdr>
    </w:div>
    <w:div w:id="20981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D.2018.01.008" TargetMode="External"/><Relationship Id="rId13" Type="http://schemas.openxmlformats.org/officeDocument/2006/relationships/hyperlink" Target="http://www.rstudi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77/073428291879579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826-014-9912-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oi.org/10.1002/jclp.2074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177/1063426616664328"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3D1D-1A60-476D-A2ED-43245EA1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47</Pages>
  <Words>11458</Words>
  <Characters>65311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Julie Petersen</cp:lastModifiedBy>
  <cp:revision>344</cp:revision>
  <cp:lastPrinted>2021-07-20T18:55:00Z</cp:lastPrinted>
  <dcterms:created xsi:type="dcterms:W3CDTF">2021-11-16T21:23:00Z</dcterms:created>
  <dcterms:modified xsi:type="dcterms:W3CDTF">2021-12-10T23:27:00Z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