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CAAB" w14:textId="77777777" w:rsidR="00283DAD" w:rsidRDefault="00283DAD" w:rsidP="00283DAD">
      <w:pPr>
        <w:spacing w:line="480" w:lineRule="auto"/>
        <w:jc w:val="center"/>
        <w:rPr>
          <w:color w:val="0E101A"/>
        </w:rPr>
      </w:pPr>
      <w:bookmarkStart w:id="0" w:name="OLE_LINK7"/>
      <w:bookmarkStart w:id="1" w:name="OLE_LINK8"/>
    </w:p>
    <w:p w14:paraId="02B4169D" w14:textId="77777777" w:rsidR="00283DAD" w:rsidRDefault="00283DAD" w:rsidP="00283DAD">
      <w:pPr>
        <w:spacing w:line="480" w:lineRule="auto"/>
        <w:jc w:val="center"/>
        <w:rPr>
          <w:color w:val="0E101A"/>
        </w:rPr>
      </w:pPr>
    </w:p>
    <w:p w14:paraId="57D330E1" w14:textId="77777777" w:rsidR="00283DAD" w:rsidRDefault="00283DAD" w:rsidP="00283DAD">
      <w:pPr>
        <w:spacing w:line="480" w:lineRule="auto"/>
        <w:jc w:val="center"/>
        <w:rPr>
          <w:color w:val="0E101A"/>
        </w:rPr>
      </w:pPr>
    </w:p>
    <w:p w14:paraId="17B40FD3" w14:textId="77777777" w:rsidR="00283DAD" w:rsidRDefault="00283DAD" w:rsidP="00283DAD">
      <w:pPr>
        <w:spacing w:line="480" w:lineRule="auto"/>
        <w:jc w:val="center"/>
        <w:rPr>
          <w:color w:val="0E101A"/>
        </w:rPr>
      </w:pPr>
    </w:p>
    <w:p w14:paraId="6D2A8EA6" w14:textId="77777777" w:rsidR="00283DAD" w:rsidRDefault="00283DAD" w:rsidP="00283DAD">
      <w:pPr>
        <w:spacing w:line="480" w:lineRule="auto"/>
        <w:jc w:val="center"/>
        <w:rPr>
          <w:color w:val="0E101A"/>
        </w:rPr>
      </w:pPr>
    </w:p>
    <w:p w14:paraId="26B63531" w14:textId="77777777" w:rsidR="00283DAD" w:rsidRDefault="00283DAD" w:rsidP="00283DAD">
      <w:pPr>
        <w:spacing w:line="480" w:lineRule="auto"/>
        <w:jc w:val="center"/>
        <w:rPr>
          <w:color w:val="0E101A"/>
        </w:rPr>
      </w:pPr>
    </w:p>
    <w:p w14:paraId="010E1622" w14:textId="77777777" w:rsidR="00283DAD" w:rsidRDefault="00283DAD" w:rsidP="00283DAD">
      <w:pPr>
        <w:spacing w:line="480" w:lineRule="auto"/>
        <w:jc w:val="center"/>
        <w:rPr>
          <w:color w:val="0E101A"/>
        </w:rPr>
      </w:pPr>
    </w:p>
    <w:p w14:paraId="388B81C5" w14:textId="77777777" w:rsidR="00283DAD" w:rsidRDefault="00283DAD" w:rsidP="00283DAD">
      <w:pPr>
        <w:spacing w:line="480" w:lineRule="auto"/>
        <w:jc w:val="center"/>
        <w:rPr>
          <w:color w:val="0E101A"/>
        </w:rPr>
      </w:pPr>
    </w:p>
    <w:p w14:paraId="60DBA9D5" w14:textId="77777777" w:rsidR="00283DAD" w:rsidRDefault="00283DAD" w:rsidP="00283DAD">
      <w:pPr>
        <w:spacing w:line="480" w:lineRule="auto"/>
        <w:jc w:val="center"/>
        <w:rPr>
          <w:color w:val="0E101A"/>
        </w:rPr>
      </w:pPr>
    </w:p>
    <w:p w14:paraId="2C7B44B5" w14:textId="33A6AEB4" w:rsidR="00283DAD" w:rsidRDefault="001E459F" w:rsidP="00283DAD">
      <w:pPr>
        <w:spacing w:line="480" w:lineRule="auto"/>
        <w:jc w:val="center"/>
        <w:rPr>
          <w:color w:val="0E101A"/>
        </w:rPr>
      </w:pPr>
      <w:r>
        <w:rPr>
          <w:color w:val="0E101A"/>
        </w:rPr>
        <w:t xml:space="preserve">Predictors of </w:t>
      </w:r>
      <w:r w:rsidR="00AC78A5">
        <w:rPr>
          <w:color w:val="0E101A"/>
        </w:rPr>
        <w:t>Adherence to a</w:t>
      </w:r>
      <w:r w:rsidR="00283DAD" w:rsidRPr="00283DAD">
        <w:rPr>
          <w:color w:val="0E101A"/>
        </w:rPr>
        <w:t xml:space="preserve"> Publicly Available Self-Guided Digital Mental Health Intervention</w:t>
      </w:r>
    </w:p>
    <w:p w14:paraId="113116AE" w14:textId="77777777" w:rsidR="00283DAD" w:rsidRPr="00E64216" w:rsidRDefault="00283DAD" w:rsidP="00283DAD">
      <w:pPr>
        <w:spacing w:line="480" w:lineRule="auto"/>
        <w:jc w:val="center"/>
        <w:rPr>
          <w:color w:val="0E101A"/>
        </w:rPr>
      </w:pPr>
    </w:p>
    <w:p w14:paraId="7EE22938" w14:textId="77777777" w:rsidR="00283DAD" w:rsidRPr="009E2D0E" w:rsidRDefault="00283DAD" w:rsidP="00283DAD">
      <w:pPr>
        <w:spacing w:line="480" w:lineRule="auto"/>
        <w:jc w:val="center"/>
        <w:rPr>
          <w:color w:val="0E101A"/>
          <w:vertAlign w:val="superscript"/>
        </w:rPr>
      </w:pPr>
      <w:r>
        <w:rPr>
          <w:color w:val="0E101A"/>
        </w:rPr>
        <w:t>Mercedes G. Woolley</w:t>
      </w:r>
    </w:p>
    <w:p w14:paraId="455438D6" w14:textId="77777777" w:rsidR="00283DAD" w:rsidRDefault="00283DAD" w:rsidP="00283DAD">
      <w:pPr>
        <w:spacing w:line="480" w:lineRule="auto"/>
        <w:jc w:val="center"/>
        <w:rPr>
          <w:color w:val="0E101A"/>
        </w:rPr>
      </w:pPr>
      <w:r>
        <w:rPr>
          <w:color w:val="0E101A"/>
        </w:rPr>
        <w:t>Korena S. Klimczak</w:t>
      </w:r>
    </w:p>
    <w:p w14:paraId="4B154E5F" w14:textId="77777777" w:rsidR="00283DAD" w:rsidRDefault="00283DAD" w:rsidP="00283DAD">
      <w:pPr>
        <w:spacing w:line="480" w:lineRule="auto"/>
        <w:jc w:val="center"/>
        <w:rPr>
          <w:color w:val="0E101A"/>
        </w:rPr>
      </w:pPr>
      <w:r>
        <w:rPr>
          <w:color w:val="0E101A"/>
        </w:rPr>
        <w:t>Carter H. Davis</w:t>
      </w:r>
    </w:p>
    <w:p w14:paraId="0B6C6A2E" w14:textId="77777777" w:rsidR="00283DAD" w:rsidRDefault="00283DAD" w:rsidP="00283DAD">
      <w:pPr>
        <w:spacing w:line="480" w:lineRule="auto"/>
        <w:jc w:val="center"/>
        <w:rPr>
          <w:color w:val="0E101A"/>
        </w:rPr>
      </w:pPr>
      <w:r>
        <w:rPr>
          <w:color w:val="0E101A"/>
        </w:rPr>
        <w:t>Michael E. Levin</w:t>
      </w:r>
    </w:p>
    <w:p w14:paraId="59322E1E" w14:textId="77777777" w:rsidR="00283DAD" w:rsidRDefault="00283DAD" w:rsidP="00283DAD">
      <w:pPr>
        <w:spacing w:line="480" w:lineRule="auto"/>
        <w:jc w:val="center"/>
        <w:rPr>
          <w:color w:val="0E101A"/>
        </w:rPr>
      </w:pPr>
      <w:r>
        <w:rPr>
          <w:color w:val="0E101A"/>
        </w:rPr>
        <w:t>Department of Psychology</w:t>
      </w:r>
    </w:p>
    <w:p w14:paraId="752012B5" w14:textId="77777777" w:rsidR="00283DAD" w:rsidRDefault="00283DAD" w:rsidP="00283DAD">
      <w:pPr>
        <w:spacing w:line="480" w:lineRule="auto"/>
        <w:jc w:val="center"/>
        <w:rPr>
          <w:color w:val="0E101A"/>
        </w:rPr>
      </w:pPr>
      <w:r>
        <w:rPr>
          <w:color w:val="0E101A"/>
        </w:rPr>
        <w:t xml:space="preserve">Utah State University </w:t>
      </w:r>
    </w:p>
    <w:p w14:paraId="775D9806" w14:textId="77777777" w:rsidR="00283DAD" w:rsidRDefault="00283DAD" w:rsidP="00283DAD"/>
    <w:p w14:paraId="3A761689" w14:textId="77777777" w:rsidR="00283DAD" w:rsidRDefault="00283DAD" w:rsidP="00283DAD"/>
    <w:p w14:paraId="6ACD87C3" w14:textId="77777777" w:rsidR="00283DAD" w:rsidRDefault="00283DAD" w:rsidP="00283DAD"/>
    <w:p w14:paraId="0D38DEF1" w14:textId="77777777" w:rsidR="00283DAD" w:rsidRDefault="00283DAD" w:rsidP="00283DAD"/>
    <w:p w14:paraId="7290ACF3" w14:textId="59CD76CD" w:rsidR="00283DAD" w:rsidRDefault="00283DAD" w:rsidP="00283DAD">
      <w:r>
        <w:t>Author for Correspondence:</w:t>
      </w:r>
    </w:p>
    <w:p w14:paraId="3347C86F" w14:textId="77A1B9D3" w:rsidR="00283DAD" w:rsidRDefault="001E459F" w:rsidP="00283DAD">
      <w:r>
        <w:t xml:space="preserve">Mercedes </w:t>
      </w:r>
      <w:r w:rsidR="00785C06">
        <w:t>G. Woolley</w:t>
      </w:r>
      <w:r w:rsidR="00283DAD">
        <w:t xml:space="preserve">, </w:t>
      </w:r>
      <w:r w:rsidR="00283DAD" w:rsidRPr="004E40DA">
        <w:t>Utah State University, Department of Psychology</w:t>
      </w:r>
      <w:r w:rsidR="00283DAD">
        <w:t xml:space="preserve">, </w:t>
      </w:r>
      <w:r w:rsidR="00283DAD" w:rsidRPr="004E40DA">
        <w:t>6430 Old Main Hill</w:t>
      </w:r>
      <w:r w:rsidR="00283DAD">
        <w:t xml:space="preserve">, </w:t>
      </w:r>
      <w:r w:rsidR="00283DAD" w:rsidRPr="004E40DA">
        <w:t xml:space="preserve">Logan, Utah </w:t>
      </w:r>
      <w:hyperlink r:id="rId8" w:history="1">
        <w:r>
          <w:rPr>
            <w:rStyle w:val="Hyperlink"/>
          </w:rPr>
          <w:t>Mercedes.Woolley@usu.edu</w:t>
        </w:r>
      </w:hyperlink>
    </w:p>
    <w:p w14:paraId="70DE0BCC" w14:textId="77777777" w:rsidR="00226EE2" w:rsidRDefault="00226EE2" w:rsidP="00283DAD"/>
    <w:p w14:paraId="63E12237" w14:textId="77777777" w:rsidR="00283DAD" w:rsidRPr="004E40DA" w:rsidRDefault="00283DAD" w:rsidP="00283DAD"/>
    <w:p w14:paraId="4EEA744B" w14:textId="77777777" w:rsidR="00283DAD" w:rsidRDefault="00283DAD" w:rsidP="00283DAD">
      <w:r>
        <w:t>Declarations of Interest: None</w:t>
      </w:r>
    </w:p>
    <w:p w14:paraId="3513581C" w14:textId="77777777" w:rsidR="00283DAD" w:rsidRDefault="00283DAD" w:rsidP="000C45DD">
      <w:pPr>
        <w:spacing w:line="480" w:lineRule="auto"/>
        <w:jc w:val="center"/>
        <w:rPr>
          <w:color w:val="0E101A"/>
        </w:rPr>
      </w:pPr>
    </w:p>
    <w:p w14:paraId="650E6A41" w14:textId="4227F088" w:rsidR="000C45DD" w:rsidRDefault="000C45DD" w:rsidP="000C45DD">
      <w:pPr>
        <w:spacing w:line="480" w:lineRule="auto"/>
        <w:jc w:val="center"/>
        <w:rPr>
          <w:color w:val="0E101A"/>
        </w:rPr>
      </w:pPr>
      <w:r>
        <w:rPr>
          <w:color w:val="0E101A"/>
        </w:rPr>
        <w:lastRenderedPageBreak/>
        <w:t>Abstract</w:t>
      </w:r>
    </w:p>
    <w:p w14:paraId="750F2118" w14:textId="18A8EBE7" w:rsidR="000C45DD" w:rsidRPr="001B6B9B" w:rsidRDefault="000C45DD" w:rsidP="000C45DD">
      <w:pPr>
        <w:spacing w:line="480" w:lineRule="auto"/>
        <w:ind w:firstLine="720"/>
        <w:rPr>
          <w:color w:val="0E101A"/>
        </w:rPr>
      </w:pPr>
      <w:bookmarkStart w:id="2" w:name="OLE_LINK51"/>
      <w:bookmarkStart w:id="3" w:name="OLE_LINK52"/>
      <w:r w:rsidRPr="005F28AF">
        <w:rPr>
          <w:color w:val="0E101A"/>
        </w:rPr>
        <w:t xml:space="preserve">Low </w:t>
      </w:r>
      <w:r w:rsidR="00023166">
        <w:rPr>
          <w:color w:val="0E101A"/>
        </w:rPr>
        <w:t>adherence to</w:t>
      </w:r>
      <w:r w:rsidRPr="005F28AF">
        <w:rPr>
          <w:color w:val="0E101A"/>
        </w:rPr>
        <w:t xml:space="preserve"> self-guided digital mental health </w:t>
      </w:r>
      <w:r w:rsidR="005326DE">
        <w:rPr>
          <w:color w:val="0E101A"/>
        </w:rPr>
        <w:t>interventions (DMHIs)</w:t>
      </w:r>
      <w:r w:rsidRPr="005F28AF">
        <w:rPr>
          <w:color w:val="0E101A"/>
        </w:rPr>
        <w:t xml:space="preserve"> </w:t>
      </w:r>
      <w:r w:rsidRPr="001B6B9B">
        <w:rPr>
          <w:color w:val="0E101A"/>
        </w:rPr>
        <w:t xml:space="preserve">have </w:t>
      </w:r>
      <w:r w:rsidRPr="005F28AF">
        <w:rPr>
          <w:color w:val="0E101A"/>
        </w:rPr>
        <w:t>raise</w:t>
      </w:r>
      <w:r w:rsidRPr="001B6B9B">
        <w:rPr>
          <w:color w:val="0E101A"/>
        </w:rPr>
        <w:t>d</w:t>
      </w:r>
      <w:r w:rsidRPr="005F28AF">
        <w:rPr>
          <w:color w:val="0E101A"/>
        </w:rPr>
        <w:t xml:space="preserve"> concerns about </w:t>
      </w:r>
      <w:r w:rsidRPr="001B6B9B">
        <w:rPr>
          <w:color w:val="0E101A"/>
        </w:rPr>
        <w:t>their</w:t>
      </w:r>
      <w:r w:rsidRPr="005F28AF">
        <w:rPr>
          <w:color w:val="0E101A"/>
        </w:rPr>
        <w:t xml:space="preserve"> real-world effectiveness.</w:t>
      </w:r>
      <w:r w:rsidR="005C7EF3">
        <w:rPr>
          <w:color w:val="0E101A"/>
        </w:rPr>
        <w:t xml:space="preserve"> </w:t>
      </w:r>
      <w:r w:rsidR="005C7EF3">
        <w:t>N</w:t>
      </w:r>
      <w:r w:rsidRPr="001B6B9B">
        <w:t xml:space="preserve">aturalistic data from self-guided </w:t>
      </w:r>
      <w:r w:rsidR="005326DE">
        <w:t xml:space="preserve">DMHIs </w:t>
      </w:r>
      <w:r w:rsidRPr="001B6B9B">
        <w:t xml:space="preserve">are </w:t>
      </w:r>
      <w:r w:rsidR="005C7EF3">
        <w:t>often not available</w:t>
      </w:r>
      <w:r w:rsidRPr="001B6B9B">
        <w:t>,</w:t>
      </w:r>
      <w:r w:rsidRPr="005F28AF">
        <w:rPr>
          <w:color w:val="0E101A"/>
        </w:rPr>
        <w:t xml:space="preserve"> hindering our ability to assess </w:t>
      </w:r>
      <w:r w:rsidR="00023166">
        <w:rPr>
          <w:color w:val="0E101A"/>
        </w:rPr>
        <w:t xml:space="preserve">adherence </w:t>
      </w:r>
      <w:r w:rsidRPr="001B6B9B">
        <w:rPr>
          <w:color w:val="0E101A"/>
        </w:rPr>
        <w:t>among real-world users</w:t>
      </w:r>
      <w:r w:rsidRPr="005F28AF">
        <w:rPr>
          <w:color w:val="0E101A"/>
        </w:rPr>
        <w:t>.</w:t>
      </w:r>
      <w:r w:rsidRPr="001B6B9B">
        <w:rPr>
          <w:color w:val="0E101A"/>
        </w:rPr>
        <w:t xml:space="preserve"> </w:t>
      </w:r>
      <w:r w:rsidRPr="005F28AF">
        <w:rPr>
          <w:color w:val="0E101A"/>
        </w:rPr>
        <w:t>This study aimed to analyze three years of user data from the public launch of an empirically</w:t>
      </w:r>
      <w:r>
        <w:rPr>
          <w:color w:val="0E101A"/>
        </w:rPr>
        <w:t xml:space="preserve"> supported</w:t>
      </w:r>
      <w:r w:rsidRPr="005F28AF">
        <w:rPr>
          <w:color w:val="0E101A"/>
        </w:rPr>
        <w:t xml:space="preserve"> </w:t>
      </w:r>
      <w:r w:rsidRPr="001B6B9B">
        <w:rPr>
          <w:color w:val="0E101A"/>
        </w:rPr>
        <w:t xml:space="preserve">12-session </w:t>
      </w:r>
      <w:r w:rsidRPr="005F28AF">
        <w:rPr>
          <w:color w:val="0E101A"/>
        </w:rPr>
        <w:t xml:space="preserve">self-guided </w:t>
      </w:r>
      <w:r w:rsidR="005326DE">
        <w:rPr>
          <w:color w:val="0E101A"/>
        </w:rPr>
        <w:t>DMHI</w:t>
      </w:r>
      <w:r w:rsidRPr="005F28AF">
        <w:rPr>
          <w:color w:val="0E101A"/>
        </w:rPr>
        <w:t xml:space="preserve">, to assess overall program </w:t>
      </w:r>
      <w:r w:rsidR="00023166">
        <w:rPr>
          <w:color w:val="0E101A"/>
        </w:rPr>
        <w:t>adherence</w:t>
      </w:r>
      <w:r w:rsidRPr="005F28AF">
        <w:rPr>
          <w:color w:val="0E101A"/>
        </w:rPr>
        <w:t xml:space="preserve"> rates and explore predictors of </w:t>
      </w:r>
      <w:r w:rsidR="00023166">
        <w:rPr>
          <w:color w:val="0E101A"/>
        </w:rPr>
        <w:t>adherence</w:t>
      </w:r>
      <w:r w:rsidRPr="005F28AF">
        <w:rPr>
          <w:color w:val="0E101A"/>
        </w:rPr>
        <w:t>.</w:t>
      </w:r>
      <w:r w:rsidRPr="001B6B9B">
        <w:rPr>
          <w:color w:val="0E101A"/>
        </w:rPr>
        <w:t xml:space="preserve"> Data from 984 registered users were analyzed. Results showed that o</w:t>
      </w:r>
      <w:r w:rsidRPr="005F28AF">
        <w:rPr>
          <w:color w:val="0E101A"/>
        </w:rPr>
        <w:t>nly 14.8% of users completed all 12</w:t>
      </w:r>
      <w:r>
        <w:rPr>
          <w:color w:val="0E101A"/>
        </w:rPr>
        <w:t xml:space="preserve"> modules </w:t>
      </w:r>
      <w:r w:rsidRPr="005F28AF">
        <w:rPr>
          <w:color w:val="0E101A"/>
        </w:rPr>
        <w:t xml:space="preserve">and </w:t>
      </w:r>
      <w:r w:rsidR="00082634">
        <w:rPr>
          <w:color w:val="0E101A"/>
        </w:rPr>
        <w:t>68.6</w:t>
      </w:r>
      <w:r>
        <w:rPr>
          <w:color w:val="0E101A"/>
        </w:rPr>
        <w:t>%</w:t>
      </w:r>
      <w:r w:rsidRPr="005F28AF">
        <w:rPr>
          <w:color w:val="0E101A"/>
        </w:rPr>
        <w:t xml:space="preserve"> completed less than half of the modules. </w:t>
      </w:r>
      <w:r w:rsidR="008F2E7E">
        <w:rPr>
          <w:color w:val="0E101A"/>
        </w:rPr>
        <w:t>Users who were y</w:t>
      </w:r>
      <w:r w:rsidRPr="005F28AF">
        <w:rPr>
          <w:color w:val="0E101A"/>
        </w:rPr>
        <w:t>ounger</w:t>
      </w:r>
      <w:r w:rsidR="008F2E7E">
        <w:rPr>
          <w:color w:val="0E101A"/>
        </w:rPr>
        <w:t xml:space="preserve">, had </w:t>
      </w:r>
      <w:r w:rsidR="005C7EF3">
        <w:rPr>
          <w:color w:val="0E101A"/>
        </w:rPr>
        <w:t>milder depress</w:t>
      </w:r>
      <w:r w:rsidR="00255846">
        <w:rPr>
          <w:color w:val="0E101A"/>
        </w:rPr>
        <w:t>ion</w:t>
      </w:r>
      <w:r w:rsidR="008F2E7E">
        <w:rPr>
          <w:color w:val="0E101A"/>
        </w:rPr>
        <w:t>,</w:t>
      </w:r>
      <w:r w:rsidRPr="005F28AF">
        <w:rPr>
          <w:color w:val="0E101A"/>
        </w:rPr>
        <w:t xml:space="preserve"> </w:t>
      </w:r>
      <w:r w:rsidR="008F2E7E" w:rsidRPr="001B6B9B">
        <w:rPr>
          <w:color w:val="0E101A"/>
        </w:rPr>
        <w:t>had never seen a mental health provider</w:t>
      </w:r>
      <w:r w:rsidR="008F2E7E">
        <w:rPr>
          <w:color w:val="0E101A"/>
        </w:rPr>
        <w:t>, and who rejected signing-up for weekly program email</w:t>
      </w:r>
      <w:r w:rsidR="00DF016F">
        <w:rPr>
          <w:color w:val="0E101A"/>
        </w:rPr>
        <w:t>s</w:t>
      </w:r>
      <w:r w:rsidR="008F2E7E" w:rsidRPr="001B6B9B">
        <w:rPr>
          <w:color w:val="0E101A"/>
        </w:rPr>
        <w:t xml:space="preserve"> </w:t>
      </w:r>
      <w:r w:rsidR="005C7EF3">
        <w:rPr>
          <w:color w:val="0E101A"/>
        </w:rPr>
        <w:t>completed significantly more modules</w:t>
      </w:r>
      <w:r w:rsidRPr="005F28AF">
        <w:rPr>
          <w:color w:val="0E101A"/>
        </w:rPr>
        <w:t xml:space="preserve">. </w:t>
      </w:r>
      <w:r>
        <w:rPr>
          <w:color w:val="0E101A"/>
        </w:rPr>
        <w:t>R</w:t>
      </w:r>
      <w:r w:rsidRPr="001B6B9B">
        <w:rPr>
          <w:color w:val="0E101A"/>
        </w:rPr>
        <w:t>esults</w:t>
      </w:r>
      <w:r w:rsidRPr="005F28AF">
        <w:rPr>
          <w:color w:val="0E101A"/>
        </w:rPr>
        <w:t xml:space="preserve"> </w:t>
      </w:r>
      <w:r w:rsidRPr="001B6B9B">
        <w:rPr>
          <w:color w:val="0E101A"/>
        </w:rPr>
        <w:t xml:space="preserve">add to </w:t>
      </w:r>
      <w:r w:rsidRPr="005F28AF">
        <w:rPr>
          <w:color w:val="0E101A"/>
        </w:rPr>
        <w:t xml:space="preserve">concerns about </w:t>
      </w:r>
      <w:r w:rsidRPr="001B6B9B">
        <w:rPr>
          <w:color w:val="0E101A"/>
        </w:rPr>
        <w:t xml:space="preserve">the generalizability of </w:t>
      </w:r>
      <w:r w:rsidR="00910FF2">
        <w:rPr>
          <w:color w:val="0E101A"/>
        </w:rPr>
        <w:t xml:space="preserve">controlled research on </w:t>
      </w:r>
      <w:r w:rsidR="00BA5465">
        <w:rPr>
          <w:color w:val="0E101A"/>
        </w:rPr>
        <w:t>DMHIs</w:t>
      </w:r>
      <w:r w:rsidRPr="001B6B9B">
        <w:rPr>
          <w:color w:val="0E101A"/>
        </w:rPr>
        <w:t xml:space="preserve"> due to </w:t>
      </w:r>
      <w:r w:rsidRPr="005F28AF">
        <w:rPr>
          <w:color w:val="0E101A"/>
        </w:rPr>
        <w:t>low</w:t>
      </w:r>
      <w:r w:rsidR="008A3B42">
        <w:rPr>
          <w:color w:val="0E101A"/>
        </w:rPr>
        <w:t>er</w:t>
      </w:r>
      <w:r w:rsidRPr="005F28AF">
        <w:rPr>
          <w:color w:val="0E101A"/>
        </w:rPr>
        <w:t xml:space="preserve"> </w:t>
      </w:r>
      <w:r w:rsidR="00023166">
        <w:rPr>
          <w:color w:val="0E101A"/>
        </w:rPr>
        <w:t>adherence</w:t>
      </w:r>
      <w:r w:rsidR="008A3B42">
        <w:rPr>
          <w:color w:val="0E101A"/>
        </w:rPr>
        <w:t xml:space="preserve"> outside of research trials</w:t>
      </w:r>
      <w:r w:rsidRPr="005F28AF">
        <w:rPr>
          <w:color w:val="0E101A"/>
        </w:rPr>
        <w:t xml:space="preserve">. </w:t>
      </w:r>
      <w:r w:rsidR="005C7EF3">
        <w:rPr>
          <w:color w:val="0E101A"/>
        </w:rPr>
        <w:t>This study</w:t>
      </w:r>
      <w:r w:rsidRPr="005F28AF">
        <w:rPr>
          <w:color w:val="0E101A"/>
        </w:rPr>
        <w:t xml:space="preserve"> </w:t>
      </w:r>
      <w:r w:rsidR="005C7EF3">
        <w:rPr>
          <w:color w:val="0E101A"/>
        </w:rPr>
        <w:t xml:space="preserve">highlights </w:t>
      </w:r>
      <w:r w:rsidRPr="005F28AF">
        <w:rPr>
          <w:color w:val="0E101A"/>
        </w:rPr>
        <w:t xml:space="preserve">the potential of user data in identifying key factors that </w:t>
      </w:r>
      <w:r w:rsidRPr="001B6B9B">
        <w:rPr>
          <w:color w:val="0E101A"/>
        </w:rPr>
        <w:t xml:space="preserve">may be related to </w:t>
      </w:r>
      <w:r w:rsidR="00023166">
        <w:rPr>
          <w:color w:val="0E101A"/>
        </w:rPr>
        <w:t>adherence</w:t>
      </w:r>
      <w:r w:rsidRPr="005F28AF">
        <w:rPr>
          <w:color w:val="0E101A"/>
        </w:rPr>
        <w:t xml:space="preserve">. </w:t>
      </w:r>
      <w:r w:rsidRPr="001B6B9B">
        <w:rPr>
          <w:color w:val="0E101A"/>
        </w:rPr>
        <w:t>By examining</w:t>
      </w:r>
      <w:r w:rsidRPr="005F28AF">
        <w:rPr>
          <w:color w:val="0E101A"/>
        </w:rPr>
        <w:t xml:space="preserve"> </w:t>
      </w:r>
      <w:r w:rsidR="00023166">
        <w:rPr>
          <w:color w:val="0E101A"/>
        </w:rPr>
        <w:t>adherence</w:t>
      </w:r>
      <w:r w:rsidR="00023166" w:rsidRPr="005F28AF">
        <w:rPr>
          <w:color w:val="0E101A"/>
        </w:rPr>
        <w:t xml:space="preserve"> </w:t>
      </w:r>
      <w:r w:rsidRPr="005F28AF">
        <w:rPr>
          <w:color w:val="0E101A"/>
        </w:rPr>
        <w:t>patterns</w:t>
      </w:r>
      <w:r>
        <w:rPr>
          <w:color w:val="0E101A"/>
        </w:rPr>
        <w:t xml:space="preserve"> among </w:t>
      </w:r>
      <w:r w:rsidRPr="001B6B9B">
        <w:rPr>
          <w:color w:val="0E101A"/>
        </w:rPr>
        <w:t>d</w:t>
      </w:r>
      <w:r w:rsidRPr="005F28AF">
        <w:rPr>
          <w:color w:val="0E101A"/>
        </w:rPr>
        <w:t>ifferent sub-sets of user</w:t>
      </w:r>
      <w:r>
        <w:rPr>
          <w:color w:val="0E101A"/>
        </w:rPr>
        <w:t>s</w:t>
      </w:r>
      <w:r w:rsidRPr="001B6B9B">
        <w:rPr>
          <w:color w:val="0E101A"/>
        </w:rPr>
        <w:t xml:space="preserve">, we can pinpoint and focus on individuals who may </w:t>
      </w:r>
      <w:r w:rsidR="00023166">
        <w:rPr>
          <w:color w:val="0E101A"/>
        </w:rPr>
        <w:t>adhere</w:t>
      </w:r>
      <w:r w:rsidRPr="001B6B9B">
        <w:rPr>
          <w:color w:val="0E101A"/>
        </w:rPr>
        <w:t xml:space="preserve"> and benefit more from self-guided programs</w:t>
      </w:r>
      <w:r>
        <w:rPr>
          <w:color w:val="0E101A"/>
        </w:rPr>
        <w:t xml:space="preserve">. </w:t>
      </w:r>
      <w:r w:rsidR="005C7EF3">
        <w:rPr>
          <w:color w:val="0E101A"/>
        </w:rPr>
        <w:t xml:space="preserve">Findings </w:t>
      </w:r>
      <w:r>
        <w:rPr>
          <w:color w:val="0E101A"/>
        </w:rPr>
        <w:t xml:space="preserve">could also </w:t>
      </w:r>
      <w:r w:rsidR="005C7EF3">
        <w:rPr>
          <w:color w:val="0E101A"/>
        </w:rPr>
        <w:t xml:space="preserve">have implications for </w:t>
      </w:r>
      <w:r>
        <w:rPr>
          <w:color w:val="0E101A"/>
        </w:rPr>
        <w:t>guid</w:t>
      </w:r>
      <w:r w:rsidR="005C7EF3">
        <w:rPr>
          <w:color w:val="0E101A"/>
        </w:rPr>
        <w:t>ing</w:t>
      </w:r>
      <w:r>
        <w:rPr>
          <w:color w:val="0E101A"/>
        </w:rPr>
        <w:t xml:space="preserve"> </w:t>
      </w:r>
      <w:r w:rsidR="005C7EF3">
        <w:rPr>
          <w:color w:val="0E101A"/>
        </w:rPr>
        <w:t xml:space="preserve">intervention personalization for </w:t>
      </w:r>
      <w:r>
        <w:rPr>
          <w:color w:val="0E101A"/>
        </w:rPr>
        <w:t xml:space="preserve">individuals who struggle </w:t>
      </w:r>
      <w:r w:rsidR="00023166">
        <w:rPr>
          <w:color w:val="0E101A"/>
        </w:rPr>
        <w:t xml:space="preserve">to complete </w:t>
      </w:r>
      <w:r w:rsidR="005326DE">
        <w:rPr>
          <w:color w:val="0E101A"/>
        </w:rPr>
        <w:t>DMHIs</w:t>
      </w:r>
      <w:r w:rsidR="005C7EF3">
        <w:rPr>
          <w:color w:val="0E101A"/>
        </w:rPr>
        <w:t xml:space="preserve">. </w:t>
      </w:r>
    </w:p>
    <w:bookmarkEnd w:id="2"/>
    <w:bookmarkEnd w:id="3"/>
    <w:p w14:paraId="60757B9F" w14:textId="77777777" w:rsidR="000C45DD" w:rsidRPr="001B6B9B" w:rsidRDefault="000C45DD" w:rsidP="000C45DD">
      <w:pPr>
        <w:spacing w:line="480" w:lineRule="auto"/>
      </w:pPr>
    </w:p>
    <w:p w14:paraId="6F5464F5" w14:textId="446C9C66" w:rsidR="001E459F" w:rsidRPr="001E459F" w:rsidRDefault="000C45DD" w:rsidP="001E459F">
      <w:pPr>
        <w:rPr>
          <w:b/>
          <w:bCs/>
          <w:color w:val="000000" w:themeColor="text1"/>
        </w:rPr>
      </w:pPr>
      <w:r>
        <w:rPr>
          <w:b/>
          <w:bCs/>
          <w:color w:val="000000" w:themeColor="text1"/>
        </w:rPr>
        <w:br w:type="page"/>
      </w:r>
    </w:p>
    <w:p w14:paraId="13B20FC8" w14:textId="2886B755" w:rsidR="001E459F" w:rsidRPr="001E459F" w:rsidRDefault="001E459F" w:rsidP="0011383E">
      <w:pPr>
        <w:spacing w:line="480" w:lineRule="auto"/>
        <w:contextualSpacing/>
        <w:jc w:val="center"/>
        <w:rPr>
          <w:b/>
          <w:bCs/>
          <w:color w:val="000000" w:themeColor="text1"/>
        </w:rPr>
      </w:pPr>
      <w:r w:rsidRPr="001E459F">
        <w:rPr>
          <w:b/>
          <w:bCs/>
          <w:color w:val="000000" w:themeColor="text1"/>
        </w:rPr>
        <w:lastRenderedPageBreak/>
        <w:t xml:space="preserve">Predictors of </w:t>
      </w:r>
      <w:r w:rsidR="003D204F">
        <w:rPr>
          <w:b/>
          <w:bCs/>
          <w:color w:val="000000" w:themeColor="text1"/>
        </w:rPr>
        <w:t>Adherence to</w:t>
      </w:r>
      <w:r w:rsidRPr="001E459F">
        <w:rPr>
          <w:b/>
          <w:bCs/>
          <w:color w:val="000000" w:themeColor="text1"/>
        </w:rPr>
        <w:t xml:space="preserve"> a Publicly Available Self-Guided Digital Mental Health Intervention</w:t>
      </w:r>
    </w:p>
    <w:p w14:paraId="6D560CCC" w14:textId="0ACD0101" w:rsidR="00F81F32" w:rsidRDefault="002F0167" w:rsidP="00F81F32">
      <w:pPr>
        <w:pStyle w:val="NormalWeb"/>
        <w:spacing w:before="0" w:beforeAutospacing="0" w:after="0" w:afterAutospacing="0" w:line="480" w:lineRule="auto"/>
        <w:ind w:firstLine="720"/>
        <w:contextualSpacing/>
        <w:rPr>
          <w:color w:val="0E101A"/>
        </w:rPr>
      </w:pPr>
      <w:bookmarkStart w:id="4" w:name="OLE_LINK5"/>
      <w:bookmarkStart w:id="5" w:name="OLE_LINK6"/>
      <w:bookmarkEnd w:id="0"/>
      <w:bookmarkEnd w:id="1"/>
      <w:r w:rsidRPr="002F0167">
        <w:rPr>
          <w:color w:val="0E101A"/>
        </w:rPr>
        <w:t xml:space="preserve">Over two decades, </w:t>
      </w:r>
      <w:r w:rsidR="00730E8A">
        <w:rPr>
          <w:color w:val="0E101A"/>
        </w:rPr>
        <w:t xml:space="preserve">more than </w:t>
      </w:r>
      <w:r w:rsidRPr="002F0167">
        <w:rPr>
          <w:color w:val="0E101A"/>
        </w:rPr>
        <w:t xml:space="preserve">130 clinical trials have demonstrated the efficacy of </w:t>
      </w:r>
      <w:r w:rsidR="00501624">
        <w:rPr>
          <w:color w:val="0E101A"/>
        </w:rPr>
        <w:t>DMHIs</w:t>
      </w:r>
      <w:r w:rsidRPr="002F0167">
        <w:rPr>
          <w:color w:val="0E101A"/>
        </w:rPr>
        <w:t xml:space="preserve"> for anxiety and depression (Moshe et al., 2021; Pauley et al., 2021). As technology advances, </w:t>
      </w:r>
      <w:r w:rsidR="00501624">
        <w:rPr>
          <w:color w:val="0E101A"/>
        </w:rPr>
        <w:t>DMHIs</w:t>
      </w:r>
      <w:r w:rsidR="00501624" w:rsidRPr="002F0167">
        <w:rPr>
          <w:color w:val="0E101A"/>
        </w:rPr>
        <w:t xml:space="preserve"> </w:t>
      </w:r>
      <w:r w:rsidR="000367C5">
        <w:rPr>
          <w:color w:val="0E101A"/>
        </w:rPr>
        <w:t>are becoming</w:t>
      </w:r>
      <w:r w:rsidRPr="002F0167">
        <w:rPr>
          <w:color w:val="0E101A"/>
        </w:rPr>
        <w:t xml:space="preserve"> increasingly popular for scalable mental health care access. However, for empirically based </w:t>
      </w:r>
      <w:r w:rsidR="00501624">
        <w:rPr>
          <w:color w:val="0E101A"/>
        </w:rPr>
        <w:t>DMHIs</w:t>
      </w:r>
      <w:r w:rsidR="00501624" w:rsidRPr="002F0167">
        <w:rPr>
          <w:color w:val="0E101A"/>
        </w:rPr>
        <w:t xml:space="preserve"> </w:t>
      </w:r>
      <w:r w:rsidRPr="002F0167">
        <w:rPr>
          <w:color w:val="0E101A"/>
        </w:rPr>
        <w:t>to</w:t>
      </w:r>
      <w:r w:rsidR="00481F8C">
        <w:rPr>
          <w:color w:val="0E101A"/>
        </w:rPr>
        <w:t xml:space="preserve"> realize their purpose and</w:t>
      </w:r>
      <w:r w:rsidRPr="002F0167">
        <w:rPr>
          <w:color w:val="0E101A"/>
        </w:rPr>
        <w:t xml:space="preserve"> enhance treatment availability</w:t>
      </w:r>
      <w:r w:rsidR="00730E8A">
        <w:rPr>
          <w:color w:val="0E101A"/>
        </w:rPr>
        <w:t xml:space="preserve"> at the </w:t>
      </w:r>
      <w:r w:rsidR="00C25C44">
        <w:rPr>
          <w:color w:val="0E101A"/>
        </w:rPr>
        <w:t xml:space="preserve">population </w:t>
      </w:r>
      <w:r w:rsidR="00730E8A">
        <w:rPr>
          <w:color w:val="0E101A"/>
        </w:rPr>
        <w:t>level,</w:t>
      </w:r>
      <w:r w:rsidRPr="002F0167">
        <w:rPr>
          <w:color w:val="0E101A"/>
        </w:rPr>
        <w:t xml:space="preserve"> naturalistic</w:t>
      </w:r>
      <w:r w:rsidR="00730E8A">
        <w:rPr>
          <w:color w:val="0E101A"/>
        </w:rPr>
        <w:t xml:space="preserve"> user research</w:t>
      </w:r>
      <w:r w:rsidRPr="002F0167">
        <w:rPr>
          <w:color w:val="0E101A"/>
        </w:rPr>
        <w:t xml:space="preserve"> </w:t>
      </w:r>
      <w:r w:rsidR="00481F8C">
        <w:rPr>
          <w:color w:val="0E101A"/>
        </w:rPr>
        <w:t xml:space="preserve">is </w:t>
      </w:r>
      <w:r w:rsidRPr="002F0167">
        <w:rPr>
          <w:color w:val="0E101A"/>
        </w:rPr>
        <w:t xml:space="preserve">essential. </w:t>
      </w:r>
      <w:r w:rsidR="00C25C44">
        <w:rPr>
          <w:color w:val="0E101A"/>
        </w:rPr>
        <w:t>S</w:t>
      </w:r>
      <w:r w:rsidRPr="002F0167">
        <w:rPr>
          <w:color w:val="0E101A"/>
        </w:rPr>
        <w:t>ignificant gaps exist between research and the public marketplace.</w:t>
      </w:r>
      <w:r>
        <w:rPr>
          <w:color w:val="0E101A"/>
        </w:rPr>
        <w:t xml:space="preserve"> </w:t>
      </w:r>
      <w:r w:rsidR="00511D8D">
        <w:rPr>
          <w:color w:val="0E101A"/>
        </w:rPr>
        <w:t>T</w:t>
      </w:r>
      <w:r w:rsidR="004E02F2">
        <w:rPr>
          <w:color w:val="0E101A"/>
        </w:rPr>
        <w:t xml:space="preserve">here are relatively </w:t>
      </w:r>
      <w:r w:rsidR="000C45DD">
        <w:rPr>
          <w:color w:val="0E101A"/>
        </w:rPr>
        <w:t xml:space="preserve">few </w:t>
      </w:r>
      <w:r w:rsidR="00501624">
        <w:rPr>
          <w:color w:val="0E101A"/>
        </w:rPr>
        <w:t xml:space="preserve">DMHIs </w:t>
      </w:r>
      <w:r w:rsidR="005C18C4">
        <w:rPr>
          <w:color w:val="0E101A"/>
        </w:rPr>
        <w:t xml:space="preserve">available to the public </w:t>
      </w:r>
      <w:r w:rsidR="00511D8D">
        <w:rPr>
          <w:color w:val="0E101A"/>
        </w:rPr>
        <w:t xml:space="preserve">that have been directly evaluated in research, </w:t>
      </w:r>
      <w:r w:rsidR="005C18C4">
        <w:rPr>
          <w:color w:val="0E101A"/>
        </w:rPr>
        <w:t>compared to the thousands of available websites and mobile app programs which have never been tested in clinical trials (</w:t>
      </w:r>
      <w:bookmarkStart w:id="6" w:name="OLE_LINK15"/>
      <w:bookmarkStart w:id="7" w:name="OLE_LINK16"/>
      <w:r w:rsidR="005C18C4">
        <w:rPr>
          <w:color w:val="0E101A"/>
        </w:rPr>
        <w:t>Fleming et al., 201</w:t>
      </w:r>
      <w:r w:rsidR="008A3F3E">
        <w:rPr>
          <w:color w:val="0E101A"/>
        </w:rPr>
        <w:t>8</w:t>
      </w:r>
      <w:bookmarkEnd w:id="6"/>
      <w:bookmarkEnd w:id="7"/>
      <w:r w:rsidR="00511D8D">
        <w:rPr>
          <w:color w:val="0E101A"/>
        </w:rPr>
        <w:t>; Livingston et al., 2019</w:t>
      </w:r>
      <w:r w:rsidR="005C18C4">
        <w:rPr>
          <w:color w:val="0E101A"/>
        </w:rPr>
        <w:t xml:space="preserve">). </w:t>
      </w:r>
      <w:r w:rsidR="004E02F2">
        <w:rPr>
          <w:color w:val="0E101A"/>
        </w:rPr>
        <w:t xml:space="preserve">In general, programs with </w:t>
      </w:r>
      <w:r w:rsidR="00C05785">
        <w:rPr>
          <w:color w:val="0E101A"/>
        </w:rPr>
        <w:t xml:space="preserve">direct </w:t>
      </w:r>
      <w:r w:rsidR="004E02F2">
        <w:rPr>
          <w:color w:val="0E101A"/>
        </w:rPr>
        <w:t xml:space="preserve">empirical support </w:t>
      </w:r>
      <w:r w:rsidR="005C18C4">
        <w:rPr>
          <w:color w:val="0E101A"/>
        </w:rPr>
        <w:t>often do not reach the public market (Martinez-Perez, 2013)</w:t>
      </w:r>
      <w:r w:rsidR="00A35AD0">
        <w:rPr>
          <w:color w:val="0E101A"/>
        </w:rPr>
        <w:t>.</w:t>
      </w:r>
      <w:r w:rsidR="005B77B8">
        <w:rPr>
          <w:color w:val="0E101A"/>
        </w:rPr>
        <w:t xml:space="preserve"> </w:t>
      </w:r>
      <w:r w:rsidR="00F81F32">
        <w:rPr>
          <w:color w:val="0E101A"/>
        </w:rPr>
        <w:t>W</w:t>
      </w:r>
      <w:r w:rsidR="005B77B8" w:rsidRPr="005B77B8">
        <w:rPr>
          <w:color w:val="0E101A"/>
        </w:rPr>
        <w:t xml:space="preserve">hile the public dissemination of these tools is crucial, it </w:t>
      </w:r>
      <w:r w:rsidR="005B77B8">
        <w:rPr>
          <w:color w:val="0E101A"/>
        </w:rPr>
        <w:t xml:space="preserve">may be </w:t>
      </w:r>
      <w:r w:rsidR="005B77B8" w:rsidRPr="005B77B8">
        <w:rPr>
          <w:color w:val="0E101A"/>
        </w:rPr>
        <w:t>equally important to monitor their usage</w:t>
      </w:r>
      <w:r w:rsidR="005B77B8">
        <w:rPr>
          <w:color w:val="0E101A"/>
        </w:rPr>
        <w:t xml:space="preserve">, </w:t>
      </w:r>
      <w:r w:rsidR="005B77B8" w:rsidRPr="005B77B8">
        <w:rPr>
          <w:color w:val="0E101A"/>
        </w:rPr>
        <w:t xml:space="preserve">as meta-analytic findings </w:t>
      </w:r>
      <w:r w:rsidR="005B77B8">
        <w:rPr>
          <w:color w:val="0E101A"/>
        </w:rPr>
        <w:t>from DMHI trial</w:t>
      </w:r>
      <w:r w:rsidR="00C616AF">
        <w:rPr>
          <w:color w:val="0E101A"/>
        </w:rPr>
        <w:t>s</w:t>
      </w:r>
      <w:r w:rsidR="005B77B8">
        <w:rPr>
          <w:color w:val="0E101A"/>
        </w:rPr>
        <w:t xml:space="preserve"> </w:t>
      </w:r>
      <w:r w:rsidR="005B77B8" w:rsidRPr="005B77B8">
        <w:rPr>
          <w:color w:val="0E101A"/>
        </w:rPr>
        <w:t xml:space="preserve">indicate </w:t>
      </w:r>
      <w:r w:rsidR="005B77B8">
        <w:rPr>
          <w:color w:val="0E101A"/>
        </w:rPr>
        <w:t xml:space="preserve">program </w:t>
      </w:r>
      <w:r w:rsidR="00C616AF">
        <w:rPr>
          <w:color w:val="0E101A"/>
        </w:rPr>
        <w:t>adherence</w:t>
      </w:r>
      <w:r w:rsidR="005B77B8" w:rsidRPr="005B77B8">
        <w:rPr>
          <w:color w:val="0E101A"/>
        </w:rPr>
        <w:t xml:space="preserve"> is consistently related to symptom reduction post-program (Gan et al., 2021). Adherence to DMHIs in trial contexts has been a known challenge (see Forbes et al., 2023)</w:t>
      </w:r>
      <w:r w:rsidR="00F81F32">
        <w:rPr>
          <w:color w:val="0E101A"/>
        </w:rPr>
        <w:t xml:space="preserve">, </w:t>
      </w:r>
      <w:r w:rsidR="00F81F32" w:rsidRPr="005B77B8">
        <w:rPr>
          <w:color w:val="0E101A"/>
        </w:rPr>
        <w:t>and this problem could be both larger and different when shifting to the naturalistic use settings these programs aim to be deployed to.</w:t>
      </w:r>
    </w:p>
    <w:p w14:paraId="1F1E317A" w14:textId="74A4B160" w:rsidR="00203AC9" w:rsidRDefault="00273A56" w:rsidP="003A6D5B">
      <w:pPr>
        <w:pStyle w:val="NormalWeb"/>
        <w:spacing w:before="0" w:beforeAutospacing="0" w:after="0" w:afterAutospacing="0" w:line="480" w:lineRule="auto"/>
        <w:rPr>
          <w:rStyle w:val="Strong"/>
          <w:b w:val="0"/>
          <w:bCs w:val="0"/>
          <w:color w:val="0E101A"/>
        </w:rPr>
      </w:pPr>
      <w:bookmarkStart w:id="8" w:name="OLE_LINK38"/>
      <w:bookmarkStart w:id="9" w:name="OLE_LINK39"/>
      <w:bookmarkStart w:id="10" w:name="OLE_LINK36"/>
      <w:bookmarkStart w:id="11" w:name="OLE_LINK37"/>
      <w:r>
        <w:rPr>
          <w:color w:val="0E101A"/>
        </w:rPr>
        <w:t xml:space="preserve"> </w:t>
      </w:r>
      <w:bookmarkStart w:id="12" w:name="OLE_LINK33"/>
      <w:bookmarkStart w:id="13" w:name="OLE_LINK34"/>
      <w:r w:rsidR="00B10847">
        <w:rPr>
          <w:color w:val="0E101A"/>
        </w:rPr>
        <w:tab/>
      </w:r>
      <w:r w:rsidR="00F81F32">
        <w:rPr>
          <w:color w:val="0E101A"/>
        </w:rPr>
        <w:t>Trial data from DMHIs</w:t>
      </w:r>
      <w:r w:rsidR="00F81F32" w:rsidRPr="00F81F32">
        <w:rPr>
          <w:color w:val="0E101A"/>
        </w:rPr>
        <w:t xml:space="preserve"> grounded in evidence-based therapies, such as cognitive behavioral therapy and acceptance and commitment therapy (ACT)</w:t>
      </w:r>
      <w:r w:rsidR="00F81F32">
        <w:rPr>
          <w:color w:val="0E101A"/>
        </w:rPr>
        <w:t>, have shown that program completion rates often fall below 50%, and</w:t>
      </w:r>
      <w:r w:rsidR="00F81F32" w:rsidRPr="00F81F32">
        <w:rPr>
          <w:color w:val="0E101A"/>
        </w:rPr>
        <w:t xml:space="preserve"> </w:t>
      </w:r>
      <w:r w:rsidR="00F81F32">
        <w:rPr>
          <w:color w:val="0E101A"/>
        </w:rPr>
        <w:t>the</w:t>
      </w:r>
      <w:r w:rsidR="00F81F32" w:rsidRPr="00F81F32">
        <w:rPr>
          <w:color w:val="0E101A"/>
        </w:rPr>
        <w:t xml:space="preserve"> </w:t>
      </w:r>
      <w:r w:rsidR="00F81F32">
        <w:rPr>
          <w:color w:val="0E101A"/>
        </w:rPr>
        <w:t>majority</w:t>
      </w:r>
      <w:r w:rsidR="00F81F32" w:rsidRPr="00F81F32">
        <w:rPr>
          <w:color w:val="0E101A"/>
        </w:rPr>
        <w:t xml:space="preserve"> of </w:t>
      </w:r>
      <w:r w:rsidR="00F81F32">
        <w:rPr>
          <w:color w:val="0E101A"/>
        </w:rPr>
        <w:t xml:space="preserve">trial </w:t>
      </w:r>
      <w:r w:rsidR="00F81F32" w:rsidRPr="00F81F32">
        <w:rPr>
          <w:color w:val="0E101A"/>
        </w:rPr>
        <w:t xml:space="preserve">participants typically do not </w:t>
      </w:r>
      <w:r w:rsidR="00F81F32">
        <w:rPr>
          <w:color w:val="0E101A"/>
        </w:rPr>
        <w:t>reach</w:t>
      </w:r>
      <w:r w:rsidR="00F81F32" w:rsidRPr="00F81F32">
        <w:rPr>
          <w:color w:val="0E101A"/>
        </w:rPr>
        <w:t xml:space="preserve"> full completion of these programs (Lipschitz et al., 2022;</w:t>
      </w:r>
      <w:r w:rsidR="00447444">
        <w:rPr>
          <w:color w:val="0E101A"/>
        </w:rPr>
        <w:t xml:space="preserve"> </w:t>
      </w:r>
      <w:proofErr w:type="spellStart"/>
      <w:r w:rsidR="00447444">
        <w:rPr>
          <w:color w:val="0E101A"/>
        </w:rPr>
        <w:t>Klimczak</w:t>
      </w:r>
      <w:proofErr w:type="spellEnd"/>
      <w:r w:rsidR="00447444">
        <w:rPr>
          <w:color w:val="0E101A"/>
        </w:rPr>
        <w:t xml:space="preserve"> et al., 2023). </w:t>
      </w:r>
      <w:r w:rsidR="00F81F32" w:rsidRPr="00F81F32">
        <w:rPr>
          <w:color w:val="0E101A"/>
        </w:rPr>
        <w:t xml:space="preserve">Although there's a </w:t>
      </w:r>
      <w:r w:rsidR="00B10847">
        <w:rPr>
          <w:color w:val="0E101A"/>
        </w:rPr>
        <w:t>paucity of published</w:t>
      </w:r>
      <w:r w:rsidR="00F81F32" w:rsidRPr="00F81F32">
        <w:rPr>
          <w:color w:val="0E101A"/>
        </w:rPr>
        <w:t xml:space="preserve"> data on the naturalistic usage of DMHIs, emerging concerns highlight the variable impact and adherence to self-help programs </w:t>
      </w:r>
      <w:r w:rsidR="00B10847">
        <w:rPr>
          <w:color w:val="0E101A"/>
        </w:rPr>
        <w:t>outside of</w:t>
      </w:r>
      <w:r w:rsidR="00F81F32" w:rsidRPr="00F81F32">
        <w:rPr>
          <w:color w:val="0E101A"/>
        </w:rPr>
        <w:t xml:space="preserve"> controlled trial </w:t>
      </w:r>
      <w:r w:rsidR="00F81F32" w:rsidRPr="00F81F32">
        <w:rPr>
          <w:color w:val="0E101A"/>
        </w:rPr>
        <w:lastRenderedPageBreak/>
        <w:t>environments (Baumel et al., 2019)</w:t>
      </w:r>
      <w:r w:rsidR="00B10847">
        <w:rPr>
          <w:color w:val="0E101A"/>
        </w:rPr>
        <w:t xml:space="preserve">. </w:t>
      </w:r>
      <w:r w:rsidR="00B10847" w:rsidRPr="00B10847">
        <w:rPr>
          <w:color w:val="0E101A"/>
        </w:rPr>
        <w:t>These insights particularly underscore the possibility that adherence rates may be markedly lower in naturalistic environments.</w:t>
      </w:r>
      <w:r w:rsidR="00B10847">
        <w:rPr>
          <w:color w:val="0E101A"/>
        </w:rPr>
        <w:t xml:space="preserve"> </w:t>
      </w:r>
      <w:bookmarkEnd w:id="8"/>
      <w:bookmarkEnd w:id="9"/>
      <w:bookmarkEnd w:id="12"/>
      <w:bookmarkEnd w:id="13"/>
      <w:r w:rsidR="00D6534C">
        <w:rPr>
          <w:color w:val="0E101A"/>
        </w:rPr>
        <w:t>P</w:t>
      </w:r>
      <w:r w:rsidR="005C18C4">
        <w:rPr>
          <w:color w:val="0E101A"/>
        </w:rPr>
        <w:t>articipants in a trial</w:t>
      </w:r>
      <w:r w:rsidR="00D6534C">
        <w:rPr>
          <w:color w:val="0E101A"/>
        </w:rPr>
        <w:t xml:space="preserve"> may</w:t>
      </w:r>
      <w:r w:rsidR="005C18C4">
        <w:rPr>
          <w:color w:val="0E101A"/>
        </w:rPr>
        <w:t xml:space="preserve"> benefit from assessment effects or face-to-face contact, which may be especially helpful for </w:t>
      </w:r>
      <w:r w:rsidR="00AF3EFE">
        <w:rPr>
          <w:color w:val="0E101A"/>
        </w:rPr>
        <w:t xml:space="preserve">adherence </w:t>
      </w:r>
      <w:r w:rsidR="005C18C4">
        <w:rPr>
          <w:color w:val="0E101A"/>
        </w:rPr>
        <w:t xml:space="preserve">and treatment success </w:t>
      </w:r>
      <w:r w:rsidR="00E234D4">
        <w:rPr>
          <w:color w:val="0E101A"/>
        </w:rPr>
        <w:t>with</w:t>
      </w:r>
      <w:r w:rsidR="005C18C4">
        <w:rPr>
          <w:color w:val="0E101A"/>
        </w:rPr>
        <w:t xml:space="preserve"> unguided intervention</w:t>
      </w:r>
      <w:r w:rsidR="00873C0A">
        <w:rPr>
          <w:color w:val="0E101A"/>
        </w:rPr>
        <w:t>s</w:t>
      </w:r>
      <w:r w:rsidR="005C18C4">
        <w:rPr>
          <w:color w:val="0E101A"/>
        </w:rPr>
        <w:t>.</w:t>
      </w:r>
      <w:r w:rsidR="00C70440">
        <w:rPr>
          <w:color w:val="0E101A"/>
        </w:rPr>
        <w:t xml:space="preserve"> </w:t>
      </w:r>
      <w:bookmarkEnd w:id="10"/>
      <w:bookmarkEnd w:id="11"/>
      <w:r w:rsidR="00052AF6">
        <w:rPr>
          <w:color w:val="0E101A"/>
        </w:rPr>
        <w:t>A</w:t>
      </w:r>
      <w:r w:rsidR="00C70440" w:rsidRPr="00C70440">
        <w:rPr>
          <w:color w:val="0E101A"/>
        </w:rPr>
        <w:t xml:space="preserve">dditional researcher contact can increase adherence to online programs through processes such as those identified in the supportive accountability model </w:t>
      </w:r>
      <w:r w:rsidR="003616B0">
        <w:rPr>
          <w:color w:val="0E101A"/>
        </w:rPr>
        <w:t xml:space="preserve">(see Mohr et al., 2011). </w:t>
      </w:r>
      <w:r w:rsidR="00D6534C">
        <w:rPr>
          <w:color w:val="0E101A"/>
        </w:rPr>
        <w:t xml:space="preserve">In addition, participants who </w:t>
      </w:r>
      <w:r w:rsidR="00052AF6">
        <w:rPr>
          <w:color w:val="0E101A"/>
        </w:rPr>
        <w:t xml:space="preserve">successfully enroll </w:t>
      </w:r>
      <w:r w:rsidR="00D6534C">
        <w:rPr>
          <w:color w:val="0E101A"/>
        </w:rPr>
        <w:t>in trial</w:t>
      </w:r>
      <w:r w:rsidR="00561314">
        <w:rPr>
          <w:color w:val="0E101A"/>
        </w:rPr>
        <w:t>s</w:t>
      </w:r>
      <w:r w:rsidR="00D6534C">
        <w:rPr>
          <w:color w:val="0E101A"/>
        </w:rPr>
        <w:t xml:space="preserve"> likely represent a subsample of individuals who will be more adherent to an online intervention</w:t>
      </w:r>
      <w:r w:rsidR="00893ECC">
        <w:rPr>
          <w:color w:val="0E101A"/>
        </w:rPr>
        <w:t xml:space="preserve">, raising the question of whether results from samples in controlled trials generalize to the broader population online </w:t>
      </w:r>
      <w:r w:rsidR="00873C0A">
        <w:rPr>
          <w:color w:val="0E101A"/>
        </w:rPr>
        <w:t xml:space="preserve">interventions </w:t>
      </w:r>
      <w:r w:rsidR="00893ECC">
        <w:rPr>
          <w:color w:val="0E101A"/>
        </w:rPr>
        <w:t>aim to reach</w:t>
      </w:r>
      <w:r w:rsidR="00D6534C">
        <w:rPr>
          <w:color w:val="0E101A"/>
        </w:rPr>
        <w:t xml:space="preserve">. </w:t>
      </w:r>
      <w:r w:rsidR="005C18C4">
        <w:rPr>
          <w:color w:val="0E101A"/>
        </w:rPr>
        <w:t xml:space="preserve">A novel study by </w:t>
      </w:r>
      <w:bookmarkStart w:id="14" w:name="OLE_LINK3"/>
      <w:bookmarkStart w:id="15" w:name="OLE_LINK4"/>
      <w:r w:rsidR="005C18C4">
        <w:rPr>
          <w:color w:val="0E101A"/>
        </w:rPr>
        <w:t>Baumel</w:t>
      </w:r>
      <w:bookmarkEnd w:id="14"/>
      <w:bookmarkEnd w:id="15"/>
      <w:r w:rsidR="005C18C4">
        <w:rPr>
          <w:color w:val="0E101A"/>
        </w:rPr>
        <w:t xml:space="preserve"> et al. 2019 leveraged aggregated user traffic data from ten online self-help websites to compare </w:t>
      </w:r>
      <w:r w:rsidR="00386006">
        <w:rPr>
          <w:color w:val="0E101A"/>
        </w:rPr>
        <w:t>the extent of program us</w:t>
      </w:r>
      <w:r w:rsidR="00531685">
        <w:rPr>
          <w:color w:val="0E101A"/>
        </w:rPr>
        <w:t>e</w:t>
      </w:r>
      <w:r w:rsidR="005C18C4">
        <w:rPr>
          <w:color w:val="0E101A"/>
        </w:rPr>
        <w:t xml:space="preserve"> from clinical trial research of online self-help websites to data collected on the naturalistic use of the same programs. For programs involving contact, results showed </w:t>
      </w:r>
      <w:r w:rsidR="00661B02">
        <w:rPr>
          <w:color w:val="0E101A"/>
        </w:rPr>
        <w:t xml:space="preserve">adherence </w:t>
      </w:r>
      <w:r w:rsidR="005C18C4">
        <w:rPr>
          <w:color w:val="0E101A"/>
        </w:rPr>
        <w:t>rates reported in published studies were just over four times higher than real-world usage of the same program</w:t>
      </w:r>
      <w:r w:rsidR="00203AC9">
        <w:rPr>
          <w:color w:val="0E101A"/>
        </w:rPr>
        <w:t>, indicating a potential trial bias.</w:t>
      </w:r>
      <w:r w:rsidR="00E22AEC">
        <w:rPr>
          <w:color w:val="0E101A"/>
        </w:rPr>
        <w:t xml:space="preserve"> Indeed, the emerging data on real-world use of </w:t>
      </w:r>
      <w:r w:rsidR="00633535">
        <w:rPr>
          <w:color w:val="0E101A"/>
        </w:rPr>
        <w:t xml:space="preserve">DMHIs </w:t>
      </w:r>
      <w:r w:rsidR="001E07B9">
        <w:rPr>
          <w:color w:val="0E101A"/>
        </w:rPr>
        <w:t>has shown that</w:t>
      </w:r>
      <w:r w:rsidR="00E22AEC">
        <w:rPr>
          <w:color w:val="0E101A"/>
        </w:rPr>
        <w:t xml:space="preserve"> </w:t>
      </w:r>
      <w:r w:rsidR="00661B02">
        <w:rPr>
          <w:color w:val="0E101A"/>
        </w:rPr>
        <w:t xml:space="preserve">adherence </w:t>
      </w:r>
      <w:r w:rsidR="001E07B9">
        <w:rPr>
          <w:color w:val="0E101A"/>
        </w:rPr>
        <w:t>is</w:t>
      </w:r>
      <w:r w:rsidR="00E22AEC">
        <w:rPr>
          <w:color w:val="0E101A"/>
        </w:rPr>
        <w:t xml:space="preserve"> variable, with a few studies </w:t>
      </w:r>
      <w:r w:rsidR="001E07B9">
        <w:rPr>
          <w:color w:val="0E101A"/>
        </w:rPr>
        <w:t>revealing</w:t>
      </w:r>
      <w:r w:rsidR="00E22AEC">
        <w:rPr>
          <w:color w:val="0E101A"/>
        </w:rPr>
        <w:t xml:space="preserve"> that </w:t>
      </w:r>
      <w:r w:rsidR="00203AC9">
        <w:rPr>
          <w:color w:val="0E101A"/>
        </w:rPr>
        <w:t xml:space="preserve">21% to 88% </w:t>
      </w:r>
      <w:r w:rsidR="00E22AEC">
        <w:rPr>
          <w:color w:val="0E101A"/>
        </w:rPr>
        <w:t xml:space="preserve">of real-world </w:t>
      </w:r>
      <w:r w:rsidR="00203AC9">
        <w:rPr>
          <w:color w:val="0E101A"/>
        </w:rPr>
        <w:t>users complet</w:t>
      </w:r>
      <w:r w:rsidR="001E07B9">
        <w:rPr>
          <w:color w:val="0E101A"/>
        </w:rPr>
        <w:t>e</w:t>
      </w:r>
      <w:r w:rsidR="00BC2F32">
        <w:rPr>
          <w:color w:val="0E101A"/>
        </w:rPr>
        <w:t xml:space="preserve"> </w:t>
      </w:r>
      <w:r w:rsidR="00203AC9">
        <w:rPr>
          <w:color w:val="0E101A"/>
        </w:rPr>
        <w:t>one program module or sign into the program at least once, and nearly half of users only complet</w:t>
      </w:r>
      <w:r w:rsidR="001E07B9">
        <w:rPr>
          <w:color w:val="0E101A"/>
        </w:rPr>
        <w:t>e</w:t>
      </w:r>
      <w:r w:rsidR="00E22AEC">
        <w:rPr>
          <w:color w:val="0E101A"/>
        </w:rPr>
        <w:t xml:space="preserve"> </w:t>
      </w:r>
      <w:r w:rsidR="00203AC9">
        <w:rPr>
          <w:color w:val="0E101A"/>
        </w:rPr>
        <w:t>between 40% and 60% of the program</w:t>
      </w:r>
      <w:r w:rsidR="00E22AEC">
        <w:rPr>
          <w:color w:val="0E101A"/>
        </w:rPr>
        <w:t xml:space="preserve"> (</w:t>
      </w:r>
      <w:bookmarkStart w:id="16" w:name="OLE_LINK27"/>
      <w:bookmarkStart w:id="17" w:name="OLE_LINK28"/>
      <w:r w:rsidR="001E07B9">
        <w:rPr>
          <w:color w:val="0E101A"/>
        </w:rPr>
        <w:t>Flemming et al., 201</w:t>
      </w:r>
      <w:r w:rsidR="008A3F3E">
        <w:rPr>
          <w:color w:val="0E101A"/>
        </w:rPr>
        <w:t>8</w:t>
      </w:r>
      <w:r w:rsidR="001E07B9">
        <w:rPr>
          <w:color w:val="0E101A"/>
        </w:rPr>
        <w:t>)</w:t>
      </w:r>
      <w:r w:rsidR="00203AC9">
        <w:rPr>
          <w:color w:val="0E101A"/>
        </w:rPr>
        <w:t xml:space="preserve">. </w:t>
      </w:r>
      <w:bookmarkEnd w:id="16"/>
      <w:bookmarkEnd w:id="17"/>
      <w:r w:rsidR="007E7F4B" w:rsidRPr="007E7F4B">
        <w:rPr>
          <w:color w:val="0E101A"/>
        </w:rPr>
        <w:t>Adherence to DMHI</w:t>
      </w:r>
      <w:r w:rsidR="007E7F4B">
        <w:rPr>
          <w:color w:val="0E101A"/>
        </w:rPr>
        <w:t>s</w:t>
      </w:r>
      <w:r w:rsidR="007E7F4B" w:rsidRPr="007E7F4B">
        <w:rPr>
          <w:color w:val="0E101A"/>
        </w:rPr>
        <w:t xml:space="preserve"> </w:t>
      </w:r>
      <w:r w:rsidR="007E7F4B">
        <w:rPr>
          <w:color w:val="0E101A"/>
        </w:rPr>
        <w:t>can be considered one</w:t>
      </w:r>
      <w:r w:rsidR="007E7F4B" w:rsidRPr="007E7F4B">
        <w:rPr>
          <w:color w:val="0E101A"/>
        </w:rPr>
        <w:t xml:space="preserve"> aspect of </w:t>
      </w:r>
      <w:r w:rsidR="007E7F4B">
        <w:rPr>
          <w:color w:val="0E101A"/>
        </w:rPr>
        <w:t xml:space="preserve">dedicated </w:t>
      </w:r>
      <w:r w:rsidR="00921683">
        <w:rPr>
          <w:color w:val="0E101A"/>
        </w:rPr>
        <w:t>engagement</w:t>
      </w:r>
      <w:r w:rsidR="007E7F4B">
        <w:rPr>
          <w:color w:val="0E101A"/>
        </w:rPr>
        <w:t xml:space="preserve"> with the program</w:t>
      </w:r>
      <w:r w:rsidR="00921683">
        <w:rPr>
          <w:color w:val="0E101A"/>
        </w:rPr>
        <w:t xml:space="preserve"> (Perski et al., 2017)</w:t>
      </w:r>
      <w:r w:rsidR="007E7F4B">
        <w:rPr>
          <w:color w:val="0E101A"/>
        </w:rPr>
        <w:t xml:space="preserve">, </w:t>
      </w:r>
      <w:r w:rsidR="007E7F4B" w:rsidRPr="007E7F4B">
        <w:rPr>
          <w:color w:val="0E101A"/>
        </w:rPr>
        <w:t>allowing users to derive benefits from newly acquired psychotherapeutic skills.</w:t>
      </w:r>
      <w:r w:rsidR="007E7F4B">
        <w:rPr>
          <w:color w:val="0E101A"/>
        </w:rPr>
        <w:t xml:space="preserve"> </w:t>
      </w:r>
      <w:r w:rsidR="00921683" w:rsidRPr="00921683">
        <w:rPr>
          <w:color w:val="0E101A"/>
        </w:rPr>
        <w:t xml:space="preserve">The marked </w:t>
      </w:r>
      <w:r w:rsidR="00E75E63" w:rsidRPr="00E75E63">
        <w:rPr>
          <w:color w:val="0E101A"/>
        </w:rPr>
        <w:t>deficienc</w:t>
      </w:r>
      <w:r w:rsidR="00E75E63">
        <w:rPr>
          <w:color w:val="0E101A"/>
        </w:rPr>
        <w:t xml:space="preserve">ies </w:t>
      </w:r>
      <w:r w:rsidR="00921683" w:rsidRPr="00921683">
        <w:rPr>
          <w:color w:val="0E101A"/>
        </w:rPr>
        <w:t xml:space="preserve">in adherence to publicly available </w:t>
      </w:r>
      <w:r w:rsidR="00921683">
        <w:rPr>
          <w:color w:val="0E101A"/>
        </w:rPr>
        <w:t>DMHIs</w:t>
      </w:r>
      <w:r w:rsidR="00E75E63">
        <w:rPr>
          <w:color w:val="0E101A"/>
        </w:rPr>
        <w:t xml:space="preserve"> therefore poses</w:t>
      </w:r>
      <w:r w:rsidR="00E75E63" w:rsidRPr="00E75E63">
        <w:rPr>
          <w:color w:val="0E101A"/>
        </w:rPr>
        <w:t xml:space="preserve"> a significant</w:t>
      </w:r>
      <w:r w:rsidR="00921683" w:rsidRPr="00921683">
        <w:rPr>
          <w:color w:val="0E101A"/>
        </w:rPr>
        <w:t xml:space="preserve"> barrier to the </w:t>
      </w:r>
      <w:r w:rsidR="00E75E63">
        <w:rPr>
          <w:color w:val="0E101A"/>
        </w:rPr>
        <w:t>successful</w:t>
      </w:r>
      <w:r w:rsidR="00921683" w:rsidRPr="00921683">
        <w:rPr>
          <w:color w:val="0E101A"/>
        </w:rPr>
        <w:t xml:space="preserve"> implementation of these services at the public health level.</w:t>
      </w:r>
    </w:p>
    <w:p w14:paraId="346EB09E" w14:textId="6D35B1B9" w:rsidR="00561314" w:rsidRPr="0035551F" w:rsidRDefault="00E75E63" w:rsidP="008453F9">
      <w:pPr>
        <w:pStyle w:val="NormalWeb"/>
        <w:spacing w:before="0" w:beforeAutospacing="0" w:after="0" w:afterAutospacing="0" w:line="480" w:lineRule="auto"/>
        <w:ind w:firstLine="720"/>
        <w:rPr>
          <w:rStyle w:val="Strong"/>
          <w:b w:val="0"/>
          <w:bCs w:val="0"/>
        </w:rPr>
      </w:pPr>
      <w:r>
        <w:rPr>
          <w:rStyle w:val="Strong"/>
          <w:b w:val="0"/>
          <w:bCs w:val="0"/>
          <w:color w:val="0E101A"/>
        </w:rPr>
        <w:lastRenderedPageBreak/>
        <w:t>Attempting to make sense of DMHI</w:t>
      </w:r>
      <w:r w:rsidR="00D21FFD">
        <w:rPr>
          <w:rStyle w:val="Strong"/>
          <w:b w:val="0"/>
          <w:bCs w:val="0"/>
          <w:color w:val="0E101A"/>
        </w:rPr>
        <w:t xml:space="preserve"> </w:t>
      </w:r>
      <w:r w:rsidR="00414E2C">
        <w:rPr>
          <w:rStyle w:val="Strong"/>
          <w:b w:val="0"/>
          <w:bCs w:val="0"/>
          <w:color w:val="0E101A"/>
        </w:rPr>
        <w:t xml:space="preserve">adherence </w:t>
      </w:r>
      <w:r w:rsidR="00B72364">
        <w:rPr>
          <w:rStyle w:val="Strong"/>
          <w:b w:val="0"/>
          <w:bCs w:val="0"/>
          <w:color w:val="0E101A"/>
        </w:rPr>
        <w:t>issue</w:t>
      </w:r>
      <w:r w:rsidR="009F3FE6">
        <w:rPr>
          <w:rStyle w:val="Strong"/>
          <w:b w:val="0"/>
          <w:bCs w:val="0"/>
          <w:color w:val="0E101A"/>
        </w:rPr>
        <w:t>s</w:t>
      </w:r>
      <w:r>
        <w:rPr>
          <w:rStyle w:val="Strong"/>
          <w:b w:val="0"/>
          <w:bCs w:val="0"/>
          <w:color w:val="0E101A"/>
        </w:rPr>
        <w:t xml:space="preserve">, some </w:t>
      </w:r>
      <w:r w:rsidR="00BA5023">
        <w:rPr>
          <w:rStyle w:val="Strong"/>
          <w:b w:val="0"/>
          <w:bCs w:val="0"/>
          <w:color w:val="0E101A"/>
        </w:rPr>
        <w:t xml:space="preserve">researchers </w:t>
      </w:r>
      <w:r>
        <w:rPr>
          <w:rStyle w:val="Strong"/>
          <w:b w:val="0"/>
          <w:bCs w:val="0"/>
          <w:color w:val="0E101A"/>
        </w:rPr>
        <w:t>have opted to analyze</w:t>
      </w:r>
      <w:r w:rsidR="007B7B2A">
        <w:rPr>
          <w:rStyle w:val="Strong"/>
          <w:b w:val="0"/>
          <w:bCs w:val="0"/>
          <w:color w:val="0E101A"/>
        </w:rPr>
        <w:t xml:space="preserve"> trial</w:t>
      </w:r>
      <w:r w:rsidR="00052AF6">
        <w:rPr>
          <w:rStyle w:val="Strong"/>
          <w:b w:val="0"/>
          <w:bCs w:val="0"/>
          <w:color w:val="0E101A"/>
        </w:rPr>
        <w:t xml:space="preserve"> data</w:t>
      </w:r>
      <w:r w:rsidR="00B20880">
        <w:rPr>
          <w:rStyle w:val="Strong"/>
          <w:b w:val="0"/>
          <w:bCs w:val="0"/>
          <w:color w:val="0E101A"/>
        </w:rPr>
        <w:t xml:space="preserve"> to</w:t>
      </w:r>
      <w:r w:rsidR="00052AF6">
        <w:rPr>
          <w:rStyle w:val="Strong"/>
          <w:b w:val="0"/>
          <w:bCs w:val="0"/>
          <w:color w:val="0E101A"/>
        </w:rPr>
        <w:t xml:space="preserve"> </w:t>
      </w:r>
      <w:r>
        <w:rPr>
          <w:rStyle w:val="Strong"/>
          <w:b w:val="0"/>
          <w:bCs w:val="0"/>
          <w:color w:val="0E101A"/>
        </w:rPr>
        <w:t>identify</w:t>
      </w:r>
      <w:r w:rsidR="00B72364">
        <w:rPr>
          <w:rStyle w:val="Strong"/>
          <w:b w:val="0"/>
          <w:bCs w:val="0"/>
          <w:color w:val="0E101A"/>
        </w:rPr>
        <w:t xml:space="preserve"> predictors of </w:t>
      </w:r>
      <w:r w:rsidR="00414E2C">
        <w:rPr>
          <w:rStyle w:val="Strong"/>
          <w:b w:val="0"/>
          <w:bCs w:val="0"/>
          <w:color w:val="0E101A"/>
        </w:rPr>
        <w:t>adherence</w:t>
      </w:r>
      <w:r>
        <w:rPr>
          <w:rStyle w:val="Strong"/>
          <w:b w:val="0"/>
          <w:bCs w:val="0"/>
          <w:color w:val="0E101A"/>
        </w:rPr>
        <w:t xml:space="preserve">. </w:t>
      </w:r>
      <w:r w:rsidR="00561314" w:rsidRPr="00561314">
        <w:t xml:space="preserve">For instance, a study on mobile mental health services found smartphone experience </w:t>
      </w:r>
      <w:r w:rsidR="00C44B7E">
        <w:t>improved</w:t>
      </w:r>
      <w:r w:rsidR="00C44B7E" w:rsidRPr="00561314">
        <w:t xml:space="preserve"> </w:t>
      </w:r>
      <w:r w:rsidR="000A780D">
        <w:t>adherence</w:t>
      </w:r>
      <w:r w:rsidR="00561314" w:rsidRPr="00561314">
        <w:t xml:space="preserve">, while </w:t>
      </w:r>
      <w:r w:rsidR="000A780D">
        <w:t xml:space="preserve">higher </w:t>
      </w:r>
      <w:r w:rsidR="00561314" w:rsidRPr="00561314">
        <w:t xml:space="preserve">depression </w:t>
      </w:r>
      <w:r w:rsidR="00C44B7E">
        <w:t>led</w:t>
      </w:r>
      <w:r w:rsidR="00C44B7E" w:rsidRPr="00561314">
        <w:t xml:space="preserve"> </w:t>
      </w:r>
      <w:r w:rsidR="00561314" w:rsidRPr="00561314">
        <w:t xml:space="preserve">to lower </w:t>
      </w:r>
      <w:r w:rsidR="000A780D">
        <w:t>adherence</w:t>
      </w:r>
      <w:r w:rsidR="000A780D" w:rsidRPr="00561314">
        <w:t xml:space="preserve"> </w:t>
      </w:r>
      <w:r w:rsidR="00561314" w:rsidRPr="00561314">
        <w:t>(Buck et al., 2020).</w:t>
      </w:r>
      <w:r w:rsidR="00052AF6">
        <w:t xml:space="preserve"> Another study</w:t>
      </w:r>
      <w:r w:rsidR="00561314" w:rsidRPr="00561314">
        <w:t xml:space="preserve"> </w:t>
      </w:r>
      <w:r w:rsidR="00052AF6">
        <w:t xml:space="preserve">found </w:t>
      </w:r>
      <w:r w:rsidR="00561314" w:rsidRPr="00561314">
        <w:t xml:space="preserve">older age, </w:t>
      </w:r>
      <w:r w:rsidR="00C0046A">
        <w:t>being a woman,</w:t>
      </w:r>
      <w:r w:rsidR="00C44B7E">
        <w:t xml:space="preserve"> experiencing</w:t>
      </w:r>
      <w:r w:rsidR="009036F0">
        <w:t xml:space="preserve"> </w:t>
      </w:r>
      <w:r w:rsidR="00561314" w:rsidRPr="00561314">
        <w:t>barriers to mental health services, and concurrent therapy</w:t>
      </w:r>
      <w:r w:rsidR="00C0046A">
        <w:t xml:space="preserve"> all</w:t>
      </w:r>
      <w:r w:rsidR="00561314" w:rsidRPr="00561314">
        <w:t xml:space="preserve"> predicted </w:t>
      </w:r>
      <w:r w:rsidR="00C0046A">
        <w:t>higher</w:t>
      </w:r>
      <w:r w:rsidR="00C0046A" w:rsidRPr="00561314">
        <w:t xml:space="preserve"> </w:t>
      </w:r>
      <w:r w:rsidR="00561314" w:rsidRPr="00561314">
        <w:t>completion</w:t>
      </w:r>
      <w:r w:rsidR="00C0046A">
        <w:t xml:space="preserve"> of an adjustment disorder intervention (</w:t>
      </w:r>
      <w:r w:rsidR="00C0046A" w:rsidRPr="00561314">
        <w:t>Kazlauskas et al.</w:t>
      </w:r>
      <w:r w:rsidR="00C0046A">
        <w:t>,</w:t>
      </w:r>
      <w:r w:rsidR="00C0046A" w:rsidRPr="00561314">
        <w:t xml:space="preserve"> 2020</w:t>
      </w:r>
      <w:r w:rsidR="00C0046A">
        <w:t>)</w:t>
      </w:r>
      <w:r w:rsidR="00561314" w:rsidRPr="00561314">
        <w:t>.</w:t>
      </w:r>
      <w:r w:rsidR="00561314">
        <w:t xml:space="preserve"> </w:t>
      </w:r>
      <w:bookmarkStart w:id="18" w:name="OLE_LINK1"/>
      <w:bookmarkStart w:id="19" w:name="OLE_LINK2"/>
      <w:r w:rsidR="00BA5023">
        <w:t>However, predictor</w:t>
      </w:r>
      <w:r w:rsidR="00640AE4">
        <w:t>s</w:t>
      </w:r>
      <w:r w:rsidR="00BA5023">
        <w:t xml:space="preserve"> </w:t>
      </w:r>
      <w:r w:rsidR="00640AE4">
        <w:t xml:space="preserve">of adherence to DMHIs have </w:t>
      </w:r>
      <w:r w:rsidR="00B242AB">
        <w:t>varied</w:t>
      </w:r>
      <w:r w:rsidR="00640AE4">
        <w:t xml:space="preserve"> across studies</w:t>
      </w:r>
      <w:r w:rsidR="00A157C0">
        <w:t xml:space="preserve"> deeming this information </w:t>
      </w:r>
      <w:r w:rsidR="002E423B">
        <w:t xml:space="preserve">potentially </w:t>
      </w:r>
      <w:r w:rsidR="00A157C0">
        <w:t xml:space="preserve">less useful </w:t>
      </w:r>
      <w:r w:rsidR="00640AE4">
        <w:t>(</w:t>
      </w:r>
      <w:r w:rsidR="00B20880">
        <w:rPr>
          <w:color w:val="0E101A"/>
        </w:rPr>
        <w:t xml:space="preserve">e.g., younger age was a predictor in one study and older age in another; </w:t>
      </w:r>
      <w:r w:rsidR="00640AE4">
        <w:t>Yeager &amp;</w:t>
      </w:r>
      <w:r w:rsidR="008453F9">
        <w:t xml:space="preserve"> Benight, 2018</w:t>
      </w:r>
      <w:r w:rsidR="00640AE4">
        <w:t>). Th</w:t>
      </w:r>
      <w:r w:rsidR="00B242AB">
        <w:t xml:space="preserve">ese mixed findings may be in part due to </w:t>
      </w:r>
      <w:r w:rsidR="00B242AB" w:rsidRPr="00B242AB">
        <w:t>differences in types of DMHIs, such as those based</w:t>
      </w:r>
      <w:r w:rsidR="00B242AB">
        <w:t xml:space="preserve"> in </w:t>
      </w:r>
      <w:r w:rsidR="00B242AB" w:rsidRPr="00B242AB">
        <w:t>cognitive behavior therapy versus dialectical behavior therapy, and the target audience</w:t>
      </w:r>
      <w:r w:rsidR="00B242AB">
        <w:t xml:space="preserve"> (e.g.,</w:t>
      </w:r>
      <w:r w:rsidR="00B242AB" w:rsidRPr="00B242AB">
        <w:t xml:space="preserve"> users with depression </w:t>
      </w:r>
      <w:r w:rsidR="00B242AB">
        <w:t>vs.</w:t>
      </w:r>
      <w:r w:rsidR="00B242AB" w:rsidRPr="00B242AB">
        <w:t xml:space="preserve"> obsessive-compulsive disorder</w:t>
      </w:r>
      <w:r w:rsidR="00B242AB">
        <w:t>)</w:t>
      </w:r>
      <w:r w:rsidR="00B242AB" w:rsidRPr="00B242AB">
        <w:t>, as documented in the diverse</w:t>
      </w:r>
      <w:r w:rsidR="00B242AB">
        <w:t xml:space="preserve"> DMHI</w:t>
      </w:r>
      <w:r w:rsidR="00B242AB" w:rsidRPr="00B242AB">
        <w:t xml:space="preserve"> literature</w:t>
      </w:r>
      <w:r w:rsidR="008453F9">
        <w:t xml:space="preserve"> (see Balcombe &amp; De Leo, 2022 for a review)</w:t>
      </w:r>
      <w:r w:rsidR="00B242AB" w:rsidRPr="00B242AB">
        <w:t>.</w:t>
      </w:r>
      <w:r w:rsidR="008453F9">
        <w:t xml:space="preserve"> </w:t>
      </w:r>
      <w:r w:rsidR="00B242AB">
        <w:t>Thus, investigating</w:t>
      </w:r>
      <w:r w:rsidR="00640AE4">
        <w:t xml:space="preserve"> predictors of </w:t>
      </w:r>
      <w:r w:rsidR="00B242AB">
        <w:t>adherence</w:t>
      </w:r>
      <w:r w:rsidR="00640AE4">
        <w:t xml:space="preserve"> is still a</w:t>
      </w:r>
      <w:r w:rsidR="008453F9">
        <w:t>n important pursuit. S</w:t>
      </w:r>
      <w:r w:rsidR="008453F9" w:rsidRPr="008453F9">
        <w:t xml:space="preserve">uch predictors may be more specific to different types of DMHIs, offering opportunities </w:t>
      </w:r>
      <w:r w:rsidR="008453F9">
        <w:t>for DMHI providers to</w:t>
      </w:r>
      <w:r w:rsidR="008453F9" w:rsidRPr="008453F9">
        <w:t xml:space="preserve"> personalize </w:t>
      </w:r>
      <w:r w:rsidR="008453F9">
        <w:t xml:space="preserve">their </w:t>
      </w:r>
      <w:r w:rsidR="008453F9" w:rsidRPr="008453F9">
        <w:t xml:space="preserve">interventions based on user </w:t>
      </w:r>
      <w:r w:rsidR="008453F9">
        <w:t>characteristics</w:t>
      </w:r>
      <w:r w:rsidR="00B242AB">
        <w:t xml:space="preserve">. Moreover, </w:t>
      </w:r>
      <w:r w:rsidR="00561314" w:rsidRPr="00561314">
        <w:t xml:space="preserve">trial-based </w:t>
      </w:r>
      <w:r w:rsidR="000A780D">
        <w:t>adherence</w:t>
      </w:r>
      <w:r w:rsidR="000A780D" w:rsidRPr="00561314">
        <w:t xml:space="preserve"> </w:t>
      </w:r>
      <w:r w:rsidR="00561314" w:rsidRPr="00561314">
        <w:t xml:space="preserve">insights might differ </w:t>
      </w:r>
      <w:r w:rsidR="008453F9">
        <w:t xml:space="preserve">for any one DMHI </w:t>
      </w:r>
      <w:r w:rsidR="00561314" w:rsidRPr="00561314">
        <w:t>in real-world scenarios (Baumel et al., 2019)</w:t>
      </w:r>
      <w:r w:rsidR="008453F9">
        <w:t xml:space="preserve">. </w:t>
      </w:r>
      <w:r w:rsidR="002054AD">
        <w:t>Therefore, e</w:t>
      </w:r>
      <w:r w:rsidR="00561314">
        <w:t xml:space="preserve">xamining </w:t>
      </w:r>
      <w:r w:rsidR="000A780D">
        <w:t>adherence</w:t>
      </w:r>
      <w:r w:rsidR="00561314">
        <w:t xml:space="preserve"> among real-world users</w:t>
      </w:r>
      <w:r w:rsidR="002054AD">
        <w:t xml:space="preserve"> is </w:t>
      </w:r>
      <w:r w:rsidR="00561314">
        <w:t xml:space="preserve">critical given the significantly lower </w:t>
      </w:r>
      <w:r w:rsidR="00841BCE">
        <w:t xml:space="preserve">adherence </w:t>
      </w:r>
      <w:r w:rsidR="00561314">
        <w:t>rates found in publicly available program</w:t>
      </w:r>
      <w:r w:rsidR="002054AD">
        <w:t>s</w:t>
      </w:r>
      <w:r w:rsidR="00324649">
        <w:t xml:space="preserve">. Additionally, examining predictors of adherence is needed in </w:t>
      </w:r>
      <w:r w:rsidR="00A157C0">
        <w:t>bringing to light</w:t>
      </w:r>
      <w:r w:rsidR="00324649">
        <w:t xml:space="preserve"> adherence challenges across contexts. </w:t>
      </w:r>
      <w:bookmarkEnd w:id="18"/>
      <w:bookmarkEnd w:id="19"/>
    </w:p>
    <w:p w14:paraId="17720B05" w14:textId="031CBEB8" w:rsidR="00825EA4" w:rsidRPr="00825EA4" w:rsidRDefault="00825EA4" w:rsidP="00825EA4">
      <w:pPr>
        <w:pStyle w:val="NormalWeb"/>
        <w:spacing w:before="0" w:beforeAutospacing="0" w:after="0" w:afterAutospacing="0" w:line="480" w:lineRule="auto"/>
        <w:rPr>
          <w:color w:val="0E101A"/>
        </w:rPr>
      </w:pPr>
      <w:r w:rsidRPr="00825EA4">
        <w:rPr>
          <w:rStyle w:val="Strong"/>
          <w:color w:val="0E101A"/>
        </w:rPr>
        <w:t>Current Study</w:t>
      </w:r>
    </w:p>
    <w:p w14:paraId="715D217D" w14:textId="7FE15FF6" w:rsidR="00D5524E" w:rsidRDefault="00376718" w:rsidP="00D5524E">
      <w:pPr>
        <w:pStyle w:val="NormalWeb"/>
        <w:spacing w:before="0" w:beforeAutospacing="0" w:after="0" w:afterAutospacing="0" w:line="480" w:lineRule="auto"/>
        <w:ind w:firstLine="720"/>
        <w:contextualSpacing/>
        <w:rPr>
          <w:color w:val="0E101A"/>
        </w:rPr>
      </w:pPr>
      <w:r>
        <w:rPr>
          <w:color w:val="0E101A"/>
        </w:rPr>
        <w:t xml:space="preserve">This study sought to help bridge this research-to-practice gap by examining user </w:t>
      </w:r>
      <w:r w:rsidR="00FD3280">
        <w:rPr>
          <w:color w:val="0E101A"/>
        </w:rPr>
        <w:t xml:space="preserve">adherence </w:t>
      </w:r>
      <w:r>
        <w:rPr>
          <w:color w:val="0E101A"/>
        </w:rPr>
        <w:t xml:space="preserve">rates and predictors of </w:t>
      </w:r>
      <w:r w:rsidR="00FD3280">
        <w:rPr>
          <w:color w:val="0E101A"/>
        </w:rPr>
        <w:t xml:space="preserve">adherence </w:t>
      </w:r>
      <w:r>
        <w:rPr>
          <w:color w:val="0E101A"/>
        </w:rPr>
        <w:t xml:space="preserve">within a real-world sample using a publicly available </w:t>
      </w:r>
      <w:r w:rsidR="00FD3280">
        <w:rPr>
          <w:color w:val="0E101A"/>
        </w:rPr>
        <w:t>self-guided DMHI</w:t>
      </w:r>
      <w:r>
        <w:rPr>
          <w:color w:val="0E101A"/>
        </w:rPr>
        <w:t xml:space="preserve">. Three years of program engagement data, with a total of 984 users, </w:t>
      </w:r>
      <w:r>
        <w:rPr>
          <w:color w:val="0E101A"/>
        </w:rPr>
        <w:lastRenderedPageBreak/>
        <w:t xml:space="preserve">was examined from a publicly available program called </w:t>
      </w:r>
      <w:r w:rsidR="00FA5DF1">
        <w:rPr>
          <w:color w:val="0E101A"/>
        </w:rPr>
        <w:t>Acceptance and Commitment Therapy (</w:t>
      </w:r>
      <w:r w:rsidR="00B4392A">
        <w:rPr>
          <w:color w:val="0E101A"/>
        </w:rPr>
        <w:t>ACT</w:t>
      </w:r>
      <w:r w:rsidR="00FA5DF1">
        <w:rPr>
          <w:color w:val="0E101A"/>
        </w:rPr>
        <w:t>)</w:t>
      </w:r>
      <w:r>
        <w:rPr>
          <w:color w:val="0E101A"/>
        </w:rPr>
        <w:t xml:space="preserve"> Guide. </w:t>
      </w:r>
      <w:r w:rsidR="00D5524E" w:rsidRPr="00D5524E">
        <w:rPr>
          <w:color w:val="0E101A"/>
        </w:rPr>
        <w:t xml:space="preserve">This study aims to (a) assess </w:t>
      </w:r>
      <w:r w:rsidR="00847233">
        <w:rPr>
          <w:color w:val="0E101A"/>
        </w:rPr>
        <w:t xml:space="preserve">rates </w:t>
      </w:r>
      <w:r w:rsidR="00980BE4">
        <w:rPr>
          <w:color w:val="0E101A"/>
        </w:rPr>
        <w:t xml:space="preserve">of </w:t>
      </w:r>
      <w:r w:rsidR="00D5524E" w:rsidRPr="00D5524E">
        <w:rPr>
          <w:color w:val="0E101A"/>
        </w:rPr>
        <w:t xml:space="preserve">user </w:t>
      </w:r>
      <w:r w:rsidR="00FD3280">
        <w:rPr>
          <w:color w:val="0E101A"/>
        </w:rPr>
        <w:t xml:space="preserve">adherence </w:t>
      </w:r>
      <w:r w:rsidR="00847233">
        <w:rPr>
          <w:color w:val="0E101A"/>
        </w:rPr>
        <w:t xml:space="preserve">to </w:t>
      </w:r>
      <w:r>
        <w:rPr>
          <w:color w:val="0E101A"/>
        </w:rPr>
        <w:t>ACT Guide</w:t>
      </w:r>
      <w:r w:rsidR="00D5524E" w:rsidRPr="00D5524E">
        <w:rPr>
          <w:color w:val="0E101A"/>
        </w:rPr>
        <w:t xml:space="preserve"> and (b) examine how user characteristics (sociodemographic and clinical) predict program use. This information will provide insights into potential </w:t>
      </w:r>
      <w:r w:rsidR="00FA5DF1">
        <w:rPr>
          <w:color w:val="0E101A"/>
        </w:rPr>
        <w:t>differences</w:t>
      </w:r>
      <w:r w:rsidR="00FA5DF1" w:rsidRPr="00D5524E">
        <w:rPr>
          <w:color w:val="0E101A"/>
        </w:rPr>
        <w:t xml:space="preserve"> </w:t>
      </w:r>
      <w:r w:rsidR="00D5524E" w:rsidRPr="00D5524E">
        <w:rPr>
          <w:color w:val="0E101A"/>
        </w:rPr>
        <w:t xml:space="preserve">across users, identifying those more or less likely to </w:t>
      </w:r>
      <w:r w:rsidR="00FA5DF1">
        <w:rPr>
          <w:color w:val="0E101A"/>
        </w:rPr>
        <w:t>engage in</w:t>
      </w:r>
      <w:r w:rsidR="00FA5DF1" w:rsidRPr="00D5524E">
        <w:rPr>
          <w:color w:val="0E101A"/>
        </w:rPr>
        <w:t xml:space="preserve"> </w:t>
      </w:r>
      <w:r w:rsidR="00D5524E" w:rsidRPr="00D5524E">
        <w:rPr>
          <w:color w:val="0E101A"/>
        </w:rPr>
        <w:t>publicly available</w:t>
      </w:r>
      <w:r w:rsidR="00847233">
        <w:rPr>
          <w:color w:val="0E101A"/>
        </w:rPr>
        <w:t xml:space="preserve"> DMHIs</w:t>
      </w:r>
      <w:r w:rsidR="00D5524E" w:rsidRPr="00D5524E">
        <w:rPr>
          <w:color w:val="0E101A"/>
        </w:rPr>
        <w:t>.</w:t>
      </w:r>
    </w:p>
    <w:bookmarkEnd w:id="4"/>
    <w:bookmarkEnd w:id="5"/>
    <w:p w14:paraId="4CE10EBC" w14:textId="712346B9" w:rsidR="00BD1A7F" w:rsidRDefault="00BD1A7F" w:rsidP="00D5524E">
      <w:pPr>
        <w:pStyle w:val="NormalWeb"/>
        <w:spacing w:before="0" w:beforeAutospacing="0" w:after="0" w:afterAutospacing="0" w:line="480" w:lineRule="auto"/>
        <w:contextualSpacing/>
        <w:jc w:val="center"/>
        <w:rPr>
          <w:b/>
          <w:bCs/>
          <w:color w:val="0E101A"/>
        </w:rPr>
      </w:pPr>
      <w:r>
        <w:rPr>
          <w:b/>
          <w:bCs/>
          <w:color w:val="0E101A"/>
        </w:rPr>
        <w:t>Method</w:t>
      </w:r>
    </w:p>
    <w:p w14:paraId="4744FCA0" w14:textId="4C05FB42" w:rsidR="00BD1A7F" w:rsidRDefault="00BD1A7F" w:rsidP="00BD1A7F">
      <w:pPr>
        <w:pStyle w:val="NormalWeb"/>
        <w:spacing w:before="0" w:beforeAutospacing="0" w:after="0" w:afterAutospacing="0" w:line="480" w:lineRule="auto"/>
        <w:contextualSpacing/>
        <w:rPr>
          <w:color w:val="0E101A"/>
        </w:rPr>
      </w:pPr>
      <w:r>
        <w:rPr>
          <w:b/>
          <w:bCs/>
          <w:color w:val="0E101A"/>
        </w:rPr>
        <w:t>Participants</w:t>
      </w:r>
    </w:p>
    <w:p w14:paraId="2F79470D" w14:textId="6C0BFB42" w:rsidR="00820C6C" w:rsidRPr="00820C6C" w:rsidRDefault="00B62DE6" w:rsidP="004E02F2">
      <w:pPr>
        <w:pStyle w:val="NormalWeb"/>
        <w:spacing w:before="0" w:beforeAutospacing="0" w:after="0" w:afterAutospacing="0" w:line="480" w:lineRule="auto"/>
        <w:ind w:firstLine="720"/>
        <w:contextualSpacing/>
        <w:rPr>
          <w:color w:val="0E101A"/>
        </w:rPr>
      </w:pPr>
      <w:r w:rsidRPr="00B62DE6">
        <w:rPr>
          <w:color w:val="0E101A"/>
        </w:rPr>
        <w:t>The present study ex</w:t>
      </w:r>
      <w:r>
        <w:rPr>
          <w:color w:val="0E101A"/>
        </w:rPr>
        <w:t>amined</w:t>
      </w:r>
      <w:r w:rsidRPr="00B62DE6">
        <w:rPr>
          <w:color w:val="0E101A"/>
        </w:rPr>
        <w:t xml:space="preserve"> </w:t>
      </w:r>
      <w:r w:rsidR="00254461">
        <w:rPr>
          <w:color w:val="0E101A"/>
        </w:rPr>
        <w:t xml:space="preserve">naturalistic </w:t>
      </w:r>
      <w:r w:rsidRPr="00B62DE6">
        <w:rPr>
          <w:color w:val="0E101A"/>
        </w:rPr>
        <w:t xml:space="preserve">data </w:t>
      </w:r>
      <w:r w:rsidR="00254461">
        <w:rPr>
          <w:color w:val="0E101A"/>
        </w:rPr>
        <w:t xml:space="preserve">from the publicly available </w:t>
      </w:r>
      <w:r w:rsidR="00C70440">
        <w:rPr>
          <w:color w:val="0E101A"/>
        </w:rPr>
        <w:t xml:space="preserve">ACT Guide </w:t>
      </w:r>
      <w:r w:rsidR="00254461">
        <w:rPr>
          <w:color w:val="0E101A"/>
        </w:rPr>
        <w:t xml:space="preserve">program. </w:t>
      </w:r>
      <w:r w:rsidR="004E02F2">
        <w:rPr>
          <w:color w:val="0E101A"/>
        </w:rPr>
        <w:t>The program</w:t>
      </w:r>
      <w:r w:rsidR="004E02F2" w:rsidRPr="00B62DE6">
        <w:rPr>
          <w:color w:val="0E101A"/>
        </w:rPr>
        <w:t xml:space="preserve"> </w:t>
      </w:r>
      <w:r w:rsidR="004E02F2">
        <w:rPr>
          <w:color w:val="0E101A"/>
        </w:rPr>
        <w:t xml:space="preserve">was </w:t>
      </w:r>
      <w:r w:rsidR="00376718">
        <w:rPr>
          <w:color w:val="0E101A"/>
        </w:rPr>
        <w:t xml:space="preserve">primarily </w:t>
      </w:r>
      <w:r w:rsidR="004E02F2">
        <w:rPr>
          <w:color w:val="0E101A"/>
        </w:rPr>
        <w:t>marketed</w:t>
      </w:r>
      <w:r w:rsidR="00376718">
        <w:rPr>
          <w:color w:val="0E101A"/>
        </w:rPr>
        <w:t xml:space="preserve"> through ACT research and </w:t>
      </w:r>
      <w:r w:rsidR="00FA5DF1">
        <w:rPr>
          <w:color w:val="0E101A"/>
        </w:rPr>
        <w:t xml:space="preserve">therapist </w:t>
      </w:r>
      <w:r w:rsidR="00376718">
        <w:rPr>
          <w:color w:val="0E101A"/>
        </w:rPr>
        <w:t xml:space="preserve">outlets (e.g., ACT </w:t>
      </w:r>
      <w:r w:rsidR="00EA5CCB">
        <w:rPr>
          <w:color w:val="0E101A"/>
        </w:rPr>
        <w:t xml:space="preserve">for professional </w:t>
      </w:r>
      <w:r w:rsidR="00376718">
        <w:rPr>
          <w:color w:val="0E101A"/>
        </w:rPr>
        <w:t>listserv, ACT resource lists, presentations to providers, word of mouth recommendations</w:t>
      </w:r>
      <w:r w:rsidR="00AC1206">
        <w:rPr>
          <w:color w:val="0E101A"/>
        </w:rPr>
        <w:t xml:space="preserve">), </w:t>
      </w:r>
      <w:r w:rsidR="00F9532E">
        <w:rPr>
          <w:color w:val="0E101A"/>
        </w:rPr>
        <w:t>and to the public more broadly through</w:t>
      </w:r>
      <w:r w:rsidR="00AC1206">
        <w:rPr>
          <w:color w:val="0E101A"/>
        </w:rPr>
        <w:t xml:space="preserve"> Utah State University’s (USU) community outreach efforts (e.g., USU Extension, USU Sorenson Center for Clinical Excellence), </w:t>
      </w:r>
      <w:r w:rsidR="00F9532E">
        <w:rPr>
          <w:color w:val="0E101A"/>
        </w:rPr>
        <w:t xml:space="preserve">as well as </w:t>
      </w:r>
      <w:r w:rsidR="004E02F2" w:rsidRPr="00B62DE6">
        <w:rPr>
          <w:color w:val="0E101A"/>
        </w:rPr>
        <w:t>search-engine results.</w:t>
      </w:r>
      <w:r w:rsidR="004E02F2">
        <w:rPr>
          <w:color w:val="0E101A"/>
        </w:rPr>
        <w:t xml:space="preserve"> </w:t>
      </w:r>
      <w:r w:rsidR="00FA5DF1">
        <w:rPr>
          <w:color w:val="0E101A"/>
        </w:rPr>
        <w:t xml:space="preserve">Three years of </w:t>
      </w:r>
      <w:r w:rsidR="00254461">
        <w:rPr>
          <w:color w:val="0E101A"/>
        </w:rPr>
        <w:t xml:space="preserve">registration and program data </w:t>
      </w:r>
      <w:r w:rsidR="00FA5DF1">
        <w:rPr>
          <w:color w:val="0E101A"/>
        </w:rPr>
        <w:t>were analyzed</w:t>
      </w:r>
      <w:r w:rsidR="00254461">
        <w:rPr>
          <w:color w:val="0E101A"/>
        </w:rPr>
        <w:t xml:space="preserve"> </w:t>
      </w:r>
      <w:r w:rsidR="00FA5DF1">
        <w:rPr>
          <w:color w:val="0E101A"/>
        </w:rPr>
        <w:t>(</w:t>
      </w:r>
      <w:r w:rsidR="00254461">
        <w:rPr>
          <w:color w:val="0E101A"/>
        </w:rPr>
        <w:t>10/16/2019 to 9/27/2022</w:t>
      </w:r>
      <w:r w:rsidR="00FA5DF1">
        <w:rPr>
          <w:color w:val="0E101A"/>
        </w:rPr>
        <w:t>)</w:t>
      </w:r>
      <w:r w:rsidR="00254461">
        <w:rPr>
          <w:color w:val="0E101A"/>
        </w:rPr>
        <w:t xml:space="preserve">. </w:t>
      </w:r>
      <w:r w:rsidRPr="00B62DE6">
        <w:rPr>
          <w:color w:val="0E101A"/>
        </w:rPr>
        <w:t xml:space="preserve">All data in ACT Guide originated from program users who were at least 18 years of age and able to read English. </w:t>
      </w:r>
      <w:r w:rsidR="00FA5DF1">
        <w:rPr>
          <w:color w:val="0E101A"/>
        </w:rPr>
        <w:t>U</w:t>
      </w:r>
      <w:r w:rsidR="004E02F2">
        <w:rPr>
          <w:color w:val="0E101A"/>
        </w:rPr>
        <w:t xml:space="preserve">sers who </w:t>
      </w:r>
      <w:r w:rsidR="00FA5DF1">
        <w:rPr>
          <w:color w:val="0E101A"/>
        </w:rPr>
        <w:t>did not complete registration</w:t>
      </w:r>
      <w:r w:rsidR="004E02F2">
        <w:rPr>
          <w:color w:val="0E101A"/>
        </w:rPr>
        <w:t xml:space="preserve"> and duplicate </w:t>
      </w:r>
      <w:r w:rsidR="00FA5DF1">
        <w:rPr>
          <w:color w:val="0E101A"/>
        </w:rPr>
        <w:t xml:space="preserve">signups from the same user </w:t>
      </w:r>
      <w:r w:rsidR="004E02F2">
        <w:rPr>
          <w:color w:val="0E101A"/>
        </w:rPr>
        <w:t xml:space="preserve">were removed, yielding a total sample of 984 individuals who registered for </w:t>
      </w:r>
      <w:r w:rsidR="00B4392A">
        <w:rPr>
          <w:color w:val="0E101A"/>
        </w:rPr>
        <w:t>ACT Guide</w:t>
      </w:r>
      <w:r w:rsidR="004E02F2">
        <w:rPr>
          <w:color w:val="0E101A"/>
        </w:rPr>
        <w:t xml:space="preserve"> over the three-year period</w:t>
      </w:r>
      <w:r w:rsidR="00B5789E">
        <w:rPr>
          <w:color w:val="0E101A"/>
        </w:rPr>
        <w:t>.</w:t>
      </w:r>
      <w:r w:rsidR="00B567BD">
        <w:rPr>
          <w:color w:val="0E101A"/>
        </w:rPr>
        <w:t xml:space="preserve"> This excluded 32 users who had paid for the program but did not sign-up.</w:t>
      </w:r>
    </w:p>
    <w:p w14:paraId="64F45365" w14:textId="67F1EE04" w:rsidR="00BD1A7F" w:rsidRDefault="00BD1A7F" w:rsidP="00BD1A7F">
      <w:pPr>
        <w:pStyle w:val="NormalWeb"/>
        <w:spacing w:before="0" w:beforeAutospacing="0" w:after="0" w:afterAutospacing="0" w:line="480" w:lineRule="auto"/>
        <w:contextualSpacing/>
        <w:rPr>
          <w:b/>
          <w:bCs/>
          <w:color w:val="0E101A"/>
        </w:rPr>
      </w:pPr>
      <w:r>
        <w:rPr>
          <w:b/>
          <w:bCs/>
          <w:color w:val="0E101A"/>
        </w:rPr>
        <w:t>Procedures</w:t>
      </w:r>
    </w:p>
    <w:p w14:paraId="5CF6F274" w14:textId="5581AA6A" w:rsidR="004E02F2" w:rsidRPr="003A6D5B" w:rsidRDefault="004E02F2" w:rsidP="006C0147">
      <w:pPr>
        <w:pStyle w:val="NormalWeb"/>
        <w:spacing w:before="0" w:beforeAutospacing="0" w:after="0" w:afterAutospacing="0" w:line="480" w:lineRule="auto"/>
        <w:ind w:firstLine="720"/>
        <w:contextualSpacing/>
        <w:rPr>
          <w:color w:val="0E101A"/>
        </w:rPr>
      </w:pPr>
      <w:r w:rsidRPr="004E02F2">
        <w:rPr>
          <w:color w:val="0E101A"/>
        </w:rPr>
        <w:t>To gain access to the program, user</w:t>
      </w:r>
      <w:r>
        <w:rPr>
          <w:color w:val="0E101A"/>
        </w:rPr>
        <w:t>s</w:t>
      </w:r>
      <w:r w:rsidRPr="004E02F2">
        <w:rPr>
          <w:color w:val="0E101A"/>
        </w:rPr>
        <w:t xml:space="preserve"> pa</w:t>
      </w:r>
      <w:r>
        <w:rPr>
          <w:color w:val="0E101A"/>
        </w:rPr>
        <w:t>id</w:t>
      </w:r>
      <w:r w:rsidRPr="004E02F2">
        <w:rPr>
          <w:color w:val="0E101A"/>
        </w:rPr>
        <w:t xml:space="preserve"> $10 for six months of access.</w:t>
      </w:r>
      <w:r>
        <w:rPr>
          <w:color w:val="0E101A"/>
        </w:rPr>
        <w:t xml:space="preserve"> After payment</w:t>
      </w:r>
      <w:r w:rsidR="007138B5">
        <w:rPr>
          <w:color w:val="0E101A"/>
        </w:rPr>
        <w:t>,</w:t>
      </w:r>
      <w:r>
        <w:rPr>
          <w:color w:val="0E101A"/>
        </w:rPr>
        <w:t xml:space="preserve"> users were directed to the program registration. </w:t>
      </w:r>
      <w:r w:rsidR="00FA5DF1">
        <w:rPr>
          <w:color w:val="0E101A"/>
        </w:rPr>
        <w:t>U</w:t>
      </w:r>
      <w:r>
        <w:rPr>
          <w:color w:val="0E101A"/>
        </w:rPr>
        <w:t xml:space="preserve">sers were prompted to review and agree to a </w:t>
      </w:r>
      <w:r w:rsidRPr="00B62DE6">
        <w:rPr>
          <w:color w:val="0E101A"/>
        </w:rPr>
        <w:t>Privacy Policy</w:t>
      </w:r>
      <w:r>
        <w:rPr>
          <w:color w:val="0E101A"/>
        </w:rPr>
        <w:t>,</w:t>
      </w:r>
      <w:r w:rsidRPr="00B62DE6">
        <w:rPr>
          <w:color w:val="0E101A"/>
        </w:rPr>
        <w:t xml:space="preserve"> </w:t>
      </w:r>
      <w:r>
        <w:rPr>
          <w:color w:val="0E101A"/>
        </w:rPr>
        <w:t>in which</w:t>
      </w:r>
      <w:r w:rsidRPr="00B62DE6">
        <w:rPr>
          <w:color w:val="0E101A"/>
        </w:rPr>
        <w:t xml:space="preserve"> the</w:t>
      </w:r>
      <w:r>
        <w:rPr>
          <w:color w:val="0E101A"/>
        </w:rPr>
        <w:t xml:space="preserve">y agreed to their </w:t>
      </w:r>
      <w:r w:rsidRPr="00B62DE6">
        <w:rPr>
          <w:color w:val="0E101A"/>
        </w:rPr>
        <w:t>data being used for purposes</w:t>
      </w:r>
      <w:r w:rsidR="00FA5DF1">
        <w:rPr>
          <w:color w:val="0E101A"/>
        </w:rPr>
        <w:t xml:space="preserve"> including research</w:t>
      </w:r>
      <w:r w:rsidRPr="00B62DE6">
        <w:rPr>
          <w:color w:val="0E101A"/>
        </w:rPr>
        <w:t>.</w:t>
      </w:r>
      <w:r>
        <w:rPr>
          <w:color w:val="0E101A"/>
        </w:rPr>
        <w:t xml:space="preserve"> </w:t>
      </w:r>
      <w:r w:rsidR="006C0147" w:rsidRPr="006C0147">
        <w:rPr>
          <w:color w:val="0E101A"/>
        </w:rPr>
        <w:t xml:space="preserve">Demographic information including age, gender, race, and </w:t>
      </w:r>
      <w:r w:rsidR="006C0147">
        <w:rPr>
          <w:color w:val="0E101A"/>
        </w:rPr>
        <w:t>state or country of residence</w:t>
      </w:r>
      <w:r w:rsidR="006C0147" w:rsidRPr="006C0147">
        <w:rPr>
          <w:color w:val="0E101A"/>
        </w:rPr>
        <w:t xml:space="preserve"> were </w:t>
      </w:r>
      <w:r w:rsidR="006C0147" w:rsidRPr="006C0147">
        <w:rPr>
          <w:color w:val="0E101A"/>
        </w:rPr>
        <w:lastRenderedPageBreak/>
        <w:t>collected from all users at the time of program registration.</w:t>
      </w:r>
      <w:r w:rsidR="006C0147">
        <w:rPr>
          <w:color w:val="0E101A"/>
        </w:rPr>
        <w:t xml:space="preserve"> For summary purposes, home country was coded into continental categories. At the time of registration, participants </w:t>
      </w:r>
      <w:r>
        <w:rPr>
          <w:color w:val="0E101A"/>
        </w:rPr>
        <w:t xml:space="preserve">were asked a series of </w:t>
      </w:r>
      <w:r w:rsidR="006C0147">
        <w:rPr>
          <w:color w:val="0E101A"/>
        </w:rPr>
        <w:t xml:space="preserve">questions regarding </w:t>
      </w:r>
      <w:r>
        <w:rPr>
          <w:color w:val="0E101A"/>
        </w:rPr>
        <w:t xml:space="preserve">their </w:t>
      </w:r>
      <w:r w:rsidR="006C0147">
        <w:rPr>
          <w:color w:val="0E101A"/>
        </w:rPr>
        <w:t>history</w:t>
      </w:r>
      <w:r>
        <w:rPr>
          <w:color w:val="0E101A"/>
        </w:rPr>
        <w:t xml:space="preserve"> using mental health services</w:t>
      </w:r>
      <w:r w:rsidR="006C0147">
        <w:rPr>
          <w:color w:val="0E101A"/>
        </w:rPr>
        <w:t>,</w:t>
      </w:r>
      <w:r>
        <w:rPr>
          <w:color w:val="0E101A"/>
        </w:rPr>
        <w:t xml:space="preserve"> and whether they would like to sign up for </w:t>
      </w:r>
      <w:r w:rsidRPr="004E02F2">
        <w:rPr>
          <w:color w:val="0E101A"/>
        </w:rPr>
        <w:t>one-month</w:t>
      </w:r>
      <w:r>
        <w:rPr>
          <w:color w:val="0E101A"/>
        </w:rPr>
        <w:t xml:space="preserve"> o</w:t>
      </w:r>
      <w:r w:rsidR="00502E02">
        <w:rPr>
          <w:color w:val="0E101A"/>
        </w:rPr>
        <w:t>f</w:t>
      </w:r>
      <w:r>
        <w:rPr>
          <w:color w:val="0E101A"/>
        </w:rPr>
        <w:t xml:space="preserve"> weekly email tips about using</w:t>
      </w:r>
      <w:r w:rsidRPr="004E02F2">
        <w:rPr>
          <w:color w:val="0E101A"/>
        </w:rPr>
        <w:t xml:space="preserve"> </w:t>
      </w:r>
      <w:r w:rsidR="00FC3BE5">
        <w:rPr>
          <w:color w:val="0E101A"/>
        </w:rPr>
        <w:t xml:space="preserve">ACT Guide. </w:t>
      </w:r>
      <w:r w:rsidR="002054AD">
        <w:rPr>
          <w:color w:val="0E101A"/>
        </w:rPr>
        <w:t>Email tips were</w:t>
      </w:r>
      <w:r>
        <w:rPr>
          <w:color w:val="0E101A"/>
        </w:rPr>
        <w:t xml:space="preserve"> added in September 2020</w:t>
      </w:r>
      <w:r w:rsidR="00376718">
        <w:rPr>
          <w:color w:val="0E101A"/>
        </w:rPr>
        <w:t xml:space="preserve"> in an effort to increase program </w:t>
      </w:r>
      <w:r w:rsidR="00841BCE">
        <w:rPr>
          <w:color w:val="0E101A"/>
        </w:rPr>
        <w:t>adherence</w:t>
      </w:r>
      <w:r>
        <w:rPr>
          <w:color w:val="0E101A"/>
        </w:rPr>
        <w:t>; thus, 410 (41.7%) users were not asked this question. At the completion of registration, users we</w:t>
      </w:r>
      <w:r w:rsidR="00B5789E">
        <w:rPr>
          <w:color w:val="0E101A"/>
        </w:rPr>
        <w:t>re</w:t>
      </w:r>
      <w:r>
        <w:rPr>
          <w:color w:val="0E101A"/>
        </w:rPr>
        <w:t xml:space="preserve"> automatically directed to sign into and begin the program.</w:t>
      </w:r>
    </w:p>
    <w:p w14:paraId="3D3AF0A4" w14:textId="4A160947" w:rsidR="00210B30" w:rsidRDefault="004E02F2" w:rsidP="00BD1A7F">
      <w:pPr>
        <w:pStyle w:val="NormalWeb"/>
        <w:spacing w:before="0" w:beforeAutospacing="0" w:after="0" w:afterAutospacing="0" w:line="480" w:lineRule="auto"/>
        <w:contextualSpacing/>
        <w:rPr>
          <w:b/>
          <w:bCs/>
          <w:color w:val="0E101A"/>
        </w:rPr>
      </w:pPr>
      <w:r>
        <w:rPr>
          <w:b/>
          <w:bCs/>
          <w:color w:val="0E101A"/>
        </w:rPr>
        <w:t>Self-guided Digital Program</w:t>
      </w:r>
    </w:p>
    <w:p w14:paraId="7D22C893" w14:textId="6027248D" w:rsidR="00520D98" w:rsidRDefault="00B4392A" w:rsidP="004E02F2">
      <w:pPr>
        <w:pStyle w:val="NormalWeb"/>
        <w:spacing w:before="0" w:beforeAutospacing="0" w:after="0" w:afterAutospacing="0" w:line="480" w:lineRule="auto"/>
        <w:ind w:firstLine="720"/>
        <w:rPr>
          <w:color w:val="0E101A"/>
        </w:rPr>
      </w:pPr>
      <w:r>
        <w:rPr>
          <w:color w:val="0E101A"/>
        </w:rPr>
        <w:t>ACT Guide</w:t>
      </w:r>
      <w:r w:rsidR="004E02F2">
        <w:rPr>
          <w:color w:val="0E101A"/>
        </w:rPr>
        <w:t xml:space="preserve"> </w:t>
      </w:r>
      <w:r w:rsidR="00B02B4E">
        <w:rPr>
          <w:color w:val="0E101A"/>
        </w:rPr>
        <w:t>(</w:t>
      </w:r>
      <w:hyperlink r:id="rId9" w:history="1">
        <w:r w:rsidR="00B02B4E" w:rsidRPr="0011383E">
          <w:rPr>
            <w:rStyle w:val="Hyperlink"/>
          </w:rPr>
          <w:t>https://actguide.usu.edu/</w:t>
        </w:r>
      </w:hyperlink>
      <w:r w:rsidR="00B02B4E">
        <w:rPr>
          <w:color w:val="0E101A"/>
        </w:rPr>
        <w:t xml:space="preserve">) </w:t>
      </w:r>
      <w:r w:rsidR="004E02F2">
        <w:rPr>
          <w:color w:val="0E101A"/>
        </w:rPr>
        <w:t xml:space="preserve">is one of the few empirically </w:t>
      </w:r>
      <w:r w:rsidR="00B8727D">
        <w:rPr>
          <w:color w:val="0E101A"/>
        </w:rPr>
        <w:t xml:space="preserve">supported </w:t>
      </w:r>
      <w:r w:rsidR="004E02F2">
        <w:rPr>
          <w:color w:val="0E101A"/>
        </w:rPr>
        <w:t>self-guided</w:t>
      </w:r>
      <w:r w:rsidR="00FA5DF1">
        <w:rPr>
          <w:color w:val="0E101A"/>
        </w:rPr>
        <w:t xml:space="preserve"> digital</w:t>
      </w:r>
      <w:r w:rsidR="004E02F2">
        <w:rPr>
          <w:color w:val="0E101A"/>
        </w:rPr>
        <w:t xml:space="preserve"> </w:t>
      </w:r>
      <w:r w:rsidR="00FA5DF1">
        <w:rPr>
          <w:color w:val="0E101A"/>
        </w:rPr>
        <w:t xml:space="preserve">ACT </w:t>
      </w:r>
      <w:r w:rsidR="004E02F2">
        <w:rPr>
          <w:color w:val="0E101A"/>
        </w:rPr>
        <w:t xml:space="preserve">services </w:t>
      </w:r>
      <w:r w:rsidR="00A32AE5">
        <w:rPr>
          <w:color w:val="0E101A"/>
        </w:rPr>
        <w:t xml:space="preserve">currently </w:t>
      </w:r>
      <w:r w:rsidR="004E02F2">
        <w:rPr>
          <w:color w:val="0E101A"/>
        </w:rPr>
        <w:t>available to the public</w:t>
      </w:r>
      <w:r w:rsidR="0011383E">
        <w:rPr>
          <w:color w:val="0E101A"/>
        </w:rPr>
        <w:t xml:space="preserve">. </w:t>
      </w:r>
      <w:r w:rsidR="00FC3BE5">
        <w:rPr>
          <w:color w:val="0E101A"/>
        </w:rPr>
        <w:t xml:space="preserve">ACT Guide </w:t>
      </w:r>
      <w:r w:rsidR="00FA5DF1">
        <w:rPr>
          <w:color w:val="0E101A"/>
        </w:rPr>
        <w:t>teaches core</w:t>
      </w:r>
      <w:r w:rsidR="004E02F2">
        <w:rPr>
          <w:color w:val="0E101A"/>
        </w:rPr>
        <w:t xml:space="preserve"> ACT</w:t>
      </w:r>
      <w:r w:rsidR="00FA5DF1">
        <w:rPr>
          <w:color w:val="0E101A"/>
        </w:rPr>
        <w:t xml:space="preserve"> skills</w:t>
      </w:r>
      <w:r w:rsidR="004E02F2">
        <w:rPr>
          <w:color w:val="0E101A"/>
        </w:rPr>
        <w:t xml:space="preserve"> (Hayes et al., 2006), </w:t>
      </w:r>
      <w:r w:rsidR="00FA5DF1">
        <w:rPr>
          <w:color w:val="0E101A"/>
        </w:rPr>
        <w:t xml:space="preserve">which </w:t>
      </w:r>
      <w:r w:rsidR="004E02F2">
        <w:rPr>
          <w:color w:val="0E101A"/>
        </w:rPr>
        <w:t xml:space="preserve">aim to </w:t>
      </w:r>
      <w:r w:rsidR="00FA5DF1">
        <w:rPr>
          <w:color w:val="0E101A"/>
        </w:rPr>
        <w:t>increase quality of life for individuals struggling with a wide range of mental health challenges</w:t>
      </w:r>
      <w:r w:rsidR="004E02F2">
        <w:rPr>
          <w:color w:val="0E101A"/>
        </w:rPr>
        <w:t xml:space="preserve"> by promoting psychological flexibility.</w:t>
      </w:r>
      <w:r w:rsidR="00B02B4E">
        <w:rPr>
          <w:color w:val="0E101A"/>
        </w:rPr>
        <w:t xml:space="preserve"> ACT Guide is based on over a decade of research from our team iteratively developing, testing, and refining digital ACT modules (</w:t>
      </w:r>
      <w:r w:rsidR="00B02B4E" w:rsidRPr="003616B0">
        <w:rPr>
          <w:color w:val="0E101A"/>
        </w:rPr>
        <w:t>Levin et al., 2016, 2017</w:t>
      </w:r>
      <w:r w:rsidR="00B02B4E">
        <w:rPr>
          <w:color w:val="0E101A"/>
        </w:rPr>
        <w:t>, 2020).</w:t>
      </w:r>
      <w:r w:rsidR="004E02F2">
        <w:rPr>
          <w:color w:val="0E101A"/>
        </w:rPr>
        <w:t xml:space="preserve"> </w:t>
      </w:r>
      <w:r w:rsidR="00FA5DF1">
        <w:rPr>
          <w:color w:val="0E101A"/>
        </w:rPr>
        <w:t xml:space="preserve">Thus, </w:t>
      </w:r>
      <w:r w:rsidR="00FC3BE5">
        <w:rPr>
          <w:color w:val="0E101A"/>
        </w:rPr>
        <w:t xml:space="preserve">ACT Guide </w:t>
      </w:r>
      <w:r w:rsidR="004E02F2">
        <w:rPr>
          <w:color w:val="0E101A"/>
        </w:rPr>
        <w:t xml:space="preserve">is </w:t>
      </w:r>
      <w:r w:rsidR="00AC1206">
        <w:rPr>
          <w:color w:val="0E101A"/>
        </w:rPr>
        <w:t>designed for</w:t>
      </w:r>
      <w:r w:rsidR="004E02F2">
        <w:rPr>
          <w:color w:val="0E101A"/>
        </w:rPr>
        <w:t xml:space="preserve"> a transdiagnostic population, with a series of modules broadly applicable to a range of</w:t>
      </w:r>
      <w:r w:rsidR="00FA5DF1">
        <w:rPr>
          <w:color w:val="0E101A"/>
        </w:rPr>
        <w:t xml:space="preserve"> mental health concerns</w:t>
      </w:r>
      <w:r w:rsidR="004E02F2">
        <w:rPr>
          <w:color w:val="0E101A"/>
        </w:rPr>
        <w:t xml:space="preserve">. </w:t>
      </w:r>
    </w:p>
    <w:p w14:paraId="0049CCC5" w14:textId="06FF8FFF" w:rsidR="004E02F2" w:rsidRPr="004E02F2" w:rsidRDefault="002054AD" w:rsidP="004E02F2">
      <w:pPr>
        <w:pStyle w:val="NormalWeb"/>
        <w:spacing w:before="0" w:beforeAutospacing="0" w:after="0" w:afterAutospacing="0" w:line="480" w:lineRule="auto"/>
        <w:ind w:firstLine="720"/>
        <w:rPr>
          <w:color w:val="0E101A"/>
        </w:rPr>
      </w:pPr>
      <w:r>
        <w:rPr>
          <w:color w:val="0E101A"/>
        </w:rPr>
        <w:t>T</w:t>
      </w:r>
      <w:r w:rsidR="004E02F2">
        <w:rPr>
          <w:color w:val="0E101A"/>
        </w:rPr>
        <w:t xml:space="preserve">he program is comprised of 14 modules, with 12 core modules and </w:t>
      </w:r>
      <w:r w:rsidR="00B02B4E">
        <w:rPr>
          <w:color w:val="0E101A"/>
        </w:rPr>
        <w:t xml:space="preserve">a </w:t>
      </w:r>
      <w:r w:rsidR="00502E02">
        <w:rPr>
          <w:color w:val="0E101A"/>
        </w:rPr>
        <w:t>welcome (e.g., orientation)</w:t>
      </w:r>
      <w:r w:rsidR="004E02F2">
        <w:rPr>
          <w:color w:val="0E101A"/>
        </w:rPr>
        <w:t xml:space="preserve"> and exit module. </w:t>
      </w:r>
      <w:r w:rsidR="00B02B4E">
        <w:rPr>
          <w:color w:val="0E101A"/>
        </w:rPr>
        <w:t xml:space="preserve">Each </w:t>
      </w:r>
      <w:r w:rsidR="0011383E">
        <w:rPr>
          <w:color w:val="0E101A"/>
        </w:rPr>
        <w:t xml:space="preserve">of the core </w:t>
      </w:r>
      <w:r w:rsidR="00B02B4E">
        <w:rPr>
          <w:color w:val="0E101A"/>
        </w:rPr>
        <w:t xml:space="preserve">module takes approximately 30 minutes to complete, and users are encouraged to complete one or two modules per week, thus providing 3-4 months of content for users who follow this pace. Users can navigate from session to session as desired but are recommended to complete the sessions in a linear fashion. </w:t>
      </w:r>
      <w:r w:rsidR="00A32AE5">
        <w:rPr>
          <w:color w:val="0E101A"/>
        </w:rPr>
        <w:t xml:space="preserve">The intervention was </w:t>
      </w:r>
      <w:r w:rsidR="00B8727D">
        <w:rPr>
          <w:color w:val="0E101A"/>
        </w:rPr>
        <w:t>delivered through Qualtric</w:t>
      </w:r>
      <w:r w:rsidR="00A32AE5">
        <w:rPr>
          <w:color w:val="0E101A"/>
        </w:rPr>
        <w:t>s</w:t>
      </w:r>
      <w:r w:rsidR="00B8727D">
        <w:rPr>
          <w:color w:val="0E101A"/>
        </w:rPr>
        <w:t xml:space="preserve"> as an efficient way to develop and deploy interactive, tailored digital content</w:t>
      </w:r>
      <w:r w:rsidR="004E02F2">
        <w:rPr>
          <w:color w:val="0E101A"/>
        </w:rPr>
        <w:t>.</w:t>
      </w:r>
      <w:r w:rsidR="00B8727D">
        <w:rPr>
          <w:color w:val="0E101A"/>
        </w:rPr>
        <w:t xml:space="preserve"> </w:t>
      </w:r>
    </w:p>
    <w:p w14:paraId="50DF3ADA" w14:textId="5F5F2B95" w:rsidR="00BC7542" w:rsidRDefault="00BC7542" w:rsidP="00BD1A7F">
      <w:pPr>
        <w:pStyle w:val="NormalWeb"/>
        <w:spacing w:before="0" w:beforeAutospacing="0" w:after="0" w:afterAutospacing="0" w:line="480" w:lineRule="auto"/>
        <w:contextualSpacing/>
        <w:rPr>
          <w:b/>
          <w:bCs/>
          <w:color w:val="0E101A"/>
        </w:rPr>
      </w:pPr>
      <w:r>
        <w:rPr>
          <w:b/>
          <w:bCs/>
          <w:color w:val="0E101A"/>
        </w:rPr>
        <w:lastRenderedPageBreak/>
        <w:t>Measures</w:t>
      </w:r>
    </w:p>
    <w:p w14:paraId="086CA270" w14:textId="10B9E07B" w:rsidR="00FE5BE4" w:rsidRDefault="004E02F2" w:rsidP="00FE5BE4">
      <w:pPr>
        <w:spacing w:line="480" w:lineRule="auto"/>
        <w:contextualSpacing/>
        <w:rPr>
          <w:b/>
        </w:rPr>
      </w:pPr>
      <w:r>
        <w:rPr>
          <w:b/>
          <w:i/>
          <w:iCs/>
        </w:rPr>
        <w:t xml:space="preserve">Program </w:t>
      </w:r>
      <w:r w:rsidR="00957B69">
        <w:rPr>
          <w:b/>
          <w:i/>
          <w:iCs/>
        </w:rPr>
        <w:t>Adherence</w:t>
      </w:r>
    </w:p>
    <w:p w14:paraId="47D9C523" w14:textId="4BF6621B" w:rsidR="00FE5BE4" w:rsidRDefault="00FE5BE4" w:rsidP="00BD1A7F">
      <w:pPr>
        <w:pStyle w:val="NormalWeb"/>
        <w:spacing w:before="0" w:beforeAutospacing="0" w:after="0" w:afterAutospacing="0" w:line="480" w:lineRule="auto"/>
        <w:contextualSpacing/>
        <w:rPr>
          <w:color w:val="0E101A"/>
        </w:rPr>
      </w:pPr>
      <w:r>
        <w:rPr>
          <w:b/>
          <w:bCs/>
          <w:color w:val="0E101A"/>
        </w:rPr>
        <w:tab/>
      </w:r>
      <w:r w:rsidR="004E02F2">
        <w:rPr>
          <w:color w:val="0E101A"/>
        </w:rPr>
        <w:t xml:space="preserve">Program </w:t>
      </w:r>
      <w:r w:rsidR="00841BCE">
        <w:rPr>
          <w:color w:val="0E101A"/>
        </w:rPr>
        <w:t xml:space="preserve">adherence </w:t>
      </w:r>
      <w:r w:rsidR="004E02F2">
        <w:rPr>
          <w:color w:val="0E101A"/>
        </w:rPr>
        <w:t>was operationalized as the number of program modules users completed, ranging from 0-1</w:t>
      </w:r>
      <w:r w:rsidR="004A2549">
        <w:rPr>
          <w:color w:val="0E101A"/>
        </w:rPr>
        <w:t>2</w:t>
      </w:r>
      <w:r w:rsidR="004E02F2">
        <w:rPr>
          <w:color w:val="0E101A"/>
        </w:rPr>
        <w:t xml:space="preserve">. </w:t>
      </w:r>
      <w:r w:rsidR="004A2549">
        <w:rPr>
          <w:color w:val="0E101A"/>
        </w:rPr>
        <w:t xml:space="preserve">While the program </w:t>
      </w:r>
      <w:r w:rsidR="00226EE2">
        <w:rPr>
          <w:color w:val="0E101A"/>
        </w:rPr>
        <w:t xml:space="preserve">is comprised of 14 total modules, including a welcome and exit module, these modules did not count towards </w:t>
      </w:r>
      <w:r w:rsidR="00841BCE">
        <w:rPr>
          <w:color w:val="0E101A"/>
        </w:rPr>
        <w:t>adherence</w:t>
      </w:r>
      <w:r w:rsidR="00841BCE" w:rsidRPr="00226EE2">
        <w:rPr>
          <w:color w:val="0E101A"/>
        </w:rPr>
        <w:t xml:space="preserve"> </w:t>
      </w:r>
      <w:r w:rsidR="00226EE2" w:rsidRPr="00226EE2">
        <w:rPr>
          <w:color w:val="0E101A"/>
        </w:rPr>
        <w:t>because they are short and not intended as stand-alone sessions teaching substantive skills</w:t>
      </w:r>
      <w:r w:rsidR="00226EE2">
        <w:rPr>
          <w:color w:val="0E101A"/>
        </w:rPr>
        <w:t xml:space="preserve">. </w:t>
      </w:r>
      <w:r w:rsidR="004E02F2">
        <w:rPr>
          <w:color w:val="0E101A"/>
        </w:rPr>
        <w:t xml:space="preserve">Module completion is recorded automatically in the Qualtrics platform. This data was used to determine whether participants reached the end of a module. If Qualtrics data showed a participant reaching </w:t>
      </w:r>
      <w:r w:rsidR="004E02F2" w:rsidRPr="004E02F2">
        <w:rPr>
          <w:color w:val="0E101A"/>
        </w:rPr>
        <w:t xml:space="preserve">at least 95% of </w:t>
      </w:r>
      <w:r w:rsidR="004E02F2">
        <w:rPr>
          <w:color w:val="0E101A"/>
        </w:rPr>
        <w:t xml:space="preserve">a </w:t>
      </w:r>
      <w:r w:rsidR="004E02F2" w:rsidRPr="004E02F2">
        <w:rPr>
          <w:color w:val="0E101A"/>
        </w:rPr>
        <w:t>module</w:t>
      </w:r>
      <w:r w:rsidR="004E02F2">
        <w:rPr>
          <w:color w:val="0E101A"/>
        </w:rPr>
        <w:t xml:space="preserve">, the module was recorded as completed. </w:t>
      </w:r>
      <w:r w:rsidR="0085546B">
        <w:rPr>
          <w:color w:val="0E101A"/>
        </w:rPr>
        <w:t>Full program completion was operationalized as completion of all 12 core modules.</w:t>
      </w:r>
      <w:r w:rsidR="00573C75">
        <w:rPr>
          <w:color w:val="0E101A"/>
        </w:rPr>
        <w:t xml:space="preserve"> Users who registered but either never logged into the program, or logged in but did not complete any modules, were considered to have completed 0 modules and were still included in all analyses.</w:t>
      </w:r>
    </w:p>
    <w:p w14:paraId="394A8D89" w14:textId="6412DC9E" w:rsidR="004E02F2" w:rsidRPr="004E02F2" w:rsidRDefault="004E02F2" w:rsidP="00BD1A7F">
      <w:pPr>
        <w:pStyle w:val="NormalWeb"/>
        <w:spacing w:before="0" w:beforeAutospacing="0" w:after="0" w:afterAutospacing="0" w:line="480" w:lineRule="auto"/>
        <w:contextualSpacing/>
        <w:rPr>
          <w:b/>
          <w:bCs/>
          <w:i/>
          <w:iCs/>
          <w:color w:val="0E101A"/>
        </w:rPr>
      </w:pPr>
      <w:r w:rsidRPr="004E02F2">
        <w:rPr>
          <w:b/>
          <w:bCs/>
          <w:i/>
          <w:iCs/>
          <w:color w:val="0E101A"/>
        </w:rPr>
        <w:t xml:space="preserve">User Reported Anxiety and Depression </w:t>
      </w:r>
    </w:p>
    <w:p w14:paraId="7B0A8252" w14:textId="6E0D539E" w:rsidR="00BC7542" w:rsidRPr="00BC7542" w:rsidRDefault="004E02F2" w:rsidP="004E02F2">
      <w:pPr>
        <w:pStyle w:val="NormalWeb"/>
        <w:spacing w:before="0" w:after="0" w:line="480" w:lineRule="auto"/>
        <w:contextualSpacing/>
        <w:rPr>
          <w:iCs/>
        </w:rPr>
      </w:pPr>
      <w:r w:rsidRPr="004E02F2">
        <w:rPr>
          <w:color w:val="000000" w:themeColor="text1"/>
        </w:rPr>
        <w:tab/>
        <w:t>Self-reported anxiety and depression was assesse</w:t>
      </w:r>
      <w:r>
        <w:rPr>
          <w:color w:val="000000" w:themeColor="text1"/>
        </w:rPr>
        <w:t>d</w:t>
      </w:r>
      <w:r w:rsidRPr="004E02F2">
        <w:rPr>
          <w:color w:val="000000" w:themeColor="text1"/>
        </w:rPr>
        <w:t xml:space="preserve"> </w:t>
      </w:r>
      <w:r w:rsidR="00A1092D">
        <w:rPr>
          <w:color w:val="000000" w:themeColor="text1"/>
        </w:rPr>
        <w:t>early on in</w:t>
      </w:r>
      <w:r w:rsidR="00941970">
        <w:rPr>
          <w:color w:val="000000" w:themeColor="text1"/>
        </w:rPr>
        <w:t xml:space="preserve"> </w:t>
      </w:r>
      <w:r w:rsidR="00A1092D">
        <w:rPr>
          <w:color w:val="000000" w:themeColor="text1"/>
        </w:rPr>
        <w:t>the first</w:t>
      </w:r>
      <w:r w:rsidR="00941970">
        <w:rPr>
          <w:color w:val="000000" w:themeColor="text1"/>
        </w:rPr>
        <w:t xml:space="preserve"> program module </w:t>
      </w:r>
      <w:r w:rsidRPr="004E02F2">
        <w:rPr>
          <w:color w:val="000000" w:themeColor="text1"/>
        </w:rPr>
        <w:t>using the anxiety and depression subscales of the Patient-Reported Outcomes Measurement Information System</w:t>
      </w:r>
      <w:r>
        <w:rPr>
          <w:color w:val="000000" w:themeColor="text1"/>
        </w:rPr>
        <w:t xml:space="preserve"> – Emotional Distress</w:t>
      </w:r>
      <w:r w:rsidRPr="004E02F2">
        <w:rPr>
          <w:color w:val="000000" w:themeColor="text1"/>
        </w:rPr>
        <w:t xml:space="preserve"> (PROMIS</w:t>
      </w:r>
      <w:r>
        <w:rPr>
          <w:color w:val="000000" w:themeColor="text1"/>
        </w:rPr>
        <w:t xml:space="preserve">; Cella et al., 2007). PROMIS-Depression (4-items) and PROMIS-Anxiety (4-items) were administered during the first module of </w:t>
      </w:r>
      <w:r w:rsidR="00B4392A">
        <w:rPr>
          <w:color w:val="000000" w:themeColor="text1"/>
        </w:rPr>
        <w:t>ACT Guide</w:t>
      </w:r>
      <w:r>
        <w:rPr>
          <w:color w:val="000000" w:themeColor="text1"/>
        </w:rPr>
        <w:t xml:space="preserve">, in the “Welcome” session. </w:t>
      </w:r>
      <w:r w:rsidRPr="004E02F2">
        <w:rPr>
          <w:color w:val="000000" w:themeColor="text1"/>
        </w:rPr>
        <w:t>Each item asked participants to rate their emotional experiences over the past 7 days on a scale from 1 (</w:t>
      </w:r>
      <w:r w:rsidRPr="004E02F2">
        <w:rPr>
          <w:i/>
          <w:iCs/>
          <w:color w:val="000000" w:themeColor="text1"/>
        </w:rPr>
        <w:t>never</w:t>
      </w:r>
      <w:r w:rsidRPr="004E02F2">
        <w:rPr>
          <w:color w:val="000000" w:themeColor="text1"/>
        </w:rPr>
        <w:t>) to 5 (</w:t>
      </w:r>
      <w:r w:rsidRPr="004E02F2">
        <w:rPr>
          <w:i/>
          <w:iCs/>
          <w:color w:val="000000" w:themeColor="text1"/>
        </w:rPr>
        <w:t>always</w:t>
      </w:r>
      <w:r w:rsidRPr="004E02F2">
        <w:rPr>
          <w:color w:val="000000" w:themeColor="text1"/>
        </w:rPr>
        <w:t>).</w:t>
      </w:r>
      <w:r w:rsidRPr="00BC7542">
        <w:rPr>
          <w:iCs/>
        </w:rPr>
        <w:t xml:space="preserve"> </w:t>
      </w:r>
      <w:r w:rsidR="00143C4B" w:rsidRPr="00143C4B">
        <w:rPr>
          <w:iCs/>
        </w:rPr>
        <w:t>Raw score totals are converted to T-scores. A T-score of 50 is the average for the United States general population with a standard deviation (SD) of 10.</w:t>
      </w:r>
    </w:p>
    <w:p w14:paraId="7DE30F75" w14:textId="7C2C2B9F" w:rsidR="00BD1A7F" w:rsidRDefault="00BD1A7F" w:rsidP="00BD1A7F">
      <w:pPr>
        <w:pStyle w:val="NormalWeb"/>
        <w:spacing w:before="0" w:beforeAutospacing="0" w:after="0" w:afterAutospacing="0" w:line="480" w:lineRule="auto"/>
        <w:contextualSpacing/>
        <w:rPr>
          <w:b/>
          <w:bCs/>
          <w:color w:val="0E101A"/>
        </w:rPr>
      </w:pPr>
      <w:r>
        <w:rPr>
          <w:b/>
          <w:bCs/>
          <w:color w:val="0E101A"/>
        </w:rPr>
        <w:t>Data Analysis</w:t>
      </w:r>
    </w:p>
    <w:p w14:paraId="73FAA54B" w14:textId="653FD2D0" w:rsidR="00DE353F" w:rsidRDefault="00E02630" w:rsidP="00BD1A7F">
      <w:pPr>
        <w:pStyle w:val="NormalWeb"/>
        <w:spacing w:before="0" w:beforeAutospacing="0" w:after="0" w:afterAutospacing="0" w:line="480" w:lineRule="auto"/>
        <w:contextualSpacing/>
        <w:rPr>
          <w:color w:val="0E101A"/>
        </w:rPr>
      </w:pPr>
      <w:r>
        <w:rPr>
          <w:color w:val="0E101A"/>
        </w:rPr>
        <w:lastRenderedPageBreak/>
        <w:tab/>
      </w:r>
      <w:r w:rsidR="0099462E" w:rsidRPr="00AA5E66">
        <w:rPr>
          <w:bCs/>
        </w:rPr>
        <w:t>Statistical analyses were conducted with R (v 4.</w:t>
      </w:r>
      <w:r w:rsidR="0099462E">
        <w:rPr>
          <w:bCs/>
        </w:rPr>
        <w:t>3</w:t>
      </w:r>
      <w:r w:rsidR="0099462E" w:rsidRPr="00AA5E66">
        <w:rPr>
          <w:bCs/>
        </w:rPr>
        <w:t>.</w:t>
      </w:r>
      <w:r w:rsidR="0099462E">
        <w:rPr>
          <w:bCs/>
        </w:rPr>
        <w:t>0</w:t>
      </w:r>
      <w:r w:rsidR="0099462E" w:rsidRPr="00AA5E66">
        <w:rPr>
          <w:bCs/>
        </w:rPr>
        <w:t>;</w:t>
      </w:r>
      <w:r w:rsidR="0099462E" w:rsidRPr="00B1793F">
        <w:rPr>
          <w:bCs/>
        </w:rPr>
        <w:t xml:space="preserve"> </w:t>
      </w:r>
      <w:r w:rsidR="0099462E" w:rsidRPr="00B1793F">
        <w:rPr>
          <w:bCs/>
        </w:rPr>
        <w:fldChar w:fldCharType="begin"/>
      </w:r>
      <w:r w:rsidR="0099462E">
        <w:rPr>
          <w:bCs/>
        </w:rPr>
        <w:instrText xml:space="preserve"> ADDIN ZOTERO_ITEM CSL_CITATION {"citationID":"ceM7rzXw","properties":{"formattedCitation":"(R Core Team, 2022)","plainCitation":"(R Core Team, 2022)","dontUpdate":true,"noteIndex":0},"citationItems":[{"id":139,"uris":["http://zotero.org/users/8345996/items/GCD7R94C"],"itemData":{"id":139,"type":"software","event-place":"Vienna, Austria","publisher":"R Foundation for Statistical Computing","publisher-place":"Vienna, Austria","title":"R: A language and environment for statistical computing","URL":"https://www.R-project.org/","author":[{"family":"R Core Team","given":""}],"issued":{"date-parts":[["2022"]]}}}],"schema":"https://github.com/citation-style-language/schema/raw/master/csl-citation.json"} </w:instrText>
      </w:r>
      <w:r w:rsidR="0099462E" w:rsidRPr="00B1793F">
        <w:rPr>
          <w:bCs/>
        </w:rPr>
        <w:fldChar w:fldCharType="separate"/>
      </w:r>
      <w:r w:rsidR="0099462E" w:rsidRPr="00B1793F">
        <w:t>R Core Team, 202</w:t>
      </w:r>
      <w:r w:rsidR="00FE5BE4">
        <w:t>3</w:t>
      </w:r>
      <w:r w:rsidR="0099462E" w:rsidRPr="00B1793F">
        <w:t>)</w:t>
      </w:r>
      <w:r w:rsidR="0099462E" w:rsidRPr="00B1793F">
        <w:rPr>
          <w:bCs/>
        </w:rPr>
        <w:fldChar w:fldCharType="end"/>
      </w:r>
      <w:r w:rsidR="0099462E" w:rsidRPr="00AA5E66">
        <w:rPr>
          <w:bCs/>
        </w:rPr>
        <w:t xml:space="preserve"> in RStudio (v 202</w:t>
      </w:r>
      <w:r w:rsidR="0099462E">
        <w:rPr>
          <w:bCs/>
        </w:rPr>
        <w:t>3</w:t>
      </w:r>
      <w:r w:rsidR="0099462E" w:rsidRPr="00AA5E66">
        <w:rPr>
          <w:bCs/>
        </w:rPr>
        <w:t>.</w:t>
      </w:r>
      <w:r w:rsidR="0099462E">
        <w:rPr>
          <w:bCs/>
        </w:rPr>
        <w:t>03</w:t>
      </w:r>
      <w:r w:rsidR="0099462E" w:rsidRPr="00AA5E66">
        <w:rPr>
          <w:bCs/>
        </w:rPr>
        <w:t>.</w:t>
      </w:r>
      <w:r w:rsidR="0099462E">
        <w:rPr>
          <w:bCs/>
        </w:rPr>
        <w:t>1</w:t>
      </w:r>
      <w:r w:rsidR="0099462E" w:rsidRPr="00AA5E66">
        <w:rPr>
          <w:bCs/>
        </w:rPr>
        <w:t>;</w:t>
      </w:r>
      <w:r w:rsidR="0099462E">
        <w:rPr>
          <w:bCs/>
        </w:rPr>
        <w:t xml:space="preserve"> </w:t>
      </w:r>
      <w:r w:rsidR="0099462E">
        <w:rPr>
          <w:bCs/>
        </w:rPr>
        <w:fldChar w:fldCharType="begin"/>
      </w:r>
      <w:r w:rsidR="0099462E">
        <w:rPr>
          <w:bCs/>
        </w:rPr>
        <w:instrText xml:space="preserve"> ADDIN ZOTERO_ITEM CSL_CITATION {"citationID":"ZGKe3l4r","properties":{"formattedCitation":"(Posit team, 2023)","plainCitation":"(Posit team, 2023)","dontUpdate":true,"noteIndex":0},"citationItems":[{"id":717,"uris":["http://zotero.org/users/8345996/items/WCTFQSRZ"],"itemData":{"id":717,"type":"software","event-place":"Boston, MA","publisher":"Posit Software, PBC","publisher-place":"Boston, MA","title":"RStudio: Integrated Development Environment for R","URL":"http://www.posit.co/","author":[{"family":"Posit team","given":""}],"issued":{"date-parts":[["2023"]]}}}],"schema":"https://github.com/citation-style-language/schema/raw/master/csl-citation.json"} </w:instrText>
      </w:r>
      <w:r w:rsidR="0099462E">
        <w:rPr>
          <w:bCs/>
        </w:rPr>
        <w:fldChar w:fldCharType="separate"/>
      </w:r>
      <w:r w:rsidR="0099462E" w:rsidRPr="00A14895">
        <w:t>Posit team, 2023)</w:t>
      </w:r>
      <w:r w:rsidR="0099462E">
        <w:rPr>
          <w:bCs/>
        </w:rPr>
        <w:fldChar w:fldCharType="end"/>
      </w:r>
      <w:r w:rsidR="0099462E">
        <w:rPr>
          <w:bCs/>
        </w:rPr>
        <w:t>.</w:t>
      </w:r>
      <w:r w:rsidR="00FE5BE4">
        <w:rPr>
          <w:bCs/>
        </w:rPr>
        <w:t xml:space="preserve"> The R script for the present analyses is available online at </w:t>
      </w:r>
      <w:r w:rsidR="00903B97" w:rsidRPr="00903B97">
        <w:t>https://osf.io/zh8f9/?view_only=03a223944eca4b6fa0dcfafafc1fa966</w:t>
      </w:r>
      <w:r w:rsidR="00FE5BE4">
        <w:rPr>
          <w:bCs/>
        </w:rPr>
        <w:t>.</w:t>
      </w:r>
      <w:r w:rsidR="0099462E">
        <w:rPr>
          <w:bCs/>
        </w:rPr>
        <w:t xml:space="preserve"> </w:t>
      </w:r>
      <w:r w:rsidR="00AC1206">
        <w:rPr>
          <w:color w:val="0E101A"/>
        </w:rPr>
        <w:t>D</w:t>
      </w:r>
      <w:r w:rsidR="00B62DE6">
        <w:rPr>
          <w:color w:val="0E101A"/>
        </w:rPr>
        <w:t>escriptive</w:t>
      </w:r>
      <w:r w:rsidR="00FE5BE4">
        <w:rPr>
          <w:color w:val="0E101A"/>
        </w:rPr>
        <w:t xml:space="preserve"> statistics</w:t>
      </w:r>
      <w:r w:rsidR="00FC2759">
        <w:rPr>
          <w:color w:val="0E101A"/>
        </w:rPr>
        <w:t xml:space="preserve"> on demographic and clinically relevant information provided by program registrants</w:t>
      </w:r>
      <w:r w:rsidR="00AC1206">
        <w:rPr>
          <w:color w:val="0E101A"/>
        </w:rPr>
        <w:t xml:space="preserve"> were examined to </w:t>
      </w:r>
      <w:r w:rsidR="002054AD">
        <w:rPr>
          <w:color w:val="0E101A"/>
        </w:rPr>
        <w:t>charact</w:t>
      </w:r>
      <w:r w:rsidR="009036F0">
        <w:rPr>
          <w:color w:val="0E101A"/>
        </w:rPr>
        <w:t>er</w:t>
      </w:r>
      <w:r w:rsidR="002054AD">
        <w:rPr>
          <w:color w:val="0E101A"/>
        </w:rPr>
        <w:t>ize</w:t>
      </w:r>
      <w:r w:rsidR="00AC1206">
        <w:rPr>
          <w:color w:val="0E101A"/>
        </w:rPr>
        <w:t xml:space="preserve"> the sample</w:t>
      </w:r>
      <w:r w:rsidR="00FE5BE4">
        <w:rPr>
          <w:color w:val="0E101A"/>
        </w:rPr>
        <w:t xml:space="preserve">. </w:t>
      </w:r>
      <w:r w:rsidR="00FC2759">
        <w:rPr>
          <w:color w:val="0E101A"/>
        </w:rPr>
        <w:t xml:space="preserve">Additionally, </w:t>
      </w:r>
      <w:r w:rsidR="00FE5BE4">
        <w:rPr>
          <w:color w:val="0E101A"/>
        </w:rPr>
        <w:t xml:space="preserve">descriptive statistics </w:t>
      </w:r>
      <w:r w:rsidR="00FC2759">
        <w:rPr>
          <w:color w:val="0E101A"/>
        </w:rPr>
        <w:t>on</w:t>
      </w:r>
      <w:r w:rsidR="00FE5BE4">
        <w:rPr>
          <w:color w:val="0E101A"/>
        </w:rPr>
        <w:t xml:space="preserve"> program </w:t>
      </w:r>
      <w:r w:rsidR="00FC2759">
        <w:rPr>
          <w:color w:val="0E101A"/>
        </w:rPr>
        <w:t xml:space="preserve">usage (i.e., </w:t>
      </w:r>
      <w:r w:rsidR="00226EE2">
        <w:rPr>
          <w:color w:val="0E101A"/>
        </w:rPr>
        <w:t xml:space="preserve">login attempts and </w:t>
      </w:r>
      <w:r w:rsidR="00FC2759">
        <w:rPr>
          <w:color w:val="0E101A"/>
        </w:rPr>
        <w:t>module completion)</w:t>
      </w:r>
      <w:r w:rsidR="00AC1206">
        <w:rPr>
          <w:color w:val="0E101A"/>
        </w:rPr>
        <w:t xml:space="preserve"> were used</w:t>
      </w:r>
      <w:r w:rsidR="00FC2759">
        <w:rPr>
          <w:color w:val="0E101A"/>
        </w:rPr>
        <w:t xml:space="preserve"> to assess program </w:t>
      </w:r>
      <w:r w:rsidR="00214A8B">
        <w:rPr>
          <w:color w:val="0E101A"/>
        </w:rPr>
        <w:t xml:space="preserve">adherence </w:t>
      </w:r>
      <w:r w:rsidR="00FC2759">
        <w:rPr>
          <w:color w:val="0E101A"/>
        </w:rPr>
        <w:t xml:space="preserve">as a whole. Finally, </w:t>
      </w:r>
      <w:r w:rsidR="00403BA7">
        <w:rPr>
          <w:color w:val="0E101A"/>
        </w:rPr>
        <w:t>regression</w:t>
      </w:r>
      <w:r w:rsidR="00646588">
        <w:rPr>
          <w:color w:val="0E101A"/>
        </w:rPr>
        <w:t>-based</w:t>
      </w:r>
      <w:r w:rsidR="00403BA7">
        <w:rPr>
          <w:color w:val="0E101A"/>
        </w:rPr>
        <w:t xml:space="preserve"> analyses</w:t>
      </w:r>
      <w:r w:rsidR="00AC1206">
        <w:rPr>
          <w:color w:val="0E101A"/>
        </w:rPr>
        <w:t xml:space="preserve"> were conducted</w:t>
      </w:r>
      <w:r w:rsidR="00403BA7">
        <w:rPr>
          <w:color w:val="0E101A"/>
        </w:rPr>
        <w:t xml:space="preserve"> to </w:t>
      </w:r>
      <w:r w:rsidR="00AC1206">
        <w:rPr>
          <w:color w:val="0E101A"/>
        </w:rPr>
        <w:t>identify</w:t>
      </w:r>
      <w:r w:rsidR="00403BA7">
        <w:rPr>
          <w:color w:val="0E101A"/>
        </w:rPr>
        <w:t xml:space="preserve"> user characteristics </w:t>
      </w:r>
      <w:r w:rsidR="002139D4">
        <w:rPr>
          <w:color w:val="0E101A"/>
        </w:rPr>
        <w:t xml:space="preserve">as </w:t>
      </w:r>
      <w:r w:rsidR="00403BA7">
        <w:rPr>
          <w:color w:val="0E101A"/>
        </w:rPr>
        <w:t>predict</w:t>
      </w:r>
      <w:r w:rsidR="002139D4">
        <w:rPr>
          <w:color w:val="0E101A"/>
        </w:rPr>
        <w:t>ors</w:t>
      </w:r>
      <w:r w:rsidR="00403BA7">
        <w:rPr>
          <w:color w:val="0E101A"/>
        </w:rPr>
        <w:t xml:space="preserve"> </w:t>
      </w:r>
      <w:r w:rsidR="002139D4">
        <w:rPr>
          <w:color w:val="0E101A"/>
        </w:rPr>
        <w:t>of module completion.</w:t>
      </w:r>
      <w:r w:rsidR="00403BA7">
        <w:rPr>
          <w:color w:val="0E101A"/>
        </w:rPr>
        <w:t xml:space="preserve"> </w:t>
      </w:r>
      <w:r w:rsidR="00F467FE">
        <w:rPr>
          <w:color w:val="0E101A"/>
        </w:rPr>
        <w:t>We took</w:t>
      </w:r>
      <w:r w:rsidR="00F467FE" w:rsidRPr="00F467FE">
        <w:rPr>
          <w:color w:val="0E101A"/>
        </w:rPr>
        <w:t xml:space="preserve"> a pairwise deletion approach to missing data, in which participants who were missing data necessary to run </w:t>
      </w:r>
      <w:r w:rsidR="00F467FE">
        <w:rPr>
          <w:color w:val="0E101A"/>
        </w:rPr>
        <w:t>any given</w:t>
      </w:r>
      <w:r w:rsidR="00F467FE" w:rsidRPr="00F467FE">
        <w:rPr>
          <w:color w:val="0E101A"/>
        </w:rPr>
        <w:t xml:space="preserve"> analysis were excluded</w:t>
      </w:r>
      <w:r w:rsidR="00F467FE">
        <w:rPr>
          <w:color w:val="0E101A"/>
        </w:rPr>
        <w:t xml:space="preserve"> for that specific analysis.</w:t>
      </w:r>
      <w:r w:rsidR="0087633A">
        <w:rPr>
          <w:color w:val="0E101A"/>
        </w:rPr>
        <w:t xml:space="preserve"> </w:t>
      </w:r>
    </w:p>
    <w:p w14:paraId="4D3178EF" w14:textId="154F24C8" w:rsidR="00BD1A7F" w:rsidRPr="008F72ED" w:rsidRDefault="00403BA7" w:rsidP="008F72ED">
      <w:pPr>
        <w:pStyle w:val="NormalWeb"/>
        <w:spacing w:before="0" w:beforeAutospacing="0" w:after="0" w:afterAutospacing="0" w:line="480" w:lineRule="auto"/>
        <w:ind w:firstLine="720"/>
        <w:contextualSpacing/>
        <w:rPr>
          <w:color w:val="0E101A"/>
        </w:rPr>
      </w:pPr>
      <w:r>
        <w:rPr>
          <w:color w:val="0E101A"/>
        </w:rPr>
        <w:t>Given that number of modules completed is count data and appears to approximately follow a Poisson distribution in our dataset, we decided to run Poisson regression models.</w:t>
      </w:r>
      <w:r w:rsidR="00DE353F">
        <w:rPr>
          <w:color w:val="0E101A"/>
        </w:rPr>
        <w:t xml:space="preserve"> </w:t>
      </w:r>
      <w:r w:rsidR="00C424A4">
        <w:rPr>
          <w:color w:val="0E101A"/>
        </w:rPr>
        <w:t>Analyses were conducted in a univariate fashion, in which a</w:t>
      </w:r>
      <w:r>
        <w:rPr>
          <w:color w:val="0E101A"/>
        </w:rPr>
        <w:t xml:space="preserve"> separate model with number of core modules completed as the outcome was run for each predictor, including gender, age, race, treatment status, and whether they enrolled in weekly email tips. </w:t>
      </w:r>
      <w:r w:rsidR="00F243F2">
        <w:rPr>
          <w:color w:val="0E101A"/>
        </w:rPr>
        <w:t>Regarding the race model, American Indians/Alaska Natives and Native Hawaiians/Pacific Islanders were excluded from these analyses given there was a sample size of less than 5 for each.</w:t>
      </w:r>
      <w:r w:rsidR="008F72ED">
        <w:rPr>
          <w:color w:val="0E101A"/>
        </w:rPr>
        <w:t xml:space="preserve"> </w:t>
      </w:r>
      <w:r>
        <w:rPr>
          <w:color w:val="0E101A"/>
        </w:rPr>
        <w:t xml:space="preserve">An additional model was run </w:t>
      </w:r>
      <w:r w:rsidR="002139D4">
        <w:rPr>
          <w:color w:val="0E101A"/>
        </w:rPr>
        <w:t>where</w:t>
      </w:r>
      <w:r>
        <w:rPr>
          <w:color w:val="0E101A"/>
        </w:rPr>
        <w:t xml:space="preserve"> depression and anxiety were both included as predictors in the same model, given that these </w:t>
      </w:r>
      <w:r w:rsidR="00B56CEF">
        <w:rPr>
          <w:color w:val="0E101A"/>
        </w:rPr>
        <w:t>two</w:t>
      </w:r>
      <w:r>
        <w:rPr>
          <w:color w:val="0E101A"/>
        </w:rPr>
        <w:t xml:space="preserve"> variables</w:t>
      </w:r>
      <w:r w:rsidR="00562C93">
        <w:rPr>
          <w:color w:val="0E101A"/>
        </w:rPr>
        <w:t xml:space="preserve"> are highly associated with one another</w:t>
      </w:r>
      <w:r>
        <w:rPr>
          <w:color w:val="0E101A"/>
        </w:rPr>
        <w:t xml:space="preserve">. </w:t>
      </w:r>
      <w:r w:rsidR="002139D4">
        <w:rPr>
          <w:color w:val="0E101A"/>
        </w:rPr>
        <w:t>We ran</w:t>
      </w:r>
      <w:r>
        <w:rPr>
          <w:color w:val="0E101A"/>
        </w:rPr>
        <w:t xml:space="preserve"> predictors in separate models as opposed </w:t>
      </w:r>
      <w:r w:rsidR="004E02F2">
        <w:rPr>
          <w:color w:val="0E101A"/>
        </w:rPr>
        <w:t>to a single</w:t>
      </w:r>
      <w:r>
        <w:rPr>
          <w:color w:val="0E101A"/>
        </w:rPr>
        <w:t xml:space="preserve"> multiple regression model so that each user characteristic could be assessed individually, without using other variables as controls.</w:t>
      </w:r>
      <w:r w:rsidR="00562C93">
        <w:rPr>
          <w:color w:val="0E101A"/>
        </w:rPr>
        <w:t xml:space="preserve"> We checked for potential model over</w:t>
      </w:r>
      <w:r w:rsidR="00DE353F">
        <w:rPr>
          <w:color w:val="0E101A"/>
        </w:rPr>
        <w:t xml:space="preserve"> or </w:t>
      </w:r>
      <w:proofErr w:type="spellStart"/>
      <w:r w:rsidR="00DE353F">
        <w:rPr>
          <w:color w:val="0E101A"/>
        </w:rPr>
        <w:t>under</w:t>
      </w:r>
      <w:r w:rsidR="00562C93">
        <w:rPr>
          <w:color w:val="0E101A"/>
        </w:rPr>
        <w:t>dispersion</w:t>
      </w:r>
      <w:proofErr w:type="spellEnd"/>
      <w:r w:rsidR="00562C93">
        <w:rPr>
          <w:color w:val="0E101A"/>
        </w:rPr>
        <w:t xml:space="preserve"> </w:t>
      </w:r>
      <w:r w:rsidR="00DE353F">
        <w:rPr>
          <w:color w:val="0E101A"/>
        </w:rPr>
        <w:t xml:space="preserve">(e.g., variance is below or greater than the mean) </w:t>
      </w:r>
      <w:r w:rsidR="00562C93">
        <w:rPr>
          <w:color w:val="0E101A"/>
        </w:rPr>
        <w:t xml:space="preserve">using the </w:t>
      </w:r>
      <w:proofErr w:type="spellStart"/>
      <w:r w:rsidR="00562C93">
        <w:rPr>
          <w:color w:val="0E101A"/>
        </w:rPr>
        <w:t>dispersiontest</w:t>
      </w:r>
      <w:proofErr w:type="spellEnd"/>
      <w:r w:rsidR="00562C93">
        <w:rPr>
          <w:color w:val="0E101A"/>
        </w:rPr>
        <w:t xml:space="preserve"> function from the AER package (</w:t>
      </w:r>
      <w:proofErr w:type="spellStart"/>
      <w:r w:rsidR="00562C93">
        <w:rPr>
          <w:color w:val="0E101A"/>
        </w:rPr>
        <w:t>Kleiber</w:t>
      </w:r>
      <w:proofErr w:type="spellEnd"/>
      <w:r w:rsidR="00562C93">
        <w:rPr>
          <w:color w:val="0E101A"/>
        </w:rPr>
        <w:t xml:space="preserve"> &amp; </w:t>
      </w:r>
      <w:proofErr w:type="spellStart"/>
      <w:r w:rsidR="00562C93">
        <w:rPr>
          <w:color w:val="0E101A"/>
        </w:rPr>
        <w:t>Zeileis</w:t>
      </w:r>
      <w:proofErr w:type="spellEnd"/>
      <w:r w:rsidR="00562C93">
        <w:rPr>
          <w:color w:val="0E101A"/>
        </w:rPr>
        <w:t xml:space="preserve">, 2008). All models were significantly </w:t>
      </w:r>
      <w:proofErr w:type="spellStart"/>
      <w:r w:rsidR="00562C93">
        <w:rPr>
          <w:color w:val="0E101A"/>
        </w:rPr>
        <w:t>overdispersed</w:t>
      </w:r>
      <w:proofErr w:type="spellEnd"/>
      <w:r w:rsidR="00562C93">
        <w:rPr>
          <w:color w:val="0E101A"/>
        </w:rPr>
        <w:t xml:space="preserve"> (</w:t>
      </w:r>
      <w:r w:rsidR="00562C93" w:rsidRPr="00562C93">
        <w:rPr>
          <w:i/>
          <w:iCs/>
          <w:color w:val="0E101A"/>
        </w:rPr>
        <w:t>p</w:t>
      </w:r>
      <w:r w:rsidR="00562C93">
        <w:rPr>
          <w:color w:val="0E101A"/>
        </w:rPr>
        <w:t xml:space="preserve"> &lt; .05 for all models)</w:t>
      </w:r>
      <w:r w:rsidR="00DE353F">
        <w:rPr>
          <w:color w:val="0E101A"/>
        </w:rPr>
        <w:t>,</w:t>
      </w:r>
      <w:r w:rsidR="00562C93">
        <w:rPr>
          <w:color w:val="0E101A"/>
        </w:rPr>
        <w:t xml:space="preserve"> with dispersion values ranging from </w:t>
      </w:r>
      <w:r w:rsidR="00DE353F">
        <w:rPr>
          <w:color w:val="0E101A"/>
        </w:rPr>
        <w:t>3.92 to 4.33.</w:t>
      </w:r>
      <w:r w:rsidR="00562C93">
        <w:rPr>
          <w:color w:val="0E101A"/>
        </w:rPr>
        <w:t xml:space="preserve"> </w:t>
      </w:r>
      <w:r w:rsidR="00DE353F">
        <w:rPr>
          <w:color w:val="0E101A"/>
        </w:rPr>
        <w:t>This</w:t>
      </w:r>
      <w:r w:rsidR="00562C93">
        <w:rPr>
          <w:color w:val="0E101A"/>
        </w:rPr>
        <w:t xml:space="preserve"> </w:t>
      </w:r>
      <w:r w:rsidR="00562C93">
        <w:rPr>
          <w:color w:val="0E101A"/>
        </w:rPr>
        <w:lastRenderedPageBreak/>
        <w:t>violates the Poisson regression assumption that the</w:t>
      </w:r>
      <w:r w:rsidR="00DE353F">
        <w:rPr>
          <w:color w:val="0E101A"/>
        </w:rPr>
        <w:t xml:space="preserve"> outcome</w:t>
      </w:r>
      <w:r w:rsidR="00562C93">
        <w:rPr>
          <w:color w:val="0E101A"/>
        </w:rPr>
        <w:t xml:space="preserve"> mean is equal to the variance</w:t>
      </w:r>
      <w:r w:rsidR="00DE353F">
        <w:rPr>
          <w:color w:val="0E101A"/>
        </w:rPr>
        <w:t xml:space="preserve">. </w:t>
      </w:r>
      <w:r w:rsidR="002139D4">
        <w:rPr>
          <w:color w:val="0E101A"/>
        </w:rPr>
        <w:t>Th</w:t>
      </w:r>
      <w:r w:rsidR="00DB0F1B">
        <w:rPr>
          <w:color w:val="0E101A"/>
        </w:rPr>
        <w:t>u</w:t>
      </w:r>
      <w:r w:rsidR="002139D4">
        <w:rPr>
          <w:color w:val="0E101A"/>
        </w:rPr>
        <w:t xml:space="preserve">s, </w:t>
      </w:r>
      <w:r w:rsidR="00DE353F">
        <w:rPr>
          <w:color w:val="0E101A"/>
        </w:rPr>
        <w:t>models were re-run using negative binomial regression (</w:t>
      </w:r>
      <w:r w:rsidR="00DE353F" w:rsidRPr="00DE353F">
        <w:rPr>
          <w:color w:val="000000" w:themeColor="text1"/>
        </w:rPr>
        <w:t xml:space="preserve">Ver </w:t>
      </w:r>
      <w:proofErr w:type="spellStart"/>
      <w:r w:rsidR="00DE353F" w:rsidRPr="00DE353F">
        <w:rPr>
          <w:color w:val="000000" w:themeColor="text1"/>
        </w:rPr>
        <w:t>Hoef</w:t>
      </w:r>
      <w:proofErr w:type="spellEnd"/>
      <w:r w:rsidR="00DE353F">
        <w:rPr>
          <w:color w:val="000000" w:themeColor="text1"/>
        </w:rPr>
        <w:t xml:space="preserve"> </w:t>
      </w:r>
      <w:r w:rsidR="00DE353F" w:rsidRPr="00DE353F">
        <w:rPr>
          <w:color w:val="000000" w:themeColor="text1"/>
        </w:rPr>
        <w:t xml:space="preserve">&amp; </w:t>
      </w:r>
      <w:proofErr w:type="spellStart"/>
      <w:r w:rsidR="00DE353F" w:rsidRPr="00DE353F">
        <w:rPr>
          <w:color w:val="000000" w:themeColor="text1"/>
        </w:rPr>
        <w:t>Boveng</w:t>
      </w:r>
      <w:proofErr w:type="spellEnd"/>
      <w:r w:rsidR="00DE353F" w:rsidRPr="00DE353F">
        <w:rPr>
          <w:color w:val="000000" w:themeColor="text1"/>
        </w:rPr>
        <w:t>,</w:t>
      </w:r>
      <w:r w:rsidR="00DE353F">
        <w:rPr>
          <w:color w:val="000000" w:themeColor="text1"/>
        </w:rPr>
        <w:t xml:space="preserve"> 2007)</w:t>
      </w:r>
      <w:r w:rsidR="00CC09E9">
        <w:rPr>
          <w:color w:val="000000" w:themeColor="text1"/>
        </w:rPr>
        <w:t xml:space="preserve"> using the </w:t>
      </w:r>
      <w:proofErr w:type="spellStart"/>
      <w:proofErr w:type="gramStart"/>
      <w:r w:rsidR="00CC09E9">
        <w:rPr>
          <w:color w:val="000000" w:themeColor="text1"/>
        </w:rPr>
        <w:t>glm.nb</w:t>
      </w:r>
      <w:proofErr w:type="spellEnd"/>
      <w:proofErr w:type="gramEnd"/>
      <w:r w:rsidR="00CC09E9">
        <w:rPr>
          <w:color w:val="000000" w:themeColor="text1"/>
        </w:rPr>
        <w:t>() function from the MASS package (Venables &amp; Ripley, 2022)</w:t>
      </w:r>
      <w:r w:rsidR="00DE353F">
        <w:rPr>
          <w:color w:val="000000" w:themeColor="text1"/>
        </w:rPr>
        <w:t>.</w:t>
      </w:r>
      <w:r w:rsidR="004E02F2">
        <w:rPr>
          <w:color w:val="000000" w:themeColor="text1"/>
        </w:rPr>
        <w:t xml:space="preserve"> </w:t>
      </w:r>
      <w:r w:rsidR="00A157C0">
        <w:rPr>
          <w:color w:val="000000" w:themeColor="text1"/>
        </w:rPr>
        <w:t>Pseudo R</w:t>
      </w:r>
      <w:r w:rsidR="00A157C0" w:rsidRPr="009A2130">
        <w:rPr>
          <w:color w:val="000000" w:themeColor="text1"/>
          <w:vertAlign w:val="superscript"/>
        </w:rPr>
        <w:t>2</w:t>
      </w:r>
      <w:r w:rsidR="00A157C0">
        <w:rPr>
          <w:color w:val="000000" w:themeColor="text1"/>
        </w:rPr>
        <w:t xml:space="preserve"> values were calculated for each model using the </w:t>
      </w:r>
      <w:r w:rsidR="00A157C0" w:rsidRPr="00E47BE0">
        <w:rPr>
          <w:color w:val="000000" w:themeColor="text1"/>
        </w:rPr>
        <w:t>Nagelkerke</w:t>
      </w:r>
      <w:r w:rsidR="00A157C0">
        <w:rPr>
          <w:color w:val="000000" w:themeColor="text1"/>
        </w:rPr>
        <w:t xml:space="preserve"> index (a corrected version of the Cox &amp; Snell index), using the </w:t>
      </w:r>
      <w:proofErr w:type="spellStart"/>
      <w:r w:rsidR="00A157C0" w:rsidRPr="00E47BE0">
        <w:rPr>
          <w:color w:val="000000" w:themeColor="text1"/>
        </w:rPr>
        <w:t>RsqGLM</w:t>
      </w:r>
      <w:proofErr w:type="spellEnd"/>
      <w:r w:rsidR="00A157C0">
        <w:rPr>
          <w:color w:val="000000" w:themeColor="text1"/>
        </w:rPr>
        <w:t xml:space="preserve">() function from the </w:t>
      </w:r>
      <w:proofErr w:type="spellStart"/>
      <w:r w:rsidR="00A157C0" w:rsidRPr="00E47BE0">
        <w:rPr>
          <w:color w:val="000000" w:themeColor="text1"/>
        </w:rPr>
        <w:t>modEvA</w:t>
      </w:r>
      <w:proofErr w:type="spellEnd"/>
      <w:r w:rsidR="00A157C0">
        <w:rPr>
          <w:color w:val="000000" w:themeColor="text1"/>
        </w:rPr>
        <w:t xml:space="preserve"> package </w:t>
      </w:r>
      <w:r w:rsidR="00A157C0">
        <w:rPr>
          <w:color w:val="000000" w:themeColor="text1"/>
        </w:rPr>
        <w:fldChar w:fldCharType="begin"/>
      </w:r>
      <w:r w:rsidR="00A157C0">
        <w:rPr>
          <w:color w:val="000000" w:themeColor="text1"/>
        </w:rPr>
        <w:instrText xml:space="preserve"> ADDIN ZOTERO_ITEM CSL_CITATION {"citationID":"Exqhyud4","properties":{"formattedCitation":"(M\\uc0\\u225{}rcia Barbosa et al., 2013)","plainCitation":"(Márcia Barbosa et al., 2013)","noteIndex":0},"citationItems":[{"id":780,"uris":["http://zotero.org/users/8345996/items/MZH9W973"],"itemData":{"id":780,"type":"article-journal","abstract":"Abstract\n            \n              \n              Models based on species distributions are widely used and serve important purposes in ecology, biogeography and conservation. Their continuous predictions of environmental suitability are commonly converted into a binary classification of predicted (or potential) presences and absences, whose accuracy is then evaluated through a number of measures that have been the subject of recent reviews. We propose four additional measures that analyse observation‐prediction mismatch from a different angle – namely, from the perspective of the predicted rather than the observed area – and add to the existing toolset of model evaluation methods. We explain how these measures can complete the view provided by the existing measures, allowing further insights into distribution model predictions. We also describe how they can be particularly useful when using models to forecast the spread of diseases or of invasive species and to predict modifications in species’ distributions under climate and land‐use change.","container-title":"Diversity and Distributions","DOI":"10.1111/ddi.12100","ISSN":"1366-9516, 1472-4642","issue":"10","journalAbbreviation":"Diversity and Distributions","language":"en","page":"1333-1338","source":"DOI.org (Crossref)","title":"New measures for assessing model equilibrium and prediction mismatch in species distribution models","volume":"19","author":[{"family":"Márcia Barbosa","given":"A."},{"family":"Real","given":"Raimundo"},{"family":"Muñoz","given":"A.‐Román"},{"family":"Brown","given":"Jennifer A."}],"editor":[{"family":"Robertson","given":"Mark"}],"issued":{"date-parts":[["2013",10]]}}}],"schema":"https://github.com/citation-style-language/schema/raw/master/csl-citation.json"} </w:instrText>
      </w:r>
      <w:r w:rsidR="00A157C0">
        <w:rPr>
          <w:color w:val="000000" w:themeColor="text1"/>
        </w:rPr>
        <w:fldChar w:fldCharType="separate"/>
      </w:r>
      <w:r w:rsidR="00A157C0" w:rsidRPr="00E47BE0">
        <w:t>(</w:t>
      </w:r>
      <w:proofErr w:type="spellStart"/>
      <w:r w:rsidR="00A157C0" w:rsidRPr="00E47BE0">
        <w:t>Márcia</w:t>
      </w:r>
      <w:proofErr w:type="spellEnd"/>
      <w:r w:rsidR="00A157C0" w:rsidRPr="00E47BE0">
        <w:t xml:space="preserve"> Barbosa et al., 2013)</w:t>
      </w:r>
      <w:r w:rsidR="00A157C0">
        <w:rPr>
          <w:color w:val="000000" w:themeColor="text1"/>
        </w:rPr>
        <w:fldChar w:fldCharType="end"/>
      </w:r>
      <w:r w:rsidR="00A157C0">
        <w:rPr>
          <w:color w:val="000000" w:themeColor="text1"/>
        </w:rPr>
        <w:t xml:space="preserve">. </w:t>
      </w:r>
      <w:r w:rsidR="00DE353F">
        <w:rPr>
          <w:color w:val="000000" w:themeColor="text1"/>
        </w:rPr>
        <w:t>To prevent family-wise error, all P-values were corrected using the Benjamini-Hochberg procedure for each of these sets of analyses.</w:t>
      </w:r>
    </w:p>
    <w:p w14:paraId="5F038AF1" w14:textId="24D3DC07" w:rsidR="00BD1A7F" w:rsidRDefault="00BD1A7F" w:rsidP="00BD1A7F">
      <w:pPr>
        <w:pStyle w:val="NormalWeb"/>
        <w:spacing w:before="0" w:beforeAutospacing="0" w:after="0" w:afterAutospacing="0" w:line="480" w:lineRule="auto"/>
        <w:contextualSpacing/>
        <w:jc w:val="center"/>
        <w:rPr>
          <w:b/>
          <w:bCs/>
          <w:color w:val="0E101A"/>
        </w:rPr>
      </w:pPr>
      <w:r>
        <w:rPr>
          <w:b/>
          <w:bCs/>
          <w:color w:val="0E101A"/>
        </w:rPr>
        <w:t>Results</w:t>
      </w:r>
    </w:p>
    <w:p w14:paraId="714AD61C" w14:textId="20B48754" w:rsidR="00B62DE6" w:rsidRDefault="00B62DE6" w:rsidP="00820C6C">
      <w:pPr>
        <w:pStyle w:val="NormalWeb"/>
        <w:spacing w:before="0" w:beforeAutospacing="0" w:after="0" w:afterAutospacing="0" w:line="480" w:lineRule="auto"/>
        <w:contextualSpacing/>
        <w:rPr>
          <w:b/>
          <w:bCs/>
          <w:color w:val="0E101A"/>
        </w:rPr>
      </w:pPr>
      <w:r>
        <w:rPr>
          <w:b/>
          <w:bCs/>
          <w:color w:val="0E101A"/>
        </w:rPr>
        <w:t>Demographic Characteristics</w:t>
      </w:r>
    </w:p>
    <w:p w14:paraId="2BEC48E2" w14:textId="1842C382" w:rsidR="00872218" w:rsidRDefault="006C0147" w:rsidP="006B7E24">
      <w:pPr>
        <w:pStyle w:val="NormalWeb"/>
        <w:spacing w:before="0" w:beforeAutospacing="0" w:after="0" w:afterAutospacing="0" w:line="480" w:lineRule="auto"/>
        <w:contextualSpacing/>
        <w:rPr>
          <w:color w:val="0E101A"/>
        </w:rPr>
      </w:pPr>
      <w:r>
        <w:rPr>
          <w:color w:val="0E101A"/>
        </w:rPr>
        <w:tab/>
      </w:r>
      <w:r w:rsidR="004E02F2">
        <w:rPr>
          <w:color w:val="0E101A"/>
        </w:rPr>
        <w:t xml:space="preserve">Table 1 displays sample characteristics. </w:t>
      </w:r>
      <w:r w:rsidR="002139D4">
        <w:rPr>
          <w:color w:val="0E101A"/>
        </w:rPr>
        <w:t xml:space="preserve">Those who signed-up for </w:t>
      </w:r>
      <w:r w:rsidR="00ED2369">
        <w:rPr>
          <w:color w:val="0E101A"/>
        </w:rPr>
        <w:t>ACT Guide primarily identified as White (81.9%), and as a Woman (69.5%). The mean age for registrants was 36.6 (</w:t>
      </w:r>
      <w:r w:rsidR="00ED2369" w:rsidRPr="007B3F42">
        <w:rPr>
          <w:i/>
          <w:iCs/>
          <w:color w:val="0E101A"/>
        </w:rPr>
        <w:t>SD</w:t>
      </w:r>
      <w:r w:rsidR="00ED2369">
        <w:rPr>
          <w:color w:val="0E101A"/>
        </w:rPr>
        <w:t xml:space="preserve"> = 13.5), however the </w:t>
      </w:r>
      <w:r w:rsidR="00EA5CCB">
        <w:rPr>
          <w:color w:val="0E101A"/>
        </w:rPr>
        <w:t>modal</w:t>
      </w:r>
      <w:r w:rsidR="00ED2369">
        <w:rPr>
          <w:color w:val="0E101A"/>
        </w:rPr>
        <w:t xml:space="preserve"> age was 23. </w:t>
      </w:r>
      <w:r w:rsidR="006D7315">
        <w:rPr>
          <w:color w:val="0E101A"/>
        </w:rPr>
        <w:t xml:space="preserve">A total of 83.5% of registrants reported living in the </w:t>
      </w:r>
      <w:r w:rsidR="000E51F5">
        <w:rPr>
          <w:color w:val="0E101A"/>
        </w:rPr>
        <w:t>North America</w:t>
      </w:r>
      <w:r w:rsidR="002139D4">
        <w:rPr>
          <w:color w:val="0E101A"/>
        </w:rPr>
        <w:t>.</w:t>
      </w:r>
      <w:r w:rsidR="006D7315">
        <w:rPr>
          <w:color w:val="0E101A"/>
        </w:rPr>
        <w:t xml:space="preserve"> For those located in the United States</w:t>
      </w:r>
      <w:r w:rsidR="002139D4">
        <w:rPr>
          <w:color w:val="0E101A"/>
        </w:rPr>
        <w:t xml:space="preserve"> </w:t>
      </w:r>
      <w:r w:rsidR="006D7315">
        <w:rPr>
          <w:color w:val="0E101A"/>
        </w:rPr>
        <w:t xml:space="preserve">39.5% </w:t>
      </w:r>
      <w:r w:rsidR="00BC7542">
        <w:rPr>
          <w:color w:val="0E101A"/>
        </w:rPr>
        <w:t xml:space="preserve">reported </w:t>
      </w:r>
      <w:r w:rsidR="006D7315">
        <w:rPr>
          <w:color w:val="0E101A"/>
        </w:rPr>
        <w:t xml:space="preserve">living in </w:t>
      </w:r>
      <w:r w:rsidR="00BC7542">
        <w:rPr>
          <w:color w:val="0E101A"/>
        </w:rPr>
        <w:t xml:space="preserve">Utah, which is where the </w:t>
      </w:r>
      <w:r w:rsidR="00992791">
        <w:rPr>
          <w:color w:val="0E101A"/>
        </w:rPr>
        <w:t>u</w:t>
      </w:r>
      <w:r w:rsidR="00BC7542">
        <w:rPr>
          <w:color w:val="0E101A"/>
        </w:rPr>
        <w:t xml:space="preserve">niversity affiliated with </w:t>
      </w:r>
      <w:r w:rsidR="000E51F5">
        <w:rPr>
          <w:color w:val="0E101A"/>
        </w:rPr>
        <w:t xml:space="preserve">the </w:t>
      </w:r>
      <w:r w:rsidR="00BC7542">
        <w:rPr>
          <w:color w:val="0E101A"/>
        </w:rPr>
        <w:t>development</w:t>
      </w:r>
      <w:r w:rsidR="004E02F2">
        <w:rPr>
          <w:color w:val="0E101A"/>
        </w:rPr>
        <w:t xml:space="preserve"> of </w:t>
      </w:r>
      <w:r w:rsidR="00FC3BE5">
        <w:rPr>
          <w:color w:val="0E101A"/>
        </w:rPr>
        <w:t>ACT Guide</w:t>
      </w:r>
      <w:r w:rsidR="00BC7542">
        <w:rPr>
          <w:color w:val="0E101A"/>
        </w:rPr>
        <w:t xml:space="preserve"> is located. </w:t>
      </w:r>
      <w:r w:rsidR="004E02F2">
        <w:rPr>
          <w:color w:val="0E101A"/>
        </w:rPr>
        <w:t xml:space="preserve">Of the users who were asked about receiving email tips, </w:t>
      </w:r>
      <w:r w:rsidR="004E02F2" w:rsidRPr="004E02F2">
        <w:rPr>
          <w:color w:val="0E101A"/>
        </w:rPr>
        <w:t>70% agreed to receive the weekly email tips.</w:t>
      </w:r>
      <w:r w:rsidR="006B7E24">
        <w:rPr>
          <w:color w:val="0E101A"/>
        </w:rPr>
        <w:t xml:space="preserve"> </w:t>
      </w:r>
      <w:r w:rsidR="00BC7542">
        <w:rPr>
          <w:color w:val="0E101A"/>
        </w:rPr>
        <w:t>Regarding treatment status, 35.2% of registrants were working with a mental health professional at the time of sign-up, 5.1% had recently stopped working with a mental health professional, 33.9% had worked with a mental health profession</w:t>
      </w:r>
      <w:r w:rsidR="00A602F8">
        <w:rPr>
          <w:color w:val="0E101A"/>
        </w:rPr>
        <w:t>al</w:t>
      </w:r>
      <w:r w:rsidR="00BC7542">
        <w:rPr>
          <w:color w:val="0E101A"/>
        </w:rPr>
        <w:t xml:space="preserve"> at some point in the past but not currently, and 25.8% had never worked with a mental health professional.</w:t>
      </w:r>
      <w:r w:rsidR="00A602F8">
        <w:rPr>
          <w:color w:val="0E101A"/>
        </w:rPr>
        <w:t xml:space="preserve"> </w:t>
      </w:r>
    </w:p>
    <w:p w14:paraId="0BC442FB" w14:textId="1727A746" w:rsidR="00872218" w:rsidRPr="00872218" w:rsidRDefault="00445406" w:rsidP="00872218">
      <w:pPr>
        <w:pStyle w:val="NormalWeb"/>
        <w:spacing w:before="0" w:beforeAutospacing="0" w:after="0" w:afterAutospacing="0" w:line="480" w:lineRule="auto"/>
        <w:contextualSpacing/>
        <w:rPr>
          <w:b/>
          <w:bCs/>
          <w:color w:val="0E101A"/>
        </w:rPr>
      </w:pPr>
      <w:r>
        <w:rPr>
          <w:b/>
          <w:bCs/>
          <w:color w:val="0E101A"/>
        </w:rPr>
        <w:t xml:space="preserve">Clinical </w:t>
      </w:r>
      <w:r w:rsidR="0013697B">
        <w:rPr>
          <w:b/>
          <w:bCs/>
          <w:color w:val="0E101A"/>
        </w:rPr>
        <w:t>Characteristics</w:t>
      </w:r>
    </w:p>
    <w:p w14:paraId="6CF42785" w14:textId="39A6B410" w:rsidR="008D70F2" w:rsidRDefault="00A602F8" w:rsidP="00623662">
      <w:pPr>
        <w:pStyle w:val="NormalWeb"/>
        <w:spacing w:before="0" w:beforeAutospacing="0" w:after="0" w:afterAutospacing="0" w:line="480" w:lineRule="auto"/>
        <w:ind w:firstLine="720"/>
        <w:contextualSpacing/>
        <w:rPr>
          <w:color w:val="0E101A"/>
        </w:rPr>
      </w:pPr>
      <w:r>
        <w:rPr>
          <w:color w:val="0E101A"/>
        </w:rPr>
        <w:t xml:space="preserve">With respect to mental health symptoms, only </w:t>
      </w:r>
      <w:r w:rsidR="00B44682">
        <w:rPr>
          <w:color w:val="0E101A"/>
        </w:rPr>
        <w:t>6</w:t>
      </w:r>
      <w:r w:rsidR="00E71CF5">
        <w:rPr>
          <w:color w:val="0E101A"/>
        </w:rPr>
        <w:t>5</w:t>
      </w:r>
      <w:r w:rsidR="008B35AF">
        <w:rPr>
          <w:color w:val="0E101A"/>
        </w:rPr>
        <w:t>% of</w:t>
      </w:r>
      <w:r>
        <w:rPr>
          <w:color w:val="0E101A"/>
        </w:rPr>
        <w:t xml:space="preserve"> users had the opportunity to report depression and anxiety scores as the rest of the sample either never logged-in to the program after registering</w:t>
      </w:r>
      <w:r w:rsidR="00923DAF">
        <w:rPr>
          <w:color w:val="0E101A"/>
        </w:rPr>
        <w:t xml:space="preserve">, </w:t>
      </w:r>
      <w:r>
        <w:rPr>
          <w:color w:val="0E101A"/>
        </w:rPr>
        <w:t>did not progress far enough to encounter these items</w:t>
      </w:r>
      <w:r w:rsidR="00923DAF">
        <w:rPr>
          <w:color w:val="0E101A"/>
        </w:rPr>
        <w:t xml:space="preserve">, or skipped the welcome </w:t>
      </w:r>
      <w:r w:rsidR="00923DAF">
        <w:rPr>
          <w:color w:val="0E101A"/>
        </w:rPr>
        <w:lastRenderedPageBreak/>
        <w:t>module that contained these items</w:t>
      </w:r>
      <w:r>
        <w:rPr>
          <w:color w:val="0E101A"/>
        </w:rPr>
        <w:t xml:space="preserve">. </w:t>
      </w:r>
      <w:r w:rsidR="00E71CF5">
        <w:rPr>
          <w:color w:val="0E101A"/>
        </w:rPr>
        <w:t xml:space="preserve">Of these users, 10% opted not to complete the depression and anxiety measures. </w:t>
      </w:r>
      <w:r w:rsidR="005E1110">
        <w:rPr>
          <w:color w:val="0E101A"/>
        </w:rPr>
        <w:t>Among the users who reported mental health symptoms</w:t>
      </w:r>
      <w:r w:rsidR="00C435B8">
        <w:rPr>
          <w:color w:val="0E101A"/>
        </w:rPr>
        <w:t>, t</w:t>
      </w:r>
      <w:r w:rsidR="006A469B">
        <w:rPr>
          <w:color w:val="0E101A"/>
        </w:rPr>
        <w:t xml:space="preserve">he mean raw score on </w:t>
      </w:r>
      <w:r w:rsidR="005E1110">
        <w:rPr>
          <w:color w:val="0E101A"/>
        </w:rPr>
        <w:t xml:space="preserve">the </w:t>
      </w:r>
      <w:r w:rsidR="006A469B">
        <w:rPr>
          <w:color w:val="0E101A"/>
        </w:rPr>
        <w:t>PROMIS-</w:t>
      </w:r>
      <w:r>
        <w:rPr>
          <w:color w:val="0E101A"/>
        </w:rPr>
        <w:t>D</w:t>
      </w:r>
      <w:r w:rsidR="006A469B">
        <w:rPr>
          <w:color w:val="0E101A"/>
        </w:rPr>
        <w:t xml:space="preserve">epression </w:t>
      </w:r>
      <w:r w:rsidR="007B3F42">
        <w:rPr>
          <w:color w:val="0E101A"/>
        </w:rPr>
        <w:t>was 10.8 (</w:t>
      </w:r>
      <w:r w:rsidR="007B3F42" w:rsidRPr="007A5B7B">
        <w:rPr>
          <w:i/>
          <w:iCs/>
          <w:color w:val="0E101A"/>
        </w:rPr>
        <w:t>SD</w:t>
      </w:r>
      <w:r w:rsidR="007B3F42">
        <w:rPr>
          <w:color w:val="0E101A"/>
        </w:rPr>
        <w:t xml:space="preserve"> = 3.9</w:t>
      </w:r>
      <w:r w:rsidR="00573C75">
        <w:rPr>
          <w:color w:val="0E101A"/>
        </w:rPr>
        <w:t xml:space="preserve">; </w:t>
      </w:r>
      <w:r w:rsidR="006A469B">
        <w:rPr>
          <w:color w:val="0E101A"/>
        </w:rPr>
        <w:t>T-Score = 60.50</w:t>
      </w:r>
      <w:r w:rsidR="007B3F42">
        <w:rPr>
          <w:color w:val="0E101A"/>
        </w:rPr>
        <w:t>,</w:t>
      </w:r>
      <w:r w:rsidR="006A469B">
        <w:rPr>
          <w:color w:val="0E101A"/>
        </w:rPr>
        <w:t xml:space="preserve"> </w:t>
      </w:r>
      <w:r w:rsidR="007A5B7B" w:rsidRPr="007A5B7B">
        <w:rPr>
          <w:i/>
          <w:iCs/>
          <w:color w:val="0E101A"/>
        </w:rPr>
        <w:t>SE</w:t>
      </w:r>
      <w:r w:rsidR="006A469B">
        <w:rPr>
          <w:color w:val="0E101A"/>
        </w:rPr>
        <w:t xml:space="preserve"> = 2.3)</w:t>
      </w:r>
      <w:r w:rsidR="007A5B7B">
        <w:rPr>
          <w:color w:val="0E101A"/>
        </w:rPr>
        <w:t>,</w:t>
      </w:r>
      <w:r w:rsidR="00A2666A">
        <w:rPr>
          <w:color w:val="0E101A"/>
        </w:rPr>
        <w:t xml:space="preserve"> </w:t>
      </w:r>
      <w:r w:rsidR="00706A25">
        <w:rPr>
          <w:color w:val="0E101A"/>
        </w:rPr>
        <w:t xml:space="preserve">indicating that on average, users </w:t>
      </w:r>
      <w:r w:rsidR="00B56CEF">
        <w:rPr>
          <w:color w:val="0E101A"/>
        </w:rPr>
        <w:t>had</w:t>
      </w:r>
      <w:r w:rsidR="00A2666A">
        <w:rPr>
          <w:color w:val="0E101A"/>
        </w:rPr>
        <w:t xml:space="preserve"> moderate levels of depression</w:t>
      </w:r>
      <w:r w:rsidR="00FC3BE5">
        <w:rPr>
          <w:color w:val="0E101A"/>
        </w:rPr>
        <w:t xml:space="preserve">. </w:t>
      </w:r>
      <w:r w:rsidR="007B3F42">
        <w:rPr>
          <w:color w:val="0E101A"/>
        </w:rPr>
        <w:t>The mean</w:t>
      </w:r>
      <w:r w:rsidR="007A5B7B">
        <w:rPr>
          <w:color w:val="0E101A"/>
        </w:rPr>
        <w:t xml:space="preserve"> raw score on the</w:t>
      </w:r>
      <w:r w:rsidR="007B3F42">
        <w:rPr>
          <w:color w:val="0E101A"/>
        </w:rPr>
        <w:t xml:space="preserve"> </w:t>
      </w:r>
      <w:r w:rsidR="007A5B7B">
        <w:rPr>
          <w:color w:val="0E101A"/>
        </w:rPr>
        <w:t>PROMIS-</w:t>
      </w:r>
      <w:r>
        <w:rPr>
          <w:color w:val="0E101A"/>
        </w:rPr>
        <w:t>A</w:t>
      </w:r>
      <w:r w:rsidR="007B3F42">
        <w:rPr>
          <w:color w:val="0E101A"/>
        </w:rPr>
        <w:t>nxiety was 12 (</w:t>
      </w:r>
      <w:r w:rsidR="007B3F42" w:rsidRPr="007B3F42">
        <w:rPr>
          <w:i/>
          <w:iCs/>
          <w:color w:val="0E101A"/>
        </w:rPr>
        <w:t>SD</w:t>
      </w:r>
      <w:r w:rsidR="007B3F42">
        <w:rPr>
          <w:color w:val="0E101A"/>
        </w:rPr>
        <w:t xml:space="preserve"> = 3.6</w:t>
      </w:r>
      <w:r w:rsidR="00573C75">
        <w:rPr>
          <w:color w:val="0E101A"/>
        </w:rPr>
        <w:t xml:space="preserve">; </w:t>
      </w:r>
      <w:r w:rsidR="007A5B7B">
        <w:rPr>
          <w:color w:val="0E101A"/>
        </w:rPr>
        <w:t xml:space="preserve">T-Score = 63.3, </w:t>
      </w:r>
      <w:r w:rsidR="007A5B7B" w:rsidRPr="007A5B7B">
        <w:rPr>
          <w:i/>
          <w:iCs/>
          <w:color w:val="0E101A"/>
        </w:rPr>
        <w:t xml:space="preserve">SE </w:t>
      </w:r>
      <w:r w:rsidR="007A5B7B">
        <w:rPr>
          <w:color w:val="0E101A"/>
        </w:rPr>
        <w:t>= 2.6)</w:t>
      </w:r>
      <w:r w:rsidR="00992791">
        <w:rPr>
          <w:color w:val="0E101A"/>
        </w:rPr>
        <w:t xml:space="preserve">, </w:t>
      </w:r>
      <w:r w:rsidR="00FC3BE5">
        <w:rPr>
          <w:color w:val="0E101A"/>
        </w:rPr>
        <w:t xml:space="preserve">suggesting </w:t>
      </w:r>
      <w:r w:rsidR="00BB39DB">
        <w:rPr>
          <w:color w:val="0E101A"/>
        </w:rPr>
        <w:t>that on average users</w:t>
      </w:r>
      <w:r w:rsidR="00B56CEF">
        <w:rPr>
          <w:color w:val="0E101A"/>
        </w:rPr>
        <w:t xml:space="preserve"> had </w:t>
      </w:r>
      <w:r w:rsidR="00FC3BE5">
        <w:rPr>
          <w:color w:val="0E101A"/>
        </w:rPr>
        <w:t>moderate levels of anxiety</w:t>
      </w:r>
      <w:r w:rsidR="00E80292">
        <w:rPr>
          <w:color w:val="0E101A"/>
        </w:rPr>
        <w:t>.</w:t>
      </w:r>
      <w:r w:rsidR="00957AA0">
        <w:rPr>
          <w:color w:val="0E101A"/>
        </w:rPr>
        <w:t xml:space="preserve"> </w:t>
      </w:r>
      <w:r w:rsidR="002C7DC6">
        <w:rPr>
          <w:color w:val="0E101A"/>
        </w:rPr>
        <w:t xml:space="preserve">Descriptive statistics for each PROMIS-Depression and -Anxiety cut point can be found in Table 3. </w:t>
      </w:r>
    </w:p>
    <w:p w14:paraId="037A8F99" w14:textId="20CDEC49" w:rsidR="00B62DE6" w:rsidRDefault="00B62DE6" w:rsidP="00820C6C">
      <w:pPr>
        <w:pStyle w:val="NormalWeb"/>
        <w:spacing w:before="0" w:beforeAutospacing="0" w:after="0" w:afterAutospacing="0" w:line="480" w:lineRule="auto"/>
        <w:contextualSpacing/>
        <w:rPr>
          <w:b/>
          <w:bCs/>
          <w:color w:val="0E101A"/>
        </w:rPr>
      </w:pPr>
      <w:r>
        <w:rPr>
          <w:b/>
          <w:bCs/>
          <w:color w:val="0E101A"/>
        </w:rPr>
        <w:t xml:space="preserve">Program </w:t>
      </w:r>
      <w:r w:rsidR="00941970">
        <w:rPr>
          <w:b/>
          <w:bCs/>
          <w:color w:val="0E101A"/>
        </w:rPr>
        <w:t>Adherence</w:t>
      </w:r>
    </w:p>
    <w:p w14:paraId="6EF813B5" w14:textId="13741524" w:rsidR="00B62DE6" w:rsidRDefault="00254461" w:rsidP="00820C6C">
      <w:pPr>
        <w:pStyle w:val="NormalWeb"/>
        <w:spacing w:before="0" w:beforeAutospacing="0" w:after="0" w:afterAutospacing="0" w:line="480" w:lineRule="auto"/>
        <w:contextualSpacing/>
        <w:rPr>
          <w:color w:val="0E101A"/>
        </w:rPr>
      </w:pPr>
      <w:r>
        <w:rPr>
          <w:b/>
          <w:bCs/>
          <w:color w:val="0E101A"/>
        </w:rPr>
        <w:tab/>
      </w:r>
      <w:r>
        <w:rPr>
          <w:color w:val="0E101A"/>
        </w:rPr>
        <w:t xml:space="preserve">Of the 984 program registrants, 875 logged into </w:t>
      </w:r>
      <w:r w:rsidR="001335D6">
        <w:rPr>
          <w:color w:val="0E101A"/>
        </w:rPr>
        <w:t>ACT Guide</w:t>
      </w:r>
      <w:r w:rsidR="00AD479B">
        <w:rPr>
          <w:color w:val="0E101A"/>
        </w:rPr>
        <w:t xml:space="preserve"> </w:t>
      </w:r>
      <w:r>
        <w:rPr>
          <w:color w:val="0E101A"/>
        </w:rPr>
        <w:t>at least once, meaning that 11.1% of users never used the program despite completing registration.</w:t>
      </w:r>
      <w:r w:rsidR="007B3F42">
        <w:rPr>
          <w:color w:val="0E101A"/>
        </w:rPr>
        <w:t xml:space="preserve"> Another </w:t>
      </w:r>
      <w:r w:rsidR="00ED4355">
        <w:rPr>
          <w:color w:val="0E101A"/>
        </w:rPr>
        <w:t>20.6</w:t>
      </w:r>
      <w:r w:rsidR="007B3F42">
        <w:rPr>
          <w:color w:val="0E101A"/>
        </w:rPr>
        <w:t xml:space="preserve">% of users logged in at least </w:t>
      </w:r>
      <w:r w:rsidR="00210B30">
        <w:rPr>
          <w:color w:val="0E101A"/>
        </w:rPr>
        <w:t>once but</w:t>
      </w:r>
      <w:r w:rsidR="007B3F42">
        <w:rPr>
          <w:color w:val="0E101A"/>
        </w:rPr>
        <w:t xml:space="preserve"> did not </w:t>
      </w:r>
      <w:r w:rsidR="00AD0189">
        <w:rPr>
          <w:color w:val="0E101A"/>
        </w:rPr>
        <w:t xml:space="preserve">complete </w:t>
      </w:r>
      <w:r w:rsidR="00ED4355">
        <w:rPr>
          <w:color w:val="0E101A"/>
        </w:rPr>
        <w:t>any of the twelve core modules</w:t>
      </w:r>
      <w:r w:rsidR="00B5789E">
        <w:rPr>
          <w:color w:val="0E101A"/>
        </w:rPr>
        <w:t>.</w:t>
      </w:r>
      <w:r>
        <w:rPr>
          <w:color w:val="0E101A"/>
        </w:rPr>
        <w:t xml:space="preserve"> </w:t>
      </w:r>
      <w:r w:rsidR="000F5244">
        <w:rPr>
          <w:color w:val="0E101A"/>
        </w:rPr>
        <w:t xml:space="preserve">A total of </w:t>
      </w:r>
      <w:r w:rsidR="00923DAF">
        <w:rPr>
          <w:color w:val="0E101A"/>
        </w:rPr>
        <w:t>68.3</w:t>
      </w:r>
      <w:r w:rsidR="001335D6">
        <w:rPr>
          <w:color w:val="0E101A"/>
        </w:rPr>
        <w:t xml:space="preserve">% of users </w:t>
      </w:r>
      <w:r w:rsidR="000F5244">
        <w:rPr>
          <w:color w:val="0E101A"/>
        </w:rPr>
        <w:t xml:space="preserve">completed at least one </w:t>
      </w:r>
      <w:r w:rsidR="00923DAF">
        <w:rPr>
          <w:color w:val="0E101A"/>
        </w:rPr>
        <w:t xml:space="preserve">of the core </w:t>
      </w:r>
      <w:r w:rsidR="000F5244">
        <w:rPr>
          <w:color w:val="0E101A"/>
        </w:rPr>
        <w:t>module</w:t>
      </w:r>
      <w:r w:rsidR="00ED4355">
        <w:rPr>
          <w:color w:val="0E101A"/>
        </w:rPr>
        <w:t>s</w:t>
      </w:r>
      <w:r w:rsidR="00F74B63">
        <w:rPr>
          <w:color w:val="0E101A"/>
        </w:rPr>
        <w:t>, an</w:t>
      </w:r>
      <w:r w:rsidR="00923DAF">
        <w:rPr>
          <w:color w:val="0E101A"/>
        </w:rPr>
        <w:t>d</w:t>
      </w:r>
      <w:r w:rsidR="00F74B63">
        <w:rPr>
          <w:color w:val="0E101A"/>
        </w:rPr>
        <w:t xml:space="preserve"> approximately 31</w:t>
      </w:r>
      <w:r w:rsidR="00ED4355">
        <w:rPr>
          <w:color w:val="0E101A"/>
        </w:rPr>
        <w:t>.4</w:t>
      </w:r>
      <w:r w:rsidR="00F74B63">
        <w:rPr>
          <w:color w:val="0E101A"/>
        </w:rPr>
        <w:t>% completed at least</w:t>
      </w:r>
      <w:r w:rsidR="00AD0189">
        <w:rPr>
          <w:color w:val="0E101A"/>
        </w:rPr>
        <w:t xml:space="preserve"> </w:t>
      </w:r>
      <w:r w:rsidR="00F74B63">
        <w:rPr>
          <w:color w:val="0E101A"/>
        </w:rPr>
        <w:t>half of the</w:t>
      </w:r>
      <w:r w:rsidR="00ED4355">
        <w:rPr>
          <w:color w:val="0E101A"/>
        </w:rPr>
        <w:t xml:space="preserve"> core</w:t>
      </w:r>
      <w:r w:rsidR="00F74B63">
        <w:rPr>
          <w:color w:val="0E101A"/>
        </w:rPr>
        <w:t xml:space="preserve"> modules. Only</w:t>
      </w:r>
      <w:r w:rsidR="00923DAF">
        <w:rPr>
          <w:color w:val="0E101A"/>
        </w:rPr>
        <w:t xml:space="preserve"> </w:t>
      </w:r>
      <w:r w:rsidR="000F5244">
        <w:rPr>
          <w:color w:val="0E101A"/>
        </w:rPr>
        <w:t xml:space="preserve">14.8% completed all twelve core modules. </w:t>
      </w:r>
      <w:r w:rsidR="00ED4355">
        <w:rPr>
          <w:color w:val="0E101A"/>
        </w:rPr>
        <w:t xml:space="preserve"> On average, </w:t>
      </w:r>
      <w:r w:rsidR="00AD0189">
        <w:rPr>
          <w:color w:val="0E101A"/>
        </w:rPr>
        <w:t>users completed 4.1 modules (</w:t>
      </w:r>
      <w:r w:rsidR="00AD0189" w:rsidRPr="005E32D6">
        <w:rPr>
          <w:i/>
          <w:iCs/>
          <w:color w:val="0E101A"/>
        </w:rPr>
        <w:t>SD</w:t>
      </w:r>
      <w:r w:rsidR="00AD0189">
        <w:rPr>
          <w:color w:val="0E101A"/>
        </w:rPr>
        <w:t xml:space="preserve"> = 4.5; </w:t>
      </w:r>
      <w:r w:rsidR="00AD0189" w:rsidRPr="005E32D6">
        <w:rPr>
          <w:i/>
          <w:iCs/>
          <w:color w:val="0E101A"/>
        </w:rPr>
        <w:t xml:space="preserve">median </w:t>
      </w:r>
      <w:r w:rsidR="00AD0189">
        <w:rPr>
          <w:color w:val="0E101A"/>
        </w:rPr>
        <w:t xml:space="preserve">= 2). </w:t>
      </w:r>
      <w:r w:rsidR="00814807">
        <w:rPr>
          <w:color w:val="0E101A"/>
        </w:rPr>
        <w:t>See Figure 1 for a histogram of the number of modules completed by users.</w:t>
      </w:r>
    </w:p>
    <w:p w14:paraId="1E0C4295" w14:textId="16EE658B" w:rsidR="00BD1A7F" w:rsidRDefault="00B62DE6" w:rsidP="007764C2">
      <w:pPr>
        <w:pStyle w:val="NormalWeb"/>
        <w:spacing w:before="0" w:beforeAutospacing="0" w:after="0" w:afterAutospacing="0" w:line="480" w:lineRule="auto"/>
        <w:contextualSpacing/>
        <w:jc w:val="both"/>
        <w:rPr>
          <w:b/>
          <w:bCs/>
          <w:color w:val="0E101A"/>
        </w:rPr>
      </w:pPr>
      <w:r>
        <w:rPr>
          <w:b/>
          <w:bCs/>
          <w:color w:val="0E101A"/>
        </w:rPr>
        <w:t xml:space="preserve">Predictors of Program </w:t>
      </w:r>
      <w:r w:rsidR="00214A8B">
        <w:rPr>
          <w:b/>
          <w:bCs/>
          <w:color w:val="0E101A"/>
        </w:rPr>
        <w:t>Adherence</w:t>
      </w:r>
    </w:p>
    <w:p w14:paraId="6977DA47" w14:textId="00FF37D7" w:rsidR="008B35AF" w:rsidRDefault="000555D1" w:rsidP="007764C2">
      <w:pPr>
        <w:pStyle w:val="NormalWeb"/>
        <w:spacing w:before="0" w:beforeAutospacing="0" w:after="0" w:afterAutospacing="0" w:line="480" w:lineRule="auto"/>
        <w:contextualSpacing/>
        <w:jc w:val="both"/>
        <w:rPr>
          <w:color w:val="0E101A"/>
        </w:rPr>
      </w:pPr>
      <w:r>
        <w:rPr>
          <w:b/>
          <w:bCs/>
          <w:color w:val="0E101A"/>
        </w:rPr>
        <w:tab/>
      </w:r>
      <w:r w:rsidR="00F706C4">
        <w:rPr>
          <w:color w:val="0E101A"/>
        </w:rPr>
        <w:t>Negative</w:t>
      </w:r>
      <w:r w:rsidR="00F706C4" w:rsidRPr="00F706C4">
        <w:rPr>
          <w:color w:val="0E101A"/>
        </w:rPr>
        <w:t xml:space="preserve"> binomial regression</w:t>
      </w:r>
      <w:r w:rsidR="00F706C4">
        <w:rPr>
          <w:color w:val="0E101A"/>
        </w:rPr>
        <w:t>s are displayed in Table 2</w:t>
      </w:r>
      <w:r w:rsidR="00F706C4" w:rsidRPr="00F706C4">
        <w:rPr>
          <w:color w:val="0E101A"/>
        </w:rPr>
        <w:t>.</w:t>
      </w:r>
      <w:r w:rsidR="0013697B">
        <w:rPr>
          <w:color w:val="0E101A"/>
        </w:rPr>
        <w:t xml:space="preserve"> Users who had never seen a mental health provider completed </w:t>
      </w:r>
      <w:r w:rsidR="00DB0F1B">
        <w:rPr>
          <w:color w:val="0E101A"/>
        </w:rPr>
        <w:t>significantly more modules</w:t>
      </w:r>
      <w:r w:rsidR="0013697B">
        <w:rPr>
          <w:color w:val="0E101A"/>
        </w:rPr>
        <w:t xml:space="preserve"> (</w:t>
      </w:r>
      <w:r w:rsidR="0013697B" w:rsidRPr="005E0BA0">
        <w:rPr>
          <w:i/>
          <w:iCs/>
          <w:color w:val="0E101A"/>
        </w:rPr>
        <w:t>M</w:t>
      </w:r>
      <w:r w:rsidR="0013697B">
        <w:rPr>
          <w:color w:val="0E101A"/>
        </w:rPr>
        <w:t xml:space="preserve"> = 5.</w:t>
      </w:r>
      <w:r w:rsidR="005F4516">
        <w:rPr>
          <w:color w:val="0E101A"/>
        </w:rPr>
        <w:t>1</w:t>
      </w:r>
      <w:r w:rsidR="0013697B">
        <w:rPr>
          <w:color w:val="0E101A"/>
        </w:rPr>
        <w:t xml:space="preserve">, </w:t>
      </w:r>
      <w:r w:rsidR="0013697B" w:rsidRPr="005E0BA0">
        <w:rPr>
          <w:i/>
          <w:iCs/>
          <w:color w:val="0E101A"/>
        </w:rPr>
        <w:t>SD</w:t>
      </w:r>
      <w:r w:rsidR="0013697B">
        <w:rPr>
          <w:color w:val="0E101A"/>
        </w:rPr>
        <w:t xml:space="preserve"> = 4</w:t>
      </w:r>
      <w:r w:rsidR="005F4516">
        <w:rPr>
          <w:color w:val="0E101A"/>
        </w:rPr>
        <w:t>.7</w:t>
      </w:r>
      <w:r w:rsidR="0013697B">
        <w:rPr>
          <w:color w:val="0E101A"/>
        </w:rPr>
        <w:t>)</w:t>
      </w:r>
      <w:r w:rsidR="00F243F2">
        <w:rPr>
          <w:color w:val="0E101A"/>
        </w:rPr>
        <w:t xml:space="preserve"> </w:t>
      </w:r>
      <w:r w:rsidR="00DB0F1B">
        <w:rPr>
          <w:color w:val="0E101A"/>
        </w:rPr>
        <w:t>than</w:t>
      </w:r>
      <w:r w:rsidR="00F243F2">
        <w:rPr>
          <w:color w:val="0E101A"/>
        </w:rPr>
        <w:t xml:space="preserve"> those who had seen a mental health provider in the past (</w:t>
      </w:r>
      <w:r w:rsidR="00F706C4" w:rsidRPr="005E0BA0">
        <w:rPr>
          <w:i/>
          <w:iCs/>
          <w:color w:val="0E101A"/>
        </w:rPr>
        <w:t>M</w:t>
      </w:r>
      <w:r w:rsidR="00F706C4">
        <w:rPr>
          <w:color w:val="0E101A"/>
        </w:rPr>
        <w:t xml:space="preserve"> = </w:t>
      </w:r>
      <w:r w:rsidR="005F4516">
        <w:rPr>
          <w:color w:val="0E101A"/>
        </w:rPr>
        <w:t>3.6</w:t>
      </w:r>
      <w:r w:rsidR="00F706C4">
        <w:rPr>
          <w:color w:val="0E101A"/>
        </w:rPr>
        <w:t xml:space="preserve">, </w:t>
      </w:r>
      <w:r w:rsidR="00F706C4" w:rsidRPr="005E0BA0">
        <w:rPr>
          <w:i/>
          <w:iCs/>
          <w:color w:val="0E101A"/>
        </w:rPr>
        <w:t xml:space="preserve">SD </w:t>
      </w:r>
      <w:r w:rsidR="00F706C4">
        <w:rPr>
          <w:color w:val="0E101A"/>
        </w:rPr>
        <w:t>= 4.</w:t>
      </w:r>
      <w:r w:rsidR="005F4516">
        <w:rPr>
          <w:color w:val="0E101A"/>
        </w:rPr>
        <w:t>4</w:t>
      </w:r>
      <w:r w:rsidR="00F706C4">
        <w:rPr>
          <w:color w:val="0E101A"/>
        </w:rPr>
        <w:t xml:space="preserve">) </w:t>
      </w:r>
      <w:r w:rsidR="00F243F2">
        <w:rPr>
          <w:color w:val="0E101A"/>
        </w:rPr>
        <w:t xml:space="preserve">and those who were seeing a mental health provider at </w:t>
      </w:r>
      <w:r w:rsidR="00C3401D">
        <w:rPr>
          <w:color w:val="0E101A"/>
        </w:rPr>
        <w:t xml:space="preserve">the </w:t>
      </w:r>
      <w:r w:rsidR="00F243F2">
        <w:rPr>
          <w:color w:val="0E101A"/>
        </w:rPr>
        <w:t>time of registration (</w:t>
      </w:r>
      <w:r w:rsidR="00F243F2" w:rsidRPr="005E0BA0">
        <w:rPr>
          <w:i/>
          <w:iCs/>
          <w:color w:val="0E101A"/>
        </w:rPr>
        <w:t xml:space="preserve">M </w:t>
      </w:r>
      <w:r w:rsidR="00F243F2">
        <w:rPr>
          <w:color w:val="0E101A"/>
        </w:rPr>
        <w:t xml:space="preserve">= </w:t>
      </w:r>
      <w:r w:rsidR="005F4516">
        <w:rPr>
          <w:color w:val="0E101A"/>
        </w:rPr>
        <w:t>3.4</w:t>
      </w:r>
      <w:r w:rsidR="00F243F2">
        <w:rPr>
          <w:color w:val="0E101A"/>
        </w:rPr>
        <w:t xml:space="preserve">, </w:t>
      </w:r>
      <w:r w:rsidR="00F243F2" w:rsidRPr="005E0BA0">
        <w:rPr>
          <w:i/>
          <w:iCs/>
          <w:color w:val="0E101A"/>
        </w:rPr>
        <w:t xml:space="preserve">SD </w:t>
      </w:r>
      <w:r w:rsidR="00F243F2">
        <w:rPr>
          <w:color w:val="0E101A"/>
        </w:rPr>
        <w:t xml:space="preserve">= 4). </w:t>
      </w:r>
      <w:r w:rsidR="006254D5">
        <w:rPr>
          <w:color w:val="0E101A"/>
        </w:rPr>
        <w:t>Specifically, users who saw a mental health provider in the past</w:t>
      </w:r>
      <w:r w:rsidR="005F4516">
        <w:rPr>
          <w:color w:val="0E101A"/>
        </w:rPr>
        <w:t xml:space="preserve"> </w:t>
      </w:r>
      <w:r w:rsidR="00CA781B">
        <w:rPr>
          <w:color w:val="0E101A"/>
        </w:rPr>
        <w:t xml:space="preserve">completed 30% fewer modules compared to </w:t>
      </w:r>
      <w:r w:rsidR="005F4516">
        <w:rPr>
          <w:color w:val="0E101A"/>
        </w:rPr>
        <w:t>users who had never seen a mental health provider (</w:t>
      </w:r>
      <w:r w:rsidR="005F4516" w:rsidRPr="00FC7D32">
        <w:rPr>
          <w:i/>
          <w:iCs/>
          <w:color w:val="0E101A"/>
        </w:rPr>
        <w:t>p</w:t>
      </w:r>
      <w:r w:rsidR="005F4516">
        <w:rPr>
          <w:color w:val="0E101A"/>
        </w:rPr>
        <w:t xml:space="preserve"> = .00</w:t>
      </w:r>
      <w:r w:rsidR="00D03CBA">
        <w:rPr>
          <w:color w:val="0E101A"/>
        </w:rPr>
        <w:t>5</w:t>
      </w:r>
      <w:r w:rsidR="005F4516">
        <w:rPr>
          <w:color w:val="0E101A"/>
        </w:rPr>
        <w:t xml:space="preserve">), </w:t>
      </w:r>
      <w:r w:rsidR="00CA781B">
        <w:rPr>
          <w:color w:val="0E101A"/>
        </w:rPr>
        <w:t>while</w:t>
      </w:r>
      <w:r w:rsidR="005F4516">
        <w:rPr>
          <w:color w:val="0E101A"/>
        </w:rPr>
        <w:t xml:space="preserve"> users currently working with a mental health provider</w:t>
      </w:r>
      <w:r w:rsidR="00CA781B">
        <w:rPr>
          <w:color w:val="0E101A"/>
        </w:rPr>
        <w:t xml:space="preserve"> completed 37% fewer modules </w:t>
      </w:r>
      <w:r w:rsidR="005F4516">
        <w:rPr>
          <w:color w:val="0E101A"/>
        </w:rPr>
        <w:t>(</w:t>
      </w:r>
      <w:r w:rsidR="005F4516" w:rsidRPr="00FC7D32">
        <w:rPr>
          <w:i/>
          <w:iCs/>
          <w:color w:val="0E101A"/>
        </w:rPr>
        <w:t>p</w:t>
      </w:r>
      <w:r w:rsidR="005F4516">
        <w:rPr>
          <w:color w:val="0E101A"/>
        </w:rPr>
        <w:t xml:space="preserve"> &lt; .001).</w:t>
      </w:r>
      <w:r w:rsidR="006254D5">
        <w:rPr>
          <w:color w:val="0E101A"/>
        </w:rPr>
        <w:t xml:space="preserve"> </w:t>
      </w:r>
      <w:r w:rsidR="000F519A">
        <w:rPr>
          <w:color w:val="0E101A"/>
        </w:rPr>
        <w:t>Users who decline</w:t>
      </w:r>
      <w:r w:rsidR="00E973F0">
        <w:rPr>
          <w:color w:val="0E101A"/>
        </w:rPr>
        <w:t>d</w:t>
      </w:r>
      <w:r w:rsidR="000F519A">
        <w:rPr>
          <w:color w:val="0E101A"/>
        </w:rPr>
        <w:t xml:space="preserve"> weekly email tips completed </w:t>
      </w:r>
      <w:r w:rsidR="004F5648">
        <w:rPr>
          <w:color w:val="0E101A"/>
        </w:rPr>
        <w:lastRenderedPageBreak/>
        <w:t>significantly</w:t>
      </w:r>
      <w:r w:rsidR="000F519A">
        <w:rPr>
          <w:color w:val="0E101A"/>
        </w:rPr>
        <w:t xml:space="preserve"> more modules (</w:t>
      </w:r>
      <w:r w:rsidR="000F519A" w:rsidRPr="005E0BA0">
        <w:rPr>
          <w:i/>
          <w:iCs/>
          <w:color w:val="0E101A"/>
        </w:rPr>
        <w:t>M</w:t>
      </w:r>
      <w:r w:rsidR="000F519A">
        <w:rPr>
          <w:color w:val="0E101A"/>
        </w:rPr>
        <w:t xml:space="preserve"> = 6.</w:t>
      </w:r>
      <w:r w:rsidR="005F4516">
        <w:rPr>
          <w:color w:val="0E101A"/>
        </w:rPr>
        <w:t>4</w:t>
      </w:r>
      <w:r w:rsidR="000F519A">
        <w:rPr>
          <w:color w:val="0E101A"/>
        </w:rPr>
        <w:t xml:space="preserve">, </w:t>
      </w:r>
      <w:r w:rsidR="000F519A" w:rsidRPr="005E0BA0">
        <w:rPr>
          <w:i/>
          <w:iCs/>
          <w:color w:val="0E101A"/>
        </w:rPr>
        <w:t>SD</w:t>
      </w:r>
      <w:r w:rsidR="000F519A">
        <w:rPr>
          <w:color w:val="0E101A"/>
        </w:rPr>
        <w:t xml:space="preserve"> = 4.</w:t>
      </w:r>
      <w:r w:rsidR="005F4516">
        <w:rPr>
          <w:color w:val="0E101A"/>
        </w:rPr>
        <w:t>9</w:t>
      </w:r>
      <w:r w:rsidR="000F519A">
        <w:rPr>
          <w:color w:val="0E101A"/>
        </w:rPr>
        <w:t>) than those who opted to receive weekly</w:t>
      </w:r>
      <w:r w:rsidR="00C3401D">
        <w:rPr>
          <w:color w:val="0E101A"/>
        </w:rPr>
        <w:t xml:space="preserve"> emails</w:t>
      </w:r>
      <w:r w:rsidR="000F519A">
        <w:rPr>
          <w:color w:val="0E101A"/>
        </w:rPr>
        <w:t xml:space="preserve"> tips (</w:t>
      </w:r>
      <w:r w:rsidR="000F519A" w:rsidRPr="005E0BA0">
        <w:rPr>
          <w:i/>
          <w:iCs/>
          <w:color w:val="0E101A"/>
        </w:rPr>
        <w:t>M</w:t>
      </w:r>
      <w:r w:rsidR="000F519A">
        <w:rPr>
          <w:color w:val="0E101A"/>
        </w:rPr>
        <w:t xml:space="preserve"> = 3.</w:t>
      </w:r>
      <w:r w:rsidR="005F4516">
        <w:rPr>
          <w:color w:val="0E101A"/>
        </w:rPr>
        <w:t>5</w:t>
      </w:r>
      <w:r w:rsidR="000F519A">
        <w:rPr>
          <w:color w:val="0E101A"/>
        </w:rPr>
        <w:t xml:space="preserve">, </w:t>
      </w:r>
      <w:r w:rsidR="000F519A" w:rsidRPr="005E0BA0">
        <w:rPr>
          <w:i/>
          <w:iCs/>
          <w:color w:val="0E101A"/>
        </w:rPr>
        <w:t>SD</w:t>
      </w:r>
      <w:r w:rsidR="000F519A">
        <w:rPr>
          <w:color w:val="0E101A"/>
        </w:rPr>
        <w:t xml:space="preserve"> = 4.1)</w:t>
      </w:r>
      <w:r w:rsidR="008B1100">
        <w:rPr>
          <w:color w:val="0E101A"/>
        </w:rPr>
        <w:t xml:space="preserve"> and those </w:t>
      </w:r>
      <w:r w:rsidR="0084183A">
        <w:rPr>
          <w:color w:val="0E101A"/>
        </w:rPr>
        <w:t>who signed up before the feature was offered (</w:t>
      </w:r>
      <w:r w:rsidR="0084183A" w:rsidRPr="005E0BA0">
        <w:rPr>
          <w:i/>
          <w:iCs/>
          <w:color w:val="0E101A"/>
        </w:rPr>
        <w:t xml:space="preserve">M </w:t>
      </w:r>
      <w:r w:rsidR="0084183A">
        <w:rPr>
          <w:color w:val="0E101A"/>
        </w:rPr>
        <w:t xml:space="preserve">= </w:t>
      </w:r>
      <w:r w:rsidR="005F4516">
        <w:rPr>
          <w:color w:val="0E101A"/>
        </w:rPr>
        <w:t>3.9</w:t>
      </w:r>
      <w:r w:rsidR="0084183A">
        <w:rPr>
          <w:color w:val="0E101A"/>
        </w:rPr>
        <w:t xml:space="preserve">, </w:t>
      </w:r>
      <w:r w:rsidR="0084183A" w:rsidRPr="005E0BA0">
        <w:rPr>
          <w:i/>
          <w:iCs/>
          <w:color w:val="0E101A"/>
        </w:rPr>
        <w:t>SD</w:t>
      </w:r>
      <w:r w:rsidR="0084183A">
        <w:rPr>
          <w:color w:val="0E101A"/>
        </w:rPr>
        <w:t xml:space="preserve"> = </w:t>
      </w:r>
      <w:r w:rsidR="005F4516">
        <w:rPr>
          <w:color w:val="0E101A"/>
        </w:rPr>
        <w:t>4.4</w:t>
      </w:r>
      <w:r w:rsidR="0084183A">
        <w:rPr>
          <w:color w:val="0E101A"/>
        </w:rPr>
        <w:t>).</w:t>
      </w:r>
      <w:r w:rsidR="00E34073">
        <w:rPr>
          <w:color w:val="0E101A"/>
        </w:rPr>
        <w:t xml:space="preserve"> </w:t>
      </w:r>
      <w:r w:rsidR="00CA781B">
        <w:rPr>
          <w:color w:val="0E101A"/>
        </w:rPr>
        <w:t>Specifically, t</w:t>
      </w:r>
      <w:r w:rsidR="003E50A4">
        <w:rPr>
          <w:color w:val="0E101A"/>
        </w:rPr>
        <w:t xml:space="preserve">hose who signed-up for email tips </w:t>
      </w:r>
      <w:r w:rsidR="00CA781B">
        <w:rPr>
          <w:color w:val="0E101A"/>
        </w:rPr>
        <w:t xml:space="preserve">completed 46% fewer modules </w:t>
      </w:r>
      <w:r w:rsidR="003E50A4">
        <w:rPr>
          <w:color w:val="0E101A"/>
        </w:rPr>
        <w:t>than users who declined email tips (</w:t>
      </w:r>
      <w:r w:rsidR="003E50A4" w:rsidRPr="00FC7D32">
        <w:rPr>
          <w:i/>
          <w:iCs/>
          <w:color w:val="0E101A"/>
        </w:rPr>
        <w:t>p</w:t>
      </w:r>
      <w:r w:rsidR="003E50A4">
        <w:rPr>
          <w:color w:val="0E101A"/>
        </w:rPr>
        <w:t xml:space="preserve"> &lt; .001), and users who were not offered the weekly email tips </w:t>
      </w:r>
      <w:r w:rsidR="00CA781B">
        <w:rPr>
          <w:color w:val="0E101A"/>
        </w:rPr>
        <w:t xml:space="preserve">completed 39% fewer modules </w:t>
      </w:r>
      <w:r w:rsidR="003E50A4">
        <w:rPr>
          <w:color w:val="0E101A"/>
        </w:rPr>
        <w:t>(</w:t>
      </w:r>
      <w:r w:rsidR="003E50A4" w:rsidRPr="00FC7D32">
        <w:rPr>
          <w:i/>
          <w:iCs/>
          <w:color w:val="0E101A"/>
        </w:rPr>
        <w:t>p</w:t>
      </w:r>
      <w:r w:rsidR="003E50A4">
        <w:rPr>
          <w:color w:val="0E101A"/>
        </w:rPr>
        <w:t xml:space="preserve"> &lt; .001). </w:t>
      </w:r>
      <w:r w:rsidR="008F72ED">
        <w:rPr>
          <w:color w:val="0E101A"/>
        </w:rPr>
        <w:t xml:space="preserve">Additionally, </w:t>
      </w:r>
      <w:r w:rsidR="004F5648">
        <w:rPr>
          <w:color w:val="0E101A"/>
        </w:rPr>
        <w:t>bein</w:t>
      </w:r>
      <w:r w:rsidR="007764C2">
        <w:rPr>
          <w:color w:val="0E101A"/>
        </w:rPr>
        <w:t>g</w:t>
      </w:r>
      <w:r w:rsidR="004F5648">
        <w:rPr>
          <w:color w:val="0E101A"/>
        </w:rPr>
        <w:t xml:space="preserve"> </w:t>
      </w:r>
      <w:r w:rsidR="008F72ED">
        <w:rPr>
          <w:color w:val="0E101A"/>
        </w:rPr>
        <w:t>younger</w:t>
      </w:r>
      <w:r w:rsidR="007764C2">
        <w:rPr>
          <w:color w:val="0E101A"/>
        </w:rPr>
        <w:t xml:space="preserve"> in</w:t>
      </w:r>
      <w:r w:rsidR="008F72ED">
        <w:rPr>
          <w:color w:val="0E101A"/>
        </w:rPr>
        <w:t xml:space="preserve"> age </w:t>
      </w:r>
      <w:r w:rsidR="008B1100">
        <w:rPr>
          <w:color w:val="0E101A"/>
        </w:rPr>
        <w:t>(</w:t>
      </w:r>
      <w:r w:rsidR="008B1100" w:rsidRPr="005E32D6">
        <w:rPr>
          <w:i/>
          <w:iCs/>
          <w:color w:val="0E101A"/>
        </w:rPr>
        <w:t>p</w:t>
      </w:r>
      <w:r w:rsidR="008B1100">
        <w:rPr>
          <w:color w:val="0E101A"/>
        </w:rPr>
        <w:t xml:space="preserve"> &lt; .001) </w:t>
      </w:r>
      <w:r w:rsidR="008F72ED">
        <w:rPr>
          <w:color w:val="0E101A"/>
        </w:rPr>
        <w:t xml:space="preserve">and </w:t>
      </w:r>
      <w:r w:rsidR="004F5648">
        <w:rPr>
          <w:color w:val="0E101A"/>
        </w:rPr>
        <w:t>reporting fewer</w:t>
      </w:r>
      <w:r w:rsidR="00C3401D">
        <w:rPr>
          <w:color w:val="0E101A"/>
        </w:rPr>
        <w:t xml:space="preserve"> </w:t>
      </w:r>
      <w:r w:rsidR="008F72ED">
        <w:rPr>
          <w:color w:val="0E101A"/>
        </w:rPr>
        <w:t>depressive symptoms</w:t>
      </w:r>
      <w:r w:rsidR="008B1100">
        <w:rPr>
          <w:color w:val="0E101A"/>
        </w:rPr>
        <w:t xml:space="preserve"> (</w:t>
      </w:r>
      <w:r w:rsidR="008B1100" w:rsidRPr="005E32D6">
        <w:rPr>
          <w:i/>
          <w:iCs/>
          <w:color w:val="0E101A"/>
        </w:rPr>
        <w:t>p</w:t>
      </w:r>
      <w:r w:rsidR="0070301B">
        <w:rPr>
          <w:color w:val="0E101A"/>
        </w:rPr>
        <w:t>=</w:t>
      </w:r>
      <w:r w:rsidR="008B1100">
        <w:rPr>
          <w:color w:val="0E101A"/>
        </w:rPr>
        <w:t>.001)</w:t>
      </w:r>
      <w:r w:rsidR="008F72ED">
        <w:rPr>
          <w:color w:val="0E101A"/>
        </w:rPr>
        <w:t xml:space="preserve"> </w:t>
      </w:r>
      <w:r w:rsidR="00ED723C">
        <w:rPr>
          <w:color w:val="0E101A"/>
        </w:rPr>
        <w:t xml:space="preserve">significantly </w:t>
      </w:r>
      <w:r w:rsidR="00C3401D">
        <w:rPr>
          <w:color w:val="0E101A"/>
        </w:rPr>
        <w:t>predicted</w:t>
      </w:r>
      <w:r w:rsidR="004F5648">
        <w:rPr>
          <w:color w:val="0E101A"/>
        </w:rPr>
        <w:t xml:space="preserve"> greater</w:t>
      </w:r>
      <w:r w:rsidR="00C3401D">
        <w:rPr>
          <w:color w:val="0E101A"/>
        </w:rPr>
        <w:t xml:space="preserve"> module completion</w:t>
      </w:r>
      <w:r w:rsidR="008F72ED">
        <w:rPr>
          <w:color w:val="0E101A"/>
        </w:rPr>
        <w:t>.</w:t>
      </w:r>
      <w:r w:rsidR="007764C2" w:rsidRPr="007764C2">
        <w:rPr>
          <w:color w:val="0E101A"/>
        </w:rPr>
        <w:t xml:space="preserve"> </w:t>
      </w:r>
      <w:r w:rsidR="007764C2">
        <w:rPr>
          <w:color w:val="0E101A"/>
        </w:rPr>
        <w:t>Women completed more modules (</w:t>
      </w:r>
      <w:r w:rsidR="007764C2" w:rsidRPr="005E0BA0">
        <w:rPr>
          <w:i/>
          <w:iCs/>
          <w:color w:val="0E101A"/>
        </w:rPr>
        <w:t>M</w:t>
      </w:r>
      <w:r w:rsidR="007764C2">
        <w:rPr>
          <w:color w:val="0E101A"/>
        </w:rPr>
        <w:t xml:space="preserve"> = 4.4,</w:t>
      </w:r>
      <w:r w:rsidR="007764C2" w:rsidRPr="005E0BA0">
        <w:rPr>
          <w:i/>
          <w:iCs/>
          <w:color w:val="0E101A"/>
        </w:rPr>
        <w:t xml:space="preserve"> SD</w:t>
      </w:r>
      <w:r w:rsidR="007764C2">
        <w:rPr>
          <w:color w:val="0E101A"/>
        </w:rPr>
        <w:t xml:space="preserve"> = 4.6) than men (</w:t>
      </w:r>
      <w:r w:rsidR="007764C2" w:rsidRPr="005E0BA0">
        <w:rPr>
          <w:i/>
          <w:iCs/>
          <w:color w:val="0E101A"/>
        </w:rPr>
        <w:t>M</w:t>
      </w:r>
      <w:r w:rsidR="007764C2">
        <w:rPr>
          <w:color w:val="0E101A"/>
        </w:rPr>
        <w:t xml:space="preserve"> = 3.5, </w:t>
      </w:r>
      <w:r w:rsidR="007764C2" w:rsidRPr="005E0BA0">
        <w:rPr>
          <w:i/>
          <w:iCs/>
          <w:color w:val="0E101A"/>
        </w:rPr>
        <w:t xml:space="preserve">SD </w:t>
      </w:r>
      <w:r w:rsidR="007764C2">
        <w:rPr>
          <w:color w:val="0E101A"/>
        </w:rPr>
        <w:t xml:space="preserve">= 4.1), with men </w:t>
      </w:r>
      <w:r w:rsidR="00CA781B">
        <w:rPr>
          <w:color w:val="0E101A"/>
        </w:rPr>
        <w:t xml:space="preserve">completing 19% fewer </w:t>
      </w:r>
      <w:proofErr w:type="gramStart"/>
      <w:r w:rsidR="00CA781B">
        <w:rPr>
          <w:color w:val="0E101A"/>
        </w:rPr>
        <w:t xml:space="preserve">modules </w:t>
      </w:r>
      <w:r w:rsidR="007764C2">
        <w:rPr>
          <w:color w:val="0E101A"/>
        </w:rPr>
        <w:t xml:space="preserve"> than</w:t>
      </w:r>
      <w:proofErr w:type="gramEnd"/>
      <w:r w:rsidR="007764C2">
        <w:rPr>
          <w:color w:val="0E101A"/>
        </w:rPr>
        <w:t xml:space="preserve"> women, however this effect was only trending towards significance (</w:t>
      </w:r>
      <w:r w:rsidR="007764C2" w:rsidRPr="00FC7D32">
        <w:rPr>
          <w:i/>
          <w:iCs/>
        </w:rPr>
        <w:t>p</w:t>
      </w:r>
      <w:r w:rsidR="007764C2">
        <w:t xml:space="preserve"> = .056</w:t>
      </w:r>
      <w:r w:rsidR="007764C2">
        <w:rPr>
          <w:color w:val="0E101A"/>
        </w:rPr>
        <w:t xml:space="preserve">). </w:t>
      </w:r>
      <w:r w:rsidR="008F72ED">
        <w:rPr>
          <w:color w:val="0E101A"/>
        </w:rPr>
        <w:t xml:space="preserve"> Identifying as a non-binary gender, racial identity, having recently stopped working with a mental health provider, and level of anxiety at registration had no significant effect on number of modules completed (all </w:t>
      </w:r>
      <w:r w:rsidR="008F72ED" w:rsidRPr="005E0BA0">
        <w:rPr>
          <w:i/>
          <w:iCs/>
          <w:color w:val="0E101A"/>
        </w:rPr>
        <w:t>p</w:t>
      </w:r>
      <w:r w:rsidR="008F72ED">
        <w:rPr>
          <w:color w:val="0E101A"/>
        </w:rPr>
        <w:t xml:space="preserve"> &gt; .05). </w:t>
      </w:r>
    </w:p>
    <w:p w14:paraId="0126A4ED" w14:textId="5079BDEC" w:rsidR="004E02F2" w:rsidRPr="0085546B" w:rsidRDefault="004E02F2" w:rsidP="003A6D5B">
      <w:pPr>
        <w:pStyle w:val="NormalWeb"/>
        <w:spacing w:before="0" w:beforeAutospacing="0" w:after="0" w:afterAutospacing="0" w:line="480" w:lineRule="auto"/>
        <w:contextualSpacing/>
        <w:jc w:val="center"/>
        <w:rPr>
          <w:b/>
          <w:bCs/>
          <w:color w:val="0E101A"/>
        </w:rPr>
      </w:pPr>
      <w:r w:rsidRPr="0085546B">
        <w:rPr>
          <w:b/>
          <w:bCs/>
          <w:color w:val="0E101A"/>
        </w:rPr>
        <w:t>Discussion</w:t>
      </w:r>
    </w:p>
    <w:p w14:paraId="1B058F42" w14:textId="7D1BD831" w:rsidR="00AB2F3C" w:rsidRPr="00B16ACA" w:rsidRDefault="004E02F2" w:rsidP="007B0B38">
      <w:pPr>
        <w:pStyle w:val="NormalWeb"/>
        <w:spacing w:before="0" w:beforeAutospacing="0" w:after="0" w:afterAutospacing="0" w:line="480" w:lineRule="auto"/>
        <w:ind w:firstLine="720"/>
        <w:contextualSpacing/>
        <w:rPr>
          <w:color w:val="0E101A"/>
        </w:rPr>
      </w:pPr>
      <w:bookmarkStart w:id="20" w:name="OLE_LINK49"/>
      <w:bookmarkStart w:id="21" w:name="OLE_LINK50"/>
      <w:r>
        <w:rPr>
          <w:color w:val="0E101A"/>
        </w:rPr>
        <w:t xml:space="preserve">The present study sought to </w:t>
      </w:r>
      <w:r w:rsidR="00AB2F3C">
        <w:rPr>
          <w:color w:val="0E101A"/>
        </w:rPr>
        <w:t xml:space="preserve">bridge the research-to-practice gap with understanding </w:t>
      </w:r>
      <w:r w:rsidR="00980BE4">
        <w:rPr>
          <w:color w:val="0E101A"/>
        </w:rPr>
        <w:t>a</w:t>
      </w:r>
      <w:r w:rsidR="004B5602">
        <w:rPr>
          <w:color w:val="0E101A"/>
        </w:rPr>
        <w:t>dherence to DMH</w:t>
      </w:r>
      <w:r w:rsidR="00B54BC7">
        <w:rPr>
          <w:color w:val="0E101A"/>
        </w:rPr>
        <w:t>I</w:t>
      </w:r>
      <w:r w:rsidR="004B5602">
        <w:rPr>
          <w:color w:val="0E101A"/>
        </w:rPr>
        <w:t>s</w:t>
      </w:r>
      <w:r w:rsidR="00E80292">
        <w:rPr>
          <w:color w:val="0E101A"/>
        </w:rPr>
        <w:t xml:space="preserve"> </w:t>
      </w:r>
      <w:r w:rsidR="00AB2F3C">
        <w:rPr>
          <w:color w:val="0E101A"/>
        </w:rPr>
        <w:t xml:space="preserve">by </w:t>
      </w:r>
      <w:r>
        <w:rPr>
          <w:color w:val="0E101A"/>
        </w:rPr>
        <w:t>analyz</w:t>
      </w:r>
      <w:r w:rsidR="00AB2F3C">
        <w:rPr>
          <w:color w:val="0E101A"/>
        </w:rPr>
        <w:t>ing</w:t>
      </w:r>
      <w:r>
        <w:rPr>
          <w:color w:val="0E101A"/>
        </w:rPr>
        <w:t xml:space="preserve"> </w:t>
      </w:r>
      <w:r w:rsidR="00F02B84">
        <w:rPr>
          <w:color w:val="0E101A"/>
        </w:rPr>
        <w:t>three</w:t>
      </w:r>
      <w:r w:rsidR="000C01CE">
        <w:rPr>
          <w:color w:val="0E101A"/>
        </w:rPr>
        <w:t xml:space="preserve"> years</w:t>
      </w:r>
      <w:r w:rsidR="00C3401D">
        <w:rPr>
          <w:color w:val="0E101A"/>
        </w:rPr>
        <w:t xml:space="preserve"> of</w:t>
      </w:r>
      <w:r w:rsidR="00F02B84">
        <w:rPr>
          <w:color w:val="0E101A"/>
        </w:rPr>
        <w:t xml:space="preserve"> </w:t>
      </w:r>
      <w:r>
        <w:rPr>
          <w:color w:val="0E101A"/>
        </w:rPr>
        <w:t xml:space="preserve">user data from a publicly available </w:t>
      </w:r>
      <w:r w:rsidR="00AB2F3C">
        <w:rPr>
          <w:color w:val="0E101A"/>
        </w:rPr>
        <w:t xml:space="preserve">program. Findings highlighted low </w:t>
      </w:r>
      <w:r w:rsidR="004B5602">
        <w:rPr>
          <w:color w:val="0E101A"/>
        </w:rPr>
        <w:t>adherence to</w:t>
      </w:r>
      <w:r w:rsidR="00AB2F3C">
        <w:rPr>
          <w:color w:val="0E101A"/>
        </w:rPr>
        <w:t xml:space="preserve"> the publicly available program as well as user characteristics that predicted higher </w:t>
      </w:r>
      <w:r w:rsidR="001218CA">
        <w:rPr>
          <w:color w:val="0E101A"/>
        </w:rPr>
        <w:t xml:space="preserve">adherence </w:t>
      </w:r>
      <w:r w:rsidR="007B0B38">
        <w:rPr>
          <w:color w:val="0E101A"/>
        </w:rPr>
        <w:t>such as being</w:t>
      </w:r>
      <w:r w:rsidR="008F2E7E">
        <w:rPr>
          <w:color w:val="0E101A"/>
        </w:rPr>
        <w:t xml:space="preserve"> </w:t>
      </w:r>
      <w:r w:rsidR="007B0B38" w:rsidRPr="00F44413">
        <w:rPr>
          <w:color w:val="0E101A"/>
        </w:rPr>
        <w:t xml:space="preserve">younger, </w:t>
      </w:r>
      <w:r w:rsidR="007B0B38">
        <w:rPr>
          <w:color w:val="0E101A"/>
        </w:rPr>
        <w:t>reporting lower depression, and having no past mental health treatment</w:t>
      </w:r>
      <w:r w:rsidR="00AB2F3C">
        <w:rPr>
          <w:color w:val="0E101A"/>
        </w:rPr>
        <w:t>. To our knowledge, this is</w:t>
      </w:r>
      <w:r w:rsidR="00E80292">
        <w:rPr>
          <w:color w:val="0E101A"/>
        </w:rPr>
        <w:t xml:space="preserve"> one of</w:t>
      </w:r>
      <w:r w:rsidR="00AB2F3C">
        <w:rPr>
          <w:color w:val="0E101A"/>
        </w:rPr>
        <w:t xml:space="preserve"> the first </w:t>
      </w:r>
      <w:r w:rsidR="00957AA0">
        <w:rPr>
          <w:color w:val="0E101A"/>
        </w:rPr>
        <w:t xml:space="preserve">studies </w:t>
      </w:r>
      <w:r w:rsidR="00AB2F3C">
        <w:rPr>
          <w:color w:val="0E101A"/>
        </w:rPr>
        <w:t xml:space="preserve">to leverage </w:t>
      </w:r>
      <w:r w:rsidR="006D51D9">
        <w:rPr>
          <w:color w:val="0E101A"/>
        </w:rPr>
        <w:t xml:space="preserve">naturalistic </w:t>
      </w:r>
      <w:r w:rsidR="00AB2F3C">
        <w:rPr>
          <w:color w:val="0E101A"/>
        </w:rPr>
        <w:t xml:space="preserve">data on user demographics and clinical characteristics to examine predictors of </w:t>
      </w:r>
      <w:r w:rsidR="00865CDB">
        <w:rPr>
          <w:color w:val="0E101A"/>
        </w:rPr>
        <w:t xml:space="preserve">adherence </w:t>
      </w:r>
      <w:r w:rsidR="00AB2F3C">
        <w:rPr>
          <w:color w:val="0E101A"/>
        </w:rPr>
        <w:t>in a</w:t>
      </w:r>
      <w:r w:rsidR="00865CDB">
        <w:rPr>
          <w:color w:val="0E101A"/>
        </w:rPr>
        <w:t xml:space="preserve"> DM</w:t>
      </w:r>
      <w:r w:rsidR="00DD1A9A">
        <w:rPr>
          <w:color w:val="0E101A"/>
        </w:rPr>
        <w:t>HI</w:t>
      </w:r>
      <w:r w:rsidR="00AB2F3C">
        <w:rPr>
          <w:color w:val="0E101A"/>
        </w:rPr>
        <w:t xml:space="preserve">. We discuss how our findings align with the broader digital health literature, </w:t>
      </w:r>
      <w:r w:rsidR="001370A3">
        <w:rPr>
          <w:color w:val="0E101A"/>
        </w:rPr>
        <w:t xml:space="preserve">and </w:t>
      </w:r>
      <w:r w:rsidR="00AB2F3C">
        <w:rPr>
          <w:color w:val="0E101A"/>
        </w:rPr>
        <w:t>implications for intervention design</w:t>
      </w:r>
      <w:r w:rsidR="002139D4">
        <w:rPr>
          <w:color w:val="0E101A"/>
        </w:rPr>
        <w:t>.</w:t>
      </w:r>
    </w:p>
    <w:p w14:paraId="3CF28773" w14:textId="540AE617" w:rsidR="007D6A4D" w:rsidRDefault="00A81582" w:rsidP="003F3394">
      <w:pPr>
        <w:pStyle w:val="NormalWeb"/>
        <w:spacing w:before="0" w:beforeAutospacing="0" w:after="0" w:afterAutospacing="0" w:line="480" w:lineRule="auto"/>
        <w:contextualSpacing/>
        <w:rPr>
          <w:color w:val="0E101A"/>
        </w:rPr>
      </w:pPr>
      <w:r>
        <w:rPr>
          <w:color w:val="0E101A"/>
        </w:rPr>
        <w:tab/>
      </w:r>
      <w:r w:rsidR="00B40179">
        <w:rPr>
          <w:color w:val="0E101A"/>
        </w:rPr>
        <w:t xml:space="preserve">Our results </w:t>
      </w:r>
      <w:r w:rsidR="003F3394">
        <w:rPr>
          <w:color w:val="0E101A"/>
        </w:rPr>
        <w:t>replicated</w:t>
      </w:r>
      <w:r>
        <w:rPr>
          <w:color w:val="0E101A"/>
        </w:rPr>
        <w:t xml:space="preserve"> previous findings </w:t>
      </w:r>
      <w:r w:rsidR="003F3394">
        <w:rPr>
          <w:color w:val="0E101A"/>
        </w:rPr>
        <w:t xml:space="preserve">that adherence to </w:t>
      </w:r>
      <w:r w:rsidR="001218CA">
        <w:rPr>
          <w:color w:val="0E101A"/>
        </w:rPr>
        <w:t xml:space="preserve">DMHIs </w:t>
      </w:r>
      <w:r w:rsidR="004C7655">
        <w:rPr>
          <w:color w:val="0E101A"/>
        </w:rPr>
        <w:t>among real-world users</w:t>
      </w:r>
      <w:r w:rsidR="003F3394">
        <w:rPr>
          <w:color w:val="0E101A"/>
        </w:rPr>
        <w:t xml:space="preserve"> is notably low</w:t>
      </w:r>
      <w:r w:rsidR="00980BE4">
        <w:rPr>
          <w:color w:val="0E101A"/>
        </w:rPr>
        <w:t xml:space="preserve"> (Baumel et al., 2019)</w:t>
      </w:r>
      <w:r w:rsidR="004C7655">
        <w:rPr>
          <w:color w:val="0E101A"/>
        </w:rPr>
        <w:t xml:space="preserve">. </w:t>
      </w:r>
      <w:r w:rsidR="00B02B4E">
        <w:rPr>
          <w:color w:val="0E101A"/>
        </w:rPr>
        <w:t>Almost one-third of users</w:t>
      </w:r>
      <w:r w:rsidR="003F3394">
        <w:rPr>
          <w:color w:val="0E101A"/>
        </w:rPr>
        <w:t xml:space="preserve"> did not complete </w:t>
      </w:r>
      <w:r w:rsidR="00B02B4E">
        <w:rPr>
          <w:color w:val="0E101A"/>
        </w:rPr>
        <w:t>any of the twelve sessions</w:t>
      </w:r>
      <w:r w:rsidR="003F3394">
        <w:rPr>
          <w:color w:val="0E101A"/>
        </w:rPr>
        <w:t xml:space="preserve">, while </w:t>
      </w:r>
      <w:r w:rsidR="00B02B4E">
        <w:rPr>
          <w:color w:val="0E101A"/>
        </w:rPr>
        <w:t>another third</w:t>
      </w:r>
      <w:r w:rsidR="003F3394">
        <w:rPr>
          <w:color w:val="0E101A"/>
        </w:rPr>
        <w:t xml:space="preserve"> completed </w:t>
      </w:r>
      <w:r w:rsidR="00F44341">
        <w:rPr>
          <w:color w:val="0E101A"/>
        </w:rPr>
        <w:t>at least</w:t>
      </w:r>
      <w:r w:rsidR="003F3394">
        <w:rPr>
          <w:color w:val="0E101A"/>
        </w:rPr>
        <w:t xml:space="preserve"> half the program, and only 15% </w:t>
      </w:r>
      <w:r w:rsidR="003F3394">
        <w:rPr>
          <w:color w:val="0E101A"/>
        </w:rPr>
        <w:lastRenderedPageBreak/>
        <w:t xml:space="preserve">completed the full program. </w:t>
      </w:r>
      <w:bookmarkStart w:id="22" w:name="OLE_LINK40"/>
      <w:bookmarkStart w:id="23" w:name="OLE_LINK41"/>
      <w:r w:rsidR="007D6A4D" w:rsidRPr="007D6A4D">
        <w:rPr>
          <w:color w:val="0E101A"/>
        </w:rPr>
        <w:t>The observed adherence levels echo findings from other naturalistic studies of DMHIs (</w:t>
      </w:r>
      <w:r w:rsidR="007D6A4D">
        <w:rPr>
          <w:color w:val="0E101A"/>
        </w:rPr>
        <w:t>see</w:t>
      </w:r>
      <w:r w:rsidR="007D6A4D" w:rsidRPr="007D6A4D">
        <w:rPr>
          <w:color w:val="0E101A"/>
        </w:rPr>
        <w:t xml:space="preserve"> Fleming et al., 2018), yet they fall short of the higher adherence rates seen in versions of the ACT Guide during clinical trials, where module completion ranged from 25-</w:t>
      </w:r>
      <w:r w:rsidR="00785C06">
        <w:rPr>
          <w:color w:val="0E101A"/>
        </w:rPr>
        <w:t>78</w:t>
      </w:r>
      <w:r w:rsidR="007D6A4D" w:rsidRPr="007D6A4D">
        <w:rPr>
          <w:color w:val="0E101A"/>
        </w:rPr>
        <w:t>% (Ong et al., 2023; Levin et al., 20</w:t>
      </w:r>
      <w:r w:rsidR="00785C06">
        <w:rPr>
          <w:color w:val="0E101A"/>
        </w:rPr>
        <w:t>20)</w:t>
      </w:r>
      <w:r w:rsidR="007D6A4D" w:rsidRPr="007D6A4D">
        <w:rPr>
          <w:color w:val="0E101A"/>
        </w:rPr>
        <w:t xml:space="preserve">. This discrepancy </w:t>
      </w:r>
      <w:r w:rsidR="007D6A4D">
        <w:rPr>
          <w:color w:val="0E101A"/>
        </w:rPr>
        <w:t>confirms broader concerns about the generalizability of DMHI clinical trial results</w:t>
      </w:r>
      <w:r w:rsidR="007D6A4D" w:rsidRPr="007D6A4D">
        <w:rPr>
          <w:color w:val="0E101A"/>
        </w:rPr>
        <w:t>.</w:t>
      </w:r>
    </w:p>
    <w:bookmarkEnd w:id="20"/>
    <w:bookmarkEnd w:id="21"/>
    <w:bookmarkEnd w:id="22"/>
    <w:bookmarkEnd w:id="23"/>
    <w:p w14:paraId="74EE82C4" w14:textId="5C0961F3" w:rsidR="00F86768" w:rsidRDefault="00A70B30" w:rsidP="003A6D5B">
      <w:pPr>
        <w:pStyle w:val="NormalWeb"/>
        <w:spacing w:before="0" w:beforeAutospacing="0" w:after="0" w:afterAutospacing="0" w:line="480" w:lineRule="auto"/>
        <w:ind w:firstLine="720"/>
        <w:contextualSpacing/>
        <w:rPr>
          <w:color w:val="0E101A"/>
        </w:rPr>
      </w:pPr>
      <w:r>
        <w:rPr>
          <w:color w:val="0E101A"/>
        </w:rPr>
        <w:t>A</w:t>
      </w:r>
      <w:r w:rsidR="005D43AF">
        <w:rPr>
          <w:color w:val="0E101A"/>
        </w:rPr>
        <w:t xml:space="preserve">pproximately one-tenth of users </w:t>
      </w:r>
      <w:r w:rsidR="004C7655">
        <w:rPr>
          <w:color w:val="0E101A"/>
        </w:rPr>
        <w:t>signed up for the program, but never log</w:t>
      </w:r>
      <w:r w:rsidR="00E80292">
        <w:rPr>
          <w:color w:val="0E101A"/>
        </w:rPr>
        <w:t>ged</w:t>
      </w:r>
      <w:r w:rsidR="00142A47">
        <w:rPr>
          <w:color w:val="0E101A"/>
        </w:rPr>
        <w:t>-</w:t>
      </w:r>
      <w:r w:rsidR="004C7655">
        <w:rPr>
          <w:color w:val="0E101A"/>
        </w:rPr>
        <w:t>i</w:t>
      </w:r>
      <w:r w:rsidR="00142A47">
        <w:rPr>
          <w:color w:val="0E101A"/>
        </w:rPr>
        <w:t>n</w:t>
      </w:r>
      <w:r w:rsidR="00093A6E">
        <w:rPr>
          <w:color w:val="0E101A"/>
        </w:rPr>
        <w:t>.</w:t>
      </w:r>
      <w:r w:rsidR="005C7E9F">
        <w:rPr>
          <w:color w:val="0E101A"/>
        </w:rPr>
        <w:t xml:space="preserve"> </w:t>
      </w:r>
      <w:r w:rsidR="00F86768">
        <w:rPr>
          <w:color w:val="0E101A"/>
        </w:rPr>
        <w:t xml:space="preserve">This is somewhat surprising given the associated </w:t>
      </w:r>
      <w:r w:rsidR="00E206D9">
        <w:rPr>
          <w:color w:val="0E101A"/>
        </w:rPr>
        <w:t>program cost</w:t>
      </w:r>
      <w:r w:rsidR="00F86768">
        <w:rPr>
          <w:color w:val="0E101A"/>
        </w:rPr>
        <w:t xml:space="preserve">. </w:t>
      </w:r>
      <w:r w:rsidR="00F86768" w:rsidRPr="00F86768">
        <w:rPr>
          <w:color w:val="0E101A"/>
        </w:rPr>
        <w:t xml:space="preserve">For some users, the </w:t>
      </w:r>
      <w:r w:rsidR="00F86768">
        <w:rPr>
          <w:color w:val="0E101A"/>
        </w:rPr>
        <w:t xml:space="preserve">small $10 fee </w:t>
      </w:r>
      <w:r w:rsidR="00F86768" w:rsidRPr="00F86768">
        <w:rPr>
          <w:color w:val="0E101A"/>
        </w:rPr>
        <w:t xml:space="preserve">might not have justified the commitment required. </w:t>
      </w:r>
      <w:r w:rsidR="005205F0">
        <w:rPr>
          <w:color w:val="0E101A"/>
        </w:rPr>
        <w:t>H</w:t>
      </w:r>
      <w:r w:rsidR="00F86768" w:rsidRPr="00F86768">
        <w:rPr>
          <w:color w:val="0E101A"/>
        </w:rPr>
        <w:t xml:space="preserve">igher sign-up cost could </w:t>
      </w:r>
      <w:r w:rsidR="005205F0">
        <w:rPr>
          <w:color w:val="0E101A"/>
        </w:rPr>
        <w:t xml:space="preserve">potentially </w:t>
      </w:r>
      <w:r w:rsidR="00F86768" w:rsidRPr="00F86768">
        <w:rPr>
          <w:color w:val="0E101A"/>
        </w:rPr>
        <w:t xml:space="preserve">boost perceived value, encouraging </w:t>
      </w:r>
      <w:r w:rsidR="00F86768">
        <w:rPr>
          <w:color w:val="0E101A"/>
        </w:rPr>
        <w:t xml:space="preserve">higher completion </w:t>
      </w:r>
      <w:r w:rsidR="00F86768" w:rsidRPr="00F86768">
        <w:rPr>
          <w:color w:val="0E101A"/>
        </w:rPr>
        <w:t>(Hilvert-Bruce et al., 2012).</w:t>
      </w:r>
      <w:r w:rsidR="00F86768">
        <w:rPr>
          <w:color w:val="0E101A"/>
        </w:rPr>
        <w:t xml:space="preserve"> While </w:t>
      </w:r>
      <w:r w:rsidR="00EB3707">
        <w:rPr>
          <w:color w:val="0E101A"/>
        </w:rPr>
        <w:t xml:space="preserve">program </w:t>
      </w:r>
      <w:r w:rsidR="00F86768">
        <w:rPr>
          <w:color w:val="0E101A"/>
        </w:rPr>
        <w:t xml:space="preserve">should still consider </w:t>
      </w:r>
      <w:r w:rsidR="00EB3707">
        <w:rPr>
          <w:color w:val="0E101A"/>
        </w:rPr>
        <w:t>cost in relation to accessibility,</w:t>
      </w:r>
      <w:r w:rsidR="00F86768">
        <w:rPr>
          <w:color w:val="0E101A"/>
        </w:rPr>
        <w:t xml:space="preserve"> </w:t>
      </w:r>
      <w:r w:rsidR="00EB3707">
        <w:rPr>
          <w:color w:val="0E101A"/>
        </w:rPr>
        <w:t>f</w:t>
      </w:r>
      <w:r w:rsidR="00F86768">
        <w:rPr>
          <w:color w:val="0E101A"/>
        </w:rPr>
        <w:t>uture programs might raise sign-up costs to improve adherence rates.</w:t>
      </w:r>
    </w:p>
    <w:p w14:paraId="4EAE3D5D" w14:textId="7DFE97B3" w:rsidR="00D6253D" w:rsidRDefault="00F44341" w:rsidP="00241E54">
      <w:pPr>
        <w:pStyle w:val="NormalWeb"/>
        <w:spacing w:before="0" w:beforeAutospacing="0" w:after="0" w:afterAutospacing="0" w:line="480" w:lineRule="auto"/>
        <w:ind w:firstLine="720"/>
        <w:contextualSpacing/>
        <w:rPr>
          <w:color w:val="0E101A"/>
        </w:rPr>
      </w:pPr>
      <w:r>
        <w:rPr>
          <w:color w:val="0E101A"/>
        </w:rPr>
        <w:t xml:space="preserve">The majority of users did not complete even half of the </w:t>
      </w:r>
      <w:r w:rsidR="008B35AF">
        <w:rPr>
          <w:color w:val="0E101A"/>
        </w:rPr>
        <w:t>program,</w:t>
      </w:r>
      <w:r>
        <w:rPr>
          <w:color w:val="0E101A"/>
        </w:rPr>
        <w:t xml:space="preserve"> and many stopped using ACT Guide after the first few sessions</w:t>
      </w:r>
      <w:r w:rsidR="00EB3707">
        <w:rPr>
          <w:color w:val="0E101A"/>
        </w:rPr>
        <w:t xml:space="preserve">, likely for a number of reasons that we were unable to investigate </w:t>
      </w:r>
      <w:r w:rsidR="008F2B51">
        <w:rPr>
          <w:color w:val="0E101A"/>
        </w:rPr>
        <w:t xml:space="preserve">within the available </w:t>
      </w:r>
      <w:r w:rsidR="00EB3707">
        <w:rPr>
          <w:color w:val="0E101A"/>
        </w:rPr>
        <w:t>data (e.g., low motivation and program dissatisfaction)</w:t>
      </w:r>
      <w:r w:rsidR="00471545" w:rsidRPr="00471545">
        <w:rPr>
          <w:color w:val="0E101A"/>
        </w:rPr>
        <w:t>.</w:t>
      </w:r>
      <w:r w:rsidR="00471545">
        <w:rPr>
          <w:color w:val="0E101A"/>
        </w:rPr>
        <w:t xml:space="preserve"> </w:t>
      </w:r>
      <w:r w:rsidR="00EB3707">
        <w:rPr>
          <w:color w:val="0E101A"/>
        </w:rPr>
        <w:t xml:space="preserve">User </w:t>
      </w:r>
      <w:r w:rsidR="00B8679D">
        <w:rPr>
          <w:color w:val="0E101A"/>
        </w:rPr>
        <w:t>“drop-off</w:t>
      </w:r>
      <w:r w:rsidR="0040630B">
        <w:rPr>
          <w:color w:val="0E101A"/>
        </w:rPr>
        <w:t>s</w:t>
      </w:r>
      <w:r w:rsidR="00B8679D">
        <w:rPr>
          <w:color w:val="0E101A"/>
        </w:rPr>
        <w:t>”</w:t>
      </w:r>
      <w:r w:rsidR="002F4306">
        <w:rPr>
          <w:color w:val="0E101A"/>
        </w:rPr>
        <w:t xml:space="preserve"> </w:t>
      </w:r>
      <w:r w:rsidR="00EB3707">
        <w:rPr>
          <w:color w:val="0E101A"/>
        </w:rPr>
        <w:t xml:space="preserve">in the current sample </w:t>
      </w:r>
      <w:r w:rsidR="00B8679D">
        <w:rPr>
          <w:color w:val="0E101A"/>
        </w:rPr>
        <w:t>are</w:t>
      </w:r>
      <w:r w:rsidR="003E2EF9">
        <w:rPr>
          <w:color w:val="0E101A"/>
        </w:rPr>
        <w:t xml:space="preserve"> </w:t>
      </w:r>
      <w:r w:rsidR="00B8679D">
        <w:rPr>
          <w:color w:val="0E101A"/>
        </w:rPr>
        <w:t>similar to attrition rates after the first session of therapy (</w:t>
      </w:r>
      <w:r w:rsidR="00BE289D" w:rsidRPr="00BE289D">
        <w:rPr>
          <w:color w:val="0E101A"/>
        </w:rPr>
        <w:t>Swift</w:t>
      </w:r>
      <w:r w:rsidR="00BE289D">
        <w:rPr>
          <w:color w:val="0E101A"/>
        </w:rPr>
        <w:t xml:space="preserve"> </w:t>
      </w:r>
      <w:r w:rsidR="00BE289D" w:rsidRPr="00BE289D">
        <w:rPr>
          <w:color w:val="0E101A"/>
        </w:rPr>
        <w:t>&amp; Greenberg, 2012</w:t>
      </w:r>
      <w:r w:rsidR="00BE289D">
        <w:rPr>
          <w:color w:val="0E101A"/>
        </w:rPr>
        <w:t>; Simon et al., 2012</w:t>
      </w:r>
      <w:r w:rsidR="00B8679D">
        <w:rPr>
          <w:color w:val="0E101A"/>
        </w:rPr>
        <w:t>)</w:t>
      </w:r>
      <w:r w:rsidR="00F1445E">
        <w:rPr>
          <w:color w:val="0E101A"/>
        </w:rPr>
        <w:t xml:space="preserve">, </w:t>
      </w:r>
      <w:r w:rsidR="00F1445E" w:rsidRPr="00F1445E">
        <w:rPr>
          <w:color w:val="0E101A"/>
        </w:rPr>
        <w:t xml:space="preserve">and </w:t>
      </w:r>
      <w:r w:rsidR="008E1D54">
        <w:rPr>
          <w:color w:val="0E101A"/>
        </w:rPr>
        <w:t xml:space="preserve">studies </w:t>
      </w:r>
      <w:r w:rsidR="00F1445E" w:rsidRPr="00F1445E">
        <w:rPr>
          <w:color w:val="0E101A"/>
        </w:rPr>
        <w:t>suggests reasons for discontinuation are not always negative</w:t>
      </w:r>
      <w:r w:rsidR="00F1445E">
        <w:rPr>
          <w:color w:val="0E101A"/>
        </w:rPr>
        <w:t xml:space="preserve"> </w:t>
      </w:r>
      <w:r w:rsidR="00B8679D">
        <w:rPr>
          <w:color w:val="0E101A"/>
        </w:rPr>
        <w:t>(e.g.,</w:t>
      </w:r>
      <w:r w:rsidR="00BE289D">
        <w:rPr>
          <w:color w:val="0E101A"/>
        </w:rPr>
        <w:t xml:space="preserve"> </w:t>
      </w:r>
      <w:r w:rsidR="0040630B">
        <w:rPr>
          <w:color w:val="0E101A"/>
        </w:rPr>
        <w:t xml:space="preserve">clients felt like they </w:t>
      </w:r>
      <w:r w:rsidR="0040630B" w:rsidRPr="0040630B">
        <w:rPr>
          <w:color w:val="0E101A"/>
        </w:rPr>
        <w:t>‘</w:t>
      </w:r>
      <w:r w:rsidR="0040630B">
        <w:rPr>
          <w:color w:val="0E101A"/>
        </w:rPr>
        <w:t>g</w:t>
      </w:r>
      <w:r w:rsidR="0040630B" w:rsidRPr="0040630B">
        <w:rPr>
          <w:color w:val="0E101A"/>
        </w:rPr>
        <w:t>ot-what-they-needed’</w:t>
      </w:r>
      <w:r w:rsidR="0040630B">
        <w:rPr>
          <w:color w:val="0E101A"/>
        </w:rPr>
        <w:t xml:space="preserve"> from treatment; O’Keeffe et al., 2019</w:t>
      </w:r>
      <w:r w:rsidR="00B8679D">
        <w:rPr>
          <w:color w:val="0E101A"/>
        </w:rPr>
        <w:t>)</w:t>
      </w:r>
      <w:r w:rsidR="0040630B">
        <w:rPr>
          <w:color w:val="0E101A"/>
        </w:rPr>
        <w:t xml:space="preserve">. </w:t>
      </w:r>
      <w:r w:rsidR="00F1445E">
        <w:rPr>
          <w:color w:val="0E101A"/>
        </w:rPr>
        <w:t xml:space="preserve">Similarly, </w:t>
      </w:r>
      <w:r w:rsidR="008F2B51">
        <w:rPr>
          <w:color w:val="0E101A"/>
        </w:rPr>
        <w:t xml:space="preserve">DMHI </w:t>
      </w:r>
      <w:r w:rsidR="0040630B">
        <w:rPr>
          <w:color w:val="0E101A"/>
        </w:rPr>
        <w:t>users</w:t>
      </w:r>
      <w:r w:rsidR="00B8679D">
        <w:rPr>
          <w:color w:val="0E101A"/>
        </w:rPr>
        <w:t xml:space="preserve"> may</w:t>
      </w:r>
      <w:r w:rsidR="00F1445E">
        <w:rPr>
          <w:color w:val="0E101A"/>
        </w:rPr>
        <w:t xml:space="preserve"> </w:t>
      </w:r>
      <w:r w:rsidR="00B8679D">
        <w:rPr>
          <w:color w:val="0E101A"/>
        </w:rPr>
        <w:t xml:space="preserve">have </w:t>
      </w:r>
      <w:r w:rsidR="00B049DA">
        <w:rPr>
          <w:color w:val="0E101A"/>
        </w:rPr>
        <w:t xml:space="preserve">positive </w:t>
      </w:r>
      <w:r w:rsidR="00E92C3E">
        <w:rPr>
          <w:color w:val="0E101A"/>
        </w:rPr>
        <w:t xml:space="preserve">reasons </w:t>
      </w:r>
      <w:r w:rsidR="00D47483">
        <w:rPr>
          <w:color w:val="0E101A"/>
        </w:rPr>
        <w:t xml:space="preserve">to </w:t>
      </w:r>
      <w:r w:rsidR="00E92C3E">
        <w:rPr>
          <w:color w:val="0E101A"/>
        </w:rPr>
        <w:t>disengage</w:t>
      </w:r>
      <w:r w:rsidR="00D7018F">
        <w:rPr>
          <w:color w:val="0E101A"/>
        </w:rPr>
        <w:t xml:space="preserve"> early</w:t>
      </w:r>
      <w:r w:rsidR="0040630B">
        <w:rPr>
          <w:color w:val="0E101A"/>
        </w:rPr>
        <w:t xml:space="preserve">, such as feeling satisfied </w:t>
      </w:r>
      <w:r w:rsidR="00F1445E">
        <w:rPr>
          <w:color w:val="0E101A"/>
        </w:rPr>
        <w:t>with their improvement (i.e., a reduction of symptoms)</w:t>
      </w:r>
      <w:r w:rsidR="0040630B">
        <w:rPr>
          <w:color w:val="0E101A"/>
        </w:rPr>
        <w:t xml:space="preserve"> </w:t>
      </w:r>
      <w:r w:rsidR="00F1445E">
        <w:rPr>
          <w:color w:val="0E101A"/>
        </w:rPr>
        <w:t xml:space="preserve">or </w:t>
      </w:r>
      <w:r w:rsidR="0040630B">
        <w:rPr>
          <w:color w:val="0E101A"/>
        </w:rPr>
        <w:t xml:space="preserve">choosing to seek </w:t>
      </w:r>
      <w:r w:rsidR="00F1445E">
        <w:rPr>
          <w:color w:val="0E101A"/>
        </w:rPr>
        <w:t>in</w:t>
      </w:r>
      <w:r w:rsidR="008F2B51">
        <w:rPr>
          <w:color w:val="0E101A"/>
        </w:rPr>
        <w:t>-</w:t>
      </w:r>
      <w:r w:rsidR="00F1445E">
        <w:rPr>
          <w:color w:val="0E101A"/>
        </w:rPr>
        <w:t>person services</w:t>
      </w:r>
      <w:r w:rsidR="0040630B">
        <w:rPr>
          <w:color w:val="0E101A"/>
        </w:rPr>
        <w:t>.</w:t>
      </w:r>
      <w:r w:rsidR="00B8679D">
        <w:rPr>
          <w:color w:val="0E101A"/>
        </w:rPr>
        <w:t xml:space="preserve"> </w:t>
      </w:r>
      <w:bookmarkStart w:id="24" w:name="OLE_LINK17"/>
      <w:bookmarkStart w:id="25" w:name="OLE_LINK18"/>
      <w:r w:rsidR="006D3445">
        <w:rPr>
          <w:color w:val="0E101A"/>
        </w:rPr>
        <w:t>F</w:t>
      </w:r>
      <w:r w:rsidR="00D70803">
        <w:rPr>
          <w:color w:val="0E101A"/>
        </w:rPr>
        <w:t>uture studies should</w:t>
      </w:r>
      <w:r w:rsidR="00D70803" w:rsidRPr="001C03EA">
        <w:rPr>
          <w:color w:val="0E101A"/>
        </w:rPr>
        <w:t xml:space="preserve"> </w:t>
      </w:r>
      <w:r w:rsidR="00BE6322">
        <w:rPr>
          <w:color w:val="0E101A"/>
        </w:rPr>
        <w:t>assess symptom</w:t>
      </w:r>
      <w:r w:rsidR="008F2B51">
        <w:rPr>
          <w:color w:val="0E101A"/>
        </w:rPr>
        <w:t xml:space="preserve">s longitudinally </w:t>
      </w:r>
      <w:r w:rsidR="00BE6322">
        <w:rPr>
          <w:color w:val="0E101A"/>
        </w:rPr>
        <w:t xml:space="preserve">to </w:t>
      </w:r>
      <w:r w:rsidR="002B47B6">
        <w:rPr>
          <w:color w:val="0E101A"/>
        </w:rPr>
        <w:t xml:space="preserve">better </w:t>
      </w:r>
      <w:r w:rsidR="006D3445">
        <w:rPr>
          <w:color w:val="0E101A"/>
        </w:rPr>
        <w:t xml:space="preserve">assess discontinuation relative to symptom improvement or worsening, in addition to querying users about their reasons for discontinuation. </w:t>
      </w:r>
      <w:bookmarkEnd w:id="24"/>
      <w:bookmarkEnd w:id="25"/>
    </w:p>
    <w:p w14:paraId="2A5D45A5" w14:textId="5934E0F5" w:rsidR="00ED03C5" w:rsidRDefault="003F3394" w:rsidP="002576BF">
      <w:pPr>
        <w:pStyle w:val="NormalWeb"/>
        <w:spacing w:before="0" w:beforeAutospacing="0" w:after="0" w:afterAutospacing="0" w:line="480" w:lineRule="auto"/>
        <w:ind w:firstLine="720"/>
        <w:contextualSpacing/>
        <w:rPr>
          <w:color w:val="0E101A"/>
        </w:rPr>
      </w:pPr>
      <w:r>
        <w:rPr>
          <w:color w:val="0E101A"/>
        </w:rPr>
        <w:lastRenderedPageBreak/>
        <w:t>T</w:t>
      </w:r>
      <w:r w:rsidR="00692921">
        <w:rPr>
          <w:color w:val="0E101A"/>
        </w:rPr>
        <w:t xml:space="preserve">he majority of </w:t>
      </w:r>
      <w:r>
        <w:rPr>
          <w:color w:val="0E101A"/>
        </w:rPr>
        <w:t xml:space="preserve">users </w:t>
      </w:r>
      <w:r w:rsidR="00692921">
        <w:rPr>
          <w:color w:val="0E101A"/>
        </w:rPr>
        <w:t>signing up for the program were women (69.5%)</w:t>
      </w:r>
      <w:r w:rsidR="00222E80">
        <w:rPr>
          <w:color w:val="0E101A"/>
        </w:rPr>
        <w:t xml:space="preserve">, who </w:t>
      </w:r>
      <w:r w:rsidR="008B35AF">
        <w:rPr>
          <w:color w:val="0E101A"/>
        </w:rPr>
        <w:t>on average completed</w:t>
      </w:r>
      <w:r w:rsidR="008F2E7E">
        <w:rPr>
          <w:color w:val="0E101A"/>
        </w:rPr>
        <w:t xml:space="preserve"> more modules than men</w:t>
      </w:r>
      <w:r w:rsidR="00222E80">
        <w:rPr>
          <w:color w:val="0E101A"/>
        </w:rPr>
        <w:t xml:space="preserve">, </w:t>
      </w:r>
      <w:r w:rsidR="00A375F4">
        <w:rPr>
          <w:color w:val="0E101A"/>
        </w:rPr>
        <w:t xml:space="preserve">which is </w:t>
      </w:r>
      <w:r w:rsidR="00A75526">
        <w:rPr>
          <w:color w:val="0E101A"/>
        </w:rPr>
        <w:t xml:space="preserve">consistent with prior findings from </w:t>
      </w:r>
      <w:r w:rsidR="00CC4C54">
        <w:rPr>
          <w:color w:val="0E101A"/>
        </w:rPr>
        <w:t xml:space="preserve">DMHI </w:t>
      </w:r>
      <w:r w:rsidR="00A75526">
        <w:rPr>
          <w:color w:val="0E101A"/>
        </w:rPr>
        <w:t>clinical trials (e.g., Kazlauskas et al., 2020)</w:t>
      </w:r>
      <w:r w:rsidR="00CC4C54">
        <w:rPr>
          <w:color w:val="0E101A"/>
        </w:rPr>
        <w:t xml:space="preserve"> and psycho</w:t>
      </w:r>
      <w:r w:rsidR="00135BF7">
        <w:rPr>
          <w:color w:val="0E101A"/>
        </w:rPr>
        <w:t>therap</w:t>
      </w:r>
      <w:r w:rsidR="00CC4C54">
        <w:rPr>
          <w:color w:val="0E101A"/>
        </w:rPr>
        <w:t>y use more broadly</w:t>
      </w:r>
      <w:r w:rsidR="00135BF7">
        <w:rPr>
          <w:color w:val="0E101A"/>
        </w:rPr>
        <w:t xml:space="preserve"> </w:t>
      </w:r>
      <w:r w:rsidR="00135BF7" w:rsidRPr="00AF36C6">
        <w:rPr>
          <w:color w:val="0E101A"/>
        </w:rPr>
        <w:t>(Albizu-Garcia et al., 2001)</w:t>
      </w:r>
      <w:r w:rsidR="00CC4C54">
        <w:rPr>
          <w:color w:val="0E101A"/>
        </w:rPr>
        <w:t>.</w:t>
      </w:r>
      <w:r w:rsidR="001536CE">
        <w:rPr>
          <w:color w:val="0E101A"/>
        </w:rPr>
        <w:t xml:space="preserve"> </w:t>
      </w:r>
      <w:r w:rsidR="005B66DC">
        <w:rPr>
          <w:color w:val="0E101A"/>
        </w:rPr>
        <w:t xml:space="preserve">Even though we found that differences between </w:t>
      </w:r>
      <w:r w:rsidR="002576BF">
        <w:rPr>
          <w:color w:val="0E101A"/>
        </w:rPr>
        <w:t>adherence in men and women were</w:t>
      </w:r>
      <w:r w:rsidR="005B66DC">
        <w:rPr>
          <w:color w:val="0E101A"/>
        </w:rPr>
        <w:t xml:space="preserve"> </w:t>
      </w:r>
      <w:r w:rsidR="001536CE">
        <w:rPr>
          <w:color w:val="0E101A"/>
        </w:rPr>
        <w:t>only trending toward significan</w:t>
      </w:r>
      <w:r w:rsidR="00A375F4">
        <w:rPr>
          <w:color w:val="0E101A"/>
        </w:rPr>
        <w:t>ce</w:t>
      </w:r>
      <w:r w:rsidR="00205435">
        <w:rPr>
          <w:color w:val="0E101A"/>
        </w:rPr>
        <w:t xml:space="preserve">, this finding </w:t>
      </w:r>
      <w:r w:rsidR="00980BE4">
        <w:rPr>
          <w:color w:val="0E101A"/>
        </w:rPr>
        <w:t>suggest</w:t>
      </w:r>
      <w:r w:rsidR="00205435">
        <w:rPr>
          <w:color w:val="0E101A"/>
        </w:rPr>
        <w:t xml:space="preserve"> a</w:t>
      </w:r>
      <w:r w:rsidR="00980BE4">
        <w:rPr>
          <w:color w:val="0E101A"/>
        </w:rPr>
        <w:t xml:space="preserve"> potential</w:t>
      </w:r>
      <w:r w:rsidR="00205435">
        <w:rPr>
          <w:color w:val="0E101A"/>
        </w:rPr>
        <w:t xml:space="preserve"> need to tailor programs </w:t>
      </w:r>
      <w:r w:rsidR="00FC3BA9">
        <w:rPr>
          <w:color w:val="0E101A"/>
        </w:rPr>
        <w:t xml:space="preserve">towards a male audience. </w:t>
      </w:r>
      <w:r w:rsidR="007F514F">
        <w:rPr>
          <w:color w:val="0E101A"/>
        </w:rPr>
        <w:t xml:space="preserve">Similar </w:t>
      </w:r>
      <w:r w:rsidR="002B00CF">
        <w:rPr>
          <w:color w:val="0E101A"/>
        </w:rPr>
        <w:t>to recommendation</w:t>
      </w:r>
      <w:r w:rsidR="00360C49">
        <w:rPr>
          <w:color w:val="0E101A"/>
        </w:rPr>
        <w:t>s</w:t>
      </w:r>
      <w:r w:rsidR="002B00CF">
        <w:rPr>
          <w:color w:val="0E101A"/>
        </w:rPr>
        <w:t xml:space="preserve"> for gender-based </w:t>
      </w:r>
      <w:r w:rsidR="000C0F29">
        <w:rPr>
          <w:color w:val="0E101A"/>
        </w:rPr>
        <w:t>customization</w:t>
      </w:r>
      <w:r w:rsidR="002B00CF">
        <w:rPr>
          <w:color w:val="0E101A"/>
        </w:rPr>
        <w:t xml:space="preserve"> </w:t>
      </w:r>
      <w:r w:rsidR="007F514F">
        <w:rPr>
          <w:color w:val="0E101A"/>
        </w:rPr>
        <w:t>for face-to-face psychotherapy</w:t>
      </w:r>
      <w:r w:rsidR="0059547C">
        <w:rPr>
          <w:color w:val="0E101A"/>
        </w:rPr>
        <w:t xml:space="preserve"> (see Seidler et al., 2018 for a review)</w:t>
      </w:r>
      <w:r w:rsidR="00B4527D">
        <w:rPr>
          <w:color w:val="0E101A"/>
        </w:rPr>
        <w:t>, DMHI</w:t>
      </w:r>
      <w:r w:rsidR="00900B3E">
        <w:rPr>
          <w:color w:val="0E101A"/>
        </w:rPr>
        <w:t>s</w:t>
      </w:r>
      <w:r w:rsidR="00B4527D">
        <w:rPr>
          <w:color w:val="0E101A"/>
        </w:rPr>
        <w:t xml:space="preserve"> </w:t>
      </w:r>
      <w:r w:rsidR="006A4387">
        <w:rPr>
          <w:color w:val="0E101A"/>
        </w:rPr>
        <w:t xml:space="preserve">might also </w:t>
      </w:r>
      <w:r w:rsidR="00C36F13">
        <w:rPr>
          <w:color w:val="0E101A"/>
        </w:rPr>
        <w:t>emphasize</w:t>
      </w:r>
      <w:r w:rsidR="001A2C2F">
        <w:rPr>
          <w:color w:val="0E101A"/>
        </w:rPr>
        <w:t xml:space="preserve"> </w:t>
      </w:r>
      <w:r w:rsidR="007644F1">
        <w:rPr>
          <w:color w:val="0E101A"/>
        </w:rPr>
        <w:t xml:space="preserve">content </w:t>
      </w:r>
      <w:r w:rsidR="00D00C13">
        <w:rPr>
          <w:color w:val="0E101A"/>
        </w:rPr>
        <w:t xml:space="preserve">consistent </w:t>
      </w:r>
      <w:r w:rsidR="00674D89">
        <w:rPr>
          <w:color w:val="0E101A"/>
        </w:rPr>
        <w:t xml:space="preserve">with </w:t>
      </w:r>
      <w:r w:rsidR="00D00C13">
        <w:rPr>
          <w:color w:val="0E101A"/>
        </w:rPr>
        <w:t>masculine socialization</w:t>
      </w:r>
      <w:r w:rsidR="001A2C2F">
        <w:rPr>
          <w:color w:val="0E101A"/>
        </w:rPr>
        <w:t xml:space="preserve"> (</w:t>
      </w:r>
      <w:r w:rsidR="00222E80">
        <w:rPr>
          <w:color w:val="0E101A"/>
        </w:rPr>
        <w:t>e.g., male oriented treatment goals and metaphors)</w:t>
      </w:r>
      <w:r w:rsidR="00D00C13">
        <w:rPr>
          <w:color w:val="0E101A"/>
        </w:rPr>
        <w:t xml:space="preserve">. </w:t>
      </w:r>
    </w:p>
    <w:p w14:paraId="44FB67BB" w14:textId="1E0A88EB" w:rsidR="00165754" w:rsidRDefault="008B41E2" w:rsidP="00CF1454">
      <w:pPr>
        <w:pStyle w:val="NormalWeb"/>
        <w:spacing w:before="0" w:beforeAutospacing="0" w:after="0" w:afterAutospacing="0" w:line="480" w:lineRule="auto"/>
        <w:ind w:firstLine="720"/>
        <w:contextualSpacing/>
        <w:rPr>
          <w:color w:val="0E101A"/>
        </w:rPr>
      </w:pPr>
      <w:bookmarkStart w:id="26" w:name="OLE_LINK21"/>
      <w:bookmarkStart w:id="27" w:name="OLE_LINK22"/>
      <w:r>
        <w:rPr>
          <w:color w:val="0E101A"/>
        </w:rPr>
        <w:t>Y</w:t>
      </w:r>
      <w:r w:rsidR="006B6B47">
        <w:rPr>
          <w:color w:val="0E101A"/>
        </w:rPr>
        <w:t>ounger age</w:t>
      </w:r>
      <w:r w:rsidR="007840EF">
        <w:rPr>
          <w:color w:val="0E101A"/>
        </w:rPr>
        <w:t xml:space="preserve"> significantly </w:t>
      </w:r>
      <w:r w:rsidR="006B6B47">
        <w:rPr>
          <w:color w:val="0E101A"/>
        </w:rPr>
        <w:t xml:space="preserve">predicted </w:t>
      </w:r>
      <w:r w:rsidR="005D737A">
        <w:rPr>
          <w:color w:val="0E101A"/>
        </w:rPr>
        <w:t>adherence, possibly due to young</w:t>
      </w:r>
      <w:r w:rsidR="00FA05EC">
        <w:rPr>
          <w:color w:val="0E101A"/>
        </w:rPr>
        <w:t>er</w:t>
      </w:r>
      <w:r>
        <w:rPr>
          <w:color w:val="0E101A"/>
        </w:rPr>
        <w:t xml:space="preserve"> g</w:t>
      </w:r>
      <w:r w:rsidR="00E758A2" w:rsidRPr="00E758A2">
        <w:rPr>
          <w:color w:val="0E101A"/>
        </w:rPr>
        <w:t xml:space="preserve">enerations' familiarity with online interfaces </w:t>
      </w:r>
      <w:r w:rsidR="00FA05EC">
        <w:rPr>
          <w:color w:val="0E101A"/>
        </w:rPr>
        <w:t xml:space="preserve">which </w:t>
      </w:r>
      <w:r w:rsidR="00E758A2" w:rsidRPr="00E758A2">
        <w:rPr>
          <w:color w:val="0E101A"/>
        </w:rPr>
        <w:t xml:space="preserve">may </w:t>
      </w:r>
      <w:r w:rsidR="00FA05EC">
        <w:rPr>
          <w:color w:val="0E101A"/>
        </w:rPr>
        <w:t xml:space="preserve">help </w:t>
      </w:r>
      <w:r w:rsidR="00E758A2" w:rsidRPr="00E758A2">
        <w:rPr>
          <w:color w:val="0E101A"/>
        </w:rPr>
        <w:t xml:space="preserve">promote trust and willingness to </w:t>
      </w:r>
      <w:r w:rsidR="00FA05EC">
        <w:rPr>
          <w:color w:val="0E101A"/>
        </w:rPr>
        <w:t>use</w:t>
      </w:r>
      <w:r w:rsidR="00E758A2" w:rsidRPr="00E758A2">
        <w:rPr>
          <w:color w:val="0E101A"/>
        </w:rPr>
        <w:t xml:space="preserve"> </w:t>
      </w:r>
      <w:r w:rsidR="009A71ED">
        <w:rPr>
          <w:color w:val="0E101A"/>
        </w:rPr>
        <w:t>DMHI</w:t>
      </w:r>
      <w:r w:rsidR="008401BC">
        <w:rPr>
          <w:color w:val="0E101A"/>
        </w:rPr>
        <w:t>s</w:t>
      </w:r>
      <w:r w:rsidR="009A71ED">
        <w:rPr>
          <w:color w:val="0E101A"/>
        </w:rPr>
        <w:t>.</w:t>
      </w:r>
      <w:r w:rsidR="00283617">
        <w:rPr>
          <w:color w:val="0E101A"/>
        </w:rPr>
        <w:t xml:space="preserve"> </w:t>
      </w:r>
      <w:r w:rsidR="00E758A2">
        <w:rPr>
          <w:color w:val="0E101A"/>
        </w:rPr>
        <w:t>A</w:t>
      </w:r>
      <w:r w:rsidR="00147F6F">
        <w:rPr>
          <w:color w:val="0E101A"/>
        </w:rPr>
        <w:t xml:space="preserve"> step towards improving </w:t>
      </w:r>
      <w:r w:rsidR="00BF0A9A">
        <w:rPr>
          <w:color w:val="0E101A"/>
        </w:rPr>
        <w:t xml:space="preserve">adherence </w:t>
      </w:r>
      <w:r w:rsidR="00CF1454">
        <w:rPr>
          <w:color w:val="0E101A"/>
        </w:rPr>
        <w:t>across age groups</w:t>
      </w:r>
      <w:r w:rsidR="00E758A2">
        <w:rPr>
          <w:color w:val="0E101A"/>
        </w:rPr>
        <w:t xml:space="preserve"> might</w:t>
      </w:r>
      <w:r w:rsidR="00147F6F">
        <w:rPr>
          <w:color w:val="0E101A"/>
        </w:rPr>
        <w:t xml:space="preserve"> </w:t>
      </w:r>
      <w:r w:rsidR="00E758A2">
        <w:rPr>
          <w:color w:val="0E101A"/>
        </w:rPr>
        <w:t>involve</w:t>
      </w:r>
      <w:r w:rsidR="00147F6F">
        <w:rPr>
          <w:color w:val="0E101A"/>
        </w:rPr>
        <w:t xml:space="preserve"> </w:t>
      </w:r>
      <w:r w:rsidR="00894180">
        <w:rPr>
          <w:color w:val="0E101A"/>
        </w:rPr>
        <w:t>assessing</w:t>
      </w:r>
      <w:r w:rsidR="00147F6F">
        <w:rPr>
          <w:color w:val="0E101A"/>
        </w:rPr>
        <w:t xml:space="preserve"> </w:t>
      </w:r>
      <w:r w:rsidR="00B153EB">
        <w:rPr>
          <w:color w:val="0E101A"/>
        </w:rPr>
        <w:t>the level</w:t>
      </w:r>
      <w:r w:rsidR="00147F6F">
        <w:rPr>
          <w:color w:val="0E101A"/>
        </w:rPr>
        <w:t xml:space="preserve"> assistance</w:t>
      </w:r>
      <w:r w:rsidR="00B153EB">
        <w:rPr>
          <w:color w:val="0E101A"/>
        </w:rPr>
        <w:t xml:space="preserve"> users require</w:t>
      </w:r>
      <w:r w:rsidR="00B22EB1">
        <w:rPr>
          <w:color w:val="0E101A"/>
        </w:rPr>
        <w:t>, then</w:t>
      </w:r>
      <w:r w:rsidR="00147F6F">
        <w:rPr>
          <w:color w:val="0E101A"/>
        </w:rPr>
        <w:t xml:space="preserve"> tailor</w:t>
      </w:r>
      <w:r w:rsidR="00B22EB1">
        <w:rPr>
          <w:color w:val="0E101A"/>
        </w:rPr>
        <w:t>ing</w:t>
      </w:r>
      <w:r w:rsidR="00147F6F">
        <w:rPr>
          <w:color w:val="0E101A"/>
        </w:rPr>
        <w:t xml:space="preserve"> </w:t>
      </w:r>
      <w:r w:rsidR="00B22EB1">
        <w:rPr>
          <w:color w:val="0E101A"/>
        </w:rPr>
        <w:t>support</w:t>
      </w:r>
      <w:r w:rsidR="00147F6F">
        <w:rPr>
          <w:color w:val="0E101A"/>
        </w:rPr>
        <w:t xml:space="preserve"> features to meet </w:t>
      </w:r>
      <w:r w:rsidR="00B153EB">
        <w:rPr>
          <w:color w:val="0E101A"/>
        </w:rPr>
        <w:t>users’ unique</w:t>
      </w:r>
      <w:r w:rsidR="00E758A2">
        <w:rPr>
          <w:color w:val="0E101A"/>
        </w:rPr>
        <w:t xml:space="preserve"> needs</w:t>
      </w:r>
      <w:r w:rsidR="008401BC">
        <w:rPr>
          <w:color w:val="0E101A"/>
        </w:rPr>
        <w:t xml:space="preserve"> </w:t>
      </w:r>
      <w:r w:rsidR="008401BC" w:rsidRPr="00E758A2">
        <w:rPr>
          <w:color w:val="0E101A"/>
        </w:rPr>
        <w:t>(</w:t>
      </w:r>
      <w:proofErr w:type="spellStart"/>
      <w:r w:rsidR="008401BC" w:rsidRPr="00E758A2">
        <w:rPr>
          <w:color w:val="0E101A"/>
        </w:rPr>
        <w:t>Pyvell</w:t>
      </w:r>
      <w:proofErr w:type="spellEnd"/>
      <w:r w:rsidR="008401BC" w:rsidRPr="00E758A2">
        <w:rPr>
          <w:color w:val="0E101A"/>
        </w:rPr>
        <w:t xml:space="preserve"> et al., 2020).</w:t>
      </w:r>
      <w:r w:rsidR="00B63734">
        <w:rPr>
          <w:color w:val="0E101A"/>
        </w:rPr>
        <w:t xml:space="preserve"> </w:t>
      </w:r>
    </w:p>
    <w:p w14:paraId="538D2942" w14:textId="6D6ECC19" w:rsidR="00B63734" w:rsidRDefault="00FB0BF5" w:rsidP="00165754">
      <w:pPr>
        <w:pStyle w:val="NormalWeb"/>
        <w:spacing w:before="0" w:beforeAutospacing="0" w:after="0" w:afterAutospacing="0" w:line="480" w:lineRule="auto"/>
        <w:ind w:firstLine="720"/>
        <w:contextualSpacing/>
        <w:rPr>
          <w:color w:val="0E101A"/>
        </w:rPr>
      </w:pPr>
      <w:r w:rsidRPr="00FB0BF5">
        <w:rPr>
          <w:color w:val="0E101A"/>
        </w:rPr>
        <w:t>Surprisingly, users without prior treatment completed more modules than those with treatment history, despite the expectation that individuals without prior mental health treatment might face ambivalence or struggle to learn new skills without therapist guidance.</w:t>
      </w:r>
      <w:r w:rsidR="00BE571D">
        <w:rPr>
          <w:color w:val="0E101A"/>
        </w:rPr>
        <w:t xml:space="preserve"> </w:t>
      </w:r>
      <w:r w:rsidR="0094607A" w:rsidRPr="0094607A">
        <w:rPr>
          <w:color w:val="0E101A"/>
        </w:rPr>
        <w:br/>
        <w:t xml:space="preserve">This finding is encouraging, </w:t>
      </w:r>
      <w:r w:rsidR="00980BE4">
        <w:rPr>
          <w:color w:val="0E101A"/>
        </w:rPr>
        <w:t>suggesting</w:t>
      </w:r>
      <w:r w:rsidR="0094607A" w:rsidRPr="0094607A">
        <w:rPr>
          <w:color w:val="0E101A"/>
        </w:rPr>
        <w:t xml:space="preserve"> </w:t>
      </w:r>
      <w:r w:rsidR="00980BE4">
        <w:rPr>
          <w:color w:val="0E101A"/>
        </w:rPr>
        <w:t xml:space="preserve">possibly </w:t>
      </w:r>
      <w:r w:rsidR="0094607A" w:rsidRPr="0094607A">
        <w:rPr>
          <w:color w:val="0E101A"/>
        </w:rPr>
        <w:t xml:space="preserve">strong motivation in </w:t>
      </w:r>
      <w:r w:rsidR="00EC7FEB">
        <w:rPr>
          <w:color w:val="0E101A"/>
        </w:rPr>
        <w:t xml:space="preserve">those </w:t>
      </w:r>
      <w:r w:rsidR="0094607A" w:rsidRPr="0094607A">
        <w:rPr>
          <w:color w:val="0E101A"/>
        </w:rPr>
        <w:t xml:space="preserve">new </w:t>
      </w:r>
      <w:r w:rsidR="00EC7FEB">
        <w:rPr>
          <w:color w:val="0E101A"/>
        </w:rPr>
        <w:t xml:space="preserve">to </w:t>
      </w:r>
      <w:r w:rsidR="0094607A" w:rsidRPr="0094607A">
        <w:rPr>
          <w:color w:val="0E101A"/>
        </w:rPr>
        <w:t>mental health service</w:t>
      </w:r>
      <w:r w:rsidR="00EC7FEB">
        <w:rPr>
          <w:color w:val="0E101A"/>
        </w:rPr>
        <w:t xml:space="preserve">s </w:t>
      </w:r>
      <w:r w:rsidR="0094607A" w:rsidRPr="0094607A">
        <w:rPr>
          <w:color w:val="0E101A"/>
        </w:rPr>
        <w:t>(</w:t>
      </w:r>
      <w:proofErr w:type="spellStart"/>
      <w:r w:rsidR="0094607A" w:rsidRPr="0094607A">
        <w:rPr>
          <w:color w:val="0E101A"/>
        </w:rPr>
        <w:t>Mojtabai</w:t>
      </w:r>
      <w:proofErr w:type="spellEnd"/>
      <w:r w:rsidR="0094607A" w:rsidRPr="0094607A">
        <w:rPr>
          <w:color w:val="0E101A"/>
        </w:rPr>
        <w:t xml:space="preserve"> et al., 2011).</w:t>
      </w:r>
      <w:r w:rsidR="0060169A">
        <w:rPr>
          <w:color w:val="0E101A"/>
        </w:rPr>
        <w:t xml:space="preserve"> </w:t>
      </w:r>
      <w:r w:rsidR="000F53D4">
        <w:rPr>
          <w:color w:val="0E101A"/>
        </w:rPr>
        <w:t>As a clinical application,</w:t>
      </w:r>
      <w:r w:rsidR="00980967">
        <w:rPr>
          <w:color w:val="0E101A"/>
        </w:rPr>
        <w:t xml:space="preserve"> </w:t>
      </w:r>
      <w:r w:rsidR="0060169A">
        <w:rPr>
          <w:color w:val="0E101A"/>
        </w:rPr>
        <w:t xml:space="preserve">self-guided DMHIs </w:t>
      </w:r>
      <w:r w:rsidR="00BD3B14">
        <w:rPr>
          <w:color w:val="0E101A"/>
        </w:rPr>
        <w:t xml:space="preserve">could function as part of a stepped-care model in which symptoms are </w:t>
      </w:r>
      <w:r w:rsidR="00AC1627">
        <w:rPr>
          <w:color w:val="0E101A"/>
        </w:rPr>
        <w:t xml:space="preserve">either </w:t>
      </w:r>
      <w:r w:rsidR="00BD3B14">
        <w:rPr>
          <w:color w:val="0E101A"/>
        </w:rPr>
        <w:t>improved through a low intensity treatment</w:t>
      </w:r>
      <w:r w:rsidR="00AC1627">
        <w:rPr>
          <w:color w:val="0E101A"/>
        </w:rPr>
        <w:t xml:space="preserve"> </w:t>
      </w:r>
      <w:r w:rsidR="009F2124">
        <w:rPr>
          <w:color w:val="0E101A"/>
        </w:rPr>
        <w:t>or a mo</w:t>
      </w:r>
      <w:r w:rsidR="002B089F">
        <w:rPr>
          <w:color w:val="0E101A"/>
        </w:rPr>
        <w:t>re</w:t>
      </w:r>
      <w:r w:rsidR="009F2124">
        <w:rPr>
          <w:color w:val="0E101A"/>
        </w:rPr>
        <w:t xml:space="preserve"> </w:t>
      </w:r>
      <w:r w:rsidR="00BD3B14">
        <w:rPr>
          <w:color w:val="0E101A"/>
        </w:rPr>
        <w:t>intensive treatment</w:t>
      </w:r>
      <w:r w:rsidR="00AC1627">
        <w:rPr>
          <w:color w:val="0E101A"/>
        </w:rPr>
        <w:t xml:space="preserve"> </w:t>
      </w:r>
      <w:r w:rsidR="009F2124">
        <w:rPr>
          <w:color w:val="0E101A"/>
        </w:rPr>
        <w:t xml:space="preserve">depending on </w:t>
      </w:r>
      <w:r w:rsidR="004A7D2D">
        <w:rPr>
          <w:color w:val="0E101A"/>
        </w:rPr>
        <w:t>client</w:t>
      </w:r>
      <w:r w:rsidR="002B089F">
        <w:rPr>
          <w:color w:val="0E101A"/>
        </w:rPr>
        <w:t xml:space="preserve"> </w:t>
      </w:r>
      <w:r w:rsidR="009F2124">
        <w:rPr>
          <w:color w:val="0E101A"/>
        </w:rPr>
        <w:t>needs</w:t>
      </w:r>
      <w:r w:rsidR="002B089F">
        <w:rPr>
          <w:color w:val="0E101A"/>
        </w:rPr>
        <w:t xml:space="preserve"> </w:t>
      </w:r>
      <w:r w:rsidR="00BD3B14">
        <w:rPr>
          <w:color w:val="0E101A"/>
        </w:rPr>
        <w:t>(van Straten, 2015).</w:t>
      </w:r>
    </w:p>
    <w:p w14:paraId="37635270" w14:textId="4171085C" w:rsidR="00D4593F" w:rsidRDefault="005F4684" w:rsidP="007B6930">
      <w:pPr>
        <w:pStyle w:val="NormalWeb"/>
        <w:spacing w:before="0" w:beforeAutospacing="0" w:after="0" w:afterAutospacing="0" w:line="480" w:lineRule="auto"/>
        <w:ind w:firstLine="720"/>
        <w:contextualSpacing/>
        <w:rPr>
          <w:color w:val="0E101A"/>
        </w:rPr>
      </w:pPr>
      <w:bookmarkStart w:id="28" w:name="OLE_LINK31"/>
      <w:bookmarkStart w:id="29" w:name="OLE_LINK32"/>
      <w:bookmarkStart w:id="30" w:name="OLE_LINK35"/>
      <w:r>
        <w:rPr>
          <w:color w:val="0E101A"/>
        </w:rPr>
        <w:t xml:space="preserve">ACT Guide appears to be reaching users with significant depression and anxiety symptoms. However, greater depression symptoms predicted lower </w:t>
      </w:r>
      <w:r w:rsidR="001475E7">
        <w:rPr>
          <w:color w:val="0E101A"/>
        </w:rPr>
        <w:t>adherence</w:t>
      </w:r>
      <w:r w:rsidR="00DE1759">
        <w:rPr>
          <w:color w:val="0E101A"/>
        </w:rPr>
        <w:t xml:space="preserve">. </w:t>
      </w:r>
      <w:r w:rsidR="00DE1759" w:rsidRPr="00A64AF4">
        <w:rPr>
          <w:color w:val="0E101A"/>
        </w:rPr>
        <w:t xml:space="preserve">With </w:t>
      </w:r>
      <w:r w:rsidR="00BF2A64">
        <w:rPr>
          <w:color w:val="0E101A"/>
        </w:rPr>
        <w:t xml:space="preserve">ACT Guide </w:t>
      </w:r>
      <w:r w:rsidR="007A6DB6">
        <w:rPr>
          <w:color w:val="0E101A"/>
        </w:rPr>
        <w:t>being entirely</w:t>
      </w:r>
      <w:r w:rsidR="00DE1759" w:rsidRPr="00A64AF4">
        <w:rPr>
          <w:color w:val="0E101A"/>
        </w:rPr>
        <w:t xml:space="preserve"> unguided</w:t>
      </w:r>
      <w:r w:rsidR="007A6DB6">
        <w:rPr>
          <w:color w:val="0E101A"/>
        </w:rPr>
        <w:t>,</w:t>
      </w:r>
      <w:r w:rsidR="00DE1759" w:rsidRPr="00A64AF4">
        <w:rPr>
          <w:color w:val="0E101A"/>
        </w:rPr>
        <w:t xml:space="preserve"> </w:t>
      </w:r>
      <w:r w:rsidR="00AD479B" w:rsidRPr="00A64AF4">
        <w:rPr>
          <w:color w:val="0E101A"/>
        </w:rPr>
        <w:t>it is</w:t>
      </w:r>
      <w:r w:rsidR="007A6DB6">
        <w:rPr>
          <w:color w:val="0E101A"/>
        </w:rPr>
        <w:t xml:space="preserve"> quite possible</w:t>
      </w:r>
      <w:r w:rsidR="00AD479B" w:rsidRPr="00A64AF4">
        <w:rPr>
          <w:color w:val="0E101A"/>
        </w:rPr>
        <w:t xml:space="preserve"> </w:t>
      </w:r>
      <w:r w:rsidR="00FB2C49" w:rsidRPr="00A64AF4">
        <w:rPr>
          <w:color w:val="0E101A"/>
        </w:rPr>
        <w:t>depression interfered with</w:t>
      </w:r>
      <w:r w:rsidR="00A2492B">
        <w:rPr>
          <w:color w:val="0E101A"/>
        </w:rPr>
        <w:t xml:space="preserve"> </w:t>
      </w:r>
      <w:r w:rsidR="00101FE7">
        <w:rPr>
          <w:color w:val="0E101A"/>
        </w:rPr>
        <w:t xml:space="preserve">an </w:t>
      </w:r>
      <w:r w:rsidR="00FB2C49" w:rsidRPr="00A64AF4">
        <w:rPr>
          <w:color w:val="0E101A"/>
        </w:rPr>
        <w:t xml:space="preserve">ability to </w:t>
      </w:r>
      <w:r>
        <w:rPr>
          <w:color w:val="0E101A"/>
        </w:rPr>
        <w:t>adhere to</w:t>
      </w:r>
      <w:r w:rsidR="00FB2C49" w:rsidRPr="00A64AF4">
        <w:rPr>
          <w:color w:val="0E101A"/>
        </w:rPr>
        <w:t xml:space="preserve"> the </w:t>
      </w:r>
      <w:r w:rsidR="00FB2C49" w:rsidRPr="00A64AF4">
        <w:rPr>
          <w:color w:val="0E101A"/>
        </w:rPr>
        <w:lastRenderedPageBreak/>
        <w:t>program</w:t>
      </w:r>
      <w:r w:rsidR="00A64AF4" w:rsidRPr="00A64AF4">
        <w:rPr>
          <w:color w:val="0E101A"/>
        </w:rPr>
        <w:t>.</w:t>
      </w:r>
      <w:r w:rsidR="00DC30EC">
        <w:rPr>
          <w:color w:val="0E101A"/>
        </w:rPr>
        <w:t xml:space="preserve"> </w:t>
      </w:r>
      <w:r>
        <w:rPr>
          <w:color w:val="000000" w:themeColor="text1"/>
          <w:shd w:val="clear" w:color="auto" w:fill="FFFFFF"/>
        </w:rPr>
        <w:t xml:space="preserve">Thus, individuals with elevated depression may ideally benefit from a higher level of care than </w:t>
      </w:r>
      <w:r w:rsidR="00E97CE9">
        <w:rPr>
          <w:color w:val="000000" w:themeColor="text1"/>
          <w:shd w:val="clear" w:color="auto" w:fill="FFFFFF"/>
        </w:rPr>
        <w:t xml:space="preserve">self-guided </w:t>
      </w:r>
      <w:r w:rsidR="00E97CE9">
        <w:rPr>
          <w:color w:val="0E101A"/>
        </w:rPr>
        <w:t>DMHIs</w:t>
      </w:r>
      <w:r w:rsidR="00B04030">
        <w:rPr>
          <w:color w:val="000000" w:themeColor="text1"/>
          <w:shd w:val="clear" w:color="auto" w:fill="FFFFFF"/>
        </w:rPr>
        <w:t>,</w:t>
      </w:r>
      <w:r>
        <w:rPr>
          <w:color w:val="000000" w:themeColor="text1"/>
          <w:shd w:val="clear" w:color="auto" w:fill="FFFFFF"/>
        </w:rPr>
        <w:t xml:space="preserve"> </w:t>
      </w:r>
      <w:r w:rsidR="00B04030">
        <w:rPr>
          <w:color w:val="000000" w:themeColor="text1"/>
          <w:shd w:val="clear" w:color="auto" w:fill="FFFFFF"/>
        </w:rPr>
        <w:t xml:space="preserve">such as </w:t>
      </w:r>
      <w:proofErr w:type="gramStart"/>
      <w:r>
        <w:rPr>
          <w:color w:val="000000" w:themeColor="text1"/>
          <w:shd w:val="clear" w:color="auto" w:fill="FFFFFF"/>
        </w:rPr>
        <w:t>therapist-assisted</w:t>
      </w:r>
      <w:proofErr w:type="gramEnd"/>
      <w:r w:rsidR="00B04030">
        <w:rPr>
          <w:color w:val="000000" w:themeColor="text1"/>
          <w:shd w:val="clear" w:color="auto" w:fill="FFFFFF"/>
        </w:rPr>
        <w:t xml:space="preserve"> </w:t>
      </w:r>
      <w:r w:rsidR="009C117D">
        <w:rPr>
          <w:color w:val="000000" w:themeColor="text1"/>
          <w:shd w:val="clear" w:color="auto" w:fill="FFFFFF"/>
        </w:rPr>
        <w:t>DMHIs</w:t>
      </w:r>
      <w:r w:rsidR="00B04030">
        <w:rPr>
          <w:color w:val="000000" w:themeColor="text1"/>
          <w:shd w:val="clear" w:color="auto" w:fill="FFFFFF"/>
        </w:rPr>
        <w:t xml:space="preserve">. </w:t>
      </w:r>
      <w:r>
        <w:rPr>
          <w:color w:val="000000" w:themeColor="text1"/>
          <w:shd w:val="clear" w:color="auto" w:fill="FFFFFF"/>
        </w:rPr>
        <w:t>Alternatively</w:t>
      </w:r>
      <w:r w:rsidR="00AC1627">
        <w:rPr>
          <w:color w:val="0E101A"/>
        </w:rPr>
        <w:t xml:space="preserve">, </w:t>
      </w:r>
      <w:r w:rsidR="009C117D">
        <w:rPr>
          <w:color w:val="0E101A"/>
        </w:rPr>
        <w:t xml:space="preserve">self-guided </w:t>
      </w:r>
      <w:r w:rsidR="009C117D">
        <w:rPr>
          <w:color w:val="000000" w:themeColor="text1"/>
          <w:shd w:val="clear" w:color="auto" w:fill="FFFFFF"/>
        </w:rPr>
        <w:t xml:space="preserve">DMHIs </w:t>
      </w:r>
      <w:r w:rsidR="00AC1627">
        <w:rPr>
          <w:color w:val="0E101A"/>
        </w:rPr>
        <w:t xml:space="preserve">could be tailored </w:t>
      </w:r>
      <w:r>
        <w:rPr>
          <w:color w:val="0E101A"/>
        </w:rPr>
        <w:t>for users with elevated depression, such as</w:t>
      </w:r>
      <w:r w:rsidR="001E459F">
        <w:rPr>
          <w:color w:val="0E101A"/>
        </w:rPr>
        <w:t xml:space="preserve"> </w:t>
      </w:r>
      <w:r>
        <w:rPr>
          <w:color w:val="0E101A"/>
        </w:rPr>
        <w:t>incorporating</w:t>
      </w:r>
      <w:r w:rsidR="00B10F73" w:rsidRPr="00B10F73">
        <w:rPr>
          <w:color w:val="0E101A"/>
        </w:rPr>
        <w:t xml:space="preserve"> more behavior activation techniques</w:t>
      </w:r>
      <w:r>
        <w:rPr>
          <w:color w:val="0E101A"/>
        </w:rPr>
        <w:t xml:space="preserve"> early</w:t>
      </w:r>
      <w:r w:rsidR="00B10F73" w:rsidRPr="00B10F73">
        <w:rPr>
          <w:color w:val="0E101A"/>
        </w:rPr>
        <w:t xml:space="preserve"> (e.g., Krämer et al., 2022).</w:t>
      </w:r>
      <w:r w:rsidR="00D4593F">
        <w:rPr>
          <w:color w:val="0E101A"/>
        </w:rPr>
        <w:t xml:space="preserve"> </w:t>
      </w:r>
      <w:r w:rsidR="00101FE7">
        <w:rPr>
          <w:color w:val="0E101A"/>
        </w:rPr>
        <w:t>Nevertheless</w:t>
      </w:r>
      <w:r w:rsidR="00D4593F">
        <w:rPr>
          <w:color w:val="0E101A"/>
        </w:rPr>
        <w:t>, participants with elevated levels of depression may still benefit from unassisted DMHI use as has been documented in trial outcomes (</w:t>
      </w:r>
      <w:r w:rsidR="00101FE7">
        <w:t>Moshe et al., 2021). Moreover,</w:t>
      </w:r>
      <w:r w:rsidR="00B10F73" w:rsidRPr="00B10F73">
        <w:rPr>
          <w:color w:val="0E101A"/>
        </w:rPr>
        <w:t xml:space="preserve"> </w:t>
      </w:r>
      <w:bookmarkStart w:id="31" w:name="OLE_LINK25"/>
      <w:bookmarkStart w:id="32" w:name="OLE_LINK26"/>
      <w:r w:rsidR="00101FE7">
        <w:rPr>
          <w:color w:val="0E101A"/>
        </w:rPr>
        <w:t>a</w:t>
      </w:r>
      <w:r w:rsidR="00A2492B" w:rsidRPr="00A2492B">
        <w:rPr>
          <w:color w:val="0E101A"/>
        </w:rPr>
        <w:t xml:space="preserve">lthough our </w:t>
      </w:r>
      <w:r w:rsidR="00A2492B">
        <w:rPr>
          <w:color w:val="0E101A"/>
        </w:rPr>
        <w:t xml:space="preserve">findings </w:t>
      </w:r>
      <w:r w:rsidR="00A2492B" w:rsidRPr="00A2492B">
        <w:rPr>
          <w:color w:val="0E101A"/>
        </w:rPr>
        <w:t xml:space="preserve">align with multiple studies where greater depression predicts lower </w:t>
      </w:r>
      <w:r w:rsidR="00A2492B">
        <w:rPr>
          <w:color w:val="0E101A"/>
        </w:rPr>
        <w:t xml:space="preserve">program </w:t>
      </w:r>
      <w:r w:rsidR="00A2492B" w:rsidRPr="00A2492B">
        <w:rPr>
          <w:color w:val="0E101A"/>
        </w:rPr>
        <w:t>adherence (e.g., Morgan et al., 2017</w:t>
      </w:r>
      <w:r w:rsidR="00D4593F">
        <w:rPr>
          <w:color w:val="0E101A"/>
        </w:rPr>
        <w:t>), this relationship has not been consistently found in other studies. For instance,</w:t>
      </w:r>
      <w:r w:rsidR="00A2492B">
        <w:rPr>
          <w:color w:val="0E101A"/>
        </w:rPr>
        <w:t xml:space="preserve"> Fuhr et al., </w:t>
      </w:r>
      <w:r w:rsidR="00D4593F">
        <w:rPr>
          <w:color w:val="0E101A"/>
        </w:rPr>
        <w:t>(</w:t>
      </w:r>
      <w:r w:rsidR="00A2492B">
        <w:rPr>
          <w:color w:val="0E101A"/>
        </w:rPr>
        <w:t>2017</w:t>
      </w:r>
      <w:r w:rsidR="00D4593F">
        <w:rPr>
          <w:color w:val="0E101A"/>
        </w:rPr>
        <w:t>)</w:t>
      </w:r>
      <w:r w:rsidR="00A2492B">
        <w:rPr>
          <w:color w:val="0E101A"/>
        </w:rPr>
        <w:t xml:space="preserve"> </w:t>
      </w:r>
      <w:r w:rsidR="00D4593F">
        <w:rPr>
          <w:color w:val="0E101A"/>
        </w:rPr>
        <w:t>found greater depression predicted increased program use. Still, a</w:t>
      </w:r>
      <w:r w:rsidR="00D4593F" w:rsidRPr="00D4593F">
        <w:rPr>
          <w:color w:val="0E101A"/>
        </w:rPr>
        <w:t>cknowledging that the conditions of clinical trials may not mirror the complexities of real-world use, it is vital to assess the robustness of these findings in naturalistic settings moving forward</w:t>
      </w:r>
      <w:r w:rsidR="00101FE7">
        <w:rPr>
          <w:color w:val="0E101A"/>
        </w:rPr>
        <w:t xml:space="preserve"> to optimally support public users with elevated depression.</w:t>
      </w:r>
    </w:p>
    <w:bookmarkEnd w:id="28"/>
    <w:bookmarkEnd w:id="29"/>
    <w:bookmarkEnd w:id="30"/>
    <w:bookmarkEnd w:id="31"/>
    <w:bookmarkEnd w:id="32"/>
    <w:p w14:paraId="34CF95BD" w14:textId="019B578E" w:rsidR="00990494" w:rsidRDefault="005F4684" w:rsidP="00D70E98">
      <w:pPr>
        <w:pStyle w:val="NormalWeb"/>
        <w:spacing w:after="0" w:line="480" w:lineRule="auto"/>
        <w:ind w:firstLine="720"/>
        <w:contextualSpacing/>
        <w:rPr>
          <w:color w:val="212121"/>
          <w:shd w:val="clear" w:color="auto" w:fill="FFFFFF"/>
        </w:rPr>
      </w:pPr>
      <w:r>
        <w:rPr>
          <w:color w:val="212121"/>
          <w:shd w:val="clear" w:color="auto" w:fill="FFFFFF"/>
        </w:rPr>
        <w:t xml:space="preserve">The option to receive email reminders was added to ACT Guide in an attempt to increase </w:t>
      </w:r>
      <w:r w:rsidR="005C680E">
        <w:rPr>
          <w:color w:val="212121"/>
          <w:shd w:val="clear" w:color="auto" w:fill="FFFFFF"/>
        </w:rPr>
        <w:t>program use</w:t>
      </w:r>
      <w:r w:rsidR="00B10F73" w:rsidRPr="00B10F73">
        <w:rPr>
          <w:color w:val="212121"/>
          <w:shd w:val="clear" w:color="auto" w:fill="FFFFFF"/>
        </w:rPr>
        <w:t xml:space="preserve">. Surprisingly, those who </w:t>
      </w:r>
      <w:r>
        <w:rPr>
          <w:color w:val="212121"/>
          <w:shd w:val="clear" w:color="auto" w:fill="FFFFFF"/>
        </w:rPr>
        <w:t>opted</w:t>
      </w:r>
      <w:r w:rsidR="00B10F73" w:rsidRPr="00B10F73">
        <w:rPr>
          <w:color w:val="212121"/>
          <w:shd w:val="clear" w:color="auto" w:fill="FFFFFF"/>
        </w:rPr>
        <w:t xml:space="preserve"> out of weekly tips demonstrated significantly higher program </w:t>
      </w:r>
      <w:r w:rsidR="00AD6C01">
        <w:rPr>
          <w:color w:val="212121"/>
          <w:shd w:val="clear" w:color="auto" w:fill="FFFFFF"/>
        </w:rPr>
        <w:t>adherence</w:t>
      </w:r>
      <w:r w:rsidR="00B153EB">
        <w:rPr>
          <w:color w:val="212121"/>
          <w:shd w:val="clear" w:color="auto" w:fill="FFFFFF"/>
        </w:rPr>
        <w:t>,</w:t>
      </w:r>
      <w:r w:rsidR="00B10F73" w:rsidRPr="00B10F73">
        <w:rPr>
          <w:color w:val="212121"/>
          <w:shd w:val="clear" w:color="auto" w:fill="FFFFFF"/>
        </w:rPr>
        <w:t xml:space="preserve"> contradict</w:t>
      </w:r>
      <w:r w:rsidR="00B153EB">
        <w:rPr>
          <w:color w:val="212121"/>
          <w:shd w:val="clear" w:color="auto" w:fill="FFFFFF"/>
        </w:rPr>
        <w:t>ing</w:t>
      </w:r>
      <w:r w:rsidR="00B10F73" w:rsidRPr="00B10F73">
        <w:rPr>
          <w:color w:val="212121"/>
          <w:shd w:val="clear" w:color="auto" w:fill="FFFFFF"/>
        </w:rPr>
        <w:t xml:space="preserve"> prior research that suggest</w:t>
      </w:r>
      <w:r w:rsidR="00080EB3">
        <w:rPr>
          <w:color w:val="212121"/>
          <w:shd w:val="clear" w:color="auto" w:fill="FFFFFF"/>
        </w:rPr>
        <w:t xml:space="preserve">s </w:t>
      </w:r>
      <w:r w:rsidR="00B10F73" w:rsidRPr="00B10F73">
        <w:rPr>
          <w:color w:val="212121"/>
          <w:shd w:val="clear" w:color="auto" w:fill="FFFFFF"/>
        </w:rPr>
        <w:t xml:space="preserve">automated reminders </w:t>
      </w:r>
      <w:r w:rsidR="00080EB3">
        <w:rPr>
          <w:color w:val="212121"/>
          <w:shd w:val="clear" w:color="auto" w:fill="FFFFFF"/>
        </w:rPr>
        <w:t xml:space="preserve">help </w:t>
      </w:r>
      <w:r w:rsidR="00B10F73" w:rsidRPr="00B10F73">
        <w:rPr>
          <w:color w:val="212121"/>
          <w:shd w:val="clear" w:color="auto" w:fill="FFFFFF"/>
        </w:rPr>
        <w:t>enhance adherence (</w:t>
      </w:r>
      <w:r w:rsidR="00D66A03">
        <w:rPr>
          <w:color w:val="212121"/>
          <w:shd w:val="clear" w:color="auto" w:fill="FFFFFF"/>
        </w:rPr>
        <w:t xml:space="preserve">e.g., </w:t>
      </w:r>
      <w:bookmarkStart w:id="33" w:name="OLE_LINK45"/>
      <w:bookmarkStart w:id="34" w:name="OLE_LINK46"/>
      <w:proofErr w:type="spellStart"/>
      <w:r w:rsidR="00954807" w:rsidRPr="00954807">
        <w:rPr>
          <w:color w:val="212121"/>
          <w:shd w:val="clear" w:color="auto" w:fill="FFFFFF"/>
        </w:rPr>
        <w:t>Linardon</w:t>
      </w:r>
      <w:proofErr w:type="spellEnd"/>
      <w:r w:rsidR="00954807">
        <w:rPr>
          <w:color w:val="212121"/>
          <w:shd w:val="clear" w:color="auto" w:fill="FFFFFF"/>
        </w:rPr>
        <w:t xml:space="preserve"> &amp; </w:t>
      </w:r>
      <w:r w:rsidR="00954807" w:rsidRPr="00954807">
        <w:rPr>
          <w:color w:val="212121"/>
          <w:shd w:val="clear" w:color="auto" w:fill="FFFFFF"/>
        </w:rPr>
        <w:t>Fuller-</w:t>
      </w:r>
      <w:proofErr w:type="spellStart"/>
      <w:r w:rsidR="00954807" w:rsidRPr="00954807">
        <w:rPr>
          <w:color w:val="212121"/>
          <w:shd w:val="clear" w:color="auto" w:fill="FFFFFF"/>
        </w:rPr>
        <w:t>Tyszkiewicz</w:t>
      </w:r>
      <w:proofErr w:type="spellEnd"/>
      <w:r w:rsidR="00954807" w:rsidRPr="00954807">
        <w:rPr>
          <w:color w:val="212121"/>
          <w:shd w:val="clear" w:color="auto" w:fill="FFFFFF"/>
        </w:rPr>
        <w:t>, 2020</w:t>
      </w:r>
      <w:bookmarkEnd w:id="33"/>
      <w:bookmarkEnd w:id="34"/>
      <w:r w:rsidR="00D66A03">
        <w:rPr>
          <w:color w:val="212121"/>
          <w:shd w:val="clear" w:color="auto" w:fill="FFFFFF"/>
        </w:rPr>
        <w:t xml:space="preserve">; </w:t>
      </w:r>
      <w:r w:rsidR="00D66A03" w:rsidRPr="00B10F73">
        <w:rPr>
          <w:color w:val="212121"/>
          <w:shd w:val="clear" w:color="auto" w:fill="FFFFFF"/>
        </w:rPr>
        <w:t>Zarski et al., 2016</w:t>
      </w:r>
      <w:r w:rsidR="00B10F73" w:rsidRPr="00B10F73">
        <w:rPr>
          <w:color w:val="212121"/>
          <w:shd w:val="clear" w:color="auto" w:fill="FFFFFF"/>
        </w:rPr>
        <w:t>).</w:t>
      </w:r>
      <w:r w:rsidR="00B10F73">
        <w:rPr>
          <w:color w:val="212121"/>
          <w:shd w:val="clear" w:color="auto" w:fill="FFFFFF"/>
        </w:rPr>
        <w:t xml:space="preserve"> </w:t>
      </w:r>
      <w:r w:rsidR="00644BDB">
        <w:rPr>
          <w:color w:val="212121"/>
          <w:shd w:val="clear" w:color="auto" w:fill="FFFFFF"/>
        </w:rPr>
        <w:t xml:space="preserve">Perhaps </w:t>
      </w:r>
      <w:r w:rsidR="00B37DE0">
        <w:rPr>
          <w:color w:val="212121"/>
          <w:shd w:val="clear" w:color="auto" w:fill="FFFFFF"/>
        </w:rPr>
        <w:t>among real-world</w:t>
      </w:r>
      <w:r w:rsidR="00644BDB">
        <w:rPr>
          <w:color w:val="212121"/>
          <w:shd w:val="clear" w:color="auto" w:fill="FFFFFF"/>
        </w:rPr>
        <w:t xml:space="preserve"> </w:t>
      </w:r>
      <w:r w:rsidR="0063058B">
        <w:rPr>
          <w:color w:val="212121"/>
          <w:shd w:val="clear" w:color="auto" w:fill="FFFFFF"/>
        </w:rPr>
        <w:t xml:space="preserve">DMHI </w:t>
      </w:r>
      <w:r w:rsidR="00B37DE0">
        <w:rPr>
          <w:color w:val="212121"/>
          <w:shd w:val="clear" w:color="auto" w:fill="FFFFFF"/>
        </w:rPr>
        <w:t>users</w:t>
      </w:r>
      <w:r w:rsidR="00644BDB">
        <w:rPr>
          <w:color w:val="212121"/>
          <w:shd w:val="clear" w:color="auto" w:fill="FFFFFF"/>
        </w:rPr>
        <w:t>, opting out of reminders</w:t>
      </w:r>
      <w:r w:rsidR="003A3F09">
        <w:rPr>
          <w:color w:val="212121"/>
          <w:shd w:val="clear" w:color="auto" w:fill="FFFFFF"/>
        </w:rPr>
        <w:t xml:space="preserve"> </w:t>
      </w:r>
      <w:r w:rsidR="00996E80">
        <w:rPr>
          <w:color w:val="212121"/>
          <w:shd w:val="clear" w:color="auto" w:fill="FFFFFF"/>
        </w:rPr>
        <w:t xml:space="preserve">may reflect self-selection in which a subset of individuals felt </w:t>
      </w:r>
      <w:r w:rsidR="00B10F73" w:rsidRPr="00B10F73">
        <w:rPr>
          <w:color w:val="212121"/>
          <w:shd w:val="clear" w:color="auto" w:fill="FFFFFF"/>
        </w:rPr>
        <w:t>capable of completing the program without external prompts</w:t>
      </w:r>
      <w:r w:rsidR="00996E80">
        <w:rPr>
          <w:color w:val="212121"/>
          <w:shd w:val="clear" w:color="auto" w:fill="FFFFFF"/>
        </w:rPr>
        <w:t xml:space="preserve">, which appears accurate given their higher </w:t>
      </w:r>
      <w:r w:rsidR="00C31603">
        <w:rPr>
          <w:color w:val="212121"/>
          <w:shd w:val="clear" w:color="auto" w:fill="FFFFFF"/>
        </w:rPr>
        <w:t xml:space="preserve">adherence </w:t>
      </w:r>
      <w:r w:rsidR="00996E80">
        <w:rPr>
          <w:color w:val="212121"/>
          <w:shd w:val="clear" w:color="auto" w:fill="FFFFFF"/>
        </w:rPr>
        <w:t>rates</w:t>
      </w:r>
      <w:r w:rsidR="00B10F73" w:rsidRPr="00B10F73">
        <w:rPr>
          <w:color w:val="212121"/>
          <w:shd w:val="clear" w:color="auto" w:fill="FFFFFF"/>
        </w:rPr>
        <w:t xml:space="preserve">. </w:t>
      </w:r>
    </w:p>
    <w:p w14:paraId="16AF32A2" w14:textId="2BB00405" w:rsidR="00B10F73" w:rsidRPr="00B10F73" w:rsidRDefault="00996E80" w:rsidP="00D70E98">
      <w:pPr>
        <w:pStyle w:val="NormalWeb"/>
        <w:spacing w:after="0" w:line="480" w:lineRule="auto"/>
        <w:ind w:firstLine="720"/>
        <w:contextualSpacing/>
        <w:rPr>
          <w:color w:val="212121"/>
          <w:shd w:val="clear" w:color="auto" w:fill="FFFFFF"/>
        </w:rPr>
      </w:pPr>
      <w:r>
        <w:rPr>
          <w:color w:val="212121"/>
          <w:shd w:val="clear" w:color="auto" w:fill="FFFFFF"/>
        </w:rPr>
        <w:t xml:space="preserve">Variability in </w:t>
      </w:r>
      <w:r w:rsidR="00CE6310">
        <w:rPr>
          <w:color w:val="212121"/>
          <w:shd w:val="clear" w:color="auto" w:fill="FFFFFF"/>
        </w:rPr>
        <w:t xml:space="preserve">adherence </w:t>
      </w:r>
      <w:r>
        <w:rPr>
          <w:color w:val="212121"/>
          <w:shd w:val="clear" w:color="auto" w:fill="FFFFFF"/>
        </w:rPr>
        <w:t xml:space="preserve">rates may be due in part to some individuals simply being a better fit for </w:t>
      </w:r>
      <w:r w:rsidR="00CE6310">
        <w:rPr>
          <w:color w:val="0E101A"/>
        </w:rPr>
        <w:t xml:space="preserve">self-guided DMHIs </w:t>
      </w:r>
      <w:r>
        <w:rPr>
          <w:color w:val="212121"/>
          <w:shd w:val="clear" w:color="auto" w:fill="FFFFFF"/>
        </w:rPr>
        <w:t xml:space="preserve">(reflected in an ability to complete and benefit from these programs </w:t>
      </w:r>
      <w:r w:rsidR="009C6AD6">
        <w:rPr>
          <w:color w:val="212121"/>
          <w:shd w:val="clear" w:color="auto" w:fill="FFFFFF"/>
        </w:rPr>
        <w:t>(</w:t>
      </w:r>
      <w:r>
        <w:rPr>
          <w:color w:val="212121"/>
          <w:shd w:val="clear" w:color="auto" w:fill="FFFFFF"/>
        </w:rPr>
        <w:t xml:space="preserve">irrespective </w:t>
      </w:r>
      <w:r w:rsidR="0018219D">
        <w:rPr>
          <w:color w:val="212121"/>
          <w:shd w:val="clear" w:color="auto" w:fill="FFFFFF"/>
        </w:rPr>
        <w:t xml:space="preserve">of </w:t>
      </w:r>
      <w:r w:rsidR="00E8293F">
        <w:rPr>
          <w:color w:val="212121"/>
          <w:shd w:val="clear" w:color="auto" w:fill="FFFFFF"/>
        </w:rPr>
        <w:t>human contact and reminders</w:t>
      </w:r>
      <w:r w:rsidR="009C6AD6">
        <w:rPr>
          <w:color w:val="212121"/>
          <w:shd w:val="clear" w:color="auto" w:fill="FFFFFF"/>
        </w:rPr>
        <w:t>)</w:t>
      </w:r>
      <w:r>
        <w:rPr>
          <w:color w:val="212121"/>
          <w:shd w:val="clear" w:color="auto" w:fill="FFFFFF"/>
        </w:rPr>
        <w:t xml:space="preserve">, while others may not be well-suited (reflected in very low </w:t>
      </w:r>
      <w:r w:rsidR="004C3D31">
        <w:rPr>
          <w:color w:val="212121"/>
          <w:shd w:val="clear" w:color="auto" w:fill="FFFFFF"/>
        </w:rPr>
        <w:t>adherence</w:t>
      </w:r>
      <w:r>
        <w:rPr>
          <w:color w:val="212121"/>
          <w:shd w:val="clear" w:color="auto" w:fill="FFFFFF"/>
        </w:rPr>
        <w:t xml:space="preserve">). More research is needed in identifying individuals </w:t>
      </w:r>
      <w:r w:rsidR="00FA017B">
        <w:rPr>
          <w:color w:val="212121"/>
          <w:shd w:val="clear" w:color="auto" w:fill="FFFFFF"/>
        </w:rPr>
        <w:t xml:space="preserve">for </w:t>
      </w:r>
      <w:r w:rsidR="00D66A03">
        <w:rPr>
          <w:color w:val="212121"/>
          <w:shd w:val="clear" w:color="auto" w:fill="FFFFFF"/>
        </w:rPr>
        <w:t xml:space="preserve">whom </w:t>
      </w:r>
      <w:r w:rsidR="00251405">
        <w:rPr>
          <w:color w:val="0E101A"/>
        </w:rPr>
        <w:lastRenderedPageBreak/>
        <w:t xml:space="preserve">self-guided DMHIs are </w:t>
      </w:r>
      <w:r>
        <w:rPr>
          <w:color w:val="212121"/>
          <w:shd w:val="clear" w:color="auto" w:fill="FFFFFF"/>
        </w:rPr>
        <w:t>well-suited for</w:t>
      </w:r>
      <w:r w:rsidR="001828AF">
        <w:rPr>
          <w:color w:val="212121"/>
          <w:shd w:val="clear" w:color="auto" w:fill="FFFFFF"/>
        </w:rPr>
        <w:t>.</w:t>
      </w:r>
      <w:r>
        <w:rPr>
          <w:color w:val="212121"/>
          <w:shd w:val="clear" w:color="auto" w:fill="FFFFFF"/>
        </w:rPr>
        <w:t xml:space="preserve"> In contrast, research is also needed </w:t>
      </w:r>
      <w:r w:rsidR="00251405">
        <w:rPr>
          <w:color w:val="212121"/>
          <w:shd w:val="clear" w:color="auto" w:fill="FFFFFF"/>
        </w:rPr>
        <w:t xml:space="preserve">to </w:t>
      </w:r>
      <w:r w:rsidR="00CF5E43">
        <w:rPr>
          <w:color w:val="212121"/>
          <w:shd w:val="clear" w:color="auto" w:fill="FFFFFF"/>
        </w:rPr>
        <w:t xml:space="preserve">identifying </w:t>
      </w:r>
      <w:r>
        <w:rPr>
          <w:color w:val="212121"/>
          <w:shd w:val="clear" w:color="auto" w:fill="FFFFFF"/>
        </w:rPr>
        <w:t xml:space="preserve">individuals </w:t>
      </w:r>
      <w:r w:rsidR="00CF5E43">
        <w:rPr>
          <w:color w:val="212121"/>
          <w:shd w:val="clear" w:color="auto" w:fill="FFFFFF"/>
        </w:rPr>
        <w:t xml:space="preserve">who </w:t>
      </w:r>
      <w:r w:rsidR="003D3B4D">
        <w:rPr>
          <w:color w:val="212121"/>
          <w:shd w:val="clear" w:color="auto" w:fill="FFFFFF"/>
        </w:rPr>
        <w:t xml:space="preserve">DMHIs are well-suited for </w:t>
      </w:r>
      <w:r>
        <w:rPr>
          <w:color w:val="212121"/>
          <w:shd w:val="clear" w:color="auto" w:fill="FFFFFF"/>
        </w:rPr>
        <w:t>with</w:t>
      </w:r>
      <w:r w:rsidR="00CF5E43">
        <w:rPr>
          <w:color w:val="212121"/>
          <w:shd w:val="clear" w:color="auto" w:fill="FFFFFF"/>
        </w:rPr>
        <w:t xml:space="preserve"> relevant</w:t>
      </w:r>
      <w:r>
        <w:rPr>
          <w:color w:val="212121"/>
          <w:shd w:val="clear" w:color="auto" w:fill="FFFFFF"/>
        </w:rPr>
        <w:t xml:space="preserve"> supports versus </w:t>
      </w:r>
      <w:r w:rsidR="00CF5E43">
        <w:rPr>
          <w:color w:val="212121"/>
          <w:shd w:val="clear" w:color="auto" w:fill="FFFFFF"/>
        </w:rPr>
        <w:t xml:space="preserve">who </w:t>
      </w:r>
      <w:r>
        <w:rPr>
          <w:color w:val="212121"/>
          <w:shd w:val="clear" w:color="auto" w:fill="FFFFFF"/>
        </w:rPr>
        <w:t xml:space="preserve">might simply not be well-suited for </w:t>
      </w:r>
      <w:r w:rsidR="003D3B4D">
        <w:rPr>
          <w:color w:val="212121"/>
          <w:shd w:val="clear" w:color="auto" w:fill="FFFFFF"/>
        </w:rPr>
        <w:t>DMHIs</w:t>
      </w:r>
      <w:r w:rsidR="0055679B">
        <w:rPr>
          <w:color w:val="0E101A"/>
        </w:rPr>
        <w:t xml:space="preserve"> </w:t>
      </w:r>
      <w:r>
        <w:rPr>
          <w:color w:val="212121"/>
          <w:shd w:val="clear" w:color="auto" w:fill="FFFFFF"/>
        </w:rPr>
        <w:t xml:space="preserve">and would benefit from </w:t>
      </w:r>
      <w:r w:rsidR="00CF5E43">
        <w:rPr>
          <w:color w:val="212121"/>
          <w:shd w:val="clear" w:color="auto" w:fill="FFFFFF"/>
        </w:rPr>
        <w:t xml:space="preserve">being referred to </w:t>
      </w:r>
      <w:r>
        <w:rPr>
          <w:color w:val="212121"/>
          <w:shd w:val="clear" w:color="auto" w:fill="FFFFFF"/>
        </w:rPr>
        <w:t xml:space="preserve">other services. </w:t>
      </w:r>
    </w:p>
    <w:p w14:paraId="69110861" w14:textId="0D75104E" w:rsidR="005C7E9F" w:rsidRDefault="001957EA" w:rsidP="005C7E9F">
      <w:pPr>
        <w:pStyle w:val="NormalWeb"/>
        <w:spacing w:before="0" w:beforeAutospacing="0" w:after="0" w:afterAutospacing="0" w:line="480" w:lineRule="auto"/>
        <w:ind w:firstLine="720"/>
        <w:contextualSpacing/>
        <w:rPr>
          <w:color w:val="0E101A"/>
        </w:rPr>
      </w:pPr>
      <w:r w:rsidRPr="001957EA">
        <w:rPr>
          <w:color w:val="0E101A"/>
        </w:rPr>
        <w:t>Findings should be interpreted with some considerations.</w:t>
      </w:r>
      <w:r w:rsidR="00E4548C">
        <w:rPr>
          <w:color w:val="0E101A"/>
        </w:rPr>
        <w:t xml:space="preserve"> First</w:t>
      </w:r>
      <w:r w:rsidR="00461F72">
        <w:rPr>
          <w:color w:val="0E101A"/>
        </w:rPr>
        <w:t xml:space="preserve">, poor </w:t>
      </w:r>
      <w:r w:rsidR="00C712A3">
        <w:rPr>
          <w:color w:val="0E101A"/>
        </w:rPr>
        <w:t>adherence to DM</w:t>
      </w:r>
      <w:r w:rsidR="00DD53CB">
        <w:rPr>
          <w:color w:val="0E101A"/>
        </w:rPr>
        <w:t>HI</w:t>
      </w:r>
      <w:r w:rsidR="00461F72">
        <w:rPr>
          <w:color w:val="0E101A"/>
        </w:rPr>
        <w:t xml:space="preserve">s </w:t>
      </w:r>
      <w:r w:rsidR="00487799" w:rsidRPr="00487799">
        <w:rPr>
          <w:color w:val="0E101A"/>
        </w:rPr>
        <w:t>does not necessarily imply that the intervention had no impact.</w:t>
      </w:r>
      <w:r w:rsidR="006C7B67">
        <w:rPr>
          <w:color w:val="0E101A"/>
        </w:rPr>
        <w:t xml:space="preserve"> </w:t>
      </w:r>
      <w:r w:rsidR="002A479D">
        <w:rPr>
          <w:color w:val="0E101A"/>
        </w:rPr>
        <w:t xml:space="preserve">The </w:t>
      </w:r>
      <w:r w:rsidR="002D2E0B">
        <w:rPr>
          <w:color w:val="0E101A"/>
        </w:rPr>
        <w:t>“</w:t>
      </w:r>
      <w:r w:rsidR="00AC1594">
        <w:rPr>
          <w:color w:val="0E101A"/>
        </w:rPr>
        <w:t>good</w:t>
      </w:r>
      <w:r w:rsidR="00027271">
        <w:rPr>
          <w:color w:val="0E101A"/>
        </w:rPr>
        <w:t xml:space="preserve"> enough level effect”</w:t>
      </w:r>
      <w:r w:rsidR="00C669C3">
        <w:rPr>
          <w:color w:val="0E101A"/>
        </w:rPr>
        <w:t xml:space="preserve"> </w:t>
      </w:r>
      <w:r w:rsidR="00027271">
        <w:rPr>
          <w:color w:val="0E101A"/>
        </w:rPr>
        <w:t xml:space="preserve">suggests that </w:t>
      </w:r>
      <w:r w:rsidR="004D06C9">
        <w:rPr>
          <w:color w:val="0E101A"/>
        </w:rPr>
        <w:t xml:space="preserve">participants may terminate therapy early when they begin to feel </w:t>
      </w:r>
      <w:r w:rsidR="00F75F7D">
        <w:rPr>
          <w:color w:val="0E101A"/>
        </w:rPr>
        <w:t>better</w:t>
      </w:r>
      <w:r w:rsidR="00E41305">
        <w:rPr>
          <w:color w:val="0E101A"/>
        </w:rPr>
        <w:t xml:space="preserve"> (Owen et al., 2016)</w:t>
      </w:r>
      <w:r w:rsidR="00F75F7D">
        <w:rPr>
          <w:color w:val="0E101A"/>
        </w:rPr>
        <w:t>,</w:t>
      </w:r>
      <w:r w:rsidR="0093140F">
        <w:rPr>
          <w:color w:val="0E101A"/>
        </w:rPr>
        <w:t xml:space="preserve"> and it is plausible that this </w:t>
      </w:r>
      <w:r w:rsidR="006F3EB2">
        <w:rPr>
          <w:color w:val="0E101A"/>
        </w:rPr>
        <w:t xml:space="preserve">effect </w:t>
      </w:r>
      <w:r w:rsidR="0059511F">
        <w:rPr>
          <w:color w:val="0E101A"/>
        </w:rPr>
        <w:t xml:space="preserve">is </w:t>
      </w:r>
      <w:r w:rsidR="00712362">
        <w:rPr>
          <w:color w:val="0E101A"/>
        </w:rPr>
        <w:t xml:space="preserve">also </w:t>
      </w:r>
      <w:r w:rsidR="0059511F">
        <w:rPr>
          <w:color w:val="0E101A"/>
        </w:rPr>
        <w:t>being observed i</w:t>
      </w:r>
      <w:r w:rsidR="00F75F7D">
        <w:rPr>
          <w:color w:val="0E101A"/>
        </w:rPr>
        <w:t>n DMHI</w:t>
      </w:r>
      <w:r w:rsidR="008151AF">
        <w:rPr>
          <w:color w:val="0E101A"/>
        </w:rPr>
        <w:t>s</w:t>
      </w:r>
      <w:r w:rsidR="00712362">
        <w:rPr>
          <w:color w:val="0E101A"/>
        </w:rPr>
        <w:t>.</w:t>
      </w:r>
      <w:r w:rsidR="008E5747">
        <w:rPr>
          <w:color w:val="0E101A"/>
        </w:rPr>
        <w:t xml:space="preserve"> Indeed, a recent study highlighted sudden gains in DMHIs may be common, with as many as 51% of DMHI trial participants with social anxiety experiencing rapid symptom reduction in the first few weeks of program use (Threw et al.,</w:t>
      </w:r>
      <w:r w:rsidR="00E85329">
        <w:rPr>
          <w:color w:val="0E101A"/>
        </w:rPr>
        <w:t xml:space="preserve"> </w:t>
      </w:r>
      <w:r w:rsidR="008E5747">
        <w:rPr>
          <w:color w:val="0E101A"/>
        </w:rPr>
        <w:t>2023)</w:t>
      </w:r>
      <w:r w:rsidR="00712362">
        <w:rPr>
          <w:color w:val="0E101A"/>
        </w:rPr>
        <w:t xml:space="preserve"> </w:t>
      </w:r>
      <w:bookmarkStart w:id="35" w:name="OLE_LINK19"/>
      <w:bookmarkStart w:id="36" w:name="OLE_LINK20"/>
      <w:r w:rsidR="00E85329">
        <w:rPr>
          <w:color w:val="0E101A"/>
        </w:rPr>
        <w:t>The reality that some users may terminate program use following early symptom reduction calls into question the</w:t>
      </w:r>
      <w:r w:rsidR="00E85329" w:rsidRPr="00E85329">
        <w:rPr>
          <w:color w:val="0E101A"/>
        </w:rPr>
        <w:t xml:space="preserve"> </w:t>
      </w:r>
      <w:r w:rsidR="00E85329">
        <w:rPr>
          <w:color w:val="0E101A"/>
        </w:rPr>
        <w:t>importance</w:t>
      </w:r>
      <w:r w:rsidR="00E85329" w:rsidRPr="00E85329">
        <w:rPr>
          <w:color w:val="0E101A"/>
        </w:rPr>
        <w:t xml:space="preserve"> of sustained </w:t>
      </w:r>
      <w:r w:rsidR="00E85329">
        <w:rPr>
          <w:color w:val="0E101A"/>
        </w:rPr>
        <w:t>program adherence</w:t>
      </w:r>
      <w:bookmarkEnd w:id="35"/>
      <w:bookmarkEnd w:id="36"/>
      <w:r w:rsidR="00E85329">
        <w:rPr>
          <w:color w:val="0E101A"/>
        </w:rPr>
        <w:t xml:space="preserve">. </w:t>
      </w:r>
      <w:r w:rsidR="00B37D6B">
        <w:rPr>
          <w:color w:val="0E101A"/>
        </w:rPr>
        <w:t>A fruitful area of future research will be to assess</w:t>
      </w:r>
      <w:r w:rsidR="002A7A4B">
        <w:rPr>
          <w:color w:val="0E101A"/>
        </w:rPr>
        <w:t xml:space="preserve"> </w:t>
      </w:r>
      <w:r w:rsidR="0056151C">
        <w:rPr>
          <w:color w:val="0E101A"/>
        </w:rPr>
        <w:t xml:space="preserve">this </w:t>
      </w:r>
      <w:r w:rsidR="006816F7">
        <w:rPr>
          <w:color w:val="0E101A"/>
        </w:rPr>
        <w:t>phenomenon</w:t>
      </w:r>
      <w:r w:rsidR="002A7A4B">
        <w:rPr>
          <w:color w:val="0E101A"/>
        </w:rPr>
        <w:t xml:space="preserve"> </w:t>
      </w:r>
      <w:r w:rsidR="00B37D6B">
        <w:rPr>
          <w:color w:val="0E101A"/>
        </w:rPr>
        <w:t>by</w:t>
      </w:r>
      <w:r w:rsidR="00325CF8">
        <w:rPr>
          <w:color w:val="0E101A"/>
        </w:rPr>
        <w:t xml:space="preserve"> track</w:t>
      </w:r>
      <w:r w:rsidR="003E582C">
        <w:rPr>
          <w:color w:val="0E101A"/>
        </w:rPr>
        <w:t>ing</w:t>
      </w:r>
      <w:r w:rsidR="00325CF8">
        <w:rPr>
          <w:color w:val="0E101A"/>
        </w:rPr>
        <w:t xml:space="preserve"> symptom</w:t>
      </w:r>
      <w:r w:rsidR="001C1B8E">
        <w:rPr>
          <w:color w:val="0E101A"/>
        </w:rPr>
        <w:t xml:space="preserve"> change </w:t>
      </w:r>
      <w:r w:rsidR="00325CF8">
        <w:rPr>
          <w:color w:val="0E101A"/>
        </w:rPr>
        <w:t>and reason for discontinuation</w:t>
      </w:r>
      <w:r w:rsidR="003E582C">
        <w:rPr>
          <w:color w:val="0E101A"/>
        </w:rPr>
        <w:t xml:space="preserve"> among</w:t>
      </w:r>
      <w:r w:rsidR="005F44B6">
        <w:rPr>
          <w:color w:val="0E101A"/>
        </w:rPr>
        <w:t xml:space="preserve"> </w:t>
      </w:r>
      <w:r w:rsidR="003E582C">
        <w:rPr>
          <w:color w:val="0E101A"/>
        </w:rPr>
        <w:t>real</w:t>
      </w:r>
      <w:r w:rsidR="005F44B6">
        <w:rPr>
          <w:color w:val="0E101A"/>
        </w:rPr>
        <w:t>-</w:t>
      </w:r>
      <w:r w:rsidR="003E582C">
        <w:rPr>
          <w:color w:val="0E101A"/>
        </w:rPr>
        <w:t>wor</w:t>
      </w:r>
      <w:r w:rsidR="00D037C6">
        <w:rPr>
          <w:color w:val="0E101A"/>
        </w:rPr>
        <w:t>l</w:t>
      </w:r>
      <w:r w:rsidR="003E582C">
        <w:rPr>
          <w:color w:val="0E101A"/>
        </w:rPr>
        <w:t>d DMHI</w:t>
      </w:r>
      <w:r w:rsidR="005F44B6">
        <w:rPr>
          <w:color w:val="0E101A"/>
        </w:rPr>
        <w:t xml:space="preserve"> users</w:t>
      </w:r>
      <w:r w:rsidR="003E582C">
        <w:rPr>
          <w:color w:val="0E101A"/>
        </w:rPr>
        <w:t>.</w:t>
      </w:r>
      <w:r w:rsidR="006519EC">
        <w:rPr>
          <w:color w:val="0E101A"/>
        </w:rPr>
        <w:t xml:space="preserve"> </w:t>
      </w:r>
      <w:r w:rsidR="00AD0959">
        <w:rPr>
          <w:color w:val="0E101A"/>
        </w:rPr>
        <w:t>This includes</w:t>
      </w:r>
      <w:r w:rsidR="005C7E9F">
        <w:rPr>
          <w:color w:val="0E101A"/>
        </w:rPr>
        <w:t xml:space="preserve"> following up with users who signed up for the program</w:t>
      </w:r>
      <w:r w:rsidR="00AD0959">
        <w:rPr>
          <w:color w:val="0E101A"/>
        </w:rPr>
        <w:t xml:space="preserve"> </w:t>
      </w:r>
      <w:r w:rsidR="005C7E9F">
        <w:rPr>
          <w:color w:val="0E101A"/>
        </w:rPr>
        <w:t>but never logged in</w:t>
      </w:r>
      <w:r w:rsidR="00AD0959">
        <w:rPr>
          <w:color w:val="0E101A"/>
        </w:rPr>
        <w:t>. It is currently unclear as to whether these users failed to start the program on account of low motivation, engagement, or interest in the program, or if signing up for the program improved mental health and engagement with other aspects of life (e.g., behavioral activation) and thus they no longer perceived a need or had time for the program.</w:t>
      </w:r>
      <w:r w:rsidR="00774C4B">
        <w:rPr>
          <w:color w:val="0E101A"/>
        </w:rPr>
        <w:t xml:space="preserve"> This study defined adherence as completing all 12 modules, but it is reasonable to assume a fewer number of sessions would be adequate to produce positive benefits and it is unclear if all 12 sessions are needed to gain maximal benefits. Future research is needed to better understand the adequate dosage of adherence for ACT Guide and similar ACT DMHIs as well as experimenting with briefer interventions that more efficiently teach ACT skills across fewer modules.</w:t>
      </w:r>
    </w:p>
    <w:p w14:paraId="78A2A414" w14:textId="2B9BA0B6" w:rsidR="00035098" w:rsidRDefault="00D679B0" w:rsidP="00935353">
      <w:pPr>
        <w:pStyle w:val="NormalWeb"/>
        <w:spacing w:before="0" w:beforeAutospacing="0" w:after="0" w:afterAutospacing="0" w:line="480" w:lineRule="auto"/>
        <w:ind w:firstLine="720"/>
        <w:contextualSpacing/>
        <w:rPr>
          <w:color w:val="0E101A"/>
        </w:rPr>
      </w:pPr>
      <w:r>
        <w:rPr>
          <w:color w:val="0E101A"/>
        </w:rPr>
        <w:lastRenderedPageBreak/>
        <w:t>We</w:t>
      </w:r>
      <w:r w:rsidR="00367EC2">
        <w:rPr>
          <w:color w:val="0E101A"/>
        </w:rPr>
        <w:t xml:space="preserve"> must also consider that sustained </w:t>
      </w:r>
      <w:r w:rsidR="00F313DC">
        <w:rPr>
          <w:color w:val="0E101A"/>
        </w:rPr>
        <w:t xml:space="preserve">adherence does not </w:t>
      </w:r>
      <w:r w:rsidR="00FB4C4F">
        <w:rPr>
          <w:color w:val="0E101A"/>
        </w:rPr>
        <w:t>guarantee</w:t>
      </w:r>
      <w:r w:rsidR="00F313DC">
        <w:rPr>
          <w:color w:val="0E101A"/>
        </w:rPr>
        <w:t xml:space="preserve"> effectiveness</w:t>
      </w:r>
      <w:r w:rsidR="002639DF">
        <w:rPr>
          <w:color w:val="0E101A"/>
        </w:rPr>
        <w:t xml:space="preserve"> (see Gan et al., 2021)</w:t>
      </w:r>
      <w:r w:rsidR="00FD462A">
        <w:rPr>
          <w:color w:val="0E101A"/>
        </w:rPr>
        <w:t xml:space="preserve">, potentially </w:t>
      </w:r>
      <w:r w:rsidR="00700B9F">
        <w:rPr>
          <w:color w:val="0E101A"/>
        </w:rPr>
        <w:t>because</w:t>
      </w:r>
      <w:r w:rsidR="003F7F1D">
        <w:rPr>
          <w:color w:val="0E101A"/>
        </w:rPr>
        <w:t xml:space="preserve"> actual engagement with the DMHI content in a meaningful way</w:t>
      </w:r>
      <w:r w:rsidR="00473CAD">
        <w:rPr>
          <w:color w:val="0E101A"/>
        </w:rPr>
        <w:t xml:space="preserve"> may lead to vastly different treatment effects than</w:t>
      </w:r>
      <w:r w:rsidR="0048593A">
        <w:rPr>
          <w:color w:val="0E101A"/>
        </w:rPr>
        <w:t xml:space="preserve"> simple</w:t>
      </w:r>
      <w:r w:rsidR="00473CAD">
        <w:rPr>
          <w:color w:val="0E101A"/>
        </w:rPr>
        <w:t xml:space="preserve"> </w:t>
      </w:r>
      <w:r w:rsidR="00C7155F">
        <w:rPr>
          <w:color w:val="0E101A"/>
        </w:rPr>
        <w:t xml:space="preserve">adherence </w:t>
      </w:r>
      <w:r w:rsidR="000C3A1B">
        <w:rPr>
          <w:color w:val="0E101A"/>
        </w:rPr>
        <w:t>(</w:t>
      </w:r>
      <w:r w:rsidR="00CA32D7">
        <w:rPr>
          <w:color w:val="0E101A"/>
        </w:rPr>
        <w:t xml:space="preserve">i.e., </w:t>
      </w:r>
      <w:r w:rsidR="00374F87">
        <w:rPr>
          <w:color w:val="0E101A"/>
        </w:rPr>
        <w:t xml:space="preserve">simply completing </w:t>
      </w:r>
      <w:r w:rsidR="00056E93">
        <w:rPr>
          <w:color w:val="0E101A"/>
        </w:rPr>
        <w:t xml:space="preserve">the </w:t>
      </w:r>
      <w:r w:rsidR="00374F87">
        <w:rPr>
          <w:color w:val="0E101A"/>
        </w:rPr>
        <w:t>program modules)</w:t>
      </w:r>
      <w:r w:rsidR="00F74AEB">
        <w:rPr>
          <w:color w:val="0E101A"/>
        </w:rPr>
        <w:t xml:space="preserve">. </w:t>
      </w:r>
      <w:r w:rsidR="00EA2556">
        <w:rPr>
          <w:color w:val="0E101A"/>
        </w:rPr>
        <w:t>Current conceptualizations of DM</w:t>
      </w:r>
      <w:r w:rsidR="004B22B2">
        <w:rPr>
          <w:color w:val="0E101A"/>
        </w:rPr>
        <w:t xml:space="preserve">HI engagement </w:t>
      </w:r>
      <w:r w:rsidR="00C92668">
        <w:rPr>
          <w:color w:val="0E101A"/>
        </w:rPr>
        <w:t xml:space="preserve">suggest that it is a </w:t>
      </w:r>
      <w:r w:rsidR="004B22B2">
        <w:rPr>
          <w:color w:val="0E101A"/>
        </w:rPr>
        <w:t xml:space="preserve">multifaceted </w:t>
      </w:r>
      <w:r w:rsidR="00C92668">
        <w:rPr>
          <w:color w:val="0E101A"/>
        </w:rPr>
        <w:t xml:space="preserve">construct </w:t>
      </w:r>
      <w:r w:rsidR="005C6B81">
        <w:rPr>
          <w:color w:val="0E101A"/>
        </w:rPr>
        <w:t xml:space="preserve">involving </w:t>
      </w:r>
      <w:r w:rsidR="008261A2">
        <w:rPr>
          <w:color w:val="0E101A"/>
        </w:rPr>
        <w:t>not only program adherence but</w:t>
      </w:r>
      <w:r w:rsidR="00530245">
        <w:rPr>
          <w:color w:val="0E101A"/>
        </w:rPr>
        <w:t xml:space="preserve"> frequency and </w:t>
      </w:r>
      <w:r w:rsidR="007E6F73">
        <w:rPr>
          <w:color w:val="0E101A"/>
        </w:rPr>
        <w:t>duration of use</w:t>
      </w:r>
      <w:r w:rsidR="00530245">
        <w:rPr>
          <w:color w:val="0E101A"/>
        </w:rPr>
        <w:t xml:space="preserve"> and user perceptions, </w:t>
      </w:r>
      <w:proofErr w:type="gramStart"/>
      <w:r w:rsidR="00530245">
        <w:rPr>
          <w:color w:val="0E101A"/>
        </w:rPr>
        <w:t>interest</w:t>
      </w:r>
      <w:proofErr w:type="gramEnd"/>
      <w:r w:rsidR="00530245">
        <w:rPr>
          <w:color w:val="0E101A"/>
        </w:rPr>
        <w:t xml:space="preserve"> and attention (Perski et al., 20</w:t>
      </w:r>
      <w:r w:rsidR="00D41D35">
        <w:rPr>
          <w:color w:val="0E101A"/>
        </w:rPr>
        <w:t>17</w:t>
      </w:r>
      <w:r w:rsidR="000710AE">
        <w:rPr>
          <w:color w:val="0E101A"/>
        </w:rPr>
        <w:t xml:space="preserve">). While attention to variables of </w:t>
      </w:r>
      <w:r w:rsidR="00AA6093">
        <w:rPr>
          <w:color w:val="0E101A"/>
        </w:rPr>
        <w:t xml:space="preserve">engagement is outside of the scope of the current study, this work is critically needed to </w:t>
      </w:r>
      <w:r w:rsidR="00345C37">
        <w:rPr>
          <w:color w:val="0E101A"/>
        </w:rPr>
        <w:t>improve the impact of DMHI</w:t>
      </w:r>
      <w:r w:rsidR="00056E93">
        <w:rPr>
          <w:color w:val="0E101A"/>
        </w:rPr>
        <w:t>s</w:t>
      </w:r>
      <w:r w:rsidR="00345C37">
        <w:rPr>
          <w:color w:val="0E101A"/>
        </w:rPr>
        <w:t xml:space="preserve"> </w:t>
      </w:r>
      <w:r w:rsidR="00056E93">
        <w:rPr>
          <w:color w:val="0E101A"/>
        </w:rPr>
        <w:t xml:space="preserve">among real-world users. </w:t>
      </w:r>
      <w:bookmarkStart w:id="37" w:name="OLE_LINK29"/>
      <w:bookmarkStart w:id="38" w:name="OLE_LINK30"/>
      <w:r w:rsidR="009066FC">
        <w:rPr>
          <w:color w:val="0E101A"/>
        </w:rPr>
        <w:t xml:space="preserve">Finally, </w:t>
      </w:r>
      <w:r w:rsidR="00743830">
        <w:rPr>
          <w:color w:val="0E101A"/>
        </w:rPr>
        <w:t xml:space="preserve">within DMHI trial literature </w:t>
      </w:r>
      <w:r w:rsidR="00BF5020">
        <w:rPr>
          <w:color w:val="0E101A"/>
        </w:rPr>
        <w:t xml:space="preserve">there are inconsistencies </w:t>
      </w:r>
      <w:r w:rsidR="00AE21C8">
        <w:rPr>
          <w:color w:val="0E101A"/>
        </w:rPr>
        <w:t>across demogra</w:t>
      </w:r>
      <w:r w:rsidR="00913707">
        <w:rPr>
          <w:color w:val="0E101A"/>
        </w:rPr>
        <w:t>phic</w:t>
      </w:r>
      <w:r w:rsidR="00AE21C8">
        <w:rPr>
          <w:color w:val="0E101A"/>
        </w:rPr>
        <w:t xml:space="preserve"> and clinical predictors of</w:t>
      </w:r>
      <w:r w:rsidR="00913707">
        <w:rPr>
          <w:color w:val="0E101A"/>
        </w:rPr>
        <w:t xml:space="preserve"> adherence and</w:t>
      </w:r>
      <w:r w:rsidR="00AE21C8">
        <w:rPr>
          <w:color w:val="0E101A"/>
        </w:rPr>
        <w:t xml:space="preserve"> en</w:t>
      </w:r>
      <w:r w:rsidR="00291017">
        <w:rPr>
          <w:color w:val="0E101A"/>
        </w:rPr>
        <w:t>gagement</w:t>
      </w:r>
      <w:r w:rsidR="004C021C">
        <w:rPr>
          <w:color w:val="0E101A"/>
        </w:rPr>
        <w:t>.</w:t>
      </w:r>
      <w:r w:rsidR="00CB19B9">
        <w:rPr>
          <w:color w:val="0E101A"/>
        </w:rPr>
        <w:t xml:space="preserve"> </w:t>
      </w:r>
      <w:r w:rsidR="00CB19B9" w:rsidRPr="00055F08">
        <w:rPr>
          <w:color w:val="0E101A"/>
        </w:rPr>
        <w:t xml:space="preserve">Instead, a shift towards an examination of </w:t>
      </w:r>
      <w:r w:rsidR="004C021C" w:rsidRPr="00055F08">
        <w:rPr>
          <w:color w:val="0E101A"/>
        </w:rPr>
        <w:t>theoretically grounded</w:t>
      </w:r>
      <w:r w:rsidR="00CB19B9" w:rsidRPr="00055F08">
        <w:rPr>
          <w:color w:val="0E101A"/>
        </w:rPr>
        <w:t xml:space="preserve"> psychological predictors, such as self-efficacy and motivation</w:t>
      </w:r>
      <w:r w:rsidR="001E3FEF">
        <w:rPr>
          <w:color w:val="0E101A"/>
        </w:rPr>
        <w:t xml:space="preserve"> may provide additional</w:t>
      </w:r>
      <w:r w:rsidR="00E45CE4">
        <w:rPr>
          <w:color w:val="0E101A"/>
        </w:rPr>
        <w:t xml:space="preserve"> insights (see </w:t>
      </w:r>
      <w:r w:rsidR="00E45CE4" w:rsidRPr="00055F08">
        <w:rPr>
          <w:color w:val="0E101A"/>
        </w:rPr>
        <w:t xml:space="preserve">Yeager </w:t>
      </w:r>
      <w:r w:rsidR="00E45CE4">
        <w:rPr>
          <w:color w:val="0E101A"/>
        </w:rPr>
        <w:t>&amp;</w:t>
      </w:r>
      <w:r w:rsidR="00E45CE4" w:rsidRPr="00055F08">
        <w:rPr>
          <w:color w:val="0E101A"/>
        </w:rPr>
        <w:t xml:space="preserve"> Benight</w:t>
      </w:r>
      <w:r w:rsidR="00E45CE4">
        <w:rPr>
          <w:color w:val="0E101A"/>
        </w:rPr>
        <w:t>,</w:t>
      </w:r>
      <w:r w:rsidR="00E45CE4" w:rsidRPr="00055F08">
        <w:rPr>
          <w:color w:val="0E101A"/>
        </w:rPr>
        <w:t xml:space="preserve"> 2018</w:t>
      </w:r>
      <w:r w:rsidR="00E45CE4">
        <w:rPr>
          <w:color w:val="0E101A"/>
        </w:rPr>
        <w:t xml:space="preserve"> for a discussion)</w:t>
      </w:r>
      <w:r w:rsidR="00CB19B9" w:rsidRPr="00055F08">
        <w:rPr>
          <w:color w:val="0E101A"/>
        </w:rPr>
        <w:t xml:space="preserve">. </w:t>
      </w:r>
      <w:bookmarkEnd w:id="37"/>
      <w:bookmarkEnd w:id="38"/>
      <w:r w:rsidR="00E45CE4" w:rsidRPr="00E45CE4">
        <w:rPr>
          <w:color w:val="0E101A"/>
        </w:rPr>
        <w:t xml:space="preserve">However, </w:t>
      </w:r>
      <w:r w:rsidR="000103BC">
        <w:rPr>
          <w:color w:val="0E101A"/>
        </w:rPr>
        <w:t xml:space="preserve">collecting </w:t>
      </w:r>
      <w:r w:rsidR="00E45CE4" w:rsidRPr="00E45CE4">
        <w:rPr>
          <w:color w:val="0E101A"/>
        </w:rPr>
        <w:t>such nuanced information may pose pragmatic challenges within real-world samples</w:t>
      </w:r>
      <w:r w:rsidR="000B6BC1">
        <w:rPr>
          <w:color w:val="0E101A"/>
        </w:rPr>
        <w:t xml:space="preserve"> </w:t>
      </w:r>
      <w:r w:rsidR="00AF26E6">
        <w:rPr>
          <w:color w:val="0E101A"/>
        </w:rPr>
        <w:t xml:space="preserve">since </w:t>
      </w:r>
      <w:r w:rsidR="00C301EE" w:rsidRPr="00C301EE">
        <w:rPr>
          <w:color w:val="0E101A"/>
        </w:rPr>
        <w:t>these programs ar</w:t>
      </w:r>
      <w:r w:rsidR="00AF26E6">
        <w:rPr>
          <w:color w:val="0E101A"/>
        </w:rPr>
        <w:t>e</w:t>
      </w:r>
      <w:r w:rsidR="00C301EE" w:rsidRPr="00C301EE">
        <w:rPr>
          <w:color w:val="0E101A"/>
        </w:rPr>
        <w:t xml:space="preserve"> frequently </w:t>
      </w:r>
      <w:r w:rsidR="00C301EE">
        <w:rPr>
          <w:color w:val="0E101A"/>
        </w:rPr>
        <w:t>disseminated to the public</w:t>
      </w:r>
      <w:r w:rsidR="00C301EE" w:rsidRPr="00C301EE">
        <w:rPr>
          <w:color w:val="0E101A"/>
        </w:rPr>
        <w:t xml:space="preserve"> without the primary goal of conducting research.</w:t>
      </w:r>
      <w:r w:rsidR="00C301EE">
        <w:rPr>
          <w:color w:val="0E101A"/>
        </w:rPr>
        <w:t xml:space="preserve"> </w:t>
      </w:r>
      <w:r w:rsidR="00E45CE4" w:rsidRPr="00E45CE4">
        <w:rPr>
          <w:color w:val="0E101A"/>
        </w:rPr>
        <w:t xml:space="preserve">Mitigating this necessitates a paradigm shift among </w:t>
      </w:r>
      <w:r w:rsidR="000103BC">
        <w:rPr>
          <w:color w:val="0E101A"/>
        </w:rPr>
        <w:t>providers</w:t>
      </w:r>
      <w:r w:rsidR="00E45CE4" w:rsidRPr="00E45CE4">
        <w:rPr>
          <w:color w:val="0E101A"/>
        </w:rPr>
        <w:t xml:space="preserve"> of DMHIs</w:t>
      </w:r>
      <w:r w:rsidR="000103BC">
        <w:rPr>
          <w:color w:val="0E101A"/>
        </w:rPr>
        <w:t xml:space="preserve"> to embed</w:t>
      </w:r>
      <w:r w:rsidR="00E45CE4" w:rsidRPr="00E45CE4">
        <w:rPr>
          <w:color w:val="0E101A"/>
        </w:rPr>
        <w:t xml:space="preserve"> these data sources into public</w:t>
      </w:r>
      <w:r w:rsidR="00B54BC7">
        <w:rPr>
          <w:color w:val="0E101A"/>
        </w:rPr>
        <w:t>ly</w:t>
      </w:r>
      <w:r w:rsidR="00E45CE4" w:rsidRPr="00E45CE4">
        <w:rPr>
          <w:color w:val="0E101A"/>
        </w:rPr>
        <w:t xml:space="preserve"> accessib</w:t>
      </w:r>
      <w:r w:rsidR="002F320E">
        <w:rPr>
          <w:color w:val="0E101A"/>
        </w:rPr>
        <w:t>le programs.</w:t>
      </w:r>
      <w:r w:rsidR="00035098">
        <w:rPr>
          <w:color w:val="0E101A"/>
        </w:rPr>
        <w:t xml:space="preserve"> Embedding data sources to monitor symptoms during program use also poses a similar practical challenge, </w:t>
      </w:r>
      <w:r w:rsidR="00935353">
        <w:rPr>
          <w:color w:val="0E101A"/>
        </w:rPr>
        <w:t>but it is</w:t>
      </w:r>
      <w:r w:rsidR="00035098">
        <w:rPr>
          <w:color w:val="0E101A"/>
        </w:rPr>
        <w:t xml:space="preserve"> still necessary to </w:t>
      </w:r>
      <w:r w:rsidR="00935353">
        <w:rPr>
          <w:color w:val="0E101A"/>
        </w:rPr>
        <w:t>monitor</w:t>
      </w:r>
      <w:r w:rsidR="00035098">
        <w:rPr>
          <w:color w:val="0E101A"/>
        </w:rPr>
        <w:t xml:space="preserve"> the effects of</w:t>
      </w:r>
      <w:r w:rsidR="00935353">
        <w:rPr>
          <w:color w:val="0E101A"/>
        </w:rPr>
        <w:t xml:space="preserve"> </w:t>
      </w:r>
      <w:r w:rsidR="00035098">
        <w:rPr>
          <w:color w:val="0E101A"/>
        </w:rPr>
        <w:t xml:space="preserve">DMHIs relative to program adherence. </w:t>
      </w:r>
      <w:r w:rsidR="00935353">
        <w:rPr>
          <w:color w:val="0E101A"/>
        </w:rPr>
        <w:t xml:space="preserve">The absence of multiple assessment points to monitor gains is another limitation of the present study, and future work should involve efforts to embed </w:t>
      </w:r>
      <w:proofErr w:type="gramStart"/>
      <w:r w:rsidR="00935353">
        <w:rPr>
          <w:color w:val="0E101A"/>
        </w:rPr>
        <w:t xml:space="preserve">these </w:t>
      </w:r>
      <w:r w:rsidR="002A247C">
        <w:rPr>
          <w:color w:val="0E101A"/>
        </w:rPr>
        <w:t xml:space="preserve"> outcome</w:t>
      </w:r>
      <w:proofErr w:type="gramEnd"/>
      <w:r w:rsidR="002A247C">
        <w:rPr>
          <w:color w:val="0E101A"/>
        </w:rPr>
        <w:t xml:space="preserve"> measures</w:t>
      </w:r>
      <w:r w:rsidR="00935353">
        <w:rPr>
          <w:color w:val="0E101A"/>
        </w:rPr>
        <w:t>.</w:t>
      </w:r>
    </w:p>
    <w:p w14:paraId="31B794B4" w14:textId="0CB895DB" w:rsidR="0009194A" w:rsidRDefault="00A018A2" w:rsidP="00B5473B">
      <w:pPr>
        <w:pStyle w:val="NormalWeb"/>
        <w:spacing w:before="0" w:beforeAutospacing="0" w:after="0" w:afterAutospacing="0" w:line="480" w:lineRule="auto"/>
        <w:ind w:firstLine="720"/>
        <w:contextualSpacing/>
        <w:rPr>
          <w:color w:val="0E101A"/>
        </w:rPr>
      </w:pPr>
      <w:r>
        <w:rPr>
          <w:color w:val="0E101A"/>
        </w:rPr>
        <w:t xml:space="preserve">Additionally, due to anxiety and depression scales being administered in the </w:t>
      </w:r>
      <w:r w:rsidR="000760AA">
        <w:rPr>
          <w:color w:val="0E101A"/>
        </w:rPr>
        <w:t>initial welcome</w:t>
      </w:r>
      <w:r w:rsidR="001F7382">
        <w:rPr>
          <w:color w:val="0E101A"/>
        </w:rPr>
        <w:t xml:space="preserve"> </w:t>
      </w:r>
      <w:r>
        <w:rPr>
          <w:color w:val="0E101A"/>
        </w:rPr>
        <w:t xml:space="preserve">module of the program, </w:t>
      </w:r>
      <w:r w:rsidR="001F7382">
        <w:rPr>
          <w:color w:val="0E101A"/>
        </w:rPr>
        <w:t xml:space="preserve">versus at initial signup, </w:t>
      </w:r>
      <w:r>
        <w:rPr>
          <w:color w:val="0E101A"/>
        </w:rPr>
        <w:t xml:space="preserve">we were missing this data from </w:t>
      </w:r>
      <w:r w:rsidR="00C424A4">
        <w:rPr>
          <w:color w:val="0E101A"/>
        </w:rPr>
        <w:t>approximately 41%</w:t>
      </w:r>
      <w:r>
        <w:rPr>
          <w:color w:val="0E101A"/>
        </w:rPr>
        <w:t xml:space="preserve"> of users</w:t>
      </w:r>
      <w:r w:rsidR="0055679B">
        <w:rPr>
          <w:color w:val="0E101A"/>
        </w:rPr>
        <w:t>.</w:t>
      </w:r>
      <w:r w:rsidR="009B6FFD">
        <w:rPr>
          <w:color w:val="0E101A"/>
        </w:rPr>
        <w:t xml:space="preserve"> These users either did not log into ACT Guide, did not advance far enough to see these measures, skipped the welcome module in favor of proceeding directly to </w:t>
      </w:r>
      <w:r w:rsidR="009B6FFD">
        <w:rPr>
          <w:color w:val="0E101A"/>
        </w:rPr>
        <w:lastRenderedPageBreak/>
        <w:t>other sessions</w:t>
      </w:r>
      <w:r w:rsidR="00357ECF">
        <w:rPr>
          <w:color w:val="0E101A"/>
        </w:rPr>
        <w:t>, or simply chose not to complete the</w:t>
      </w:r>
      <w:r w:rsidR="008E5747">
        <w:rPr>
          <w:color w:val="0E101A"/>
        </w:rPr>
        <w:t xml:space="preserve"> measures </w:t>
      </w:r>
      <w:r w:rsidR="00357ECF">
        <w:rPr>
          <w:color w:val="0E101A"/>
        </w:rPr>
        <w:t>when the opportunity was presented.</w:t>
      </w:r>
      <w:r w:rsidR="0055679B">
        <w:rPr>
          <w:color w:val="0E101A"/>
        </w:rPr>
        <w:t xml:space="preserve"> </w:t>
      </w:r>
      <w:r w:rsidR="003272B3">
        <w:rPr>
          <w:color w:val="0E101A"/>
        </w:rPr>
        <w:t xml:space="preserve">As a result, the depression and anxiety levels reported for the sample may </w:t>
      </w:r>
      <w:r w:rsidR="00774C4B">
        <w:rPr>
          <w:color w:val="0E101A"/>
        </w:rPr>
        <w:t xml:space="preserve">be </w:t>
      </w:r>
      <w:r w:rsidR="003272B3">
        <w:rPr>
          <w:color w:val="0E101A"/>
        </w:rPr>
        <w:t xml:space="preserve">an </w:t>
      </w:r>
      <w:r w:rsidR="00774C4B">
        <w:rPr>
          <w:color w:val="0E101A"/>
        </w:rPr>
        <w:t>incomplete</w:t>
      </w:r>
      <w:r w:rsidR="003272B3">
        <w:rPr>
          <w:color w:val="0E101A"/>
        </w:rPr>
        <w:t xml:space="preserve"> portrayal of the sample as a whole, only representing users who were engaged enough </w:t>
      </w:r>
      <w:r w:rsidR="007D358B">
        <w:rPr>
          <w:color w:val="0E101A"/>
        </w:rPr>
        <w:t xml:space="preserve">to start the program and use it for at least 5-10 minutes. </w:t>
      </w:r>
      <w:r w:rsidR="00B5473B">
        <w:rPr>
          <w:color w:val="0E101A"/>
        </w:rPr>
        <w:t xml:space="preserve">Prior literature has found that higher anxiety and depression is associated with lower DMHI uptake (Cross et al., 2022), thus these mental health variables are likely biased towards higher values in our own study. Our findings that depression predicts poorer program adherence and anxiety is not a significant predictor should be </w:t>
      </w:r>
      <w:r w:rsidR="00774C4B">
        <w:rPr>
          <w:color w:val="0E101A"/>
        </w:rPr>
        <w:t>interpreted cautiously</w:t>
      </w:r>
      <w:r w:rsidR="00B5473B">
        <w:rPr>
          <w:color w:val="0E101A"/>
        </w:rPr>
        <w:t xml:space="preserve"> given this bias. </w:t>
      </w:r>
      <w:r w:rsidR="00446922">
        <w:rPr>
          <w:color w:val="0E101A"/>
        </w:rPr>
        <w:t>F</w:t>
      </w:r>
      <w:r>
        <w:rPr>
          <w:color w:val="0E101A"/>
        </w:rPr>
        <w:t xml:space="preserve">uture studies of real-world </w:t>
      </w:r>
      <w:r w:rsidR="002143FA">
        <w:rPr>
          <w:color w:val="0E101A"/>
        </w:rPr>
        <w:t xml:space="preserve">DMHI </w:t>
      </w:r>
      <w:r>
        <w:rPr>
          <w:color w:val="0E101A"/>
        </w:rPr>
        <w:t xml:space="preserve">implementation </w:t>
      </w:r>
      <w:r w:rsidR="002143FA">
        <w:rPr>
          <w:color w:val="0E101A"/>
        </w:rPr>
        <w:t>should</w:t>
      </w:r>
      <w:r>
        <w:rPr>
          <w:color w:val="0E101A"/>
        </w:rPr>
        <w:t xml:space="preserve"> administer mental health scales earlier in the program </w:t>
      </w:r>
      <w:r w:rsidR="003272B3">
        <w:rPr>
          <w:color w:val="0E101A"/>
        </w:rPr>
        <w:t xml:space="preserve">(i.e., during program registration) </w:t>
      </w:r>
      <w:r>
        <w:rPr>
          <w:color w:val="0E101A"/>
        </w:rPr>
        <w:t xml:space="preserve">to </w:t>
      </w:r>
      <w:proofErr w:type="gramStart"/>
      <w:r w:rsidR="002143FA">
        <w:rPr>
          <w:color w:val="0E101A"/>
        </w:rPr>
        <w:t xml:space="preserve">more fully </w:t>
      </w:r>
      <w:r w:rsidR="001239C4">
        <w:rPr>
          <w:color w:val="0E101A"/>
        </w:rPr>
        <w:t>assess</w:t>
      </w:r>
      <w:r>
        <w:rPr>
          <w:color w:val="0E101A"/>
        </w:rPr>
        <w:t xml:space="preserve"> clinical </w:t>
      </w:r>
      <w:r w:rsidR="001239C4">
        <w:rPr>
          <w:color w:val="0E101A"/>
        </w:rPr>
        <w:t>characteristic</w:t>
      </w:r>
      <w:r w:rsidR="00446922">
        <w:rPr>
          <w:color w:val="0E101A"/>
        </w:rPr>
        <w:t>s</w:t>
      </w:r>
      <w:r w:rsidR="001239C4">
        <w:rPr>
          <w:color w:val="0E101A"/>
        </w:rPr>
        <w:t xml:space="preserve"> </w:t>
      </w:r>
      <w:r w:rsidR="007B6930">
        <w:rPr>
          <w:color w:val="0E101A"/>
        </w:rPr>
        <w:t xml:space="preserve">and </w:t>
      </w:r>
      <w:r w:rsidR="001239C4">
        <w:rPr>
          <w:color w:val="0E101A"/>
        </w:rPr>
        <w:t>their</w:t>
      </w:r>
      <w:r w:rsidR="00F42376">
        <w:rPr>
          <w:color w:val="0E101A"/>
        </w:rPr>
        <w:t xml:space="preserve"> relationship</w:t>
      </w:r>
      <w:proofErr w:type="gramEnd"/>
      <w:r w:rsidR="00F42376">
        <w:rPr>
          <w:color w:val="0E101A"/>
        </w:rPr>
        <w:t xml:space="preserve"> to</w:t>
      </w:r>
      <w:r w:rsidR="001239C4">
        <w:rPr>
          <w:color w:val="0E101A"/>
        </w:rPr>
        <w:t xml:space="preserve"> adherence. </w:t>
      </w:r>
    </w:p>
    <w:p w14:paraId="46DA68EB" w14:textId="16B7DE8C" w:rsidR="00093BA9" w:rsidRDefault="009418EC" w:rsidP="00093BA9">
      <w:pPr>
        <w:pStyle w:val="NormalWeb"/>
        <w:spacing w:before="0" w:beforeAutospacing="0" w:after="0" w:afterAutospacing="0" w:line="480" w:lineRule="auto"/>
        <w:ind w:firstLine="720"/>
        <w:contextualSpacing/>
        <w:rPr>
          <w:color w:val="0E101A"/>
        </w:rPr>
      </w:pPr>
      <w:r>
        <w:rPr>
          <w:color w:val="0E101A"/>
        </w:rPr>
        <w:t>Other limitations mainly relate to generalizability minoritized populations and other DMHIs. Results showed that neither race nor i</w:t>
      </w:r>
      <w:r w:rsidRPr="001A761B">
        <w:rPr>
          <w:color w:val="0E101A"/>
        </w:rPr>
        <w:t>dentifying as gender-nonbinary influence</w:t>
      </w:r>
      <w:r>
        <w:rPr>
          <w:color w:val="0E101A"/>
        </w:rPr>
        <w:t>d</w:t>
      </w:r>
      <w:r w:rsidRPr="001A761B">
        <w:rPr>
          <w:color w:val="0E101A"/>
        </w:rPr>
        <w:t xml:space="preserve"> program </w:t>
      </w:r>
      <w:r>
        <w:rPr>
          <w:color w:val="0E101A"/>
        </w:rPr>
        <w:t xml:space="preserve">adherence. However, these results are very limited given that gender minorities and racial diversity were poorly represented. </w:t>
      </w:r>
      <w:r w:rsidRPr="001B3049">
        <w:rPr>
          <w:color w:val="0E101A"/>
        </w:rPr>
        <w:t xml:space="preserve">Further research necessitates specialized recruitment strategies to adequately explore the utilization and impact of </w:t>
      </w:r>
      <w:r>
        <w:rPr>
          <w:color w:val="0E101A"/>
        </w:rPr>
        <w:t xml:space="preserve">DMHIs </w:t>
      </w:r>
      <w:r w:rsidRPr="001B3049">
        <w:rPr>
          <w:color w:val="0E101A"/>
        </w:rPr>
        <w:t>within gender minorities and marginalized racial identities.</w:t>
      </w:r>
      <w:r>
        <w:rPr>
          <w:color w:val="0E101A"/>
        </w:rPr>
        <w:t xml:space="preserve"> The program seems to have mainly reached users within North America, with approximately 40% of United States users residing in Utah, a historically homogenized state. However, this may be expected given that the program was developed at a public university in Utah, and many of our marketing strategies are targeted towards the local community. Additionally, </w:t>
      </w:r>
      <w:r w:rsidR="00FE7591">
        <w:rPr>
          <w:color w:val="0E101A"/>
        </w:rPr>
        <w:t>program satisfaction was only measured in the final module of ACT Guide and thus could not be formally assessed in the present study, leaving the study’s generalizability to other DMHIs unclear.</w:t>
      </w:r>
      <w:r w:rsidR="00093BA9">
        <w:rPr>
          <w:color w:val="0E101A"/>
        </w:rPr>
        <w:t xml:space="preserve"> However,</w:t>
      </w:r>
      <w:r w:rsidR="00FE7591">
        <w:rPr>
          <w:color w:val="0E101A"/>
        </w:rPr>
        <w:t xml:space="preserve"> </w:t>
      </w:r>
      <w:r w:rsidR="00093BA9">
        <w:rPr>
          <w:color w:val="0E101A"/>
        </w:rPr>
        <w:t>e</w:t>
      </w:r>
      <w:r w:rsidR="00FE7591">
        <w:rPr>
          <w:color w:val="0E101A"/>
        </w:rPr>
        <w:t xml:space="preserve">arlier iterations of the program have </w:t>
      </w:r>
      <w:r w:rsidR="00FE7591">
        <w:rPr>
          <w:color w:val="0E101A"/>
        </w:rPr>
        <w:lastRenderedPageBreak/>
        <w:t>demonstrated adequate program satisfaction</w:t>
      </w:r>
      <w:r w:rsidR="00093BA9">
        <w:rPr>
          <w:color w:val="0E101A"/>
        </w:rPr>
        <w:t xml:space="preserve"> and </w:t>
      </w:r>
      <w:r w:rsidR="002A247C">
        <w:rPr>
          <w:color w:val="0E101A"/>
        </w:rPr>
        <w:t>usability</w:t>
      </w:r>
      <w:r w:rsidR="00FE7591">
        <w:rPr>
          <w:color w:val="0E101A"/>
        </w:rPr>
        <w:t xml:space="preserve"> (Levin et al., 20</w:t>
      </w:r>
      <w:r w:rsidR="00785C06">
        <w:rPr>
          <w:color w:val="0E101A"/>
        </w:rPr>
        <w:t>20</w:t>
      </w:r>
      <w:r w:rsidR="00FE7591">
        <w:rPr>
          <w:color w:val="0E101A"/>
        </w:rPr>
        <w:t xml:space="preserve">), </w:t>
      </w:r>
      <w:r w:rsidR="00093BA9">
        <w:rPr>
          <w:color w:val="0E101A"/>
        </w:rPr>
        <w:t>and we anticipate that satisfaction would be similar for the version of ACT Guide reported here given high overlap in structure, content, and design of the program.</w:t>
      </w:r>
    </w:p>
    <w:p w14:paraId="1C6F572C" w14:textId="2C475025" w:rsidR="00AE29FA" w:rsidRDefault="0009194A" w:rsidP="00093BA9">
      <w:pPr>
        <w:pStyle w:val="NormalWeb"/>
        <w:spacing w:before="0" w:beforeAutospacing="0" w:after="0" w:afterAutospacing="0" w:line="480" w:lineRule="auto"/>
        <w:ind w:firstLine="720"/>
        <w:contextualSpacing/>
        <w:rPr>
          <w:color w:val="212121"/>
          <w:shd w:val="clear" w:color="auto" w:fill="FFFFFF"/>
        </w:rPr>
      </w:pPr>
      <w:r>
        <w:rPr>
          <w:color w:val="0E101A"/>
        </w:rPr>
        <w:t>Findings from the current study ultimately</w:t>
      </w:r>
      <w:r>
        <w:rPr>
          <w:color w:val="212121"/>
          <w:shd w:val="clear" w:color="auto" w:fill="FFFFFF"/>
        </w:rPr>
        <w:t xml:space="preserve"> </w:t>
      </w:r>
      <w:r w:rsidRPr="000C45DD">
        <w:rPr>
          <w:color w:val="212121"/>
          <w:shd w:val="clear" w:color="auto" w:fill="FFFFFF"/>
        </w:rPr>
        <w:t xml:space="preserve">reaffirm the persistent challenge of sustaining user </w:t>
      </w:r>
      <w:r w:rsidR="00AD6C01">
        <w:rPr>
          <w:color w:val="212121"/>
          <w:shd w:val="clear" w:color="auto" w:fill="FFFFFF"/>
        </w:rPr>
        <w:t>adherence to DMHIs</w:t>
      </w:r>
      <w:r>
        <w:rPr>
          <w:color w:val="212121"/>
          <w:shd w:val="clear" w:color="auto" w:fill="FFFFFF"/>
        </w:rPr>
        <w:t xml:space="preserve"> when implemented in real-world contexts</w:t>
      </w:r>
      <w:r w:rsidRPr="000C45DD">
        <w:rPr>
          <w:color w:val="212121"/>
          <w:shd w:val="clear" w:color="auto" w:fill="FFFFFF"/>
        </w:rPr>
        <w:t xml:space="preserve">. Importantly, </w:t>
      </w:r>
      <w:r>
        <w:rPr>
          <w:color w:val="212121"/>
          <w:shd w:val="clear" w:color="auto" w:fill="FFFFFF"/>
        </w:rPr>
        <w:t>our findings also</w:t>
      </w:r>
      <w:r w:rsidRPr="000C45DD">
        <w:rPr>
          <w:color w:val="212121"/>
          <w:shd w:val="clear" w:color="auto" w:fill="FFFFFF"/>
        </w:rPr>
        <w:t xml:space="preserve"> offer valuable insights into </w:t>
      </w:r>
      <w:r w:rsidR="00CA426B">
        <w:rPr>
          <w:color w:val="212121"/>
          <w:shd w:val="clear" w:color="auto" w:fill="FFFFFF"/>
        </w:rPr>
        <w:t xml:space="preserve">the </w:t>
      </w:r>
      <w:r>
        <w:rPr>
          <w:color w:val="212121"/>
          <w:shd w:val="clear" w:color="auto" w:fill="FFFFFF"/>
        </w:rPr>
        <w:t>relationship between users’</w:t>
      </w:r>
      <w:r w:rsidRPr="000C45DD">
        <w:rPr>
          <w:color w:val="212121"/>
          <w:shd w:val="clear" w:color="auto" w:fill="FFFFFF"/>
        </w:rPr>
        <w:t xml:space="preserve"> characteristics </w:t>
      </w:r>
      <w:r>
        <w:rPr>
          <w:color w:val="212121"/>
          <w:shd w:val="clear" w:color="auto" w:fill="FFFFFF"/>
        </w:rPr>
        <w:t xml:space="preserve">and </w:t>
      </w:r>
      <w:r w:rsidR="0050227F">
        <w:rPr>
          <w:color w:val="212121"/>
          <w:shd w:val="clear" w:color="auto" w:fill="FFFFFF"/>
        </w:rPr>
        <w:t xml:space="preserve">adherence </w:t>
      </w:r>
      <w:r w:rsidRPr="000C45DD">
        <w:rPr>
          <w:color w:val="212121"/>
          <w:shd w:val="clear" w:color="auto" w:fill="FFFFFF"/>
        </w:rPr>
        <w:t>patterns</w:t>
      </w:r>
      <w:r>
        <w:rPr>
          <w:color w:val="212121"/>
          <w:shd w:val="clear" w:color="auto" w:fill="FFFFFF"/>
        </w:rPr>
        <w:t xml:space="preserve">, </w:t>
      </w:r>
      <w:r w:rsidR="00CA426B" w:rsidRPr="00CA426B">
        <w:rPr>
          <w:color w:val="212121"/>
          <w:shd w:val="clear" w:color="auto" w:fill="FFFFFF"/>
        </w:rPr>
        <w:t>emphasiz</w:t>
      </w:r>
      <w:r w:rsidR="00CA426B">
        <w:rPr>
          <w:color w:val="212121"/>
          <w:shd w:val="clear" w:color="auto" w:fill="FFFFFF"/>
        </w:rPr>
        <w:t>ing</w:t>
      </w:r>
      <w:r w:rsidR="00CA426B" w:rsidRPr="00CA426B">
        <w:rPr>
          <w:color w:val="212121"/>
          <w:shd w:val="clear" w:color="auto" w:fill="FFFFFF"/>
        </w:rPr>
        <w:t xml:space="preserve"> the need for targeted interventions and individualized approaches to address the diverse needs of users.</w:t>
      </w:r>
      <w:r w:rsidR="00CA426B">
        <w:rPr>
          <w:color w:val="212121"/>
          <w:shd w:val="clear" w:color="auto" w:fill="FFFFFF"/>
        </w:rPr>
        <w:t xml:space="preserve"> Finally, given that some of the current findings on factors promoting </w:t>
      </w:r>
      <w:r w:rsidR="0050227F">
        <w:rPr>
          <w:color w:val="212121"/>
          <w:shd w:val="clear" w:color="auto" w:fill="FFFFFF"/>
        </w:rPr>
        <w:t xml:space="preserve">adherence </w:t>
      </w:r>
      <w:r w:rsidR="00CA426B">
        <w:rPr>
          <w:color w:val="212121"/>
          <w:shd w:val="clear" w:color="auto" w:fill="FFFFFF"/>
        </w:rPr>
        <w:t xml:space="preserve">differ from those found in clinical trials (e.g., the effectiveness of reminders) this study highlights a need </w:t>
      </w:r>
      <w:r w:rsidR="00CF5E43">
        <w:rPr>
          <w:color w:val="212121"/>
          <w:shd w:val="clear" w:color="auto" w:fill="FFFFFF"/>
        </w:rPr>
        <w:t xml:space="preserve">for </w:t>
      </w:r>
      <w:r w:rsidR="00CA426B">
        <w:rPr>
          <w:color w:val="212121"/>
          <w:shd w:val="clear" w:color="auto" w:fill="FFFFFF"/>
        </w:rPr>
        <w:t xml:space="preserve">more research on </w:t>
      </w:r>
      <w:r w:rsidR="0050227F">
        <w:rPr>
          <w:color w:val="212121"/>
          <w:shd w:val="clear" w:color="auto" w:fill="FFFFFF"/>
        </w:rPr>
        <w:t>adherence to</w:t>
      </w:r>
      <w:r w:rsidR="00CA426B">
        <w:rPr>
          <w:color w:val="212121"/>
          <w:shd w:val="clear" w:color="auto" w:fill="FFFFFF"/>
        </w:rPr>
        <w:t xml:space="preserve"> publicly available </w:t>
      </w:r>
      <w:r w:rsidR="00446922">
        <w:rPr>
          <w:color w:val="212121"/>
          <w:shd w:val="clear" w:color="auto" w:fill="FFFFFF"/>
        </w:rPr>
        <w:t xml:space="preserve">DMHIs. </w:t>
      </w:r>
    </w:p>
    <w:p w14:paraId="3597C8F0" w14:textId="70AE9020" w:rsidR="00CA426B" w:rsidRPr="00CA426B" w:rsidRDefault="00AE29FA" w:rsidP="008B35AF">
      <w:pPr>
        <w:rPr>
          <w:shd w:val="clear" w:color="auto" w:fill="FFFFFF"/>
        </w:rPr>
      </w:pPr>
      <w:r>
        <w:rPr>
          <w:color w:val="212121"/>
          <w:shd w:val="clear" w:color="auto" w:fill="FFFFFF"/>
        </w:rPr>
        <w:br w:type="page"/>
      </w:r>
    </w:p>
    <w:bookmarkEnd w:id="26"/>
    <w:bookmarkEnd w:id="27"/>
    <w:p w14:paraId="74B1CB28" w14:textId="77777777" w:rsidR="00367582" w:rsidRPr="00AE29FA" w:rsidRDefault="00367582" w:rsidP="00367582">
      <w:pPr>
        <w:pStyle w:val="NormalWeb"/>
        <w:spacing w:before="0" w:beforeAutospacing="0" w:after="0" w:afterAutospacing="0" w:line="480" w:lineRule="auto"/>
        <w:jc w:val="center"/>
        <w:rPr>
          <w:b/>
          <w:bCs/>
          <w:color w:val="0E101A"/>
        </w:rPr>
      </w:pPr>
      <w:r w:rsidRPr="00AE29FA">
        <w:rPr>
          <w:b/>
          <w:bCs/>
          <w:color w:val="0E101A"/>
        </w:rPr>
        <w:lastRenderedPageBreak/>
        <w:t>References</w:t>
      </w:r>
    </w:p>
    <w:p w14:paraId="63CBA77A" w14:textId="77777777" w:rsidR="00367582" w:rsidRPr="00AE29FA" w:rsidRDefault="00367582" w:rsidP="00367582">
      <w:pPr>
        <w:pStyle w:val="NormalWeb"/>
        <w:spacing w:before="0" w:beforeAutospacing="0" w:after="0" w:afterAutospacing="0" w:line="480" w:lineRule="auto"/>
        <w:ind w:left="720" w:hanging="720"/>
      </w:pPr>
      <w:r w:rsidRPr="00AE29FA">
        <w:t>Albizu-Garcia, C. E., Alegría, M., Freeman, D., &amp; Vera, M. (2001). Gender and health services use for a mental health problem. </w:t>
      </w:r>
      <w:r w:rsidRPr="00AE29FA">
        <w:rPr>
          <w:i/>
          <w:iCs/>
        </w:rPr>
        <w:t>Social science &amp; medicine (1982)</w:t>
      </w:r>
      <w:r w:rsidRPr="00AE29FA">
        <w:t>, </w:t>
      </w:r>
      <w:r w:rsidRPr="00AE29FA">
        <w:rPr>
          <w:i/>
          <w:iCs/>
        </w:rPr>
        <w:t>53</w:t>
      </w:r>
      <w:r w:rsidRPr="00AE29FA">
        <w:t xml:space="preserve">(7), 865–878. </w:t>
      </w:r>
      <w:hyperlink r:id="rId10" w:history="1">
        <w:r w:rsidRPr="00AE29FA">
          <w:rPr>
            <w:rStyle w:val="Hyperlink"/>
          </w:rPr>
          <w:t>https://doi.org/10.1016/s0277-9536(00)00380-4</w:t>
        </w:r>
      </w:hyperlink>
    </w:p>
    <w:p w14:paraId="16E4ED62" w14:textId="77777777" w:rsidR="00367582" w:rsidRPr="00AE29FA" w:rsidRDefault="00367582" w:rsidP="00367582">
      <w:pPr>
        <w:pStyle w:val="NormalWeb"/>
        <w:spacing w:before="0" w:beforeAutospacing="0" w:after="0" w:afterAutospacing="0" w:line="480" w:lineRule="auto"/>
        <w:ind w:left="720" w:hanging="720"/>
        <w:rPr>
          <w:rStyle w:val="Hyperlink"/>
        </w:rPr>
      </w:pPr>
      <w:r w:rsidRPr="00AE29FA">
        <w:t xml:space="preserve">Baumel, A., Edan, S., &amp; Kane, J. M. (2019). Is there a trial bias impacting user engagement with unguided e-mental health interventions? A systematic comparison of published reports and real-world usage of the same programs. </w:t>
      </w:r>
      <w:r w:rsidRPr="00AE29FA">
        <w:rPr>
          <w:i/>
          <w:iCs/>
        </w:rPr>
        <w:t>Translational Behavioral Medicine</w:t>
      </w:r>
      <w:r w:rsidRPr="00AE29FA">
        <w:t xml:space="preserve">, ibz147. </w:t>
      </w:r>
      <w:hyperlink r:id="rId11" w:history="1">
        <w:r w:rsidRPr="00AE29FA">
          <w:rPr>
            <w:rStyle w:val="Hyperlink"/>
          </w:rPr>
          <w:t>https://doi.org/10.1093/tbm/ibz147</w:t>
        </w:r>
      </w:hyperlink>
    </w:p>
    <w:p w14:paraId="67D59920" w14:textId="77777777" w:rsidR="004C021C" w:rsidRPr="004C021C" w:rsidRDefault="004C021C" w:rsidP="004C021C">
      <w:pPr>
        <w:pStyle w:val="NormalWeb"/>
        <w:spacing w:line="480" w:lineRule="auto"/>
        <w:ind w:left="720" w:hanging="720"/>
      </w:pPr>
      <w:r w:rsidRPr="004C021C">
        <w:t xml:space="preserve">Balcombe, L., &amp; de Leo, D. (2023). Evaluation of the Use of Digital Mental Health Platforms and Interventions: Scoping Review. In </w:t>
      </w:r>
      <w:r w:rsidRPr="004C021C">
        <w:rPr>
          <w:i/>
          <w:iCs/>
        </w:rPr>
        <w:t>International Journal of Environmental Research and Public Health</w:t>
      </w:r>
      <w:r w:rsidRPr="004C021C">
        <w:t xml:space="preserve"> (Vol. 20, Issue 1). MDPI. https://doi.org/10.3390/ijerph20010362</w:t>
      </w:r>
    </w:p>
    <w:p w14:paraId="17E6FC98" w14:textId="77777777" w:rsidR="00367582" w:rsidRPr="00AE29FA" w:rsidRDefault="00367582" w:rsidP="00367582">
      <w:pPr>
        <w:pStyle w:val="NormalWeb"/>
        <w:spacing w:before="0" w:beforeAutospacing="0" w:after="0" w:afterAutospacing="0" w:line="480" w:lineRule="auto"/>
        <w:ind w:left="720" w:hanging="720"/>
        <w:rPr>
          <w:color w:val="000000" w:themeColor="text1"/>
        </w:rPr>
      </w:pPr>
      <w:r w:rsidRPr="00AE29FA">
        <w:rPr>
          <w:color w:val="000000" w:themeColor="text1"/>
        </w:rPr>
        <w:t>Buck, B., Chander, A., &amp; Ben-Zeev, D. (2020). Clinical and demographic predictors of engagement in mobile health vs. clinic-based interventions for serious mental illness. </w:t>
      </w:r>
      <w:r w:rsidRPr="00AE29FA">
        <w:rPr>
          <w:i/>
          <w:iCs/>
          <w:color w:val="000000" w:themeColor="text1"/>
        </w:rPr>
        <w:t>Journal of Behavioral and Cognitive Therapy</w:t>
      </w:r>
      <w:r w:rsidRPr="00AE29FA">
        <w:rPr>
          <w:color w:val="000000" w:themeColor="text1"/>
        </w:rPr>
        <w:t>, </w:t>
      </w:r>
      <w:r w:rsidRPr="00AE29FA">
        <w:rPr>
          <w:i/>
          <w:iCs/>
          <w:color w:val="000000" w:themeColor="text1"/>
        </w:rPr>
        <w:t>30</w:t>
      </w:r>
      <w:r w:rsidRPr="00AE29FA">
        <w:rPr>
          <w:color w:val="000000" w:themeColor="text1"/>
        </w:rPr>
        <w:t>(1), 3-11.</w:t>
      </w:r>
    </w:p>
    <w:p w14:paraId="13750CD7" w14:textId="77777777" w:rsidR="00367582" w:rsidRPr="00AE29FA" w:rsidRDefault="00367582" w:rsidP="00367582">
      <w:pPr>
        <w:pStyle w:val="NormalWeb"/>
        <w:spacing w:before="0" w:beforeAutospacing="0" w:after="0" w:afterAutospacing="0" w:line="480" w:lineRule="auto"/>
        <w:ind w:left="720" w:hanging="720"/>
      </w:pPr>
      <w:r w:rsidRPr="00AE29FA">
        <w:rPr>
          <w:color w:val="222222"/>
        </w:rPr>
        <w:tab/>
      </w:r>
      <w:hyperlink r:id="rId12" w:tgtFrame="_blank" w:tooltip="Persistent link using digital object identifier" w:history="1">
        <w:r w:rsidRPr="00AE29FA">
          <w:rPr>
            <w:rStyle w:val="Hyperlink"/>
          </w:rPr>
          <w:t>https://doi.org/10.1016/j.jbct.2020.03.004</w:t>
        </w:r>
      </w:hyperlink>
    </w:p>
    <w:p w14:paraId="0C7A61BC" w14:textId="77777777" w:rsidR="00367582" w:rsidRPr="00AE29FA" w:rsidRDefault="00367582" w:rsidP="00367582">
      <w:pPr>
        <w:pStyle w:val="NormalWeb"/>
        <w:spacing w:before="0" w:beforeAutospacing="0" w:after="0" w:afterAutospacing="0" w:line="480" w:lineRule="auto"/>
        <w:ind w:left="720" w:hanging="720"/>
      </w:pPr>
      <w:r w:rsidRPr="00AE29FA">
        <w:t xml:space="preserve">Cella, D., Choi, S. W., Condon, D. M., </w:t>
      </w:r>
      <w:proofErr w:type="spellStart"/>
      <w:r w:rsidRPr="00AE29FA">
        <w:t>Schalet</w:t>
      </w:r>
      <w:proofErr w:type="spellEnd"/>
      <w:r w:rsidRPr="00AE29FA">
        <w:t xml:space="preserve">, B., Hays, R. D., Rothrock, N. E., Yount, S., Cook, K. F., Gershon, R. C., Amtmann, D., DeWalt, D. A., </w:t>
      </w:r>
      <w:proofErr w:type="spellStart"/>
      <w:r w:rsidRPr="00AE29FA">
        <w:t>Pilkonis</w:t>
      </w:r>
      <w:proofErr w:type="spellEnd"/>
      <w:r w:rsidRPr="00AE29FA">
        <w:t xml:space="preserve">, P. A., Stone, A. A., </w:t>
      </w:r>
      <w:proofErr w:type="spellStart"/>
      <w:r w:rsidRPr="00AE29FA">
        <w:t>Weinfurt</w:t>
      </w:r>
      <w:proofErr w:type="spellEnd"/>
      <w:r w:rsidRPr="00AE29FA">
        <w:t xml:space="preserve">, K., &amp; Reeve, B. B. (2019). PROMIS® adult health profiles: Efficient </w:t>
      </w:r>
      <w:proofErr w:type="gramStart"/>
      <w:r w:rsidRPr="00AE29FA">
        <w:t>short-form</w:t>
      </w:r>
      <w:proofErr w:type="gramEnd"/>
      <w:r w:rsidRPr="00AE29FA">
        <w:t xml:space="preserve"> measures of seven health domains. </w:t>
      </w:r>
      <w:r w:rsidRPr="00AE29FA">
        <w:rPr>
          <w:i/>
          <w:iCs/>
        </w:rPr>
        <w:t>Value in health, 22</w:t>
      </w:r>
      <w:r w:rsidRPr="00AE29FA">
        <w:t xml:space="preserve">(5), 537-544. </w:t>
      </w:r>
      <w:hyperlink r:id="rId13" w:history="1">
        <w:r w:rsidRPr="00AE29FA">
          <w:rPr>
            <w:rStyle w:val="Hyperlink"/>
          </w:rPr>
          <w:t>https://doi.org/10.1016/j.jval.2019.02.004</w:t>
        </w:r>
      </w:hyperlink>
    </w:p>
    <w:p w14:paraId="4E0423AA" w14:textId="77777777" w:rsidR="00367582" w:rsidRPr="00AE29FA" w:rsidRDefault="00367582" w:rsidP="00367582">
      <w:pPr>
        <w:pStyle w:val="NormalWeb"/>
        <w:spacing w:before="0" w:beforeAutospacing="0" w:after="0" w:afterAutospacing="0" w:line="480" w:lineRule="auto"/>
        <w:ind w:left="720" w:hanging="720"/>
        <w:rPr>
          <w:rStyle w:val="Hyperlink"/>
        </w:rPr>
      </w:pPr>
      <w:r w:rsidRPr="00AE29FA">
        <w:lastRenderedPageBreak/>
        <w:t>Christensen, H., Griffiths, K. M., &amp; Farrer, L. (2009). Adherence in internet interventions for anxiety and depression. </w:t>
      </w:r>
      <w:r w:rsidRPr="00AE29FA">
        <w:rPr>
          <w:i/>
          <w:iCs/>
        </w:rPr>
        <w:t>Journal of medical Internet research</w:t>
      </w:r>
      <w:r w:rsidRPr="00AE29FA">
        <w:t>, </w:t>
      </w:r>
      <w:r w:rsidRPr="00AE29FA">
        <w:rPr>
          <w:i/>
          <w:iCs/>
        </w:rPr>
        <w:t>11</w:t>
      </w:r>
      <w:r w:rsidRPr="00AE29FA">
        <w:t xml:space="preserve">(2), e13. </w:t>
      </w:r>
      <w:hyperlink r:id="rId14" w:history="1">
        <w:r w:rsidRPr="00AE29FA">
          <w:rPr>
            <w:rStyle w:val="Hyperlink"/>
          </w:rPr>
          <w:t>https://doi.org/10.2196/jmir.1194</w:t>
        </w:r>
      </w:hyperlink>
    </w:p>
    <w:p w14:paraId="415B4E1F" w14:textId="77777777" w:rsidR="00367582" w:rsidRDefault="00367582" w:rsidP="00367582">
      <w:pPr>
        <w:spacing w:line="480" w:lineRule="auto"/>
        <w:ind w:left="720" w:hanging="720"/>
      </w:pPr>
      <w:r w:rsidRPr="00AE29FA">
        <w:t xml:space="preserve">Coxe, S., West, S. G., &amp; Aiken, L. S. (2009). The analysis of count data: A gentle introduction to Poisson regression and its alternatives. </w:t>
      </w:r>
      <w:r w:rsidRPr="00AE29FA">
        <w:rPr>
          <w:i/>
          <w:iCs/>
        </w:rPr>
        <w:t>Journal of Personality Assessment, 91</w:t>
      </w:r>
      <w:r w:rsidRPr="00AE29FA">
        <w:t>(2), 121-136. https:/ /doi.org/10.1080/00223890802634175</w:t>
      </w:r>
    </w:p>
    <w:p w14:paraId="20641277" w14:textId="075DDA75" w:rsidR="00B5473B" w:rsidRPr="00AE29FA" w:rsidRDefault="00B5473B" w:rsidP="003A6D5B">
      <w:pPr>
        <w:spacing w:line="480" w:lineRule="auto"/>
        <w:ind w:left="720" w:hanging="720"/>
        <w:contextualSpacing/>
      </w:pPr>
      <w:r w:rsidRPr="00B5473B">
        <w:t xml:space="preserve">Cross, S. P., Karin, E., Staples, L. G., Bisby, M. A., Ryan, K., Duke, G., </w:t>
      </w:r>
      <w:proofErr w:type="spellStart"/>
      <w:r w:rsidRPr="00B5473B">
        <w:t>Nielssen</w:t>
      </w:r>
      <w:proofErr w:type="spellEnd"/>
      <w:r w:rsidRPr="00B5473B">
        <w:t xml:space="preserve">, O., Kayrouz, R., Fisher, A., Dear, B. F., &amp; Titov, N. (2022). Factors associated with treatment uptake, completion, and subsequent symptom improvement in a national digital mental health service. </w:t>
      </w:r>
      <w:r w:rsidRPr="003A6D5B">
        <w:rPr>
          <w:i/>
          <w:iCs/>
        </w:rPr>
        <w:t>Internet Interventions, 27</w:t>
      </w:r>
      <w:r w:rsidRPr="00B5473B">
        <w:t>, 100506. https://doi.org/10.1016/j.invent.2022.100506</w:t>
      </w:r>
    </w:p>
    <w:p w14:paraId="75A00BB3" w14:textId="77777777" w:rsidR="00367582" w:rsidRPr="003350EE" w:rsidRDefault="00367582" w:rsidP="00367582">
      <w:pPr>
        <w:pStyle w:val="NormalWeb"/>
        <w:spacing w:before="0" w:beforeAutospacing="0" w:after="0" w:afterAutospacing="0" w:line="480" w:lineRule="auto"/>
        <w:ind w:left="720" w:hanging="720"/>
        <w:rPr>
          <w:color w:val="0000FF"/>
          <w:u w:val="single"/>
        </w:rPr>
      </w:pPr>
      <w:r w:rsidRPr="00AE29FA">
        <w:t xml:space="preserve">Fleming, T., Bavin, L., Lucassen, M., Stasiak, K., Hopkins, S., &amp; Merry, S. (2018). Beyond the Trial: Systematic Review of Real-World Uptake and Engagement </w:t>
      </w:r>
      <w:proofErr w:type="gramStart"/>
      <w:r w:rsidRPr="00AE29FA">
        <w:t>With</w:t>
      </w:r>
      <w:proofErr w:type="gramEnd"/>
      <w:r w:rsidRPr="00AE29FA">
        <w:t xml:space="preserve"> Digital Self-Help Interventions for Depression, Low Mood, or Anxiety. </w:t>
      </w:r>
      <w:r w:rsidRPr="00AE29FA">
        <w:rPr>
          <w:i/>
          <w:iCs/>
        </w:rPr>
        <w:t>Journal of medical Internet research</w:t>
      </w:r>
      <w:r w:rsidRPr="00AE29FA">
        <w:t>, </w:t>
      </w:r>
      <w:r w:rsidRPr="00AE29FA">
        <w:rPr>
          <w:i/>
          <w:iCs/>
        </w:rPr>
        <w:t>20</w:t>
      </w:r>
      <w:r w:rsidRPr="00AE29FA">
        <w:t xml:space="preserve">(6), e199. </w:t>
      </w:r>
      <w:hyperlink r:id="rId15" w:history="1">
        <w:r w:rsidRPr="00AE29FA">
          <w:rPr>
            <w:rStyle w:val="Hyperlink"/>
          </w:rPr>
          <w:t>https://doi.org/10.2196/jmir.9275</w:t>
        </w:r>
      </w:hyperlink>
    </w:p>
    <w:p w14:paraId="17EDC5CB" w14:textId="2935F346" w:rsidR="00367582" w:rsidRPr="003350EE" w:rsidRDefault="00367582" w:rsidP="00367582">
      <w:pPr>
        <w:pStyle w:val="NormalWeb"/>
        <w:spacing w:line="480" w:lineRule="auto"/>
        <w:ind w:left="720" w:hanging="720"/>
        <w:contextualSpacing/>
        <w:rPr>
          <w:color w:val="0E101A"/>
        </w:rPr>
      </w:pPr>
      <w:r w:rsidRPr="003350EE">
        <w:rPr>
          <w:color w:val="0E101A"/>
        </w:rPr>
        <w:t xml:space="preserve">Forbes, A., Keleher, M. R., Venditto, M., &amp; DiBiasi, F. (2023). Assessing patient adherence to and engagement with digital interventions for depression in clinical trials: Systematic Literature Review. </w:t>
      </w:r>
      <w:r w:rsidRPr="003350EE">
        <w:rPr>
          <w:i/>
          <w:iCs/>
          <w:color w:val="0E101A"/>
        </w:rPr>
        <w:t>Journal of Medical Internet Research</w:t>
      </w:r>
      <w:r w:rsidRPr="003350EE">
        <w:rPr>
          <w:color w:val="0E101A"/>
        </w:rPr>
        <w:t xml:space="preserve">, </w:t>
      </w:r>
      <w:r w:rsidRPr="003350EE">
        <w:rPr>
          <w:i/>
          <w:iCs/>
          <w:color w:val="0E101A"/>
        </w:rPr>
        <w:t>25</w:t>
      </w:r>
      <w:r w:rsidRPr="003350EE">
        <w:rPr>
          <w:color w:val="0E101A"/>
        </w:rPr>
        <w:t xml:space="preserve">. </w:t>
      </w:r>
      <w:hyperlink r:id="rId16" w:history="1">
        <w:r w:rsidRPr="003350EE">
          <w:rPr>
            <w:rStyle w:val="Hyperlink"/>
          </w:rPr>
          <w:t>https://doi.org/10.2196/43727</w:t>
        </w:r>
      </w:hyperlink>
    </w:p>
    <w:p w14:paraId="33236238" w14:textId="0DE42B24" w:rsidR="00367582" w:rsidRPr="00AE29FA" w:rsidRDefault="00367582" w:rsidP="0035551F">
      <w:pPr>
        <w:pStyle w:val="NormalWeb"/>
        <w:spacing w:line="480" w:lineRule="auto"/>
        <w:ind w:left="720" w:hanging="720"/>
        <w:contextualSpacing/>
        <w:rPr>
          <w:color w:val="0E101A"/>
        </w:rPr>
      </w:pPr>
      <w:r w:rsidRPr="00AE29FA">
        <w:rPr>
          <w:color w:val="0E101A"/>
        </w:rPr>
        <w:t xml:space="preserve">Gan, D. Z. Q., McGillivray, L., Han, J., Christensen, H., &amp; Torok, M. (2021). Effect of Engagement </w:t>
      </w:r>
      <w:proofErr w:type="gramStart"/>
      <w:r w:rsidRPr="00AE29FA">
        <w:rPr>
          <w:color w:val="0E101A"/>
        </w:rPr>
        <w:t>With</w:t>
      </w:r>
      <w:proofErr w:type="gramEnd"/>
      <w:r w:rsidRPr="00AE29FA">
        <w:rPr>
          <w:color w:val="0E101A"/>
        </w:rPr>
        <w:t xml:space="preserve"> Digital Interventions on Mental Health Outcomes: A Systematic Review and Meta-Analysis. </w:t>
      </w:r>
      <w:r w:rsidRPr="00AE29FA">
        <w:rPr>
          <w:i/>
          <w:iCs/>
          <w:color w:val="0E101A"/>
        </w:rPr>
        <w:t>Frontiers in digital health</w:t>
      </w:r>
      <w:r w:rsidRPr="00AE29FA">
        <w:rPr>
          <w:color w:val="0E101A"/>
        </w:rPr>
        <w:t>, </w:t>
      </w:r>
      <w:r w:rsidRPr="00AE29FA">
        <w:rPr>
          <w:i/>
          <w:iCs/>
          <w:color w:val="0E101A"/>
        </w:rPr>
        <w:t>3</w:t>
      </w:r>
      <w:r w:rsidRPr="00AE29FA">
        <w:rPr>
          <w:color w:val="0E101A"/>
        </w:rPr>
        <w:t xml:space="preserve">, 764079. </w:t>
      </w:r>
      <w:hyperlink r:id="rId17" w:history="1">
        <w:r w:rsidRPr="00AE29FA">
          <w:rPr>
            <w:rStyle w:val="Hyperlink"/>
          </w:rPr>
          <w:t>https://doi.org/10.3389/fdgth.2021.764079</w:t>
        </w:r>
      </w:hyperlink>
    </w:p>
    <w:p w14:paraId="6F7BD6FB" w14:textId="77777777" w:rsidR="00367582" w:rsidRPr="00AE29FA" w:rsidRDefault="00367582" w:rsidP="00367582">
      <w:pPr>
        <w:pStyle w:val="NormalWeb"/>
        <w:spacing w:before="0" w:beforeAutospacing="0" w:after="0" w:afterAutospacing="0" w:line="480" w:lineRule="auto"/>
        <w:ind w:left="720" w:hanging="720"/>
        <w:rPr>
          <w:rStyle w:val="Hyperlink"/>
        </w:rPr>
      </w:pPr>
      <w:r w:rsidRPr="00AE29FA">
        <w:lastRenderedPageBreak/>
        <w:t xml:space="preserve">Hayes, S. C., Luoma, J. B., Bond, F. W., Masuda, A., &amp; Lillis, J. (2006). Acceptance and commitment therapy: Model, </w:t>
      </w:r>
      <w:proofErr w:type="gramStart"/>
      <w:r w:rsidRPr="00AE29FA">
        <w:t>processes</w:t>
      </w:r>
      <w:proofErr w:type="gramEnd"/>
      <w:r w:rsidRPr="00AE29FA">
        <w:t xml:space="preserve"> and outcomes. </w:t>
      </w:r>
      <w:proofErr w:type="spellStart"/>
      <w:r w:rsidRPr="00AE29FA">
        <w:rPr>
          <w:i/>
          <w:iCs/>
        </w:rPr>
        <w:t>Behaviour</w:t>
      </w:r>
      <w:proofErr w:type="spellEnd"/>
      <w:r w:rsidRPr="00AE29FA">
        <w:rPr>
          <w:i/>
          <w:iCs/>
        </w:rPr>
        <w:t xml:space="preserve"> research and therapy</w:t>
      </w:r>
      <w:r w:rsidRPr="00AE29FA">
        <w:t>, </w:t>
      </w:r>
      <w:r w:rsidRPr="00AE29FA">
        <w:rPr>
          <w:i/>
          <w:iCs/>
        </w:rPr>
        <w:t>44</w:t>
      </w:r>
      <w:r w:rsidRPr="00AE29FA">
        <w:t xml:space="preserve">(1), 1-25. </w:t>
      </w:r>
      <w:hyperlink r:id="rId18" w:tgtFrame="_blank" w:tooltip="Persistent link using digital object identifier" w:history="1">
        <w:r w:rsidRPr="00AE29FA">
          <w:rPr>
            <w:rStyle w:val="Hyperlink"/>
          </w:rPr>
          <w:t>https://doi.org/10.1016/j.brat.2005.06.006</w:t>
        </w:r>
      </w:hyperlink>
    </w:p>
    <w:p w14:paraId="7CF356D0" w14:textId="77777777" w:rsidR="00367582" w:rsidRPr="00AE29FA" w:rsidRDefault="00367582" w:rsidP="00367582">
      <w:pPr>
        <w:pStyle w:val="NormalWeb"/>
        <w:spacing w:before="0" w:beforeAutospacing="0" w:after="0" w:afterAutospacing="0" w:line="480" w:lineRule="auto"/>
        <w:ind w:left="720" w:hanging="720"/>
        <w:rPr>
          <w:rStyle w:val="Hyperlink"/>
          <w:color w:val="auto"/>
          <w:u w:val="none"/>
        </w:rPr>
      </w:pPr>
      <w:bookmarkStart w:id="39" w:name="OLE_LINK9"/>
      <w:bookmarkStart w:id="40" w:name="OLE_LINK10"/>
      <w:r w:rsidRPr="00AE29FA">
        <w:t>Hilvert-Bruce</w:t>
      </w:r>
      <w:bookmarkEnd w:id="39"/>
      <w:bookmarkEnd w:id="40"/>
      <w:r w:rsidRPr="00AE29FA">
        <w:t xml:space="preserve">, Z., Rossouw, P. J., Wong, N., Sunderland, M., &amp; Andrews, G. (2012). Adherence as a determinant of effectiveness of internet cognitive </w:t>
      </w:r>
      <w:proofErr w:type="spellStart"/>
      <w:r w:rsidRPr="00AE29FA">
        <w:t>behavioural</w:t>
      </w:r>
      <w:proofErr w:type="spellEnd"/>
      <w:r w:rsidRPr="00AE29FA">
        <w:t xml:space="preserve"> therapy for anxiety and depressive disorders. </w:t>
      </w:r>
      <w:proofErr w:type="spellStart"/>
      <w:r w:rsidRPr="00AE29FA">
        <w:rPr>
          <w:i/>
          <w:iCs/>
        </w:rPr>
        <w:t>Behaviour</w:t>
      </w:r>
      <w:proofErr w:type="spellEnd"/>
      <w:r w:rsidRPr="00AE29FA">
        <w:rPr>
          <w:i/>
          <w:iCs/>
        </w:rPr>
        <w:t xml:space="preserve"> research and therapy</w:t>
      </w:r>
      <w:r w:rsidRPr="00AE29FA">
        <w:t>, </w:t>
      </w:r>
      <w:r w:rsidRPr="00AE29FA">
        <w:rPr>
          <w:i/>
          <w:iCs/>
        </w:rPr>
        <w:t>50</w:t>
      </w:r>
      <w:r w:rsidRPr="00AE29FA">
        <w:t xml:space="preserve">(7-8), 463–468. </w:t>
      </w:r>
      <w:hyperlink r:id="rId19" w:history="1">
        <w:r w:rsidRPr="00AE29FA">
          <w:rPr>
            <w:rStyle w:val="Hyperlink"/>
          </w:rPr>
          <w:t>https://doi.org/10.1016/j.brat.2012.04.001</w:t>
        </w:r>
      </w:hyperlink>
    </w:p>
    <w:p w14:paraId="13C0200A" w14:textId="15017D32" w:rsidR="00367582" w:rsidRPr="00AE29FA" w:rsidRDefault="00367582" w:rsidP="00367582">
      <w:pPr>
        <w:spacing w:line="480" w:lineRule="auto"/>
        <w:ind w:left="720" w:hanging="720"/>
        <w:rPr>
          <w:rStyle w:val="Hyperlink"/>
          <w:color w:val="000000" w:themeColor="text1"/>
          <w:u w:val="none"/>
        </w:rPr>
      </w:pPr>
      <w:r w:rsidRPr="00AE29FA">
        <w:rPr>
          <w:color w:val="000000" w:themeColor="text1"/>
        </w:rPr>
        <w:t xml:space="preserve">Kazlauskas, E., </w:t>
      </w:r>
      <w:proofErr w:type="spellStart"/>
      <w:r w:rsidRPr="00AE29FA">
        <w:rPr>
          <w:color w:val="000000" w:themeColor="text1"/>
        </w:rPr>
        <w:t>Eimontas</w:t>
      </w:r>
      <w:proofErr w:type="spellEnd"/>
      <w:r w:rsidRPr="00AE29FA">
        <w:rPr>
          <w:color w:val="000000" w:themeColor="text1"/>
        </w:rPr>
        <w:t xml:space="preserve">, J., Olff, M., </w:t>
      </w:r>
      <w:proofErr w:type="spellStart"/>
      <w:r w:rsidRPr="00AE29FA">
        <w:rPr>
          <w:color w:val="000000" w:themeColor="text1"/>
        </w:rPr>
        <w:t>Zelviene</w:t>
      </w:r>
      <w:proofErr w:type="spellEnd"/>
      <w:r w:rsidRPr="00AE29FA">
        <w:rPr>
          <w:color w:val="000000" w:themeColor="text1"/>
        </w:rPr>
        <w:t xml:space="preserve">, P., &amp; Andersson, G. (2020). Adherence </w:t>
      </w:r>
      <w:proofErr w:type="spellStart"/>
      <w:r w:rsidR="00C24AB9">
        <w:rPr>
          <w:color w:val="000000" w:themeColor="text1"/>
        </w:rPr>
        <w:t>x</w:t>
      </w:r>
      <w:r w:rsidRPr="00AE29FA">
        <w:rPr>
          <w:color w:val="000000" w:themeColor="text1"/>
        </w:rPr>
        <w:t>Predictors</w:t>
      </w:r>
      <w:proofErr w:type="spellEnd"/>
      <w:r w:rsidRPr="00AE29FA">
        <w:rPr>
          <w:color w:val="000000" w:themeColor="text1"/>
        </w:rPr>
        <w:t xml:space="preserve"> in Internet-Delivered Self-Help Intervention for Life Stressors-Related Adjustment Disorder. </w:t>
      </w:r>
      <w:r w:rsidRPr="00AE29FA">
        <w:rPr>
          <w:i/>
          <w:iCs/>
          <w:color w:val="000000" w:themeColor="text1"/>
        </w:rPr>
        <w:t>Frontiers in Psychiatry</w:t>
      </w:r>
      <w:r w:rsidRPr="00AE29FA">
        <w:rPr>
          <w:color w:val="000000" w:themeColor="text1"/>
        </w:rPr>
        <w:t xml:space="preserve">, </w:t>
      </w:r>
      <w:r w:rsidRPr="00AE29FA">
        <w:rPr>
          <w:i/>
          <w:iCs/>
          <w:color w:val="000000" w:themeColor="text1"/>
        </w:rPr>
        <w:t>11</w:t>
      </w:r>
      <w:r w:rsidRPr="00AE29FA">
        <w:rPr>
          <w:color w:val="000000" w:themeColor="text1"/>
        </w:rPr>
        <w:t xml:space="preserve">. </w:t>
      </w:r>
      <w:hyperlink r:id="rId20" w:history="1">
        <w:r w:rsidRPr="00AE29FA">
          <w:rPr>
            <w:rStyle w:val="Hyperlink"/>
          </w:rPr>
          <w:t>https://doi.org/10.3389/fpsyt.2020.00137</w:t>
        </w:r>
      </w:hyperlink>
    </w:p>
    <w:p w14:paraId="4C99D7E7" w14:textId="77777777" w:rsidR="00367582" w:rsidRDefault="00367582" w:rsidP="00367582">
      <w:pPr>
        <w:spacing w:line="480" w:lineRule="auto"/>
        <w:ind w:left="720" w:hanging="720"/>
        <w:rPr>
          <w:rStyle w:val="Hyperlink"/>
        </w:rPr>
      </w:pPr>
      <w:r w:rsidRPr="00AE29FA">
        <w:rPr>
          <w:rStyle w:val="Hyperlink"/>
          <w:color w:val="000000" w:themeColor="text1"/>
          <w:u w:val="none"/>
        </w:rPr>
        <w:t xml:space="preserve">Kleiber, C. &amp; </w:t>
      </w:r>
      <w:proofErr w:type="spellStart"/>
      <w:r w:rsidRPr="00AE29FA">
        <w:rPr>
          <w:rStyle w:val="Hyperlink"/>
          <w:color w:val="000000" w:themeColor="text1"/>
          <w:u w:val="none"/>
        </w:rPr>
        <w:t>Zeileis</w:t>
      </w:r>
      <w:proofErr w:type="spellEnd"/>
      <w:r w:rsidRPr="00AE29FA">
        <w:rPr>
          <w:rStyle w:val="Hyperlink"/>
          <w:color w:val="000000" w:themeColor="text1"/>
          <w:u w:val="none"/>
        </w:rPr>
        <w:t xml:space="preserve">, A. (2008). </w:t>
      </w:r>
      <w:r w:rsidRPr="00AE29FA">
        <w:rPr>
          <w:rStyle w:val="Hyperlink"/>
          <w:i/>
          <w:iCs/>
          <w:color w:val="000000" w:themeColor="text1"/>
          <w:u w:val="none"/>
        </w:rPr>
        <w:t>Applied Econometrics with R.</w:t>
      </w:r>
      <w:r w:rsidRPr="00AE29FA">
        <w:rPr>
          <w:rStyle w:val="Hyperlink"/>
          <w:color w:val="000000" w:themeColor="text1"/>
          <w:u w:val="none"/>
        </w:rPr>
        <w:t xml:space="preserve"> New York: Springer-Verlag. </w:t>
      </w:r>
      <w:hyperlink r:id="rId21" w:history="1">
        <w:r w:rsidRPr="00AE29FA">
          <w:rPr>
            <w:rStyle w:val="Hyperlink"/>
          </w:rPr>
          <w:t>https://CRAN.R-project.org/package=AER</w:t>
        </w:r>
      </w:hyperlink>
    </w:p>
    <w:p w14:paraId="55776AF4" w14:textId="30A3E05F" w:rsidR="00447444" w:rsidRPr="00AE29FA" w:rsidRDefault="00447444" w:rsidP="00367582">
      <w:pPr>
        <w:spacing w:line="480" w:lineRule="auto"/>
        <w:ind w:left="720" w:hanging="720"/>
        <w:rPr>
          <w:rStyle w:val="Hyperlink"/>
          <w:u w:val="none"/>
        </w:rPr>
      </w:pPr>
      <w:proofErr w:type="spellStart"/>
      <w:r w:rsidRPr="00447444">
        <w:rPr>
          <w:color w:val="0000FF"/>
        </w:rPr>
        <w:t>Klimczak</w:t>
      </w:r>
      <w:proofErr w:type="spellEnd"/>
      <w:r w:rsidRPr="00447444">
        <w:rPr>
          <w:color w:val="0000FF"/>
        </w:rPr>
        <w:t>, K. S., San Miguel, G. G., Mukasa, M. N., Twohig, M. P., &amp; Levin, M. E. (2023). A systematic review and meta-analysis of self-guided online acceptance and commitment therapy as a transdiagnostic self-help intervention. </w:t>
      </w:r>
      <w:r w:rsidRPr="00447444">
        <w:rPr>
          <w:i/>
          <w:iCs/>
          <w:color w:val="0000FF"/>
        </w:rPr>
        <w:t xml:space="preserve">Cognitive </w:t>
      </w:r>
      <w:proofErr w:type="spellStart"/>
      <w:r w:rsidRPr="00447444">
        <w:rPr>
          <w:i/>
          <w:iCs/>
          <w:color w:val="0000FF"/>
        </w:rPr>
        <w:t>behaviour</w:t>
      </w:r>
      <w:proofErr w:type="spellEnd"/>
      <w:r w:rsidRPr="00447444">
        <w:rPr>
          <w:i/>
          <w:iCs/>
          <w:color w:val="0000FF"/>
        </w:rPr>
        <w:t xml:space="preserve"> therapy</w:t>
      </w:r>
      <w:r w:rsidRPr="00447444">
        <w:rPr>
          <w:color w:val="0000FF"/>
        </w:rPr>
        <w:t>, </w:t>
      </w:r>
      <w:r w:rsidRPr="00447444">
        <w:rPr>
          <w:i/>
          <w:iCs/>
          <w:color w:val="0000FF"/>
        </w:rPr>
        <w:t>52</w:t>
      </w:r>
      <w:r w:rsidRPr="00447444">
        <w:rPr>
          <w:color w:val="0000FF"/>
        </w:rPr>
        <w:t>(3), 269–294. https://doi.org/10.1080/16506073.2023.2178498</w:t>
      </w:r>
    </w:p>
    <w:p w14:paraId="7165AFF0" w14:textId="77777777" w:rsidR="00367582" w:rsidRPr="00AE29FA" w:rsidRDefault="00367582" w:rsidP="00367582">
      <w:pPr>
        <w:pStyle w:val="paragraph"/>
        <w:spacing w:before="0" w:beforeAutospacing="0" w:after="0" w:afterAutospacing="0" w:line="480" w:lineRule="auto"/>
        <w:ind w:left="720" w:hanging="720"/>
        <w:textAlignment w:val="baseline"/>
        <w:rPr>
          <w:color w:val="212121"/>
          <w:shd w:val="clear" w:color="auto" w:fill="FFFFFF"/>
        </w:rPr>
      </w:pPr>
      <w:r w:rsidRPr="00AE29FA">
        <w:rPr>
          <w:color w:val="212121"/>
          <w:shd w:val="clear" w:color="auto" w:fill="FFFFFF"/>
        </w:rPr>
        <w:t>Krämer, L. V., Mueller-</w:t>
      </w:r>
      <w:proofErr w:type="spellStart"/>
      <w:r w:rsidRPr="00AE29FA">
        <w:rPr>
          <w:color w:val="212121"/>
          <w:shd w:val="clear" w:color="auto" w:fill="FFFFFF"/>
        </w:rPr>
        <w:t>Weinitschke</w:t>
      </w:r>
      <w:proofErr w:type="spellEnd"/>
      <w:r w:rsidRPr="00AE29FA">
        <w:rPr>
          <w:color w:val="212121"/>
          <w:shd w:val="clear" w:color="auto" w:fill="FFFFFF"/>
        </w:rPr>
        <w:t xml:space="preserve">, C., Zeiss, T., Baumeister, H., Ebert, D. D., &amp; Bengel, J. (2022). Effectiveness of a web-based </w:t>
      </w:r>
      <w:proofErr w:type="spellStart"/>
      <w:r w:rsidRPr="00AE29FA">
        <w:rPr>
          <w:color w:val="212121"/>
          <w:shd w:val="clear" w:color="auto" w:fill="FFFFFF"/>
        </w:rPr>
        <w:t>behavioural</w:t>
      </w:r>
      <w:proofErr w:type="spellEnd"/>
      <w:r w:rsidRPr="00AE29FA">
        <w:rPr>
          <w:color w:val="212121"/>
          <w:shd w:val="clear" w:color="auto" w:fill="FFFFFF"/>
        </w:rPr>
        <w:t xml:space="preserve"> activation intervention for individuals with depression based on the Health Action Process Approach: protocol for a </w:t>
      </w:r>
      <w:proofErr w:type="spellStart"/>
      <w:r w:rsidRPr="00AE29FA">
        <w:rPr>
          <w:color w:val="212121"/>
          <w:shd w:val="clear" w:color="auto" w:fill="FFFFFF"/>
        </w:rPr>
        <w:t>randomised</w:t>
      </w:r>
      <w:proofErr w:type="spellEnd"/>
      <w:r w:rsidRPr="00AE29FA">
        <w:rPr>
          <w:color w:val="212121"/>
          <w:shd w:val="clear" w:color="auto" w:fill="FFFFFF"/>
        </w:rPr>
        <w:t xml:space="preserve"> controlled trial with a 6-month follow-up. </w:t>
      </w:r>
      <w:r w:rsidRPr="00AE29FA">
        <w:rPr>
          <w:i/>
          <w:iCs/>
          <w:color w:val="212121"/>
          <w:shd w:val="clear" w:color="auto" w:fill="FFFFFF"/>
        </w:rPr>
        <w:t>BMJ open</w:t>
      </w:r>
      <w:r w:rsidRPr="00AE29FA">
        <w:rPr>
          <w:color w:val="212121"/>
          <w:shd w:val="clear" w:color="auto" w:fill="FFFFFF"/>
        </w:rPr>
        <w:t>, </w:t>
      </w:r>
      <w:r w:rsidRPr="00AE29FA">
        <w:rPr>
          <w:i/>
          <w:iCs/>
          <w:color w:val="212121"/>
          <w:shd w:val="clear" w:color="auto" w:fill="FFFFFF"/>
        </w:rPr>
        <w:t>12</w:t>
      </w:r>
      <w:r w:rsidRPr="00AE29FA">
        <w:rPr>
          <w:color w:val="212121"/>
          <w:shd w:val="clear" w:color="auto" w:fill="FFFFFF"/>
        </w:rPr>
        <w:t xml:space="preserve">(1), e054775. </w:t>
      </w:r>
      <w:hyperlink r:id="rId22" w:history="1">
        <w:r w:rsidRPr="00AE29FA">
          <w:rPr>
            <w:rStyle w:val="Hyperlink"/>
            <w:shd w:val="clear" w:color="auto" w:fill="FFFFFF"/>
          </w:rPr>
          <w:t>https://doi.org/10.1136/bmjopen-2021-054775</w:t>
        </w:r>
      </w:hyperlink>
      <w:r w:rsidRPr="00AE29FA">
        <w:rPr>
          <w:color w:val="212121"/>
          <w:shd w:val="clear" w:color="auto" w:fill="FFFFFF"/>
        </w:rPr>
        <w:t xml:space="preserve"> </w:t>
      </w:r>
      <w:bookmarkStart w:id="41" w:name="OLE_LINK23"/>
      <w:bookmarkStart w:id="42" w:name="OLE_LINK24"/>
    </w:p>
    <w:p w14:paraId="689F5DDB" w14:textId="4D3C3E32" w:rsidR="00367582" w:rsidRPr="00AE29FA" w:rsidRDefault="00367582" w:rsidP="00AE29FA">
      <w:pPr>
        <w:pStyle w:val="paragraph"/>
        <w:spacing w:before="0" w:beforeAutospacing="0" w:after="0" w:afterAutospacing="0" w:line="480" w:lineRule="auto"/>
        <w:ind w:left="720" w:hanging="720"/>
        <w:textAlignment w:val="baseline"/>
        <w:rPr>
          <w:color w:val="000000" w:themeColor="text1"/>
        </w:rPr>
      </w:pPr>
      <w:r w:rsidRPr="00AE29FA">
        <w:rPr>
          <w:color w:val="000000" w:themeColor="text1"/>
        </w:rPr>
        <w:lastRenderedPageBreak/>
        <w:t xml:space="preserve">Levin, M. E., Haeger, J. A., Pierce, B. G., &amp; Twohig, M. P. (2017). Web-based acceptance and commitment therapy for mental health problems in college students: A randomized controlled trial. </w:t>
      </w:r>
      <w:r w:rsidRPr="00AE29FA">
        <w:rPr>
          <w:i/>
          <w:iCs/>
          <w:color w:val="000000" w:themeColor="text1"/>
        </w:rPr>
        <w:t>Behavior Modification</w:t>
      </w:r>
      <w:r w:rsidRPr="00AE29FA">
        <w:rPr>
          <w:color w:val="000000" w:themeColor="text1"/>
        </w:rPr>
        <w:t xml:space="preserve">, </w:t>
      </w:r>
      <w:r w:rsidRPr="00AE29FA">
        <w:rPr>
          <w:i/>
          <w:iCs/>
          <w:color w:val="000000" w:themeColor="text1"/>
        </w:rPr>
        <w:t>41</w:t>
      </w:r>
      <w:r w:rsidRPr="00AE29FA">
        <w:rPr>
          <w:color w:val="000000" w:themeColor="text1"/>
        </w:rPr>
        <w:t xml:space="preserve">(1), 141–162. </w:t>
      </w:r>
      <w:bookmarkEnd w:id="41"/>
      <w:bookmarkEnd w:id="42"/>
      <w:r>
        <w:fldChar w:fldCharType="begin"/>
      </w:r>
      <w:r>
        <w:instrText>HYPERLINK "https://doi.org/10.1177/0145445516659645"</w:instrText>
      </w:r>
      <w:r>
        <w:fldChar w:fldCharType="separate"/>
      </w:r>
      <w:r w:rsidRPr="00AE29FA">
        <w:rPr>
          <w:rStyle w:val="Hyperlink"/>
        </w:rPr>
        <w:t>https://doi.org/10.1177/0145445516659645</w:t>
      </w:r>
      <w:r>
        <w:rPr>
          <w:rStyle w:val="Hyperlink"/>
        </w:rPr>
        <w:fldChar w:fldCharType="end"/>
      </w:r>
    </w:p>
    <w:p w14:paraId="44E07BF7" w14:textId="77777777" w:rsidR="00367582" w:rsidRPr="00AE29FA" w:rsidRDefault="00367582" w:rsidP="00367582">
      <w:pPr>
        <w:pStyle w:val="paragraph"/>
        <w:spacing w:before="0" w:beforeAutospacing="0" w:after="0" w:afterAutospacing="0" w:line="480" w:lineRule="auto"/>
        <w:ind w:left="720" w:hanging="720"/>
        <w:textAlignment w:val="baseline"/>
        <w:rPr>
          <w:rStyle w:val="Hyperlink"/>
        </w:rPr>
      </w:pPr>
      <w:r w:rsidRPr="00AE29FA">
        <w:rPr>
          <w:color w:val="000000" w:themeColor="text1"/>
        </w:rPr>
        <w:t xml:space="preserve">Levin, M. E., Hayes, S. C., </w:t>
      </w:r>
      <w:proofErr w:type="spellStart"/>
      <w:r w:rsidRPr="00AE29FA">
        <w:rPr>
          <w:color w:val="000000" w:themeColor="text1"/>
        </w:rPr>
        <w:t>Pistorello</w:t>
      </w:r>
      <w:proofErr w:type="spellEnd"/>
      <w:r w:rsidRPr="00AE29FA">
        <w:rPr>
          <w:color w:val="000000" w:themeColor="text1"/>
        </w:rPr>
        <w:t xml:space="preserve">, J., &amp; Seeley, J. R. (2016). Web-based self-help for preventing mental health problems in universities: Comparing acceptance and commitment training to mental health education. </w:t>
      </w:r>
      <w:r w:rsidRPr="00AE29FA">
        <w:rPr>
          <w:i/>
          <w:iCs/>
          <w:color w:val="000000" w:themeColor="text1"/>
        </w:rPr>
        <w:t>Journal of Clinical Psychology</w:t>
      </w:r>
      <w:r w:rsidRPr="00AE29FA">
        <w:rPr>
          <w:color w:val="000000" w:themeColor="text1"/>
        </w:rPr>
        <w:t xml:space="preserve">, </w:t>
      </w:r>
      <w:r w:rsidRPr="00AE29FA">
        <w:rPr>
          <w:i/>
          <w:iCs/>
          <w:color w:val="000000" w:themeColor="text1"/>
        </w:rPr>
        <w:t>72</w:t>
      </w:r>
      <w:r w:rsidRPr="00AE29FA">
        <w:rPr>
          <w:color w:val="000000" w:themeColor="text1"/>
        </w:rPr>
        <w:t xml:space="preserve">(3), 207–225. </w:t>
      </w:r>
      <w:hyperlink r:id="rId23" w:history="1">
        <w:r w:rsidRPr="00AE29FA">
          <w:rPr>
            <w:rStyle w:val="Hyperlink"/>
          </w:rPr>
          <w:t>https://doi.org/10.1002/jclp.22254</w:t>
        </w:r>
      </w:hyperlink>
    </w:p>
    <w:p w14:paraId="730091A9" w14:textId="2E67A657" w:rsidR="00367582" w:rsidRPr="00AE29FA" w:rsidRDefault="00367582" w:rsidP="00367582">
      <w:pPr>
        <w:pStyle w:val="paragraph"/>
        <w:spacing w:before="0" w:beforeAutospacing="0" w:after="0" w:afterAutospacing="0" w:line="480" w:lineRule="auto"/>
        <w:ind w:left="720" w:hanging="720"/>
        <w:textAlignment w:val="baseline"/>
        <w:rPr>
          <w:color w:val="000000" w:themeColor="text1"/>
        </w:rPr>
      </w:pPr>
      <w:r w:rsidRPr="00AE29FA">
        <w:rPr>
          <w:color w:val="000000" w:themeColor="text1"/>
        </w:rPr>
        <w:t xml:space="preserve">Levin, M.E., Krafft, J., Hicks, E.T., Pierce, B. &amp; Twohig, M.P. (2020). A randomized dismantling trial of the open and engaged components of acceptance and commitment therapy in an online self-help program for distressed college students. </w:t>
      </w:r>
      <w:proofErr w:type="spellStart"/>
      <w:r w:rsidRPr="00AE29FA">
        <w:rPr>
          <w:i/>
          <w:iCs/>
          <w:color w:val="000000" w:themeColor="text1"/>
        </w:rPr>
        <w:t>Behaviour</w:t>
      </w:r>
      <w:proofErr w:type="spellEnd"/>
      <w:r w:rsidRPr="00AE29FA">
        <w:rPr>
          <w:i/>
          <w:iCs/>
          <w:color w:val="000000" w:themeColor="text1"/>
        </w:rPr>
        <w:t xml:space="preserve"> Research &amp; Therapy, 126, </w:t>
      </w:r>
      <w:r w:rsidRPr="00AE29FA">
        <w:rPr>
          <w:color w:val="000000" w:themeColor="text1"/>
        </w:rPr>
        <w:t>103557</w:t>
      </w:r>
      <w:r w:rsidRPr="00AE29FA">
        <w:rPr>
          <w:i/>
          <w:iCs/>
          <w:color w:val="000000" w:themeColor="text1"/>
        </w:rPr>
        <w:t>.</w:t>
      </w:r>
      <w:r w:rsidR="00093BA9">
        <w:rPr>
          <w:i/>
          <w:iCs/>
          <w:color w:val="000000" w:themeColor="text1"/>
        </w:rPr>
        <w:t xml:space="preserve"> </w:t>
      </w:r>
      <w:r w:rsidR="00093BA9" w:rsidRPr="003A6D5B">
        <w:rPr>
          <w:color w:val="000000" w:themeColor="text1"/>
        </w:rPr>
        <w:t>https://doi.org/10.1016/j.brat.2020.103557</w:t>
      </w:r>
    </w:p>
    <w:p w14:paraId="77E105EA" w14:textId="77777777" w:rsidR="00367582" w:rsidRDefault="00367582" w:rsidP="00367582">
      <w:pPr>
        <w:pStyle w:val="paragraph"/>
        <w:spacing w:before="0" w:beforeAutospacing="0" w:after="0" w:afterAutospacing="0" w:line="480" w:lineRule="auto"/>
        <w:ind w:left="720" w:hanging="720"/>
        <w:textAlignment w:val="baseline"/>
        <w:rPr>
          <w:rStyle w:val="Hyperlink"/>
        </w:rPr>
      </w:pPr>
      <w:proofErr w:type="spellStart"/>
      <w:r w:rsidRPr="00AE29FA">
        <w:rPr>
          <w:color w:val="000000" w:themeColor="text1"/>
        </w:rPr>
        <w:t>Linardon</w:t>
      </w:r>
      <w:proofErr w:type="spellEnd"/>
      <w:r w:rsidRPr="00AE29FA">
        <w:rPr>
          <w:color w:val="000000" w:themeColor="text1"/>
        </w:rPr>
        <w:t>, J., &amp; Fuller-Tyszkiewicz, M. (2020). Attrition and adherence in smartphone-delivered interventions for mental health problems: A systematic and meta-analytic review. </w:t>
      </w:r>
      <w:r w:rsidRPr="00AE29FA">
        <w:rPr>
          <w:i/>
          <w:iCs/>
          <w:color w:val="000000" w:themeColor="text1"/>
        </w:rPr>
        <w:t>Journal of Consulting and Clinical Psychology, 88</w:t>
      </w:r>
      <w:r w:rsidRPr="00AE29FA">
        <w:rPr>
          <w:color w:val="000000" w:themeColor="text1"/>
        </w:rPr>
        <w:t>(1), 1–13. </w:t>
      </w:r>
      <w:hyperlink r:id="rId24" w:tgtFrame="_blank" w:history="1">
        <w:r w:rsidRPr="00AE29FA">
          <w:rPr>
            <w:rStyle w:val="Hyperlink"/>
          </w:rPr>
          <w:t>https://doi.org/10.1037/ccp0000459</w:t>
        </w:r>
      </w:hyperlink>
    </w:p>
    <w:p w14:paraId="0B4D3261" w14:textId="3E3D4C4B" w:rsidR="00B10847" w:rsidRPr="00AE29FA" w:rsidRDefault="00B10847" w:rsidP="00367582">
      <w:pPr>
        <w:pStyle w:val="paragraph"/>
        <w:spacing w:before="0" w:beforeAutospacing="0" w:after="0" w:afterAutospacing="0" w:line="480" w:lineRule="auto"/>
        <w:ind w:left="720" w:hanging="720"/>
        <w:textAlignment w:val="baseline"/>
        <w:rPr>
          <w:color w:val="000000" w:themeColor="text1"/>
        </w:rPr>
      </w:pPr>
      <w:r w:rsidRPr="00B10847">
        <w:rPr>
          <w:color w:val="000000" w:themeColor="text1"/>
        </w:rPr>
        <w:t xml:space="preserve">Lipschitz, J. M., Van Boxtel, R., </w:t>
      </w:r>
      <w:proofErr w:type="spellStart"/>
      <w:r w:rsidRPr="00B10847">
        <w:rPr>
          <w:color w:val="000000" w:themeColor="text1"/>
        </w:rPr>
        <w:t>Torous</w:t>
      </w:r>
      <w:proofErr w:type="spellEnd"/>
      <w:r w:rsidRPr="00B10847">
        <w:rPr>
          <w:color w:val="000000" w:themeColor="text1"/>
        </w:rPr>
        <w:t xml:space="preserve">, J., Firth, J., Lebovitz, J. G., Burdick, K. E., &amp; Hogan, T. P. (2022). Digital Mental Health Interventions for Depression: Scoping Review of User Engagement. </w:t>
      </w:r>
      <w:r w:rsidRPr="003A6D5B">
        <w:rPr>
          <w:i/>
          <w:iCs/>
          <w:color w:val="000000" w:themeColor="text1"/>
        </w:rPr>
        <w:t>Journal of medical Internet research</w:t>
      </w:r>
      <w:r w:rsidRPr="00B10847">
        <w:rPr>
          <w:color w:val="000000" w:themeColor="text1"/>
        </w:rPr>
        <w:t>,</w:t>
      </w:r>
      <w:r w:rsidRPr="003A6D5B">
        <w:rPr>
          <w:i/>
          <w:iCs/>
          <w:color w:val="000000" w:themeColor="text1"/>
        </w:rPr>
        <w:t xml:space="preserve"> 24</w:t>
      </w:r>
      <w:r w:rsidRPr="00B10847">
        <w:rPr>
          <w:color w:val="000000" w:themeColor="text1"/>
        </w:rPr>
        <w:t>(10), e39204. https://doi.org/10.2196/39204</w:t>
      </w:r>
    </w:p>
    <w:p w14:paraId="0EACD613" w14:textId="77777777" w:rsidR="00367582" w:rsidRPr="00AE29FA" w:rsidRDefault="00367582" w:rsidP="00367582">
      <w:pPr>
        <w:pStyle w:val="paragraph"/>
        <w:spacing w:before="0" w:beforeAutospacing="0" w:after="0" w:afterAutospacing="0" w:line="480" w:lineRule="auto"/>
        <w:ind w:left="720" w:hanging="720"/>
        <w:textAlignment w:val="baseline"/>
        <w:rPr>
          <w:color w:val="000000" w:themeColor="text1"/>
          <w:lang w:val="en"/>
        </w:rPr>
      </w:pPr>
      <w:r w:rsidRPr="00AE29FA">
        <w:rPr>
          <w:color w:val="000000" w:themeColor="text1"/>
        </w:rPr>
        <w:t>Livingston, N. A., Shingleton, R., Heilman, M. E., &amp; Brief, D. (2019). Self-help smartphone applications for alcohol use, PTSD, anxiety, and depression: addressing the new research-practice gap. </w:t>
      </w:r>
      <w:r w:rsidRPr="00AE29FA">
        <w:rPr>
          <w:i/>
          <w:iCs/>
          <w:color w:val="000000" w:themeColor="text1"/>
        </w:rPr>
        <w:t>Journal of Technology in Behavioral Science</w:t>
      </w:r>
      <w:r w:rsidRPr="00AE29FA">
        <w:rPr>
          <w:color w:val="000000" w:themeColor="text1"/>
        </w:rPr>
        <w:t>, </w:t>
      </w:r>
      <w:r w:rsidRPr="00AE29FA">
        <w:rPr>
          <w:i/>
          <w:iCs/>
          <w:color w:val="000000" w:themeColor="text1"/>
        </w:rPr>
        <w:t>4</w:t>
      </w:r>
      <w:r w:rsidRPr="00AE29FA">
        <w:rPr>
          <w:color w:val="000000" w:themeColor="text1"/>
        </w:rPr>
        <w:t xml:space="preserve">, 139-151. </w:t>
      </w:r>
      <w:hyperlink r:id="rId25" w:history="1">
        <w:r w:rsidRPr="00AE29FA">
          <w:rPr>
            <w:rStyle w:val="Hyperlink"/>
          </w:rPr>
          <w:t>https://doi.org/10.1007/s41347-019-00099-6</w:t>
        </w:r>
      </w:hyperlink>
    </w:p>
    <w:p w14:paraId="6B683480" w14:textId="77777777" w:rsidR="00A157C0" w:rsidRPr="00AE29FA" w:rsidRDefault="00A157C0" w:rsidP="00A157C0">
      <w:pPr>
        <w:spacing w:line="480" w:lineRule="auto"/>
        <w:ind w:left="720" w:hanging="720"/>
        <w:rPr>
          <w:color w:val="000000" w:themeColor="text1"/>
          <w:lang w:val="en"/>
        </w:rPr>
      </w:pPr>
      <w:r w:rsidRPr="00E47BE0">
        <w:rPr>
          <w:color w:val="000000" w:themeColor="text1"/>
          <w:lang w:val="en"/>
        </w:rPr>
        <w:lastRenderedPageBreak/>
        <w:t xml:space="preserve">Márcia Barbosa, A., Real, R., Muñoz, A. ‐Román, &amp; Brown, J. A. (2013). New measures for assessing model equilibrium and prediction mismatch in species distribution models. </w:t>
      </w:r>
      <w:r w:rsidRPr="009A2130">
        <w:rPr>
          <w:i/>
          <w:iCs/>
          <w:color w:val="000000" w:themeColor="text1"/>
          <w:lang w:val="en"/>
        </w:rPr>
        <w:t>Diversity and Distributions, 19</w:t>
      </w:r>
      <w:r w:rsidRPr="00E47BE0">
        <w:rPr>
          <w:color w:val="000000" w:themeColor="text1"/>
          <w:lang w:val="en"/>
        </w:rPr>
        <w:t>(10), 1333–1338. https://doi.org/10.1111/ddi.12100</w:t>
      </w:r>
    </w:p>
    <w:p w14:paraId="179D5851" w14:textId="77777777" w:rsidR="00367582" w:rsidRPr="00AE29FA" w:rsidRDefault="00367582" w:rsidP="00367582">
      <w:pPr>
        <w:spacing w:line="480" w:lineRule="auto"/>
        <w:ind w:left="720" w:hanging="720"/>
        <w:rPr>
          <w:color w:val="181817"/>
          <w:shd w:val="clear" w:color="auto" w:fill="FFFFFF"/>
        </w:rPr>
      </w:pPr>
      <w:r w:rsidRPr="00AE29FA">
        <w:rPr>
          <w:color w:val="181817"/>
          <w:shd w:val="clear" w:color="auto" w:fill="FFFFFF"/>
        </w:rPr>
        <w:t>Martínez-Pérez, B., de la Torre-</w:t>
      </w:r>
      <w:proofErr w:type="spellStart"/>
      <w:r w:rsidRPr="00AE29FA">
        <w:rPr>
          <w:color w:val="181817"/>
          <w:shd w:val="clear" w:color="auto" w:fill="FFFFFF"/>
        </w:rPr>
        <w:t>Díez</w:t>
      </w:r>
      <w:proofErr w:type="spellEnd"/>
      <w:r w:rsidRPr="00AE29FA">
        <w:rPr>
          <w:color w:val="181817"/>
          <w:shd w:val="clear" w:color="auto" w:fill="FFFFFF"/>
        </w:rPr>
        <w:t>, I., &amp; López-Coronado, M. (2013). Mobile health applications for the most prevalent conditions by the World Health Organization: review and analysis. </w:t>
      </w:r>
      <w:r w:rsidRPr="00AE29FA">
        <w:rPr>
          <w:i/>
          <w:iCs/>
          <w:color w:val="181817"/>
          <w:shd w:val="clear" w:color="auto" w:fill="FFFFFF"/>
        </w:rPr>
        <w:t>Journal of medical Internet research</w:t>
      </w:r>
      <w:r w:rsidRPr="00AE29FA">
        <w:rPr>
          <w:color w:val="181817"/>
          <w:shd w:val="clear" w:color="auto" w:fill="FFFFFF"/>
        </w:rPr>
        <w:t>, </w:t>
      </w:r>
      <w:r w:rsidRPr="00AE29FA">
        <w:rPr>
          <w:i/>
          <w:iCs/>
          <w:color w:val="181817"/>
          <w:shd w:val="clear" w:color="auto" w:fill="FFFFFF"/>
        </w:rPr>
        <w:t>15</w:t>
      </w:r>
      <w:r w:rsidRPr="00AE29FA">
        <w:rPr>
          <w:color w:val="181817"/>
          <w:shd w:val="clear" w:color="auto" w:fill="FFFFFF"/>
        </w:rPr>
        <w:t xml:space="preserve">(6), e120. </w:t>
      </w:r>
      <w:hyperlink r:id="rId26" w:history="1">
        <w:r w:rsidRPr="00AE29FA">
          <w:rPr>
            <w:rStyle w:val="Hyperlink"/>
            <w:shd w:val="clear" w:color="auto" w:fill="FFFFFF"/>
          </w:rPr>
          <w:t>https://doi.org/10.2196/jmir.2600</w:t>
        </w:r>
      </w:hyperlink>
    </w:p>
    <w:p w14:paraId="270DC48E" w14:textId="3EC6A560" w:rsidR="00AE29FA" w:rsidRPr="00AE29FA" w:rsidRDefault="00367582" w:rsidP="00AE29FA">
      <w:pPr>
        <w:spacing w:line="480" w:lineRule="auto"/>
        <w:ind w:left="720" w:hanging="720"/>
        <w:rPr>
          <w:color w:val="181817"/>
          <w:shd w:val="clear" w:color="auto" w:fill="FFFFFF"/>
        </w:rPr>
      </w:pPr>
      <w:r w:rsidRPr="00AE29FA">
        <w:rPr>
          <w:color w:val="181817"/>
          <w:shd w:val="clear" w:color="auto" w:fill="FFFFFF"/>
        </w:rPr>
        <w:t>Mohr, D. C., Cuijpers, P., &amp; Lehman, K. (2011). Supportive accountability: a model for providing human support to enhance adherence to eHealth interventions. </w:t>
      </w:r>
      <w:r w:rsidRPr="00AE29FA">
        <w:rPr>
          <w:i/>
          <w:iCs/>
          <w:color w:val="181817"/>
          <w:shd w:val="clear" w:color="auto" w:fill="FFFFFF"/>
        </w:rPr>
        <w:t>Journal of medical Internet research</w:t>
      </w:r>
      <w:r w:rsidRPr="00AE29FA">
        <w:rPr>
          <w:color w:val="181817"/>
          <w:shd w:val="clear" w:color="auto" w:fill="FFFFFF"/>
        </w:rPr>
        <w:t>, </w:t>
      </w:r>
      <w:r w:rsidRPr="00AE29FA">
        <w:rPr>
          <w:i/>
          <w:iCs/>
          <w:color w:val="181817"/>
          <w:shd w:val="clear" w:color="auto" w:fill="FFFFFF"/>
        </w:rPr>
        <w:t>13</w:t>
      </w:r>
      <w:r w:rsidRPr="00AE29FA">
        <w:rPr>
          <w:color w:val="181817"/>
          <w:shd w:val="clear" w:color="auto" w:fill="FFFFFF"/>
        </w:rPr>
        <w:t xml:space="preserve">(1), e30. </w:t>
      </w:r>
      <w:hyperlink r:id="rId27" w:history="1">
        <w:r w:rsidRPr="00AE29FA">
          <w:rPr>
            <w:rStyle w:val="Hyperlink"/>
            <w:shd w:val="clear" w:color="auto" w:fill="FFFFFF"/>
          </w:rPr>
          <w:t>https://doi.org/10.2196/jmir.1602</w:t>
        </w:r>
      </w:hyperlink>
    </w:p>
    <w:p w14:paraId="067F3233" w14:textId="5534FDA1" w:rsidR="00AE29FA" w:rsidRPr="00AE29FA" w:rsidRDefault="00AE29FA" w:rsidP="00AE29FA">
      <w:pPr>
        <w:spacing w:line="480" w:lineRule="auto"/>
        <w:ind w:left="720" w:hanging="720"/>
        <w:rPr>
          <w:color w:val="181817"/>
          <w:shd w:val="clear" w:color="auto" w:fill="FFFFFF"/>
        </w:rPr>
      </w:pPr>
      <w:proofErr w:type="spellStart"/>
      <w:r w:rsidRPr="00AE29FA">
        <w:rPr>
          <w:color w:val="181817"/>
          <w:shd w:val="clear" w:color="auto" w:fill="FFFFFF"/>
        </w:rPr>
        <w:t>Mojtabai</w:t>
      </w:r>
      <w:proofErr w:type="spellEnd"/>
      <w:r w:rsidRPr="00AE29FA">
        <w:rPr>
          <w:color w:val="181817"/>
          <w:shd w:val="clear" w:color="auto" w:fill="FFFFFF"/>
        </w:rPr>
        <w:t xml:space="preserve">, R., </w:t>
      </w:r>
      <w:proofErr w:type="spellStart"/>
      <w:r w:rsidRPr="00AE29FA">
        <w:rPr>
          <w:color w:val="181817"/>
          <w:shd w:val="clear" w:color="auto" w:fill="FFFFFF"/>
        </w:rPr>
        <w:t>Olfson</w:t>
      </w:r>
      <w:proofErr w:type="spellEnd"/>
      <w:r w:rsidRPr="00AE29FA">
        <w:rPr>
          <w:color w:val="181817"/>
          <w:shd w:val="clear" w:color="auto" w:fill="FFFFFF"/>
        </w:rPr>
        <w:t xml:space="preserve">, M., Sampson, N. A., Jin, R., Druss, B., Wang, P. S., Wells, K. B., Pincus, H. A., &amp; Kessler, R. C. (2010). Barriers to mental health treatment: Results from the National Comorbidity Survey Replication. </w:t>
      </w:r>
      <w:r w:rsidRPr="00AE29FA">
        <w:rPr>
          <w:i/>
          <w:iCs/>
          <w:color w:val="181817"/>
          <w:shd w:val="clear" w:color="auto" w:fill="FFFFFF"/>
        </w:rPr>
        <w:t>Psychological Medicine</w:t>
      </w:r>
      <w:r w:rsidRPr="00AE29FA">
        <w:rPr>
          <w:color w:val="181817"/>
          <w:shd w:val="clear" w:color="auto" w:fill="FFFFFF"/>
        </w:rPr>
        <w:t xml:space="preserve">, </w:t>
      </w:r>
      <w:r w:rsidRPr="00AE29FA">
        <w:rPr>
          <w:i/>
          <w:iCs/>
          <w:color w:val="181817"/>
          <w:shd w:val="clear" w:color="auto" w:fill="FFFFFF"/>
        </w:rPr>
        <w:t>41</w:t>
      </w:r>
      <w:r w:rsidRPr="00AE29FA">
        <w:rPr>
          <w:color w:val="181817"/>
          <w:shd w:val="clear" w:color="auto" w:fill="FFFFFF"/>
        </w:rPr>
        <w:t xml:space="preserve">(8), 1751–1761. </w:t>
      </w:r>
      <w:hyperlink r:id="rId28" w:history="1">
        <w:r w:rsidRPr="00AE29FA">
          <w:rPr>
            <w:rStyle w:val="Hyperlink"/>
            <w:shd w:val="clear" w:color="auto" w:fill="FFFFFF"/>
          </w:rPr>
          <w:t>https://doi.org/10.1017/s0033291710002291</w:t>
        </w:r>
      </w:hyperlink>
      <w:r w:rsidRPr="00AE29FA">
        <w:rPr>
          <w:color w:val="181817"/>
          <w:shd w:val="clear" w:color="auto" w:fill="FFFFFF"/>
        </w:rPr>
        <w:t xml:space="preserve"> </w:t>
      </w:r>
    </w:p>
    <w:p w14:paraId="12B0D00C" w14:textId="3B73DE7D" w:rsidR="00AE29FA" w:rsidRPr="00AE29FA" w:rsidRDefault="00AE29FA" w:rsidP="00AE29FA">
      <w:pPr>
        <w:spacing w:line="480" w:lineRule="auto"/>
        <w:ind w:left="720" w:hanging="720"/>
        <w:rPr>
          <w:color w:val="181817"/>
          <w:shd w:val="clear" w:color="auto" w:fill="FFFFFF"/>
        </w:rPr>
      </w:pPr>
      <w:r w:rsidRPr="00AE29FA">
        <w:rPr>
          <w:color w:val="181817"/>
          <w:shd w:val="clear" w:color="auto" w:fill="FFFFFF"/>
        </w:rPr>
        <w:t xml:space="preserve">Morgan, C., Mason, E., Newby, J. M., Mahoney, A. E. J., Hobbs, M. J., McAloon, J., &amp; Andrews, G. (2017). The effectiveness of unguided internet cognitive </w:t>
      </w:r>
      <w:proofErr w:type="spellStart"/>
      <w:r w:rsidRPr="00AE29FA">
        <w:rPr>
          <w:color w:val="181817"/>
          <w:shd w:val="clear" w:color="auto" w:fill="FFFFFF"/>
        </w:rPr>
        <w:t>behavioural</w:t>
      </w:r>
      <w:proofErr w:type="spellEnd"/>
      <w:r w:rsidRPr="00AE29FA">
        <w:rPr>
          <w:color w:val="181817"/>
          <w:shd w:val="clear" w:color="auto" w:fill="FFFFFF"/>
        </w:rPr>
        <w:t xml:space="preserve"> therapy for mixed anxiety and depression. </w:t>
      </w:r>
      <w:r w:rsidRPr="00AE29FA">
        <w:rPr>
          <w:i/>
          <w:iCs/>
          <w:color w:val="181817"/>
          <w:shd w:val="clear" w:color="auto" w:fill="FFFFFF"/>
        </w:rPr>
        <w:t>Internet Interventions</w:t>
      </w:r>
      <w:r w:rsidRPr="00AE29FA">
        <w:rPr>
          <w:color w:val="181817"/>
          <w:shd w:val="clear" w:color="auto" w:fill="FFFFFF"/>
        </w:rPr>
        <w:t xml:space="preserve">, </w:t>
      </w:r>
      <w:r w:rsidRPr="00AE29FA">
        <w:rPr>
          <w:i/>
          <w:iCs/>
          <w:color w:val="181817"/>
          <w:shd w:val="clear" w:color="auto" w:fill="FFFFFF"/>
        </w:rPr>
        <w:t>10</w:t>
      </w:r>
      <w:r w:rsidRPr="00AE29FA">
        <w:rPr>
          <w:color w:val="181817"/>
          <w:shd w:val="clear" w:color="auto" w:fill="FFFFFF"/>
        </w:rPr>
        <w:t xml:space="preserve">, 47–53. </w:t>
      </w:r>
      <w:hyperlink r:id="rId29" w:history="1">
        <w:r w:rsidRPr="00AE29FA">
          <w:rPr>
            <w:rStyle w:val="Hyperlink"/>
            <w:shd w:val="clear" w:color="auto" w:fill="FFFFFF"/>
          </w:rPr>
          <w:t>https://doi.org/10.1016/j.invent.2017.10.003</w:t>
        </w:r>
      </w:hyperlink>
      <w:r w:rsidRPr="00AE29FA">
        <w:rPr>
          <w:color w:val="181817"/>
          <w:shd w:val="clear" w:color="auto" w:fill="FFFFFF"/>
        </w:rPr>
        <w:t xml:space="preserve"> </w:t>
      </w:r>
    </w:p>
    <w:p w14:paraId="6DC0BD35" w14:textId="6B975110" w:rsidR="00367582" w:rsidRPr="003350EE" w:rsidRDefault="00367582" w:rsidP="00367582">
      <w:pPr>
        <w:spacing w:line="480" w:lineRule="auto"/>
        <w:ind w:left="720" w:hanging="720"/>
        <w:rPr>
          <w:color w:val="181817"/>
          <w:shd w:val="clear" w:color="auto" w:fill="FFFFFF"/>
        </w:rPr>
      </w:pPr>
      <w:r w:rsidRPr="003350EE">
        <w:rPr>
          <w:color w:val="181817"/>
          <w:shd w:val="clear" w:color="auto" w:fill="FFFFFF"/>
        </w:rPr>
        <w:t xml:space="preserve">Moshe, I., Terhorst, Y., Philippi, P., </w:t>
      </w:r>
      <w:proofErr w:type="spellStart"/>
      <w:r w:rsidRPr="003350EE">
        <w:rPr>
          <w:color w:val="181817"/>
          <w:shd w:val="clear" w:color="auto" w:fill="FFFFFF"/>
        </w:rPr>
        <w:t>Domhardt</w:t>
      </w:r>
      <w:proofErr w:type="spellEnd"/>
      <w:r w:rsidRPr="003350EE">
        <w:rPr>
          <w:color w:val="181817"/>
          <w:shd w:val="clear" w:color="auto" w:fill="FFFFFF"/>
        </w:rPr>
        <w:t xml:space="preserve">, M., Cuijpers, P., Cristea, I., </w:t>
      </w:r>
      <w:proofErr w:type="spellStart"/>
      <w:r w:rsidRPr="003350EE">
        <w:rPr>
          <w:color w:val="181817"/>
          <w:shd w:val="clear" w:color="auto" w:fill="FFFFFF"/>
        </w:rPr>
        <w:t>Pulkki-Råback</w:t>
      </w:r>
      <w:proofErr w:type="spellEnd"/>
      <w:r w:rsidRPr="003350EE">
        <w:rPr>
          <w:color w:val="181817"/>
          <w:shd w:val="clear" w:color="auto" w:fill="FFFFFF"/>
        </w:rPr>
        <w:t>, L., Baumeister, H., &amp; Sander, L. B. (2021). Digital interventions for the treatment of depression: A meta-analytic review. </w:t>
      </w:r>
      <w:r w:rsidRPr="003350EE">
        <w:rPr>
          <w:i/>
          <w:iCs/>
          <w:color w:val="181817"/>
          <w:shd w:val="clear" w:color="auto" w:fill="FFFFFF"/>
        </w:rPr>
        <w:t>Psychological Bulletin, 147</w:t>
      </w:r>
      <w:r w:rsidRPr="003350EE">
        <w:rPr>
          <w:color w:val="181817"/>
          <w:shd w:val="clear" w:color="auto" w:fill="FFFFFF"/>
        </w:rPr>
        <w:t>(8), 749–786. </w:t>
      </w:r>
      <w:hyperlink r:id="rId30" w:history="1">
        <w:r w:rsidRPr="003350EE">
          <w:rPr>
            <w:rStyle w:val="Hyperlink"/>
            <w:shd w:val="clear" w:color="auto" w:fill="FFFFFF"/>
          </w:rPr>
          <w:t>https://doi.org/10.1037/bul0000334</w:t>
        </w:r>
      </w:hyperlink>
    </w:p>
    <w:p w14:paraId="05D3C069" w14:textId="3D9196B4" w:rsidR="00367582" w:rsidRPr="00AE29FA" w:rsidRDefault="00367582" w:rsidP="00AE29FA">
      <w:pPr>
        <w:spacing w:line="480" w:lineRule="auto"/>
        <w:ind w:left="720" w:hanging="720"/>
        <w:rPr>
          <w:color w:val="181817"/>
          <w:shd w:val="clear" w:color="auto" w:fill="FFFFFF"/>
        </w:rPr>
      </w:pPr>
      <w:r w:rsidRPr="008B1A35">
        <w:rPr>
          <w:color w:val="181817"/>
          <w:shd w:val="clear" w:color="auto" w:fill="FFFFFF"/>
        </w:rPr>
        <w:lastRenderedPageBreak/>
        <w:t xml:space="preserve">Ong, C. W., Terry, C. L., Levin, M. E., &amp; Twohig, M. P. (2023). Examining the feasibility and effectiveness of online acceptance and commitment therapy self-help in a quasi-stepped care model: A pilot study. </w:t>
      </w:r>
      <w:r w:rsidRPr="008B1A35">
        <w:rPr>
          <w:i/>
          <w:iCs/>
          <w:color w:val="181817"/>
          <w:shd w:val="clear" w:color="auto" w:fill="FFFFFF"/>
        </w:rPr>
        <w:t>Psychological Services</w:t>
      </w:r>
      <w:r w:rsidRPr="008B1A35">
        <w:rPr>
          <w:color w:val="181817"/>
          <w:shd w:val="clear" w:color="auto" w:fill="FFFFFF"/>
        </w:rPr>
        <w:t xml:space="preserve">, </w:t>
      </w:r>
      <w:r w:rsidRPr="008B1A35">
        <w:rPr>
          <w:i/>
          <w:iCs/>
          <w:color w:val="181817"/>
          <w:shd w:val="clear" w:color="auto" w:fill="FFFFFF"/>
        </w:rPr>
        <w:t>20</w:t>
      </w:r>
      <w:r w:rsidRPr="008B1A35">
        <w:rPr>
          <w:color w:val="181817"/>
          <w:shd w:val="clear" w:color="auto" w:fill="FFFFFF"/>
        </w:rPr>
        <w:t xml:space="preserve">(1), 166–177. </w:t>
      </w:r>
      <w:hyperlink r:id="rId31" w:history="1">
        <w:r w:rsidRPr="008B1A35">
          <w:rPr>
            <w:rStyle w:val="Hyperlink"/>
            <w:shd w:val="clear" w:color="auto" w:fill="FFFFFF"/>
          </w:rPr>
          <w:t>https://doi.org/10.1037/ser0000596</w:t>
        </w:r>
      </w:hyperlink>
      <w:r w:rsidRPr="008B1A35">
        <w:rPr>
          <w:color w:val="181817"/>
          <w:shd w:val="clear" w:color="auto" w:fill="FFFFFF"/>
        </w:rPr>
        <w:t xml:space="preserve"> </w:t>
      </w:r>
      <w:r w:rsidR="00AE29FA" w:rsidRPr="00AE29FA">
        <w:rPr>
          <w:color w:val="181817"/>
          <w:shd w:val="clear" w:color="auto" w:fill="FFFFFF"/>
        </w:rPr>
        <w:t>https://doi.org/10.1016/j.invent.2017.10.003</w:t>
      </w:r>
    </w:p>
    <w:p w14:paraId="278930BF" w14:textId="77777777" w:rsidR="00367582" w:rsidRDefault="00367582" w:rsidP="00367582">
      <w:pPr>
        <w:spacing w:line="480" w:lineRule="auto"/>
        <w:ind w:left="720" w:hanging="720"/>
        <w:rPr>
          <w:rStyle w:val="Hyperlink"/>
          <w:shd w:val="clear" w:color="auto" w:fill="FFFFFF"/>
        </w:rPr>
      </w:pPr>
      <w:r w:rsidRPr="00AE29FA">
        <w:rPr>
          <w:color w:val="181817"/>
          <w:shd w:val="clear" w:color="auto" w:fill="FFFFFF"/>
        </w:rPr>
        <w:t>O’Keeffe, S., Martin, P., Target, M., &amp; Midgley, N. (2019). ‘I just stopped going’: A mixed methods investigation into types of therapy dropout in adolescents with depression. </w:t>
      </w:r>
      <w:r w:rsidRPr="00AE29FA">
        <w:rPr>
          <w:i/>
          <w:iCs/>
          <w:color w:val="181817"/>
          <w:shd w:val="clear" w:color="auto" w:fill="FFFFFF"/>
        </w:rPr>
        <w:t>Frontiers in Psychology</w:t>
      </w:r>
      <w:r w:rsidRPr="00AE29FA">
        <w:rPr>
          <w:color w:val="181817"/>
          <w:shd w:val="clear" w:color="auto" w:fill="FFFFFF"/>
        </w:rPr>
        <w:t>, </w:t>
      </w:r>
      <w:r w:rsidRPr="00AE29FA">
        <w:rPr>
          <w:i/>
          <w:iCs/>
          <w:color w:val="181817"/>
          <w:shd w:val="clear" w:color="auto" w:fill="FFFFFF"/>
        </w:rPr>
        <w:t>10</w:t>
      </w:r>
      <w:r w:rsidRPr="00AE29FA">
        <w:rPr>
          <w:color w:val="181817"/>
          <w:shd w:val="clear" w:color="auto" w:fill="FFFFFF"/>
        </w:rPr>
        <w:t xml:space="preserve">. </w:t>
      </w:r>
      <w:hyperlink r:id="rId32" w:history="1">
        <w:r w:rsidRPr="00AE29FA">
          <w:rPr>
            <w:rStyle w:val="Hyperlink"/>
            <w:shd w:val="clear" w:color="auto" w:fill="FFFFFF"/>
          </w:rPr>
          <w:t>https://doi-org.dist.lib.usu.edu/10.3389/fpsyg.2019.00075</w:t>
        </w:r>
      </w:hyperlink>
    </w:p>
    <w:p w14:paraId="156C7E3A" w14:textId="616D313A" w:rsidR="001B4A10" w:rsidRPr="00AE29FA" w:rsidRDefault="00230A29" w:rsidP="00367582">
      <w:pPr>
        <w:spacing w:line="480" w:lineRule="auto"/>
        <w:ind w:left="720" w:hanging="720"/>
        <w:rPr>
          <w:rStyle w:val="Hyperlink"/>
          <w:shd w:val="clear" w:color="auto" w:fill="FFFFFF"/>
        </w:rPr>
      </w:pPr>
      <w:r w:rsidRPr="00230A29">
        <w:rPr>
          <w:color w:val="0000FF"/>
          <w:u w:val="single"/>
          <w:shd w:val="clear" w:color="auto" w:fill="FFFFFF"/>
        </w:rPr>
        <w:t>Owen, J. J., Adelson, J., Budge, S., Kopta, S. M., &amp; Reese, R. J. (2016). Good-enough level and dose-effect models: Variation among outcomes and therapists. </w:t>
      </w:r>
      <w:r w:rsidRPr="00230A29">
        <w:rPr>
          <w:i/>
          <w:iCs/>
          <w:color w:val="0000FF"/>
          <w:u w:val="single"/>
          <w:shd w:val="clear" w:color="auto" w:fill="FFFFFF"/>
        </w:rPr>
        <w:t xml:space="preserve">Psychotherapy </w:t>
      </w:r>
      <w:proofErr w:type="gramStart"/>
      <w:r w:rsidRPr="00230A29">
        <w:rPr>
          <w:i/>
          <w:iCs/>
          <w:color w:val="0000FF"/>
          <w:u w:val="single"/>
          <w:shd w:val="clear" w:color="auto" w:fill="FFFFFF"/>
        </w:rPr>
        <w:t>research :</w:t>
      </w:r>
      <w:proofErr w:type="gramEnd"/>
      <w:r w:rsidRPr="00230A29">
        <w:rPr>
          <w:i/>
          <w:iCs/>
          <w:color w:val="0000FF"/>
          <w:u w:val="single"/>
          <w:shd w:val="clear" w:color="auto" w:fill="FFFFFF"/>
        </w:rPr>
        <w:t xml:space="preserve"> journal of the Society for Psychotherapy Research</w:t>
      </w:r>
      <w:r w:rsidRPr="00230A29">
        <w:rPr>
          <w:color w:val="0000FF"/>
          <w:u w:val="single"/>
          <w:shd w:val="clear" w:color="auto" w:fill="FFFFFF"/>
        </w:rPr>
        <w:t>, </w:t>
      </w:r>
      <w:r w:rsidRPr="00230A29">
        <w:rPr>
          <w:i/>
          <w:iCs/>
          <w:color w:val="0000FF"/>
          <w:u w:val="single"/>
          <w:shd w:val="clear" w:color="auto" w:fill="FFFFFF"/>
        </w:rPr>
        <w:t>26</w:t>
      </w:r>
      <w:r w:rsidRPr="00230A29">
        <w:rPr>
          <w:color w:val="0000FF"/>
          <w:u w:val="single"/>
          <w:shd w:val="clear" w:color="auto" w:fill="FFFFFF"/>
        </w:rPr>
        <w:t>(1), 22–30. https://doi.org/10.1080/10503307.2014.966346</w:t>
      </w:r>
    </w:p>
    <w:p w14:paraId="551FD67E" w14:textId="77777777" w:rsidR="00367582" w:rsidRPr="00AE29FA" w:rsidRDefault="00367582" w:rsidP="00367582">
      <w:pPr>
        <w:spacing w:line="480" w:lineRule="auto"/>
        <w:ind w:left="720" w:hanging="720"/>
        <w:rPr>
          <w:color w:val="181817"/>
          <w:shd w:val="clear" w:color="auto" w:fill="FFFFFF"/>
        </w:rPr>
      </w:pPr>
      <w:r w:rsidRPr="003350EE">
        <w:rPr>
          <w:color w:val="181817"/>
          <w:shd w:val="clear" w:color="auto" w:fill="FFFFFF"/>
        </w:rPr>
        <w:t xml:space="preserve">Pauley, D., Cuijpers, P., Papola, D., Miguel, C., &amp; </w:t>
      </w:r>
      <w:proofErr w:type="spellStart"/>
      <w:r w:rsidRPr="003350EE">
        <w:rPr>
          <w:color w:val="181817"/>
          <w:shd w:val="clear" w:color="auto" w:fill="FFFFFF"/>
        </w:rPr>
        <w:t>Karyotaki</w:t>
      </w:r>
      <w:proofErr w:type="spellEnd"/>
      <w:r w:rsidRPr="003350EE">
        <w:rPr>
          <w:color w:val="181817"/>
          <w:shd w:val="clear" w:color="auto" w:fill="FFFFFF"/>
        </w:rPr>
        <w:t>, E. (2021). Two decades of digital interventions for anxiety disorders: a systematic review and meta-analysis of treatment effectiveness. </w:t>
      </w:r>
      <w:r w:rsidRPr="003350EE">
        <w:rPr>
          <w:i/>
          <w:iCs/>
          <w:color w:val="181817"/>
          <w:shd w:val="clear" w:color="auto" w:fill="FFFFFF"/>
        </w:rPr>
        <w:t>Psychological medicine</w:t>
      </w:r>
      <w:r w:rsidRPr="003350EE">
        <w:rPr>
          <w:color w:val="181817"/>
          <w:shd w:val="clear" w:color="auto" w:fill="FFFFFF"/>
        </w:rPr>
        <w:t>, </w:t>
      </w:r>
      <w:r w:rsidRPr="003350EE">
        <w:rPr>
          <w:i/>
          <w:iCs/>
          <w:color w:val="181817"/>
          <w:shd w:val="clear" w:color="auto" w:fill="FFFFFF"/>
        </w:rPr>
        <w:t>53</w:t>
      </w:r>
      <w:r w:rsidRPr="003350EE">
        <w:rPr>
          <w:color w:val="181817"/>
          <w:shd w:val="clear" w:color="auto" w:fill="FFFFFF"/>
        </w:rPr>
        <w:t xml:space="preserve">(2), 567–579. </w:t>
      </w:r>
      <w:hyperlink r:id="rId33" w:history="1">
        <w:r w:rsidRPr="003350EE">
          <w:rPr>
            <w:rStyle w:val="Hyperlink"/>
            <w:shd w:val="clear" w:color="auto" w:fill="FFFFFF"/>
          </w:rPr>
          <w:t>https://doi.org/10.1017/S0033291721001999</w:t>
        </w:r>
      </w:hyperlink>
    </w:p>
    <w:p w14:paraId="50424C7F" w14:textId="417C5960" w:rsidR="00C24AB9" w:rsidRDefault="00C24AB9" w:rsidP="00367582">
      <w:pPr>
        <w:spacing w:line="480" w:lineRule="auto"/>
        <w:ind w:left="720" w:hanging="720"/>
        <w:rPr>
          <w:color w:val="181817"/>
          <w:shd w:val="clear" w:color="auto" w:fill="FFFFFF"/>
        </w:rPr>
      </w:pPr>
      <w:r w:rsidRPr="00C24AB9">
        <w:rPr>
          <w:color w:val="181817"/>
          <w:shd w:val="clear" w:color="auto" w:fill="FFFFFF"/>
        </w:rPr>
        <w:t xml:space="preserve">Perski, O., Blandford, A., West, R., &amp; Michie, S. (2017). </w:t>
      </w:r>
      <w:proofErr w:type="spellStart"/>
      <w:r w:rsidRPr="00C24AB9">
        <w:rPr>
          <w:color w:val="181817"/>
          <w:shd w:val="clear" w:color="auto" w:fill="FFFFFF"/>
        </w:rPr>
        <w:t>Conceptualising</w:t>
      </w:r>
      <w:proofErr w:type="spellEnd"/>
      <w:r w:rsidRPr="00C24AB9">
        <w:rPr>
          <w:color w:val="181817"/>
          <w:shd w:val="clear" w:color="auto" w:fill="FFFFFF"/>
        </w:rPr>
        <w:t xml:space="preserve"> engagement with digital </w:t>
      </w:r>
      <w:proofErr w:type="spellStart"/>
      <w:r w:rsidRPr="00C24AB9">
        <w:rPr>
          <w:color w:val="181817"/>
          <w:shd w:val="clear" w:color="auto" w:fill="FFFFFF"/>
        </w:rPr>
        <w:t>behaviour</w:t>
      </w:r>
      <w:proofErr w:type="spellEnd"/>
      <w:r w:rsidRPr="00C24AB9">
        <w:rPr>
          <w:color w:val="181817"/>
          <w:shd w:val="clear" w:color="auto" w:fill="FFFFFF"/>
        </w:rPr>
        <w:t xml:space="preserve"> change interventions: a systematic review using principles from critical interpretive synthesis. Translational behavioral medicine, 7(2), 254–267. https://doi.org/10.1007/s13142-016-0453-1</w:t>
      </w:r>
    </w:p>
    <w:p w14:paraId="41748813" w14:textId="77E967DC" w:rsidR="00367582" w:rsidRPr="00AE29FA" w:rsidRDefault="00367582" w:rsidP="00367582">
      <w:pPr>
        <w:spacing w:line="480" w:lineRule="auto"/>
        <w:ind w:left="720" w:hanging="720"/>
        <w:rPr>
          <w:color w:val="181817"/>
          <w:shd w:val="clear" w:color="auto" w:fill="FFFFFF"/>
        </w:rPr>
      </w:pPr>
      <w:r w:rsidRPr="00AE29FA">
        <w:rPr>
          <w:color w:val="181817"/>
          <w:shd w:val="clear" w:color="auto" w:fill="FFFFFF"/>
        </w:rPr>
        <w:t xml:space="preserve">Posit team (2023). </w:t>
      </w:r>
      <w:r w:rsidRPr="00AE29FA">
        <w:rPr>
          <w:i/>
          <w:iCs/>
          <w:color w:val="181817"/>
          <w:shd w:val="clear" w:color="auto" w:fill="FFFFFF"/>
        </w:rPr>
        <w:t>RStudio: Integrated Development Environment for R.</w:t>
      </w:r>
      <w:r w:rsidRPr="00AE29FA">
        <w:rPr>
          <w:color w:val="181817"/>
          <w:shd w:val="clear" w:color="auto" w:fill="FFFFFF"/>
        </w:rPr>
        <w:t xml:space="preserve"> Posit Software, PBC, Boston, MA. </w:t>
      </w:r>
      <w:hyperlink r:id="rId34" w:history="1">
        <w:r w:rsidRPr="00AE29FA">
          <w:rPr>
            <w:rStyle w:val="Hyperlink"/>
            <w:shd w:val="clear" w:color="auto" w:fill="FFFFFF"/>
          </w:rPr>
          <w:t>http://www.posit.co/</w:t>
        </w:r>
      </w:hyperlink>
    </w:p>
    <w:p w14:paraId="2E9514C0" w14:textId="77777777" w:rsidR="00367582" w:rsidRPr="00AE29FA" w:rsidRDefault="00367582" w:rsidP="00367582">
      <w:pPr>
        <w:spacing w:line="480" w:lineRule="auto"/>
        <w:ind w:left="720" w:hanging="720"/>
        <w:rPr>
          <w:color w:val="181817"/>
          <w:shd w:val="clear" w:color="auto" w:fill="FFFFFF"/>
        </w:rPr>
      </w:pPr>
      <w:r w:rsidRPr="00AE29FA">
        <w:rPr>
          <w:color w:val="181817"/>
          <w:shd w:val="clear" w:color="auto" w:fill="FFFFFF"/>
        </w:rPr>
        <w:lastRenderedPageBreak/>
        <w:t>Pywell, J., Vijaykumar, S., Dodd, A., &amp; Coventry, L. (2020). Barriers to older adults' uptake of mobile-based mental health interventions. </w:t>
      </w:r>
      <w:r w:rsidRPr="00AE29FA">
        <w:rPr>
          <w:i/>
          <w:iCs/>
          <w:color w:val="181817"/>
          <w:shd w:val="clear" w:color="auto" w:fill="FFFFFF"/>
        </w:rPr>
        <w:t>Digital health</w:t>
      </w:r>
      <w:r w:rsidRPr="00AE29FA">
        <w:rPr>
          <w:color w:val="181817"/>
          <w:shd w:val="clear" w:color="auto" w:fill="FFFFFF"/>
        </w:rPr>
        <w:t>, </w:t>
      </w:r>
      <w:r w:rsidRPr="00AE29FA">
        <w:rPr>
          <w:i/>
          <w:iCs/>
          <w:color w:val="181817"/>
          <w:shd w:val="clear" w:color="auto" w:fill="FFFFFF"/>
        </w:rPr>
        <w:t>6</w:t>
      </w:r>
      <w:r w:rsidRPr="00AE29FA">
        <w:rPr>
          <w:color w:val="181817"/>
          <w:shd w:val="clear" w:color="auto" w:fill="FFFFFF"/>
        </w:rPr>
        <w:t xml:space="preserve">, 2055207620905422. </w:t>
      </w:r>
      <w:hyperlink r:id="rId35" w:history="1">
        <w:r w:rsidRPr="00AE29FA">
          <w:rPr>
            <w:rStyle w:val="Hyperlink"/>
            <w:shd w:val="clear" w:color="auto" w:fill="FFFFFF"/>
          </w:rPr>
          <w:t>https://doi.org/10.1177/2055207620905422</w:t>
        </w:r>
      </w:hyperlink>
    </w:p>
    <w:p w14:paraId="2849C70B" w14:textId="77777777" w:rsidR="00367582" w:rsidRDefault="00367582" w:rsidP="00367582">
      <w:pPr>
        <w:spacing w:line="480" w:lineRule="auto"/>
        <w:ind w:left="720" w:hanging="720"/>
        <w:rPr>
          <w:rStyle w:val="Hyperlink"/>
          <w:shd w:val="clear" w:color="auto" w:fill="FFFFFF"/>
        </w:rPr>
      </w:pPr>
      <w:r w:rsidRPr="00AE29FA">
        <w:rPr>
          <w:color w:val="181817"/>
          <w:shd w:val="clear" w:color="auto" w:fill="FFFFFF"/>
        </w:rPr>
        <w:t xml:space="preserve">R Core Team (2023). </w:t>
      </w:r>
      <w:r w:rsidRPr="00AE29FA">
        <w:rPr>
          <w:i/>
          <w:iCs/>
          <w:color w:val="181817"/>
          <w:shd w:val="clear" w:color="auto" w:fill="FFFFFF"/>
        </w:rPr>
        <w:t>R: A Language and Environment for Statistical Computing.</w:t>
      </w:r>
      <w:r w:rsidRPr="00AE29FA">
        <w:rPr>
          <w:color w:val="181817"/>
          <w:shd w:val="clear" w:color="auto" w:fill="FFFFFF"/>
        </w:rPr>
        <w:t xml:space="preserve"> R Foundation for Statistical Computing, Vienna, Austria. </w:t>
      </w:r>
      <w:hyperlink r:id="rId36" w:history="1">
        <w:r w:rsidRPr="00AE29FA">
          <w:rPr>
            <w:rStyle w:val="Hyperlink"/>
            <w:shd w:val="clear" w:color="auto" w:fill="FFFFFF"/>
          </w:rPr>
          <w:t>https://www.R-project.org/</w:t>
        </w:r>
      </w:hyperlink>
    </w:p>
    <w:p w14:paraId="2D844A1D" w14:textId="65010108" w:rsidR="00343C78" w:rsidRPr="00AE29FA" w:rsidRDefault="00343C78" w:rsidP="00367582">
      <w:pPr>
        <w:spacing w:line="480" w:lineRule="auto"/>
        <w:ind w:left="720" w:hanging="720"/>
        <w:rPr>
          <w:color w:val="181817"/>
          <w:shd w:val="clear" w:color="auto" w:fill="FFFFFF"/>
        </w:rPr>
      </w:pPr>
      <w:r w:rsidRPr="00343C78">
        <w:rPr>
          <w:color w:val="181817"/>
          <w:shd w:val="clear" w:color="auto" w:fill="FFFFFF"/>
        </w:rPr>
        <w:t xml:space="preserve">Seidler, Z. E., Rice, S. M., </w:t>
      </w:r>
      <w:proofErr w:type="spellStart"/>
      <w:r w:rsidRPr="00343C78">
        <w:rPr>
          <w:color w:val="181817"/>
          <w:shd w:val="clear" w:color="auto" w:fill="FFFFFF"/>
        </w:rPr>
        <w:t>Ogrodniczuk</w:t>
      </w:r>
      <w:proofErr w:type="spellEnd"/>
      <w:r w:rsidRPr="00343C78">
        <w:rPr>
          <w:color w:val="181817"/>
          <w:shd w:val="clear" w:color="auto" w:fill="FFFFFF"/>
        </w:rPr>
        <w:t xml:space="preserve">, J. S., </w:t>
      </w:r>
      <w:proofErr w:type="spellStart"/>
      <w:r w:rsidRPr="00343C78">
        <w:rPr>
          <w:color w:val="181817"/>
          <w:shd w:val="clear" w:color="auto" w:fill="FFFFFF"/>
        </w:rPr>
        <w:t>Oliffe</w:t>
      </w:r>
      <w:proofErr w:type="spellEnd"/>
      <w:r w:rsidRPr="00343C78">
        <w:rPr>
          <w:color w:val="181817"/>
          <w:shd w:val="clear" w:color="auto" w:fill="FFFFFF"/>
        </w:rPr>
        <w:t>, J. L., &amp; Dhillon, H. M. (2018). Engaging Men in Psychological Treatment: A Scoping Review. </w:t>
      </w:r>
      <w:r w:rsidRPr="00343C78">
        <w:rPr>
          <w:i/>
          <w:iCs/>
          <w:color w:val="181817"/>
          <w:shd w:val="clear" w:color="auto" w:fill="FFFFFF"/>
        </w:rPr>
        <w:t>American journal of men's health</w:t>
      </w:r>
      <w:r w:rsidRPr="00343C78">
        <w:rPr>
          <w:color w:val="181817"/>
          <w:shd w:val="clear" w:color="auto" w:fill="FFFFFF"/>
        </w:rPr>
        <w:t>, </w:t>
      </w:r>
      <w:r w:rsidRPr="00343C78">
        <w:rPr>
          <w:i/>
          <w:iCs/>
          <w:color w:val="181817"/>
          <w:shd w:val="clear" w:color="auto" w:fill="FFFFFF"/>
        </w:rPr>
        <w:t>12</w:t>
      </w:r>
      <w:r w:rsidRPr="00343C78">
        <w:rPr>
          <w:color w:val="181817"/>
          <w:shd w:val="clear" w:color="auto" w:fill="FFFFFF"/>
        </w:rPr>
        <w:t>(6), 1882–1900. https://doi.org/10.1177/1557988318792157</w:t>
      </w:r>
    </w:p>
    <w:p w14:paraId="26BC2117" w14:textId="77777777" w:rsidR="00367582" w:rsidRPr="00AE29FA" w:rsidRDefault="00367582" w:rsidP="00367582">
      <w:pPr>
        <w:pStyle w:val="paragraph"/>
        <w:spacing w:before="0" w:beforeAutospacing="0" w:after="0" w:afterAutospacing="0" w:line="480" w:lineRule="auto"/>
        <w:ind w:left="720" w:hanging="720"/>
        <w:textAlignment w:val="baseline"/>
      </w:pPr>
      <w:r w:rsidRPr="00AE29FA">
        <w:t xml:space="preserve">Simon, G. E., Imel, Z. E., Ludman, E. J., &amp; Steinfeld, B. J. (2012). Is dropout after a first psychotherapy visit always a bad </w:t>
      </w:r>
      <w:proofErr w:type="gramStart"/>
      <w:r w:rsidRPr="00AE29FA">
        <w:t>outcome?.</w:t>
      </w:r>
      <w:proofErr w:type="gramEnd"/>
      <w:r w:rsidRPr="00AE29FA">
        <w:t> </w:t>
      </w:r>
      <w:r w:rsidRPr="00AE29FA">
        <w:rPr>
          <w:i/>
          <w:iCs/>
        </w:rPr>
        <w:t>Psychiatric services (Washington, D.C.)</w:t>
      </w:r>
      <w:r w:rsidRPr="00AE29FA">
        <w:t>, </w:t>
      </w:r>
      <w:r w:rsidRPr="00AE29FA">
        <w:rPr>
          <w:i/>
          <w:iCs/>
        </w:rPr>
        <w:t>63</w:t>
      </w:r>
      <w:r w:rsidRPr="00AE29FA">
        <w:t xml:space="preserve">(7), 705–707. </w:t>
      </w:r>
      <w:hyperlink r:id="rId37" w:history="1">
        <w:r w:rsidRPr="00AE29FA">
          <w:rPr>
            <w:rStyle w:val="Hyperlink"/>
          </w:rPr>
          <w:t>https://doi.org/10.1176/appi.ps.201100309</w:t>
        </w:r>
      </w:hyperlink>
    </w:p>
    <w:p w14:paraId="1A4E484C" w14:textId="77777777" w:rsidR="00367582" w:rsidRPr="00AE29FA" w:rsidRDefault="00367582" w:rsidP="00367582">
      <w:pPr>
        <w:pStyle w:val="paragraph"/>
        <w:spacing w:before="0" w:beforeAutospacing="0" w:after="0" w:afterAutospacing="0" w:line="480" w:lineRule="auto"/>
        <w:ind w:left="720" w:hanging="720"/>
        <w:textAlignment w:val="baseline"/>
      </w:pPr>
      <w:r w:rsidRPr="00AE29FA">
        <w:t xml:space="preserve">Solar, C., Halat, A. M., Maclean, R. R., Rajeevan, H., Williams, D. A., Krein, S. L., Heapy, A. A., Bair, M. J., Kerns, R. D., &amp; Higgins, D. M. (2021). Predictors of engagement in an internet-based cognitive behavioral therapy program for veterans with chronic low back pain. </w:t>
      </w:r>
      <w:r w:rsidRPr="00AE29FA">
        <w:rPr>
          <w:i/>
          <w:iCs/>
        </w:rPr>
        <w:t>Translational Behavioral Medicine</w:t>
      </w:r>
      <w:r w:rsidRPr="00AE29FA">
        <w:t xml:space="preserve">, </w:t>
      </w:r>
      <w:r w:rsidRPr="00AE29FA">
        <w:rPr>
          <w:i/>
          <w:iCs/>
        </w:rPr>
        <w:t>11</w:t>
      </w:r>
      <w:r w:rsidRPr="00AE29FA">
        <w:t xml:space="preserve">(6), 1274–1282. </w:t>
      </w:r>
      <w:hyperlink r:id="rId38" w:history="1">
        <w:r w:rsidRPr="00AE29FA">
          <w:rPr>
            <w:rStyle w:val="Hyperlink"/>
          </w:rPr>
          <w:t>https://doi.org/10.1093/tbm/ibaa098</w:t>
        </w:r>
      </w:hyperlink>
    </w:p>
    <w:p w14:paraId="48385663" w14:textId="77777777" w:rsidR="00367582" w:rsidRDefault="00367582" w:rsidP="00367582">
      <w:pPr>
        <w:spacing w:line="480" w:lineRule="auto"/>
        <w:ind w:left="720" w:hanging="720"/>
        <w:rPr>
          <w:rStyle w:val="Hyperlink"/>
        </w:rPr>
      </w:pPr>
      <w:bookmarkStart w:id="43" w:name="OLE_LINK11"/>
      <w:bookmarkStart w:id="44" w:name="OLE_LINK12"/>
      <w:r w:rsidRPr="00AE29FA">
        <w:rPr>
          <w:color w:val="000000" w:themeColor="text1"/>
        </w:rPr>
        <w:t xml:space="preserve">Swift, J. K., &amp; Greenberg, R. P. (2012). </w:t>
      </w:r>
      <w:bookmarkEnd w:id="43"/>
      <w:bookmarkEnd w:id="44"/>
      <w:r w:rsidRPr="00AE29FA">
        <w:rPr>
          <w:color w:val="000000" w:themeColor="text1"/>
        </w:rPr>
        <w:t>Premature discontinuation in adult psychotherapy: a meta-analysis. </w:t>
      </w:r>
      <w:r w:rsidRPr="00AE29FA">
        <w:rPr>
          <w:i/>
          <w:iCs/>
          <w:color w:val="000000" w:themeColor="text1"/>
        </w:rPr>
        <w:t>Journal of consulting and clinical psychology</w:t>
      </w:r>
      <w:r w:rsidRPr="00AE29FA">
        <w:rPr>
          <w:color w:val="000000" w:themeColor="text1"/>
        </w:rPr>
        <w:t>, </w:t>
      </w:r>
      <w:r w:rsidRPr="00AE29FA">
        <w:rPr>
          <w:i/>
          <w:iCs/>
          <w:color w:val="000000" w:themeColor="text1"/>
        </w:rPr>
        <w:t>80</w:t>
      </w:r>
      <w:r w:rsidRPr="00AE29FA">
        <w:rPr>
          <w:color w:val="000000" w:themeColor="text1"/>
        </w:rPr>
        <w:t xml:space="preserve">(4), 547–559. </w:t>
      </w:r>
      <w:hyperlink r:id="rId39" w:history="1">
        <w:r w:rsidRPr="00AE29FA">
          <w:rPr>
            <w:rStyle w:val="Hyperlink"/>
          </w:rPr>
          <w:t>https://doi.org/10.1037/a0028226</w:t>
        </w:r>
      </w:hyperlink>
    </w:p>
    <w:p w14:paraId="67C717BE" w14:textId="360BB7C1" w:rsidR="00BD3B14" w:rsidRPr="001E459F" w:rsidRDefault="00BD3B14" w:rsidP="00BD3B14">
      <w:pPr>
        <w:spacing w:line="480" w:lineRule="auto"/>
        <w:ind w:left="720" w:hanging="720"/>
      </w:pPr>
      <w:r w:rsidRPr="008B7822">
        <w:t xml:space="preserve">van Straten, A., Hill, J., Richards, D. A., &amp; Cuijpers, P. (2015). Stepped care treatment delivery for depression: a systematic review and meta-analysis. </w:t>
      </w:r>
      <w:r w:rsidRPr="008B7822">
        <w:rPr>
          <w:i/>
          <w:iCs/>
        </w:rPr>
        <w:t>Psychological Medicine, 45</w:t>
      </w:r>
      <w:r w:rsidRPr="008B7822">
        <w:t xml:space="preserve">(2), 231-246. </w:t>
      </w:r>
      <w:hyperlink r:id="rId40" w:history="1">
        <w:r w:rsidRPr="001E459F">
          <w:rPr>
            <w:rStyle w:val="Hyperlink"/>
          </w:rPr>
          <w:t>https://doi.org/10.1017/s0033291714000701</w:t>
        </w:r>
      </w:hyperlink>
    </w:p>
    <w:p w14:paraId="3456F872" w14:textId="77777777" w:rsidR="00367582" w:rsidRPr="00AE29FA" w:rsidRDefault="00367582" w:rsidP="00367582">
      <w:pPr>
        <w:spacing w:line="480" w:lineRule="auto"/>
        <w:ind w:left="720" w:hanging="720"/>
        <w:rPr>
          <w:color w:val="000000" w:themeColor="text1"/>
        </w:rPr>
      </w:pPr>
      <w:r w:rsidRPr="00AE29FA">
        <w:rPr>
          <w:color w:val="000000" w:themeColor="text1"/>
        </w:rPr>
        <w:lastRenderedPageBreak/>
        <w:t xml:space="preserve">Venables, W. N. &amp; Ripley, B. D. (2002) </w:t>
      </w:r>
      <w:r w:rsidRPr="00AE29FA">
        <w:rPr>
          <w:i/>
          <w:iCs/>
          <w:color w:val="000000" w:themeColor="text1"/>
        </w:rPr>
        <w:t>Modern Applied Statistics with S.</w:t>
      </w:r>
      <w:r w:rsidRPr="00AE29FA">
        <w:rPr>
          <w:color w:val="000000" w:themeColor="text1"/>
        </w:rPr>
        <w:t xml:space="preserve"> Fourth Edition. Springer, New York. </w:t>
      </w:r>
    </w:p>
    <w:p w14:paraId="0785F726" w14:textId="77777777" w:rsidR="00367582" w:rsidRPr="00AE29FA" w:rsidRDefault="00367582" w:rsidP="00367582">
      <w:pPr>
        <w:spacing w:line="480" w:lineRule="auto"/>
        <w:ind w:left="720" w:hanging="720"/>
        <w:rPr>
          <w:rStyle w:val="Hyperlink"/>
        </w:rPr>
      </w:pPr>
      <w:r w:rsidRPr="00AE29FA">
        <w:rPr>
          <w:color w:val="000000" w:themeColor="text1"/>
        </w:rPr>
        <w:t xml:space="preserve">Ver Hoef, J. M., &amp; </w:t>
      </w:r>
      <w:proofErr w:type="spellStart"/>
      <w:r w:rsidRPr="00AE29FA">
        <w:rPr>
          <w:color w:val="000000" w:themeColor="text1"/>
        </w:rPr>
        <w:t>Boveng</w:t>
      </w:r>
      <w:proofErr w:type="spellEnd"/>
      <w:r w:rsidRPr="00AE29FA">
        <w:rPr>
          <w:color w:val="000000" w:themeColor="text1"/>
        </w:rPr>
        <w:t xml:space="preserve">, P. L. (2007). Quasi‐Poisson vs. negative binomial regression: How should we model </w:t>
      </w:r>
      <w:proofErr w:type="spellStart"/>
      <w:r w:rsidRPr="00AE29FA">
        <w:rPr>
          <w:color w:val="000000" w:themeColor="text1"/>
        </w:rPr>
        <w:t>overdispersed</w:t>
      </w:r>
      <w:proofErr w:type="spellEnd"/>
      <w:r w:rsidRPr="00AE29FA">
        <w:rPr>
          <w:color w:val="000000" w:themeColor="text1"/>
        </w:rPr>
        <w:t xml:space="preserve"> count data? </w:t>
      </w:r>
      <w:r w:rsidRPr="00AE29FA">
        <w:rPr>
          <w:i/>
          <w:iCs/>
          <w:color w:val="000000" w:themeColor="text1"/>
        </w:rPr>
        <w:t>Ecology, 88</w:t>
      </w:r>
      <w:r w:rsidRPr="00AE29FA">
        <w:rPr>
          <w:color w:val="000000" w:themeColor="text1"/>
        </w:rPr>
        <w:t xml:space="preserve">(11), 2766-2772. </w:t>
      </w:r>
      <w:hyperlink r:id="rId41" w:history="1">
        <w:r w:rsidRPr="00AE29FA">
          <w:rPr>
            <w:rStyle w:val="Hyperlink"/>
          </w:rPr>
          <w:t>https://doi.org/10.1890/07-0043.1</w:t>
        </w:r>
      </w:hyperlink>
    </w:p>
    <w:p w14:paraId="2F9E1F2D" w14:textId="77777777" w:rsidR="004C021C" w:rsidRPr="004C021C" w:rsidRDefault="004C021C" w:rsidP="004C021C">
      <w:pPr>
        <w:spacing w:line="480" w:lineRule="auto"/>
        <w:ind w:left="720" w:hanging="720"/>
        <w:rPr>
          <w:color w:val="000000" w:themeColor="text1"/>
        </w:rPr>
      </w:pPr>
      <w:r w:rsidRPr="004C021C">
        <w:rPr>
          <w:color w:val="000000" w:themeColor="text1"/>
        </w:rPr>
        <w:t xml:space="preserve">Yeager, C. M., &amp; Benight, C. C. (2018). If we build it, will they come? Issues of engagement with digital health interventions for trauma recovery. </w:t>
      </w:r>
      <w:r w:rsidRPr="004C021C">
        <w:rPr>
          <w:i/>
          <w:iCs/>
          <w:color w:val="000000" w:themeColor="text1"/>
        </w:rPr>
        <w:t>MHealth</w:t>
      </w:r>
      <w:r w:rsidRPr="004C021C">
        <w:rPr>
          <w:color w:val="000000" w:themeColor="text1"/>
        </w:rPr>
        <w:t xml:space="preserve">, </w:t>
      </w:r>
      <w:r w:rsidRPr="004C021C">
        <w:rPr>
          <w:i/>
          <w:iCs/>
          <w:color w:val="000000" w:themeColor="text1"/>
        </w:rPr>
        <w:t>4</w:t>
      </w:r>
      <w:r w:rsidRPr="004C021C">
        <w:rPr>
          <w:color w:val="000000" w:themeColor="text1"/>
        </w:rPr>
        <w:t>, 37–37. https://doi.org/10.21037/mhealth.2018.08.04</w:t>
      </w:r>
    </w:p>
    <w:p w14:paraId="42C74D6B" w14:textId="77777777" w:rsidR="00367582" w:rsidRPr="00F42EB5" w:rsidRDefault="00367582" w:rsidP="00367582">
      <w:pPr>
        <w:spacing w:line="480" w:lineRule="auto"/>
        <w:ind w:left="720" w:hanging="720"/>
        <w:rPr>
          <w:color w:val="000000" w:themeColor="text1"/>
        </w:rPr>
      </w:pPr>
      <w:r w:rsidRPr="00AE29FA">
        <w:rPr>
          <w:color w:val="000000" w:themeColor="text1"/>
        </w:rPr>
        <w:t xml:space="preserve">Zarski, A. C., Lehr, D., Berking, M., Riper, H., Cuijpers, P., &amp; Ebert, D. D. (2016). Adherence to internet-based mobile-supported stress management: A pooled analysis of individual participant data from three randomized controlled trials. </w:t>
      </w:r>
      <w:r w:rsidRPr="00AE29FA">
        <w:rPr>
          <w:i/>
          <w:iCs/>
          <w:color w:val="000000" w:themeColor="text1"/>
        </w:rPr>
        <w:t>Journal of Medical Internet Research</w:t>
      </w:r>
      <w:r w:rsidRPr="00AE29FA">
        <w:rPr>
          <w:color w:val="000000" w:themeColor="text1"/>
        </w:rPr>
        <w:t xml:space="preserve">, </w:t>
      </w:r>
      <w:r w:rsidRPr="00AE29FA">
        <w:rPr>
          <w:i/>
          <w:iCs/>
          <w:color w:val="000000" w:themeColor="text1"/>
        </w:rPr>
        <w:t>18</w:t>
      </w:r>
      <w:r w:rsidRPr="00AE29FA">
        <w:rPr>
          <w:color w:val="000000" w:themeColor="text1"/>
        </w:rPr>
        <w:t xml:space="preserve">(6). </w:t>
      </w:r>
      <w:hyperlink r:id="rId42" w:history="1">
        <w:r w:rsidRPr="00AE29FA">
          <w:rPr>
            <w:rStyle w:val="Hyperlink"/>
          </w:rPr>
          <w:t>https://doi.org/10.2196/jmir.4493</w:t>
        </w:r>
      </w:hyperlink>
    </w:p>
    <w:p w14:paraId="72F1CC46" w14:textId="77777777" w:rsidR="00367582" w:rsidRDefault="00367582" w:rsidP="00367582"/>
    <w:p w14:paraId="72CD67EA" w14:textId="77777777" w:rsidR="00F42EB5" w:rsidRDefault="00F42EB5" w:rsidP="00C673CD">
      <w:pPr>
        <w:spacing w:line="480" w:lineRule="auto"/>
        <w:ind w:left="720" w:hanging="720"/>
        <w:rPr>
          <w:color w:val="000000" w:themeColor="text1"/>
        </w:rPr>
      </w:pPr>
    </w:p>
    <w:p w14:paraId="5EFBEC65" w14:textId="77777777" w:rsidR="00A60473" w:rsidRPr="00A60473" w:rsidRDefault="00A60473" w:rsidP="00A60473">
      <w:pPr>
        <w:spacing w:line="480" w:lineRule="auto"/>
        <w:ind w:left="720" w:hanging="720"/>
        <w:rPr>
          <w:color w:val="000000" w:themeColor="text1"/>
        </w:rPr>
      </w:pPr>
    </w:p>
    <w:p w14:paraId="7EBD3A42" w14:textId="4E3C691B" w:rsidR="00E02630" w:rsidRPr="008B0A87" w:rsidRDefault="00AF6F0B" w:rsidP="00FB3DB2">
      <w:pPr>
        <w:rPr>
          <w:b/>
          <w:bCs/>
        </w:rPr>
      </w:pPr>
      <w:r>
        <w:rPr>
          <w:b/>
          <w:bCs/>
        </w:rPr>
        <w:br w:type="page"/>
      </w:r>
    </w:p>
    <w:p w14:paraId="3C71035E" w14:textId="77777777" w:rsidR="00E02630" w:rsidRPr="008B0A87" w:rsidRDefault="00E02630" w:rsidP="00E02630">
      <w:pPr>
        <w:spacing w:line="480" w:lineRule="auto"/>
        <w:contextualSpacing/>
        <w:rPr>
          <w:i/>
          <w:iCs/>
        </w:rPr>
      </w:pPr>
      <w:r w:rsidRPr="008B0A87">
        <w:rPr>
          <w:b/>
          <w:bCs/>
        </w:rPr>
        <w:lastRenderedPageBreak/>
        <w:t>Table 1</w:t>
      </w:r>
    </w:p>
    <w:p w14:paraId="569AFDB2" w14:textId="4C4A7275" w:rsidR="00E02630" w:rsidRDefault="00E02630" w:rsidP="00E02630">
      <w:pPr>
        <w:spacing w:line="480" w:lineRule="auto"/>
        <w:contextualSpacing/>
        <w:rPr>
          <w:i/>
          <w:iCs/>
        </w:rPr>
      </w:pPr>
      <w:r>
        <w:rPr>
          <w:i/>
          <w:iCs/>
        </w:rPr>
        <w:t xml:space="preserve">Sample </w:t>
      </w:r>
      <w:r w:rsidR="00AC78A5">
        <w:rPr>
          <w:i/>
          <w:iCs/>
        </w:rPr>
        <w:t>D</w:t>
      </w:r>
      <w:r>
        <w:rPr>
          <w:i/>
          <w:iCs/>
        </w:rPr>
        <w:t>emographics</w:t>
      </w:r>
    </w:p>
    <w:tbl>
      <w:tblPr>
        <w:tblStyle w:val="TableGrid"/>
        <w:tblW w:w="9630" w:type="dxa"/>
        <w:tblLook w:val="04A0" w:firstRow="1" w:lastRow="0" w:firstColumn="1" w:lastColumn="0" w:noHBand="0" w:noVBand="1"/>
      </w:tblPr>
      <w:tblGrid>
        <w:gridCol w:w="6480"/>
        <w:gridCol w:w="3150"/>
      </w:tblGrid>
      <w:tr w:rsidR="00E02630" w14:paraId="2A3A2D66" w14:textId="77777777" w:rsidTr="00644948">
        <w:trPr>
          <w:trHeight w:val="503"/>
        </w:trPr>
        <w:tc>
          <w:tcPr>
            <w:tcW w:w="6480" w:type="dxa"/>
            <w:tcBorders>
              <w:top w:val="single" w:sz="4" w:space="0" w:color="auto"/>
              <w:left w:val="nil"/>
              <w:bottom w:val="single" w:sz="4" w:space="0" w:color="auto"/>
              <w:right w:val="nil"/>
            </w:tcBorders>
            <w:vAlign w:val="center"/>
          </w:tcPr>
          <w:p w14:paraId="1303799F" w14:textId="77777777" w:rsidR="00E02630" w:rsidRPr="00E616CD" w:rsidRDefault="00E02630">
            <w:pPr>
              <w:spacing w:after="160"/>
              <w:contextualSpacing/>
              <w:jc w:val="center"/>
            </w:pPr>
            <w:bookmarkStart w:id="45" w:name="_Hlk135509474"/>
          </w:p>
        </w:tc>
        <w:tc>
          <w:tcPr>
            <w:tcW w:w="3150" w:type="dxa"/>
            <w:tcBorders>
              <w:top w:val="single" w:sz="4" w:space="0" w:color="auto"/>
              <w:left w:val="nil"/>
              <w:bottom w:val="single" w:sz="4" w:space="0" w:color="auto"/>
              <w:right w:val="nil"/>
            </w:tcBorders>
            <w:vAlign w:val="center"/>
          </w:tcPr>
          <w:p w14:paraId="7F2A54EF" w14:textId="77777777" w:rsidR="00E02630" w:rsidRDefault="00E02630">
            <w:pPr>
              <w:spacing w:after="160"/>
              <w:contextualSpacing/>
              <w:jc w:val="center"/>
              <w:rPr>
                <w:sz w:val="20"/>
                <w:szCs w:val="20"/>
              </w:rPr>
            </w:pPr>
            <w:r>
              <w:rPr>
                <w:sz w:val="20"/>
                <w:szCs w:val="20"/>
              </w:rPr>
              <w:t>Total Sample</w:t>
            </w:r>
          </w:p>
          <w:p w14:paraId="075D8814" w14:textId="0193A650" w:rsidR="00E05025" w:rsidRPr="00E616CD" w:rsidRDefault="00E05025">
            <w:pPr>
              <w:spacing w:after="160"/>
              <w:contextualSpacing/>
              <w:jc w:val="center"/>
              <w:rPr>
                <w:sz w:val="20"/>
                <w:szCs w:val="20"/>
              </w:rPr>
            </w:pPr>
            <w:r>
              <w:rPr>
                <w:sz w:val="20"/>
                <w:szCs w:val="20"/>
              </w:rPr>
              <w:t>(</w:t>
            </w:r>
            <w:r w:rsidRPr="00E05025">
              <w:rPr>
                <w:i/>
                <w:iCs/>
                <w:sz w:val="20"/>
                <w:szCs w:val="20"/>
              </w:rPr>
              <w:t xml:space="preserve">n </w:t>
            </w:r>
            <w:r>
              <w:rPr>
                <w:sz w:val="20"/>
                <w:szCs w:val="20"/>
              </w:rPr>
              <w:t>= 984)</w:t>
            </w:r>
          </w:p>
        </w:tc>
      </w:tr>
      <w:tr w:rsidR="00E02630" w14:paraId="360833CD" w14:textId="77777777" w:rsidTr="00644948">
        <w:trPr>
          <w:trHeight w:val="317"/>
        </w:trPr>
        <w:tc>
          <w:tcPr>
            <w:tcW w:w="6480" w:type="dxa"/>
            <w:tcBorders>
              <w:top w:val="single" w:sz="4" w:space="0" w:color="auto"/>
              <w:left w:val="nil"/>
              <w:bottom w:val="nil"/>
              <w:right w:val="nil"/>
            </w:tcBorders>
            <w:vAlign w:val="center"/>
          </w:tcPr>
          <w:p w14:paraId="14EC7C7F" w14:textId="76C6569B" w:rsidR="00E02630" w:rsidRPr="00E616CD" w:rsidRDefault="00E02630">
            <w:pPr>
              <w:spacing w:after="160"/>
              <w:contextualSpacing/>
              <w:rPr>
                <w:sz w:val="20"/>
                <w:szCs w:val="20"/>
              </w:rPr>
            </w:pPr>
            <w:r w:rsidRPr="00E616CD">
              <w:rPr>
                <w:sz w:val="20"/>
                <w:szCs w:val="20"/>
              </w:rPr>
              <w:t>Age</w:t>
            </w:r>
            <w:r w:rsidR="00644948">
              <w:rPr>
                <w:sz w:val="20"/>
                <w:szCs w:val="20"/>
              </w:rPr>
              <w:t xml:space="preserve"> (%)</w:t>
            </w:r>
          </w:p>
        </w:tc>
        <w:tc>
          <w:tcPr>
            <w:tcW w:w="3150" w:type="dxa"/>
            <w:tcBorders>
              <w:top w:val="single" w:sz="4" w:space="0" w:color="auto"/>
              <w:left w:val="nil"/>
              <w:bottom w:val="nil"/>
              <w:right w:val="nil"/>
            </w:tcBorders>
            <w:vAlign w:val="center"/>
          </w:tcPr>
          <w:p w14:paraId="4F70D0D4" w14:textId="4F71187F" w:rsidR="00E02630" w:rsidRPr="00E616CD" w:rsidRDefault="00E02630">
            <w:pPr>
              <w:spacing w:after="160"/>
              <w:contextualSpacing/>
              <w:jc w:val="center"/>
              <w:rPr>
                <w:sz w:val="20"/>
                <w:szCs w:val="20"/>
              </w:rPr>
            </w:pPr>
          </w:p>
        </w:tc>
      </w:tr>
      <w:tr w:rsidR="00644948" w14:paraId="05ADC8F1" w14:textId="77777777" w:rsidTr="00644948">
        <w:trPr>
          <w:trHeight w:val="317"/>
        </w:trPr>
        <w:tc>
          <w:tcPr>
            <w:tcW w:w="6480" w:type="dxa"/>
            <w:tcBorders>
              <w:top w:val="nil"/>
              <w:left w:val="nil"/>
              <w:bottom w:val="nil"/>
              <w:right w:val="nil"/>
            </w:tcBorders>
            <w:vAlign w:val="center"/>
          </w:tcPr>
          <w:p w14:paraId="29645D8F" w14:textId="227FC2CC" w:rsidR="00644948" w:rsidRPr="00644948" w:rsidRDefault="00644948">
            <w:pPr>
              <w:spacing w:after="160"/>
              <w:contextualSpacing/>
              <w:rPr>
                <w:i/>
                <w:iCs/>
                <w:sz w:val="20"/>
                <w:szCs w:val="20"/>
              </w:rPr>
            </w:pPr>
            <w:r>
              <w:rPr>
                <w:sz w:val="20"/>
                <w:szCs w:val="20"/>
              </w:rPr>
              <w:t xml:space="preserve">     </w:t>
            </w:r>
            <w:r w:rsidRPr="00644948">
              <w:rPr>
                <w:i/>
                <w:iCs/>
                <w:sz w:val="20"/>
                <w:szCs w:val="20"/>
              </w:rPr>
              <w:t>18 – 24</w:t>
            </w:r>
          </w:p>
        </w:tc>
        <w:tc>
          <w:tcPr>
            <w:tcW w:w="3150" w:type="dxa"/>
            <w:tcBorders>
              <w:top w:val="nil"/>
              <w:left w:val="nil"/>
              <w:bottom w:val="nil"/>
              <w:right w:val="nil"/>
            </w:tcBorders>
            <w:vAlign w:val="center"/>
          </w:tcPr>
          <w:p w14:paraId="0A65FD29" w14:textId="7EF8307D" w:rsidR="00644948" w:rsidRDefault="006D7315">
            <w:pPr>
              <w:spacing w:after="160"/>
              <w:contextualSpacing/>
              <w:jc w:val="center"/>
              <w:rPr>
                <w:sz w:val="20"/>
                <w:szCs w:val="20"/>
              </w:rPr>
            </w:pPr>
            <w:r>
              <w:rPr>
                <w:sz w:val="20"/>
                <w:szCs w:val="20"/>
              </w:rPr>
              <w:t>24.5</w:t>
            </w:r>
          </w:p>
        </w:tc>
      </w:tr>
      <w:tr w:rsidR="00644948" w14:paraId="72DE181E" w14:textId="77777777" w:rsidTr="00644948">
        <w:trPr>
          <w:trHeight w:val="317"/>
        </w:trPr>
        <w:tc>
          <w:tcPr>
            <w:tcW w:w="6480" w:type="dxa"/>
            <w:tcBorders>
              <w:top w:val="nil"/>
              <w:left w:val="nil"/>
              <w:bottom w:val="nil"/>
              <w:right w:val="nil"/>
            </w:tcBorders>
            <w:vAlign w:val="center"/>
          </w:tcPr>
          <w:p w14:paraId="438D549E" w14:textId="3C525994" w:rsidR="00644948" w:rsidRPr="00644948" w:rsidRDefault="00644948">
            <w:pPr>
              <w:spacing w:after="160"/>
              <w:contextualSpacing/>
              <w:rPr>
                <w:i/>
                <w:iCs/>
                <w:sz w:val="20"/>
                <w:szCs w:val="20"/>
              </w:rPr>
            </w:pPr>
            <w:r w:rsidRPr="00644948">
              <w:rPr>
                <w:i/>
                <w:iCs/>
                <w:sz w:val="20"/>
                <w:szCs w:val="20"/>
              </w:rPr>
              <w:t xml:space="preserve">     25 – 34</w:t>
            </w:r>
          </w:p>
        </w:tc>
        <w:tc>
          <w:tcPr>
            <w:tcW w:w="3150" w:type="dxa"/>
            <w:tcBorders>
              <w:top w:val="nil"/>
              <w:left w:val="nil"/>
              <w:bottom w:val="nil"/>
              <w:right w:val="nil"/>
            </w:tcBorders>
            <w:vAlign w:val="center"/>
          </w:tcPr>
          <w:p w14:paraId="1FF41BE0" w14:textId="408A7F45" w:rsidR="00644948" w:rsidRDefault="006D7315">
            <w:pPr>
              <w:spacing w:after="160"/>
              <w:contextualSpacing/>
              <w:jc w:val="center"/>
              <w:rPr>
                <w:sz w:val="20"/>
                <w:szCs w:val="20"/>
              </w:rPr>
            </w:pPr>
            <w:r>
              <w:rPr>
                <w:sz w:val="20"/>
                <w:szCs w:val="20"/>
              </w:rPr>
              <w:t>27.0</w:t>
            </w:r>
          </w:p>
        </w:tc>
      </w:tr>
      <w:tr w:rsidR="00644948" w14:paraId="45C5A3B2" w14:textId="77777777" w:rsidTr="00644948">
        <w:trPr>
          <w:trHeight w:val="317"/>
        </w:trPr>
        <w:tc>
          <w:tcPr>
            <w:tcW w:w="6480" w:type="dxa"/>
            <w:tcBorders>
              <w:top w:val="nil"/>
              <w:left w:val="nil"/>
              <w:bottom w:val="nil"/>
              <w:right w:val="nil"/>
            </w:tcBorders>
            <w:vAlign w:val="center"/>
          </w:tcPr>
          <w:p w14:paraId="64B4AA49" w14:textId="4C91C3D6" w:rsidR="00644948" w:rsidRPr="00644948" w:rsidRDefault="00644948">
            <w:pPr>
              <w:spacing w:after="160"/>
              <w:contextualSpacing/>
              <w:rPr>
                <w:i/>
                <w:iCs/>
                <w:sz w:val="20"/>
                <w:szCs w:val="20"/>
              </w:rPr>
            </w:pPr>
            <w:r w:rsidRPr="00644948">
              <w:rPr>
                <w:i/>
                <w:iCs/>
                <w:sz w:val="20"/>
                <w:szCs w:val="20"/>
              </w:rPr>
              <w:t xml:space="preserve">     35 – 44</w:t>
            </w:r>
          </w:p>
        </w:tc>
        <w:tc>
          <w:tcPr>
            <w:tcW w:w="3150" w:type="dxa"/>
            <w:tcBorders>
              <w:top w:val="nil"/>
              <w:left w:val="nil"/>
              <w:bottom w:val="nil"/>
              <w:right w:val="nil"/>
            </w:tcBorders>
            <w:vAlign w:val="center"/>
          </w:tcPr>
          <w:p w14:paraId="01F5979A" w14:textId="76798EF2" w:rsidR="00644948" w:rsidRDefault="006D7315">
            <w:pPr>
              <w:spacing w:after="160"/>
              <w:contextualSpacing/>
              <w:jc w:val="center"/>
              <w:rPr>
                <w:sz w:val="20"/>
                <w:szCs w:val="20"/>
              </w:rPr>
            </w:pPr>
            <w:r>
              <w:rPr>
                <w:sz w:val="20"/>
                <w:szCs w:val="20"/>
              </w:rPr>
              <w:t>20.7</w:t>
            </w:r>
          </w:p>
        </w:tc>
      </w:tr>
      <w:tr w:rsidR="00644948" w14:paraId="2D5142A6" w14:textId="77777777" w:rsidTr="00644948">
        <w:trPr>
          <w:trHeight w:val="317"/>
        </w:trPr>
        <w:tc>
          <w:tcPr>
            <w:tcW w:w="6480" w:type="dxa"/>
            <w:tcBorders>
              <w:top w:val="nil"/>
              <w:left w:val="nil"/>
              <w:bottom w:val="nil"/>
              <w:right w:val="nil"/>
            </w:tcBorders>
            <w:vAlign w:val="center"/>
          </w:tcPr>
          <w:p w14:paraId="44759374" w14:textId="6E4ABCB1" w:rsidR="00644948" w:rsidRPr="00644948" w:rsidRDefault="00644948">
            <w:pPr>
              <w:spacing w:after="160"/>
              <w:contextualSpacing/>
              <w:rPr>
                <w:i/>
                <w:iCs/>
                <w:sz w:val="20"/>
                <w:szCs w:val="20"/>
              </w:rPr>
            </w:pPr>
            <w:r w:rsidRPr="00644948">
              <w:rPr>
                <w:i/>
                <w:iCs/>
                <w:sz w:val="20"/>
                <w:szCs w:val="20"/>
              </w:rPr>
              <w:t xml:space="preserve">     45 – 54</w:t>
            </w:r>
          </w:p>
        </w:tc>
        <w:tc>
          <w:tcPr>
            <w:tcW w:w="3150" w:type="dxa"/>
            <w:tcBorders>
              <w:top w:val="nil"/>
              <w:left w:val="nil"/>
              <w:bottom w:val="nil"/>
              <w:right w:val="nil"/>
            </w:tcBorders>
            <w:vAlign w:val="center"/>
          </w:tcPr>
          <w:p w14:paraId="6DA6A693" w14:textId="43D661E3" w:rsidR="00644948" w:rsidRDefault="006D7315">
            <w:pPr>
              <w:spacing w:after="160"/>
              <w:contextualSpacing/>
              <w:jc w:val="center"/>
              <w:rPr>
                <w:sz w:val="20"/>
                <w:szCs w:val="20"/>
              </w:rPr>
            </w:pPr>
            <w:r>
              <w:rPr>
                <w:sz w:val="20"/>
                <w:szCs w:val="20"/>
              </w:rPr>
              <w:t>14.3</w:t>
            </w:r>
          </w:p>
        </w:tc>
      </w:tr>
      <w:tr w:rsidR="00644948" w14:paraId="171198E9" w14:textId="77777777" w:rsidTr="00644948">
        <w:trPr>
          <w:trHeight w:val="317"/>
        </w:trPr>
        <w:tc>
          <w:tcPr>
            <w:tcW w:w="6480" w:type="dxa"/>
            <w:tcBorders>
              <w:top w:val="nil"/>
              <w:left w:val="nil"/>
              <w:bottom w:val="nil"/>
              <w:right w:val="nil"/>
            </w:tcBorders>
            <w:vAlign w:val="center"/>
          </w:tcPr>
          <w:p w14:paraId="3087901C" w14:textId="5ACBC9F9" w:rsidR="00644948" w:rsidRPr="00644948" w:rsidRDefault="00644948">
            <w:pPr>
              <w:spacing w:after="160"/>
              <w:contextualSpacing/>
              <w:rPr>
                <w:i/>
                <w:iCs/>
                <w:sz w:val="20"/>
                <w:szCs w:val="20"/>
              </w:rPr>
            </w:pPr>
            <w:r w:rsidRPr="00644948">
              <w:rPr>
                <w:i/>
                <w:iCs/>
                <w:sz w:val="20"/>
                <w:szCs w:val="20"/>
              </w:rPr>
              <w:t xml:space="preserve">     55 – 64</w:t>
            </w:r>
          </w:p>
        </w:tc>
        <w:tc>
          <w:tcPr>
            <w:tcW w:w="3150" w:type="dxa"/>
            <w:tcBorders>
              <w:top w:val="nil"/>
              <w:left w:val="nil"/>
              <w:bottom w:val="nil"/>
              <w:right w:val="nil"/>
            </w:tcBorders>
            <w:vAlign w:val="center"/>
          </w:tcPr>
          <w:p w14:paraId="5BB0574A" w14:textId="56A16F17" w:rsidR="00644948" w:rsidRDefault="006D7315">
            <w:pPr>
              <w:spacing w:after="160"/>
              <w:contextualSpacing/>
              <w:jc w:val="center"/>
              <w:rPr>
                <w:sz w:val="20"/>
                <w:szCs w:val="20"/>
              </w:rPr>
            </w:pPr>
            <w:r>
              <w:rPr>
                <w:sz w:val="20"/>
                <w:szCs w:val="20"/>
              </w:rPr>
              <w:t>9.2</w:t>
            </w:r>
          </w:p>
        </w:tc>
      </w:tr>
      <w:tr w:rsidR="00644948" w14:paraId="52422ACF" w14:textId="77777777" w:rsidTr="00644948">
        <w:trPr>
          <w:trHeight w:val="317"/>
        </w:trPr>
        <w:tc>
          <w:tcPr>
            <w:tcW w:w="6480" w:type="dxa"/>
            <w:tcBorders>
              <w:top w:val="nil"/>
              <w:left w:val="nil"/>
              <w:bottom w:val="nil"/>
              <w:right w:val="nil"/>
            </w:tcBorders>
            <w:vAlign w:val="center"/>
          </w:tcPr>
          <w:p w14:paraId="189FA1E7" w14:textId="1CB90A94" w:rsidR="00644948" w:rsidRPr="00644948" w:rsidRDefault="00644948">
            <w:pPr>
              <w:spacing w:after="160"/>
              <w:contextualSpacing/>
              <w:rPr>
                <w:i/>
                <w:iCs/>
                <w:sz w:val="20"/>
                <w:szCs w:val="20"/>
              </w:rPr>
            </w:pPr>
            <w:r w:rsidRPr="00644948">
              <w:rPr>
                <w:i/>
                <w:iCs/>
                <w:sz w:val="20"/>
                <w:szCs w:val="20"/>
              </w:rPr>
              <w:t xml:space="preserve">     65 or older</w:t>
            </w:r>
          </w:p>
        </w:tc>
        <w:tc>
          <w:tcPr>
            <w:tcW w:w="3150" w:type="dxa"/>
            <w:tcBorders>
              <w:top w:val="nil"/>
              <w:left w:val="nil"/>
              <w:bottom w:val="nil"/>
              <w:right w:val="nil"/>
            </w:tcBorders>
            <w:vAlign w:val="center"/>
          </w:tcPr>
          <w:p w14:paraId="3F12E0AD" w14:textId="349CB4CF" w:rsidR="00644948" w:rsidRDefault="006D7315">
            <w:pPr>
              <w:spacing w:after="160"/>
              <w:contextualSpacing/>
              <w:jc w:val="center"/>
              <w:rPr>
                <w:sz w:val="20"/>
                <w:szCs w:val="20"/>
              </w:rPr>
            </w:pPr>
            <w:r>
              <w:rPr>
                <w:sz w:val="20"/>
                <w:szCs w:val="20"/>
              </w:rPr>
              <w:t>3.4</w:t>
            </w:r>
          </w:p>
        </w:tc>
      </w:tr>
      <w:tr w:rsidR="00E02630" w14:paraId="051EEB57" w14:textId="77777777" w:rsidTr="00EB5001">
        <w:trPr>
          <w:trHeight w:val="317"/>
        </w:trPr>
        <w:tc>
          <w:tcPr>
            <w:tcW w:w="6480" w:type="dxa"/>
            <w:tcBorders>
              <w:top w:val="nil"/>
              <w:left w:val="nil"/>
              <w:bottom w:val="nil"/>
              <w:right w:val="nil"/>
            </w:tcBorders>
            <w:vAlign w:val="center"/>
          </w:tcPr>
          <w:p w14:paraId="73B810B1" w14:textId="77777777" w:rsidR="00E02630" w:rsidRPr="00E616CD" w:rsidRDefault="00E02630">
            <w:pPr>
              <w:spacing w:after="160"/>
              <w:contextualSpacing/>
              <w:rPr>
                <w:sz w:val="20"/>
                <w:szCs w:val="20"/>
              </w:rPr>
            </w:pPr>
            <w:r w:rsidRPr="00E616CD">
              <w:rPr>
                <w:sz w:val="20"/>
                <w:szCs w:val="20"/>
              </w:rPr>
              <w:t>Gender (%)</w:t>
            </w:r>
          </w:p>
        </w:tc>
        <w:tc>
          <w:tcPr>
            <w:tcW w:w="3150" w:type="dxa"/>
            <w:tcBorders>
              <w:top w:val="nil"/>
              <w:left w:val="nil"/>
              <w:bottom w:val="nil"/>
              <w:right w:val="nil"/>
            </w:tcBorders>
            <w:vAlign w:val="center"/>
          </w:tcPr>
          <w:p w14:paraId="7765529B" w14:textId="77777777" w:rsidR="00E02630" w:rsidRPr="00E616CD" w:rsidRDefault="00E02630">
            <w:pPr>
              <w:spacing w:after="160"/>
              <w:contextualSpacing/>
              <w:jc w:val="center"/>
              <w:rPr>
                <w:sz w:val="20"/>
                <w:szCs w:val="20"/>
              </w:rPr>
            </w:pPr>
          </w:p>
        </w:tc>
      </w:tr>
      <w:tr w:rsidR="00E02630" w14:paraId="2164CFEC" w14:textId="77777777" w:rsidTr="00EB5001">
        <w:trPr>
          <w:trHeight w:val="317"/>
        </w:trPr>
        <w:tc>
          <w:tcPr>
            <w:tcW w:w="6480" w:type="dxa"/>
            <w:tcBorders>
              <w:top w:val="nil"/>
              <w:left w:val="nil"/>
              <w:bottom w:val="nil"/>
              <w:right w:val="nil"/>
            </w:tcBorders>
            <w:vAlign w:val="center"/>
          </w:tcPr>
          <w:p w14:paraId="0E3712CB" w14:textId="77777777" w:rsidR="00E02630" w:rsidRPr="00E616CD" w:rsidRDefault="00E02630">
            <w:pPr>
              <w:spacing w:after="160"/>
              <w:contextualSpacing/>
              <w:rPr>
                <w:i/>
                <w:iCs/>
                <w:sz w:val="20"/>
                <w:szCs w:val="20"/>
              </w:rPr>
            </w:pPr>
            <w:r w:rsidRPr="00E616CD">
              <w:rPr>
                <w:i/>
                <w:iCs/>
                <w:sz w:val="20"/>
                <w:szCs w:val="20"/>
              </w:rPr>
              <w:t xml:space="preserve">     </w:t>
            </w:r>
            <w:r>
              <w:rPr>
                <w:i/>
                <w:iCs/>
                <w:sz w:val="20"/>
                <w:szCs w:val="20"/>
              </w:rPr>
              <w:t>Woman</w:t>
            </w:r>
          </w:p>
        </w:tc>
        <w:tc>
          <w:tcPr>
            <w:tcW w:w="3150" w:type="dxa"/>
            <w:tcBorders>
              <w:top w:val="nil"/>
              <w:left w:val="nil"/>
              <w:bottom w:val="nil"/>
              <w:right w:val="nil"/>
            </w:tcBorders>
            <w:vAlign w:val="center"/>
          </w:tcPr>
          <w:p w14:paraId="71D8B356" w14:textId="3E44D072" w:rsidR="00E02630" w:rsidRPr="00E616CD" w:rsidRDefault="00770175">
            <w:pPr>
              <w:spacing w:after="160"/>
              <w:contextualSpacing/>
              <w:jc w:val="center"/>
              <w:rPr>
                <w:sz w:val="20"/>
                <w:szCs w:val="20"/>
              </w:rPr>
            </w:pPr>
            <w:r>
              <w:rPr>
                <w:sz w:val="20"/>
                <w:szCs w:val="20"/>
              </w:rPr>
              <w:t>69.5</w:t>
            </w:r>
          </w:p>
        </w:tc>
      </w:tr>
      <w:tr w:rsidR="00E02630" w14:paraId="470461F0" w14:textId="77777777" w:rsidTr="00EB5001">
        <w:trPr>
          <w:trHeight w:val="317"/>
        </w:trPr>
        <w:tc>
          <w:tcPr>
            <w:tcW w:w="6480" w:type="dxa"/>
            <w:tcBorders>
              <w:top w:val="nil"/>
              <w:left w:val="nil"/>
              <w:bottom w:val="nil"/>
              <w:right w:val="nil"/>
            </w:tcBorders>
            <w:vAlign w:val="center"/>
          </w:tcPr>
          <w:p w14:paraId="338956F1" w14:textId="77777777" w:rsidR="00E02630" w:rsidRPr="00E616CD" w:rsidRDefault="00E02630">
            <w:pPr>
              <w:spacing w:after="160"/>
              <w:contextualSpacing/>
              <w:rPr>
                <w:i/>
                <w:iCs/>
                <w:sz w:val="20"/>
                <w:szCs w:val="20"/>
              </w:rPr>
            </w:pPr>
            <w:r w:rsidRPr="00E616CD">
              <w:rPr>
                <w:i/>
                <w:iCs/>
                <w:sz w:val="20"/>
                <w:szCs w:val="20"/>
              </w:rPr>
              <w:t xml:space="preserve">     Ma</w:t>
            </w:r>
            <w:r>
              <w:rPr>
                <w:i/>
                <w:iCs/>
                <w:sz w:val="20"/>
                <w:szCs w:val="20"/>
              </w:rPr>
              <w:t>n</w:t>
            </w:r>
          </w:p>
        </w:tc>
        <w:tc>
          <w:tcPr>
            <w:tcW w:w="3150" w:type="dxa"/>
            <w:tcBorders>
              <w:top w:val="nil"/>
              <w:left w:val="nil"/>
              <w:bottom w:val="nil"/>
              <w:right w:val="nil"/>
            </w:tcBorders>
            <w:vAlign w:val="center"/>
          </w:tcPr>
          <w:p w14:paraId="36D93CF5" w14:textId="1948B6C1" w:rsidR="00E02630" w:rsidRPr="00E616CD" w:rsidRDefault="00E02630">
            <w:pPr>
              <w:spacing w:after="160"/>
              <w:contextualSpacing/>
              <w:jc w:val="center"/>
              <w:rPr>
                <w:sz w:val="20"/>
                <w:szCs w:val="20"/>
              </w:rPr>
            </w:pPr>
            <w:r>
              <w:rPr>
                <w:sz w:val="20"/>
                <w:szCs w:val="20"/>
              </w:rPr>
              <w:t>2</w:t>
            </w:r>
            <w:r w:rsidR="00770175">
              <w:rPr>
                <w:sz w:val="20"/>
                <w:szCs w:val="20"/>
              </w:rPr>
              <w:t>9.2</w:t>
            </w:r>
          </w:p>
        </w:tc>
      </w:tr>
      <w:tr w:rsidR="00770175" w14:paraId="3FD9FCE5" w14:textId="77777777" w:rsidTr="00EB5001">
        <w:trPr>
          <w:trHeight w:val="317"/>
        </w:trPr>
        <w:tc>
          <w:tcPr>
            <w:tcW w:w="6480" w:type="dxa"/>
            <w:tcBorders>
              <w:top w:val="nil"/>
              <w:left w:val="nil"/>
              <w:bottom w:val="nil"/>
              <w:right w:val="nil"/>
            </w:tcBorders>
            <w:vAlign w:val="center"/>
          </w:tcPr>
          <w:p w14:paraId="4566944F" w14:textId="74C7C814" w:rsidR="00770175" w:rsidRPr="00E616CD" w:rsidRDefault="00770175">
            <w:pPr>
              <w:spacing w:after="160"/>
              <w:contextualSpacing/>
              <w:rPr>
                <w:i/>
                <w:iCs/>
                <w:sz w:val="20"/>
                <w:szCs w:val="20"/>
              </w:rPr>
            </w:pPr>
            <w:r>
              <w:rPr>
                <w:i/>
                <w:iCs/>
                <w:sz w:val="20"/>
                <w:szCs w:val="20"/>
              </w:rPr>
              <w:t xml:space="preserve">     Other gender</w:t>
            </w:r>
          </w:p>
        </w:tc>
        <w:tc>
          <w:tcPr>
            <w:tcW w:w="3150" w:type="dxa"/>
            <w:tcBorders>
              <w:top w:val="nil"/>
              <w:left w:val="nil"/>
              <w:bottom w:val="nil"/>
              <w:right w:val="nil"/>
            </w:tcBorders>
            <w:vAlign w:val="center"/>
          </w:tcPr>
          <w:p w14:paraId="0B546601" w14:textId="29A340D2" w:rsidR="00770175" w:rsidRDefault="00770175">
            <w:pPr>
              <w:spacing w:after="160"/>
              <w:contextualSpacing/>
              <w:jc w:val="center"/>
              <w:rPr>
                <w:sz w:val="20"/>
                <w:szCs w:val="20"/>
              </w:rPr>
            </w:pPr>
            <w:r>
              <w:rPr>
                <w:sz w:val="20"/>
                <w:szCs w:val="20"/>
              </w:rPr>
              <w:t>1.2</w:t>
            </w:r>
          </w:p>
        </w:tc>
      </w:tr>
      <w:tr w:rsidR="00902510" w14:paraId="25BD442E" w14:textId="77777777" w:rsidTr="00EB5001">
        <w:trPr>
          <w:trHeight w:val="317"/>
        </w:trPr>
        <w:tc>
          <w:tcPr>
            <w:tcW w:w="6480" w:type="dxa"/>
            <w:tcBorders>
              <w:top w:val="nil"/>
              <w:left w:val="nil"/>
              <w:bottom w:val="nil"/>
              <w:right w:val="nil"/>
            </w:tcBorders>
            <w:vAlign w:val="center"/>
          </w:tcPr>
          <w:p w14:paraId="213B7CD6" w14:textId="761AF361" w:rsidR="00902510" w:rsidRDefault="00902510">
            <w:pPr>
              <w:spacing w:after="160"/>
              <w:contextualSpacing/>
              <w:rPr>
                <w:i/>
                <w:iCs/>
                <w:sz w:val="20"/>
                <w:szCs w:val="20"/>
              </w:rPr>
            </w:pPr>
            <w:r>
              <w:rPr>
                <w:i/>
                <w:iCs/>
                <w:sz w:val="20"/>
                <w:szCs w:val="20"/>
              </w:rPr>
              <w:t xml:space="preserve">     Preferred not to answer</w:t>
            </w:r>
          </w:p>
        </w:tc>
        <w:tc>
          <w:tcPr>
            <w:tcW w:w="3150" w:type="dxa"/>
            <w:tcBorders>
              <w:top w:val="nil"/>
              <w:left w:val="nil"/>
              <w:bottom w:val="nil"/>
              <w:right w:val="nil"/>
            </w:tcBorders>
            <w:vAlign w:val="center"/>
          </w:tcPr>
          <w:p w14:paraId="0230D08C" w14:textId="6C4A41D1" w:rsidR="00902510" w:rsidRDefault="00902510">
            <w:pPr>
              <w:spacing w:after="160"/>
              <w:contextualSpacing/>
              <w:jc w:val="center"/>
              <w:rPr>
                <w:sz w:val="20"/>
                <w:szCs w:val="20"/>
              </w:rPr>
            </w:pPr>
            <w:r>
              <w:rPr>
                <w:sz w:val="20"/>
                <w:szCs w:val="20"/>
              </w:rPr>
              <w:t>0.1</w:t>
            </w:r>
          </w:p>
        </w:tc>
      </w:tr>
      <w:tr w:rsidR="00E02630" w14:paraId="2819199C" w14:textId="77777777" w:rsidTr="00EB5001">
        <w:trPr>
          <w:trHeight w:val="317"/>
        </w:trPr>
        <w:tc>
          <w:tcPr>
            <w:tcW w:w="6480" w:type="dxa"/>
            <w:tcBorders>
              <w:top w:val="nil"/>
              <w:left w:val="nil"/>
              <w:bottom w:val="nil"/>
              <w:right w:val="nil"/>
            </w:tcBorders>
            <w:vAlign w:val="center"/>
          </w:tcPr>
          <w:p w14:paraId="0E2E135A" w14:textId="77777777" w:rsidR="00E02630" w:rsidRPr="00E616CD" w:rsidRDefault="00E02630">
            <w:pPr>
              <w:spacing w:after="160"/>
              <w:contextualSpacing/>
              <w:rPr>
                <w:sz w:val="20"/>
                <w:szCs w:val="20"/>
              </w:rPr>
            </w:pPr>
            <w:r w:rsidRPr="00E616CD">
              <w:rPr>
                <w:sz w:val="20"/>
                <w:szCs w:val="20"/>
              </w:rPr>
              <w:t>Race (%)</w:t>
            </w:r>
          </w:p>
        </w:tc>
        <w:tc>
          <w:tcPr>
            <w:tcW w:w="3150" w:type="dxa"/>
            <w:tcBorders>
              <w:top w:val="nil"/>
              <w:left w:val="nil"/>
              <w:bottom w:val="nil"/>
              <w:right w:val="nil"/>
            </w:tcBorders>
            <w:vAlign w:val="center"/>
          </w:tcPr>
          <w:p w14:paraId="18A90B09" w14:textId="77777777" w:rsidR="00E02630" w:rsidRPr="00E616CD" w:rsidRDefault="00E02630">
            <w:pPr>
              <w:spacing w:after="160"/>
              <w:contextualSpacing/>
              <w:jc w:val="center"/>
              <w:rPr>
                <w:sz w:val="20"/>
                <w:szCs w:val="20"/>
              </w:rPr>
            </w:pPr>
          </w:p>
        </w:tc>
      </w:tr>
      <w:tr w:rsidR="00E02630" w14:paraId="346AA3D8" w14:textId="77777777" w:rsidTr="00EB5001">
        <w:trPr>
          <w:trHeight w:val="317"/>
        </w:trPr>
        <w:tc>
          <w:tcPr>
            <w:tcW w:w="6480" w:type="dxa"/>
            <w:tcBorders>
              <w:top w:val="nil"/>
              <w:left w:val="nil"/>
              <w:bottom w:val="nil"/>
              <w:right w:val="nil"/>
            </w:tcBorders>
            <w:vAlign w:val="center"/>
          </w:tcPr>
          <w:p w14:paraId="65F83822" w14:textId="77777777" w:rsidR="00E02630" w:rsidRPr="00E616CD" w:rsidRDefault="00E02630">
            <w:pPr>
              <w:spacing w:after="160"/>
              <w:contextualSpacing/>
              <w:rPr>
                <w:i/>
                <w:iCs/>
                <w:sz w:val="20"/>
                <w:szCs w:val="20"/>
              </w:rPr>
            </w:pPr>
            <w:r w:rsidRPr="00E616CD">
              <w:rPr>
                <w:i/>
                <w:iCs/>
                <w:sz w:val="20"/>
                <w:szCs w:val="20"/>
              </w:rPr>
              <w:t xml:space="preserve">     White</w:t>
            </w:r>
          </w:p>
        </w:tc>
        <w:tc>
          <w:tcPr>
            <w:tcW w:w="3150" w:type="dxa"/>
            <w:tcBorders>
              <w:top w:val="nil"/>
              <w:left w:val="nil"/>
              <w:bottom w:val="nil"/>
              <w:right w:val="nil"/>
            </w:tcBorders>
            <w:vAlign w:val="center"/>
          </w:tcPr>
          <w:p w14:paraId="7E8E4E9C" w14:textId="18B45B51" w:rsidR="00E02630" w:rsidRPr="00E616CD" w:rsidRDefault="00770175">
            <w:pPr>
              <w:spacing w:after="160"/>
              <w:contextualSpacing/>
              <w:jc w:val="center"/>
              <w:rPr>
                <w:sz w:val="20"/>
                <w:szCs w:val="20"/>
              </w:rPr>
            </w:pPr>
            <w:r>
              <w:rPr>
                <w:sz w:val="20"/>
                <w:szCs w:val="20"/>
              </w:rPr>
              <w:t>81.9</w:t>
            </w:r>
          </w:p>
        </w:tc>
      </w:tr>
      <w:tr w:rsidR="00E02630" w14:paraId="1E50A45E" w14:textId="77777777" w:rsidTr="00EB5001">
        <w:trPr>
          <w:trHeight w:val="317"/>
        </w:trPr>
        <w:tc>
          <w:tcPr>
            <w:tcW w:w="6480" w:type="dxa"/>
            <w:tcBorders>
              <w:top w:val="nil"/>
              <w:left w:val="nil"/>
              <w:bottom w:val="nil"/>
              <w:right w:val="nil"/>
            </w:tcBorders>
            <w:vAlign w:val="center"/>
          </w:tcPr>
          <w:p w14:paraId="7A1C61F8" w14:textId="77777777" w:rsidR="00E02630" w:rsidRPr="00E616CD" w:rsidRDefault="00E02630">
            <w:pPr>
              <w:spacing w:after="160"/>
              <w:contextualSpacing/>
              <w:rPr>
                <w:i/>
                <w:iCs/>
                <w:sz w:val="20"/>
                <w:szCs w:val="20"/>
              </w:rPr>
            </w:pPr>
            <w:r w:rsidRPr="00E616CD">
              <w:rPr>
                <w:i/>
                <w:iCs/>
                <w:sz w:val="20"/>
                <w:szCs w:val="20"/>
              </w:rPr>
              <w:t xml:space="preserve">     Asian</w:t>
            </w:r>
          </w:p>
        </w:tc>
        <w:tc>
          <w:tcPr>
            <w:tcW w:w="3150" w:type="dxa"/>
            <w:tcBorders>
              <w:top w:val="nil"/>
              <w:left w:val="nil"/>
              <w:bottom w:val="nil"/>
              <w:right w:val="nil"/>
            </w:tcBorders>
            <w:vAlign w:val="center"/>
          </w:tcPr>
          <w:p w14:paraId="2DE75264" w14:textId="7913BB0E" w:rsidR="00E02630" w:rsidRPr="00E616CD" w:rsidRDefault="00770175">
            <w:pPr>
              <w:spacing w:after="160"/>
              <w:contextualSpacing/>
              <w:jc w:val="center"/>
              <w:rPr>
                <w:sz w:val="20"/>
                <w:szCs w:val="20"/>
              </w:rPr>
            </w:pPr>
            <w:r>
              <w:rPr>
                <w:sz w:val="20"/>
                <w:szCs w:val="20"/>
              </w:rPr>
              <w:t>4.4</w:t>
            </w:r>
          </w:p>
        </w:tc>
      </w:tr>
      <w:tr w:rsidR="00770175" w14:paraId="32F4F857" w14:textId="77777777" w:rsidTr="00EB5001">
        <w:trPr>
          <w:trHeight w:val="317"/>
        </w:trPr>
        <w:tc>
          <w:tcPr>
            <w:tcW w:w="6480" w:type="dxa"/>
            <w:tcBorders>
              <w:top w:val="nil"/>
              <w:left w:val="nil"/>
              <w:bottom w:val="nil"/>
              <w:right w:val="nil"/>
            </w:tcBorders>
            <w:vAlign w:val="center"/>
          </w:tcPr>
          <w:p w14:paraId="212053F8" w14:textId="53C33D10" w:rsidR="00770175" w:rsidRPr="00E616CD" w:rsidRDefault="00770175">
            <w:pPr>
              <w:spacing w:after="160"/>
              <w:contextualSpacing/>
              <w:rPr>
                <w:i/>
                <w:iCs/>
                <w:sz w:val="20"/>
                <w:szCs w:val="20"/>
              </w:rPr>
            </w:pPr>
            <w:r>
              <w:rPr>
                <w:i/>
                <w:iCs/>
                <w:sz w:val="20"/>
                <w:szCs w:val="20"/>
              </w:rPr>
              <w:t xml:space="preserve">     Hispanic/Latinx</w:t>
            </w:r>
          </w:p>
        </w:tc>
        <w:tc>
          <w:tcPr>
            <w:tcW w:w="3150" w:type="dxa"/>
            <w:tcBorders>
              <w:top w:val="nil"/>
              <w:left w:val="nil"/>
              <w:bottom w:val="nil"/>
              <w:right w:val="nil"/>
            </w:tcBorders>
            <w:vAlign w:val="center"/>
          </w:tcPr>
          <w:p w14:paraId="70421A39" w14:textId="125F7751" w:rsidR="00770175" w:rsidRDefault="00770175">
            <w:pPr>
              <w:spacing w:after="160"/>
              <w:contextualSpacing/>
              <w:jc w:val="center"/>
              <w:rPr>
                <w:sz w:val="20"/>
                <w:szCs w:val="20"/>
              </w:rPr>
            </w:pPr>
            <w:r>
              <w:rPr>
                <w:sz w:val="20"/>
                <w:szCs w:val="20"/>
              </w:rPr>
              <w:t>4.4</w:t>
            </w:r>
          </w:p>
        </w:tc>
      </w:tr>
      <w:tr w:rsidR="00E02630" w14:paraId="2B047FCC" w14:textId="77777777" w:rsidTr="00EB5001">
        <w:trPr>
          <w:trHeight w:val="317"/>
        </w:trPr>
        <w:tc>
          <w:tcPr>
            <w:tcW w:w="6480" w:type="dxa"/>
            <w:tcBorders>
              <w:top w:val="nil"/>
              <w:left w:val="nil"/>
              <w:bottom w:val="nil"/>
              <w:right w:val="nil"/>
            </w:tcBorders>
            <w:vAlign w:val="center"/>
          </w:tcPr>
          <w:p w14:paraId="16BE5C0E" w14:textId="77777777" w:rsidR="00E02630" w:rsidRPr="00E616CD" w:rsidRDefault="00E02630">
            <w:pPr>
              <w:spacing w:after="160"/>
              <w:contextualSpacing/>
              <w:rPr>
                <w:i/>
                <w:iCs/>
                <w:sz w:val="20"/>
                <w:szCs w:val="20"/>
              </w:rPr>
            </w:pPr>
            <w:r w:rsidRPr="00E616CD">
              <w:rPr>
                <w:i/>
                <w:iCs/>
                <w:sz w:val="20"/>
                <w:szCs w:val="20"/>
              </w:rPr>
              <w:t xml:space="preserve">     Black/African American</w:t>
            </w:r>
          </w:p>
        </w:tc>
        <w:tc>
          <w:tcPr>
            <w:tcW w:w="3150" w:type="dxa"/>
            <w:tcBorders>
              <w:top w:val="nil"/>
              <w:left w:val="nil"/>
              <w:bottom w:val="nil"/>
              <w:right w:val="nil"/>
            </w:tcBorders>
            <w:vAlign w:val="center"/>
          </w:tcPr>
          <w:p w14:paraId="1FDE3784" w14:textId="40D3FFDF" w:rsidR="00E02630" w:rsidRPr="00E616CD" w:rsidRDefault="00770175">
            <w:pPr>
              <w:spacing w:after="160"/>
              <w:contextualSpacing/>
              <w:jc w:val="center"/>
              <w:rPr>
                <w:sz w:val="20"/>
                <w:szCs w:val="20"/>
              </w:rPr>
            </w:pPr>
            <w:r>
              <w:rPr>
                <w:sz w:val="20"/>
                <w:szCs w:val="20"/>
              </w:rPr>
              <w:t>1.8</w:t>
            </w:r>
          </w:p>
        </w:tc>
      </w:tr>
      <w:tr w:rsidR="00E02630" w14:paraId="0AB6A519" w14:textId="77777777" w:rsidTr="00EB5001">
        <w:trPr>
          <w:trHeight w:val="317"/>
        </w:trPr>
        <w:tc>
          <w:tcPr>
            <w:tcW w:w="6480" w:type="dxa"/>
            <w:tcBorders>
              <w:top w:val="nil"/>
              <w:left w:val="nil"/>
              <w:bottom w:val="nil"/>
              <w:right w:val="nil"/>
            </w:tcBorders>
            <w:vAlign w:val="center"/>
          </w:tcPr>
          <w:p w14:paraId="66A77B77" w14:textId="77777777" w:rsidR="00E02630" w:rsidRPr="00E616CD" w:rsidRDefault="00E02630">
            <w:pPr>
              <w:spacing w:after="160"/>
              <w:contextualSpacing/>
              <w:rPr>
                <w:i/>
                <w:iCs/>
                <w:sz w:val="20"/>
                <w:szCs w:val="20"/>
              </w:rPr>
            </w:pPr>
            <w:r w:rsidRPr="00E616CD">
              <w:rPr>
                <w:i/>
                <w:iCs/>
                <w:sz w:val="20"/>
                <w:szCs w:val="20"/>
              </w:rPr>
              <w:t xml:space="preserve">     Native Hawaiian/Pacific Islander</w:t>
            </w:r>
          </w:p>
        </w:tc>
        <w:tc>
          <w:tcPr>
            <w:tcW w:w="3150" w:type="dxa"/>
            <w:tcBorders>
              <w:top w:val="nil"/>
              <w:left w:val="nil"/>
              <w:bottom w:val="nil"/>
              <w:right w:val="nil"/>
            </w:tcBorders>
            <w:vAlign w:val="center"/>
          </w:tcPr>
          <w:p w14:paraId="42387393" w14:textId="304286D8" w:rsidR="00E02630" w:rsidRPr="00E616CD" w:rsidRDefault="00770175">
            <w:pPr>
              <w:spacing w:after="160"/>
              <w:contextualSpacing/>
              <w:jc w:val="center"/>
              <w:rPr>
                <w:sz w:val="20"/>
                <w:szCs w:val="20"/>
              </w:rPr>
            </w:pPr>
            <w:r>
              <w:rPr>
                <w:sz w:val="20"/>
                <w:szCs w:val="20"/>
              </w:rPr>
              <w:t>0.4</w:t>
            </w:r>
          </w:p>
        </w:tc>
      </w:tr>
      <w:tr w:rsidR="00770175" w14:paraId="76C272DA" w14:textId="77777777" w:rsidTr="00EB5001">
        <w:trPr>
          <w:trHeight w:val="317"/>
        </w:trPr>
        <w:tc>
          <w:tcPr>
            <w:tcW w:w="6480" w:type="dxa"/>
            <w:tcBorders>
              <w:top w:val="nil"/>
              <w:left w:val="nil"/>
              <w:bottom w:val="nil"/>
              <w:right w:val="nil"/>
            </w:tcBorders>
            <w:vAlign w:val="center"/>
          </w:tcPr>
          <w:p w14:paraId="1B0FE324" w14:textId="23BC7305" w:rsidR="00770175" w:rsidRPr="00E616CD" w:rsidRDefault="00770175">
            <w:pPr>
              <w:spacing w:after="160"/>
              <w:contextualSpacing/>
              <w:rPr>
                <w:i/>
                <w:iCs/>
                <w:sz w:val="20"/>
                <w:szCs w:val="20"/>
              </w:rPr>
            </w:pPr>
            <w:r>
              <w:rPr>
                <w:i/>
                <w:iCs/>
                <w:sz w:val="20"/>
                <w:szCs w:val="20"/>
              </w:rPr>
              <w:t xml:space="preserve">     American Indian/Alaska Native</w:t>
            </w:r>
          </w:p>
        </w:tc>
        <w:tc>
          <w:tcPr>
            <w:tcW w:w="3150" w:type="dxa"/>
            <w:tcBorders>
              <w:top w:val="nil"/>
              <w:left w:val="nil"/>
              <w:bottom w:val="nil"/>
              <w:right w:val="nil"/>
            </w:tcBorders>
            <w:vAlign w:val="center"/>
          </w:tcPr>
          <w:p w14:paraId="4B898BBB" w14:textId="63A1FC51" w:rsidR="00770175" w:rsidRDefault="00770175">
            <w:pPr>
              <w:spacing w:after="160"/>
              <w:contextualSpacing/>
              <w:jc w:val="center"/>
              <w:rPr>
                <w:sz w:val="20"/>
                <w:szCs w:val="20"/>
              </w:rPr>
            </w:pPr>
            <w:r>
              <w:rPr>
                <w:sz w:val="20"/>
                <w:szCs w:val="20"/>
              </w:rPr>
              <w:t>0.1</w:t>
            </w:r>
          </w:p>
        </w:tc>
      </w:tr>
      <w:tr w:rsidR="00E02630" w14:paraId="47C3CC4B" w14:textId="77777777" w:rsidTr="00EB5001">
        <w:trPr>
          <w:trHeight w:val="317"/>
        </w:trPr>
        <w:tc>
          <w:tcPr>
            <w:tcW w:w="6480" w:type="dxa"/>
            <w:tcBorders>
              <w:top w:val="nil"/>
              <w:left w:val="nil"/>
              <w:bottom w:val="nil"/>
              <w:right w:val="nil"/>
            </w:tcBorders>
            <w:vAlign w:val="center"/>
          </w:tcPr>
          <w:p w14:paraId="1BE869A1" w14:textId="77777777" w:rsidR="00E02630" w:rsidRPr="00E616CD" w:rsidRDefault="00E02630">
            <w:pPr>
              <w:spacing w:after="160"/>
              <w:contextualSpacing/>
              <w:rPr>
                <w:i/>
                <w:iCs/>
                <w:sz w:val="20"/>
                <w:szCs w:val="20"/>
              </w:rPr>
            </w:pPr>
            <w:r w:rsidRPr="00E616CD">
              <w:rPr>
                <w:i/>
                <w:iCs/>
                <w:sz w:val="20"/>
                <w:szCs w:val="20"/>
              </w:rPr>
              <w:t xml:space="preserve">     Multiracial</w:t>
            </w:r>
          </w:p>
        </w:tc>
        <w:tc>
          <w:tcPr>
            <w:tcW w:w="3150" w:type="dxa"/>
            <w:tcBorders>
              <w:top w:val="nil"/>
              <w:left w:val="nil"/>
              <w:bottom w:val="nil"/>
              <w:right w:val="nil"/>
            </w:tcBorders>
            <w:vAlign w:val="center"/>
          </w:tcPr>
          <w:p w14:paraId="3E290C25" w14:textId="5BFDA5DD" w:rsidR="00E02630" w:rsidRPr="00E616CD" w:rsidRDefault="00770175">
            <w:pPr>
              <w:spacing w:after="160"/>
              <w:contextualSpacing/>
              <w:jc w:val="center"/>
              <w:rPr>
                <w:sz w:val="20"/>
                <w:szCs w:val="20"/>
              </w:rPr>
            </w:pPr>
            <w:r>
              <w:rPr>
                <w:sz w:val="20"/>
                <w:szCs w:val="20"/>
              </w:rPr>
              <w:t>2.5</w:t>
            </w:r>
          </w:p>
        </w:tc>
      </w:tr>
      <w:tr w:rsidR="00902510" w14:paraId="7F794371" w14:textId="77777777" w:rsidTr="00EB5001">
        <w:trPr>
          <w:trHeight w:val="317"/>
        </w:trPr>
        <w:tc>
          <w:tcPr>
            <w:tcW w:w="6480" w:type="dxa"/>
            <w:tcBorders>
              <w:top w:val="nil"/>
              <w:left w:val="nil"/>
              <w:bottom w:val="nil"/>
              <w:right w:val="nil"/>
            </w:tcBorders>
            <w:vAlign w:val="center"/>
          </w:tcPr>
          <w:p w14:paraId="59278B64" w14:textId="26E2F733" w:rsidR="00902510" w:rsidRPr="00E616CD" w:rsidRDefault="00902510">
            <w:pPr>
              <w:spacing w:after="160"/>
              <w:contextualSpacing/>
              <w:rPr>
                <w:i/>
                <w:iCs/>
                <w:sz w:val="20"/>
                <w:szCs w:val="20"/>
              </w:rPr>
            </w:pPr>
            <w:r>
              <w:rPr>
                <w:i/>
                <w:iCs/>
                <w:sz w:val="20"/>
                <w:szCs w:val="20"/>
              </w:rPr>
              <w:t xml:space="preserve">     Preferred not to answer</w:t>
            </w:r>
          </w:p>
        </w:tc>
        <w:tc>
          <w:tcPr>
            <w:tcW w:w="3150" w:type="dxa"/>
            <w:tcBorders>
              <w:top w:val="nil"/>
              <w:left w:val="nil"/>
              <w:bottom w:val="nil"/>
              <w:right w:val="nil"/>
            </w:tcBorders>
            <w:vAlign w:val="center"/>
          </w:tcPr>
          <w:p w14:paraId="5D1B6833" w14:textId="07562322" w:rsidR="00902510" w:rsidRDefault="00902510">
            <w:pPr>
              <w:spacing w:after="160"/>
              <w:contextualSpacing/>
              <w:jc w:val="center"/>
              <w:rPr>
                <w:sz w:val="20"/>
                <w:szCs w:val="20"/>
              </w:rPr>
            </w:pPr>
            <w:r>
              <w:rPr>
                <w:sz w:val="20"/>
                <w:szCs w:val="20"/>
              </w:rPr>
              <w:t>4.5</w:t>
            </w:r>
          </w:p>
        </w:tc>
      </w:tr>
      <w:tr w:rsidR="00902510" w14:paraId="660F5930" w14:textId="77777777" w:rsidTr="00EB5001">
        <w:trPr>
          <w:trHeight w:val="317"/>
        </w:trPr>
        <w:tc>
          <w:tcPr>
            <w:tcW w:w="6480" w:type="dxa"/>
            <w:tcBorders>
              <w:top w:val="nil"/>
              <w:left w:val="nil"/>
              <w:bottom w:val="nil"/>
              <w:right w:val="nil"/>
            </w:tcBorders>
            <w:vAlign w:val="center"/>
          </w:tcPr>
          <w:p w14:paraId="52EDFCFF" w14:textId="271AFE33" w:rsidR="00902510" w:rsidRPr="00902510" w:rsidRDefault="00902510">
            <w:pPr>
              <w:contextualSpacing/>
              <w:rPr>
                <w:sz w:val="20"/>
                <w:szCs w:val="20"/>
              </w:rPr>
            </w:pPr>
            <w:r>
              <w:rPr>
                <w:sz w:val="20"/>
                <w:szCs w:val="20"/>
              </w:rPr>
              <w:t>Continent (%)</w:t>
            </w:r>
          </w:p>
        </w:tc>
        <w:tc>
          <w:tcPr>
            <w:tcW w:w="3150" w:type="dxa"/>
            <w:tcBorders>
              <w:top w:val="nil"/>
              <w:left w:val="nil"/>
              <w:bottom w:val="nil"/>
              <w:right w:val="nil"/>
            </w:tcBorders>
            <w:vAlign w:val="center"/>
          </w:tcPr>
          <w:p w14:paraId="0F0FA3E6" w14:textId="77777777" w:rsidR="00902510" w:rsidRDefault="00902510">
            <w:pPr>
              <w:contextualSpacing/>
              <w:jc w:val="center"/>
              <w:rPr>
                <w:sz w:val="20"/>
                <w:szCs w:val="20"/>
              </w:rPr>
            </w:pPr>
          </w:p>
        </w:tc>
      </w:tr>
      <w:tr w:rsidR="00902510" w14:paraId="5E2B2957" w14:textId="77777777" w:rsidTr="003A6D5B">
        <w:trPr>
          <w:trHeight w:val="80"/>
        </w:trPr>
        <w:tc>
          <w:tcPr>
            <w:tcW w:w="6480" w:type="dxa"/>
            <w:tcBorders>
              <w:top w:val="nil"/>
              <w:left w:val="nil"/>
              <w:bottom w:val="nil"/>
              <w:right w:val="nil"/>
            </w:tcBorders>
            <w:vAlign w:val="center"/>
          </w:tcPr>
          <w:p w14:paraId="007B6DE9" w14:textId="45A8C0AC" w:rsidR="00902510" w:rsidRPr="00DB2936" w:rsidRDefault="00DB2936">
            <w:pPr>
              <w:contextualSpacing/>
              <w:rPr>
                <w:i/>
                <w:iCs/>
                <w:sz w:val="20"/>
                <w:szCs w:val="20"/>
              </w:rPr>
            </w:pPr>
            <w:r>
              <w:rPr>
                <w:sz w:val="20"/>
                <w:szCs w:val="20"/>
              </w:rPr>
              <w:t xml:space="preserve">     </w:t>
            </w:r>
            <w:r>
              <w:rPr>
                <w:i/>
                <w:iCs/>
                <w:sz w:val="20"/>
                <w:szCs w:val="20"/>
              </w:rPr>
              <w:t>North America</w:t>
            </w:r>
          </w:p>
        </w:tc>
        <w:tc>
          <w:tcPr>
            <w:tcW w:w="3150" w:type="dxa"/>
            <w:tcBorders>
              <w:top w:val="nil"/>
              <w:left w:val="nil"/>
              <w:bottom w:val="nil"/>
              <w:right w:val="nil"/>
            </w:tcBorders>
            <w:vAlign w:val="center"/>
          </w:tcPr>
          <w:p w14:paraId="1A342990" w14:textId="43A04042" w:rsidR="00902510" w:rsidRDefault="00DB2936">
            <w:pPr>
              <w:contextualSpacing/>
              <w:jc w:val="center"/>
              <w:rPr>
                <w:sz w:val="20"/>
                <w:szCs w:val="20"/>
              </w:rPr>
            </w:pPr>
            <w:r>
              <w:rPr>
                <w:sz w:val="20"/>
                <w:szCs w:val="20"/>
              </w:rPr>
              <w:t>83.5</w:t>
            </w:r>
          </w:p>
        </w:tc>
      </w:tr>
      <w:tr w:rsidR="00902510" w14:paraId="30EFB95B" w14:textId="77777777" w:rsidTr="00EB5001">
        <w:trPr>
          <w:trHeight w:val="317"/>
        </w:trPr>
        <w:tc>
          <w:tcPr>
            <w:tcW w:w="6480" w:type="dxa"/>
            <w:tcBorders>
              <w:top w:val="nil"/>
              <w:left w:val="nil"/>
              <w:bottom w:val="nil"/>
              <w:right w:val="nil"/>
            </w:tcBorders>
            <w:vAlign w:val="center"/>
          </w:tcPr>
          <w:p w14:paraId="52019080" w14:textId="0A2F1227" w:rsidR="00902510" w:rsidRDefault="00DB2936">
            <w:pPr>
              <w:contextualSpacing/>
              <w:rPr>
                <w:i/>
                <w:iCs/>
                <w:sz w:val="20"/>
                <w:szCs w:val="20"/>
              </w:rPr>
            </w:pPr>
            <w:r>
              <w:rPr>
                <w:i/>
                <w:iCs/>
                <w:sz w:val="20"/>
                <w:szCs w:val="20"/>
              </w:rPr>
              <w:t xml:space="preserve">     Europe</w:t>
            </w:r>
          </w:p>
        </w:tc>
        <w:tc>
          <w:tcPr>
            <w:tcW w:w="3150" w:type="dxa"/>
            <w:tcBorders>
              <w:top w:val="nil"/>
              <w:left w:val="nil"/>
              <w:bottom w:val="nil"/>
              <w:right w:val="nil"/>
            </w:tcBorders>
            <w:vAlign w:val="center"/>
          </w:tcPr>
          <w:p w14:paraId="211154D2" w14:textId="66C1C1A1" w:rsidR="00902510" w:rsidRDefault="00DB2936">
            <w:pPr>
              <w:contextualSpacing/>
              <w:jc w:val="center"/>
              <w:rPr>
                <w:sz w:val="20"/>
                <w:szCs w:val="20"/>
              </w:rPr>
            </w:pPr>
            <w:r>
              <w:rPr>
                <w:sz w:val="20"/>
                <w:szCs w:val="20"/>
              </w:rPr>
              <w:t>5.7</w:t>
            </w:r>
          </w:p>
        </w:tc>
      </w:tr>
      <w:tr w:rsidR="00902510" w14:paraId="0CF57B60" w14:textId="77777777" w:rsidTr="00EB5001">
        <w:trPr>
          <w:trHeight w:val="317"/>
        </w:trPr>
        <w:tc>
          <w:tcPr>
            <w:tcW w:w="6480" w:type="dxa"/>
            <w:tcBorders>
              <w:top w:val="nil"/>
              <w:left w:val="nil"/>
              <w:bottom w:val="nil"/>
              <w:right w:val="nil"/>
            </w:tcBorders>
            <w:vAlign w:val="center"/>
          </w:tcPr>
          <w:p w14:paraId="40E0E475" w14:textId="586F8B31" w:rsidR="00902510" w:rsidRDefault="00DB2936">
            <w:pPr>
              <w:contextualSpacing/>
              <w:rPr>
                <w:i/>
                <w:iCs/>
                <w:sz w:val="20"/>
                <w:szCs w:val="20"/>
              </w:rPr>
            </w:pPr>
            <w:r>
              <w:rPr>
                <w:i/>
                <w:iCs/>
                <w:sz w:val="20"/>
                <w:szCs w:val="20"/>
              </w:rPr>
              <w:t xml:space="preserve">     Oceania (Australia; New Zealand)</w:t>
            </w:r>
          </w:p>
        </w:tc>
        <w:tc>
          <w:tcPr>
            <w:tcW w:w="3150" w:type="dxa"/>
            <w:tcBorders>
              <w:top w:val="nil"/>
              <w:left w:val="nil"/>
              <w:bottom w:val="nil"/>
              <w:right w:val="nil"/>
            </w:tcBorders>
            <w:vAlign w:val="center"/>
          </w:tcPr>
          <w:p w14:paraId="0EA938D2" w14:textId="1CBDBB88" w:rsidR="00902510" w:rsidRDefault="00DB2936">
            <w:pPr>
              <w:contextualSpacing/>
              <w:jc w:val="center"/>
              <w:rPr>
                <w:sz w:val="20"/>
                <w:szCs w:val="20"/>
              </w:rPr>
            </w:pPr>
            <w:r>
              <w:rPr>
                <w:sz w:val="20"/>
                <w:szCs w:val="20"/>
              </w:rPr>
              <w:t>4.1</w:t>
            </w:r>
          </w:p>
        </w:tc>
      </w:tr>
      <w:tr w:rsidR="00902510" w14:paraId="4FE59BF0" w14:textId="77777777" w:rsidTr="00EB5001">
        <w:trPr>
          <w:trHeight w:val="317"/>
        </w:trPr>
        <w:tc>
          <w:tcPr>
            <w:tcW w:w="6480" w:type="dxa"/>
            <w:tcBorders>
              <w:top w:val="nil"/>
              <w:left w:val="nil"/>
              <w:bottom w:val="nil"/>
              <w:right w:val="nil"/>
            </w:tcBorders>
            <w:vAlign w:val="center"/>
          </w:tcPr>
          <w:p w14:paraId="3F12D7B8" w14:textId="6BDB6FF9" w:rsidR="00902510" w:rsidRDefault="005B6CBE">
            <w:pPr>
              <w:contextualSpacing/>
              <w:rPr>
                <w:i/>
                <w:iCs/>
                <w:sz w:val="20"/>
                <w:szCs w:val="20"/>
              </w:rPr>
            </w:pPr>
            <w:r>
              <w:rPr>
                <w:i/>
                <w:iCs/>
                <w:sz w:val="20"/>
                <w:szCs w:val="20"/>
              </w:rPr>
              <w:t xml:space="preserve">     Asia</w:t>
            </w:r>
          </w:p>
        </w:tc>
        <w:tc>
          <w:tcPr>
            <w:tcW w:w="3150" w:type="dxa"/>
            <w:tcBorders>
              <w:top w:val="nil"/>
              <w:left w:val="nil"/>
              <w:bottom w:val="nil"/>
              <w:right w:val="nil"/>
            </w:tcBorders>
            <w:vAlign w:val="center"/>
          </w:tcPr>
          <w:p w14:paraId="50EA8463" w14:textId="5062212E" w:rsidR="00902510" w:rsidRDefault="005B6CBE">
            <w:pPr>
              <w:contextualSpacing/>
              <w:jc w:val="center"/>
              <w:rPr>
                <w:sz w:val="20"/>
                <w:szCs w:val="20"/>
              </w:rPr>
            </w:pPr>
            <w:r>
              <w:rPr>
                <w:sz w:val="20"/>
                <w:szCs w:val="20"/>
              </w:rPr>
              <w:t>1.7</w:t>
            </w:r>
          </w:p>
        </w:tc>
      </w:tr>
      <w:tr w:rsidR="00902510" w14:paraId="6B527189" w14:textId="77777777" w:rsidTr="00EB5001">
        <w:trPr>
          <w:trHeight w:val="317"/>
        </w:trPr>
        <w:tc>
          <w:tcPr>
            <w:tcW w:w="6480" w:type="dxa"/>
            <w:tcBorders>
              <w:top w:val="nil"/>
              <w:left w:val="nil"/>
              <w:bottom w:val="nil"/>
              <w:right w:val="nil"/>
            </w:tcBorders>
            <w:vAlign w:val="center"/>
          </w:tcPr>
          <w:p w14:paraId="1E1F7956" w14:textId="0C0D1C81" w:rsidR="00902510" w:rsidRDefault="005B6CBE">
            <w:pPr>
              <w:contextualSpacing/>
              <w:rPr>
                <w:i/>
                <w:iCs/>
                <w:sz w:val="20"/>
                <w:szCs w:val="20"/>
              </w:rPr>
            </w:pPr>
            <w:r>
              <w:rPr>
                <w:i/>
                <w:iCs/>
                <w:sz w:val="20"/>
                <w:szCs w:val="20"/>
              </w:rPr>
              <w:t xml:space="preserve">     South America</w:t>
            </w:r>
          </w:p>
        </w:tc>
        <w:tc>
          <w:tcPr>
            <w:tcW w:w="3150" w:type="dxa"/>
            <w:tcBorders>
              <w:top w:val="nil"/>
              <w:left w:val="nil"/>
              <w:bottom w:val="nil"/>
              <w:right w:val="nil"/>
            </w:tcBorders>
            <w:vAlign w:val="center"/>
          </w:tcPr>
          <w:p w14:paraId="387E9622" w14:textId="27EE88CB" w:rsidR="00902510" w:rsidRDefault="005B6CBE">
            <w:pPr>
              <w:contextualSpacing/>
              <w:jc w:val="center"/>
              <w:rPr>
                <w:sz w:val="20"/>
                <w:szCs w:val="20"/>
              </w:rPr>
            </w:pPr>
            <w:r>
              <w:rPr>
                <w:sz w:val="20"/>
                <w:szCs w:val="20"/>
              </w:rPr>
              <w:t>&lt; 0.1</w:t>
            </w:r>
          </w:p>
        </w:tc>
      </w:tr>
      <w:tr w:rsidR="00902510" w14:paraId="0C9082B0" w14:textId="77777777" w:rsidTr="003B38D1">
        <w:trPr>
          <w:trHeight w:val="317"/>
        </w:trPr>
        <w:tc>
          <w:tcPr>
            <w:tcW w:w="6480" w:type="dxa"/>
            <w:tcBorders>
              <w:top w:val="nil"/>
              <w:left w:val="nil"/>
              <w:bottom w:val="single" w:sz="4" w:space="0" w:color="auto"/>
              <w:right w:val="nil"/>
            </w:tcBorders>
            <w:vAlign w:val="center"/>
          </w:tcPr>
          <w:p w14:paraId="56305835" w14:textId="0501045F" w:rsidR="00902510" w:rsidRDefault="005B6CBE">
            <w:pPr>
              <w:contextualSpacing/>
              <w:rPr>
                <w:i/>
                <w:iCs/>
                <w:sz w:val="20"/>
                <w:szCs w:val="20"/>
              </w:rPr>
            </w:pPr>
            <w:r>
              <w:rPr>
                <w:i/>
                <w:iCs/>
                <w:sz w:val="20"/>
                <w:szCs w:val="20"/>
              </w:rPr>
              <w:t xml:space="preserve">     Transcontinental (Turkey)</w:t>
            </w:r>
          </w:p>
        </w:tc>
        <w:tc>
          <w:tcPr>
            <w:tcW w:w="3150" w:type="dxa"/>
            <w:tcBorders>
              <w:top w:val="nil"/>
              <w:left w:val="nil"/>
              <w:bottom w:val="single" w:sz="4" w:space="0" w:color="auto"/>
              <w:right w:val="nil"/>
            </w:tcBorders>
            <w:vAlign w:val="center"/>
          </w:tcPr>
          <w:p w14:paraId="17B4C259" w14:textId="591503DC" w:rsidR="00902510" w:rsidRDefault="005B6CBE">
            <w:pPr>
              <w:contextualSpacing/>
              <w:jc w:val="center"/>
              <w:rPr>
                <w:sz w:val="20"/>
                <w:szCs w:val="20"/>
              </w:rPr>
            </w:pPr>
            <w:r>
              <w:rPr>
                <w:sz w:val="20"/>
                <w:szCs w:val="20"/>
              </w:rPr>
              <w:t>&lt; .01</w:t>
            </w:r>
          </w:p>
        </w:tc>
      </w:tr>
      <w:bookmarkEnd w:id="45"/>
    </w:tbl>
    <w:p w14:paraId="22C77837" w14:textId="77777777" w:rsidR="00FB3DB2" w:rsidRDefault="00FB3DB2" w:rsidP="00AF6F0B">
      <w:pPr>
        <w:rPr>
          <w:color w:val="000000" w:themeColor="text1"/>
        </w:rPr>
      </w:pPr>
    </w:p>
    <w:tbl>
      <w:tblPr>
        <w:tblStyle w:val="TableGrid"/>
        <w:tblpPr w:leftFromText="180" w:rightFromText="180" w:vertAnchor="page" w:horzAnchor="margin" w:tblpY="2692"/>
        <w:tblW w:w="9630" w:type="dxa"/>
        <w:tblLook w:val="04A0" w:firstRow="1" w:lastRow="0" w:firstColumn="1" w:lastColumn="0" w:noHBand="0" w:noVBand="1"/>
      </w:tblPr>
      <w:tblGrid>
        <w:gridCol w:w="8095"/>
        <w:gridCol w:w="1535"/>
      </w:tblGrid>
      <w:tr w:rsidR="00FB3DB2" w:rsidRPr="00BA3085" w14:paraId="3FB6E22C" w14:textId="77777777" w:rsidTr="00FA4709">
        <w:trPr>
          <w:trHeight w:val="317"/>
        </w:trPr>
        <w:tc>
          <w:tcPr>
            <w:tcW w:w="8095" w:type="dxa"/>
            <w:tcBorders>
              <w:top w:val="nil"/>
              <w:left w:val="nil"/>
              <w:bottom w:val="single" w:sz="4" w:space="0" w:color="auto"/>
              <w:right w:val="nil"/>
            </w:tcBorders>
            <w:vAlign w:val="center"/>
          </w:tcPr>
          <w:p w14:paraId="3B7E49B2" w14:textId="77777777" w:rsidR="00FB3DB2" w:rsidRPr="00BA3085" w:rsidRDefault="00FB3DB2" w:rsidP="00EF7816">
            <w:pPr>
              <w:rPr>
                <w:i/>
                <w:iCs/>
              </w:rPr>
            </w:pPr>
            <w:r w:rsidRPr="00BA3085">
              <w:rPr>
                <w:i/>
                <w:iCs/>
              </w:rPr>
              <w:lastRenderedPageBreak/>
              <w:t>Treatment and Clinical Status</w:t>
            </w:r>
          </w:p>
        </w:tc>
        <w:tc>
          <w:tcPr>
            <w:tcW w:w="1535" w:type="dxa"/>
            <w:tcBorders>
              <w:top w:val="nil"/>
              <w:left w:val="nil"/>
              <w:bottom w:val="single" w:sz="4" w:space="0" w:color="auto"/>
              <w:right w:val="nil"/>
            </w:tcBorders>
            <w:vAlign w:val="center"/>
          </w:tcPr>
          <w:p w14:paraId="76DE0D73" w14:textId="77777777" w:rsidR="00FB3DB2" w:rsidRPr="00BA3085" w:rsidRDefault="00FB3DB2" w:rsidP="00EF7816"/>
        </w:tc>
      </w:tr>
      <w:tr w:rsidR="00FB3DB2" w:rsidRPr="00BA3085" w14:paraId="66702312" w14:textId="77777777" w:rsidTr="00FA4709">
        <w:trPr>
          <w:trHeight w:val="317"/>
        </w:trPr>
        <w:tc>
          <w:tcPr>
            <w:tcW w:w="8095" w:type="dxa"/>
            <w:tcBorders>
              <w:top w:val="single" w:sz="4" w:space="0" w:color="auto"/>
              <w:left w:val="nil"/>
              <w:bottom w:val="single" w:sz="4" w:space="0" w:color="auto"/>
              <w:right w:val="nil"/>
            </w:tcBorders>
            <w:vAlign w:val="center"/>
          </w:tcPr>
          <w:p w14:paraId="660F9350" w14:textId="77777777" w:rsidR="00FB3DB2" w:rsidRPr="00BA3085" w:rsidRDefault="00FB3DB2" w:rsidP="00EF7816"/>
        </w:tc>
        <w:tc>
          <w:tcPr>
            <w:tcW w:w="1535" w:type="dxa"/>
            <w:tcBorders>
              <w:top w:val="single" w:sz="4" w:space="0" w:color="auto"/>
              <w:left w:val="nil"/>
              <w:bottom w:val="single" w:sz="4" w:space="0" w:color="auto"/>
              <w:right w:val="nil"/>
            </w:tcBorders>
            <w:vAlign w:val="center"/>
          </w:tcPr>
          <w:p w14:paraId="7E936263" w14:textId="0E23F98F" w:rsidR="00FB3DB2" w:rsidRPr="00BA3085" w:rsidRDefault="00FB3DB2" w:rsidP="00EF7816">
            <w:r w:rsidRPr="00BA3085">
              <w:t>Total Sample</w:t>
            </w:r>
          </w:p>
          <w:p w14:paraId="7732799B" w14:textId="77777777" w:rsidR="00FB3DB2" w:rsidRPr="00BA3085" w:rsidRDefault="00FB3DB2" w:rsidP="00EF7816">
            <w:r w:rsidRPr="00BA3085">
              <w:t>(</w:t>
            </w:r>
            <w:r w:rsidRPr="00BA3085">
              <w:rPr>
                <w:i/>
                <w:iCs/>
              </w:rPr>
              <w:t xml:space="preserve">n </w:t>
            </w:r>
            <w:r w:rsidRPr="00BA3085">
              <w:t>= 984)</w:t>
            </w:r>
          </w:p>
        </w:tc>
      </w:tr>
      <w:tr w:rsidR="00FB3DB2" w:rsidRPr="00BA3085" w14:paraId="133FE965" w14:textId="77777777" w:rsidTr="00FA4709">
        <w:trPr>
          <w:trHeight w:val="317"/>
        </w:trPr>
        <w:tc>
          <w:tcPr>
            <w:tcW w:w="8095" w:type="dxa"/>
            <w:tcBorders>
              <w:top w:val="single" w:sz="4" w:space="0" w:color="auto"/>
              <w:left w:val="nil"/>
              <w:bottom w:val="nil"/>
              <w:right w:val="nil"/>
            </w:tcBorders>
            <w:vAlign w:val="center"/>
          </w:tcPr>
          <w:p w14:paraId="76FE5BCD" w14:textId="77777777" w:rsidR="00FB3DB2" w:rsidRPr="00BA3085" w:rsidRDefault="00FB3DB2" w:rsidP="00EF7816">
            <w:pPr>
              <w:rPr>
                <w:i/>
                <w:iCs/>
                <w:sz w:val="24"/>
                <w:szCs w:val="24"/>
              </w:rPr>
            </w:pPr>
            <w:r w:rsidRPr="00BA3085">
              <w:rPr>
                <w:sz w:val="24"/>
                <w:szCs w:val="24"/>
              </w:rPr>
              <w:t>Treatment status (%)</w:t>
            </w:r>
          </w:p>
        </w:tc>
        <w:tc>
          <w:tcPr>
            <w:tcW w:w="1535" w:type="dxa"/>
            <w:tcBorders>
              <w:top w:val="single" w:sz="4" w:space="0" w:color="auto"/>
              <w:left w:val="nil"/>
              <w:bottom w:val="nil"/>
              <w:right w:val="nil"/>
            </w:tcBorders>
            <w:vAlign w:val="center"/>
          </w:tcPr>
          <w:p w14:paraId="1714C7C1" w14:textId="77777777" w:rsidR="00FB3DB2" w:rsidRPr="00BA3085" w:rsidRDefault="00FB3DB2" w:rsidP="00EF7816">
            <w:pPr>
              <w:rPr>
                <w:sz w:val="24"/>
                <w:szCs w:val="24"/>
              </w:rPr>
            </w:pPr>
          </w:p>
        </w:tc>
      </w:tr>
      <w:tr w:rsidR="00FB3DB2" w:rsidRPr="00BA3085" w14:paraId="5F62C54E" w14:textId="77777777" w:rsidTr="00FA4709">
        <w:trPr>
          <w:trHeight w:val="317"/>
        </w:trPr>
        <w:tc>
          <w:tcPr>
            <w:tcW w:w="8095" w:type="dxa"/>
            <w:tcBorders>
              <w:top w:val="nil"/>
              <w:left w:val="nil"/>
              <w:bottom w:val="nil"/>
              <w:right w:val="nil"/>
            </w:tcBorders>
            <w:vAlign w:val="center"/>
          </w:tcPr>
          <w:p w14:paraId="15E97699" w14:textId="77777777" w:rsidR="00FB3DB2" w:rsidRPr="00BA3085" w:rsidRDefault="00FB3DB2" w:rsidP="00EF7816">
            <w:pPr>
              <w:rPr>
                <w:i/>
                <w:iCs/>
                <w:sz w:val="24"/>
                <w:szCs w:val="24"/>
              </w:rPr>
            </w:pPr>
            <w:r w:rsidRPr="00BA3085">
              <w:rPr>
                <w:i/>
                <w:iCs/>
                <w:sz w:val="24"/>
                <w:szCs w:val="24"/>
              </w:rPr>
              <w:t xml:space="preserve">     Currently working with a mental health professional</w:t>
            </w:r>
          </w:p>
        </w:tc>
        <w:tc>
          <w:tcPr>
            <w:tcW w:w="1535" w:type="dxa"/>
            <w:tcBorders>
              <w:top w:val="nil"/>
              <w:left w:val="nil"/>
              <w:bottom w:val="nil"/>
              <w:right w:val="nil"/>
            </w:tcBorders>
            <w:vAlign w:val="center"/>
          </w:tcPr>
          <w:p w14:paraId="38779A2F" w14:textId="77777777" w:rsidR="00FB3DB2" w:rsidRPr="00BA3085" w:rsidRDefault="00FB3DB2" w:rsidP="00EF7816">
            <w:pPr>
              <w:jc w:val="center"/>
              <w:rPr>
                <w:sz w:val="24"/>
                <w:szCs w:val="24"/>
              </w:rPr>
            </w:pPr>
            <w:r w:rsidRPr="00BA3085">
              <w:rPr>
                <w:sz w:val="24"/>
                <w:szCs w:val="24"/>
              </w:rPr>
              <w:t>35.2</w:t>
            </w:r>
          </w:p>
        </w:tc>
      </w:tr>
      <w:tr w:rsidR="00FB3DB2" w:rsidRPr="00BA3085" w14:paraId="7ED29E84" w14:textId="77777777" w:rsidTr="00FA4709">
        <w:trPr>
          <w:trHeight w:val="317"/>
        </w:trPr>
        <w:tc>
          <w:tcPr>
            <w:tcW w:w="8095" w:type="dxa"/>
            <w:tcBorders>
              <w:top w:val="nil"/>
              <w:left w:val="nil"/>
              <w:bottom w:val="nil"/>
              <w:right w:val="nil"/>
            </w:tcBorders>
            <w:vAlign w:val="center"/>
          </w:tcPr>
          <w:p w14:paraId="6B381F12" w14:textId="77777777" w:rsidR="00FB3DB2" w:rsidRPr="00BA3085" w:rsidRDefault="00FB3DB2" w:rsidP="00EF7816">
            <w:pPr>
              <w:rPr>
                <w:i/>
                <w:iCs/>
                <w:sz w:val="24"/>
                <w:szCs w:val="24"/>
              </w:rPr>
            </w:pPr>
            <w:r w:rsidRPr="00BA3085">
              <w:rPr>
                <w:i/>
                <w:iCs/>
                <w:sz w:val="24"/>
                <w:szCs w:val="24"/>
              </w:rPr>
              <w:t xml:space="preserve">     Recently stopped working with a mental health professional</w:t>
            </w:r>
          </w:p>
        </w:tc>
        <w:tc>
          <w:tcPr>
            <w:tcW w:w="1535" w:type="dxa"/>
            <w:tcBorders>
              <w:top w:val="nil"/>
              <w:left w:val="nil"/>
              <w:bottom w:val="nil"/>
              <w:right w:val="nil"/>
            </w:tcBorders>
            <w:vAlign w:val="center"/>
          </w:tcPr>
          <w:p w14:paraId="630CD84B" w14:textId="77777777" w:rsidR="00FB3DB2" w:rsidRPr="00BA3085" w:rsidRDefault="00FB3DB2" w:rsidP="00EF7816">
            <w:pPr>
              <w:jc w:val="center"/>
              <w:rPr>
                <w:sz w:val="24"/>
                <w:szCs w:val="24"/>
              </w:rPr>
            </w:pPr>
            <w:r w:rsidRPr="00BA3085">
              <w:rPr>
                <w:sz w:val="24"/>
                <w:szCs w:val="24"/>
              </w:rPr>
              <w:t>5.1</w:t>
            </w:r>
          </w:p>
        </w:tc>
      </w:tr>
      <w:tr w:rsidR="00FB3DB2" w:rsidRPr="00BA3085" w14:paraId="6E9DC0DF" w14:textId="77777777" w:rsidTr="00FA4709">
        <w:trPr>
          <w:trHeight w:val="317"/>
        </w:trPr>
        <w:tc>
          <w:tcPr>
            <w:tcW w:w="8095" w:type="dxa"/>
            <w:tcBorders>
              <w:top w:val="nil"/>
              <w:left w:val="nil"/>
              <w:bottom w:val="nil"/>
              <w:right w:val="nil"/>
            </w:tcBorders>
            <w:vAlign w:val="center"/>
          </w:tcPr>
          <w:p w14:paraId="71183605" w14:textId="77777777" w:rsidR="00FB3DB2" w:rsidRPr="00BA3085" w:rsidRDefault="00FB3DB2" w:rsidP="00EF7816">
            <w:pPr>
              <w:rPr>
                <w:i/>
                <w:iCs/>
                <w:sz w:val="24"/>
                <w:szCs w:val="24"/>
              </w:rPr>
            </w:pPr>
            <w:r w:rsidRPr="00BA3085">
              <w:rPr>
                <w:i/>
                <w:iCs/>
                <w:sz w:val="24"/>
                <w:szCs w:val="24"/>
              </w:rPr>
              <w:t xml:space="preserve">     Has worked with a mental health professional in the past (not currently)</w:t>
            </w:r>
          </w:p>
        </w:tc>
        <w:tc>
          <w:tcPr>
            <w:tcW w:w="1535" w:type="dxa"/>
            <w:tcBorders>
              <w:top w:val="nil"/>
              <w:left w:val="nil"/>
              <w:bottom w:val="nil"/>
              <w:right w:val="nil"/>
            </w:tcBorders>
            <w:vAlign w:val="center"/>
          </w:tcPr>
          <w:p w14:paraId="48DD58A0" w14:textId="77777777" w:rsidR="00FB3DB2" w:rsidRPr="00BA3085" w:rsidRDefault="00FB3DB2" w:rsidP="00EF7816">
            <w:pPr>
              <w:jc w:val="center"/>
              <w:rPr>
                <w:sz w:val="24"/>
                <w:szCs w:val="24"/>
              </w:rPr>
            </w:pPr>
            <w:r w:rsidRPr="00BA3085">
              <w:rPr>
                <w:sz w:val="24"/>
                <w:szCs w:val="24"/>
              </w:rPr>
              <w:t>33.9</w:t>
            </w:r>
          </w:p>
        </w:tc>
      </w:tr>
      <w:tr w:rsidR="00FB3DB2" w:rsidRPr="00BA3085" w14:paraId="0F11D16B" w14:textId="77777777" w:rsidTr="00FA4709">
        <w:trPr>
          <w:trHeight w:val="317"/>
        </w:trPr>
        <w:tc>
          <w:tcPr>
            <w:tcW w:w="8095" w:type="dxa"/>
            <w:tcBorders>
              <w:top w:val="nil"/>
              <w:left w:val="nil"/>
              <w:bottom w:val="nil"/>
              <w:right w:val="nil"/>
            </w:tcBorders>
            <w:vAlign w:val="center"/>
          </w:tcPr>
          <w:p w14:paraId="34FD278B" w14:textId="77777777" w:rsidR="00FB3DB2" w:rsidRPr="00BA3085" w:rsidRDefault="00FB3DB2" w:rsidP="00EF7816">
            <w:pPr>
              <w:rPr>
                <w:i/>
                <w:iCs/>
                <w:sz w:val="24"/>
                <w:szCs w:val="24"/>
              </w:rPr>
            </w:pPr>
            <w:r w:rsidRPr="00BA3085">
              <w:rPr>
                <w:i/>
                <w:iCs/>
                <w:sz w:val="24"/>
                <w:szCs w:val="24"/>
              </w:rPr>
              <w:t xml:space="preserve">      Has never worked with a mental health professional</w:t>
            </w:r>
          </w:p>
        </w:tc>
        <w:tc>
          <w:tcPr>
            <w:tcW w:w="1535" w:type="dxa"/>
            <w:tcBorders>
              <w:top w:val="nil"/>
              <w:left w:val="nil"/>
              <w:bottom w:val="nil"/>
              <w:right w:val="nil"/>
            </w:tcBorders>
            <w:vAlign w:val="center"/>
          </w:tcPr>
          <w:p w14:paraId="6EE2D4FD" w14:textId="77777777" w:rsidR="00FB3DB2" w:rsidRPr="00BA3085" w:rsidRDefault="00FB3DB2" w:rsidP="00EF7816">
            <w:pPr>
              <w:jc w:val="center"/>
              <w:rPr>
                <w:sz w:val="24"/>
                <w:szCs w:val="24"/>
              </w:rPr>
            </w:pPr>
            <w:r w:rsidRPr="00BA3085">
              <w:rPr>
                <w:sz w:val="24"/>
                <w:szCs w:val="24"/>
              </w:rPr>
              <w:t>25.8</w:t>
            </w:r>
          </w:p>
        </w:tc>
      </w:tr>
      <w:tr w:rsidR="00FB3DB2" w:rsidRPr="00BA3085" w14:paraId="52488C82" w14:textId="77777777" w:rsidTr="00FA4709">
        <w:trPr>
          <w:trHeight w:val="317"/>
        </w:trPr>
        <w:tc>
          <w:tcPr>
            <w:tcW w:w="8095" w:type="dxa"/>
            <w:tcBorders>
              <w:top w:val="nil"/>
              <w:left w:val="nil"/>
              <w:bottom w:val="nil"/>
              <w:right w:val="nil"/>
            </w:tcBorders>
            <w:vAlign w:val="center"/>
          </w:tcPr>
          <w:p w14:paraId="399BB1BD" w14:textId="77777777" w:rsidR="00FB3DB2" w:rsidRPr="00BA3085" w:rsidRDefault="00FB3DB2" w:rsidP="00EF7816">
            <w:pPr>
              <w:rPr>
                <w:i/>
                <w:iCs/>
                <w:sz w:val="24"/>
                <w:szCs w:val="24"/>
              </w:rPr>
            </w:pPr>
            <w:r w:rsidRPr="00BA3085">
              <w:rPr>
                <w:i/>
                <w:iCs/>
                <w:sz w:val="24"/>
                <w:szCs w:val="24"/>
              </w:rPr>
              <w:t xml:space="preserve">     Preferred not to answer</w:t>
            </w:r>
          </w:p>
        </w:tc>
        <w:tc>
          <w:tcPr>
            <w:tcW w:w="1535" w:type="dxa"/>
            <w:tcBorders>
              <w:top w:val="nil"/>
              <w:left w:val="nil"/>
              <w:bottom w:val="nil"/>
              <w:right w:val="nil"/>
            </w:tcBorders>
            <w:vAlign w:val="center"/>
          </w:tcPr>
          <w:p w14:paraId="24FE7E85" w14:textId="77777777" w:rsidR="00FB3DB2" w:rsidRPr="00BA3085" w:rsidRDefault="00FB3DB2" w:rsidP="00EF7816">
            <w:pPr>
              <w:jc w:val="center"/>
              <w:rPr>
                <w:sz w:val="24"/>
                <w:szCs w:val="24"/>
              </w:rPr>
            </w:pPr>
            <w:r w:rsidRPr="00BA3085">
              <w:rPr>
                <w:sz w:val="24"/>
                <w:szCs w:val="24"/>
              </w:rPr>
              <w:t>4.0</w:t>
            </w:r>
          </w:p>
        </w:tc>
      </w:tr>
      <w:tr w:rsidR="00FB3DB2" w:rsidRPr="005B6CBE" w14:paraId="63105DEB" w14:textId="77777777" w:rsidTr="00FA4709">
        <w:trPr>
          <w:trHeight w:val="317"/>
        </w:trPr>
        <w:tc>
          <w:tcPr>
            <w:tcW w:w="8095" w:type="dxa"/>
            <w:tcBorders>
              <w:top w:val="nil"/>
              <w:left w:val="nil"/>
              <w:bottom w:val="nil"/>
              <w:right w:val="nil"/>
            </w:tcBorders>
          </w:tcPr>
          <w:p w14:paraId="4443290C" w14:textId="77777777" w:rsidR="00FB3DB2" w:rsidRPr="00BA3085" w:rsidRDefault="00FB3DB2" w:rsidP="00EF7816">
            <w:pPr>
              <w:contextualSpacing/>
              <w:rPr>
                <w:sz w:val="24"/>
                <w:szCs w:val="24"/>
                <w:highlight w:val="yellow"/>
              </w:rPr>
            </w:pPr>
            <w:r w:rsidRPr="00BA3085">
              <w:rPr>
                <w:sz w:val="24"/>
                <w:szCs w:val="24"/>
              </w:rPr>
              <w:t>Depression* (%)</w:t>
            </w:r>
          </w:p>
        </w:tc>
        <w:tc>
          <w:tcPr>
            <w:tcW w:w="1535" w:type="dxa"/>
            <w:tcBorders>
              <w:top w:val="nil"/>
              <w:left w:val="nil"/>
              <w:bottom w:val="nil"/>
              <w:right w:val="nil"/>
            </w:tcBorders>
          </w:tcPr>
          <w:p w14:paraId="5F8A98AF" w14:textId="77777777" w:rsidR="00FB3DB2" w:rsidRPr="00BA3085" w:rsidRDefault="00FB3DB2" w:rsidP="00EF7816">
            <w:pPr>
              <w:contextualSpacing/>
              <w:jc w:val="center"/>
              <w:rPr>
                <w:sz w:val="24"/>
                <w:szCs w:val="24"/>
              </w:rPr>
            </w:pPr>
          </w:p>
        </w:tc>
      </w:tr>
      <w:tr w:rsidR="00FB3DB2" w:rsidRPr="005B6CBE" w14:paraId="4F68E6C1" w14:textId="77777777" w:rsidTr="00FA4709">
        <w:trPr>
          <w:trHeight w:val="317"/>
        </w:trPr>
        <w:tc>
          <w:tcPr>
            <w:tcW w:w="8095" w:type="dxa"/>
            <w:tcBorders>
              <w:top w:val="nil"/>
              <w:left w:val="nil"/>
              <w:bottom w:val="nil"/>
              <w:right w:val="nil"/>
            </w:tcBorders>
          </w:tcPr>
          <w:p w14:paraId="05EFF33D" w14:textId="7C521158" w:rsidR="00FB3DB2" w:rsidRPr="00BA3085" w:rsidRDefault="00FB3DB2" w:rsidP="00EF7816">
            <w:pPr>
              <w:contextualSpacing/>
              <w:rPr>
                <w:i/>
                <w:iCs/>
                <w:sz w:val="24"/>
                <w:szCs w:val="24"/>
              </w:rPr>
            </w:pPr>
            <w:r w:rsidRPr="00BA3085">
              <w:rPr>
                <w:i/>
                <w:iCs/>
                <w:sz w:val="24"/>
                <w:szCs w:val="24"/>
              </w:rPr>
              <w:t xml:space="preserve">     </w:t>
            </w:r>
            <w:r w:rsidR="00706A25">
              <w:rPr>
                <w:i/>
                <w:iCs/>
                <w:sz w:val="24"/>
                <w:szCs w:val="24"/>
              </w:rPr>
              <w:t>Below normed average</w:t>
            </w:r>
          </w:p>
        </w:tc>
        <w:tc>
          <w:tcPr>
            <w:tcW w:w="1535" w:type="dxa"/>
            <w:tcBorders>
              <w:top w:val="nil"/>
              <w:left w:val="nil"/>
              <w:bottom w:val="nil"/>
              <w:right w:val="nil"/>
            </w:tcBorders>
          </w:tcPr>
          <w:p w14:paraId="61533018" w14:textId="77777777" w:rsidR="00FB3DB2" w:rsidRPr="00BA3085" w:rsidRDefault="00FB3DB2" w:rsidP="00EF7816">
            <w:pPr>
              <w:contextualSpacing/>
              <w:jc w:val="center"/>
              <w:rPr>
                <w:sz w:val="24"/>
                <w:szCs w:val="24"/>
              </w:rPr>
            </w:pPr>
            <w:r w:rsidRPr="00BA3085">
              <w:rPr>
                <w:sz w:val="24"/>
                <w:szCs w:val="24"/>
              </w:rPr>
              <w:t>11.5</w:t>
            </w:r>
          </w:p>
        </w:tc>
      </w:tr>
      <w:tr w:rsidR="00FB3DB2" w:rsidRPr="005B6CBE" w14:paraId="7CC7EBBF" w14:textId="77777777" w:rsidTr="00FA4709">
        <w:trPr>
          <w:trHeight w:val="317"/>
        </w:trPr>
        <w:tc>
          <w:tcPr>
            <w:tcW w:w="8095" w:type="dxa"/>
            <w:tcBorders>
              <w:top w:val="nil"/>
              <w:left w:val="nil"/>
              <w:bottom w:val="nil"/>
              <w:right w:val="nil"/>
            </w:tcBorders>
          </w:tcPr>
          <w:p w14:paraId="06695262" w14:textId="737051B4" w:rsidR="00FB3DB2" w:rsidRPr="00BA3085" w:rsidRDefault="00FB3DB2" w:rsidP="00EF7816">
            <w:pPr>
              <w:contextualSpacing/>
              <w:rPr>
                <w:i/>
                <w:iCs/>
                <w:sz w:val="24"/>
                <w:szCs w:val="24"/>
              </w:rPr>
            </w:pPr>
            <w:r w:rsidRPr="00BA3085">
              <w:rPr>
                <w:i/>
                <w:iCs/>
                <w:sz w:val="24"/>
                <w:szCs w:val="24"/>
              </w:rPr>
              <w:t xml:space="preserve">     </w:t>
            </w:r>
            <w:r w:rsidR="00706A25">
              <w:rPr>
                <w:i/>
                <w:iCs/>
                <w:sz w:val="24"/>
                <w:szCs w:val="24"/>
              </w:rPr>
              <w:t>Normal to Mild</w:t>
            </w:r>
            <w:r w:rsidRPr="00BA3085">
              <w:rPr>
                <w:i/>
                <w:iCs/>
                <w:sz w:val="24"/>
                <w:szCs w:val="24"/>
              </w:rPr>
              <w:t xml:space="preserve"> (0 - 1 SD above average)</w:t>
            </w:r>
          </w:p>
        </w:tc>
        <w:tc>
          <w:tcPr>
            <w:tcW w:w="1535" w:type="dxa"/>
            <w:tcBorders>
              <w:top w:val="nil"/>
              <w:left w:val="nil"/>
              <w:bottom w:val="nil"/>
              <w:right w:val="nil"/>
            </w:tcBorders>
          </w:tcPr>
          <w:p w14:paraId="118A2C08" w14:textId="77777777" w:rsidR="00FB3DB2" w:rsidRPr="00BA3085" w:rsidRDefault="00FB3DB2" w:rsidP="00EF7816">
            <w:pPr>
              <w:contextualSpacing/>
              <w:jc w:val="center"/>
              <w:rPr>
                <w:sz w:val="24"/>
                <w:szCs w:val="24"/>
              </w:rPr>
            </w:pPr>
            <w:r w:rsidRPr="00BA3085">
              <w:rPr>
                <w:sz w:val="24"/>
                <w:szCs w:val="24"/>
              </w:rPr>
              <w:t>32.9</w:t>
            </w:r>
          </w:p>
        </w:tc>
      </w:tr>
      <w:tr w:rsidR="00FB3DB2" w:rsidRPr="005B6CBE" w14:paraId="39FD40BB" w14:textId="77777777" w:rsidTr="00FA4709">
        <w:trPr>
          <w:trHeight w:val="317"/>
        </w:trPr>
        <w:tc>
          <w:tcPr>
            <w:tcW w:w="8095" w:type="dxa"/>
            <w:tcBorders>
              <w:top w:val="nil"/>
              <w:left w:val="nil"/>
              <w:bottom w:val="nil"/>
              <w:right w:val="nil"/>
            </w:tcBorders>
          </w:tcPr>
          <w:p w14:paraId="1CABEB1C" w14:textId="36FB6672" w:rsidR="00FB3DB2" w:rsidRPr="00BA3085" w:rsidRDefault="00FB3DB2" w:rsidP="00EF7816">
            <w:pPr>
              <w:contextualSpacing/>
              <w:rPr>
                <w:i/>
                <w:iCs/>
                <w:sz w:val="24"/>
                <w:szCs w:val="24"/>
              </w:rPr>
            </w:pPr>
            <w:r w:rsidRPr="00BA3085">
              <w:rPr>
                <w:i/>
                <w:iCs/>
                <w:sz w:val="24"/>
                <w:szCs w:val="24"/>
              </w:rPr>
              <w:t xml:space="preserve">     </w:t>
            </w:r>
            <w:r w:rsidR="00706A25">
              <w:rPr>
                <w:i/>
                <w:iCs/>
                <w:sz w:val="24"/>
                <w:szCs w:val="24"/>
              </w:rPr>
              <w:t>Moderate</w:t>
            </w:r>
            <w:r w:rsidRPr="00BA3085">
              <w:rPr>
                <w:i/>
                <w:iCs/>
                <w:sz w:val="24"/>
                <w:szCs w:val="24"/>
              </w:rPr>
              <w:t xml:space="preserve"> (1 - 2 SD above average)</w:t>
            </w:r>
          </w:p>
        </w:tc>
        <w:tc>
          <w:tcPr>
            <w:tcW w:w="1535" w:type="dxa"/>
            <w:tcBorders>
              <w:top w:val="nil"/>
              <w:left w:val="nil"/>
              <w:bottom w:val="nil"/>
              <w:right w:val="nil"/>
            </w:tcBorders>
          </w:tcPr>
          <w:p w14:paraId="0A675A3B" w14:textId="77777777" w:rsidR="00FB3DB2" w:rsidRPr="00BA3085" w:rsidRDefault="00FB3DB2" w:rsidP="00EF7816">
            <w:pPr>
              <w:contextualSpacing/>
              <w:jc w:val="center"/>
              <w:rPr>
                <w:sz w:val="24"/>
                <w:szCs w:val="24"/>
              </w:rPr>
            </w:pPr>
            <w:r w:rsidRPr="00BA3085">
              <w:rPr>
                <w:sz w:val="24"/>
                <w:szCs w:val="24"/>
              </w:rPr>
              <w:t>50.5</w:t>
            </w:r>
          </w:p>
        </w:tc>
      </w:tr>
      <w:tr w:rsidR="00FB3DB2" w:rsidRPr="005B6CBE" w14:paraId="17F46E7F" w14:textId="77777777" w:rsidTr="00FA4709">
        <w:trPr>
          <w:trHeight w:val="317"/>
        </w:trPr>
        <w:tc>
          <w:tcPr>
            <w:tcW w:w="8095" w:type="dxa"/>
            <w:tcBorders>
              <w:top w:val="nil"/>
              <w:left w:val="nil"/>
              <w:bottom w:val="nil"/>
              <w:right w:val="nil"/>
            </w:tcBorders>
          </w:tcPr>
          <w:p w14:paraId="43A921B9" w14:textId="6595E739" w:rsidR="00FB3DB2" w:rsidRPr="00BA3085" w:rsidRDefault="00FB3DB2" w:rsidP="00EF7816">
            <w:pPr>
              <w:contextualSpacing/>
              <w:rPr>
                <w:i/>
                <w:iCs/>
                <w:sz w:val="24"/>
                <w:szCs w:val="24"/>
              </w:rPr>
            </w:pPr>
            <w:r w:rsidRPr="00BA3085">
              <w:rPr>
                <w:i/>
                <w:iCs/>
                <w:sz w:val="24"/>
                <w:szCs w:val="24"/>
              </w:rPr>
              <w:t xml:space="preserve">     </w:t>
            </w:r>
            <w:r w:rsidR="00706A25">
              <w:rPr>
                <w:i/>
                <w:iCs/>
                <w:sz w:val="24"/>
                <w:szCs w:val="24"/>
              </w:rPr>
              <w:t>Severe</w:t>
            </w:r>
            <w:r w:rsidRPr="00BA3085">
              <w:rPr>
                <w:i/>
                <w:iCs/>
                <w:sz w:val="24"/>
                <w:szCs w:val="24"/>
              </w:rPr>
              <w:t xml:space="preserve"> (2 – 3 SD above average)</w:t>
            </w:r>
          </w:p>
        </w:tc>
        <w:tc>
          <w:tcPr>
            <w:tcW w:w="1535" w:type="dxa"/>
            <w:tcBorders>
              <w:top w:val="nil"/>
              <w:left w:val="nil"/>
              <w:bottom w:val="nil"/>
              <w:right w:val="nil"/>
            </w:tcBorders>
          </w:tcPr>
          <w:p w14:paraId="4A7F7D3D" w14:textId="77777777" w:rsidR="00FB3DB2" w:rsidRPr="00BA3085" w:rsidRDefault="00FB3DB2" w:rsidP="00EF7816">
            <w:pPr>
              <w:contextualSpacing/>
              <w:jc w:val="center"/>
              <w:rPr>
                <w:sz w:val="24"/>
                <w:szCs w:val="24"/>
              </w:rPr>
            </w:pPr>
            <w:r w:rsidRPr="00BA3085">
              <w:rPr>
                <w:sz w:val="24"/>
                <w:szCs w:val="24"/>
              </w:rPr>
              <w:t>5.1</w:t>
            </w:r>
          </w:p>
        </w:tc>
      </w:tr>
      <w:tr w:rsidR="00FB3DB2" w:rsidRPr="005B6CBE" w14:paraId="6D3A92E0" w14:textId="77777777" w:rsidTr="00FA4709">
        <w:trPr>
          <w:trHeight w:val="317"/>
        </w:trPr>
        <w:tc>
          <w:tcPr>
            <w:tcW w:w="8095" w:type="dxa"/>
            <w:tcBorders>
              <w:top w:val="nil"/>
              <w:left w:val="nil"/>
              <w:bottom w:val="nil"/>
              <w:right w:val="nil"/>
            </w:tcBorders>
          </w:tcPr>
          <w:p w14:paraId="173FAFBE" w14:textId="77777777" w:rsidR="00FB3DB2" w:rsidRPr="00BA3085" w:rsidRDefault="00FB3DB2" w:rsidP="00EF7816">
            <w:pPr>
              <w:contextualSpacing/>
              <w:rPr>
                <w:sz w:val="24"/>
                <w:szCs w:val="24"/>
                <w:highlight w:val="yellow"/>
              </w:rPr>
            </w:pPr>
            <w:r w:rsidRPr="00BA3085">
              <w:rPr>
                <w:sz w:val="24"/>
                <w:szCs w:val="24"/>
              </w:rPr>
              <w:t>Anxiety* (%)</w:t>
            </w:r>
          </w:p>
        </w:tc>
        <w:tc>
          <w:tcPr>
            <w:tcW w:w="1535" w:type="dxa"/>
            <w:tcBorders>
              <w:top w:val="nil"/>
              <w:left w:val="nil"/>
              <w:bottom w:val="nil"/>
              <w:right w:val="nil"/>
            </w:tcBorders>
          </w:tcPr>
          <w:p w14:paraId="0145C8F2" w14:textId="77777777" w:rsidR="00FB3DB2" w:rsidRPr="00BA3085" w:rsidRDefault="00FB3DB2" w:rsidP="00EF7816">
            <w:pPr>
              <w:contextualSpacing/>
              <w:jc w:val="center"/>
              <w:rPr>
                <w:sz w:val="24"/>
                <w:szCs w:val="24"/>
              </w:rPr>
            </w:pPr>
          </w:p>
        </w:tc>
      </w:tr>
      <w:tr w:rsidR="00FB3DB2" w:rsidRPr="005B6CBE" w14:paraId="2F33F2FB" w14:textId="77777777" w:rsidTr="00FA4709">
        <w:trPr>
          <w:trHeight w:val="317"/>
        </w:trPr>
        <w:tc>
          <w:tcPr>
            <w:tcW w:w="8095" w:type="dxa"/>
            <w:tcBorders>
              <w:top w:val="nil"/>
              <w:left w:val="nil"/>
              <w:bottom w:val="nil"/>
              <w:right w:val="nil"/>
            </w:tcBorders>
          </w:tcPr>
          <w:p w14:paraId="7B218698" w14:textId="6832C60D" w:rsidR="00FB3DB2" w:rsidRPr="00BA3085" w:rsidRDefault="00FB3DB2" w:rsidP="00EF7816">
            <w:pPr>
              <w:contextualSpacing/>
              <w:rPr>
                <w:sz w:val="24"/>
                <w:szCs w:val="24"/>
              </w:rPr>
            </w:pPr>
            <w:r w:rsidRPr="00BA3085">
              <w:rPr>
                <w:i/>
                <w:iCs/>
                <w:sz w:val="24"/>
                <w:szCs w:val="24"/>
              </w:rPr>
              <w:t xml:space="preserve">     </w:t>
            </w:r>
            <w:r w:rsidR="00706A25">
              <w:rPr>
                <w:i/>
                <w:iCs/>
                <w:sz w:val="24"/>
                <w:szCs w:val="24"/>
              </w:rPr>
              <w:t>Below normed average</w:t>
            </w:r>
          </w:p>
        </w:tc>
        <w:tc>
          <w:tcPr>
            <w:tcW w:w="1535" w:type="dxa"/>
            <w:tcBorders>
              <w:top w:val="nil"/>
              <w:left w:val="nil"/>
              <w:bottom w:val="nil"/>
              <w:right w:val="nil"/>
            </w:tcBorders>
          </w:tcPr>
          <w:p w14:paraId="50357E1D" w14:textId="77777777" w:rsidR="00FB3DB2" w:rsidRPr="00BA3085" w:rsidRDefault="00FB3DB2" w:rsidP="00EF7816">
            <w:pPr>
              <w:contextualSpacing/>
              <w:jc w:val="center"/>
              <w:rPr>
                <w:sz w:val="24"/>
                <w:szCs w:val="24"/>
              </w:rPr>
            </w:pPr>
            <w:r w:rsidRPr="00BA3085">
              <w:rPr>
                <w:sz w:val="24"/>
                <w:szCs w:val="24"/>
              </w:rPr>
              <w:t>4.2</w:t>
            </w:r>
          </w:p>
        </w:tc>
      </w:tr>
      <w:tr w:rsidR="00FB3DB2" w:rsidRPr="005B6CBE" w14:paraId="25E586F4" w14:textId="77777777" w:rsidTr="00FA4709">
        <w:trPr>
          <w:trHeight w:val="317"/>
        </w:trPr>
        <w:tc>
          <w:tcPr>
            <w:tcW w:w="8095" w:type="dxa"/>
            <w:tcBorders>
              <w:top w:val="nil"/>
              <w:left w:val="nil"/>
              <w:bottom w:val="nil"/>
              <w:right w:val="nil"/>
            </w:tcBorders>
          </w:tcPr>
          <w:p w14:paraId="76FD55DB" w14:textId="7EE4DA41" w:rsidR="00FB3DB2" w:rsidRPr="00BA3085" w:rsidRDefault="00FB3DB2" w:rsidP="00EF7816">
            <w:pPr>
              <w:contextualSpacing/>
              <w:rPr>
                <w:sz w:val="24"/>
                <w:szCs w:val="24"/>
              </w:rPr>
            </w:pPr>
            <w:r w:rsidRPr="00BA3085">
              <w:rPr>
                <w:i/>
                <w:iCs/>
                <w:sz w:val="24"/>
                <w:szCs w:val="24"/>
              </w:rPr>
              <w:t xml:space="preserve">     </w:t>
            </w:r>
            <w:r w:rsidR="00706A25">
              <w:rPr>
                <w:i/>
                <w:iCs/>
                <w:sz w:val="24"/>
                <w:szCs w:val="24"/>
              </w:rPr>
              <w:t xml:space="preserve"> Normal to Mild</w:t>
            </w:r>
            <w:r w:rsidR="00706A25" w:rsidRPr="00BA3085">
              <w:rPr>
                <w:i/>
                <w:iCs/>
                <w:sz w:val="24"/>
                <w:szCs w:val="24"/>
              </w:rPr>
              <w:t xml:space="preserve"> </w:t>
            </w:r>
            <w:r w:rsidRPr="00BA3085">
              <w:rPr>
                <w:i/>
                <w:iCs/>
                <w:sz w:val="24"/>
                <w:szCs w:val="24"/>
              </w:rPr>
              <w:t>(0 - 1 SD above average)</w:t>
            </w:r>
          </w:p>
        </w:tc>
        <w:tc>
          <w:tcPr>
            <w:tcW w:w="1535" w:type="dxa"/>
            <w:tcBorders>
              <w:top w:val="nil"/>
              <w:left w:val="nil"/>
              <w:bottom w:val="nil"/>
              <w:right w:val="nil"/>
            </w:tcBorders>
          </w:tcPr>
          <w:p w14:paraId="6FD3A81E" w14:textId="77777777" w:rsidR="00FB3DB2" w:rsidRPr="00BA3085" w:rsidRDefault="00FB3DB2" w:rsidP="00EF7816">
            <w:pPr>
              <w:contextualSpacing/>
              <w:jc w:val="center"/>
              <w:rPr>
                <w:sz w:val="24"/>
                <w:szCs w:val="24"/>
              </w:rPr>
            </w:pPr>
            <w:r w:rsidRPr="00BA3085">
              <w:rPr>
                <w:sz w:val="24"/>
                <w:szCs w:val="24"/>
              </w:rPr>
              <w:t>30.7</w:t>
            </w:r>
          </w:p>
        </w:tc>
      </w:tr>
      <w:tr w:rsidR="00FB3DB2" w:rsidRPr="005B6CBE" w14:paraId="5F50F897" w14:textId="77777777" w:rsidTr="00FA4709">
        <w:trPr>
          <w:trHeight w:val="317"/>
        </w:trPr>
        <w:tc>
          <w:tcPr>
            <w:tcW w:w="8095" w:type="dxa"/>
            <w:tcBorders>
              <w:top w:val="nil"/>
              <w:left w:val="nil"/>
              <w:bottom w:val="nil"/>
              <w:right w:val="nil"/>
            </w:tcBorders>
          </w:tcPr>
          <w:p w14:paraId="71770273" w14:textId="2C95E148" w:rsidR="00FB3DB2" w:rsidRPr="00BA3085" w:rsidRDefault="00FB3DB2" w:rsidP="00EF7816">
            <w:pPr>
              <w:contextualSpacing/>
              <w:rPr>
                <w:sz w:val="24"/>
                <w:szCs w:val="24"/>
              </w:rPr>
            </w:pPr>
            <w:r w:rsidRPr="00BA3085">
              <w:rPr>
                <w:i/>
                <w:iCs/>
                <w:sz w:val="24"/>
                <w:szCs w:val="24"/>
              </w:rPr>
              <w:t xml:space="preserve">     </w:t>
            </w:r>
            <w:r w:rsidR="00706A25">
              <w:rPr>
                <w:i/>
                <w:iCs/>
                <w:sz w:val="24"/>
                <w:szCs w:val="24"/>
              </w:rPr>
              <w:t xml:space="preserve"> Moderate</w:t>
            </w:r>
            <w:r w:rsidR="00706A25" w:rsidRPr="00BA3085">
              <w:rPr>
                <w:i/>
                <w:iCs/>
                <w:sz w:val="24"/>
                <w:szCs w:val="24"/>
              </w:rPr>
              <w:t xml:space="preserve"> </w:t>
            </w:r>
            <w:r w:rsidRPr="00BA3085">
              <w:rPr>
                <w:i/>
                <w:iCs/>
                <w:sz w:val="24"/>
                <w:szCs w:val="24"/>
              </w:rPr>
              <w:t>(1 - 2 SD above average)</w:t>
            </w:r>
          </w:p>
        </w:tc>
        <w:tc>
          <w:tcPr>
            <w:tcW w:w="1535" w:type="dxa"/>
            <w:tcBorders>
              <w:top w:val="nil"/>
              <w:left w:val="nil"/>
              <w:bottom w:val="nil"/>
              <w:right w:val="nil"/>
            </w:tcBorders>
          </w:tcPr>
          <w:p w14:paraId="7DA5DE60" w14:textId="77777777" w:rsidR="00FB3DB2" w:rsidRPr="00BA3085" w:rsidRDefault="00FB3DB2" w:rsidP="00EF7816">
            <w:pPr>
              <w:contextualSpacing/>
              <w:jc w:val="center"/>
              <w:rPr>
                <w:sz w:val="24"/>
                <w:szCs w:val="24"/>
              </w:rPr>
            </w:pPr>
            <w:r w:rsidRPr="00BA3085">
              <w:rPr>
                <w:sz w:val="24"/>
                <w:szCs w:val="24"/>
              </w:rPr>
              <w:t>46.2</w:t>
            </w:r>
          </w:p>
        </w:tc>
      </w:tr>
      <w:tr w:rsidR="00FB3DB2" w:rsidRPr="005B6CBE" w14:paraId="06078647" w14:textId="77777777" w:rsidTr="00FA4709">
        <w:trPr>
          <w:trHeight w:val="317"/>
        </w:trPr>
        <w:tc>
          <w:tcPr>
            <w:tcW w:w="8095" w:type="dxa"/>
            <w:tcBorders>
              <w:top w:val="nil"/>
              <w:left w:val="nil"/>
              <w:bottom w:val="nil"/>
              <w:right w:val="nil"/>
            </w:tcBorders>
          </w:tcPr>
          <w:p w14:paraId="405DB277" w14:textId="0CF04FC4" w:rsidR="00FB3DB2" w:rsidRPr="00BA3085" w:rsidRDefault="00FB3DB2" w:rsidP="00EF7816">
            <w:pPr>
              <w:contextualSpacing/>
              <w:rPr>
                <w:sz w:val="24"/>
                <w:szCs w:val="24"/>
              </w:rPr>
            </w:pPr>
            <w:r w:rsidRPr="00BA3085">
              <w:rPr>
                <w:i/>
                <w:iCs/>
                <w:sz w:val="24"/>
                <w:szCs w:val="24"/>
              </w:rPr>
              <w:t xml:space="preserve">     </w:t>
            </w:r>
            <w:r w:rsidR="00706A25">
              <w:rPr>
                <w:i/>
                <w:iCs/>
                <w:sz w:val="24"/>
                <w:szCs w:val="24"/>
              </w:rPr>
              <w:t xml:space="preserve">Severe </w:t>
            </w:r>
            <w:r w:rsidRPr="00BA3085">
              <w:rPr>
                <w:i/>
                <w:iCs/>
                <w:sz w:val="24"/>
                <w:szCs w:val="24"/>
              </w:rPr>
              <w:t>(2 – 3 SD above average)</w:t>
            </w:r>
          </w:p>
        </w:tc>
        <w:tc>
          <w:tcPr>
            <w:tcW w:w="1535" w:type="dxa"/>
            <w:tcBorders>
              <w:top w:val="nil"/>
              <w:left w:val="nil"/>
              <w:bottom w:val="nil"/>
              <w:right w:val="nil"/>
            </w:tcBorders>
          </w:tcPr>
          <w:p w14:paraId="65945180" w14:textId="77777777" w:rsidR="00FB3DB2" w:rsidRPr="00BA3085" w:rsidRDefault="00FB3DB2" w:rsidP="00EF7816">
            <w:pPr>
              <w:contextualSpacing/>
              <w:jc w:val="center"/>
              <w:rPr>
                <w:sz w:val="24"/>
                <w:szCs w:val="24"/>
              </w:rPr>
            </w:pPr>
            <w:r w:rsidRPr="00BA3085">
              <w:rPr>
                <w:sz w:val="24"/>
                <w:szCs w:val="24"/>
              </w:rPr>
              <w:t>18.9</w:t>
            </w:r>
          </w:p>
        </w:tc>
      </w:tr>
      <w:tr w:rsidR="001E459F" w14:paraId="0BC393C6" w14:textId="77777777" w:rsidTr="001E459F">
        <w:trPr>
          <w:trHeight w:val="317"/>
        </w:trPr>
        <w:tc>
          <w:tcPr>
            <w:tcW w:w="9630" w:type="dxa"/>
            <w:gridSpan w:val="2"/>
            <w:tcBorders>
              <w:top w:val="single" w:sz="4" w:space="0" w:color="auto"/>
              <w:left w:val="nil"/>
              <w:bottom w:val="nil"/>
              <w:right w:val="nil"/>
            </w:tcBorders>
          </w:tcPr>
          <w:p w14:paraId="44E7CD80" w14:textId="2AC1C29C" w:rsidR="001E459F" w:rsidRPr="0077189A" w:rsidRDefault="001E459F" w:rsidP="0035551F">
            <w:pPr>
              <w:spacing w:line="480" w:lineRule="auto"/>
              <w:contextualSpacing/>
              <w:rPr>
                <w:color w:val="000000" w:themeColor="text1"/>
              </w:rPr>
            </w:pPr>
            <w:bookmarkStart w:id="46" w:name="_Hlk135589597"/>
            <w:r w:rsidRPr="0077189A">
              <w:rPr>
                <w:i/>
                <w:iCs/>
                <w:color w:val="000000" w:themeColor="text1"/>
              </w:rPr>
              <w:t>Note. * Does not include users who did not progress far enough into ACT Guide to complete the depression and anxiety measures</w:t>
            </w:r>
            <w:r w:rsidR="0087633A">
              <w:rPr>
                <w:i/>
                <w:iCs/>
                <w:color w:val="000000" w:themeColor="text1"/>
              </w:rPr>
              <w:t>. Depression includes 572 users and anxiety includes 576 users.</w:t>
            </w:r>
            <w:bookmarkEnd w:id="46"/>
          </w:p>
        </w:tc>
      </w:tr>
    </w:tbl>
    <w:p w14:paraId="55B9299D" w14:textId="77777777" w:rsidR="00FB3DB2" w:rsidRDefault="00FB3DB2" w:rsidP="0035551F">
      <w:pPr>
        <w:spacing w:line="480" w:lineRule="auto"/>
        <w:rPr>
          <w:color w:val="000000" w:themeColor="text1"/>
        </w:rPr>
      </w:pPr>
    </w:p>
    <w:p w14:paraId="211B6D16" w14:textId="06ED447E" w:rsidR="001E459F" w:rsidRDefault="004829B4" w:rsidP="0035551F">
      <w:pPr>
        <w:spacing w:line="480" w:lineRule="auto"/>
        <w:rPr>
          <w:b/>
          <w:bCs/>
          <w:color w:val="000000" w:themeColor="text1"/>
        </w:rPr>
      </w:pPr>
      <w:r>
        <w:rPr>
          <w:b/>
          <w:bCs/>
          <w:color w:val="000000" w:themeColor="text1"/>
        </w:rPr>
        <w:t>Table 2</w:t>
      </w:r>
    </w:p>
    <w:p w14:paraId="61DF55D8" w14:textId="77777777" w:rsidR="004829B4" w:rsidRDefault="004829B4">
      <w:pPr>
        <w:rPr>
          <w:b/>
          <w:bCs/>
          <w:color w:val="000000" w:themeColor="text1"/>
        </w:rPr>
      </w:pPr>
      <w:r>
        <w:rPr>
          <w:b/>
          <w:bCs/>
          <w:color w:val="000000" w:themeColor="text1"/>
        </w:rPr>
        <w:br w:type="page"/>
      </w:r>
    </w:p>
    <w:p w14:paraId="391064F3" w14:textId="77777777" w:rsidR="00FA4709" w:rsidRDefault="00FA4709" w:rsidP="004829B4">
      <w:pPr>
        <w:spacing w:line="480" w:lineRule="auto"/>
        <w:contextualSpacing/>
        <w:rPr>
          <w:b/>
          <w:bCs/>
        </w:rPr>
      </w:pPr>
    </w:p>
    <w:p w14:paraId="4481B192" w14:textId="44FD91D3" w:rsidR="005C05C3" w:rsidRPr="005C05C3" w:rsidRDefault="005C05C3" w:rsidP="005C05C3">
      <w:pPr>
        <w:spacing w:line="480" w:lineRule="auto"/>
        <w:rPr>
          <w:b/>
          <w:bCs/>
        </w:rPr>
      </w:pPr>
      <w:r w:rsidRPr="005C05C3">
        <w:rPr>
          <w:b/>
          <w:bCs/>
        </w:rPr>
        <w:t>Figure 1</w:t>
      </w:r>
    </w:p>
    <w:p w14:paraId="282710EC" w14:textId="264971F5" w:rsidR="005C05C3" w:rsidRPr="005C05C3" w:rsidRDefault="005C05C3" w:rsidP="005C05C3">
      <w:pPr>
        <w:spacing w:line="480" w:lineRule="auto"/>
        <w:contextualSpacing/>
        <w:rPr>
          <w:i/>
          <w:iCs/>
        </w:rPr>
      </w:pPr>
      <w:r>
        <w:rPr>
          <w:i/>
          <w:iCs/>
        </w:rPr>
        <w:t xml:space="preserve">Distribution of </w:t>
      </w:r>
      <w:r w:rsidR="00897C01">
        <w:rPr>
          <w:i/>
          <w:iCs/>
        </w:rPr>
        <w:t>N</w:t>
      </w:r>
      <w:r>
        <w:rPr>
          <w:i/>
          <w:iCs/>
        </w:rPr>
        <w:t xml:space="preserve">umber of </w:t>
      </w:r>
      <w:r w:rsidR="00897C01">
        <w:rPr>
          <w:i/>
          <w:iCs/>
        </w:rPr>
        <w:t>C</w:t>
      </w:r>
      <w:r>
        <w:rPr>
          <w:i/>
          <w:iCs/>
        </w:rPr>
        <w:t xml:space="preserve">ore </w:t>
      </w:r>
      <w:r w:rsidR="00897C01">
        <w:rPr>
          <w:i/>
          <w:iCs/>
        </w:rPr>
        <w:t>M</w:t>
      </w:r>
      <w:r>
        <w:rPr>
          <w:i/>
          <w:iCs/>
        </w:rPr>
        <w:t xml:space="preserve">odules </w:t>
      </w:r>
      <w:r w:rsidR="00897C01">
        <w:rPr>
          <w:i/>
          <w:iCs/>
        </w:rPr>
        <w:t>C</w:t>
      </w:r>
      <w:r>
        <w:rPr>
          <w:i/>
          <w:iCs/>
        </w:rPr>
        <w:t>ompleted</w:t>
      </w:r>
    </w:p>
    <w:p w14:paraId="6FD0F525" w14:textId="40C25C8E" w:rsidR="005C05C3" w:rsidRDefault="005C05C3" w:rsidP="005C05C3">
      <w:pPr>
        <w:jc w:val="center"/>
        <w:rPr>
          <w:b/>
          <w:bCs/>
          <w:color w:val="000000" w:themeColor="text1"/>
        </w:rPr>
      </w:pPr>
      <w:r>
        <w:rPr>
          <w:b/>
          <w:bCs/>
          <w:noProof/>
          <w:color w:val="000000" w:themeColor="text1"/>
        </w:rPr>
        <w:drawing>
          <wp:inline distT="0" distB="0" distL="0" distR="0" wp14:anchorId="3DB804C7" wp14:editId="358B6C31">
            <wp:extent cx="5943600" cy="3954780"/>
            <wp:effectExtent l="0" t="0" r="0" b="7620"/>
            <wp:docPr id="15630380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954780"/>
                    </a:xfrm>
                    <a:prstGeom prst="rect">
                      <a:avLst/>
                    </a:prstGeom>
                    <a:noFill/>
                    <a:ln>
                      <a:noFill/>
                    </a:ln>
                  </pic:spPr>
                </pic:pic>
              </a:graphicData>
            </a:graphic>
          </wp:inline>
        </w:drawing>
      </w:r>
    </w:p>
    <w:p w14:paraId="71BD0834" w14:textId="4315E6D8" w:rsidR="0013697B" w:rsidRDefault="005C05C3" w:rsidP="0035551F">
      <w:pPr>
        <w:spacing w:line="480" w:lineRule="auto"/>
        <w:rPr>
          <w:color w:val="000000" w:themeColor="text1"/>
        </w:rPr>
        <w:sectPr w:rsidR="0013697B" w:rsidSect="00284338">
          <w:headerReference w:type="default" r:id="rId44"/>
          <w:footerReference w:type="even" r:id="rId45"/>
          <w:footerReference w:type="default" r:id="rId46"/>
          <w:pgSz w:w="12240" w:h="15840"/>
          <w:pgMar w:top="1440" w:right="1440" w:bottom="1440" w:left="1440" w:header="720" w:footer="720" w:gutter="0"/>
          <w:cols w:space="720"/>
          <w:docGrid w:linePitch="360"/>
        </w:sectPr>
      </w:pPr>
      <w:r w:rsidRPr="00431930">
        <w:rPr>
          <w:i/>
          <w:iCs/>
          <w:color w:val="000000" w:themeColor="text1"/>
        </w:rPr>
        <w:t>Note.</w:t>
      </w:r>
      <w:r>
        <w:rPr>
          <w:color w:val="000000" w:themeColor="text1"/>
        </w:rPr>
        <w:t xml:space="preserve"> </w:t>
      </w:r>
      <w:r w:rsidR="00226EE2">
        <w:rPr>
          <w:color w:val="000000" w:themeColor="text1"/>
        </w:rPr>
        <w:t>D</w:t>
      </w:r>
      <w:r>
        <w:rPr>
          <w:color w:val="000000" w:themeColor="text1"/>
        </w:rPr>
        <w:t>ark grey shaded portion of the “0” bar represents users who never logged into the program.</w:t>
      </w:r>
      <w:r w:rsidR="00814807">
        <w:rPr>
          <w:color w:val="000000" w:themeColor="text1"/>
        </w:rPr>
        <w:t xml:space="preserve"> </w:t>
      </w:r>
      <w:r w:rsidR="00226EE2">
        <w:rPr>
          <w:color w:val="000000" w:themeColor="text1"/>
        </w:rPr>
        <w:t xml:space="preserve">Only the completion of the 12 core modules </w:t>
      </w:r>
      <w:proofErr w:type="gramStart"/>
      <w:r w:rsidR="00226EE2">
        <w:rPr>
          <w:color w:val="000000" w:themeColor="text1"/>
        </w:rPr>
        <w:t>are</w:t>
      </w:r>
      <w:proofErr w:type="gramEnd"/>
      <w:r w:rsidR="00226EE2">
        <w:rPr>
          <w:color w:val="000000" w:themeColor="text1"/>
        </w:rPr>
        <w:t xml:space="preserve"> </w:t>
      </w:r>
      <w:r w:rsidR="00814807">
        <w:rPr>
          <w:color w:val="000000" w:themeColor="text1"/>
        </w:rPr>
        <w:t>represented here.</w:t>
      </w:r>
    </w:p>
    <w:p w14:paraId="65CB85B1" w14:textId="77777777" w:rsidR="004829B4" w:rsidRPr="00CD58B8" w:rsidRDefault="004829B4" w:rsidP="004829B4">
      <w:pPr>
        <w:spacing w:after="160" w:line="259" w:lineRule="auto"/>
        <w:rPr>
          <w:b/>
          <w:bCs/>
        </w:rPr>
      </w:pPr>
      <w:bookmarkStart w:id="47" w:name="_Hlk143726518"/>
      <w:r w:rsidRPr="00CD58B8">
        <w:rPr>
          <w:b/>
          <w:bCs/>
        </w:rPr>
        <w:lastRenderedPageBreak/>
        <w:t xml:space="preserve">Table </w:t>
      </w:r>
      <w:r>
        <w:rPr>
          <w:b/>
          <w:bCs/>
        </w:rPr>
        <w:t>3</w:t>
      </w:r>
    </w:p>
    <w:p w14:paraId="4BD4C3A6" w14:textId="4360122F" w:rsidR="004829B4" w:rsidRDefault="004829B4" w:rsidP="004829B4">
      <w:pPr>
        <w:spacing w:after="160" w:line="259" w:lineRule="auto"/>
        <w:rPr>
          <w:i/>
          <w:iCs/>
        </w:rPr>
      </w:pPr>
      <w:r>
        <w:rPr>
          <w:i/>
          <w:iCs/>
        </w:rPr>
        <w:t xml:space="preserve">Negative Binomial Regression Models Predicting Program </w:t>
      </w:r>
      <w:r w:rsidR="003A6D5B">
        <w:rPr>
          <w:i/>
          <w:iCs/>
        </w:rPr>
        <w:t>Adherence.</w:t>
      </w:r>
    </w:p>
    <w:tbl>
      <w:tblPr>
        <w:tblStyle w:val="TableGrid"/>
        <w:tblW w:w="12780" w:type="dxa"/>
        <w:tblLayout w:type="fixed"/>
        <w:tblCellMar>
          <w:top w:w="58" w:type="dxa"/>
          <w:bottom w:w="58" w:type="dxa"/>
        </w:tblCellMar>
        <w:tblLook w:val="04A0" w:firstRow="1" w:lastRow="0" w:firstColumn="1" w:lastColumn="0" w:noHBand="0" w:noVBand="1"/>
      </w:tblPr>
      <w:tblGrid>
        <w:gridCol w:w="4770"/>
        <w:gridCol w:w="1260"/>
        <w:gridCol w:w="900"/>
        <w:gridCol w:w="1260"/>
        <w:gridCol w:w="1260"/>
        <w:gridCol w:w="1080"/>
        <w:gridCol w:w="1080"/>
        <w:gridCol w:w="1170"/>
      </w:tblGrid>
      <w:tr w:rsidR="004829B4" w:rsidRPr="00C72C0D" w14:paraId="79183239" w14:textId="77777777" w:rsidTr="009A2130">
        <w:trPr>
          <w:trHeight w:val="109"/>
        </w:trPr>
        <w:tc>
          <w:tcPr>
            <w:tcW w:w="4770" w:type="dxa"/>
            <w:tcBorders>
              <w:top w:val="single" w:sz="4" w:space="0" w:color="auto"/>
              <w:left w:val="nil"/>
              <w:bottom w:val="single" w:sz="4" w:space="0" w:color="auto"/>
              <w:right w:val="nil"/>
            </w:tcBorders>
            <w:vAlign w:val="center"/>
          </w:tcPr>
          <w:p w14:paraId="3C6283CF" w14:textId="77777777" w:rsidR="004829B4" w:rsidRPr="00C72C0D" w:rsidRDefault="004829B4" w:rsidP="009A2130">
            <w:pPr>
              <w:spacing w:after="160"/>
              <w:contextualSpacing/>
              <w:jc w:val="center"/>
              <w:rPr>
                <w:sz w:val="20"/>
                <w:szCs w:val="20"/>
              </w:rPr>
            </w:pPr>
            <w:r w:rsidRPr="00C72C0D">
              <w:rPr>
                <w:sz w:val="20"/>
                <w:szCs w:val="20"/>
              </w:rPr>
              <w:t xml:space="preserve">Covariate </w:t>
            </w:r>
          </w:p>
          <w:p w14:paraId="2A676123" w14:textId="77777777" w:rsidR="004829B4" w:rsidRPr="00C72C0D" w:rsidRDefault="004829B4" w:rsidP="009A2130">
            <w:pPr>
              <w:spacing w:after="160"/>
              <w:contextualSpacing/>
              <w:jc w:val="center"/>
              <w:rPr>
                <w:sz w:val="20"/>
                <w:szCs w:val="20"/>
              </w:rPr>
            </w:pPr>
            <w:r w:rsidRPr="00C72C0D">
              <w:rPr>
                <w:sz w:val="20"/>
                <w:szCs w:val="20"/>
              </w:rPr>
              <w:t>(Reference group)</w:t>
            </w:r>
          </w:p>
        </w:tc>
        <w:tc>
          <w:tcPr>
            <w:tcW w:w="1260" w:type="dxa"/>
            <w:tcBorders>
              <w:top w:val="single" w:sz="4" w:space="0" w:color="auto"/>
              <w:left w:val="nil"/>
              <w:bottom w:val="single" w:sz="4" w:space="0" w:color="auto"/>
              <w:right w:val="nil"/>
            </w:tcBorders>
            <w:vAlign w:val="center"/>
          </w:tcPr>
          <w:p w14:paraId="5B063363" w14:textId="77777777" w:rsidR="004829B4" w:rsidRPr="00C72C0D" w:rsidRDefault="004829B4" w:rsidP="009A2130">
            <w:pPr>
              <w:spacing w:after="160"/>
              <w:contextualSpacing/>
              <w:jc w:val="center"/>
              <w:rPr>
                <w:i/>
                <w:iCs/>
                <w:sz w:val="20"/>
                <w:szCs w:val="20"/>
              </w:rPr>
            </w:pPr>
            <w:proofErr w:type="spellStart"/>
            <w:r w:rsidRPr="00BF02EE">
              <w:rPr>
                <w:sz w:val="20"/>
                <w:szCs w:val="20"/>
              </w:rPr>
              <w:t>Nagelkerk</w:t>
            </w:r>
            <w:proofErr w:type="spellEnd"/>
            <w:r>
              <w:rPr>
                <w:sz w:val="20"/>
                <w:szCs w:val="20"/>
              </w:rPr>
              <w:t xml:space="preserve"> Pseudo R</w:t>
            </w:r>
            <w:r w:rsidRPr="00AA32A5">
              <w:rPr>
                <w:sz w:val="20"/>
                <w:szCs w:val="20"/>
                <w:vertAlign w:val="superscript"/>
              </w:rPr>
              <w:t>2</w:t>
            </w:r>
          </w:p>
        </w:tc>
        <w:tc>
          <w:tcPr>
            <w:tcW w:w="900" w:type="dxa"/>
            <w:tcBorders>
              <w:top w:val="single" w:sz="4" w:space="0" w:color="auto"/>
              <w:left w:val="nil"/>
              <w:bottom w:val="single" w:sz="4" w:space="0" w:color="auto"/>
              <w:right w:val="nil"/>
            </w:tcBorders>
            <w:vAlign w:val="center"/>
          </w:tcPr>
          <w:p w14:paraId="17EE353C" w14:textId="77777777" w:rsidR="004829B4" w:rsidRPr="00C72C0D" w:rsidRDefault="004829B4" w:rsidP="009A2130">
            <w:pPr>
              <w:spacing w:after="160"/>
              <w:contextualSpacing/>
              <w:jc w:val="center"/>
              <w:rPr>
                <w:sz w:val="20"/>
                <w:szCs w:val="20"/>
              </w:rPr>
            </w:pPr>
            <w:r w:rsidRPr="00C72C0D">
              <w:rPr>
                <w:i/>
                <w:iCs/>
                <w:sz w:val="20"/>
                <w:szCs w:val="20"/>
              </w:rPr>
              <w:t>β</w:t>
            </w:r>
          </w:p>
        </w:tc>
        <w:tc>
          <w:tcPr>
            <w:tcW w:w="1260" w:type="dxa"/>
            <w:tcBorders>
              <w:top w:val="single" w:sz="4" w:space="0" w:color="auto"/>
              <w:left w:val="nil"/>
              <w:bottom w:val="single" w:sz="4" w:space="0" w:color="auto"/>
              <w:right w:val="nil"/>
            </w:tcBorders>
            <w:vAlign w:val="center"/>
          </w:tcPr>
          <w:p w14:paraId="287CF13A" w14:textId="77777777" w:rsidR="004829B4" w:rsidRPr="00C72C0D" w:rsidRDefault="004829B4" w:rsidP="009A2130">
            <w:pPr>
              <w:spacing w:after="160"/>
              <w:contextualSpacing/>
              <w:jc w:val="center"/>
              <w:rPr>
                <w:sz w:val="20"/>
                <w:szCs w:val="20"/>
              </w:rPr>
            </w:pPr>
            <w:r>
              <w:rPr>
                <w:sz w:val="20"/>
                <w:szCs w:val="20"/>
              </w:rPr>
              <w:t>Standard error</w:t>
            </w:r>
          </w:p>
        </w:tc>
        <w:tc>
          <w:tcPr>
            <w:tcW w:w="1260" w:type="dxa"/>
            <w:tcBorders>
              <w:top w:val="single" w:sz="4" w:space="0" w:color="auto"/>
              <w:left w:val="nil"/>
              <w:bottom w:val="single" w:sz="4" w:space="0" w:color="auto"/>
              <w:right w:val="nil"/>
            </w:tcBorders>
            <w:vAlign w:val="center"/>
          </w:tcPr>
          <w:p w14:paraId="5C3EFAE9" w14:textId="77777777" w:rsidR="004829B4" w:rsidRPr="00C72C0D" w:rsidRDefault="004829B4" w:rsidP="009A2130">
            <w:pPr>
              <w:spacing w:after="160"/>
              <w:contextualSpacing/>
              <w:jc w:val="center"/>
              <w:rPr>
                <w:sz w:val="20"/>
                <w:szCs w:val="20"/>
              </w:rPr>
            </w:pPr>
            <w:r>
              <w:rPr>
                <w:sz w:val="20"/>
                <w:szCs w:val="20"/>
              </w:rPr>
              <w:t xml:space="preserve">Incidence </w:t>
            </w:r>
            <w:r w:rsidRPr="00C72C0D">
              <w:rPr>
                <w:sz w:val="20"/>
                <w:szCs w:val="20"/>
              </w:rPr>
              <w:t>Rate ratio</w:t>
            </w:r>
          </w:p>
        </w:tc>
        <w:tc>
          <w:tcPr>
            <w:tcW w:w="1080" w:type="dxa"/>
            <w:tcBorders>
              <w:top w:val="single" w:sz="4" w:space="0" w:color="auto"/>
              <w:left w:val="nil"/>
              <w:bottom w:val="single" w:sz="4" w:space="0" w:color="auto"/>
              <w:right w:val="nil"/>
            </w:tcBorders>
            <w:vAlign w:val="center"/>
          </w:tcPr>
          <w:p w14:paraId="772CA95D" w14:textId="77777777" w:rsidR="004829B4" w:rsidRPr="00C72C0D" w:rsidRDefault="004829B4" w:rsidP="009A2130">
            <w:pPr>
              <w:contextualSpacing/>
              <w:jc w:val="center"/>
              <w:rPr>
                <w:sz w:val="20"/>
                <w:szCs w:val="20"/>
              </w:rPr>
            </w:pPr>
            <w:r w:rsidRPr="00C72C0D">
              <w:rPr>
                <w:sz w:val="20"/>
                <w:szCs w:val="20"/>
              </w:rPr>
              <w:t>Lower</w:t>
            </w:r>
          </w:p>
          <w:p w14:paraId="076A4422" w14:textId="77777777" w:rsidR="004829B4" w:rsidRPr="00C72C0D" w:rsidRDefault="004829B4" w:rsidP="009A2130">
            <w:pPr>
              <w:spacing w:after="160"/>
              <w:contextualSpacing/>
              <w:jc w:val="center"/>
              <w:rPr>
                <w:sz w:val="20"/>
                <w:szCs w:val="20"/>
              </w:rPr>
            </w:pPr>
            <w:r w:rsidRPr="00C72C0D">
              <w:rPr>
                <w:sz w:val="20"/>
                <w:szCs w:val="20"/>
              </w:rPr>
              <w:t>95% CI</w:t>
            </w:r>
          </w:p>
        </w:tc>
        <w:tc>
          <w:tcPr>
            <w:tcW w:w="1080" w:type="dxa"/>
            <w:tcBorders>
              <w:top w:val="single" w:sz="4" w:space="0" w:color="auto"/>
              <w:left w:val="nil"/>
              <w:bottom w:val="single" w:sz="4" w:space="0" w:color="auto"/>
              <w:right w:val="nil"/>
            </w:tcBorders>
            <w:vAlign w:val="center"/>
          </w:tcPr>
          <w:p w14:paraId="12C47CAF" w14:textId="77777777" w:rsidR="004829B4" w:rsidRPr="00C72C0D" w:rsidRDefault="004829B4" w:rsidP="009A2130">
            <w:pPr>
              <w:contextualSpacing/>
              <w:jc w:val="center"/>
              <w:rPr>
                <w:sz w:val="20"/>
                <w:szCs w:val="20"/>
              </w:rPr>
            </w:pPr>
            <w:r w:rsidRPr="00C72C0D">
              <w:rPr>
                <w:sz w:val="20"/>
                <w:szCs w:val="20"/>
              </w:rPr>
              <w:t>Upper</w:t>
            </w:r>
          </w:p>
          <w:p w14:paraId="16EFFF1F" w14:textId="77777777" w:rsidR="004829B4" w:rsidRPr="00C72C0D" w:rsidRDefault="004829B4" w:rsidP="009A2130">
            <w:pPr>
              <w:spacing w:after="160"/>
              <w:contextualSpacing/>
              <w:jc w:val="center"/>
              <w:rPr>
                <w:sz w:val="20"/>
                <w:szCs w:val="20"/>
              </w:rPr>
            </w:pPr>
            <w:r w:rsidRPr="00C72C0D">
              <w:rPr>
                <w:sz w:val="20"/>
                <w:szCs w:val="20"/>
              </w:rPr>
              <w:t>95% CI</w:t>
            </w:r>
          </w:p>
        </w:tc>
        <w:tc>
          <w:tcPr>
            <w:tcW w:w="1170" w:type="dxa"/>
            <w:tcBorders>
              <w:top w:val="single" w:sz="4" w:space="0" w:color="auto"/>
              <w:left w:val="nil"/>
              <w:bottom w:val="single" w:sz="4" w:space="0" w:color="auto"/>
              <w:right w:val="nil"/>
            </w:tcBorders>
            <w:vAlign w:val="center"/>
          </w:tcPr>
          <w:p w14:paraId="101B0EEC" w14:textId="77777777" w:rsidR="004829B4" w:rsidRPr="00C72C0D" w:rsidRDefault="004829B4" w:rsidP="009A2130">
            <w:pPr>
              <w:contextualSpacing/>
              <w:jc w:val="center"/>
              <w:rPr>
                <w:sz w:val="20"/>
                <w:szCs w:val="20"/>
              </w:rPr>
            </w:pPr>
            <w:r w:rsidRPr="00C72C0D">
              <w:rPr>
                <w:sz w:val="20"/>
                <w:szCs w:val="20"/>
              </w:rPr>
              <w:t>P-value</w:t>
            </w:r>
          </w:p>
        </w:tc>
      </w:tr>
      <w:tr w:rsidR="004829B4" w:rsidRPr="00C72C0D" w14:paraId="64BA9D48" w14:textId="77777777" w:rsidTr="009A2130">
        <w:trPr>
          <w:trHeight w:val="109"/>
        </w:trPr>
        <w:tc>
          <w:tcPr>
            <w:tcW w:w="4770" w:type="dxa"/>
            <w:tcBorders>
              <w:top w:val="single" w:sz="4" w:space="0" w:color="auto"/>
              <w:left w:val="nil"/>
              <w:bottom w:val="nil"/>
              <w:right w:val="nil"/>
            </w:tcBorders>
            <w:vAlign w:val="center"/>
          </w:tcPr>
          <w:p w14:paraId="304BA148" w14:textId="77777777" w:rsidR="004829B4" w:rsidRPr="00C72C0D" w:rsidRDefault="004829B4" w:rsidP="009A2130">
            <w:pPr>
              <w:spacing w:after="160"/>
              <w:contextualSpacing/>
              <w:rPr>
                <w:sz w:val="20"/>
                <w:szCs w:val="20"/>
              </w:rPr>
            </w:pPr>
            <w:r w:rsidRPr="00C72C0D">
              <w:rPr>
                <w:sz w:val="20"/>
                <w:szCs w:val="20"/>
              </w:rPr>
              <w:t>Gender (Woman)</w:t>
            </w:r>
          </w:p>
        </w:tc>
        <w:tc>
          <w:tcPr>
            <w:tcW w:w="1260" w:type="dxa"/>
            <w:tcBorders>
              <w:top w:val="single" w:sz="4" w:space="0" w:color="auto"/>
              <w:left w:val="nil"/>
              <w:bottom w:val="nil"/>
              <w:right w:val="nil"/>
            </w:tcBorders>
            <w:vAlign w:val="center"/>
          </w:tcPr>
          <w:p w14:paraId="60770246" w14:textId="77777777" w:rsidR="004829B4" w:rsidRPr="00C72C0D" w:rsidRDefault="004829B4" w:rsidP="009A2130">
            <w:pPr>
              <w:spacing w:after="160"/>
              <w:contextualSpacing/>
              <w:jc w:val="center"/>
              <w:rPr>
                <w:sz w:val="20"/>
                <w:szCs w:val="20"/>
              </w:rPr>
            </w:pPr>
            <w:r>
              <w:rPr>
                <w:sz w:val="20"/>
                <w:szCs w:val="20"/>
              </w:rPr>
              <w:t>.005</w:t>
            </w:r>
          </w:p>
        </w:tc>
        <w:tc>
          <w:tcPr>
            <w:tcW w:w="900" w:type="dxa"/>
            <w:tcBorders>
              <w:top w:val="single" w:sz="4" w:space="0" w:color="auto"/>
              <w:left w:val="nil"/>
              <w:bottom w:val="nil"/>
              <w:right w:val="nil"/>
            </w:tcBorders>
            <w:vAlign w:val="center"/>
          </w:tcPr>
          <w:p w14:paraId="509F1D55" w14:textId="77777777" w:rsidR="004829B4" w:rsidRPr="00C72C0D" w:rsidRDefault="004829B4" w:rsidP="009A2130">
            <w:pPr>
              <w:spacing w:after="160"/>
              <w:contextualSpacing/>
              <w:jc w:val="center"/>
              <w:rPr>
                <w:sz w:val="20"/>
                <w:szCs w:val="20"/>
              </w:rPr>
            </w:pPr>
          </w:p>
        </w:tc>
        <w:tc>
          <w:tcPr>
            <w:tcW w:w="1260" w:type="dxa"/>
            <w:tcBorders>
              <w:top w:val="single" w:sz="4" w:space="0" w:color="auto"/>
              <w:left w:val="nil"/>
              <w:bottom w:val="nil"/>
              <w:right w:val="nil"/>
            </w:tcBorders>
            <w:vAlign w:val="center"/>
          </w:tcPr>
          <w:p w14:paraId="033520EC" w14:textId="77777777" w:rsidR="004829B4" w:rsidRPr="00C72C0D" w:rsidRDefault="004829B4" w:rsidP="009A2130">
            <w:pPr>
              <w:spacing w:after="160"/>
              <w:contextualSpacing/>
              <w:jc w:val="center"/>
              <w:rPr>
                <w:sz w:val="20"/>
                <w:szCs w:val="20"/>
              </w:rPr>
            </w:pPr>
          </w:p>
        </w:tc>
        <w:tc>
          <w:tcPr>
            <w:tcW w:w="1260" w:type="dxa"/>
            <w:tcBorders>
              <w:top w:val="single" w:sz="4" w:space="0" w:color="auto"/>
              <w:left w:val="nil"/>
              <w:bottom w:val="nil"/>
              <w:right w:val="nil"/>
            </w:tcBorders>
            <w:vAlign w:val="center"/>
          </w:tcPr>
          <w:p w14:paraId="283CA573" w14:textId="77777777" w:rsidR="004829B4" w:rsidRPr="00C72C0D" w:rsidRDefault="004829B4" w:rsidP="009A2130">
            <w:pPr>
              <w:spacing w:after="160"/>
              <w:contextualSpacing/>
              <w:jc w:val="center"/>
              <w:rPr>
                <w:sz w:val="20"/>
                <w:szCs w:val="20"/>
              </w:rPr>
            </w:pPr>
          </w:p>
        </w:tc>
        <w:tc>
          <w:tcPr>
            <w:tcW w:w="1080" w:type="dxa"/>
            <w:tcBorders>
              <w:top w:val="single" w:sz="4" w:space="0" w:color="auto"/>
              <w:left w:val="nil"/>
              <w:bottom w:val="nil"/>
              <w:right w:val="nil"/>
            </w:tcBorders>
            <w:vAlign w:val="center"/>
          </w:tcPr>
          <w:p w14:paraId="39A3EA99" w14:textId="77777777" w:rsidR="004829B4" w:rsidRPr="00C72C0D" w:rsidRDefault="004829B4" w:rsidP="009A2130">
            <w:pPr>
              <w:spacing w:after="160"/>
              <w:contextualSpacing/>
              <w:jc w:val="center"/>
              <w:rPr>
                <w:sz w:val="20"/>
                <w:szCs w:val="20"/>
              </w:rPr>
            </w:pPr>
          </w:p>
        </w:tc>
        <w:tc>
          <w:tcPr>
            <w:tcW w:w="1080" w:type="dxa"/>
            <w:tcBorders>
              <w:top w:val="single" w:sz="4" w:space="0" w:color="auto"/>
              <w:left w:val="nil"/>
              <w:bottom w:val="nil"/>
              <w:right w:val="nil"/>
            </w:tcBorders>
            <w:vAlign w:val="center"/>
          </w:tcPr>
          <w:p w14:paraId="606BB471" w14:textId="77777777" w:rsidR="004829B4" w:rsidRPr="00C72C0D" w:rsidRDefault="004829B4" w:rsidP="009A2130">
            <w:pPr>
              <w:spacing w:after="160"/>
              <w:contextualSpacing/>
              <w:jc w:val="center"/>
              <w:rPr>
                <w:sz w:val="20"/>
                <w:szCs w:val="20"/>
              </w:rPr>
            </w:pPr>
          </w:p>
        </w:tc>
        <w:tc>
          <w:tcPr>
            <w:tcW w:w="1170" w:type="dxa"/>
            <w:tcBorders>
              <w:top w:val="single" w:sz="4" w:space="0" w:color="auto"/>
              <w:left w:val="nil"/>
              <w:bottom w:val="nil"/>
              <w:right w:val="nil"/>
            </w:tcBorders>
            <w:vAlign w:val="center"/>
          </w:tcPr>
          <w:p w14:paraId="1EF62A1F" w14:textId="77777777" w:rsidR="004829B4" w:rsidRPr="00C72C0D" w:rsidRDefault="004829B4" w:rsidP="009A2130">
            <w:pPr>
              <w:spacing w:after="160"/>
              <w:contextualSpacing/>
              <w:jc w:val="center"/>
              <w:rPr>
                <w:sz w:val="20"/>
                <w:szCs w:val="20"/>
              </w:rPr>
            </w:pPr>
          </w:p>
        </w:tc>
      </w:tr>
      <w:tr w:rsidR="004829B4" w:rsidRPr="00C72C0D" w14:paraId="3BCFFA5D" w14:textId="77777777" w:rsidTr="009A2130">
        <w:trPr>
          <w:trHeight w:val="109"/>
        </w:trPr>
        <w:tc>
          <w:tcPr>
            <w:tcW w:w="4770" w:type="dxa"/>
            <w:tcBorders>
              <w:top w:val="nil"/>
              <w:left w:val="nil"/>
              <w:bottom w:val="nil"/>
              <w:right w:val="nil"/>
            </w:tcBorders>
            <w:vAlign w:val="center"/>
          </w:tcPr>
          <w:p w14:paraId="6630D1EF" w14:textId="77777777" w:rsidR="004829B4" w:rsidRPr="00C72C0D" w:rsidRDefault="004829B4" w:rsidP="009A2130">
            <w:pPr>
              <w:spacing w:after="160"/>
              <w:contextualSpacing/>
              <w:rPr>
                <w:i/>
                <w:iCs/>
                <w:sz w:val="20"/>
                <w:szCs w:val="20"/>
              </w:rPr>
            </w:pPr>
            <w:r w:rsidRPr="00C72C0D">
              <w:rPr>
                <w:i/>
                <w:iCs/>
                <w:sz w:val="20"/>
                <w:szCs w:val="20"/>
              </w:rPr>
              <w:t xml:space="preserve">     Man</w:t>
            </w:r>
          </w:p>
        </w:tc>
        <w:tc>
          <w:tcPr>
            <w:tcW w:w="1260" w:type="dxa"/>
            <w:tcBorders>
              <w:top w:val="nil"/>
              <w:left w:val="nil"/>
              <w:bottom w:val="nil"/>
              <w:right w:val="nil"/>
            </w:tcBorders>
            <w:vAlign w:val="center"/>
          </w:tcPr>
          <w:p w14:paraId="79F2A48C" w14:textId="77777777" w:rsidR="004829B4" w:rsidRPr="004270FB" w:rsidRDefault="004829B4" w:rsidP="009A2130">
            <w:pPr>
              <w:spacing w:after="160"/>
              <w:contextualSpacing/>
              <w:jc w:val="center"/>
              <w:rPr>
                <w:sz w:val="20"/>
                <w:szCs w:val="20"/>
              </w:rPr>
            </w:pPr>
          </w:p>
        </w:tc>
        <w:tc>
          <w:tcPr>
            <w:tcW w:w="900" w:type="dxa"/>
            <w:tcBorders>
              <w:top w:val="nil"/>
              <w:left w:val="nil"/>
              <w:bottom w:val="nil"/>
              <w:right w:val="nil"/>
            </w:tcBorders>
          </w:tcPr>
          <w:p w14:paraId="6C9F902F" w14:textId="77777777" w:rsidR="004829B4" w:rsidRPr="00C72C0D" w:rsidRDefault="004829B4" w:rsidP="009A2130">
            <w:pPr>
              <w:spacing w:after="160"/>
              <w:contextualSpacing/>
              <w:jc w:val="center"/>
              <w:rPr>
                <w:sz w:val="20"/>
                <w:szCs w:val="20"/>
              </w:rPr>
            </w:pPr>
            <w:r w:rsidRPr="004270FB">
              <w:rPr>
                <w:sz w:val="20"/>
                <w:szCs w:val="20"/>
              </w:rPr>
              <w:t>-0.21</w:t>
            </w:r>
            <w:r w:rsidRPr="00EC7CFF">
              <w:rPr>
                <w:sz w:val="20"/>
                <w:szCs w:val="20"/>
              </w:rPr>
              <w:t xml:space="preserve"> </w:t>
            </w:r>
          </w:p>
        </w:tc>
        <w:tc>
          <w:tcPr>
            <w:tcW w:w="1260" w:type="dxa"/>
            <w:tcBorders>
              <w:top w:val="nil"/>
              <w:left w:val="nil"/>
              <w:bottom w:val="nil"/>
              <w:right w:val="nil"/>
            </w:tcBorders>
          </w:tcPr>
          <w:p w14:paraId="406B488B" w14:textId="77777777" w:rsidR="004829B4" w:rsidRPr="00C72C0D" w:rsidRDefault="004829B4" w:rsidP="009A2130">
            <w:pPr>
              <w:spacing w:after="160"/>
              <w:contextualSpacing/>
              <w:jc w:val="center"/>
              <w:rPr>
                <w:sz w:val="20"/>
                <w:szCs w:val="20"/>
              </w:rPr>
            </w:pPr>
            <w:r>
              <w:rPr>
                <w:sz w:val="20"/>
                <w:szCs w:val="20"/>
              </w:rPr>
              <w:t>0.10</w:t>
            </w:r>
            <w:r w:rsidRPr="00EC7CFF">
              <w:rPr>
                <w:sz w:val="20"/>
                <w:szCs w:val="20"/>
              </w:rPr>
              <w:t xml:space="preserve"> </w:t>
            </w:r>
          </w:p>
        </w:tc>
        <w:tc>
          <w:tcPr>
            <w:tcW w:w="1260" w:type="dxa"/>
            <w:tcBorders>
              <w:top w:val="nil"/>
              <w:left w:val="nil"/>
              <w:bottom w:val="nil"/>
              <w:right w:val="nil"/>
            </w:tcBorders>
          </w:tcPr>
          <w:p w14:paraId="6ECAE4DE" w14:textId="77777777" w:rsidR="004829B4" w:rsidRPr="00C72C0D" w:rsidRDefault="004829B4" w:rsidP="009A2130">
            <w:pPr>
              <w:spacing w:after="160"/>
              <w:contextualSpacing/>
              <w:jc w:val="center"/>
              <w:rPr>
                <w:sz w:val="20"/>
                <w:szCs w:val="20"/>
              </w:rPr>
            </w:pPr>
            <w:r>
              <w:rPr>
                <w:sz w:val="20"/>
                <w:szCs w:val="20"/>
              </w:rPr>
              <w:t>0.81</w:t>
            </w:r>
          </w:p>
        </w:tc>
        <w:tc>
          <w:tcPr>
            <w:tcW w:w="1080" w:type="dxa"/>
            <w:tcBorders>
              <w:top w:val="nil"/>
              <w:left w:val="nil"/>
              <w:bottom w:val="nil"/>
              <w:right w:val="nil"/>
            </w:tcBorders>
          </w:tcPr>
          <w:p w14:paraId="78BB19D2" w14:textId="77777777" w:rsidR="004829B4" w:rsidRPr="00C72C0D" w:rsidRDefault="004829B4" w:rsidP="009A2130">
            <w:pPr>
              <w:spacing w:after="160"/>
              <w:contextualSpacing/>
              <w:jc w:val="center"/>
              <w:rPr>
                <w:sz w:val="20"/>
                <w:szCs w:val="20"/>
              </w:rPr>
            </w:pPr>
            <w:r w:rsidRPr="00C76A3E">
              <w:rPr>
                <w:sz w:val="20"/>
                <w:szCs w:val="20"/>
              </w:rPr>
              <w:t>0.67</w:t>
            </w:r>
          </w:p>
        </w:tc>
        <w:tc>
          <w:tcPr>
            <w:tcW w:w="1080" w:type="dxa"/>
            <w:tcBorders>
              <w:top w:val="nil"/>
              <w:left w:val="nil"/>
              <w:bottom w:val="nil"/>
              <w:right w:val="nil"/>
            </w:tcBorders>
          </w:tcPr>
          <w:p w14:paraId="3CDA9330" w14:textId="77777777" w:rsidR="004829B4" w:rsidRPr="00C72C0D" w:rsidRDefault="004829B4" w:rsidP="009A2130">
            <w:pPr>
              <w:spacing w:after="160"/>
              <w:contextualSpacing/>
              <w:jc w:val="center"/>
              <w:rPr>
                <w:sz w:val="20"/>
                <w:szCs w:val="20"/>
              </w:rPr>
            </w:pPr>
            <w:r>
              <w:rPr>
                <w:sz w:val="20"/>
                <w:szCs w:val="20"/>
              </w:rPr>
              <w:t>0.98</w:t>
            </w:r>
          </w:p>
        </w:tc>
        <w:tc>
          <w:tcPr>
            <w:tcW w:w="1170" w:type="dxa"/>
            <w:tcBorders>
              <w:top w:val="nil"/>
              <w:left w:val="nil"/>
              <w:bottom w:val="nil"/>
              <w:right w:val="nil"/>
            </w:tcBorders>
          </w:tcPr>
          <w:p w14:paraId="284D62B1" w14:textId="77777777" w:rsidR="004829B4" w:rsidRPr="00C72C0D" w:rsidRDefault="004829B4" w:rsidP="009A2130">
            <w:pPr>
              <w:spacing w:after="160"/>
              <w:contextualSpacing/>
              <w:jc w:val="center"/>
              <w:rPr>
                <w:sz w:val="20"/>
                <w:szCs w:val="20"/>
              </w:rPr>
            </w:pPr>
            <w:r>
              <w:rPr>
                <w:sz w:val="20"/>
                <w:szCs w:val="20"/>
              </w:rPr>
              <w:t>.056</w:t>
            </w:r>
            <w:r w:rsidRPr="00EC7CFF">
              <w:rPr>
                <w:sz w:val="20"/>
                <w:szCs w:val="20"/>
              </w:rPr>
              <w:t xml:space="preserve"> </w:t>
            </w:r>
          </w:p>
        </w:tc>
      </w:tr>
      <w:tr w:rsidR="004829B4" w:rsidRPr="00C72C0D" w14:paraId="5FFD017B" w14:textId="77777777" w:rsidTr="009A2130">
        <w:trPr>
          <w:trHeight w:val="109"/>
        </w:trPr>
        <w:tc>
          <w:tcPr>
            <w:tcW w:w="4770" w:type="dxa"/>
            <w:tcBorders>
              <w:top w:val="nil"/>
              <w:left w:val="nil"/>
              <w:bottom w:val="nil"/>
              <w:right w:val="nil"/>
            </w:tcBorders>
            <w:vAlign w:val="center"/>
          </w:tcPr>
          <w:p w14:paraId="34C4A85D" w14:textId="77777777" w:rsidR="004829B4" w:rsidRPr="00C72C0D" w:rsidRDefault="004829B4" w:rsidP="009A2130">
            <w:pPr>
              <w:spacing w:after="160"/>
              <w:contextualSpacing/>
              <w:rPr>
                <w:i/>
                <w:iCs/>
                <w:sz w:val="20"/>
                <w:szCs w:val="20"/>
              </w:rPr>
            </w:pPr>
            <w:r w:rsidRPr="00C72C0D">
              <w:rPr>
                <w:i/>
                <w:iCs/>
                <w:sz w:val="20"/>
                <w:szCs w:val="20"/>
              </w:rPr>
              <w:t xml:space="preserve">     Other</w:t>
            </w:r>
            <w:r>
              <w:rPr>
                <w:i/>
                <w:iCs/>
                <w:sz w:val="20"/>
                <w:szCs w:val="20"/>
              </w:rPr>
              <w:t xml:space="preserve"> gender</w:t>
            </w:r>
          </w:p>
        </w:tc>
        <w:tc>
          <w:tcPr>
            <w:tcW w:w="1260" w:type="dxa"/>
            <w:tcBorders>
              <w:top w:val="nil"/>
              <w:left w:val="nil"/>
              <w:bottom w:val="nil"/>
              <w:right w:val="nil"/>
            </w:tcBorders>
            <w:vAlign w:val="center"/>
          </w:tcPr>
          <w:p w14:paraId="777BC4CF" w14:textId="77777777" w:rsidR="004829B4" w:rsidRPr="004270FB" w:rsidRDefault="004829B4" w:rsidP="009A2130">
            <w:pPr>
              <w:spacing w:after="160"/>
              <w:contextualSpacing/>
              <w:jc w:val="center"/>
              <w:rPr>
                <w:sz w:val="20"/>
                <w:szCs w:val="20"/>
              </w:rPr>
            </w:pPr>
          </w:p>
        </w:tc>
        <w:tc>
          <w:tcPr>
            <w:tcW w:w="900" w:type="dxa"/>
            <w:tcBorders>
              <w:top w:val="nil"/>
              <w:left w:val="nil"/>
              <w:bottom w:val="nil"/>
              <w:right w:val="nil"/>
            </w:tcBorders>
          </w:tcPr>
          <w:p w14:paraId="623A2EE9" w14:textId="77777777" w:rsidR="004829B4" w:rsidRPr="00C72C0D" w:rsidRDefault="004829B4" w:rsidP="009A2130">
            <w:pPr>
              <w:spacing w:after="160"/>
              <w:contextualSpacing/>
              <w:jc w:val="center"/>
              <w:rPr>
                <w:sz w:val="20"/>
                <w:szCs w:val="20"/>
              </w:rPr>
            </w:pPr>
            <w:r w:rsidRPr="004270FB">
              <w:rPr>
                <w:sz w:val="20"/>
                <w:szCs w:val="20"/>
              </w:rPr>
              <w:t>0.15</w:t>
            </w:r>
            <w:r w:rsidRPr="00EC7CFF">
              <w:rPr>
                <w:sz w:val="20"/>
                <w:szCs w:val="20"/>
              </w:rPr>
              <w:t xml:space="preserve"> </w:t>
            </w:r>
          </w:p>
        </w:tc>
        <w:tc>
          <w:tcPr>
            <w:tcW w:w="1260" w:type="dxa"/>
            <w:tcBorders>
              <w:top w:val="nil"/>
              <w:left w:val="nil"/>
              <w:bottom w:val="nil"/>
              <w:right w:val="nil"/>
            </w:tcBorders>
          </w:tcPr>
          <w:p w14:paraId="6D268845" w14:textId="77777777" w:rsidR="004829B4" w:rsidRPr="00C72C0D" w:rsidRDefault="004829B4" w:rsidP="009A2130">
            <w:pPr>
              <w:spacing w:after="160"/>
              <w:contextualSpacing/>
              <w:jc w:val="center"/>
              <w:rPr>
                <w:sz w:val="20"/>
                <w:szCs w:val="20"/>
              </w:rPr>
            </w:pPr>
            <w:r>
              <w:rPr>
                <w:sz w:val="20"/>
                <w:szCs w:val="20"/>
              </w:rPr>
              <w:t>0.39</w:t>
            </w:r>
          </w:p>
        </w:tc>
        <w:tc>
          <w:tcPr>
            <w:tcW w:w="1260" w:type="dxa"/>
            <w:tcBorders>
              <w:top w:val="nil"/>
              <w:left w:val="nil"/>
              <w:bottom w:val="nil"/>
              <w:right w:val="nil"/>
            </w:tcBorders>
          </w:tcPr>
          <w:p w14:paraId="7A46A0EB" w14:textId="77777777" w:rsidR="004829B4" w:rsidRPr="00C72C0D" w:rsidRDefault="004829B4" w:rsidP="009A2130">
            <w:pPr>
              <w:spacing w:after="160"/>
              <w:contextualSpacing/>
              <w:jc w:val="center"/>
              <w:rPr>
                <w:sz w:val="20"/>
                <w:szCs w:val="20"/>
              </w:rPr>
            </w:pPr>
            <w:r>
              <w:rPr>
                <w:sz w:val="20"/>
                <w:szCs w:val="20"/>
              </w:rPr>
              <w:t>1.12</w:t>
            </w:r>
          </w:p>
        </w:tc>
        <w:tc>
          <w:tcPr>
            <w:tcW w:w="1080" w:type="dxa"/>
            <w:tcBorders>
              <w:top w:val="nil"/>
              <w:left w:val="nil"/>
              <w:bottom w:val="nil"/>
              <w:right w:val="nil"/>
            </w:tcBorders>
          </w:tcPr>
          <w:p w14:paraId="0298601F" w14:textId="77777777" w:rsidR="004829B4" w:rsidRPr="00C72C0D" w:rsidRDefault="004829B4" w:rsidP="009A2130">
            <w:pPr>
              <w:spacing w:after="160"/>
              <w:contextualSpacing/>
              <w:jc w:val="center"/>
              <w:rPr>
                <w:sz w:val="20"/>
                <w:szCs w:val="20"/>
              </w:rPr>
            </w:pPr>
            <w:r>
              <w:rPr>
                <w:sz w:val="20"/>
                <w:szCs w:val="20"/>
              </w:rPr>
              <w:t>0.58</w:t>
            </w:r>
          </w:p>
        </w:tc>
        <w:tc>
          <w:tcPr>
            <w:tcW w:w="1080" w:type="dxa"/>
            <w:tcBorders>
              <w:top w:val="nil"/>
              <w:left w:val="nil"/>
              <w:bottom w:val="nil"/>
              <w:right w:val="nil"/>
            </w:tcBorders>
          </w:tcPr>
          <w:p w14:paraId="2AAC2568" w14:textId="77777777" w:rsidR="004829B4" w:rsidRPr="00C72C0D" w:rsidRDefault="004829B4" w:rsidP="009A2130">
            <w:pPr>
              <w:spacing w:after="160"/>
              <w:contextualSpacing/>
              <w:jc w:val="center"/>
              <w:rPr>
                <w:sz w:val="20"/>
                <w:szCs w:val="20"/>
              </w:rPr>
            </w:pPr>
            <w:r>
              <w:rPr>
                <w:sz w:val="20"/>
                <w:szCs w:val="20"/>
              </w:rPr>
              <w:t>2.73</w:t>
            </w:r>
          </w:p>
        </w:tc>
        <w:tc>
          <w:tcPr>
            <w:tcW w:w="1170" w:type="dxa"/>
            <w:tcBorders>
              <w:top w:val="nil"/>
              <w:left w:val="nil"/>
              <w:bottom w:val="nil"/>
              <w:right w:val="nil"/>
            </w:tcBorders>
          </w:tcPr>
          <w:p w14:paraId="2923DDB4" w14:textId="77777777" w:rsidR="004829B4" w:rsidRPr="00C72C0D" w:rsidRDefault="004829B4" w:rsidP="009A2130">
            <w:pPr>
              <w:spacing w:after="160"/>
              <w:contextualSpacing/>
              <w:jc w:val="center"/>
              <w:rPr>
                <w:sz w:val="20"/>
                <w:szCs w:val="20"/>
              </w:rPr>
            </w:pPr>
            <w:r>
              <w:rPr>
                <w:sz w:val="20"/>
                <w:szCs w:val="20"/>
              </w:rPr>
              <w:t>.808</w:t>
            </w:r>
            <w:r w:rsidRPr="00EC7CFF">
              <w:rPr>
                <w:sz w:val="20"/>
                <w:szCs w:val="20"/>
              </w:rPr>
              <w:t xml:space="preserve"> </w:t>
            </w:r>
          </w:p>
        </w:tc>
      </w:tr>
      <w:tr w:rsidR="004829B4" w:rsidRPr="00C72C0D" w14:paraId="525E869C" w14:textId="77777777" w:rsidTr="009A2130">
        <w:trPr>
          <w:trHeight w:val="109"/>
        </w:trPr>
        <w:tc>
          <w:tcPr>
            <w:tcW w:w="4770" w:type="dxa"/>
            <w:tcBorders>
              <w:top w:val="nil"/>
              <w:left w:val="nil"/>
              <w:bottom w:val="nil"/>
              <w:right w:val="nil"/>
            </w:tcBorders>
            <w:vAlign w:val="center"/>
          </w:tcPr>
          <w:p w14:paraId="082EA347" w14:textId="77777777" w:rsidR="004829B4" w:rsidRPr="00C72C0D" w:rsidRDefault="004829B4" w:rsidP="009A2130">
            <w:pPr>
              <w:spacing w:after="160"/>
              <w:contextualSpacing/>
              <w:rPr>
                <w:sz w:val="20"/>
                <w:szCs w:val="20"/>
              </w:rPr>
            </w:pPr>
            <w:r w:rsidRPr="00C72C0D">
              <w:rPr>
                <w:sz w:val="20"/>
                <w:szCs w:val="20"/>
              </w:rPr>
              <w:t>Age</w:t>
            </w:r>
          </w:p>
        </w:tc>
        <w:tc>
          <w:tcPr>
            <w:tcW w:w="1260" w:type="dxa"/>
            <w:tcBorders>
              <w:top w:val="nil"/>
              <w:left w:val="nil"/>
              <w:bottom w:val="nil"/>
              <w:right w:val="nil"/>
            </w:tcBorders>
            <w:vAlign w:val="center"/>
          </w:tcPr>
          <w:p w14:paraId="003A9B3C" w14:textId="77777777" w:rsidR="004829B4" w:rsidRDefault="004829B4" w:rsidP="009A2130">
            <w:pPr>
              <w:spacing w:after="160"/>
              <w:contextualSpacing/>
              <w:jc w:val="center"/>
              <w:rPr>
                <w:sz w:val="20"/>
                <w:szCs w:val="20"/>
              </w:rPr>
            </w:pPr>
            <w:r>
              <w:rPr>
                <w:sz w:val="20"/>
                <w:szCs w:val="20"/>
              </w:rPr>
              <w:t>.040</w:t>
            </w:r>
          </w:p>
        </w:tc>
        <w:tc>
          <w:tcPr>
            <w:tcW w:w="900" w:type="dxa"/>
            <w:tcBorders>
              <w:top w:val="nil"/>
              <w:left w:val="nil"/>
              <w:bottom w:val="nil"/>
              <w:right w:val="nil"/>
            </w:tcBorders>
          </w:tcPr>
          <w:p w14:paraId="6362085D" w14:textId="77777777" w:rsidR="004829B4" w:rsidRPr="00C72C0D" w:rsidRDefault="004829B4" w:rsidP="009A2130">
            <w:pPr>
              <w:spacing w:after="160"/>
              <w:contextualSpacing/>
              <w:jc w:val="center"/>
              <w:rPr>
                <w:sz w:val="20"/>
                <w:szCs w:val="20"/>
              </w:rPr>
            </w:pPr>
            <w:r>
              <w:rPr>
                <w:sz w:val="20"/>
                <w:szCs w:val="20"/>
              </w:rPr>
              <w:t>-0.02</w:t>
            </w:r>
          </w:p>
        </w:tc>
        <w:tc>
          <w:tcPr>
            <w:tcW w:w="1260" w:type="dxa"/>
            <w:tcBorders>
              <w:top w:val="nil"/>
              <w:left w:val="nil"/>
              <w:bottom w:val="nil"/>
              <w:right w:val="nil"/>
            </w:tcBorders>
          </w:tcPr>
          <w:p w14:paraId="42E7C123" w14:textId="77777777" w:rsidR="004829B4" w:rsidRPr="00C72C0D" w:rsidRDefault="004829B4" w:rsidP="009A2130">
            <w:pPr>
              <w:spacing w:after="160"/>
              <w:contextualSpacing/>
              <w:jc w:val="center"/>
              <w:rPr>
                <w:sz w:val="20"/>
                <w:szCs w:val="20"/>
              </w:rPr>
            </w:pPr>
            <w:r>
              <w:rPr>
                <w:sz w:val="20"/>
                <w:szCs w:val="20"/>
              </w:rPr>
              <w:t>0.00</w:t>
            </w:r>
            <w:r w:rsidRPr="00EC7CFF">
              <w:rPr>
                <w:sz w:val="20"/>
                <w:szCs w:val="20"/>
              </w:rPr>
              <w:t xml:space="preserve"> </w:t>
            </w:r>
          </w:p>
        </w:tc>
        <w:tc>
          <w:tcPr>
            <w:tcW w:w="1260" w:type="dxa"/>
            <w:tcBorders>
              <w:top w:val="nil"/>
              <w:left w:val="nil"/>
              <w:bottom w:val="nil"/>
              <w:right w:val="nil"/>
            </w:tcBorders>
          </w:tcPr>
          <w:p w14:paraId="4FE92C69" w14:textId="77777777" w:rsidR="004829B4" w:rsidRPr="00C72C0D" w:rsidRDefault="004829B4" w:rsidP="009A2130">
            <w:pPr>
              <w:spacing w:after="160"/>
              <w:contextualSpacing/>
              <w:jc w:val="center"/>
              <w:rPr>
                <w:sz w:val="20"/>
                <w:szCs w:val="20"/>
              </w:rPr>
            </w:pPr>
            <w:r>
              <w:rPr>
                <w:sz w:val="20"/>
                <w:szCs w:val="20"/>
              </w:rPr>
              <w:t>0.98</w:t>
            </w:r>
          </w:p>
        </w:tc>
        <w:tc>
          <w:tcPr>
            <w:tcW w:w="1080" w:type="dxa"/>
            <w:tcBorders>
              <w:top w:val="nil"/>
              <w:left w:val="nil"/>
              <w:bottom w:val="nil"/>
              <w:right w:val="nil"/>
            </w:tcBorders>
          </w:tcPr>
          <w:p w14:paraId="3F59AA09" w14:textId="77777777" w:rsidR="004829B4" w:rsidRPr="00C72C0D" w:rsidRDefault="004829B4" w:rsidP="009A2130">
            <w:pPr>
              <w:spacing w:after="160"/>
              <w:contextualSpacing/>
              <w:jc w:val="center"/>
              <w:rPr>
                <w:sz w:val="20"/>
                <w:szCs w:val="20"/>
              </w:rPr>
            </w:pPr>
            <w:r>
              <w:rPr>
                <w:sz w:val="20"/>
                <w:szCs w:val="20"/>
              </w:rPr>
              <w:t>0.98</w:t>
            </w:r>
          </w:p>
        </w:tc>
        <w:tc>
          <w:tcPr>
            <w:tcW w:w="1080" w:type="dxa"/>
            <w:tcBorders>
              <w:top w:val="nil"/>
              <w:left w:val="nil"/>
              <w:bottom w:val="nil"/>
              <w:right w:val="nil"/>
            </w:tcBorders>
          </w:tcPr>
          <w:p w14:paraId="6DDCF8B4" w14:textId="77777777" w:rsidR="004829B4" w:rsidRPr="00C72C0D" w:rsidRDefault="004829B4" w:rsidP="009A2130">
            <w:pPr>
              <w:spacing w:after="160"/>
              <w:contextualSpacing/>
              <w:jc w:val="center"/>
              <w:rPr>
                <w:sz w:val="20"/>
                <w:szCs w:val="20"/>
              </w:rPr>
            </w:pPr>
            <w:r>
              <w:rPr>
                <w:sz w:val="20"/>
                <w:szCs w:val="20"/>
              </w:rPr>
              <w:t>0.99</w:t>
            </w:r>
          </w:p>
        </w:tc>
        <w:tc>
          <w:tcPr>
            <w:tcW w:w="1170" w:type="dxa"/>
            <w:tcBorders>
              <w:top w:val="nil"/>
              <w:left w:val="nil"/>
              <w:bottom w:val="nil"/>
              <w:right w:val="nil"/>
            </w:tcBorders>
          </w:tcPr>
          <w:p w14:paraId="513DFEA3" w14:textId="77777777" w:rsidR="004829B4" w:rsidRPr="00C72C0D" w:rsidRDefault="004829B4" w:rsidP="009A2130">
            <w:pPr>
              <w:spacing w:after="160"/>
              <w:contextualSpacing/>
              <w:jc w:val="center"/>
              <w:rPr>
                <w:sz w:val="20"/>
                <w:szCs w:val="20"/>
              </w:rPr>
            </w:pPr>
            <w:r>
              <w:rPr>
                <w:sz w:val="20"/>
                <w:szCs w:val="20"/>
              </w:rPr>
              <w:t>&lt; .001***</w:t>
            </w:r>
          </w:p>
        </w:tc>
      </w:tr>
      <w:tr w:rsidR="004829B4" w:rsidRPr="00C72C0D" w14:paraId="764CD3A0" w14:textId="77777777" w:rsidTr="009A2130">
        <w:trPr>
          <w:trHeight w:val="109"/>
        </w:trPr>
        <w:tc>
          <w:tcPr>
            <w:tcW w:w="4770" w:type="dxa"/>
            <w:tcBorders>
              <w:top w:val="nil"/>
              <w:left w:val="nil"/>
              <w:bottom w:val="nil"/>
              <w:right w:val="nil"/>
            </w:tcBorders>
            <w:vAlign w:val="center"/>
          </w:tcPr>
          <w:p w14:paraId="0F5EEEE2" w14:textId="77777777" w:rsidR="004829B4" w:rsidRPr="00C72C0D" w:rsidRDefault="004829B4" w:rsidP="009A2130">
            <w:pPr>
              <w:spacing w:after="160"/>
              <w:contextualSpacing/>
              <w:rPr>
                <w:sz w:val="20"/>
                <w:szCs w:val="20"/>
              </w:rPr>
            </w:pPr>
            <w:r w:rsidRPr="00C72C0D">
              <w:rPr>
                <w:sz w:val="20"/>
                <w:szCs w:val="20"/>
              </w:rPr>
              <w:t>Race (White)</w:t>
            </w:r>
          </w:p>
        </w:tc>
        <w:tc>
          <w:tcPr>
            <w:tcW w:w="1260" w:type="dxa"/>
            <w:tcBorders>
              <w:top w:val="nil"/>
              <w:left w:val="nil"/>
              <w:bottom w:val="nil"/>
              <w:right w:val="nil"/>
            </w:tcBorders>
            <w:vAlign w:val="center"/>
          </w:tcPr>
          <w:p w14:paraId="47FF1045" w14:textId="77777777" w:rsidR="004829B4" w:rsidRPr="00C72C0D" w:rsidRDefault="004829B4" w:rsidP="009A2130">
            <w:pPr>
              <w:spacing w:after="160"/>
              <w:contextualSpacing/>
              <w:jc w:val="center"/>
              <w:rPr>
                <w:sz w:val="20"/>
                <w:szCs w:val="20"/>
              </w:rPr>
            </w:pPr>
            <w:r>
              <w:rPr>
                <w:sz w:val="20"/>
                <w:szCs w:val="20"/>
              </w:rPr>
              <w:t>.002</w:t>
            </w:r>
          </w:p>
        </w:tc>
        <w:tc>
          <w:tcPr>
            <w:tcW w:w="900" w:type="dxa"/>
            <w:tcBorders>
              <w:top w:val="nil"/>
              <w:left w:val="nil"/>
              <w:bottom w:val="nil"/>
              <w:right w:val="nil"/>
            </w:tcBorders>
          </w:tcPr>
          <w:p w14:paraId="1F1FFB70" w14:textId="77777777" w:rsidR="004829B4" w:rsidRPr="00C72C0D" w:rsidRDefault="004829B4" w:rsidP="009A2130">
            <w:pPr>
              <w:spacing w:after="160"/>
              <w:contextualSpacing/>
              <w:jc w:val="center"/>
              <w:rPr>
                <w:sz w:val="20"/>
                <w:szCs w:val="20"/>
              </w:rPr>
            </w:pPr>
          </w:p>
        </w:tc>
        <w:tc>
          <w:tcPr>
            <w:tcW w:w="1260" w:type="dxa"/>
            <w:tcBorders>
              <w:top w:val="nil"/>
              <w:left w:val="nil"/>
              <w:bottom w:val="nil"/>
              <w:right w:val="nil"/>
            </w:tcBorders>
          </w:tcPr>
          <w:p w14:paraId="28FDBF65"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260" w:type="dxa"/>
            <w:tcBorders>
              <w:top w:val="nil"/>
              <w:left w:val="nil"/>
              <w:bottom w:val="nil"/>
              <w:right w:val="nil"/>
            </w:tcBorders>
          </w:tcPr>
          <w:p w14:paraId="29A45903"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080" w:type="dxa"/>
            <w:tcBorders>
              <w:top w:val="nil"/>
              <w:left w:val="nil"/>
              <w:bottom w:val="nil"/>
              <w:right w:val="nil"/>
            </w:tcBorders>
          </w:tcPr>
          <w:p w14:paraId="20F7A155"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080" w:type="dxa"/>
            <w:tcBorders>
              <w:top w:val="nil"/>
              <w:left w:val="nil"/>
              <w:bottom w:val="nil"/>
              <w:right w:val="nil"/>
            </w:tcBorders>
          </w:tcPr>
          <w:p w14:paraId="56F4FA2B"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170" w:type="dxa"/>
            <w:tcBorders>
              <w:top w:val="nil"/>
              <w:left w:val="nil"/>
              <w:bottom w:val="nil"/>
              <w:right w:val="nil"/>
            </w:tcBorders>
          </w:tcPr>
          <w:p w14:paraId="0F2E179E" w14:textId="77777777" w:rsidR="004829B4" w:rsidRPr="00C72C0D" w:rsidRDefault="004829B4" w:rsidP="009A2130">
            <w:pPr>
              <w:spacing w:after="160"/>
              <w:contextualSpacing/>
              <w:jc w:val="center"/>
              <w:rPr>
                <w:sz w:val="20"/>
                <w:szCs w:val="20"/>
              </w:rPr>
            </w:pPr>
            <w:r w:rsidRPr="00EC7CFF">
              <w:rPr>
                <w:sz w:val="20"/>
                <w:szCs w:val="20"/>
              </w:rPr>
              <w:t xml:space="preserve"> </w:t>
            </w:r>
          </w:p>
        </w:tc>
      </w:tr>
      <w:tr w:rsidR="004829B4" w:rsidRPr="00C72C0D" w14:paraId="5179F3BD" w14:textId="77777777" w:rsidTr="009A2130">
        <w:trPr>
          <w:trHeight w:val="109"/>
        </w:trPr>
        <w:tc>
          <w:tcPr>
            <w:tcW w:w="4770" w:type="dxa"/>
            <w:tcBorders>
              <w:top w:val="nil"/>
              <w:left w:val="nil"/>
              <w:bottom w:val="nil"/>
              <w:right w:val="nil"/>
            </w:tcBorders>
            <w:vAlign w:val="center"/>
          </w:tcPr>
          <w:p w14:paraId="7C5F890C" w14:textId="77777777" w:rsidR="004829B4" w:rsidRPr="00C72C0D" w:rsidRDefault="004829B4" w:rsidP="009A2130">
            <w:pPr>
              <w:spacing w:after="160"/>
              <w:contextualSpacing/>
              <w:rPr>
                <w:i/>
                <w:iCs/>
                <w:sz w:val="20"/>
                <w:szCs w:val="20"/>
              </w:rPr>
            </w:pPr>
            <w:r w:rsidRPr="00C72C0D">
              <w:rPr>
                <w:i/>
                <w:iCs/>
                <w:sz w:val="20"/>
                <w:szCs w:val="20"/>
              </w:rPr>
              <w:t xml:space="preserve">     Asian</w:t>
            </w:r>
          </w:p>
        </w:tc>
        <w:tc>
          <w:tcPr>
            <w:tcW w:w="1260" w:type="dxa"/>
            <w:tcBorders>
              <w:top w:val="nil"/>
              <w:left w:val="nil"/>
              <w:bottom w:val="nil"/>
              <w:right w:val="nil"/>
            </w:tcBorders>
            <w:vAlign w:val="center"/>
          </w:tcPr>
          <w:p w14:paraId="78198F29" w14:textId="77777777" w:rsidR="004829B4" w:rsidRPr="004270FB" w:rsidRDefault="004829B4" w:rsidP="009A2130">
            <w:pPr>
              <w:spacing w:after="160"/>
              <w:contextualSpacing/>
              <w:jc w:val="center"/>
              <w:rPr>
                <w:sz w:val="20"/>
                <w:szCs w:val="20"/>
              </w:rPr>
            </w:pPr>
          </w:p>
        </w:tc>
        <w:tc>
          <w:tcPr>
            <w:tcW w:w="900" w:type="dxa"/>
            <w:tcBorders>
              <w:top w:val="nil"/>
              <w:left w:val="nil"/>
              <w:bottom w:val="nil"/>
              <w:right w:val="nil"/>
            </w:tcBorders>
          </w:tcPr>
          <w:p w14:paraId="07961734" w14:textId="77777777" w:rsidR="004829B4" w:rsidRPr="00C72C0D" w:rsidRDefault="004829B4" w:rsidP="009A2130">
            <w:pPr>
              <w:spacing w:after="160"/>
              <w:contextualSpacing/>
              <w:jc w:val="center"/>
              <w:rPr>
                <w:sz w:val="20"/>
                <w:szCs w:val="20"/>
              </w:rPr>
            </w:pPr>
            <w:r w:rsidRPr="004270FB">
              <w:rPr>
                <w:sz w:val="20"/>
                <w:szCs w:val="20"/>
              </w:rPr>
              <w:t>0.23</w:t>
            </w:r>
          </w:p>
        </w:tc>
        <w:tc>
          <w:tcPr>
            <w:tcW w:w="1260" w:type="dxa"/>
            <w:tcBorders>
              <w:top w:val="nil"/>
              <w:left w:val="nil"/>
              <w:bottom w:val="nil"/>
              <w:right w:val="nil"/>
            </w:tcBorders>
          </w:tcPr>
          <w:p w14:paraId="2404CA62" w14:textId="77777777" w:rsidR="004829B4" w:rsidRPr="00C72C0D" w:rsidRDefault="004829B4" w:rsidP="009A2130">
            <w:pPr>
              <w:spacing w:after="160"/>
              <w:contextualSpacing/>
              <w:jc w:val="center"/>
              <w:rPr>
                <w:sz w:val="20"/>
                <w:szCs w:val="20"/>
              </w:rPr>
            </w:pPr>
            <w:r>
              <w:rPr>
                <w:sz w:val="20"/>
                <w:szCs w:val="20"/>
              </w:rPr>
              <w:t>0.21</w:t>
            </w:r>
          </w:p>
        </w:tc>
        <w:tc>
          <w:tcPr>
            <w:tcW w:w="1260" w:type="dxa"/>
            <w:tcBorders>
              <w:top w:val="nil"/>
              <w:left w:val="nil"/>
              <w:bottom w:val="nil"/>
              <w:right w:val="nil"/>
            </w:tcBorders>
          </w:tcPr>
          <w:p w14:paraId="66D4D6AF" w14:textId="77777777" w:rsidR="004829B4" w:rsidRPr="00C72C0D" w:rsidRDefault="004829B4" w:rsidP="009A2130">
            <w:pPr>
              <w:spacing w:after="160"/>
              <w:contextualSpacing/>
              <w:jc w:val="center"/>
              <w:rPr>
                <w:sz w:val="20"/>
                <w:szCs w:val="20"/>
              </w:rPr>
            </w:pPr>
            <w:r>
              <w:rPr>
                <w:sz w:val="20"/>
                <w:szCs w:val="20"/>
              </w:rPr>
              <w:t>1.25</w:t>
            </w:r>
          </w:p>
        </w:tc>
        <w:tc>
          <w:tcPr>
            <w:tcW w:w="1080" w:type="dxa"/>
            <w:tcBorders>
              <w:top w:val="nil"/>
              <w:left w:val="nil"/>
              <w:bottom w:val="nil"/>
              <w:right w:val="nil"/>
            </w:tcBorders>
          </w:tcPr>
          <w:p w14:paraId="0E3CE38D" w14:textId="77777777" w:rsidR="004829B4" w:rsidRPr="00C72C0D" w:rsidRDefault="004829B4" w:rsidP="009A2130">
            <w:pPr>
              <w:spacing w:after="160"/>
              <w:contextualSpacing/>
              <w:jc w:val="center"/>
              <w:rPr>
                <w:sz w:val="20"/>
                <w:szCs w:val="20"/>
              </w:rPr>
            </w:pPr>
            <w:r>
              <w:rPr>
                <w:sz w:val="20"/>
                <w:szCs w:val="20"/>
              </w:rPr>
              <w:t>0.85</w:t>
            </w:r>
            <w:r w:rsidRPr="00EC7CFF">
              <w:rPr>
                <w:sz w:val="20"/>
                <w:szCs w:val="20"/>
              </w:rPr>
              <w:t xml:space="preserve"> </w:t>
            </w:r>
          </w:p>
        </w:tc>
        <w:tc>
          <w:tcPr>
            <w:tcW w:w="1080" w:type="dxa"/>
            <w:tcBorders>
              <w:top w:val="nil"/>
              <w:left w:val="nil"/>
              <w:bottom w:val="nil"/>
              <w:right w:val="nil"/>
            </w:tcBorders>
          </w:tcPr>
          <w:p w14:paraId="50F241E2" w14:textId="77777777" w:rsidR="004829B4" w:rsidRPr="00C72C0D" w:rsidRDefault="004829B4" w:rsidP="009A2130">
            <w:pPr>
              <w:spacing w:after="160"/>
              <w:contextualSpacing/>
              <w:jc w:val="center"/>
              <w:rPr>
                <w:sz w:val="20"/>
                <w:szCs w:val="20"/>
              </w:rPr>
            </w:pPr>
            <w:r>
              <w:rPr>
                <w:sz w:val="20"/>
                <w:szCs w:val="20"/>
              </w:rPr>
              <w:t>1.95</w:t>
            </w:r>
          </w:p>
        </w:tc>
        <w:tc>
          <w:tcPr>
            <w:tcW w:w="1170" w:type="dxa"/>
            <w:tcBorders>
              <w:top w:val="nil"/>
              <w:left w:val="nil"/>
              <w:bottom w:val="nil"/>
              <w:right w:val="nil"/>
            </w:tcBorders>
          </w:tcPr>
          <w:p w14:paraId="78D654A3" w14:textId="77777777" w:rsidR="004829B4" w:rsidRPr="00C72C0D" w:rsidRDefault="004829B4" w:rsidP="009A2130">
            <w:pPr>
              <w:spacing w:after="160"/>
              <w:contextualSpacing/>
              <w:jc w:val="center"/>
              <w:rPr>
                <w:sz w:val="20"/>
                <w:szCs w:val="20"/>
              </w:rPr>
            </w:pPr>
            <w:r>
              <w:rPr>
                <w:sz w:val="20"/>
                <w:szCs w:val="20"/>
              </w:rPr>
              <w:t>.415</w:t>
            </w:r>
          </w:p>
        </w:tc>
      </w:tr>
      <w:tr w:rsidR="004829B4" w:rsidRPr="00C72C0D" w14:paraId="7BC3D0DC" w14:textId="77777777" w:rsidTr="009A2130">
        <w:trPr>
          <w:trHeight w:val="109"/>
        </w:trPr>
        <w:tc>
          <w:tcPr>
            <w:tcW w:w="4770" w:type="dxa"/>
            <w:tcBorders>
              <w:top w:val="nil"/>
              <w:left w:val="nil"/>
              <w:bottom w:val="nil"/>
              <w:right w:val="nil"/>
            </w:tcBorders>
            <w:vAlign w:val="center"/>
          </w:tcPr>
          <w:p w14:paraId="4E888389" w14:textId="77777777" w:rsidR="004829B4" w:rsidRPr="00C72C0D" w:rsidRDefault="004829B4" w:rsidP="009A2130">
            <w:pPr>
              <w:spacing w:after="160"/>
              <w:contextualSpacing/>
              <w:rPr>
                <w:i/>
                <w:iCs/>
                <w:sz w:val="20"/>
                <w:szCs w:val="20"/>
              </w:rPr>
            </w:pPr>
            <w:r w:rsidRPr="00C72C0D">
              <w:rPr>
                <w:i/>
                <w:iCs/>
                <w:sz w:val="20"/>
                <w:szCs w:val="20"/>
              </w:rPr>
              <w:t xml:space="preserve">     Black</w:t>
            </w:r>
          </w:p>
        </w:tc>
        <w:tc>
          <w:tcPr>
            <w:tcW w:w="1260" w:type="dxa"/>
            <w:tcBorders>
              <w:top w:val="nil"/>
              <w:left w:val="nil"/>
              <w:bottom w:val="nil"/>
              <w:right w:val="nil"/>
            </w:tcBorders>
            <w:vAlign w:val="center"/>
          </w:tcPr>
          <w:p w14:paraId="662AEB7E" w14:textId="77777777" w:rsidR="004829B4" w:rsidRDefault="004829B4" w:rsidP="009A2130">
            <w:pPr>
              <w:spacing w:after="160"/>
              <w:contextualSpacing/>
              <w:jc w:val="center"/>
              <w:rPr>
                <w:sz w:val="20"/>
                <w:szCs w:val="20"/>
              </w:rPr>
            </w:pPr>
          </w:p>
        </w:tc>
        <w:tc>
          <w:tcPr>
            <w:tcW w:w="900" w:type="dxa"/>
            <w:tcBorders>
              <w:top w:val="nil"/>
              <w:left w:val="nil"/>
              <w:bottom w:val="nil"/>
              <w:right w:val="nil"/>
            </w:tcBorders>
          </w:tcPr>
          <w:p w14:paraId="179940FB" w14:textId="77777777" w:rsidR="004829B4" w:rsidRPr="00C72C0D" w:rsidRDefault="004829B4" w:rsidP="009A2130">
            <w:pPr>
              <w:spacing w:after="160"/>
              <w:contextualSpacing/>
              <w:jc w:val="center"/>
              <w:rPr>
                <w:sz w:val="20"/>
                <w:szCs w:val="20"/>
              </w:rPr>
            </w:pPr>
            <w:r>
              <w:rPr>
                <w:sz w:val="20"/>
                <w:szCs w:val="20"/>
              </w:rPr>
              <w:t>-0.15</w:t>
            </w:r>
            <w:r w:rsidRPr="00EC7CFF">
              <w:rPr>
                <w:sz w:val="20"/>
                <w:szCs w:val="20"/>
              </w:rPr>
              <w:t xml:space="preserve"> </w:t>
            </w:r>
          </w:p>
        </w:tc>
        <w:tc>
          <w:tcPr>
            <w:tcW w:w="1260" w:type="dxa"/>
            <w:tcBorders>
              <w:top w:val="nil"/>
              <w:left w:val="nil"/>
              <w:bottom w:val="nil"/>
              <w:right w:val="nil"/>
            </w:tcBorders>
          </w:tcPr>
          <w:p w14:paraId="6D5E887D" w14:textId="77777777" w:rsidR="004829B4" w:rsidRPr="00C72C0D" w:rsidRDefault="004829B4" w:rsidP="009A2130">
            <w:pPr>
              <w:spacing w:after="160"/>
              <w:contextualSpacing/>
              <w:jc w:val="center"/>
              <w:rPr>
                <w:sz w:val="20"/>
                <w:szCs w:val="20"/>
              </w:rPr>
            </w:pPr>
            <w:r>
              <w:rPr>
                <w:sz w:val="20"/>
                <w:szCs w:val="20"/>
              </w:rPr>
              <w:t>0.33</w:t>
            </w:r>
          </w:p>
        </w:tc>
        <w:tc>
          <w:tcPr>
            <w:tcW w:w="1260" w:type="dxa"/>
            <w:tcBorders>
              <w:top w:val="nil"/>
              <w:left w:val="nil"/>
              <w:bottom w:val="nil"/>
              <w:right w:val="nil"/>
            </w:tcBorders>
          </w:tcPr>
          <w:p w14:paraId="5EA72329" w14:textId="77777777" w:rsidR="004829B4" w:rsidRPr="00C72C0D" w:rsidRDefault="004829B4" w:rsidP="009A2130">
            <w:pPr>
              <w:spacing w:after="160"/>
              <w:contextualSpacing/>
              <w:jc w:val="center"/>
              <w:rPr>
                <w:sz w:val="20"/>
                <w:szCs w:val="20"/>
              </w:rPr>
            </w:pPr>
            <w:r>
              <w:rPr>
                <w:sz w:val="20"/>
                <w:szCs w:val="20"/>
              </w:rPr>
              <w:t>0.86</w:t>
            </w:r>
          </w:p>
        </w:tc>
        <w:tc>
          <w:tcPr>
            <w:tcW w:w="1080" w:type="dxa"/>
            <w:tcBorders>
              <w:top w:val="nil"/>
              <w:left w:val="nil"/>
              <w:bottom w:val="nil"/>
              <w:right w:val="nil"/>
            </w:tcBorders>
          </w:tcPr>
          <w:p w14:paraId="4CFCD08F" w14:textId="77777777" w:rsidR="004829B4" w:rsidRPr="00C72C0D" w:rsidRDefault="004829B4" w:rsidP="009A2130">
            <w:pPr>
              <w:spacing w:after="160"/>
              <w:contextualSpacing/>
              <w:jc w:val="center"/>
              <w:rPr>
                <w:sz w:val="20"/>
                <w:szCs w:val="20"/>
              </w:rPr>
            </w:pPr>
            <w:r>
              <w:rPr>
                <w:sz w:val="20"/>
                <w:szCs w:val="20"/>
              </w:rPr>
              <w:t>0.47</w:t>
            </w:r>
            <w:r w:rsidRPr="00EC7CFF">
              <w:rPr>
                <w:sz w:val="20"/>
                <w:szCs w:val="20"/>
              </w:rPr>
              <w:t xml:space="preserve"> </w:t>
            </w:r>
          </w:p>
        </w:tc>
        <w:tc>
          <w:tcPr>
            <w:tcW w:w="1080" w:type="dxa"/>
            <w:tcBorders>
              <w:top w:val="nil"/>
              <w:left w:val="nil"/>
              <w:bottom w:val="nil"/>
              <w:right w:val="nil"/>
            </w:tcBorders>
          </w:tcPr>
          <w:p w14:paraId="19D9D0AC" w14:textId="77777777" w:rsidR="004829B4" w:rsidRPr="00C72C0D" w:rsidRDefault="004829B4" w:rsidP="009A2130">
            <w:pPr>
              <w:spacing w:after="160"/>
              <w:contextualSpacing/>
              <w:jc w:val="center"/>
              <w:rPr>
                <w:sz w:val="20"/>
                <w:szCs w:val="20"/>
              </w:rPr>
            </w:pPr>
            <w:r>
              <w:rPr>
                <w:sz w:val="20"/>
                <w:szCs w:val="20"/>
              </w:rPr>
              <w:t>1.73</w:t>
            </w:r>
          </w:p>
        </w:tc>
        <w:tc>
          <w:tcPr>
            <w:tcW w:w="1170" w:type="dxa"/>
            <w:tcBorders>
              <w:top w:val="nil"/>
              <w:left w:val="nil"/>
              <w:bottom w:val="nil"/>
              <w:right w:val="nil"/>
            </w:tcBorders>
          </w:tcPr>
          <w:p w14:paraId="54271E57" w14:textId="77777777" w:rsidR="004829B4" w:rsidRPr="00C72C0D" w:rsidRDefault="004829B4" w:rsidP="009A2130">
            <w:pPr>
              <w:spacing w:after="160"/>
              <w:contextualSpacing/>
              <w:jc w:val="center"/>
              <w:rPr>
                <w:sz w:val="20"/>
                <w:szCs w:val="20"/>
              </w:rPr>
            </w:pPr>
            <w:r>
              <w:rPr>
                <w:sz w:val="20"/>
                <w:szCs w:val="20"/>
              </w:rPr>
              <w:t>.808</w:t>
            </w:r>
          </w:p>
        </w:tc>
      </w:tr>
      <w:tr w:rsidR="004829B4" w:rsidRPr="00C72C0D" w14:paraId="24C92155" w14:textId="77777777" w:rsidTr="009A2130">
        <w:trPr>
          <w:trHeight w:val="109"/>
        </w:trPr>
        <w:tc>
          <w:tcPr>
            <w:tcW w:w="4770" w:type="dxa"/>
            <w:tcBorders>
              <w:top w:val="nil"/>
              <w:left w:val="nil"/>
              <w:bottom w:val="nil"/>
              <w:right w:val="nil"/>
            </w:tcBorders>
            <w:vAlign w:val="center"/>
          </w:tcPr>
          <w:p w14:paraId="22307F49" w14:textId="77777777" w:rsidR="004829B4" w:rsidRPr="00C72C0D" w:rsidRDefault="004829B4" w:rsidP="009A2130">
            <w:pPr>
              <w:spacing w:after="160"/>
              <w:contextualSpacing/>
              <w:rPr>
                <w:i/>
                <w:iCs/>
                <w:sz w:val="20"/>
                <w:szCs w:val="20"/>
              </w:rPr>
            </w:pPr>
            <w:r w:rsidRPr="00C72C0D">
              <w:rPr>
                <w:i/>
                <w:iCs/>
                <w:sz w:val="20"/>
                <w:szCs w:val="20"/>
              </w:rPr>
              <w:t xml:space="preserve">     Hispanic/Latinx</w:t>
            </w:r>
          </w:p>
        </w:tc>
        <w:tc>
          <w:tcPr>
            <w:tcW w:w="1260" w:type="dxa"/>
            <w:tcBorders>
              <w:top w:val="nil"/>
              <w:left w:val="nil"/>
              <w:bottom w:val="nil"/>
              <w:right w:val="nil"/>
            </w:tcBorders>
            <w:vAlign w:val="center"/>
          </w:tcPr>
          <w:p w14:paraId="398FD4A2" w14:textId="77777777" w:rsidR="004829B4" w:rsidRDefault="004829B4" w:rsidP="009A2130">
            <w:pPr>
              <w:spacing w:after="160"/>
              <w:contextualSpacing/>
              <w:jc w:val="center"/>
              <w:rPr>
                <w:sz w:val="20"/>
                <w:szCs w:val="20"/>
              </w:rPr>
            </w:pPr>
          </w:p>
        </w:tc>
        <w:tc>
          <w:tcPr>
            <w:tcW w:w="900" w:type="dxa"/>
            <w:tcBorders>
              <w:top w:val="nil"/>
              <w:left w:val="nil"/>
              <w:bottom w:val="nil"/>
              <w:right w:val="nil"/>
            </w:tcBorders>
          </w:tcPr>
          <w:p w14:paraId="5DDD1EC5" w14:textId="77777777" w:rsidR="004829B4" w:rsidRPr="00C72C0D" w:rsidRDefault="004829B4" w:rsidP="009A2130">
            <w:pPr>
              <w:spacing w:after="160"/>
              <w:contextualSpacing/>
              <w:jc w:val="center"/>
              <w:rPr>
                <w:sz w:val="20"/>
                <w:szCs w:val="20"/>
              </w:rPr>
            </w:pPr>
            <w:r>
              <w:rPr>
                <w:sz w:val="20"/>
                <w:szCs w:val="20"/>
              </w:rPr>
              <w:t>0.00</w:t>
            </w:r>
          </w:p>
        </w:tc>
        <w:tc>
          <w:tcPr>
            <w:tcW w:w="1260" w:type="dxa"/>
            <w:tcBorders>
              <w:top w:val="nil"/>
              <w:left w:val="nil"/>
              <w:bottom w:val="nil"/>
              <w:right w:val="nil"/>
            </w:tcBorders>
          </w:tcPr>
          <w:p w14:paraId="06F25631" w14:textId="77777777" w:rsidR="004829B4" w:rsidRPr="00C72C0D" w:rsidRDefault="004829B4" w:rsidP="009A2130">
            <w:pPr>
              <w:spacing w:after="160"/>
              <w:contextualSpacing/>
              <w:jc w:val="center"/>
              <w:rPr>
                <w:sz w:val="20"/>
                <w:szCs w:val="20"/>
              </w:rPr>
            </w:pPr>
            <w:r>
              <w:rPr>
                <w:sz w:val="20"/>
                <w:szCs w:val="20"/>
              </w:rPr>
              <w:t>0.21</w:t>
            </w:r>
          </w:p>
        </w:tc>
        <w:tc>
          <w:tcPr>
            <w:tcW w:w="1260" w:type="dxa"/>
            <w:tcBorders>
              <w:top w:val="nil"/>
              <w:left w:val="nil"/>
              <w:bottom w:val="nil"/>
              <w:right w:val="nil"/>
            </w:tcBorders>
          </w:tcPr>
          <w:p w14:paraId="19E15B7D" w14:textId="77777777" w:rsidR="004829B4" w:rsidRPr="00C72C0D" w:rsidRDefault="004829B4" w:rsidP="009A2130">
            <w:pPr>
              <w:spacing w:after="160"/>
              <w:contextualSpacing/>
              <w:jc w:val="center"/>
              <w:rPr>
                <w:sz w:val="20"/>
                <w:szCs w:val="20"/>
              </w:rPr>
            </w:pPr>
            <w:r>
              <w:rPr>
                <w:sz w:val="20"/>
                <w:szCs w:val="20"/>
              </w:rPr>
              <w:t>1.00</w:t>
            </w:r>
          </w:p>
        </w:tc>
        <w:tc>
          <w:tcPr>
            <w:tcW w:w="1080" w:type="dxa"/>
            <w:tcBorders>
              <w:top w:val="nil"/>
              <w:left w:val="nil"/>
              <w:bottom w:val="nil"/>
              <w:right w:val="nil"/>
            </w:tcBorders>
          </w:tcPr>
          <w:p w14:paraId="757F7B09" w14:textId="77777777" w:rsidR="004829B4" w:rsidRPr="00C72C0D" w:rsidRDefault="004829B4" w:rsidP="009A2130">
            <w:pPr>
              <w:spacing w:after="160"/>
              <w:contextualSpacing/>
              <w:jc w:val="center"/>
              <w:rPr>
                <w:sz w:val="20"/>
                <w:szCs w:val="20"/>
              </w:rPr>
            </w:pPr>
            <w:r>
              <w:rPr>
                <w:sz w:val="20"/>
                <w:szCs w:val="20"/>
              </w:rPr>
              <w:t>0.67</w:t>
            </w:r>
          </w:p>
        </w:tc>
        <w:tc>
          <w:tcPr>
            <w:tcW w:w="1080" w:type="dxa"/>
            <w:tcBorders>
              <w:top w:val="nil"/>
              <w:left w:val="nil"/>
              <w:bottom w:val="nil"/>
              <w:right w:val="nil"/>
            </w:tcBorders>
          </w:tcPr>
          <w:p w14:paraId="36A0040D" w14:textId="77777777" w:rsidR="004829B4" w:rsidRPr="00C72C0D" w:rsidRDefault="004829B4" w:rsidP="009A2130">
            <w:pPr>
              <w:spacing w:after="160"/>
              <w:contextualSpacing/>
              <w:jc w:val="center"/>
              <w:rPr>
                <w:sz w:val="20"/>
                <w:szCs w:val="20"/>
              </w:rPr>
            </w:pPr>
            <w:r>
              <w:rPr>
                <w:sz w:val="20"/>
                <w:szCs w:val="20"/>
              </w:rPr>
              <w:t>1.55</w:t>
            </w:r>
          </w:p>
        </w:tc>
        <w:tc>
          <w:tcPr>
            <w:tcW w:w="1170" w:type="dxa"/>
            <w:tcBorders>
              <w:top w:val="nil"/>
              <w:left w:val="nil"/>
              <w:bottom w:val="nil"/>
              <w:right w:val="nil"/>
            </w:tcBorders>
          </w:tcPr>
          <w:p w14:paraId="33C84343" w14:textId="77777777" w:rsidR="004829B4" w:rsidRPr="00C72C0D" w:rsidRDefault="004829B4" w:rsidP="009A2130">
            <w:pPr>
              <w:spacing w:after="160"/>
              <w:contextualSpacing/>
              <w:jc w:val="center"/>
              <w:rPr>
                <w:sz w:val="20"/>
                <w:szCs w:val="20"/>
              </w:rPr>
            </w:pPr>
            <w:r>
              <w:rPr>
                <w:sz w:val="20"/>
                <w:szCs w:val="20"/>
              </w:rPr>
              <w:t>.988</w:t>
            </w:r>
          </w:p>
        </w:tc>
      </w:tr>
      <w:tr w:rsidR="004829B4" w:rsidRPr="00C72C0D" w14:paraId="7B134A52" w14:textId="77777777" w:rsidTr="009A2130">
        <w:trPr>
          <w:trHeight w:val="109"/>
        </w:trPr>
        <w:tc>
          <w:tcPr>
            <w:tcW w:w="4770" w:type="dxa"/>
            <w:tcBorders>
              <w:top w:val="nil"/>
              <w:left w:val="nil"/>
              <w:bottom w:val="nil"/>
              <w:right w:val="nil"/>
            </w:tcBorders>
            <w:vAlign w:val="center"/>
          </w:tcPr>
          <w:p w14:paraId="53107200" w14:textId="77777777" w:rsidR="004829B4" w:rsidRPr="00C72C0D" w:rsidRDefault="004829B4" w:rsidP="009A2130">
            <w:pPr>
              <w:spacing w:after="160"/>
              <w:contextualSpacing/>
              <w:rPr>
                <w:i/>
                <w:iCs/>
                <w:sz w:val="20"/>
                <w:szCs w:val="20"/>
              </w:rPr>
            </w:pPr>
            <w:r>
              <w:rPr>
                <w:i/>
                <w:iCs/>
                <w:sz w:val="20"/>
                <w:szCs w:val="20"/>
              </w:rPr>
              <w:t xml:space="preserve">    Multiracial</w:t>
            </w:r>
          </w:p>
        </w:tc>
        <w:tc>
          <w:tcPr>
            <w:tcW w:w="1260" w:type="dxa"/>
            <w:tcBorders>
              <w:top w:val="nil"/>
              <w:left w:val="nil"/>
              <w:bottom w:val="nil"/>
              <w:right w:val="nil"/>
            </w:tcBorders>
            <w:vAlign w:val="center"/>
          </w:tcPr>
          <w:p w14:paraId="38F245B7" w14:textId="77777777" w:rsidR="004829B4" w:rsidRDefault="004829B4" w:rsidP="009A2130">
            <w:pPr>
              <w:spacing w:after="160"/>
              <w:contextualSpacing/>
              <w:jc w:val="center"/>
              <w:rPr>
                <w:sz w:val="20"/>
                <w:szCs w:val="20"/>
              </w:rPr>
            </w:pPr>
          </w:p>
        </w:tc>
        <w:tc>
          <w:tcPr>
            <w:tcW w:w="900" w:type="dxa"/>
            <w:tcBorders>
              <w:top w:val="nil"/>
              <w:left w:val="nil"/>
              <w:bottom w:val="nil"/>
              <w:right w:val="nil"/>
            </w:tcBorders>
          </w:tcPr>
          <w:p w14:paraId="41693D8B" w14:textId="77777777" w:rsidR="004829B4" w:rsidRPr="00C72C0D" w:rsidRDefault="004829B4" w:rsidP="009A2130">
            <w:pPr>
              <w:spacing w:after="160"/>
              <w:contextualSpacing/>
              <w:jc w:val="center"/>
              <w:rPr>
                <w:sz w:val="20"/>
                <w:szCs w:val="20"/>
              </w:rPr>
            </w:pPr>
            <w:r>
              <w:rPr>
                <w:sz w:val="20"/>
                <w:szCs w:val="20"/>
              </w:rPr>
              <w:t>-0.11</w:t>
            </w:r>
          </w:p>
        </w:tc>
        <w:tc>
          <w:tcPr>
            <w:tcW w:w="1260" w:type="dxa"/>
            <w:tcBorders>
              <w:top w:val="nil"/>
              <w:left w:val="nil"/>
              <w:bottom w:val="nil"/>
              <w:right w:val="nil"/>
            </w:tcBorders>
          </w:tcPr>
          <w:p w14:paraId="7D6AE2F2" w14:textId="77777777" w:rsidR="004829B4" w:rsidRPr="00C72C0D" w:rsidRDefault="004829B4" w:rsidP="009A2130">
            <w:pPr>
              <w:spacing w:after="160"/>
              <w:contextualSpacing/>
              <w:jc w:val="center"/>
              <w:rPr>
                <w:sz w:val="20"/>
                <w:szCs w:val="20"/>
              </w:rPr>
            </w:pPr>
            <w:r>
              <w:rPr>
                <w:sz w:val="20"/>
                <w:szCs w:val="20"/>
              </w:rPr>
              <w:t>0.28</w:t>
            </w:r>
          </w:p>
        </w:tc>
        <w:tc>
          <w:tcPr>
            <w:tcW w:w="1260" w:type="dxa"/>
            <w:tcBorders>
              <w:top w:val="nil"/>
              <w:left w:val="nil"/>
              <w:bottom w:val="nil"/>
              <w:right w:val="nil"/>
            </w:tcBorders>
          </w:tcPr>
          <w:p w14:paraId="08915BDF" w14:textId="77777777" w:rsidR="004829B4" w:rsidRPr="00C72C0D" w:rsidRDefault="004829B4" w:rsidP="009A2130">
            <w:pPr>
              <w:spacing w:after="160"/>
              <w:contextualSpacing/>
              <w:jc w:val="center"/>
              <w:rPr>
                <w:sz w:val="20"/>
                <w:szCs w:val="20"/>
              </w:rPr>
            </w:pPr>
            <w:r>
              <w:rPr>
                <w:sz w:val="20"/>
                <w:szCs w:val="20"/>
              </w:rPr>
              <w:t>0.89</w:t>
            </w:r>
          </w:p>
        </w:tc>
        <w:tc>
          <w:tcPr>
            <w:tcW w:w="1080" w:type="dxa"/>
            <w:tcBorders>
              <w:top w:val="nil"/>
              <w:left w:val="nil"/>
              <w:bottom w:val="nil"/>
              <w:right w:val="nil"/>
            </w:tcBorders>
          </w:tcPr>
          <w:p w14:paraId="4B7E3A86" w14:textId="77777777" w:rsidR="004829B4" w:rsidRPr="00C72C0D" w:rsidRDefault="004829B4" w:rsidP="009A2130">
            <w:pPr>
              <w:spacing w:after="160"/>
              <w:contextualSpacing/>
              <w:jc w:val="center"/>
              <w:rPr>
                <w:sz w:val="20"/>
                <w:szCs w:val="20"/>
              </w:rPr>
            </w:pPr>
            <w:r>
              <w:rPr>
                <w:sz w:val="20"/>
                <w:szCs w:val="20"/>
              </w:rPr>
              <w:t>0.53</w:t>
            </w:r>
          </w:p>
        </w:tc>
        <w:tc>
          <w:tcPr>
            <w:tcW w:w="1080" w:type="dxa"/>
            <w:tcBorders>
              <w:top w:val="nil"/>
              <w:left w:val="nil"/>
              <w:bottom w:val="nil"/>
              <w:right w:val="nil"/>
            </w:tcBorders>
          </w:tcPr>
          <w:p w14:paraId="44980F94" w14:textId="77777777" w:rsidR="004829B4" w:rsidRPr="00C72C0D" w:rsidRDefault="004829B4" w:rsidP="009A2130">
            <w:pPr>
              <w:spacing w:after="160"/>
              <w:contextualSpacing/>
              <w:jc w:val="center"/>
              <w:rPr>
                <w:sz w:val="20"/>
                <w:szCs w:val="20"/>
              </w:rPr>
            </w:pPr>
            <w:r>
              <w:rPr>
                <w:sz w:val="20"/>
                <w:szCs w:val="20"/>
              </w:rPr>
              <w:t>1.60</w:t>
            </w:r>
          </w:p>
        </w:tc>
        <w:tc>
          <w:tcPr>
            <w:tcW w:w="1170" w:type="dxa"/>
            <w:tcBorders>
              <w:top w:val="nil"/>
              <w:left w:val="nil"/>
              <w:bottom w:val="nil"/>
              <w:right w:val="nil"/>
            </w:tcBorders>
          </w:tcPr>
          <w:p w14:paraId="189A85FF" w14:textId="77777777" w:rsidR="004829B4" w:rsidRPr="00C72C0D" w:rsidRDefault="004829B4" w:rsidP="009A2130">
            <w:pPr>
              <w:spacing w:after="160"/>
              <w:contextualSpacing/>
              <w:jc w:val="center"/>
              <w:rPr>
                <w:sz w:val="20"/>
                <w:szCs w:val="20"/>
              </w:rPr>
            </w:pPr>
            <w:r>
              <w:rPr>
                <w:sz w:val="20"/>
                <w:szCs w:val="20"/>
              </w:rPr>
              <w:t>.808</w:t>
            </w:r>
          </w:p>
        </w:tc>
      </w:tr>
      <w:tr w:rsidR="004829B4" w:rsidRPr="00C72C0D" w14:paraId="479612A3" w14:textId="77777777" w:rsidTr="009A2130">
        <w:trPr>
          <w:trHeight w:val="109"/>
        </w:trPr>
        <w:tc>
          <w:tcPr>
            <w:tcW w:w="4770" w:type="dxa"/>
            <w:tcBorders>
              <w:top w:val="nil"/>
              <w:left w:val="nil"/>
              <w:bottom w:val="nil"/>
              <w:right w:val="nil"/>
            </w:tcBorders>
            <w:vAlign w:val="center"/>
          </w:tcPr>
          <w:p w14:paraId="2E171EF5" w14:textId="77777777" w:rsidR="004829B4" w:rsidRPr="00C72C0D" w:rsidRDefault="004829B4" w:rsidP="009A2130">
            <w:pPr>
              <w:spacing w:after="160"/>
              <w:contextualSpacing/>
              <w:rPr>
                <w:sz w:val="20"/>
                <w:szCs w:val="20"/>
              </w:rPr>
            </w:pPr>
            <w:r w:rsidRPr="00C72C0D">
              <w:rPr>
                <w:sz w:val="20"/>
                <w:szCs w:val="20"/>
              </w:rPr>
              <w:t>Treatment status (Has never worked with a</w:t>
            </w:r>
            <w:r>
              <w:rPr>
                <w:sz w:val="20"/>
                <w:szCs w:val="20"/>
              </w:rPr>
              <w:t>n</w:t>
            </w:r>
            <w:r w:rsidRPr="00C72C0D">
              <w:rPr>
                <w:sz w:val="20"/>
                <w:szCs w:val="20"/>
              </w:rPr>
              <w:t xml:space="preserve"> MHP)</w:t>
            </w:r>
          </w:p>
        </w:tc>
        <w:tc>
          <w:tcPr>
            <w:tcW w:w="1260" w:type="dxa"/>
            <w:tcBorders>
              <w:top w:val="nil"/>
              <w:left w:val="nil"/>
              <w:bottom w:val="nil"/>
              <w:right w:val="nil"/>
            </w:tcBorders>
            <w:vAlign w:val="center"/>
          </w:tcPr>
          <w:p w14:paraId="480B5786" w14:textId="77777777" w:rsidR="004829B4" w:rsidRPr="00EC7CFF" w:rsidRDefault="004829B4" w:rsidP="009A2130">
            <w:pPr>
              <w:spacing w:after="160"/>
              <w:contextualSpacing/>
              <w:jc w:val="center"/>
              <w:rPr>
                <w:sz w:val="20"/>
                <w:szCs w:val="20"/>
              </w:rPr>
            </w:pPr>
            <w:r>
              <w:rPr>
                <w:sz w:val="20"/>
                <w:szCs w:val="20"/>
              </w:rPr>
              <w:t>.015</w:t>
            </w:r>
          </w:p>
        </w:tc>
        <w:tc>
          <w:tcPr>
            <w:tcW w:w="900" w:type="dxa"/>
            <w:tcBorders>
              <w:top w:val="nil"/>
              <w:left w:val="nil"/>
              <w:bottom w:val="nil"/>
              <w:right w:val="nil"/>
            </w:tcBorders>
          </w:tcPr>
          <w:p w14:paraId="76298432"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260" w:type="dxa"/>
            <w:tcBorders>
              <w:top w:val="nil"/>
              <w:left w:val="nil"/>
              <w:bottom w:val="nil"/>
              <w:right w:val="nil"/>
            </w:tcBorders>
          </w:tcPr>
          <w:p w14:paraId="31C16E2C"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260" w:type="dxa"/>
            <w:tcBorders>
              <w:top w:val="nil"/>
              <w:left w:val="nil"/>
              <w:bottom w:val="nil"/>
              <w:right w:val="nil"/>
            </w:tcBorders>
          </w:tcPr>
          <w:p w14:paraId="64AC5923"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080" w:type="dxa"/>
            <w:tcBorders>
              <w:top w:val="nil"/>
              <w:left w:val="nil"/>
              <w:bottom w:val="nil"/>
              <w:right w:val="nil"/>
            </w:tcBorders>
          </w:tcPr>
          <w:p w14:paraId="42E474AC"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080" w:type="dxa"/>
            <w:tcBorders>
              <w:top w:val="nil"/>
              <w:left w:val="nil"/>
              <w:bottom w:val="nil"/>
              <w:right w:val="nil"/>
            </w:tcBorders>
          </w:tcPr>
          <w:p w14:paraId="515CC5F9"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170" w:type="dxa"/>
            <w:tcBorders>
              <w:top w:val="nil"/>
              <w:left w:val="nil"/>
              <w:bottom w:val="nil"/>
              <w:right w:val="nil"/>
            </w:tcBorders>
          </w:tcPr>
          <w:p w14:paraId="6F23B2FA" w14:textId="77777777" w:rsidR="004829B4" w:rsidRPr="00C72C0D" w:rsidRDefault="004829B4" w:rsidP="009A2130">
            <w:pPr>
              <w:spacing w:after="160"/>
              <w:contextualSpacing/>
              <w:rPr>
                <w:sz w:val="20"/>
                <w:szCs w:val="20"/>
              </w:rPr>
            </w:pPr>
            <w:r w:rsidRPr="00EC7CFF">
              <w:rPr>
                <w:sz w:val="20"/>
                <w:szCs w:val="20"/>
              </w:rPr>
              <w:t xml:space="preserve"> </w:t>
            </w:r>
          </w:p>
        </w:tc>
      </w:tr>
      <w:tr w:rsidR="004829B4" w:rsidRPr="00C72C0D" w14:paraId="4E578945" w14:textId="77777777" w:rsidTr="009A2130">
        <w:trPr>
          <w:trHeight w:val="109"/>
        </w:trPr>
        <w:tc>
          <w:tcPr>
            <w:tcW w:w="4770" w:type="dxa"/>
            <w:tcBorders>
              <w:top w:val="nil"/>
              <w:left w:val="nil"/>
              <w:bottom w:val="nil"/>
              <w:right w:val="nil"/>
            </w:tcBorders>
            <w:vAlign w:val="center"/>
          </w:tcPr>
          <w:p w14:paraId="6355CDC1" w14:textId="77777777" w:rsidR="004829B4" w:rsidRPr="00C72C0D" w:rsidRDefault="004829B4" w:rsidP="009A2130">
            <w:pPr>
              <w:spacing w:after="160"/>
              <w:contextualSpacing/>
              <w:rPr>
                <w:i/>
                <w:iCs/>
                <w:sz w:val="20"/>
                <w:szCs w:val="20"/>
              </w:rPr>
            </w:pPr>
            <w:r w:rsidRPr="00C72C0D">
              <w:rPr>
                <w:i/>
                <w:iCs/>
                <w:sz w:val="20"/>
                <w:szCs w:val="20"/>
              </w:rPr>
              <w:t xml:space="preserve">     Currently working with an MHP</w:t>
            </w:r>
          </w:p>
        </w:tc>
        <w:tc>
          <w:tcPr>
            <w:tcW w:w="1260" w:type="dxa"/>
            <w:tcBorders>
              <w:top w:val="nil"/>
              <w:left w:val="nil"/>
              <w:bottom w:val="nil"/>
              <w:right w:val="nil"/>
            </w:tcBorders>
            <w:vAlign w:val="center"/>
          </w:tcPr>
          <w:p w14:paraId="6DC35D72" w14:textId="77777777" w:rsidR="004829B4" w:rsidRDefault="004829B4" w:rsidP="009A2130">
            <w:pPr>
              <w:spacing w:after="160"/>
              <w:contextualSpacing/>
              <w:jc w:val="center"/>
              <w:rPr>
                <w:sz w:val="20"/>
                <w:szCs w:val="20"/>
              </w:rPr>
            </w:pPr>
          </w:p>
        </w:tc>
        <w:tc>
          <w:tcPr>
            <w:tcW w:w="900" w:type="dxa"/>
            <w:tcBorders>
              <w:top w:val="nil"/>
              <w:left w:val="nil"/>
              <w:bottom w:val="nil"/>
              <w:right w:val="nil"/>
            </w:tcBorders>
          </w:tcPr>
          <w:p w14:paraId="7AE4D3AC" w14:textId="77777777" w:rsidR="004829B4" w:rsidRPr="00C72C0D" w:rsidRDefault="004829B4" w:rsidP="009A2130">
            <w:pPr>
              <w:spacing w:after="160"/>
              <w:contextualSpacing/>
              <w:jc w:val="center"/>
              <w:rPr>
                <w:sz w:val="20"/>
                <w:szCs w:val="20"/>
              </w:rPr>
            </w:pPr>
            <w:r>
              <w:rPr>
                <w:sz w:val="20"/>
                <w:szCs w:val="20"/>
              </w:rPr>
              <w:t>-0.40</w:t>
            </w:r>
          </w:p>
        </w:tc>
        <w:tc>
          <w:tcPr>
            <w:tcW w:w="1260" w:type="dxa"/>
            <w:tcBorders>
              <w:top w:val="nil"/>
              <w:left w:val="nil"/>
              <w:bottom w:val="nil"/>
              <w:right w:val="nil"/>
            </w:tcBorders>
          </w:tcPr>
          <w:p w14:paraId="37997807" w14:textId="77777777" w:rsidR="004829B4" w:rsidRPr="00C72C0D" w:rsidRDefault="004829B4" w:rsidP="009A2130">
            <w:pPr>
              <w:spacing w:after="160"/>
              <w:contextualSpacing/>
              <w:jc w:val="center"/>
              <w:rPr>
                <w:sz w:val="20"/>
                <w:szCs w:val="20"/>
              </w:rPr>
            </w:pPr>
            <w:r>
              <w:rPr>
                <w:sz w:val="20"/>
                <w:szCs w:val="20"/>
              </w:rPr>
              <w:t>0.11</w:t>
            </w:r>
          </w:p>
        </w:tc>
        <w:tc>
          <w:tcPr>
            <w:tcW w:w="1260" w:type="dxa"/>
            <w:tcBorders>
              <w:top w:val="nil"/>
              <w:left w:val="nil"/>
              <w:bottom w:val="nil"/>
              <w:right w:val="nil"/>
            </w:tcBorders>
          </w:tcPr>
          <w:p w14:paraId="159E78D7" w14:textId="77777777" w:rsidR="004829B4" w:rsidRPr="00C72C0D" w:rsidRDefault="004829B4" w:rsidP="009A2130">
            <w:pPr>
              <w:spacing w:after="160"/>
              <w:contextualSpacing/>
              <w:jc w:val="center"/>
              <w:rPr>
                <w:sz w:val="20"/>
                <w:szCs w:val="20"/>
              </w:rPr>
            </w:pPr>
            <w:r>
              <w:rPr>
                <w:sz w:val="20"/>
                <w:szCs w:val="20"/>
              </w:rPr>
              <w:t>0.67</w:t>
            </w:r>
          </w:p>
        </w:tc>
        <w:tc>
          <w:tcPr>
            <w:tcW w:w="1080" w:type="dxa"/>
            <w:tcBorders>
              <w:top w:val="nil"/>
              <w:left w:val="nil"/>
              <w:bottom w:val="nil"/>
              <w:right w:val="nil"/>
            </w:tcBorders>
          </w:tcPr>
          <w:p w14:paraId="7B8E90D7" w14:textId="77777777" w:rsidR="004829B4" w:rsidRPr="00C72C0D" w:rsidRDefault="004829B4" w:rsidP="009A2130">
            <w:pPr>
              <w:spacing w:after="160"/>
              <w:contextualSpacing/>
              <w:jc w:val="center"/>
              <w:rPr>
                <w:sz w:val="20"/>
                <w:szCs w:val="20"/>
              </w:rPr>
            </w:pPr>
            <w:r w:rsidRPr="00EC7CFF">
              <w:rPr>
                <w:sz w:val="20"/>
                <w:szCs w:val="20"/>
              </w:rPr>
              <w:t xml:space="preserve"> </w:t>
            </w:r>
            <w:r>
              <w:rPr>
                <w:sz w:val="20"/>
                <w:szCs w:val="20"/>
              </w:rPr>
              <w:t>0.54</w:t>
            </w:r>
          </w:p>
        </w:tc>
        <w:tc>
          <w:tcPr>
            <w:tcW w:w="1080" w:type="dxa"/>
            <w:tcBorders>
              <w:top w:val="nil"/>
              <w:left w:val="nil"/>
              <w:bottom w:val="nil"/>
              <w:right w:val="nil"/>
            </w:tcBorders>
          </w:tcPr>
          <w:p w14:paraId="275785E9" w14:textId="77777777" w:rsidR="004829B4" w:rsidRPr="00C72C0D" w:rsidRDefault="004829B4" w:rsidP="009A2130">
            <w:pPr>
              <w:spacing w:after="160"/>
              <w:contextualSpacing/>
              <w:jc w:val="center"/>
              <w:rPr>
                <w:sz w:val="20"/>
                <w:szCs w:val="20"/>
              </w:rPr>
            </w:pPr>
            <w:r>
              <w:rPr>
                <w:sz w:val="20"/>
                <w:szCs w:val="20"/>
              </w:rPr>
              <w:t>0.84</w:t>
            </w:r>
            <w:r w:rsidRPr="00EC7CFF">
              <w:rPr>
                <w:sz w:val="20"/>
                <w:szCs w:val="20"/>
              </w:rPr>
              <w:t xml:space="preserve"> </w:t>
            </w:r>
          </w:p>
        </w:tc>
        <w:tc>
          <w:tcPr>
            <w:tcW w:w="1170" w:type="dxa"/>
            <w:tcBorders>
              <w:top w:val="nil"/>
              <w:left w:val="nil"/>
              <w:bottom w:val="nil"/>
              <w:right w:val="nil"/>
            </w:tcBorders>
          </w:tcPr>
          <w:p w14:paraId="63B91495" w14:textId="77777777" w:rsidR="004829B4" w:rsidRPr="00C72C0D" w:rsidRDefault="004829B4" w:rsidP="009A2130">
            <w:pPr>
              <w:spacing w:after="160"/>
              <w:contextualSpacing/>
              <w:jc w:val="center"/>
              <w:rPr>
                <w:sz w:val="20"/>
                <w:szCs w:val="20"/>
              </w:rPr>
            </w:pPr>
            <w:r>
              <w:rPr>
                <w:sz w:val="20"/>
                <w:szCs w:val="20"/>
              </w:rPr>
              <w:t>.001**</w:t>
            </w:r>
          </w:p>
        </w:tc>
      </w:tr>
      <w:tr w:rsidR="004829B4" w:rsidRPr="00C72C0D" w14:paraId="0229A2A0" w14:textId="77777777" w:rsidTr="009A2130">
        <w:trPr>
          <w:trHeight w:val="109"/>
        </w:trPr>
        <w:tc>
          <w:tcPr>
            <w:tcW w:w="4770" w:type="dxa"/>
            <w:tcBorders>
              <w:top w:val="nil"/>
              <w:left w:val="nil"/>
              <w:bottom w:val="nil"/>
              <w:right w:val="nil"/>
            </w:tcBorders>
            <w:vAlign w:val="center"/>
          </w:tcPr>
          <w:p w14:paraId="0F3A008C" w14:textId="77777777" w:rsidR="004829B4" w:rsidRPr="00C72C0D" w:rsidRDefault="004829B4" w:rsidP="009A2130">
            <w:pPr>
              <w:spacing w:after="160"/>
              <w:contextualSpacing/>
              <w:rPr>
                <w:i/>
                <w:iCs/>
                <w:sz w:val="20"/>
                <w:szCs w:val="20"/>
              </w:rPr>
            </w:pPr>
            <w:r w:rsidRPr="00C72C0D">
              <w:rPr>
                <w:i/>
                <w:iCs/>
                <w:sz w:val="20"/>
                <w:szCs w:val="20"/>
              </w:rPr>
              <w:t xml:space="preserve">     Recently stopped</w:t>
            </w:r>
            <w:r>
              <w:rPr>
                <w:i/>
                <w:iCs/>
                <w:sz w:val="20"/>
                <w:szCs w:val="20"/>
              </w:rPr>
              <w:t xml:space="preserve"> </w:t>
            </w:r>
            <w:r w:rsidRPr="00C72C0D">
              <w:rPr>
                <w:i/>
                <w:iCs/>
                <w:sz w:val="20"/>
                <w:szCs w:val="20"/>
              </w:rPr>
              <w:t xml:space="preserve">working with </w:t>
            </w:r>
            <w:r>
              <w:rPr>
                <w:i/>
                <w:iCs/>
                <w:sz w:val="20"/>
                <w:szCs w:val="20"/>
              </w:rPr>
              <w:t>an MHP</w:t>
            </w:r>
          </w:p>
        </w:tc>
        <w:tc>
          <w:tcPr>
            <w:tcW w:w="1260" w:type="dxa"/>
            <w:tcBorders>
              <w:top w:val="nil"/>
              <w:left w:val="nil"/>
              <w:bottom w:val="nil"/>
              <w:right w:val="nil"/>
            </w:tcBorders>
            <w:vAlign w:val="center"/>
          </w:tcPr>
          <w:p w14:paraId="3F33C497" w14:textId="77777777" w:rsidR="004829B4" w:rsidRDefault="004829B4" w:rsidP="009A2130">
            <w:pPr>
              <w:spacing w:after="160"/>
              <w:contextualSpacing/>
              <w:jc w:val="center"/>
              <w:rPr>
                <w:sz w:val="20"/>
                <w:szCs w:val="20"/>
              </w:rPr>
            </w:pPr>
          </w:p>
        </w:tc>
        <w:tc>
          <w:tcPr>
            <w:tcW w:w="900" w:type="dxa"/>
            <w:tcBorders>
              <w:top w:val="nil"/>
              <w:left w:val="nil"/>
              <w:bottom w:val="nil"/>
              <w:right w:val="nil"/>
            </w:tcBorders>
          </w:tcPr>
          <w:p w14:paraId="4009A481" w14:textId="77777777" w:rsidR="004829B4" w:rsidRPr="00C72C0D" w:rsidRDefault="004829B4" w:rsidP="009A2130">
            <w:pPr>
              <w:spacing w:after="160"/>
              <w:contextualSpacing/>
              <w:jc w:val="center"/>
              <w:rPr>
                <w:sz w:val="20"/>
                <w:szCs w:val="20"/>
              </w:rPr>
            </w:pPr>
            <w:r>
              <w:rPr>
                <w:sz w:val="20"/>
                <w:szCs w:val="20"/>
              </w:rPr>
              <w:t>-0.31</w:t>
            </w:r>
          </w:p>
        </w:tc>
        <w:tc>
          <w:tcPr>
            <w:tcW w:w="1260" w:type="dxa"/>
            <w:tcBorders>
              <w:top w:val="nil"/>
              <w:left w:val="nil"/>
              <w:bottom w:val="nil"/>
              <w:right w:val="nil"/>
            </w:tcBorders>
          </w:tcPr>
          <w:p w14:paraId="4CF8C5EC" w14:textId="77777777" w:rsidR="004829B4" w:rsidRPr="00C72C0D" w:rsidRDefault="004829B4" w:rsidP="009A2130">
            <w:pPr>
              <w:spacing w:after="160"/>
              <w:contextualSpacing/>
              <w:jc w:val="center"/>
              <w:rPr>
                <w:sz w:val="20"/>
                <w:szCs w:val="20"/>
              </w:rPr>
            </w:pPr>
            <w:r>
              <w:rPr>
                <w:sz w:val="20"/>
                <w:szCs w:val="20"/>
              </w:rPr>
              <w:t>0.22</w:t>
            </w:r>
          </w:p>
        </w:tc>
        <w:tc>
          <w:tcPr>
            <w:tcW w:w="1260" w:type="dxa"/>
            <w:tcBorders>
              <w:top w:val="nil"/>
              <w:left w:val="nil"/>
              <w:bottom w:val="nil"/>
              <w:right w:val="nil"/>
            </w:tcBorders>
          </w:tcPr>
          <w:p w14:paraId="7ECDDF7F" w14:textId="77777777" w:rsidR="004829B4" w:rsidRPr="00C72C0D" w:rsidRDefault="004829B4" w:rsidP="009A2130">
            <w:pPr>
              <w:spacing w:after="160"/>
              <w:contextualSpacing/>
              <w:jc w:val="center"/>
              <w:rPr>
                <w:sz w:val="20"/>
                <w:szCs w:val="20"/>
              </w:rPr>
            </w:pPr>
            <w:r>
              <w:rPr>
                <w:sz w:val="20"/>
                <w:szCs w:val="20"/>
              </w:rPr>
              <w:t>0.74</w:t>
            </w:r>
          </w:p>
        </w:tc>
        <w:tc>
          <w:tcPr>
            <w:tcW w:w="1080" w:type="dxa"/>
            <w:tcBorders>
              <w:top w:val="nil"/>
              <w:left w:val="nil"/>
              <w:bottom w:val="nil"/>
              <w:right w:val="nil"/>
            </w:tcBorders>
          </w:tcPr>
          <w:p w14:paraId="3B041980" w14:textId="77777777" w:rsidR="004829B4" w:rsidRPr="00C72C0D" w:rsidRDefault="004829B4" w:rsidP="009A2130">
            <w:pPr>
              <w:spacing w:after="160"/>
              <w:contextualSpacing/>
              <w:jc w:val="center"/>
              <w:rPr>
                <w:sz w:val="20"/>
                <w:szCs w:val="20"/>
              </w:rPr>
            </w:pPr>
            <w:r w:rsidRPr="00EC7CFF">
              <w:rPr>
                <w:sz w:val="20"/>
                <w:szCs w:val="20"/>
              </w:rPr>
              <w:t xml:space="preserve"> </w:t>
            </w:r>
            <w:r>
              <w:rPr>
                <w:sz w:val="20"/>
                <w:szCs w:val="20"/>
              </w:rPr>
              <w:t>0.49</w:t>
            </w:r>
          </w:p>
        </w:tc>
        <w:tc>
          <w:tcPr>
            <w:tcW w:w="1080" w:type="dxa"/>
            <w:tcBorders>
              <w:top w:val="nil"/>
              <w:left w:val="nil"/>
              <w:bottom w:val="nil"/>
              <w:right w:val="nil"/>
            </w:tcBorders>
          </w:tcPr>
          <w:p w14:paraId="275321D6" w14:textId="77777777" w:rsidR="004829B4" w:rsidRPr="00C72C0D" w:rsidRDefault="004829B4" w:rsidP="009A2130">
            <w:pPr>
              <w:spacing w:after="160"/>
              <w:contextualSpacing/>
              <w:jc w:val="center"/>
              <w:rPr>
                <w:sz w:val="20"/>
                <w:szCs w:val="20"/>
              </w:rPr>
            </w:pPr>
            <w:r>
              <w:rPr>
                <w:sz w:val="20"/>
                <w:szCs w:val="20"/>
              </w:rPr>
              <w:t>1.14</w:t>
            </w:r>
            <w:r w:rsidRPr="00EC7CFF">
              <w:rPr>
                <w:sz w:val="20"/>
                <w:szCs w:val="20"/>
              </w:rPr>
              <w:t xml:space="preserve"> </w:t>
            </w:r>
          </w:p>
        </w:tc>
        <w:tc>
          <w:tcPr>
            <w:tcW w:w="1170" w:type="dxa"/>
            <w:tcBorders>
              <w:top w:val="nil"/>
              <w:left w:val="nil"/>
              <w:bottom w:val="nil"/>
              <w:right w:val="nil"/>
            </w:tcBorders>
          </w:tcPr>
          <w:p w14:paraId="3B45DC85" w14:textId="77777777" w:rsidR="004829B4" w:rsidRPr="00C72C0D" w:rsidRDefault="004829B4" w:rsidP="009A2130">
            <w:pPr>
              <w:spacing w:after="160"/>
              <w:contextualSpacing/>
              <w:jc w:val="center"/>
              <w:rPr>
                <w:sz w:val="20"/>
                <w:szCs w:val="20"/>
              </w:rPr>
            </w:pPr>
            <w:r>
              <w:rPr>
                <w:sz w:val="20"/>
                <w:szCs w:val="20"/>
              </w:rPr>
              <w:t>.270</w:t>
            </w:r>
          </w:p>
        </w:tc>
      </w:tr>
      <w:tr w:rsidR="004829B4" w:rsidRPr="00C72C0D" w14:paraId="1970E496" w14:textId="77777777" w:rsidTr="009A2130">
        <w:trPr>
          <w:trHeight w:val="109"/>
        </w:trPr>
        <w:tc>
          <w:tcPr>
            <w:tcW w:w="4770" w:type="dxa"/>
            <w:tcBorders>
              <w:top w:val="nil"/>
              <w:left w:val="nil"/>
              <w:bottom w:val="nil"/>
              <w:right w:val="nil"/>
            </w:tcBorders>
            <w:vAlign w:val="center"/>
          </w:tcPr>
          <w:p w14:paraId="12509278" w14:textId="77777777" w:rsidR="004829B4" w:rsidRPr="00C72C0D" w:rsidRDefault="004829B4" w:rsidP="009A2130">
            <w:pPr>
              <w:spacing w:after="160"/>
              <w:contextualSpacing/>
              <w:rPr>
                <w:rFonts w:cs="Arial"/>
                <w:i/>
                <w:iCs/>
                <w:sz w:val="20"/>
                <w:szCs w:val="20"/>
              </w:rPr>
            </w:pPr>
            <w:r w:rsidRPr="00C72C0D">
              <w:rPr>
                <w:i/>
                <w:iCs/>
                <w:sz w:val="20"/>
                <w:szCs w:val="20"/>
              </w:rPr>
              <w:t xml:space="preserve">     Has worked with a</w:t>
            </w:r>
            <w:r>
              <w:rPr>
                <w:i/>
                <w:iCs/>
                <w:sz w:val="20"/>
                <w:szCs w:val="20"/>
              </w:rPr>
              <w:t>n MHP</w:t>
            </w:r>
            <w:r w:rsidRPr="00C72C0D">
              <w:rPr>
                <w:i/>
                <w:iCs/>
                <w:sz w:val="20"/>
                <w:szCs w:val="20"/>
              </w:rPr>
              <w:t xml:space="preserve"> in</w:t>
            </w:r>
            <w:r>
              <w:rPr>
                <w:i/>
                <w:iCs/>
                <w:sz w:val="20"/>
                <w:szCs w:val="20"/>
              </w:rPr>
              <w:t xml:space="preserve"> </w:t>
            </w:r>
            <w:r w:rsidRPr="00C72C0D">
              <w:rPr>
                <w:i/>
                <w:iCs/>
                <w:sz w:val="20"/>
                <w:szCs w:val="20"/>
              </w:rPr>
              <w:t>the past (not currently)</w:t>
            </w:r>
          </w:p>
        </w:tc>
        <w:tc>
          <w:tcPr>
            <w:tcW w:w="1260" w:type="dxa"/>
            <w:tcBorders>
              <w:top w:val="nil"/>
              <w:left w:val="nil"/>
              <w:bottom w:val="nil"/>
              <w:right w:val="nil"/>
            </w:tcBorders>
            <w:vAlign w:val="center"/>
          </w:tcPr>
          <w:p w14:paraId="380FBDDE" w14:textId="77777777" w:rsidR="004829B4" w:rsidRDefault="004829B4" w:rsidP="009A2130">
            <w:pPr>
              <w:spacing w:after="160"/>
              <w:contextualSpacing/>
              <w:jc w:val="center"/>
              <w:rPr>
                <w:sz w:val="20"/>
                <w:szCs w:val="20"/>
              </w:rPr>
            </w:pPr>
          </w:p>
        </w:tc>
        <w:tc>
          <w:tcPr>
            <w:tcW w:w="900" w:type="dxa"/>
            <w:tcBorders>
              <w:top w:val="nil"/>
              <w:left w:val="nil"/>
              <w:bottom w:val="nil"/>
              <w:right w:val="nil"/>
            </w:tcBorders>
          </w:tcPr>
          <w:p w14:paraId="4EF3C7F0" w14:textId="77777777" w:rsidR="004829B4" w:rsidRPr="00C72C0D" w:rsidRDefault="004829B4" w:rsidP="009A2130">
            <w:pPr>
              <w:spacing w:after="160"/>
              <w:contextualSpacing/>
              <w:jc w:val="center"/>
              <w:rPr>
                <w:sz w:val="20"/>
                <w:szCs w:val="20"/>
              </w:rPr>
            </w:pPr>
            <w:r>
              <w:rPr>
                <w:sz w:val="20"/>
                <w:szCs w:val="20"/>
              </w:rPr>
              <w:t>-0.35</w:t>
            </w:r>
          </w:p>
        </w:tc>
        <w:tc>
          <w:tcPr>
            <w:tcW w:w="1260" w:type="dxa"/>
            <w:tcBorders>
              <w:top w:val="nil"/>
              <w:left w:val="nil"/>
              <w:bottom w:val="nil"/>
              <w:right w:val="nil"/>
            </w:tcBorders>
          </w:tcPr>
          <w:p w14:paraId="794A174E" w14:textId="77777777" w:rsidR="004829B4" w:rsidRPr="00C72C0D" w:rsidRDefault="004829B4" w:rsidP="009A2130">
            <w:pPr>
              <w:spacing w:after="160"/>
              <w:contextualSpacing/>
              <w:jc w:val="center"/>
              <w:rPr>
                <w:sz w:val="20"/>
                <w:szCs w:val="20"/>
              </w:rPr>
            </w:pPr>
            <w:r>
              <w:rPr>
                <w:sz w:val="20"/>
                <w:szCs w:val="20"/>
              </w:rPr>
              <w:t>0.09</w:t>
            </w:r>
          </w:p>
        </w:tc>
        <w:tc>
          <w:tcPr>
            <w:tcW w:w="1260" w:type="dxa"/>
            <w:tcBorders>
              <w:top w:val="nil"/>
              <w:left w:val="nil"/>
              <w:bottom w:val="nil"/>
              <w:right w:val="nil"/>
            </w:tcBorders>
          </w:tcPr>
          <w:p w14:paraId="2A6CF25D" w14:textId="77777777" w:rsidR="004829B4" w:rsidRPr="00C72C0D" w:rsidRDefault="004829B4" w:rsidP="009A2130">
            <w:pPr>
              <w:spacing w:after="160"/>
              <w:contextualSpacing/>
              <w:jc w:val="center"/>
              <w:rPr>
                <w:sz w:val="20"/>
                <w:szCs w:val="20"/>
              </w:rPr>
            </w:pPr>
            <w:r>
              <w:rPr>
                <w:sz w:val="20"/>
                <w:szCs w:val="20"/>
              </w:rPr>
              <w:t>0.70</w:t>
            </w:r>
          </w:p>
        </w:tc>
        <w:tc>
          <w:tcPr>
            <w:tcW w:w="1080" w:type="dxa"/>
            <w:tcBorders>
              <w:top w:val="nil"/>
              <w:left w:val="nil"/>
              <w:bottom w:val="nil"/>
              <w:right w:val="nil"/>
            </w:tcBorders>
          </w:tcPr>
          <w:p w14:paraId="309AAA56" w14:textId="77777777" w:rsidR="004829B4" w:rsidRPr="00C72C0D" w:rsidRDefault="004829B4" w:rsidP="009A2130">
            <w:pPr>
              <w:spacing w:after="160"/>
              <w:contextualSpacing/>
              <w:jc w:val="center"/>
              <w:rPr>
                <w:sz w:val="20"/>
                <w:szCs w:val="20"/>
              </w:rPr>
            </w:pPr>
            <w:r w:rsidRPr="00EC7CFF">
              <w:rPr>
                <w:sz w:val="20"/>
                <w:szCs w:val="20"/>
              </w:rPr>
              <w:t xml:space="preserve"> </w:t>
            </w:r>
            <w:r>
              <w:rPr>
                <w:sz w:val="20"/>
                <w:szCs w:val="20"/>
              </w:rPr>
              <w:t>0.56</w:t>
            </w:r>
          </w:p>
        </w:tc>
        <w:tc>
          <w:tcPr>
            <w:tcW w:w="1080" w:type="dxa"/>
            <w:tcBorders>
              <w:top w:val="nil"/>
              <w:left w:val="nil"/>
              <w:bottom w:val="nil"/>
              <w:right w:val="nil"/>
            </w:tcBorders>
          </w:tcPr>
          <w:p w14:paraId="388562D6" w14:textId="77777777" w:rsidR="004829B4" w:rsidRPr="00C72C0D" w:rsidRDefault="004829B4" w:rsidP="009A2130">
            <w:pPr>
              <w:spacing w:after="160"/>
              <w:contextualSpacing/>
              <w:jc w:val="center"/>
              <w:rPr>
                <w:sz w:val="20"/>
                <w:szCs w:val="20"/>
              </w:rPr>
            </w:pPr>
            <w:r>
              <w:rPr>
                <w:sz w:val="20"/>
                <w:szCs w:val="20"/>
              </w:rPr>
              <w:t>0.88</w:t>
            </w:r>
          </w:p>
        </w:tc>
        <w:tc>
          <w:tcPr>
            <w:tcW w:w="1170" w:type="dxa"/>
            <w:tcBorders>
              <w:top w:val="nil"/>
              <w:left w:val="nil"/>
              <w:bottom w:val="nil"/>
              <w:right w:val="nil"/>
            </w:tcBorders>
          </w:tcPr>
          <w:p w14:paraId="702D6B0E" w14:textId="77777777" w:rsidR="004829B4" w:rsidRPr="00C72C0D" w:rsidRDefault="004829B4" w:rsidP="009A2130">
            <w:pPr>
              <w:spacing w:after="160"/>
              <w:contextualSpacing/>
              <w:jc w:val="center"/>
              <w:rPr>
                <w:sz w:val="20"/>
                <w:szCs w:val="20"/>
              </w:rPr>
            </w:pPr>
            <w:r>
              <w:rPr>
                <w:sz w:val="20"/>
                <w:szCs w:val="20"/>
              </w:rPr>
              <w:t>.005**</w:t>
            </w:r>
          </w:p>
        </w:tc>
      </w:tr>
      <w:tr w:rsidR="004829B4" w:rsidRPr="00C72C0D" w14:paraId="33954FA6" w14:textId="77777777" w:rsidTr="009A2130">
        <w:trPr>
          <w:trHeight w:val="109"/>
        </w:trPr>
        <w:tc>
          <w:tcPr>
            <w:tcW w:w="4770" w:type="dxa"/>
            <w:tcBorders>
              <w:top w:val="nil"/>
              <w:left w:val="nil"/>
              <w:bottom w:val="nil"/>
              <w:right w:val="nil"/>
            </w:tcBorders>
            <w:vAlign w:val="center"/>
          </w:tcPr>
          <w:p w14:paraId="1AFE0292" w14:textId="77777777" w:rsidR="004829B4" w:rsidRPr="00C72C0D" w:rsidRDefault="004829B4" w:rsidP="009A2130">
            <w:pPr>
              <w:spacing w:after="160"/>
              <w:contextualSpacing/>
              <w:rPr>
                <w:sz w:val="20"/>
                <w:szCs w:val="20"/>
              </w:rPr>
            </w:pPr>
            <w:r>
              <w:rPr>
                <w:sz w:val="20"/>
                <w:szCs w:val="20"/>
              </w:rPr>
              <w:t>Weekly e</w:t>
            </w:r>
            <w:r w:rsidRPr="00C72C0D">
              <w:rPr>
                <w:sz w:val="20"/>
                <w:szCs w:val="20"/>
              </w:rPr>
              <w:t>mail-tips</w:t>
            </w:r>
            <w:r>
              <w:rPr>
                <w:sz w:val="20"/>
                <w:szCs w:val="20"/>
              </w:rPr>
              <w:t xml:space="preserve"> (Declined email-tips)</w:t>
            </w:r>
          </w:p>
        </w:tc>
        <w:tc>
          <w:tcPr>
            <w:tcW w:w="1260" w:type="dxa"/>
            <w:tcBorders>
              <w:top w:val="nil"/>
              <w:left w:val="nil"/>
              <w:bottom w:val="nil"/>
              <w:right w:val="nil"/>
            </w:tcBorders>
            <w:vAlign w:val="center"/>
          </w:tcPr>
          <w:p w14:paraId="1DB557BC" w14:textId="77777777" w:rsidR="004829B4" w:rsidRPr="00EC7CFF" w:rsidRDefault="004829B4" w:rsidP="009A2130">
            <w:pPr>
              <w:spacing w:after="160"/>
              <w:contextualSpacing/>
              <w:jc w:val="center"/>
              <w:rPr>
                <w:sz w:val="20"/>
                <w:szCs w:val="20"/>
              </w:rPr>
            </w:pPr>
            <w:r>
              <w:rPr>
                <w:sz w:val="20"/>
                <w:szCs w:val="20"/>
              </w:rPr>
              <w:t>.029</w:t>
            </w:r>
          </w:p>
        </w:tc>
        <w:tc>
          <w:tcPr>
            <w:tcW w:w="900" w:type="dxa"/>
            <w:tcBorders>
              <w:top w:val="nil"/>
              <w:left w:val="nil"/>
              <w:bottom w:val="nil"/>
              <w:right w:val="nil"/>
            </w:tcBorders>
          </w:tcPr>
          <w:p w14:paraId="50F37FB8"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260" w:type="dxa"/>
            <w:tcBorders>
              <w:top w:val="nil"/>
              <w:left w:val="nil"/>
              <w:bottom w:val="nil"/>
              <w:right w:val="nil"/>
            </w:tcBorders>
          </w:tcPr>
          <w:p w14:paraId="28778711"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260" w:type="dxa"/>
            <w:tcBorders>
              <w:top w:val="nil"/>
              <w:left w:val="nil"/>
              <w:bottom w:val="nil"/>
              <w:right w:val="nil"/>
            </w:tcBorders>
          </w:tcPr>
          <w:p w14:paraId="0C856D1F"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080" w:type="dxa"/>
            <w:tcBorders>
              <w:top w:val="nil"/>
              <w:left w:val="nil"/>
              <w:bottom w:val="nil"/>
              <w:right w:val="nil"/>
            </w:tcBorders>
          </w:tcPr>
          <w:p w14:paraId="75B7FED9"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080" w:type="dxa"/>
            <w:tcBorders>
              <w:top w:val="nil"/>
              <w:left w:val="nil"/>
              <w:bottom w:val="nil"/>
              <w:right w:val="nil"/>
            </w:tcBorders>
          </w:tcPr>
          <w:p w14:paraId="2EB8BAB4" w14:textId="77777777" w:rsidR="004829B4" w:rsidRPr="00C72C0D" w:rsidRDefault="004829B4" w:rsidP="009A2130">
            <w:pPr>
              <w:spacing w:after="160"/>
              <w:contextualSpacing/>
              <w:jc w:val="center"/>
              <w:rPr>
                <w:sz w:val="20"/>
                <w:szCs w:val="20"/>
              </w:rPr>
            </w:pPr>
            <w:r w:rsidRPr="00EC7CFF">
              <w:rPr>
                <w:sz w:val="20"/>
                <w:szCs w:val="20"/>
              </w:rPr>
              <w:t xml:space="preserve"> </w:t>
            </w:r>
          </w:p>
        </w:tc>
        <w:tc>
          <w:tcPr>
            <w:tcW w:w="1170" w:type="dxa"/>
            <w:tcBorders>
              <w:top w:val="nil"/>
              <w:left w:val="nil"/>
              <w:bottom w:val="nil"/>
              <w:right w:val="nil"/>
            </w:tcBorders>
          </w:tcPr>
          <w:p w14:paraId="7FDF4635" w14:textId="77777777" w:rsidR="004829B4" w:rsidRPr="00C72C0D" w:rsidRDefault="004829B4" w:rsidP="009A2130">
            <w:pPr>
              <w:spacing w:after="160"/>
              <w:contextualSpacing/>
              <w:jc w:val="center"/>
              <w:rPr>
                <w:sz w:val="20"/>
                <w:szCs w:val="20"/>
              </w:rPr>
            </w:pPr>
            <w:r w:rsidRPr="00EC7CFF">
              <w:rPr>
                <w:sz w:val="20"/>
                <w:szCs w:val="20"/>
              </w:rPr>
              <w:t xml:space="preserve"> </w:t>
            </w:r>
          </w:p>
        </w:tc>
      </w:tr>
      <w:tr w:rsidR="004829B4" w:rsidRPr="00C72C0D" w14:paraId="00B13D6A" w14:textId="77777777" w:rsidTr="009A2130">
        <w:trPr>
          <w:trHeight w:val="109"/>
        </w:trPr>
        <w:tc>
          <w:tcPr>
            <w:tcW w:w="4770" w:type="dxa"/>
            <w:tcBorders>
              <w:top w:val="nil"/>
              <w:left w:val="nil"/>
              <w:bottom w:val="nil"/>
              <w:right w:val="nil"/>
            </w:tcBorders>
            <w:vAlign w:val="center"/>
          </w:tcPr>
          <w:p w14:paraId="021D5878" w14:textId="77777777" w:rsidR="004829B4" w:rsidRPr="000F2F98" w:rsidRDefault="004829B4" w:rsidP="009A2130">
            <w:pPr>
              <w:spacing w:after="160"/>
              <w:contextualSpacing/>
              <w:rPr>
                <w:i/>
                <w:iCs/>
                <w:sz w:val="20"/>
                <w:szCs w:val="20"/>
              </w:rPr>
            </w:pPr>
            <w:r>
              <w:rPr>
                <w:sz w:val="20"/>
                <w:szCs w:val="20"/>
              </w:rPr>
              <w:t xml:space="preserve">     </w:t>
            </w:r>
            <w:r w:rsidRPr="000F2F98">
              <w:rPr>
                <w:i/>
                <w:iCs/>
                <w:sz w:val="20"/>
                <w:szCs w:val="20"/>
              </w:rPr>
              <w:t>Signed up for email-tips</w:t>
            </w:r>
          </w:p>
        </w:tc>
        <w:tc>
          <w:tcPr>
            <w:tcW w:w="1260" w:type="dxa"/>
            <w:tcBorders>
              <w:top w:val="nil"/>
              <w:left w:val="nil"/>
              <w:bottom w:val="nil"/>
              <w:right w:val="nil"/>
            </w:tcBorders>
            <w:vAlign w:val="center"/>
          </w:tcPr>
          <w:p w14:paraId="3AD799CF" w14:textId="77777777" w:rsidR="004829B4" w:rsidRDefault="004829B4" w:rsidP="009A2130">
            <w:pPr>
              <w:spacing w:after="160"/>
              <w:contextualSpacing/>
              <w:jc w:val="center"/>
              <w:rPr>
                <w:sz w:val="20"/>
                <w:szCs w:val="20"/>
              </w:rPr>
            </w:pPr>
          </w:p>
        </w:tc>
        <w:tc>
          <w:tcPr>
            <w:tcW w:w="900" w:type="dxa"/>
            <w:tcBorders>
              <w:top w:val="nil"/>
              <w:left w:val="nil"/>
              <w:bottom w:val="nil"/>
              <w:right w:val="nil"/>
            </w:tcBorders>
          </w:tcPr>
          <w:p w14:paraId="7C34661A" w14:textId="77777777" w:rsidR="004829B4" w:rsidRPr="00C72C0D" w:rsidRDefault="004829B4" w:rsidP="009A2130">
            <w:pPr>
              <w:spacing w:after="160"/>
              <w:contextualSpacing/>
              <w:jc w:val="center"/>
              <w:rPr>
                <w:sz w:val="20"/>
                <w:szCs w:val="20"/>
              </w:rPr>
            </w:pPr>
            <w:r>
              <w:rPr>
                <w:sz w:val="20"/>
                <w:szCs w:val="20"/>
              </w:rPr>
              <w:t>-0.61</w:t>
            </w:r>
          </w:p>
        </w:tc>
        <w:tc>
          <w:tcPr>
            <w:tcW w:w="1260" w:type="dxa"/>
            <w:tcBorders>
              <w:top w:val="nil"/>
              <w:left w:val="nil"/>
              <w:bottom w:val="nil"/>
              <w:right w:val="nil"/>
            </w:tcBorders>
          </w:tcPr>
          <w:p w14:paraId="013DE45E" w14:textId="77777777" w:rsidR="004829B4" w:rsidRPr="00C72C0D" w:rsidRDefault="004829B4" w:rsidP="009A2130">
            <w:pPr>
              <w:spacing w:after="160"/>
              <w:contextualSpacing/>
              <w:jc w:val="center"/>
              <w:rPr>
                <w:sz w:val="20"/>
                <w:szCs w:val="20"/>
              </w:rPr>
            </w:pPr>
            <w:r>
              <w:rPr>
                <w:sz w:val="20"/>
                <w:szCs w:val="20"/>
              </w:rPr>
              <w:t>0.12</w:t>
            </w:r>
          </w:p>
        </w:tc>
        <w:tc>
          <w:tcPr>
            <w:tcW w:w="1260" w:type="dxa"/>
            <w:tcBorders>
              <w:top w:val="nil"/>
              <w:left w:val="nil"/>
              <w:bottom w:val="nil"/>
              <w:right w:val="nil"/>
            </w:tcBorders>
          </w:tcPr>
          <w:p w14:paraId="3E6E936F" w14:textId="77777777" w:rsidR="004829B4" w:rsidRPr="00C72C0D" w:rsidRDefault="004829B4" w:rsidP="009A2130">
            <w:pPr>
              <w:spacing w:after="160"/>
              <w:contextualSpacing/>
              <w:jc w:val="center"/>
              <w:rPr>
                <w:sz w:val="20"/>
                <w:szCs w:val="20"/>
              </w:rPr>
            </w:pPr>
            <w:r>
              <w:rPr>
                <w:sz w:val="20"/>
                <w:szCs w:val="20"/>
              </w:rPr>
              <w:t>0.54</w:t>
            </w:r>
            <w:r w:rsidRPr="00EC7CFF">
              <w:rPr>
                <w:sz w:val="20"/>
                <w:szCs w:val="20"/>
              </w:rPr>
              <w:t xml:space="preserve"> </w:t>
            </w:r>
          </w:p>
        </w:tc>
        <w:tc>
          <w:tcPr>
            <w:tcW w:w="1080" w:type="dxa"/>
            <w:tcBorders>
              <w:top w:val="nil"/>
              <w:left w:val="nil"/>
              <w:bottom w:val="nil"/>
              <w:right w:val="nil"/>
            </w:tcBorders>
          </w:tcPr>
          <w:p w14:paraId="331AE663" w14:textId="77777777" w:rsidR="004829B4" w:rsidRPr="00C72C0D" w:rsidRDefault="004829B4" w:rsidP="009A2130">
            <w:pPr>
              <w:spacing w:after="160"/>
              <w:contextualSpacing/>
              <w:jc w:val="center"/>
              <w:rPr>
                <w:sz w:val="20"/>
                <w:szCs w:val="20"/>
              </w:rPr>
            </w:pPr>
            <w:r>
              <w:rPr>
                <w:sz w:val="20"/>
                <w:szCs w:val="20"/>
              </w:rPr>
              <w:t>0.43</w:t>
            </w:r>
            <w:r w:rsidRPr="00EC7CFF">
              <w:rPr>
                <w:sz w:val="20"/>
                <w:szCs w:val="20"/>
              </w:rPr>
              <w:t xml:space="preserve"> </w:t>
            </w:r>
          </w:p>
        </w:tc>
        <w:tc>
          <w:tcPr>
            <w:tcW w:w="1080" w:type="dxa"/>
            <w:tcBorders>
              <w:top w:val="nil"/>
              <w:left w:val="nil"/>
              <w:bottom w:val="nil"/>
              <w:right w:val="nil"/>
            </w:tcBorders>
          </w:tcPr>
          <w:p w14:paraId="2A0539D6" w14:textId="77777777" w:rsidR="004829B4" w:rsidRPr="00C72C0D" w:rsidRDefault="004829B4" w:rsidP="009A2130">
            <w:pPr>
              <w:spacing w:after="160"/>
              <w:contextualSpacing/>
              <w:jc w:val="center"/>
              <w:rPr>
                <w:sz w:val="20"/>
                <w:szCs w:val="20"/>
              </w:rPr>
            </w:pPr>
            <w:r>
              <w:rPr>
                <w:sz w:val="20"/>
                <w:szCs w:val="20"/>
              </w:rPr>
              <w:t>0.69</w:t>
            </w:r>
            <w:r w:rsidRPr="00EC7CFF">
              <w:rPr>
                <w:sz w:val="20"/>
                <w:szCs w:val="20"/>
              </w:rPr>
              <w:t xml:space="preserve"> </w:t>
            </w:r>
          </w:p>
        </w:tc>
        <w:tc>
          <w:tcPr>
            <w:tcW w:w="1170" w:type="dxa"/>
            <w:tcBorders>
              <w:top w:val="nil"/>
              <w:left w:val="nil"/>
              <w:bottom w:val="nil"/>
              <w:right w:val="nil"/>
            </w:tcBorders>
          </w:tcPr>
          <w:p w14:paraId="2588805D" w14:textId="77777777" w:rsidR="004829B4" w:rsidRPr="00C72C0D" w:rsidRDefault="004829B4" w:rsidP="009A2130">
            <w:pPr>
              <w:spacing w:after="160"/>
              <w:contextualSpacing/>
              <w:jc w:val="center"/>
              <w:rPr>
                <w:sz w:val="20"/>
                <w:szCs w:val="20"/>
              </w:rPr>
            </w:pPr>
            <w:r>
              <w:rPr>
                <w:sz w:val="20"/>
                <w:szCs w:val="20"/>
              </w:rPr>
              <w:t>&lt; .001***</w:t>
            </w:r>
          </w:p>
        </w:tc>
      </w:tr>
      <w:tr w:rsidR="004829B4" w:rsidRPr="00C72C0D" w14:paraId="4594B9B4" w14:textId="77777777" w:rsidTr="009A2130">
        <w:trPr>
          <w:trHeight w:val="109"/>
        </w:trPr>
        <w:tc>
          <w:tcPr>
            <w:tcW w:w="4770" w:type="dxa"/>
            <w:tcBorders>
              <w:top w:val="nil"/>
              <w:left w:val="nil"/>
              <w:bottom w:val="nil"/>
              <w:right w:val="nil"/>
            </w:tcBorders>
            <w:vAlign w:val="center"/>
          </w:tcPr>
          <w:p w14:paraId="2A8DC5E1" w14:textId="77777777" w:rsidR="004829B4" w:rsidRPr="000F2F98" w:rsidRDefault="004829B4" w:rsidP="009A2130">
            <w:pPr>
              <w:spacing w:after="160"/>
              <w:contextualSpacing/>
              <w:rPr>
                <w:i/>
                <w:iCs/>
                <w:sz w:val="20"/>
                <w:szCs w:val="20"/>
              </w:rPr>
            </w:pPr>
            <w:r>
              <w:rPr>
                <w:sz w:val="20"/>
                <w:szCs w:val="20"/>
              </w:rPr>
              <w:t xml:space="preserve">     </w:t>
            </w:r>
            <w:r>
              <w:rPr>
                <w:i/>
                <w:iCs/>
                <w:sz w:val="20"/>
                <w:szCs w:val="20"/>
              </w:rPr>
              <w:t>Was not offered email-tips</w:t>
            </w:r>
          </w:p>
        </w:tc>
        <w:tc>
          <w:tcPr>
            <w:tcW w:w="1260" w:type="dxa"/>
            <w:tcBorders>
              <w:top w:val="nil"/>
              <w:left w:val="nil"/>
              <w:bottom w:val="nil"/>
              <w:right w:val="nil"/>
            </w:tcBorders>
            <w:vAlign w:val="center"/>
          </w:tcPr>
          <w:p w14:paraId="1BED0F53" w14:textId="77777777" w:rsidR="004829B4" w:rsidRDefault="004829B4" w:rsidP="009A2130">
            <w:pPr>
              <w:spacing w:after="160"/>
              <w:contextualSpacing/>
              <w:jc w:val="center"/>
              <w:rPr>
                <w:sz w:val="20"/>
                <w:szCs w:val="20"/>
              </w:rPr>
            </w:pPr>
          </w:p>
        </w:tc>
        <w:tc>
          <w:tcPr>
            <w:tcW w:w="900" w:type="dxa"/>
            <w:tcBorders>
              <w:top w:val="nil"/>
              <w:left w:val="nil"/>
              <w:bottom w:val="nil"/>
              <w:right w:val="nil"/>
            </w:tcBorders>
          </w:tcPr>
          <w:p w14:paraId="7071A62C" w14:textId="77777777" w:rsidR="004829B4" w:rsidRPr="00C72C0D" w:rsidRDefault="004829B4" w:rsidP="009A2130">
            <w:pPr>
              <w:spacing w:after="160"/>
              <w:contextualSpacing/>
              <w:jc w:val="center"/>
              <w:rPr>
                <w:sz w:val="20"/>
                <w:szCs w:val="20"/>
              </w:rPr>
            </w:pPr>
            <w:r>
              <w:rPr>
                <w:sz w:val="20"/>
                <w:szCs w:val="20"/>
              </w:rPr>
              <w:t>-0.50</w:t>
            </w:r>
          </w:p>
        </w:tc>
        <w:tc>
          <w:tcPr>
            <w:tcW w:w="1260" w:type="dxa"/>
            <w:tcBorders>
              <w:top w:val="nil"/>
              <w:left w:val="nil"/>
              <w:bottom w:val="nil"/>
              <w:right w:val="nil"/>
            </w:tcBorders>
          </w:tcPr>
          <w:p w14:paraId="5300E553" w14:textId="77777777" w:rsidR="004829B4" w:rsidRPr="00C72C0D" w:rsidRDefault="004829B4" w:rsidP="009A2130">
            <w:pPr>
              <w:spacing w:after="160"/>
              <w:contextualSpacing/>
              <w:jc w:val="center"/>
              <w:rPr>
                <w:sz w:val="20"/>
                <w:szCs w:val="20"/>
              </w:rPr>
            </w:pPr>
            <w:r>
              <w:rPr>
                <w:sz w:val="20"/>
                <w:szCs w:val="20"/>
              </w:rPr>
              <w:t>0.12</w:t>
            </w:r>
          </w:p>
        </w:tc>
        <w:tc>
          <w:tcPr>
            <w:tcW w:w="1260" w:type="dxa"/>
            <w:tcBorders>
              <w:top w:val="nil"/>
              <w:left w:val="nil"/>
              <w:bottom w:val="nil"/>
              <w:right w:val="nil"/>
            </w:tcBorders>
          </w:tcPr>
          <w:p w14:paraId="646A82A2" w14:textId="77777777" w:rsidR="004829B4" w:rsidRPr="00C72C0D" w:rsidRDefault="004829B4" w:rsidP="009A2130">
            <w:pPr>
              <w:spacing w:after="160"/>
              <w:contextualSpacing/>
              <w:jc w:val="center"/>
              <w:rPr>
                <w:sz w:val="20"/>
                <w:szCs w:val="20"/>
              </w:rPr>
            </w:pPr>
            <w:r>
              <w:rPr>
                <w:sz w:val="20"/>
                <w:szCs w:val="20"/>
              </w:rPr>
              <w:t>0.61</w:t>
            </w:r>
          </w:p>
        </w:tc>
        <w:tc>
          <w:tcPr>
            <w:tcW w:w="1080" w:type="dxa"/>
            <w:tcBorders>
              <w:top w:val="nil"/>
              <w:left w:val="nil"/>
              <w:bottom w:val="nil"/>
              <w:right w:val="nil"/>
            </w:tcBorders>
          </w:tcPr>
          <w:p w14:paraId="652266C1" w14:textId="77777777" w:rsidR="004829B4" w:rsidRPr="00C72C0D" w:rsidRDefault="004829B4" w:rsidP="009A2130">
            <w:pPr>
              <w:spacing w:after="160"/>
              <w:contextualSpacing/>
              <w:jc w:val="center"/>
              <w:rPr>
                <w:sz w:val="20"/>
                <w:szCs w:val="20"/>
              </w:rPr>
            </w:pPr>
            <w:r>
              <w:rPr>
                <w:sz w:val="20"/>
                <w:szCs w:val="20"/>
              </w:rPr>
              <w:t>0.48</w:t>
            </w:r>
            <w:r w:rsidRPr="00EC7CFF">
              <w:rPr>
                <w:sz w:val="20"/>
                <w:szCs w:val="20"/>
              </w:rPr>
              <w:t xml:space="preserve"> </w:t>
            </w:r>
          </w:p>
        </w:tc>
        <w:tc>
          <w:tcPr>
            <w:tcW w:w="1080" w:type="dxa"/>
            <w:tcBorders>
              <w:top w:val="nil"/>
              <w:left w:val="nil"/>
              <w:bottom w:val="nil"/>
              <w:right w:val="nil"/>
            </w:tcBorders>
          </w:tcPr>
          <w:p w14:paraId="73CCD526" w14:textId="77777777" w:rsidR="004829B4" w:rsidRPr="00C72C0D" w:rsidRDefault="004829B4" w:rsidP="009A2130">
            <w:pPr>
              <w:spacing w:after="160"/>
              <w:contextualSpacing/>
              <w:jc w:val="center"/>
              <w:rPr>
                <w:sz w:val="20"/>
                <w:szCs w:val="20"/>
              </w:rPr>
            </w:pPr>
            <w:r>
              <w:rPr>
                <w:sz w:val="20"/>
                <w:szCs w:val="20"/>
              </w:rPr>
              <w:t>0.77</w:t>
            </w:r>
            <w:r w:rsidRPr="00EC7CFF">
              <w:rPr>
                <w:sz w:val="20"/>
                <w:szCs w:val="20"/>
              </w:rPr>
              <w:t xml:space="preserve"> </w:t>
            </w:r>
          </w:p>
        </w:tc>
        <w:tc>
          <w:tcPr>
            <w:tcW w:w="1170" w:type="dxa"/>
            <w:tcBorders>
              <w:top w:val="nil"/>
              <w:left w:val="nil"/>
              <w:bottom w:val="nil"/>
              <w:right w:val="nil"/>
            </w:tcBorders>
          </w:tcPr>
          <w:p w14:paraId="141A073F" w14:textId="77777777" w:rsidR="004829B4" w:rsidRPr="00C72C0D" w:rsidRDefault="004829B4" w:rsidP="009A2130">
            <w:pPr>
              <w:spacing w:after="160"/>
              <w:contextualSpacing/>
              <w:jc w:val="center"/>
              <w:rPr>
                <w:sz w:val="20"/>
                <w:szCs w:val="20"/>
              </w:rPr>
            </w:pPr>
            <w:r>
              <w:rPr>
                <w:sz w:val="20"/>
                <w:szCs w:val="20"/>
              </w:rPr>
              <w:t>&lt; .001***</w:t>
            </w:r>
          </w:p>
        </w:tc>
      </w:tr>
      <w:tr w:rsidR="004829B4" w:rsidRPr="00C72C0D" w14:paraId="032726DA" w14:textId="77777777" w:rsidTr="009A2130">
        <w:trPr>
          <w:trHeight w:val="109"/>
        </w:trPr>
        <w:tc>
          <w:tcPr>
            <w:tcW w:w="4770" w:type="dxa"/>
            <w:tcBorders>
              <w:top w:val="nil"/>
              <w:left w:val="nil"/>
              <w:bottom w:val="nil"/>
              <w:right w:val="nil"/>
            </w:tcBorders>
            <w:vAlign w:val="center"/>
          </w:tcPr>
          <w:p w14:paraId="75A5029B" w14:textId="77777777" w:rsidR="004829B4" w:rsidRPr="00C72C0D" w:rsidRDefault="004829B4" w:rsidP="009A2130">
            <w:pPr>
              <w:spacing w:after="160"/>
              <w:contextualSpacing/>
              <w:rPr>
                <w:sz w:val="20"/>
                <w:szCs w:val="20"/>
              </w:rPr>
            </w:pPr>
            <w:r w:rsidRPr="00C72C0D">
              <w:rPr>
                <w:sz w:val="20"/>
                <w:szCs w:val="20"/>
              </w:rPr>
              <w:t>Depression</w:t>
            </w:r>
          </w:p>
        </w:tc>
        <w:tc>
          <w:tcPr>
            <w:tcW w:w="1260" w:type="dxa"/>
            <w:tcBorders>
              <w:top w:val="nil"/>
              <w:left w:val="nil"/>
              <w:bottom w:val="nil"/>
              <w:right w:val="nil"/>
            </w:tcBorders>
            <w:vAlign w:val="center"/>
          </w:tcPr>
          <w:p w14:paraId="5661FACE" w14:textId="77777777" w:rsidR="004829B4" w:rsidRDefault="004829B4" w:rsidP="009A2130">
            <w:pPr>
              <w:spacing w:after="160"/>
              <w:contextualSpacing/>
              <w:jc w:val="center"/>
              <w:rPr>
                <w:sz w:val="20"/>
                <w:szCs w:val="20"/>
              </w:rPr>
            </w:pPr>
            <w:r>
              <w:rPr>
                <w:sz w:val="20"/>
                <w:szCs w:val="20"/>
              </w:rPr>
              <w:t>.038</w:t>
            </w:r>
          </w:p>
        </w:tc>
        <w:tc>
          <w:tcPr>
            <w:tcW w:w="900" w:type="dxa"/>
            <w:tcBorders>
              <w:top w:val="nil"/>
              <w:left w:val="nil"/>
              <w:bottom w:val="nil"/>
              <w:right w:val="nil"/>
            </w:tcBorders>
          </w:tcPr>
          <w:p w14:paraId="07DF8C7A" w14:textId="77777777" w:rsidR="004829B4" w:rsidRPr="00C72C0D" w:rsidRDefault="004829B4" w:rsidP="009A2130">
            <w:pPr>
              <w:spacing w:after="160"/>
              <w:contextualSpacing/>
              <w:jc w:val="center"/>
              <w:rPr>
                <w:sz w:val="20"/>
                <w:szCs w:val="20"/>
              </w:rPr>
            </w:pPr>
            <w:r>
              <w:rPr>
                <w:sz w:val="20"/>
                <w:szCs w:val="20"/>
              </w:rPr>
              <w:t>-0.06</w:t>
            </w:r>
          </w:p>
        </w:tc>
        <w:tc>
          <w:tcPr>
            <w:tcW w:w="1260" w:type="dxa"/>
            <w:tcBorders>
              <w:top w:val="nil"/>
              <w:left w:val="nil"/>
              <w:bottom w:val="nil"/>
              <w:right w:val="nil"/>
            </w:tcBorders>
          </w:tcPr>
          <w:p w14:paraId="261CDD6B" w14:textId="77777777" w:rsidR="004829B4" w:rsidRPr="00C72C0D" w:rsidRDefault="004829B4" w:rsidP="009A2130">
            <w:pPr>
              <w:spacing w:after="160"/>
              <w:contextualSpacing/>
              <w:jc w:val="center"/>
              <w:rPr>
                <w:sz w:val="20"/>
                <w:szCs w:val="20"/>
              </w:rPr>
            </w:pPr>
            <w:r>
              <w:rPr>
                <w:sz w:val="20"/>
                <w:szCs w:val="20"/>
              </w:rPr>
              <w:t>0.02</w:t>
            </w:r>
          </w:p>
        </w:tc>
        <w:tc>
          <w:tcPr>
            <w:tcW w:w="1260" w:type="dxa"/>
            <w:tcBorders>
              <w:top w:val="nil"/>
              <w:left w:val="nil"/>
              <w:bottom w:val="nil"/>
              <w:right w:val="nil"/>
            </w:tcBorders>
          </w:tcPr>
          <w:p w14:paraId="3C671515" w14:textId="77777777" w:rsidR="004829B4" w:rsidRPr="00C72C0D" w:rsidRDefault="004829B4" w:rsidP="009A2130">
            <w:pPr>
              <w:spacing w:after="160"/>
              <w:contextualSpacing/>
              <w:jc w:val="center"/>
              <w:rPr>
                <w:sz w:val="20"/>
                <w:szCs w:val="20"/>
              </w:rPr>
            </w:pPr>
            <w:r>
              <w:rPr>
                <w:sz w:val="20"/>
                <w:szCs w:val="20"/>
              </w:rPr>
              <w:t>0.94</w:t>
            </w:r>
          </w:p>
        </w:tc>
        <w:tc>
          <w:tcPr>
            <w:tcW w:w="1080" w:type="dxa"/>
            <w:tcBorders>
              <w:top w:val="nil"/>
              <w:left w:val="nil"/>
              <w:bottom w:val="nil"/>
              <w:right w:val="nil"/>
            </w:tcBorders>
          </w:tcPr>
          <w:p w14:paraId="59A09DD8" w14:textId="77777777" w:rsidR="004829B4" w:rsidRPr="00C72C0D" w:rsidRDefault="004829B4" w:rsidP="009A2130">
            <w:pPr>
              <w:spacing w:after="160"/>
              <w:contextualSpacing/>
              <w:jc w:val="center"/>
              <w:rPr>
                <w:sz w:val="20"/>
                <w:szCs w:val="20"/>
              </w:rPr>
            </w:pPr>
            <w:r>
              <w:rPr>
                <w:sz w:val="20"/>
                <w:szCs w:val="20"/>
              </w:rPr>
              <w:t>0.91</w:t>
            </w:r>
            <w:r w:rsidRPr="00EC7CFF">
              <w:rPr>
                <w:sz w:val="20"/>
                <w:szCs w:val="20"/>
              </w:rPr>
              <w:t xml:space="preserve"> </w:t>
            </w:r>
          </w:p>
        </w:tc>
        <w:tc>
          <w:tcPr>
            <w:tcW w:w="1080" w:type="dxa"/>
            <w:tcBorders>
              <w:top w:val="nil"/>
              <w:left w:val="nil"/>
              <w:bottom w:val="nil"/>
              <w:right w:val="nil"/>
            </w:tcBorders>
          </w:tcPr>
          <w:p w14:paraId="01D451CC" w14:textId="77777777" w:rsidR="004829B4" w:rsidRPr="00C72C0D" w:rsidRDefault="004829B4" w:rsidP="009A2130">
            <w:pPr>
              <w:spacing w:after="160"/>
              <w:contextualSpacing/>
              <w:jc w:val="center"/>
              <w:rPr>
                <w:sz w:val="20"/>
                <w:szCs w:val="20"/>
              </w:rPr>
            </w:pPr>
            <w:r>
              <w:rPr>
                <w:sz w:val="20"/>
                <w:szCs w:val="20"/>
              </w:rPr>
              <w:t>0.98</w:t>
            </w:r>
            <w:r w:rsidRPr="00EC7CFF">
              <w:rPr>
                <w:sz w:val="20"/>
                <w:szCs w:val="20"/>
              </w:rPr>
              <w:t xml:space="preserve"> </w:t>
            </w:r>
          </w:p>
        </w:tc>
        <w:tc>
          <w:tcPr>
            <w:tcW w:w="1170" w:type="dxa"/>
            <w:tcBorders>
              <w:top w:val="nil"/>
              <w:left w:val="nil"/>
              <w:bottom w:val="nil"/>
              <w:right w:val="nil"/>
            </w:tcBorders>
          </w:tcPr>
          <w:p w14:paraId="4952A8EB" w14:textId="77777777" w:rsidR="004829B4" w:rsidRPr="00C72C0D" w:rsidRDefault="004829B4" w:rsidP="009A2130">
            <w:pPr>
              <w:spacing w:after="160"/>
              <w:contextualSpacing/>
              <w:jc w:val="center"/>
              <w:rPr>
                <w:sz w:val="20"/>
                <w:szCs w:val="20"/>
              </w:rPr>
            </w:pPr>
            <w:r>
              <w:rPr>
                <w:sz w:val="20"/>
                <w:szCs w:val="20"/>
              </w:rPr>
              <w:t>.001**</w:t>
            </w:r>
          </w:p>
        </w:tc>
      </w:tr>
      <w:tr w:rsidR="004829B4" w:rsidRPr="00C72C0D" w14:paraId="45FF8E37" w14:textId="77777777" w:rsidTr="009A2130">
        <w:trPr>
          <w:trHeight w:val="109"/>
        </w:trPr>
        <w:tc>
          <w:tcPr>
            <w:tcW w:w="4770" w:type="dxa"/>
            <w:tcBorders>
              <w:top w:val="nil"/>
              <w:left w:val="nil"/>
              <w:bottom w:val="single" w:sz="4" w:space="0" w:color="auto"/>
              <w:right w:val="nil"/>
            </w:tcBorders>
            <w:vAlign w:val="center"/>
          </w:tcPr>
          <w:p w14:paraId="100A3DC2" w14:textId="77777777" w:rsidR="004829B4" w:rsidRPr="00C72C0D" w:rsidRDefault="004829B4" w:rsidP="009A2130">
            <w:pPr>
              <w:spacing w:after="160"/>
              <w:contextualSpacing/>
              <w:rPr>
                <w:sz w:val="20"/>
                <w:szCs w:val="20"/>
              </w:rPr>
            </w:pPr>
            <w:r w:rsidRPr="00C72C0D">
              <w:rPr>
                <w:sz w:val="20"/>
                <w:szCs w:val="20"/>
              </w:rPr>
              <w:t>Anxiety</w:t>
            </w:r>
          </w:p>
        </w:tc>
        <w:tc>
          <w:tcPr>
            <w:tcW w:w="1260" w:type="dxa"/>
            <w:tcBorders>
              <w:top w:val="nil"/>
              <w:left w:val="nil"/>
              <w:bottom w:val="single" w:sz="4" w:space="0" w:color="auto"/>
              <w:right w:val="nil"/>
            </w:tcBorders>
            <w:vAlign w:val="center"/>
          </w:tcPr>
          <w:p w14:paraId="73EFF6AB" w14:textId="77777777" w:rsidR="004829B4" w:rsidRDefault="004829B4" w:rsidP="009A2130">
            <w:pPr>
              <w:spacing w:after="160"/>
              <w:contextualSpacing/>
              <w:jc w:val="center"/>
              <w:rPr>
                <w:sz w:val="20"/>
                <w:szCs w:val="20"/>
              </w:rPr>
            </w:pPr>
          </w:p>
        </w:tc>
        <w:tc>
          <w:tcPr>
            <w:tcW w:w="900" w:type="dxa"/>
            <w:tcBorders>
              <w:top w:val="nil"/>
              <w:left w:val="nil"/>
              <w:bottom w:val="single" w:sz="4" w:space="0" w:color="auto"/>
              <w:right w:val="nil"/>
            </w:tcBorders>
          </w:tcPr>
          <w:p w14:paraId="57D701FE" w14:textId="77777777" w:rsidR="004829B4" w:rsidRPr="00C72C0D" w:rsidRDefault="004829B4" w:rsidP="009A2130">
            <w:pPr>
              <w:spacing w:after="160"/>
              <w:contextualSpacing/>
              <w:jc w:val="center"/>
              <w:rPr>
                <w:sz w:val="20"/>
                <w:szCs w:val="20"/>
              </w:rPr>
            </w:pPr>
            <w:r>
              <w:rPr>
                <w:sz w:val="20"/>
                <w:szCs w:val="20"/>
              </w:rPr>
              <w:t>0.00</w:t>
            </w:r>
          </w:p>
        </w:tc>
        <w:tc>
          <w:tcPr>
            <w:tcW w:w="1260" w:type="dxa"/>
            <w:tcBorders>
              <w:top w:val="nil"/>
              <w:left w:val="nil"/>
              <w:bottom w:val="single" w:sz="4" w:space="0" w:color="auto"/>
              <w:right w:val="nil"/>
            </w:tcBorders>
          </w:tcPr>
          <w:p w14:paraId="6E74617C" w14:textId="77777777" w:rsidR="004829B4" w:rsidRPr="00C72C0D" w:rsidRDefault="004829B4" w:rsidP="009A2130">
            <w:pPr>
              <w:spacing w:after="160"/>
              <w:contextualSpacing/>
              <w:jc w:val="center"/>
              <w:rPr>
                <w:sz w:val="20"/>
                <w:szCs w:val="20"/>
              </w:rPr>
            </w:pPr>
            <w:r>
              <w:rPr>
                <w:sz w:val="20"/>
                <w:szCs w:val="20"/>
              </w:rPr>
              <w:t>0.02</w:t>
            </w:r>
          </w:p>
        </w:tc>
        <w:tc>
          <w:tcPr>
            <w:tcW w:w="1260" w:type="dxa"/>
            <w:tcBorders>
              <w:top w:val="nil"/>
              <w:left w:val="nil"/>
              <w:bottom w:val="single" w:sz="4" w:space="0" w:color="auto"/>
              <w:right w:val="nil"/>
            </w:tcBorders>
          </w:tcPr>
          <w:p w14:paraId="01CCC7B0" w14:textId="77777777" w:rsidR="004829B4" w:rsidRPr="00C72C0D" w:rsidRDefault="004829B4" w:rsidP="009A2130">
            <w:pPr>
              <w:spacing w:after="160"/>
              <w:contextualSpacing/>
              <w:jc w:val="center"/>
              <w:rPr>
                <w:sz w:val="20"/>
                <w:szCs w:val="20"/>
              </w:rPr>
            </w:pPr>
            <w:r>
              <w:rPr>
                <w:sz w:val="20"/>
                <w:szCs w:val="20"/>
              </w:rPr>
              <w:t>1.00</w:t>
            </w:r>
          </w:p>
        </w:tc>
        <w:tc>
          <w:tcPr>
            <w:tcW w:w="1080" w:type="dxa"/>
            <w:tcBorders>
              <w:top w:val="nil"/>
              <w:left w:val="nil"/>
              <w:bottom w:val="single" w:sz="4" w:space="0" w:color="auto"/>
              <w:right w:val="nil"/>
            </w:tcBorders>
          </w:tcPr>
          <w:p w14:paraId="28156529" w14:textId="77777777" w:rsidR="004829B4" w:rsidRPr="00C72C0D" w:rsidRDefault="004829B4" w:rsidP="009A2130">
            <w:pPr>
              <w:spacing w:after="160"/>
              <w:contextualSpacing/>
              <w:jc w:val="center"/>
              <w:rPr>
                <w:sz w:val="20"/>
                <w:szCs w:val="20"/>
              </w:rPr>
            </w:pPr>
            <w:r>
              <w:rPr>
                <w:sz w:val="20"/>
                <w:szCs w:val="20"/>
              </w:rPr>
              <w:t>0.97</w:t>
            </w:r>
          </w:p>
        </w:tc>
        <w:tc>
          <w:tcPr>
            <w:tcW w:w="1080" w:type="dxa"/>
            <w:tcBorders>
              <w:top w:val="nil"/>
              <w:left w:val="nil"/>
              <w:bottom w:val="single" w:sz="4" w:space="0" w:color="auto"/>
              <w:right w:val="nil"/>
            </w:tcBorders>
          </w:tcPr>
          <w:p w14:paraId="57D68E8B" w14:textId="77777777" w:rsidR="004829B4" w:rsidRPr="00C72C0D" w:rsidRDefault="004829B4" w:rsidP="009A2130">
            <w:pPr>
              <w:spacing w:after="160"/>
              <w:contextualSpacing/>
              <w:jc w:val="center"/>
              <w:rPr>
                <w:sz w:val="20"/>
                <w:szCs w:val="20"/>
              </w:rPr>
            </w:pPr>
            <w:r>
              <w:rPr>
                <w:sz w:val="20"/>
                <w:szCs w:val="20"/>
              </w:rPr>
              <w:t>1.04</w:t>
            </w:r>
            <w:r w:rsidRPr="00EC7CFF">
              <w:rPr>
                <w:sz w:val="20"/>
                <w:szCs w:val="20"/>
              </w:rPr>
              <w:t xml:space="preserve"> </w:t>
            </w:r>
          </w:p>
        </w:tc>
        <w:tc>
          <w:tcPr>
            <w:tcW w:w="1170" w:type="dxa"/>
            <w:tcBorders>
              <w:top w:val="nil"/>
              <w:left w:val="nil"/>
              <w:bottom w:val="single" w:sz="4" w:space="0" w:color="auto"/>
              <w:right w:val="nil"/>
            </w:tcBorders>
          </w:tcPr>
          <w:p w14:paraId="5D274143" w14:textId="77777777" w:rsidR="004829B4" w:rsidRPr="00C72C0D" w:rsidRDefault="004829B4" w:rsidP="009A2130">
            <w:pPr>
              <w:spacing w:after="160"/>
              <w:contextualSpacing/>
              <w:jc w:val="center"/>
              <w:rPr>
                <w:sz w:val="20"/>
                <w:szCs w:val="20"/>
              </w:rPr>
            </w:pPr>
            <w:r>
              <w:rPr>
                <w:sz w:val="20"/>
                <w:szCs w:val="20"/>
              </w:rPr>
              <w:t>.840</w:t>
            </w:r>
          </w:p>
        </w:tc>
      </w:tr>
      <w:tr w:rsidR="004829B4" w:rsidRPr="00C72C0D" w14:paraId="2FDF34DB" w14:textId="77777777" w:rsidTr="009A2130">
        <w:trPr>
          <w:trHeight w:val="109"/>
        </w:trPr>
        <w:tc>
          <w:tcPr>
            <w:tcW w:w="12780" w:type="dxa"/>
            <w:gridSpan w:val="8"/>
            <w:tcBorders>
              <w:top w:val="single" w:sz="4" w:space="0" w:color="auto"/>
              <w:left w:val="nil"/>
              <w:bottom w:val="nil"/>
              <w:right w:val="nil"/>
            </w:tcBorders>
          </w:tcPr>
          <w:p w14:paraId="77FFBCE1" w14:textId="77777777" w:rsidR="004829B4" w:rsidRDefault="004829B4" w:rsidP="009A2130">
            <w:pPr>
              <w:spacing w:line="480" w:lineRule="auto"/>
            </w:pPr>
            <w:r w:rsidRPr="00C72C0D">
              <w:rPr>
                <w:i/>
                <w:iCs/>
                <w:sz w:val="20"/>
                <w:szCs w:val="20"/>
              </w:rPr>
              <w:t>Note.</w:t>
            </w:r>
            <w:r w:rsidRPr="00C72C0D">
              <w:rPr>
                <w:sz w:val="20"/>
                <w:szCs w:val="20"/>
              </w:rPr>
              <w:t xml:space="preserve"> *</w:t>
            </w:r>
            <w:r w:rsidRPr="00C72C0D">
              <w:rPr>
                <w:i/>
                <w:iCs/>
                <w:sz w:val="20"/>
                <w:szCs w:val="20"/>
              </w:rPr>
              <w:t xml:space="preserve">p </w:t>
            </w:r>
            <w:r w:rsidRPr="00C72C0D">
              <w:rPr>
                <w:sz w:val="20"/>
                <w:szCs w:val="20"/>
              </w:rPr>
              <w:t>&lt; .05; **</w:t>
            </w:r>
            <w:r w:rsidRPr="00C72C0D">
              <w:rPr>
                <w:i/>
                <w:iCs/>
                <w:sz w:val="20"/>
                <w:szCs w:val="20"/>
              </w:rPr>
              <w:t xml:space="preserve">p </w:t>
            </w:r>
            <w:r w:rsidRPr="00C72C0D">
              <w:rPr>
                <w:sz w:val="20"/>
                <w:szCs w:val="20"/>
              </w:rPr>
              <w:t>&lt; .01; ***</w:t>
            </w:r>
            <w:r w:rsidRPr="00C72C0D">
              <w:rPr>
                <w:i/>
                <w:iCs/>
                <w:sz w:val="20"/>
                <w:szCs w:val="20"/>
              </w:rPr>
              <w:t xml:space="preserve">p </w:t>
            </w:r>
            <w:r w:rsidRPr="00C72C0D">
              <w:rPr>
                <w:sz w:val="20"/>
                <w:szCs w:val="20"/>
              </w:rPr>
              <w:t>&lt; .001.</w:t>
            </w:r>
            <w:r>
              <w:rPr>
                <w:sz w:val="20"/>
                <w:szCs w:val="20"/>
              </w:rPr>
              <w:t xml:space="preserve"> </w:t>
            </w:r>
            <w:r w:rsidRPr="00C72C0D">
              <w:rPr>
                <w:sz w:val="20"/>
                <w:szCs w:val="20"/>
              </w:rPr>
              <w:t>MHP = Mental health professional</w:t>
            </w:r>
            <w:r>
              <w:rPr>
                <w:sz w:val="20"/>
                <w:szCs w:val="20"/>
              </w:rPr>
              <w:t>.</w:t>
            </w:r>
            <w:r w:rsidRPr="00C72C0D">
              <w:rPr>
                <w:sz w:val="20"/>
                <w:szCs w:val="20"/>
              </w:rPr>
              <w:t xml:space="preserve"> </w:t>
            </w:r>
            <w:r>
              <w:rPr>
                <w:sz w:val="20"/>
                <w:szCs w:val="20"/>
              </w:rPr>
              <w:t>E</w:t>
            </w:r>
            <w:r w:rsidRPr="00C72C0D">
              <w:rPr>
                <w:sz w:val="20"/>
                <w:szCs w:val="20"/>
              </w:rPr>
              <w:t xml:space="preserve">ach </w:t>
            </w:r>
            <w:r>
              <w:rPr>
                <w:sz w:val="20"/>
                <w:szCs w:val="20"/>
              </w:rPr>
              <w:t>covariate was modeled separately from one another</w:t>
            </w:r>
            <w:r w:rsidRPr="00C72C0D">
              <w:rPr>
                <w:sz w:val="20"/>
                <w:szCs w:val="20"/>
              </w:rPr>
              <w:t>, except for depression and anxiety which were included in one model.</w:t>
            </w:r>
          </w:p>
          <w:p w14:paraId="28FDE8F8" w14:textId="77777777" w:rsidR="004829B4" w:rsidRDefault="004829B4" w:rsidP="009A2130">
            <w:pPr>
              <w:spacing w:after="160"/>
              <w:contextualSpacing/>
              <w:jc w:val="center"/>
              <w:rPr>
                <w:sz w:val="20"/>
                <w:szCs w:val="20"/>
              </w:rPr>
            </w:pPr>
          </w:p>
        </w:tc>
      </w:tr>
      <w:bookmarkEnd w:id="47"/>
    </w:tbl>
    <w:p w14:paraId="0EEF6F24" w14:textId="700A8984" w:rsidR="005C05C3" w:rsidRPr="005C05C3" w:rsidRDefault="005C05C3" w:rsidP="005C05C3">
      <w:pPr>
        <w:rPr>
          <w:color w:val="000000" w:themeColor="text1"/>
        </w:rPr>
      </w:pPr>
    </w:p>
    <w:sectPr w:rsidR="005C05C3" w:rsidRPr="005C05C3" w:rsidSect="002843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E8AD" w14:textId="77777777" w:rsidR="00284338" w:rsidRDefault="00284338" w:rsidP="001C7CE2">
      <w:r>
        <w:separator/>
      </w:r>
    </w:p>
  </w:endnote>
  <w:endnote w:type="continuationSeparator" w:id="0">
    <w:p w14:paraId="332C712F" w14:textId="77777777" w:rsidR="00284338" w:rsidRDefault="00284338" w:rsidP="001C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301522"/>
      <w:docPartObj>
        <w:docPartGallery w:val="Page Numbers (Bottom of Page)"/>
        <w:docPartUnique/>
      </w:docPartObj>
    </w:sdtPr>
    <w:sdtContent>
      <w:p w14:paraId="0390D91B" w14:textId="112E7DEB" w:rsidR="003260DC" w:rsidRDefault="003260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EAF39E" w14:textId="77777777" w:rsidR="003260DC" w:rsidRDefault="003260DC" w:rsidP="00326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23D9" w14:textId="77777777" w:rsidR="003260DC" w:rsidRDefault="003260DC" w:rsidP="003260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81CA" w14:textId="77777777" w:rsidR="00284338" w:rsidRDefault="00284338" w:rsidP="001C7CE2">
      <w:r>
        <w:separator/>
      </w:r>
    </w:p>
  </w:footnote>
  <w:footnote w:type="continuationSeparator" w:id="0">
    <w:p w14:paraId="78ABA6EA" w14:textId="77777777" w:rsidR="00284338" w:rsidRDefault="00284338" w:rsidP="001C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E122" w14:textId="46D667E2" w:rsidR="001C7CE2" w:rsidRDefault="00AE29FA">
    <w:pPr>
      <w:pStyle w:val="Header"/>
    </w:pPr>
    <w:r>
      <w:t xml:space="preserve">PUBLIC SELF-GUIDED </w:t>
    </w:r>
    <w:r w:rsidR="004B5602">
      <w:t>ADHERENCE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26F1"/>
    <w:multiLevelType w:val="hybridMultilevel"/>
    <w:tmpl w:val="9E6E84EE"/>
    <w:lvl w:ilvl="0" w:tplc="B7105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D2C03"/>
    <w:multiLevelType w:val="hybridMultilevel"/>
    <w:tmpl w:val="F57644F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914A2"/>
    <w:multiLevelType w:val="multilevel"/>
    <w:tmpl w:val="96C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14C54"/>
    <w:multiLevelType w:val="hybridMultilevel"/>
    <w:tmpl w:val="EB140B4E"/>
    <w:lvl w:ilvl="0" w:tplc="F4F27AF4">
      <w:start w:val="1"/>
      <w:numFmt w:val="bullet"/>
      <w:lvlText w:val=""/>
      <w:lvlJc w:val="left"/>
      <w:pPr>
        <w:ind w:left="1080" w:hanging="360"/>
      </w:pPr>
      <w:rPr>
        <w:rFonts w:ascii="Symbol" w:hAnsi="Symbol"/>
      </w:rPr>
    </w:lvl>
    <w:lvl w:ilvl="1" w:tplc="85C8E6F4">
      <w:start w:val="1"/>
      <w:numFmt w:val="bullet"/>
      <w:lvlText w:val=""/>
      <w:lvlJc w:val="left"/>
      <w:pPr>
        <w:ind w:left="1080" w:hanging="360"/>
      </w:pPr>
      <w:rPr>
        <w:rFonts w:ascii="Symbol" w:hAnsi="Symbol"/>
      </w:rPr>
    </w:lvl>
    <w:lvl w:ilvl="2" w:tplc="A7306F70">
      <w:start w:val="1"/>
      <w:numFmt w:val="bullet"/>
      <w:lvlText w:val=""/>
      <w:lvlJc w:val="left"/>
      <w:pPr>
        <w:ind w:left="1080" w:hanging="360"/>
      </w:pPr>
      <w:rPr>
        <w:rFonts w:ascii="Symbol" w:hAnsi="Symbol"/>
      </w:rPr>
    </w:lvl>
    <w:lvl w:ilvl="3" w:tplc="B8F2B086">
      <w:start w:val="1"/>
      <w:numFmt w:val="bullet"/>
      <w:lvlText w:val=""/>
      <w:lvlJc w:val="left"/>
      <w:pPr>
        <w:ind w:left="1080" w:hanging="360"/>
      </w:pPr>
      <w:rPr>
        <w:rFonts w:ascii="Symbol" w:hAnsi="Symbol"/>
      </w:rPr>
    </w:lvl>
    <w:lvl w:ilvl="4" w:tplc="79A8BE64">
      <w:start w:val="1"/>
      <w:numFmt w:val="bullet"/>
      <w:lvlText w:val=""/>
      <w:lvlJc w:val="left"/>
      <w:pPr>
        <w:ind w:left="1080" w:hanging="360"/>
      </w:pPr>
      <w:rPr>
        <w:rFonts w:ascii="Symbol" w:hAnsi="Symbol"/>
      </w:rPr>
    </w:lvl>
    <w:lvl w:ilvl="5" w:tplc="B5400198">
      <w:start w:val="1"/>
      <w:numFmt w:val="bullet"/>
      <w:lvlText w:val=""/>
      <w:lvlJc w:val="left"/>
      <w:pPr>
        <w:ind w:left="1080" w:hanging="360"/>
      </w:pPr>
      <w:rPr>
        <w:rFonts w:ascii="Symbol" w:hAnsi="Symbol"/>
      </w:rPr>
    </w:lvl>
    <w:lvl w:ilvl="6" w:tplc="8D9400D0">
      <w:start w:val="1"/>
      <w:numFmt w:val="bullet"/>
      <w:lvlText w:val=""/>
      <w:lvlJc w:val="left"/>
      <w:pPr>
        <w:ind w:left="1080" w:hanging="360"/>
      </w:pPr>
      <w:rPr>
        <w:rFonts w:ascii="Symbol" w:hAnsi="Symbol"/>
      </w:rPr>
    </w:lvl>
    <w:lvl w:ilvl="7" w:tplc="99FC0062">
      <w:start w:val="1"/>
      <w:numFmt w:val="bullet"/>
      <w:lvlText w:val=""/>
      <w:lvlJc w:val="left"/>
      <w:pPr>
        <w:ind w:left="1080" w:hanging="360"/>
      </w:pPr>
      <w:rPr>
        <w:rFonts w:ascii="Symbol" w:hAnsi="Symbol"/>
      </w:rPr>
    </w:lvl>
    <w:lvl w:ilvl="8" w:tplc="140C69E0">
      <w:start w:val="1"/>
      <w:numFmt w:val="bullet"/>
      <w:lvlText w:val=""/>
      <w:lvlJc w:val="left"/>
      <w:pPr>
        <w:ind w:left="1080" w:hanging="360"/>
      </w:pPr>
      <w:rPr>
        <w:rFonts w:ascii="Symbol" w:hAnsi="Symbol"/>
      </w:rPr>
    </w:lvl>
  </w:abstractNum>
  <w:abstractNum w:abstractNumId="4" w15:restartNumberingAfterBreak="0">
    <w:nsid w:val="5DCF12E4"/>
    <w:multiLevelType w:val="hybridMultilevel"/>
    <w:tmpl w:val="E37480C4"/>
    <w:lvl w:ilvl="0" w:tplc="835CDF5A">
      <w:start w:val="1"/>
      <w:numFmt w:val="bullet"/>
      <w:lvlText w:val=""/>
      <w:lvlJc w:val="left"/>
      <w:pPr>
        <w:ind w:left="1080" w:hanging="360"/>
      </w:pPr>
      <w:rPr>
        <w:rFonts w:ascii="Symbol" w:hAnsi="Symbol"/>
      </w:rPr>
    </w:lvl>
    <w:lvl w:ilvl="1" w:tplc="32BA6220">
      <w:start w:val="1"/>
      <w:numFmt w:val="bullet"/>
      <w:lvlText w:val=""/>
      <w:lvlJc w:val="left"/>
      <w:pPr>
        <w:ind w:left="1080" w:hanging="360"/>
      </w:pPr>
      <w:rPr>
        <w:rFonts w:ascii="Symbol" w:hAnsi="Symbol"/>
      </w:rPr>
    </w:lvl>
    <w:lvl w:ilvl="2" w:tplc="E45E8700">
      <w:start w:val="1"/>
      <w:numFmt w:val="bullet"/>
      <w:lvlText w:val=""/>
      <w:lvlJc w:val="left"/>
      <w:pPr>
        <w:ind w:left="1080" w:hanging="360"/>
      </w:pPr>
      <w:rPr>
        <w:rFonts w:ascii="Symbol" w:hAnsi="Symbol"/>
      </w:rPr>
    </w:lvl>
    <w:lvl w:ilvl="3" w:tplc="70D05E56">
      <w:start w:val="1"/>
      <w:numFmt w:val="bullet"/>
      <w:lvlText w:val=""/>
      <w:lvlJc w:val="left"/>
      <w:pPr>
        <w:ind w:left="1080" w:hanging="360"/>
      </w:pPr>
      <w:rPr>
        <w:rFonts w:ascii="Symbol" w:hAnsi="Symbol"/>
      </w:rPr>
    </w:lvl>
    <w:lvl w:ilvl="4" w:tplc="6486D70A">
      <w:start w:val="1"/>
      <w:numFmt w:val="bullet"/>
      <w:lvlText w:val=""/>
      <w:lvlJc w:val="left"/>
      <w:pPr>
        <w:ind w:left="1080" w:hanging="360"/>
      </w:pPr>
      <w:rPr>
        <w:rFonts w:ascii="Symbol" w:hAnsi="Symbol"/>
      </w:rPr>
    </w:lvl>
    <w:lvl w:ilvl="5" w:tplc="3730B262">
      <w:start w:val="1"/>
      <w:numFmt w:val="bullet"/>
      <w:lvlText w:val=""/>
      <w:lvlJc w:val="left"/>
      <w:pPr>
        <w:ind w:left="1080" w:hanging="360"/>
      </w:pPr>
      <w:rPr>
        <w:rFonts w:ascii="Symbol" w:hAnsi="Symbol"/>
      </w:rPr>
    </w:lvl>
    <w:lvl w:ilvl="6" w:tplc="D2024F2C">
      <w:start w:val="1"/>
      <w:numFmt w:val="bullet"/>
      <w:lvlText w:val=""/>
      <w:lvlJc w:val="left"/>
      <w:pPr>
        <w:ind w:left="1080" w:hanging="360"/>
      </w:pPr>
      <w:rPr>
        <w:rFonts w:ascii="Symbol" w:hAnsi="Symbol"/>
      </w:rPr>
    </w:lvl>
    <w:lvl w:ilvl="7" w:tplc="D05CF510">
      <w:start w:val="1"/>
      <w:numFmt w:val="bullet"/>
      <w:lvlText w:val=""/>
      <w:lvlJc w:val="left"/>
      <w:pPr>
        <w:ind w:left="1080" w:hanging="360"/>
      </w:pPr>
      <w:rPr>
        <w:rFonts w:ascii="Symbol" w:hAnsi="Symbol"/>
      </w:rPr>
    </w:lvl>
    <w:lvl w:ilvl="8" w:tplc="FF0AC3B2">
      <w:start w:val="1"/>
      <w:numFmt w:val="bullet"/>
      <w:lvlText w:val=""/>
      <w:lvlJc w:val="left"/>
      <w:pPr>
        <w:ind w:left="1080" w:hanging="360"/>
      </w:pPr>
      <w:rPr>
        <w:rFonts w:ascii="Symbol" w:hAnsi="Symbol"/>
      </w:rPr>
    </w:lvl>
  </w:abstractNum>
  <w:abstractNum w:abstractNumId="5" w15:restartNumberingAfterBreak="0">
    <w:nsid w:val="660F0880"/>
    <w:multiLevelType w:val="multilevel"/>
    <w:tmpl w:val="838E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E0237"/>
    <w:multiLevelType w:val="hybridMultilevel"/>
    <w:tmpl w:val="76A2C202"/>
    <w:lvl w:ilvl="0" w:tplc="AF501B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86B02"/>
    <w:multiLevelType w:val="hybridMultilevel"/>
    <w:tmpl w:val="EC946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507499">
    <w:abstractNumId w:val="6"/>
  </w:num>
  <w:num w:numId="2" w16cid:durableId="671495522">
    <w:abstractNumId w:val="7"/>
  </w:num>
  <w:num w:numId="3" w16cid:durableId="1416392339">
    <w:abstractNumId w:val="0"/>
  </w:num>
  <w:num w:numId="4" w16cid:durableId="1171333449">
    <w:abstractNumId w:val="2"/>
  </w:num>
  <w:num w:numId="5" w16cid:durableId="501697835">
    <w:abstractNumId w:val="5"/>
  </w:num>
  <w:num w:numId="6" w16cid:durableId="1296762609">
    <w:abstractNumId w:val="1"/>
  </w:num>
  <w:num w:numId="7" w16cid:durableId="106199133">
    <w:abstractNumId w:val="4"/>
  </w:num>
  <w:num w:numId="8" w16cid:durableId="616110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B5"/>
    <w:rsid w:val="00004E48"/>
    <w:rsid w:val="000068D0"/>
    <w:rsid w:val="000103BC"/>
    <w:rsid w:val="0002153A"/>
    <w:rsid w:val="00023166"/>
    <w:rsid w:val="0002398D"/>
    <w:rsid w:val="00025A16"/>
    <w:rsid w:val="00025EA2"/>
    <w:rsid w:val="0002683A"/>
    <w:rsid w:val="00026BA7"/>
    <w:rsid w:val="00027271"/>
    <w:rsid w:val="0002772C"/>
    <w:rsid w:val="00027F1D"/>
    <w:rsid w:val="00035098"/>
    <w:rsid w:val="000367C5"/>
    <w:rsid w:val="00037A5E"/>
    <w:rsid w:val="00041A89"/>
    <w:rsid w:val="00052296"/>
    <w:rsid w:val="000522E0"/>
    <w:rsid w:val="00052AF6"/>
    <w:rsid w:val="000555D1"/>
    <w:rsid w:val="00055F08"/>
    <w:rsid w:val="00056E93"/>
    <w:rsid w:val="00061799"/>
    <w:rsid w:val="000710AE"/>
    <w:rsid w:val="00072BAB"/>
    <w:rsid w:val="000732F3"/>
    <w:rsid w:val="000760AA"/>
    <w:rsid w:val="00080EB3"/>
    <w:rsid w:val="00082634"/>
    <w:rsid w:val="0008330A"/>
    <w:rsid w:val="000846A6"/>
    <w:rsid w:val="0009194A"/>
    <w:rsid w:val="00091BC1"/>
    <w:rsid w:val="00093A6E"/>
    <w:rsid w:val="00093BA9"/>
    <w:rsid w:val="00095267"/>
    <w:rsid w:val="000958ED"/>
    <w:rsid w:val="00097E2D"/>
    <w:rsid w:val="000A1A07"/>
    <w:rsid w:val="000A353F"/>
    <w:rsid w:val="000A780D"/>
    <w:rsid w:val="000B143C"/>
    <w:rsid w:val="000B1ADF"/>
    <w:rsid w:val="000B262E"/>
    <w:rsid w:val="000B3370"/>
    <w:rsid w:val="000B3BCC"/>
    <w:rsid w:val="000B3E23"/>
    <w:rsid w:val="000B4D80"/>
    <w:rsid w:val="000B6BC1"/>
    <w:rsid w:val="000C01CE"/>
    <w:rsid w:val="000C0F29"/>
    <w:rsid w:val="000C2256"/>
    <w:rsid w:val="000C3A1B"/>
    <w:rsid w:val="000C44BE"/>
    <w:rsid w:val="000C45DD"/>
    <w:rsid w:val="000C5086"/>
    <w:rsid w:val="000C50B4"/>
    <w:rsid w:val="000C529A"/>
    <w:rsid w:val="000D07BA"/>
    <w:rsid w:val="000D33B5"/>
    <w:rsid w:val="000D36F7"/>
    <w:rsid w:val="000E1148"/>
    <w:rsid w:val="000E13D5"/>
    <w:rsid w:val="000E17F7"/>
    <w:rsid w:val="000E339A"/>
    <w:rsid w:val="000E3AF6"/>
    <w:rsid w:val="000E51D5"/>
    <w:rsid w:val="000E51F5"/>
    <w:rsid w:val="000E6939"/>
    <w:rsid w:val="000F1391"/>
    <w:rsid w:val="000F519A"/>
    <w:rsid w:val="000F5244"/>
    <w:rsid w:val="000F53D4"/>
    <w:rsid w:val="000F753D"/>
    <w:rsid w:val="00101FE7"/>
    <w:rsid w:val="00107B3D"/>
    <w:rsid w:val="0011383E"/>
    <w:rsid w:val="00116F49"/>
    <w:rsid w:val="0011796E"/>
    <w:rsid w:val="00120060"/>
    <w:rsid w:val="001206E2"/>
    <w:rsid w:val="001217D7"/>
    <w:rsid w:val="001218CA"/>
    <w:rsid w:val="001239C4"/>
    <w:rsid w:val="00132B70"/>
    <w:rsid w:val="001335D6"/>
    <w:rsid w:val="00135BF7"/>
    <w:rsid w:val="0013697B"/>
    <w:rsid w:val="001370A3"/>
    <w:rsid w:val="001406DA"/>
    <w:rsid w:val="00142548"/>
    <w:rsid w:val="00142A47"/>
    <w:rsid w:val="00143C4B"/>
    <w:rsid w:val="001454AE"/>
    <w:rsid w:val="001454EA"/>
    <w:rsid w:val="00146C5F"/>
    <w:rsid w:val="00146CCB"/>
    <w:rsid w:val="001475E7"/>
    <w:rsid w:val="00147F6F"/>
    <w:rsid w:val="001518DC"/>
    <w:rsid w:val="001536CE"/>
    <w:rsid w:val="00156C91"/>
    <w:rsid w:val="00165754"/>
    <w:rsid w:val="0017096F"/>
    <w:rsid w:val="001716C0"/>
    <w:rsid w:val="00172E68"/>
    <w:rsid w:val="00177EC2"/>
    <w:rsid w:val="00180A99"/>
    <w:rsid w:val="00181A43"/>
    <w:rsid w:val="0018219D"/>
    <w:rsid w:val="00182348"/>
    <w:rsid w:val="001828AF"/>
    <w:rsid w:val="001957EA"/>
    <w:rsid w:val="001A2C2F"/>
    <w:rsid w:val="001A451C"/>
    <w:rsid w:val="001A4E2C"/>
    <w:rsid w:val="001A761B"/>
    <w:rsid w:val="001A7C2A"/>
    <w:rsid w:val="001B12F5"/>
    <w:rsid w:val="001B3049"/>
    <w:rsid w:val="001B4A10"/>
    <w:rsid w:val="001C1B8E"/>
    <w:rsid w:val="001C7CE2"/>
    <w:rsid w:val="001D4614"/>
    <w:rsid w:val="001E07B9"/>
    <w:rsid w:val="001E1485"/>
    <w:rsid w:val="001E1A6D"/>
    <w:rsid w:val="001E3FEF"/>
    <w:rsid w:val="001E459F"/>
    <w:rsid w:val="001F45F5"/>
    <w:rsid w:val="001F55AD"/>
    <w:rsid w:val="001F55F8"/>
    <w:rsid w:val="001F7382"/>
    <w:rsid w:val="00203AC9"/>
    <w:rsid w:val="00205435"/>
    <w:rsid w:val="002054AD"/>
    <w:rsid w:val="0020749C"/>
    <w:rsid w:val="00210B30"/>
    <w:rsid w:val="002120AA"/>
    <w:rsid w:val="00213132"/>
    <w:rsid w:val="002139D4"/>
    <w:rsid w:val="00213C4B"/>
    <w:rsid w:val="002143A1"/>
    <w:rsid w:val="002143FA"/>
    <w:rsid w:val="00214A8B"/>
    <w:rsid w:val="002177E6"/>
    <w:rsid w:val="00217DEA"/>
    <w:rsid w:val="00220201"/>
    <w:rsid w:val="00222E80"/>
    <w:rsid w:val="0022527A"/>
    <w:rsid w:val="00226836"/>
    <w:rsid w:val="00226EE2"/>
    <w:rsid w:val="00230A29"/>
    <w:rsid w:val="00233D37"/>
    <w:rsid w:val="00235723"/>
    <w:rsid w:val="0023758C"/>
    <w:rsid w:val="00241E54"/>
    <w:rsid w:val="002457BB"/>
    <w:rsid w:val="00251405"/>
    <w:rsid w:val="0025270E"/>
    <w:rsid w:val="00254461"/>
    <w:rsid w:val="00254B91"/>
    <w:rsid w:val="00255846"/>
    <w:rsid w:val="00255E17"/>
    <w:rsid w:val="002573DB"/>
    <w:rsid w:val="00257517"/>
    <w:rsid w:val="002576BF"/>
    <w:rsid w:val="002625C9"/>
    <w:rsid w:val="002639DF"/>
    <w:rsid w:val="00270A34"/>
    <w:rsid w:val="00273A56"/>
    <w:rsid w:val="002757B5"/>
    <w:rsid w:val="00275CE6"/>
    <w:rsid w:val="0028085D"/>
    <w:rsid w:val="002810A7"/>
    <w:rsid w:val="00283617"/>
    <w:rsid w:val="002837CC"/>
    <w:rsid w:val="00283DAD"/>
    <w:rsid w:val="00284338"/>
    <w:rsid w:val="002874B0"/>
    <w:rsid w:val="00290568"/>
    <w:rsid w:val="00291017"/>
    <w:rsid w:val="00292D94"/>
    <w:rsid w:val="002A247C"/>
    <w:rsid w:val="002A46DA"/>
    <w:rsid w:val="002A479D"/>
    <w:rsid w:val="002A577A"/>
    <w:rsid w:val="002A7A4B"/>
    <w:rsid w:val="002B00CF"/>
    <w:rsid w:val="002B089F"/>
    <w:rsid w:val="002B1E97"/>
    <w:rsid w:val="002B2AE2"/>
    <w:rsid w:val="002B47B6"/>
    <w:rsid w:val="002B75E5"/>
    <w:rsid w:val="002C0EB9"/>
    <w:rsid w:val="002C3452"/>
    <w:rsid w:val="002C4DBC"/>
    <w:rsid w:val="002C7DC6"/>
    <w:rsid w:val="002D0323"/>
    <w:rsid w:val="002D2E0B"/>
    <w:rsid w:val="002E423B"/>
    <w:rsid w:val="002E5C53"/>
    <w:rsid w:val="002F0167"/>
    <w:rsid w:val="002F320E"/>
    <w:rsid w:val="002F4306"/>
    <w:rsid w:val="00300D0F"/>
    <w:rsid w:val="00301CDD"/>
    <w:rsid w:val="00302E79"/>
    <w:rsid w:val="00311CE7"/>
    <w:rsid w:val="0031650E"/>
    <w:rsid w:val="0032025E"/>
    <w:rsid w:val="00321BE4"/>
    <w:rsid w:val="00323E66"/>
    <w:rsid w:val="00324649"/>
    <w:rsid w:val="00325116"/>
    <w:rsid w:val="00325CF8"/>
    <w:rsid w:val="003260DC"/>
    <w:rsid w:val="003272B3"/>
    <w:rsid w:val="00327A67"/>
    <w:rsid w:val="00330CC8"/>
    <w:rsid w:val="003346F1"/>
    <w:rsid w:val="0033614E"/>
    <w:rsid w:val="003434A2"/>
    <w:rsid w:val="00343C78"/>
    <w:rsid w:val="0034583D"/>
    <w:rsid w:val="00345C37"/>
    <w:rsid w:val="003510E2"/>
    <w:rsid w:val="0035551F"/>
    <w:rsid w:val="00357ECF"/>
    <w:rsid w:val="00360C49"/>
    <w:rsid w:val="003616B0"/>
    <w:rsid w:val="00362C65"/>
    <w:rsid w:val="00367582"/>
    <w:rsid w:val="00367EC2"/>
    <w:rsid w:val="00373001"/>
    <w:rsid w:val="003732AC"/>
    <w:rsid w:val="003739D3"/>
    <w:rsid w:val="0037461F"/>
    <w:rsid w:val="00374C6A"/>
    <w:rsid w:val="00374F87"/>
    <w:rsid w:val="003761F1"/>
    <w:rsid w:val="00376718"/>
    <w:rsid w:val="00383CAC"/>
    <w:rsid w:val="00386006"/>
    <w:rsid w:val="00387C3E"/>
    <w:rsid w:val="00391837"/>
    <w:rsid w:val="00393DCF"/>
    <w:rsid w:val="003A3F09"/>
    <w:rsid w:val="003A6D5B"/>
    <w:rsid w:val="003B04C4"/>
    <w:rsid w:val="003B2368"/>
    <w:rsid w:val="003B2A1B"/>
    <w:rsid w:val="003B38D1"/>
    <w:rsid w:val="003B4303"/>
    <w:rsid w:val="003B558F"/>
    <w:rsid w:val="003B72EB"/>
    <w:rsid w:val="003C76CD"/>
    <w:rsid w:val="003D204F"/>
    <w:rsid w:val="003D3B4D"/>
    <w:rsid w:val="003D45AF"/>
    <w:rsid w:val="003D4963"/>
    <w:rsid w:val="003D550B"/>
    <w:rsid w:val="003E0F3F"/>
    <w:rsid w:val="003E2EF9"/>
    <w:rsid w:val="003E50A4"/>
    <w:rsid w:val="003E582C"/>
    <w:rsid w:val="003E7072"/>
    <w:rsid w:val="003F1023"/>
    <w:rsid w:val="003F3394"/>
    <w:rsid w:val="003F67FC"/>
    <w:rsid w:val="003F7F1D"/>
    <w:rsid w:val="00402000"/>
    <w:rsid w:val="00402EE8"/>
    <w:rsid w:val="00403BA7"/>
    <w:rsid w:val="00404E26"/>
    <w:rsid w:val="0040630B"/>
    <w:rsid w:val="00406E62"/>
    <w:rsid w:val="00407625"/>
    <w:rsid w:val="00413C9F"/>
    <w:rsid w:val="00414E2C"/>
    <w:rsid w:val="004159C4"/>
    <w:rsid w:val="00415DFC"/>
    <w:rsid w:val="004211CE"/>
    <w:rsid w:val="00431930"/>
    <w:rsid w:val="0043532A"/>
    <w:rsid w:val="0044023F"/>
    <w:rsid w:val="0044227A"/>
    <w:rsid w:val="00445406"/>
    <w:rsid w:val="00446922"/>
    <w:rsid w:val="00447444"/>
    <w:rsid w:val="00453DA0"/>
    <w:rsid w:val="004575DA"/>
    <w:rsid w:val="00460829"/>
    <w:rsid w:val="00461F72"/>
    <w:rsid w:val="004637F2"/>
    <w:rsid w:val="004638CF"/>
    <w:rsid w:val="00471545"/>
    <w:rsid w:val="00473CAD"/>
    <w:rsid w:val="0048099C"/>
    <w:rsid w:val="00481F8C"/>
    <w:rsid w:val="004829B4"/>
    <w:rsid w:val="00482D79"/>
    <w:rsid w:val="004840EB"/>
    <w:rsid w:val="00484BAB"/>
    <w:rsid w:val="0048593A"/>
    <w:rsid w:val="00487799"/>
    <w:rsid w:val="00492BEC"/>
    <w:rsid w:val="00495169"/>
    <w:rsid w:val="00497DDE"/>
    <w:rsid w:val="004A1A2E"/>
    <w:rsid w:val="004A2549"/>
    <w:rsid w:val="004A7104"/>
    <w:rsid w:val="004A7D2D"/>
    <w:rsid w:val="004A7F7A"/>
    <w:rsid w:val="004B22B2"/>
    <w:rsid w:val="004B5602"/>
    <w:rsid w:val="004B7C75"/>
    <w:rsid w:val="004C021C"/>
    <w:rsid w:val="004C025B"/>
    <w:rsid w:val="004C22D6"/>
    <w:rsid w:val="004C3D31"/>
    <w:rsid w:val="004C6DC9"/>
    <w:rsid w:val="004C7655"/>
    <w:rsid w:val="004C7C8E"/>
    <w:rsid w:val="004D06C9"/>
    <w:rsid w:val="004D312F"/>
    <w:rsid w:val="004D38C7"/>
    <w:rsid w:val="004D5134"/>
    <w:rsid w:val="004D55B5"/>
    <w:rsid w:val="004E02F2"/>
    <w:rsid w:val="004F5648"/>
    <w:rsid w:val="004F5E36"/>
    <w:rsid w:val="004F657B"/>
    <w:rsid w:val="00501624"/>
    <w:rsid w:val="0050227F"/>
    <w:rsid w:val="00502E02"/>
    <w:rsid w:val="00502F6A"/>
    <w:rsid w:val="00511A99"/>
    <w:rsid w:val="00511D8D"/>
    <w:rsid w:val="00514099"/>
    <w:rsid w:val="00515E29"/>
    <w:rsid w:val="005205F0"/>
    <w:rsid w:val="00520D98"/>
    <w:rsid w:val="0052367C"/>
    <w:rsid w:val="005266DA"/>
    <w:rsid w:val="00526F40"/>
    <w:rsid w:val="00530245"/>
    <w:rsid w:val="00531685"/>
    <w:rsid w:val="005326DE"/>
    <w:rsid w:val="00533051"/>
    <w:rsid w:val="0053714F"/>
    <w:rsid w:val="00540385"/>
    <w:rsid w:val="00541A9F"/>
    <w:rsid w:val="0054793B"/>
    <w:rsid w:val="005506F7"/>
    <w:rsid w:val="0055379D"/>
    <w:rsid w:val="0055679B"/>
    <w:rsid w:val="005609AC"/>
    <w:rsid w:val="00561314"/>
    <w:rsid w:val="0056151C"/>
    <w:rsid w:val="00562C93"/>
    <w:rsid w:val="005631E6"/>
    <w:rsid w:val="00570F80"/>
    <w:rsid w:val="00573C75"/>
    <w:rsid w:val="0057557B"/>
    <w:rsid w:val="00576150"/>
    <w:rsid w:val="00577655"/>
    <w:rsid w:val="0058023E"/>
    <w:rsid w:val="0058194C"/>
    <w:rsid w:val="005831D2"/>
    <w:rsid w:val="00585BFE"/>
    <w:rsid w:val="00587D80"/>
    <w:rsid w:val="00591459"/>
    <w:rsid w:val="0059511F"/>
    <w:rsid w:val="0059547C"/>
    <w:rsid w:val="005954C8"/>
    <w:rsid w:val="00595B08"/>
    <w:rsid w:val="00595D2F"/>
    <w:rsid w:val="0059631A"/>
    <w:rsid w:val="005A2465"/>
    <w:rsid w:val="005B13BA"/>
    <w:rsid w:val="005B17D5"/>
    <w:rsid w:val="005B39BC"/>
    <w:rsid w:val="005B66DC"/>
    <w:rsid w:val="005B6CBE"/>
    <w:rsid w:val="005B77B8"/>
    <w:rsid w:val="005B7B8F"/>
    <w:rsid w:val="005C05C3"/>
    <w:rsid w:val="005C18C4"/>
    <w:rsid w:val="005C2F9C"/>
    <w:rsid w:val="005C680E"/>
    <w:rsid w:val="005C6B81"/>
    <w:rsid w:val="005C7E9F"/>
    <w:rsid w:val="005C7EF3"/>
    <w:rsid w:val="005D43AF"/>
    <w:rsid w:val="005D588B"/>
    <w:rsid w:val="005D6420"/>
    <w:rsid w:val="005D737A"/>
    <w:rsid w:val="005E0BA0"/>
    <w:rsid w:val="005E1110"/>
    <w:rsid w:val="005E32D6"/>
    <w:rsid w:val="005E4B49"/>
    <w:rsid w:val="005F44B6"/>
    <w:rsid w:val="005F4516"/>
    <w:rsid w:val="005F4684"/>
    <w:rsid w:val="0060169A"/>
    <w:rsid w:val="006110A4"/>
    <w:rsid w:val="0062337A"/>
    <w:rsid w:val="00623662"/>
    <w:rsid w:val="006254D5"/>
    <w:rsid w:val="0063058B"/>
    <w:rsid w:val="00633535"/>
    <w:rsid w:val="0063679A"/>
    <w:rsid w:val="00640812"/>
    <w:rsid w:val="00640AE4"/>
    <w:rsid w:val="00644948"/>
    <w:rsid w:val="00644BDB"/>
    <w:rsid w:val="00646588"/>
    <w:rsid w:val="006468C0"/>
    <w:rsid w:val="006519EC"/>
    <w:rsid w:val="006523C7"/>
    <w:rsid w:val="00661B02"/>
    <w:rsid w:val="00674D89"/>
    <w:rsid w:val="00677F3B"/>
    <w:rsid w:val="006808BE"/>
    <w:rsid w:val="006816F7"/>
    <w:rsid w:val="00681FC9"/>
    <w:rsid w:val="006858CD"/>
    <w:rsid w:val="006873C7"/>
    <w:rsid w:val="00692921"/>
    <w:rsid w:val="00693B1B"/>
    <w:rsid w:val="00695D96"/>
    <w:rsid w:val="006A4387"/>
    <w:rsid w:val="006A469B"/>
    <w:rsid w:val="006B06C7"/>
    <w:rsid w:val="006B3E6C"/>
    <w:rsid w:val="006B67F3"/>
    <w:rsid w:val="006B6B47"/>
    <w:rsid w:val="006B7E24"/>
    <w:rsid w:val="006C0147"/>
    <w:rsid w:val="006C7B67"/>
    <w:rsid w:val="006D3445"/>
    <w:rsid w:val="006D51D9"/>
    <w:rsid w:val="006D7315"/>
    <w:rsid w:val="006E0767"/>
    <w:rsid w:val="006E2EC1"/>
    <w:rsid w:val="006E539E"/>
    <w:rsid w:val="006E7125"/>
    <w:rsid w:val="006F0C19"/>
    <w:rsid w:val="006F3EB2"/>
    <w:rsid w:val="006F456B"/>
    <w:rsid w:val="006F7509"/>
    <w:rsid w:val="00700B9F"/>
    <w:rsid w:val="0070301B"/>
    <w:rsid w:val="0070342C"/>
    <w:rsid w:val="00706116"/>
    <w:rsid w:val="00706A25"/>
    <w:rsid w:val="00712362"/>
    <w:rsid w:val="007138B5"/>
    <w:rsid w:val="0072288E"/>
    <w:rsid w:val="0072435B"/>
    <w:rsid w:val="00730E8A"/>
    <w:rsid w:val="00731499"/>
    <w:rsid w:val="007348D5"/>
    <w:rsid w:val="00740D9C"/>
    <w:rsid w:val="00743830"/>
    <w:rsid w:val="0074442C"/>
    <w:rsid w:val="007465DB"/>
    <w:rsid w:val="0075042C"/>
    <w:rsid w:val="0075260E"/>
    <w:rsid w:val="00752706"/>
    <w:rsid w:val="00752CF4"/>
    <w:rsid w:val="007548F2"/>
    <w:rsid w:val="007555FF"/>
    <w:rsid w:val="00755A55"/>
    <w:rsid w:val="0076441C"/>
    <w:rsid w:val="007644F1"/>
    <w:rsid w:val="007655A2"/>
    <w:rsid w:val="00767F47"/>
    <w:rsid w:val="00770175"/>
    <w:rsid w:val="0077189A"/>
    <w:rsid w:val="00773500"/>
    <w:rsid w:val="007740CD"/>
    <w:rsid w:val="00774C4B"/>
    <w:rsid w:val="007764C2"/>
    <w:rsid w:val="007840EF"/>
    <w:rsid w:val="00785A92"/>
    <w:rsid w:val="00785C06"/>
    <w:rsid w:val="00792A32"/>
    <w:rsid w:val="00793BBB"/>
    <w:rsid w:val="007A1BA7"/>
    <w:rsid w:val="007A201F"/>
    <w:rsid w:val="007A20E3"/>
    <w:rsid w:val="007A5B7B"/>
    <w:rsid w:val="007A6DB6"/>
    <w:rsid w:val="007B0B38"/>
    <w:rsid w:val="007B2C0C"/>
    <w:rsid w:val="007B3F42"/>
    <w:rsid w:val="007B6930"/>
    <w:rsid w:val="007B7B2A"/>
    <w:rsid w:val="007C032C"/>
    <w:rsid w:val="007C7D7F"/>
    <w:rsid w:val="007D358B"/>
    <w:rsid w:val="007D6A4D"/>
    <w:rsid w:val="007D6FB4"/>
    <w:rsid w:val="007D7DC9"/>
    <w:rsid w:val="007E6F73"/>
    <w:rsid w:val="007E7F4B"/>
    <w:rsid w:val="007F12FC"/>
    <w:rsid w:val="007F38DB"/>
    <w:rsid w:val="007F514F"/>
    <w:rsid w:val="00801E85"/>
    <w:rsid w:val="00805158"/>
    <w:rsid w:val="00813732"/>
    <w:rsid w:val="00814807"/>
    <w:rsid w:val="008151AF"/>
    <w:rsid w:val="00820C6C"/>
    <w:rsid w:val="0082112D"/>
    <w:rsid w:val="00821F9A"/>
    <w:rsid w:val="00823B7A"/>
    <w:rsid w:val="00825EA4"/>
    <w:rsid w:val="008261A2"/>
    <w:rsid w:val="00826C89"/>
    <w:rsid w:val="008275C6"/>
    <w:rsid w:val="00831E9F"/>
    <w:rsid w:val="008401BC"/>
    <w:rsid w:val="008410DC"/>
    <w:rsid w:val="0084183A"/>
    <w:rsid w:val="00841BCE"/>
    <w:rsid w:val="00843A8B"/>
    <w:rsid w:val="008453F9"/>
    <w:rsid w:val="0084608E"/>
    <w:rsid w:val="00847233"/>
    <w:rsid w:val="008509A8"/>
    <w:rsid w:val="008509CA"/>
    <w:rsid w:val="0085546B"/>
    <w:rsid w:val="00857275"/>
    <w:rsid w:val="00857F7E"/>
    <w:rsid w:val="00861635"/>
    <w:rsid w:val="00861C92"/>
    <w:rsid w:val="00865CDB"/>
    <w:rsid w:val="0087041E"/>
    <w:rsid w:val="00870AC3"/>
    <w:rsid w:val="00871C50"/>
    <w:rsid w:val="00872218"/>
    <w:rsid w:val="00872957"/>
    <w:rsid w:val="00873BB7"/>
    <w:rsid w:val="00873C0A"/>
    <w:rsid w:val="00875129"/>
    <w:rsid w:val="008758D3"/>
    <w:rsid w:val="0087633A"/>
    <w:rsid w:val="0088413B"/>
    <w:rsid w:val="0088416E"/>
    <w:rsid w:val="00887505"/>
    <w:rsid w:val="00887A47"/>
    <w:rsid w:val="00892AF3"/>
    <w:rsid w:val="00893ECC"/>
    <w:rsid w:val="00894180"/>
    <w:rsid w:val="00895D24"/>
    <w:rsid w:val="00895EF4"/>
    <w:rsid w:val="00897C01"/>
    <w:rsid w:val="008A3B42"/>
    <w:rsid w:val="008A3F3E"/>
    <w:rsid w:val="008B1100"/>
    <w:rsid w:val="008B35AF"/>
    <w:rsid w:val="008B41E2"/>
    <w:rsid w:val="008C2E0E"/>
    <w:rsid w:val="008D021A"/>
    <w:rsid w:val="008D3198"/>
    <w:rsid w:val="008D70F2"/>
    <w:rsid w:val="008E1D54"/>
    <w:rsid w:val="008E5747"/>
    <w:rsid w:val="008F2B51"/>
    <w:rsid w:val="008F2E7E"/>
    <w:rsid w:val="008F72ED"/>
    <w:rsid w:val="00900B3E"/>
    <w:rsid w:val="00902510"/>
    <w:rsid w:val="009036F0"/>
    <w:rsid w:val="00903B97"/>
    <w:rsid w:val="009066FC"/>
    <w:rsid w:val="0090681D"/>
    <w:rsid w:val="00910FF2"/>
    <w:rsid w:val="00913707"/>
    <w:rsid w:val="009207AA"/>
    <w:rsid w:val="00921683"/>
    <w:rsid w:val="00923DAF"/>
    <w:rsid w:val="009267E4"/>
    <w:rsid w:val="0093140F"/>
    <w:rsid w:val="00932C70"/>
    <w:rsid w:val="00935353"/>
    <w:rsid w:val="009418EC"/>
    <w:rsid w:val="00941970"/>
    <w:rsid w:val="0094607A"/>
    <w:rsid w:val="00951167"/>
    <w:rsid w:val="009516D0"/>
    <w:rsid w:val="00952C6B"/>
    <w:rsid w:val="00954807"/>
    <w:rsid w:val="00957021"/>
    <w:rsid w:val="00957AA0"/>
    <w:rsid w:val="00957B69"/>
    <w:rsid w:val="00960632"/>
    <w:rsid w:val="009624FD"/>
    <w:rsid w:val="00965F66"/>
    <w:rsid w:val="00972F65"/>
    <w:rsid w:val="00977094"/>
    <w:rsid w:val="00977D99"/>
    <w:rsid w:val="00980967"/>
    <w:rsid w:val="00980BE4"/>
    <w:rsid w:val="00983ED9"/>
    <w:rsid w:val="00984065"/>
    <w:rsid w:val="00986D1A"/>
    <w:rsid w:val="00986EAE"/>
    <w:rsid w:val="00990494"/>
    <w:rsid w:val="00991411"/>
    <w:rsid w:val="00992791"/>
    <w:rsid w:val="0099462E"/>
    <w:rsid w:val="00994A8E"/>
    <w:rsid w:val="00996E80"/>
    <w:rsid w:val="009A2A27"/>
    <w:rsid w:val="009A509B"/>
    <w:rsid w:val="009A71ED"/>
    <w:rsid w:val="009B12CB"/>
    <w:rsid w:val="009B3834"/>
    <w:rsid w:val="009B4F23"/>
    <w:rsid w:val="009B6FFD"/>
    <w:rsid w:val="009B7B0D"/>
    <w:rsid w:val="009C0308"/>
    <w:rsid w:val="009C117D"/>
    <w:rsid w:val="009C449D"/>
    <w:rsid w:val="009C4570"/>
    <w:rsid w:val="009C6148"/>
    <w:rsid w:val="009C6AD6"/>
    <w:rsid w:val="009C73E3"/>
    <w:rsid w:val="009D447D"/>
    <w:rsid w:val="009D7667"/>
    <w:rsid w:val="009E3DFD"/>
    <w:rsid w:val="009E5A4E"/>
    <w:rsid w:val="009F2124"/>
    <w:rsid w:val="009F2904"/>
    <w:rsid w:val="009F3FE6"/>
    <w:rsid w:val="009F7FA4"/>
    <w:rsid w:val="00A018A2"/>
    <w:rsid w:val="00A02373"/>
    <w:rsid w:val="00A056CF"/>
    <w:rsid w:val="00A1092D"/>
    <w:rsid w:val="00A1445D"/>
    <w:rsid w:val="00A157C0"/>
    <w:rsid w:val="00A236F8"/>
    <w:rsid w:val="00A2492B"/>
    <w:rsid w:val="00A2666A"/>
    <w:rsid w:val="00A30122"/>
    <w:rsid w:val="00A32AE5"/>
    <w:rsid w:val="00A35AD0"/>
    <w:rsid w:val="00A35B5A"/>
    <w:rsid w:val="00A36F8B"/>
    <w:rsid w:val="00A375F4"/>
    <w:rsid w:val="00A42151"/>
    <w:rsid w:val="00A44776"/>
    <w:rsid w:val="00A45653"/>
    <w:rsid w:val="00A51500"/>
    <w:rsid w:val="00A529DA"/>
    <w:rsid w:val="00A52A82"/>
    <w:rsid w:val="00A52E82"/>
    <w:rsid w:val="00A57752"/>
    <w:rsid w:val="00A57762"/>
    <w:rsid w:val="00A602F8"/>
    <w:rsid w:val="00A60473"/>
    <w:rsid w:val="00A61E66"/>
    <w:rsid w:val="00A64AF4"/>
    <w:rsid w:val="00A65A8C"/>
    <w:rsid w:val="00A67380"/>
    <w:rsid w:val="00A701AA"/>
    <w:rsid w:val="00A70B30"/>
    <w:rsid w:val="00A75526"/>
    <w:rsid w:val="00A76318"/>
    <w:rsid w:val="00A77343"/>
    <w:rsid w:val="00A81582"/>
    <w:rsid w:val="00A962A0"/>
    <w:rsid w:val="00AA5F90"/>
    <w:rsid w:val="00AA6093"/>
    <w:rsid w:val="00AB2F3C"/>
    <w:rsid w:val="00AC1206"/>
    <w:rsid w:val="00AC1226"/>
    <w:rsid w:val="00AC1594"/>
    <w:rsid w:val="00AC1627"/>
    <w:rsid w:val="00AC6C8D"/>
    <w:rsid w:val="00AC78A5"/>
    <w:rsid w:val="00AD0189"/>
    <w:rsid w:val="00AD0959"/>
    <w:rsid w:val="00AD1953"/>
    <w:rsid w:val="00AD479B"/>
    <w:rsid w:val="00AD66D0"/>
    <w:rsid w:val="00AD6C01"/>
    <w:rsid w:val="00AD6DE1"/>
    <w:rsid w:val="00AE21C8"/>
    <w:rsid w:val="00AE29FA"/>
    <w:rsid w:val="00AE5E82"/>
    <w:rsid w:val="00AF1CC4"/>
    <w:rsid w:val="00AF26E6"/>
    <w:rsid w:val="00AF36C6"/>
    <w:rsid w:val="00AF3EFE"/>
    <w:rsid w:val="00AF6F0B"/>
    <w:rsid w:val="00AF7F0C"/>
    <w:rsid w:val="00B01980"/>
    <w:rsid w:val="00B02B4E"/>
    <w:rsid w:val="00B04030"/>
    <w:rsid w:val="00B049DA"/>
    <w:rsid w:val="00B054C1"/>
    <w:rsid w:val="00B10847"/>
    <w:rsid w:val="00B10A96"/>
    <w:rsid w:val="00B10F73"/>
    <w:rsid w:val="00B143E0"/>
    <w:rsid w:val="00B1507C"/>
    <w:rsid w:val="00B153EB"/>
    <w:rsid w:val="00B16ACA"/>
    <w:rsid w:val="00B17D82"/>
    <w:rsid w:val="00B20880"/>
    <w:rsid w:val="00B22954"/>
    <w:rsid w:val="00B22EB1"/>
    <w:rsid w:val="00B242AB"/>
    <w:rsid w:val="00B30636"/>
    <w:rsid w:val="00B37D6B"/>
    <w:rsid w:val="00B37DE0"/>
    <w:rsid w:val="00B40179"/>
    <w:rsid w:val="00B4392A"/>
    <w:rsid w:val="00B44682"/>
    <w:rsid w:val="00B44BC8"/>
    <w:rsid w:val="00B4527D"/>
    <w:rsid w:val="00B45AD4"/>
    <w:rsid w:val="00B46C3E"/>
    <w:rsid w:val="00B5473B"/>
    <w:rsid w:val="00B54B57"/>
    <w:rsid w:val="00B54BC7"/>
    <w:rsid w:val="00B55CAD"/>
    <w:rsid w:val="00B567BD"/>
    <w:rsid w:val="00B56CEF"/>
    <w:rsid w:val="00B5723A"/>
    <w:rsid w:val="00B5789E"/>
    <w:rsid w:val="00B6111B"/>
    <w:rsid w:val="00B6191C"/>
    <w:rsid w:val="00B62DE6"/>
    <w:rsid w:val="00B63734"/>
    <w:rsid w:val="00B652E6"/>
    <w:rsid w:val="00B66C4C"/>
    <w:rsid w:val="00B72364"/>
    <w:rsid w:val="00B801C3"/>
    <w:rsid w:val="00B80BA5"/>
    <w:rsid w:val="00B85745"/>
    <w:rsid w:val="00B8586A"/>
    <w:rsid w:val="00B8679D"/>
    <w:rsid w:val="00B8727D"/>
    <w:rsid w:val="00B9577F"/>
    <w:rsid w:val="00BA0375"/>
    <w:rsid w:val="00BA09C9"/>
    <w:rsid w:val="00BA0C9B"/>
    <w:rsid w:val="00BA5023"/>
    <w:rsid w:val="00BA52C1"/>
    <w:rsid w:val="00BA5465"/>
    <w:rsid w:val="00BA5F3F"/>
    <w:rsid w:val="00BB0025"/>
    <w:rsid w:val="00BB0127"/>
    <w:rsid w:val="00BB39DB"/>
    <w:rsid w:val="00BB4912"/>
    <w:rsid w:val="00BB7BA5"/>
    <w:rsid w:val="00BC2B02"/>
    <w:rsid w:val="00BC2F32"/>
    <w:rsid w:val="00BC4395"/>
    <w:rsid w:val="00BC7542"/>
    <w:rsid w:val="00BD161D"/>
    <w:rsid w:val="00BD1A7F"/>
    <w:rsid w:val="00BD24A4"/>
    <w:rsid w:val="00BD3B14"/>
    <w:rsid w:val="00BE289D"/>
    <w:rsid w:val="00BE571D"/>
    <w:rsid w:val="00BE6322"/>
    <w:rsid w:val="00BF0A9A"/>
    <w:rsid w:val="00BF2A64"/>
    <w:rsid w:val="00BF5020"/>
    <w:rsid w:val="00BF58F5"/>
    <w:rsid w:val="00BF5B47"/>
    <w:rsid w:val="00C0046A"/>
    <w:rsid w:val="00C01061"/>
    <w:rsid w:val="00C04128"/>
    <w:rsid w:val="00C04A5C"/>
    <w:rsid w:val="00C05785"/>
    <w:rsid w:val="00C06B21"/>
    <w:rsid w:val="00C124C2"/>
    <w:rsid w:val="00C1379F"/>
    <w:rsid w:val="00C1595C"/>
    <w:rsid w:val="00C20D5F"/>
    <w:rsid w:val="00C22CB3"/>
    <w:rsid w:val="00C24AB9"/>
    <w:rsid w:val="00C25C44"/>
    <w:rsid w:val="00C301EE"/>
    <w:rsid w:val="00C31603"/>
    <w:rsid w:val="00C3401D"/>
    <w:rsid w:val="00C34B1F"/>
    <w:rsid w:val="00C35926"/>
    <w:rsid w:val="00C36F13"/>
    <w:rsid w:val="00C37B00"/>
    <w:rsid w:val="00C41B72"/>
    <w:rsid w:val="00C424A4"/>
    <w:rsid w:val="00C424F1"/>
    <w:rsid w:val="00C435B8"/>
    <w:rsid w:val="00C44B7E"/>
    <w:rsid w:val="00C476F3"/>
    <w:rsid w:val="00C608C1"/>
    <w:rsid w:val="00C616AF"/>
    <w:rsid w:val="00C64449"/>
    <w:rsid w:val="00C6570C"/>
    <w:rsid w:val="00C658DC"/>
    <w:rsid w:val="00C669C3"/>
    <w:rsid w:val="00C673CD"/>
    <w:rsid w:val="00C67C6A"/>
    <w:rsid w:val="00C70440"/>
    <w:rsid w:val="00C70E90"/>
    <w:rsid w:val="00C712A3"/>
    <w:rsid w:val="00C7155F"/>
    <w:rsid w:val="00C75CF2"/>
    <w:rsid w:val="00C8656E"/>
    <w:rsid w:val="00C87B17"/>
    <w:rsid w:val="00C91D0E"/>
    <w:rsid w:val="00C92668"/>
    <w:rsid w:val="00C931C2"/>
    <w:rsid w:val="00C95803"/>
    <w:rsid w:val="00CA0215"/>
    <w:rsid w:val="00CA1B95"/>
    <w:rsid w:val="00CA32D7"/>
    <w:rsid w:val="00CA426B"/>
    <w:rsid w:val="00CA781B"/>
    <w:rsid w:val="00CB0047"/>
    <w:rsid w:val="00CB19B9"/>
    <w:rsid w:val="00CB23DA"/>
    <w:rsid w:val="00CB7AC4"/>
    <w:rsid w:val="00CC0920"/>
    <w:rsid w:val="00CC09E9"/>
    <w:rsid w:val="00CC1EC2"/>
    <w:rsid w:val="00CC4C54"/>
    <w:rsid w:val="00CC5014"/>
    <w:rsid w:val="00CD2870"/>
    <w:rsid w:val="00CE3E72"/>
    <w:rsid w:val="00CE44F9"/>
    <w:rsid w:val="00CE4543"/>
    <w:rsid w:val="00CE6310"/>
    <w:rsid w:val="00CF1454"/>
    <w:rsid w:val="00CF480D"/>
    <w:rsid w:val="00CF4C77"/>
    <w:rsid w:val="00CF5E43"/>
    <w:rsid w:val="00D00C13"/>
    <w:rsid w:val="00D037C6"/>
    <w:rsid w:val="00D03CBA"/>
    <w:rsid w:val="00D042E6"/>
    <w:rsid w:val="00D1453C"/>
    <w:rsid w:val="00D21FFD"/>
    <w:rsid w:val="00D34E0F"/>
    <w:rsid w:val="00D36E74"/>
    <w:rsid w:val="00D377B1"/>
    <w:rsid w:val="00D41D35"/>
    <w:rsid w:val="00D4469A"/>
    <w:rsid w:val="00D44E76"/>
    <w:rsid w:val="00D4593F"/>
    <w:rsid w:val="00D47483"/>
    <w:rsid w:val="00D50064"/>
    <w:rsid w:val="00D535F1"/>
    <w:rsid w:val="00D55129"/>
    <w:rsid w:val="00D5524E"/>
    <w:rsid w:val="00D60888"/>
    <w:rsid w:val="00D61B33"/>
    <w:rsid w:val="00D6253D"/>
    <w:rsid w:val="00D635B9"/>
    <w:rsid w:val="00D636D5"/>
    <w:rsid w:val="00D650FD"/>
    <w:rsid w:val="00D6534C"/>
    <w:rsid w:val="00D65FE2"/>
    <w:rsid w:val="00D66057"/>
    <w:rsid w:val="00D668DD"/>
    <w:rsid w:val="00D66A03"/>
    <w:rsid w:val="00D679B0"/>
    <w:rsid w:val="00D7018F"/>
    <w:rsid w:val="00D70803"/>
    <w:rsid w:val="00D70E98"/>
    <w:rsid w:val="00D758AA"/>
    <w:rsid w:val="00D76B0C"/>
    <w:rsid w:val="00D8432E"/>
    <w:rsid w:val="00D854DF"/>
    <w:rsid w:val="00D86C13"/>
    <w:rsid w:val="00D86DB3"/>
    <w:rsid w:val="00D9195F"/>
    <w:rsid w:val="00D94337"/>
    <w:rsid w:val="00DA0A27"/>
    <w:rsid w:val="00DA323C"/>
    <w:rsid w:val="00DA6438"/>
    <w:rsid w:val="00DB0F1B"/>
    <w:rsid w:val="00DB2936"/>
    <w:rsid w:val="00DB6495"/>
    <w:rsid w:val="00DC143D"/>
    <w:rsid w:val="00DC168A"/>
    <w:rsid w:val="00DC30EC"/>
    <w:rsid w:val="00DC70B3"/>
    <w:rsid w:val="00DD1306"/>
    <w:rsid w:val="00DD1A9A"/>
    <w:rsid w:val="00DD2226"/>
    <w:rsid w:val="00DD53CB"/>
    <w:rsid w:val="00DD63EA"/>
    <w:rsid w:val="00DD68BA"/>
    <w:rsid w:val="00DE1759"/>
    <w:rsid w:val="00DE335D"/>
    <w:rsid w:val="00DE353F"/>
    <w:rsid w:val="00DE3BEE"/>
    <w:rsid w:val="00DE521D"/>
    <w:rsid w:val="00DE6A00"/>
    <w:rsid w:val="00DE71CF"/>
    <w:rsid w:val="00DF00E1"/>
    <w:rsid w:val="00DF016F"/>
    <w:rsid w:val="00DF1571"/>
    <w:rsid w:val="00DF6C54"/>
    <w:rsid w:val="00E0145E"/>
    <w:rsid w:val="00E02630"/>
    <w:rsid w:val="00E02D44"/>
    <w:rsid w:val="00E05025"/>
    <w:rsid w:val="00E12751"/>
    <w:rsid w:val="00E14553"/>
    <w:rsid w:val="00E14B7E"/>
    <w:rsid w:val="00E17DA3"/>
    <w:rsid w:val="00E206D9"/>
    <w:rsid w:val="00E225B5"/>
    <w:rsid w:val="00E22AEC"/>
    <w:rsid w:val="00E22BBE"/>
    <w:rsid w:val="00E22C8A"/>
    <w:rsid w:val="00E22DDA"/>
    <w:rsid w:val="00E234D4"/>
    <w:rsid w:val="00E25749"/>
    <w:rsid w:val="00E263CA"/>
    <w:rsid w:val="00E32672"/>
    <w:rsid w:val="00E34073"/>
    <w:rsid w:val="00E34A2F"/>
    <w:rsid w:val="00E41305"/>
    <w:rsid w:val="00E42B8E"/>
    <w:rsid w:val="00E4548C"/>
    <w:rsid w:val="00E45CE4"/>
    <w:rsid w:val="00E504E5"/>
    <w:rsid w:val="00E56A31"/>
    <w:rsid w:val="00E60430"/>
    <w:rsid w:val="00E6517F"/>
    <w:rsid w:val="00E65915"/>
    <w:rsid w:val="00E716F8"/>
    <w:rsid w:val="00E71CF5"/>
    <w:rsid w:val="00E7226E"/>
    <w:rsid w:val="00E74416"/>
    <w:rsid w:val="00E752B2"/>
    <w:rsid w:val="00E758A2"/>
    <w:rsid w:val="00E75E63"/>
    <w:rsid w:val="00E80292"/>
    <w:rsid w:val="00E8293F"/>
    <w:rsid w:val="00E84193"/>
    <w:rsid w:val="00E85329"/>
    <w:rsid w:val="00E8689D"/>
    <w:rsid w:val="00E878FA"/>
    <w:rsid w:val="00E928B3"/>
    <w:rsid w:val="00E92C3E"/>
    <w:rsid w:val="00E96EBD"/>
    <w:rsid w:val="00E973F0"/>
    <w:rsid w:val="00E97CE9"/>
    <w:rsid w:val="00EA00C5"/>
    <w:rsid w:val="00EA152C"/>
    <w:rsid w:val="00EA2556"/>
    <w:rsid w:val="00EA28A1"/>
    <w:rsid w:val="00EA3ECF"/>
    <w:rsid w:val="00EA4FF7"/>
    <w:rsid w:val="00EA5CCB"/>
    <w:rsid w:val="00EA7507"/>
    <w:rsid w:val="00EB1E81"/>
    <w:rsid w:val="00EB3651"/>
    <w:rsid w:val="00EB3707"/>
    <w:rsid w:val="00EB39FE"/>
    <w:rsid w:val="00EB428A"/>
    <w:rsid w:val="00EB5001"/>
    <w:rsid w:val="00EB67D9"/>
    <w:rsid w:val="00EB7ECB"/>
    <w:rsid w:val="00EC36E7"/>
    <w:rsid w:val="00EC39BC"/>
    <w:rsid w:val="00EC538C"/>
    <w:rsid w:val="00EC7FEB"/>
    <w:rsid w:val="00ED03C5"/>
    <w:rsid w:val="00ED2369"/>
    <w:rsid w:val="00ED4355"/>
    <w:rsid w:val="00ED5054"/>
    <w:rsid w:val="00ED723C"/>
    <w:rsid w:val="00EE20E9"/>
    <w:rsid w:val="00EE5646"/>
    <w:rsid w:val="00EE6400"/>
    <w:rsid w:val="00EE6672"/>
    <w:rsid w:val="00F02717"/>
    <w:rsid w:val="00F02B84"/>
    <w:rsid w:val="00F0415C"/>
    <w:rsid w:val="00F112C0"/>
    <w:rsid w:val="00F1168B"/>
    <w:rsid w:val="00F132CE"/>
    <w:rsid w:val="00F1445E"/>
    <w:rsid w:val="00F146A6"/>
    <w:rsid w:val="00F15FF6"/>
    <w:rsid w:val="00F200DD"/>
    <w:rsid w:val="00F2124D"/>
    <w:rsid w:val="00F243F2"/>
    <w:rsid w:val="00F24C10"/>
    <w:rsid w:val="00F313DC"/>
    <w:rsid w:val="00F34F43"/>
    <w:rsid w:val="00F3678E"/>
    <w:rsid w:val="00F37DAB"/>
    <w:rsid w:val="00F42376"/>
    <w:rsid w:val="00F42EB5"/>
    <w:rsid w:val="00F44341"/>
    <w:rsid w:val="00F44413"/>
    <w:rsid w:val="00F46049"/>
    <w:rsid w:val="00F467FE"/>
    <w:rsid w:val="00F52995"/>
    <w:rsid w:val="00F611CD"/>
    <w:rsid w:val="00F619B4"/>
    <w:rsid w:val="00F706C4"/>
    <w:rsid w:val="00F73270"/>
    <w:rsid w:val="00F7363E"/>
    <w:rsid w:val="00F74AEB"/>
    <w:rsid w:val="00F74B63"/>
    <w:rsid w:val="00F75F7D"/>
    <w:rsid w:val="00F81F32"/>
    <w:rsid w:val="00F837D0"/>
    <w:rsid w:val="00F86768"/>
    <w:rsid w:val="00F91933"/>
    <w:rsid w:val="00F92A3F"/>
    <w:rsid w:val="00F9532E"/>
    <w:rsid w:val="00FA017B"/>
    <w:rsid w:val="00FA05EC"/>
    <w:rsid w:val="00FA129D"/>
    <w:rsid w:val="00FA4709"/>
    <w:rsid w:val="00FA5DF1"/>
    <w:rsid w:val="00FB0BF5"/>
    <w:rsid w:val="00FB0CA7"/>
    <w:rsid w:val="00FB1635"/>
    <w:rsid w:val="00FB2C49"/>
    <w:rsid w:val="00FB3DB2"/>
    <w:rsid w:val="00FB4C4F"/>
    <w:rsid w:val="00FC0028"/>
    <w:rsid w:val="00FC259D"/>
    <w:rsid w:val="00FC2759"/>
    <w:rsid w:val="00FC351F"/>
    <w:rsid w:val="00FC3BA9"/>
    <w:rsid w:val="00FC3BE5"/>
    <w:rsid w:val="00FD3280"/>
    <w:rsid w:val="00FD462A"/>
    <w:rsid w:val="00FD5BCE"/>
    <w:rsid w:val="00FD6324"/>
    <w:rsid w:val="00FD7680"/>
    <w:rsid w:val="00FE2C2C"/>
    <w:rsid w:val="00FE5BE4"/>
    <w:rsid w:val="00FE7591"/>
    <w:rsid w:val="00FE7947"/>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FA"/>
    <w:rPr>
      <w:rFonts w:ascii="Times New Roman" w:eastAsia="Times New Roman" w:hAnsi="Times New Roman" w:cs="Times New Roman"/>
      <w:kern w:val="0"/>
      <w14:ligatures w14:val="none"/>
    </w:rPr>
  </w:style>
  <w:style w:type="paragraph" w:styleId="Heading4">
    <w:name w:val="heading 4"/>
    <w:basedOn w:val="Normal"/>
    <w:next w:val="Normal"/>
    <w:link w:val="Heading4Char"/>
    <w:uiPriority w:val="9"/>
    <w:semiHidden/>
    <w:unhideWhenUsed/>
    <w:qFormat/>
    <w:rsid w:val="004E02F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5B5"/>
    <w:rPr>
      <w:sz w:val="16"/>
      <w:szCs w:val="16"/>
    </w:rPr>
  </w:style>
  <w:style w:type="character" w:styleId="Hyperlink">
    <w:name w:val="Hyperlink"/>
    <w:basedOn w:val="DefaultParagraphFont"/>
    <w:uiPriority w:val="99"/>
    <w:unhideWhenUsed/>
    <w:rsid w:val="004D55B5"/>
    <w:rPr>
      <w:color w:val="0000FF"/>
      <w:u w:val="single"/>
    </w:rPr>
  </w:style>
  <w:style w:type="paragraph" w:styleId="ListParagraph">
    <w:name w:val="List Paragraph"/>
    <w:basedOn w:val="Normal"/>
    <w:uiPriority w:val="34"/>
    <w:qFormat/>
    <w:rsid w:val="00793BBB"/>
    <w:pPr>
      <w:ind w:left="720"/>
      <w:contextualSpacing/>
    </w:pPr>
  </w:style>
  <w:style w:type="paragraph" w:styleId="CommentText">
    <w:name w:val="annotation text"/>
    <w:basedOn w:val="Normal"/>
    <w:link w:val="CommentTextChar"/>
    <w:uiPriority w:val="99"/>
    <w:unhideWhenUsed/>
    <w:rsid w:val="0028085D"/>
    <w:rPr>
      <w:sz w:val="20"/>
      <w:szCs w:val="20"/>
    </w:rPr>
  </w:style>
  <w:style w:type="character" w:customStyle="1" w:styleId="CommentTextChar">
    <w:name w:val="Comment Text Char"/>
    <w:basedOn w:val="DefaultParagraphFont"/>
    <w:link w:val="CommentText"/>
    <w:uiPriority w:val="99"/>
    <w:rsid w:val="0028085D"/>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8085D"/>
    <w:rPr>
      <w:b/>
      <w:bCs/>
    </w:rPr>
  </w:style>
  <w:style w:type="character" w:customStyle="1" w:styleId="CommentSubjectChar">
    <w:name w:val="Comment Subject Char"/>
    <w:basedOn w:val="CommentTextChar"/>
    <w:link w:val="CommentSubject"/>
    <w:uiPriority w:val="99"/>
    <w:semiHidden/>
    <w:rsid w:val="0028085D"/>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1C7CE2"/>
    <w:pPr>
      <w:tabs>
        <w:tab w:val="center" w:pos="4680"/>
        <w:tab w:val="right" w:pos="9360"/>
      </w:tabs>
    </w:pPr>
  </w:style>
  <w:style w:type="character" w:customStyle="1" w:styleId="HeaderChar">
    <w:name w:val="Header Char"/>
    <w:basedOn w:val="DefaultParagraphFont"/>
    <w:link w:val="Header"/>
    <w:uiPriority w:val="99"/>
    <w:rsid w:val="001C7CE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1C7CE2"/>
    <w:pPr>
      <w:tabs>
        <w:tab w:val="center" w:pos="4680"/>
        <w:tab w:val="right" w:pos="9360"/>
      </w:tabs>
    </w:pPr>
  </w:style>
  <w:style w:type="character" w:customStyle="1" w:styleId="FooterChar">
    <w:name w:val="Footer Char"/>
    <w:basedOn w:val="DefaultParagraphFont"/>
    <w:link w:val="Footer"/>
    <w:uiPriority w:val="99"/>
    <w:rsid w:val="001C7CE2"/>
    <w:rPr>
      <w:rFonts w:ascii="Times New Roman" w:eastAsia="Times New Roman" w:hAnsi="Times New Roman" w:cs="Times New Roman"/>
      <w:kern w:val="0"/>
      <w14:ligatures w14:val="none"/>
    </w:rPr>
  </w:style>
  <w:style w:type="paragraph" w:styleId="NormalWeb">
    <w:name w:val="Normal (Web)"/>
    <w:basedOn w:val="Normal"/>
    <w:uiPriority w:val="99"/>
    <w:unhideWhenUsed/>
    <w:rsid w:val="005C18C4"/>
    <w:pPr>
      <w:spacing w:before="100" w:beforeAutospacing="1" w:after="100" w:afterAutospacing="1"/>
    </w:pPr>
  </w:style>
  <w:style w:type="character" w:styleId="Strong">
    <w:name w:val="Strong"/>
    <w:basedOn w:val="DefaultParagraphFont"/>
    <w:uiPriority w:val="22"/>
    <w:qFormat/>
    <w:rsid w:val="005C18C4"/>
    <w:rPr>
      <w:b/>
      <w:bCs/>
    </w:rPr>
  </w:style>
  <w:style w:type="character" w:styleId="Emphasis">
    <w:name w:val="Emphasis"/>
    <w:basedOn w:val="DefaultParagraphFont"/>
    <w:uiPriority w:val="20"/>
    <w:qFormat/>
    <w:rsid w:val="005C18C4"/>
    <w:rPr>
      <w:i/>
      <w:iCs/>
    </w:rPr>
  </w:style>
  <w:style w:type="character" w:styleId="UnresolvedMention">
    <w:name w:val="Unresolved Mention"/>
    <w:basedOn w:val="DefaultParagraphFont"/>
    <w:uiPriority w:val="99"/>
    <w:semiHidden/>
    <w:unhideWhenUsed/>
    <w:rsid w:val="00235723"/>
    <w:rPr>
      <w:color w:val="605E5C"/>
      <w:shd w:val="clear" w:color="auto" w:fill="E1DFDD"/>
    </w:rPr>
  </w:style>
  <w:style w:type="paragraph" w:customStyle="1" w:styleId="paragraph">
    <w:name w:val="paragraph"/>
    <w:basedOn w:val="Normal"/>
    <w:rsid w:val="00235723"/>
    <w:pPr>
      <w:spacing w:before="100" w:beforeAutospacing="1" w:after="100" w:afterAutospacing="1"/>
    </w:pPr>
  </w:style>
  <w:style w:type="character" w:styleId="FollowedHyperlink">
    <w:name w:val="FollowedHyperlink"/>
    <w:basedOn w:val="DefaultParagraphFont"/>
    <w:uiPriority w:val="99"/>
    <w:semiHidden/>
    <w:unhideWhenUsed/>
    <w:rsid w:val="009267E4"/>
    <w:rPr>
      <w:color w:val="954F72" w:themeColor="followedHyperlink"/>
      <w:u w:val="single"/>
    </w:rPr>
  </w:style>
  <w:style w:type="paragraph" w:styleId="Bibliography">
    <w:name w:val="Bibliography"/>
    <w:basedOn w:val="Normal"/>
    <w:next w:val="Normal"/>
    <w:uiPriority w:val="37"/>
    <w:semiHidden/>
    <w:unhideWhenUsed/>
    <w:rsid w:val="00D34E0F"/>
  </w:style>
  <w:style w:type="character" w:styleId="PageNumber">
    <w:name w:val="page number"/>
    <w:basedOn w:val="DefaultParagraphFont"/>
    <w:uiPriority w:val="99"/>
    <w:semiHidden/>
    <w:unhideWhenUsed/>
    <w:rsid w:val="003260DC"/>
  </w:style>
  <w:style w:type="table" w:styleId="TableGrid">
    <w:name w:val="Table Grid"/>
    <w:basedOn w:val="TableNormal"/>
    <w:uiPriority w:val="39"/>
    <w:rsid w:val="00E0263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4E02F2"/>
  </w:style>
  <w:style w:type="character" w:customStyle="1" w:styleId="Heading4Char">
    <w:name w:val="Heading 4 Char"/>
    <w:basedOn w:val="DefaultParagraphFont"/>
    <w:link w:val="Heading4"/>
    <w:uiPriority w:val="9"/>
    <w:semiHidden/>
    <w:rsid w:val="004E02F2"/>
    <w:rPr>
      <w:rFonts w:asciiTheme="majorHAnsi" w:eastAsiaTheme="majorEastAsia" w:hAnsiTheme="majorHAnsi" w:cstheme="majorBidi"/>
      <w:i/>
      <w:iCs/>
      <w:color w:val="2F5496" w:themeColor="accent1" w:themeShade="BF"/>
      <w:kern w:val="0"/>
      <w14:ligatures w14:val="none"/>
    </w:rPr>
  </w:style>
  <w:style w:type="paragraph" w:styleId="Revision">
    <w:name w:val="Revision"/>
    <w:hidden/>
    <w:uiPriority w:val="99"/>
    <w:semiHidden/>
    <w:rsid w:val="00C05785"/>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46">
      <w:bodyDiv w:val="1"/>
      <w:marLeft w:val="0"/>
      <w:marRight w:val="0"/>
      <w:marTop w:val="0"/>
      <w:marBottom w:val="0"/>
      <w:divBdr>
        <w:top w:val="none" w:sz="0" w:space="0" w:color="auto"/>
        <w:left w:val="none" w:sz="0" w:space="0" w:color="auto"/>
        <w:bottom w:val="none" w:sz="0" w:space="0" w:color="auto"/>
        <w:right w:val="none" w:sz="0" w:space="0" w:color="auto"/>
      </w:divBdr>
      <w:divsChild>
        <w:div w:id="2130199793">
          <w:marLeft w:val="0"/>
          <w:marRight w:val="0"/>
          <w:marTop w:val="0"/>
          <w:marBottom w:val="0"/>
          <w:divBdr>
            <w:top w:val="single" w:sz="2" w:space="0" w:color="auto"/>
            <w:left w:val="single" w:sz="2" w:space="0" w:color="auto"/>
            <w:bottom w:val="single" w:sz="6" w:space="0" w:color="auto"/>
            <w:right w:val="single" w:sz="2" w:space="0" w:color="auto"/>
          </w:divBdr>
          <w:divsChild>
            <w:div w:id="809634313">
              <w:marLeft w:val="0"/>
              <w:marRight w:val="0"/>
              <w:marTop w:val="100"/>
              <w:marBottom w:val="100"/>
              <w:divBdr>
                <w:top w:val="single" w:sz="2" w:space="0" w:color="D9D9E3"/>
                <w:left w:val="single" w:sz="2" w:space="0" w:color="D9D9E3"/>
                <w:bottom w:val="single" w:sz="2" w:space="0" w:color="D9D9E3"/>
                <w:right w:val="single" w:sz="2" w:space="0" w:color="D9D9E3"/>
              </w:divBdr>
              <w:divsChild>
                <w:div w:id="737283247">
                  <w:marLeft w:val="0"/>
                  <w:marRight w:val="0"/>
                  <w:marTop w:val="0"/>
                  <w:marBottom w:val="0"/>
                  <w:divBdr>
                    <w:top w:val="single" w:sz="2" w:space="0" w:color="D9D9E3"/>
                    <w:left w:val="single" w:sz="2" w:space="0" w:color="D9D9E3"/>
                    <w:bottom w:val="single" w:sz="2" w:space="0" w:color="D9D9E3"/>
                    <w:right w:val="single" w:sz="2" w:space="0" w:color="D9D9E3"/>
                  </w:divBdr>
                  <w:divsChild>
                    <w:div w:id="1927226949">
                      <w:marLeft w:val="0"/>
                      <w:marRight w:val="0"/>
                      <w:marTop w:val="0"/>
                      <w:marBottom w:val="0"/>
                      <w:divBdr>
                        <w:top w:val="single" w:sz="2" w:space="0" w:color="D9D9E3"/>
                        <w:left w:val="single" w:sz="2" w:space="0" w:color="D9D9E3"/>
                        <w:bottom w:val="single" w:sz="2" w:space="0" w:color="D9D9E3"/>
                        <w:right w:val="single" w:sz="2" w:space="0" w:color="D9D9E3"/>
                      </w:divBdr>
                      <w:divsChild>
                        <w:div w:id="1308978443">
                          <w:marLeft w:val="0"/>
                          <w:marRight w:val="0"/>
                          <w:marTop w:val="0"/>
                          <w:marBottom w:val="0"/>
                          <w:divBdr>
                            <w:top w:val="single" w:sz="2" w:space="0" w:color="D9D9E3"/>
                            <w:left w:val="single" w:sz="2" w:space="0" w:color="D9D9E3"/>
                            <w:bottom w:val="single" w:sz="2" w:space="0" w:color="D9D9E3"/>
                            <w:right w:val="single" w:sz="2" w:space="0" w:color="D9D9E3"/>
                          </w:divBdr>
                          <w:divsChild>
                            <w:div w:id="2113553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754320">
      <w:bodyDiv w:val="1"/>
      <w:marLeft w:val="0"/>
      <w:marRight w:val="0"/>
      <w:marTop w:val="0"/>
      <w:marBottom w:val="0"/>
      <w:divBdr>
        <w:top w:val="none" w:sz="0" w:space="0" w:color="auto"/>
        <w:left w:val="none" w:sz="0" w:space="0" w:color="auto"/>
        <w:bottom w:val="none" w:sz="0" w:space="0" w:color="auto"/>
        <w:right w:val="none" w:sz="0" w:space="0" w:color="auto"/>
      </w:divBdr>
    </w:div>
    <w:div w:id="104349963">
      <w:bodyDiv w:val="1"/>
      <w:marLeft w:val="0"/>
      <w:marRight w:val="0"/>
      <w:marTop w:val="0"/>
      <w:marBottom w:val="0"/>
      <w:divBdr>
        <w:top w:val="none" w:sz="0" w:space="0" w:color="auto"/>
        <w:left w:val="none" w:sz="0" w:space="0" w:color="auto"/>
        <w:bottom w:val="none" w:sz="0" w:space="0" w:color="auto"/>
        <w:right w:val="none" w:sz="0" w:space="0" w:color="auto"/>
      </w:divBdr>
      <w:divsChild>
        <w:div w:id="1192692774">
          <w:marLeft w:val="0"/>
          <w:marRight w:val="0"/>
          <w:marTop w:val="0"/>
          <w:marBottom w:val="0"/>
          <w:divBdr>
            <w:top w:val="none" w:sz="0" w:space="0" w:color="auto"/>
            <w:left w:val="none" w:sz="0" w:space="0" w:color="auto"/>
            <w:bottom w:val="none" w:sz="0" w:space="0" w:color="auto"/>
            <w:right w:val="none" w:sz="0" w:space="0" w:color="auto"/>
          </w:divBdr>
        </w:div>
      </w:divsChild>
    </w:div>
    <w:div w:id="110322471">
      <w:bodyDiv w:val="1"/>
      <w:marLeft w:val="0"/>
      <w:marRight w:val="0"/>
      <w:marTop w:val="0"/>
      <w:marBottom w:val="0"/>
      <w:divBdr>
        <w:top w:val="none" w:sz="0" w:space="0" w:color="auto"/>
        <w:left w:val="none" w:sz="0" w:space="0" w:color="auto"/>
        <w:bottom w:val="none" w:sz="0" w:space="0" w:color="auto"/>
        <w:right w:val="none" w:sz="0" w:space="0" w:color="auto"/>
      </w:divBdr>
      <w:divsChild>
        <w:div w:id="893126026">
          <w:marLeft w:val="0"/>
          <w:marRight w:val="0"/>
          <w:marTop w:val="0"/>
          <w:marBottom w:val="0"/>
          <w:divBdr>
            <w:top w:val="none" w:sz="0" w:space="0" w:color="auto"/>
            <w:left w:val="none" w:sz="0" w:space="0" w:color="auto"/>
            <w:bottom w:val="none" w:sz="0" w:space="0" w:color="auto"/>
            <w:right w:val="none" w:sz="0" w:space="0" w:color="auto"/>
          </w:divBdr>
        </w:div>
      </w:divsChild>
    </w:div>
    <w:div w:id="119760806">
      <w:bodyDiv w:val="1"/>
      <w:marLeft w:val="0"/>
      <w:marRight w:val="0"/>
      <w:marTop w:val="0"/>
      <w:marBottom w:val="0"/>
      <w:divBdr>
        <w:top w:val="none" w:sz="0" w:space="0" w:color="auto"/>
        <w:left w:val="none" w:sz="0" w:space="0" w:color="auto"/>
        <w:bottom w:val="none" w:sz="0" w:space="0" w:color="auto"/>
        <w:right w:val="none" w:sz="0" w:space="0" w:color="auto"/>
      </w:divBdr>
      <w:divsChild>
        <w:div w:id="2080442038">
          <w:marLeft w:val="0"/>
          <w:marRight w:val="0"/>
          <w:marTop w:val="0"/>
          <w:marBottom w:val="0"/>
          <w:divBdr>
            <w:top w:val="single" w:sz="2" w:space="0" w:color="auto"/>
            <w:left w:val="single" w:sz="2" w:space="0" w:color="auto"/>
            <w:bottom w:val="single" w:sz="6" w:space="0" w:color="auto"/>
            <w:right w:val="single" w:sz="2" w:space="0" w:color="auto"/>
          </w:divBdr>
          <w:divsChild>
            <w:div w:id="482891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499717">
                  <w:marLeft w:val="0"/>
                  <w:marRight w:val="0"/>
                  <w:marTop w:val="0"/>
                  <w:marBottom w:val="0"/>
                  <w:divBdr>
                    <w:top w:val="single" w:sz="2" w:space="0" w:color="D9D9E3"/>
                    <w:left w:val="single" w:sz="2" w:space="0" w:color="D9D9E3"/>
                    <w:bottom w:val="single" w:sz="2" w:space="0" w:color="D9D9E3"/>
                    <w:right w:val="single" w:sz="2" w:space="0" w:color="D9D9E3"/>
                  </w:divBdr>
                  <w:divsChild>
                    <w:div w:id="587425604">
                      <w:marLeft w:val="0"/>
                      <w:marRight w:val="0"/>
                      <w:marTop w:val="0"/>
                      <w:marBottom w:val="0"/>
                      <w:divBdr>
                        <w:top w:val="single" w:sz="2" w:space="0" w:color="D9D9E3"/>
                        <w:left w:val="single" w:sz="2" w:space="0" w:color="D9D9E3"/>
                        <w:bottom w:val="single" w:sz="2" w:space="0" w:color="D9D9E3"/>
                        <w:right w:val="single" w:sz="2" w:space="0" w:color="D9D9E3"/>
                      </w:divBdr>
                      <w:divsChild>
                        <w:div w:id="681664162">
                          <w:marLeft w:val="0"/>
                          <w:marRight w:val="0"/>
                          <w:marTop w:val="0"/>
                          <w:marBottom w:val="0"/>
                          <w:divBdr>
                            <w:top w:val="single" w:sz="2" w:space="0" w:color="D9D9E3"/>
                            <w:left w:val="single" w:sz="2" w:space="0" w:color="D9D9E3"/>
                            <w:bottom w:val="single" w:sz="2" w:space="0" w:color="D9D9E3"/>
                            <w:right w:val="single" w:sz="2" w:space="0" w:color="D9D9E3"/>
                          </w:divBdr>
                          <w:divsChild>
                            <w:div w:id="369720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9908239">
      <w:bodyDiv w:val="1"/>
      <w:marLeft w:val="0"/>
      <w:marRight w:val="0"/>
      <w:marTop w:val="0"/>
      <w:marBottom w:val="0"/>
      <w:divBdr>
        <w:top w:val="none" w:sz="0" w:space="0" w:color="auto"/>
        <w:left w:val="none" w:sz="0" w:space="0" w:color="auto"/>
        <w:bottom w:val="none" w:sz="0" w:space="0" w:color="auto"/>
        <w:right w:val="none" w:sz="0" w:space="0" w:color="auto"/>
      </w:divBdr>
    </w:div>
    <w:div w:id="132406625">
      <w:bodyDiv w:val="1"/>
      <w:marLeft w:val="0"/>
      <w:marRight w:val="0"/>
      <w:marTop w:val="0"/>
      <w:marBottom w:val="0"/>
      <w:divBdr>
        <w:top w:val="none" w:sz="0" w:space="0" w:color="auto"/>
        <w:left w:val="none" w:sz="0" w:space="0" w:color="auto"/>
        <w:bottom w:val="none" w:sz="0" w:space="0" w:color="auto"/>
        <w:right w:val="none" w:sz="0" w:space="0" w:color="auto"/>
      </w:divBdr>
      <w:divsChild>
        <w:div w:id="142358725">
          <w:marLeft w:val="0"/>
          <w:marRight w:val="0"/>
          <w:marTop w:val="0"/>
          <w:marBottom w:val="0"/>
          <w:divBdr>
            <w:top w:val="none" w:sz="0" w:space="0" w:color="auto"/>
            <w:left w:val="none" w:sz="0" w:space="0" w:color="auto"/>
            <w:bottom w:val="none" w:sz="0" w:space="0" w:color="auto"/>
            <w:right w:val="none" w:sz="0" w:space="0" w:color="auto"/>
          </w:divBdr>
        </w:div>
        <w:div w:id="249975379">
          <w:marLeft w:val="0"/>
          <w:marRight w:val="0"/>
          <w:marTop w:val="0"/>
          <w:marBottom w:val="0"/>
          <w:divBdr>
            <w:top w:val="none" w:sz="0" w:space="0" w:color="auto"/>
            <w:left w:val="none" w:sz="0" w:space="0" w:color="auto"/>
            <w:bottom w:val="none" w:sz="0" w:space="0" w:color="auto"/>
            <w:right w:val="none" w:sz="0" w:space="0" w:color="auto"/>
          </w:divBdr>
        </w:div>
        <w:div w:id="509954550">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203395756">
          <w:marLeft w:val="0"/>
          <w:marRight w:val="0"/>
          <w:marTop w:val="0"/>
          <w:marBottom w:val="0"/>
          <w:divBdr>
            <w:top w:val="none" w:sz="0" w:space="0" w:color="auto"/>
            <w:left w:val="none" w:sz="0" w:space="0" w:color="auto"/>
            <w:bottom w:val="none" w:sz="0" w:space="0" w:color="auto"/>
            <w:right w:val="none" w:sz="0" w:space="0" w:color="auto"/>
          </w:divBdr>
        </w:div>
        <w:div w:id="1312637273">
          <w:marLeft w:val="0"/>
          <w:marRight w:val="0"/>
          <w:marTop w:val="0"/>
          <w:marBottom w:val="0"/>
          <w:divBdr>
            <w:top w:val="none" w:sz="0" w:space="0" w:color="auto"/>
            <w:left w:val="none" w:sz="0" w:space="0" w:color="auto"/>
            <w:bottom w:val="none" w:sz="0" w:space="0" w:color="auto"/>
            <w:right w:val="none" w:sz="0" w:space="0" w:color="auto"/>
          </w:divBdr>
        </w:div>
        <w:div w:id="1316764098">
          <w:marLeft w:val="0"/>
          <w:marRight w:val="0"/>
          <w:marTop w:val="0"/>
          <w:marBottom w:val="0"/>
          <w:divBdr>
            <w:top w:val="none" w:sz="0" w:space="0" w:color="auto"/>
            <w:left w:val="none" w:sz="0" w:space="0" w:color="auto"/>
            <w:bottom w:val="none" w:sz="0" w:space="0" w:color="auto"/>
            <w:right w:val="none" w:sz="0" w:space="0" w:color="auto"/>
          </w:divBdr>
        </w:div>
        <w:div w:id="1454251469">
          <w:marLeft w:val="0"/>
          <w:marRight w:val="0"/>
          <w:marTop w:val="0"/>
          <w:marBottom w:val="0"/>
          <w:divBdr>
            <w:top w:val="none" w:sz="0" w:space="0" w:color="auto"/>
            <w:left w:val="none" w:sz="0" w:space="0" w:color="auto"/>
            <w:bottom w:val="none" w:sz="0" w:space="0" w:color="auto"/>
            <w:right w:val="none" w:sz="0" w:space="0" w:color="auto"/>
          </w:divBdr>
        </w:div>
        <w:div w:id="1570458441">
          <w:marLeft w:val="0"/>
          <w:marRight w:val="0"/>
          <w:marTop w:val="0"/>
          <w:marBottom w:val="0"/>
          <w:divBdr>
            <w:top w:val="none" w:sz="0" w:space="0" w:color="auto"/>
            <w:left w:val="none" w:sz="0" w:space="0" w:color="auto"/>
            <w:bottom w:val="none" w:sz="0" w:space="0" w:color="auto"/>
            <w:right w:val="none" w:sz="0" w:space="0" w:color="auto"/>
          </w:divBdr>
        </w:div>
        <w:div w:id="1881279604">
          <w:marLeft w:val="0"/>
          <w:marRight w:val="0"/>
          <w:marTop w:val="0"/>
          <w:marBottom w:val="0"/>
          <w:divBdr>
            <w:top w:val="none" w:sz="0" w:space="0" w:color="auto"/>
            <w:left w:val="none" w:sz="0" w:space="0" w:color="auto"/>
            <w:bottom w:val="none" w:sz="0" w:space="0" w:color="auto"/>
            <w:right w:val="none" w:sz="0" w:space="0" w:color="auto"/>
          </w:divBdr>
        </w:div>
      </w:divsChild>
    </w:div>
    <w:div w:id="136538531">
      <w:bodyDiv w:val="1"/>
      <w:marLeft w:val="0"/>
      <w:marRight w:val="0"/>
      <w:marTop w:val="0"/>
      <w:marBottom w:val="0"/>
      <w:divBdr>
        <w:top w:val="none" w:sz="0" w:space="0" w:color="auto"/>
        <w:left w:val="none" w:sz="0" w:space="0" w:color="auto"/>
        <w:bottom w:val="none" w:sz="0" w:space="0" w:color="auto"/>
        <w:right w:val="none" w:sz="0" w:space="0" w:color="auto"/>
      </w:divBdr>
      <w:divsChild>
        <w:div w:id="63533301">
          <w:marLeft w:val="0"/>
          <w:marRight w:val="0"/>
          <w:marTop w:val="0"/>
          <w:marBottom w:val="0"/>
          <w:divBdr>
            <w:top w:val="none" w:sz="0" w:space="0" w:color="auto"/>
            <w:left w:val="none" w:sz="0" w:space="0" w:color="auto"/>
            <w:bottom w:val="none" w:sz="0" w:space="0" w:color="auto"/>
            <w:right w:val="none" w:sz="0" w:space="0" w:color="auto"/>
          </w:divBdr>
        </w:div>
      </w:divsChild>
    </w:div>
    <w:div w:id="208884361">
      <w:bodyDiv w:val="1"/>
      <w:marLeft w:val="0"/>
      <w:marRight w:val="0"/>
      <w:marTop w:val="0"/>
      <w:marBottom w:val="0"/>
      <w:divBdr>
        <w:top w:val="none" w:sz="0" w:space="0" w:color="auto"/>
        <w:left w:val="none" w:sz="0" w:space="0" w:color="auto"/>
        <w:bottom w:val="none" w:sz="0" w:space="0" w:color="auto"/>
        <w:right w:val="none" w:sz="0" w:space="0" w:color="auto"/>
      </w:divBdr>
    </w:div>
    <w:div w:id="338235332">
      <w:bodyDiv w:val="1"/>
      <w:marLeft w:val="0"/>
      <w:marRight w:val="0"/>
      <w:marTop w:val="0"/>
      <w:marBottom w:val="0"/>
      <w:divBdr>
        <w:top w:val="none" w:sz="0" w:space="0" w:color="auto"/>
        <w:left w:val="none" w:sz="0" w:space="0" w:color="auto"/>
        <w:bottom w:val="none" w:sz="0" w:space="0" w:color="auto"/>
        <w:right w:val="none" w:sz="0" w:space="0" w:color="auto"/>
      </w:divBdr>
    </w:div>
    <w:div w:id="378019841">
      <w:bodyDiv w:val="1"/>
      <w:marLeft w:val="0"/>
      <w:marRight w:val="0"/>
      <w:marTop w:val="0"/>
      <w:marBottom w:val="0"/>
      <w:divBdr>
        <w:top w:val="none" w:sz="0" w:space="0" w:color="auto"/>
        <w:left w:val="none" w:sz="0" w:space="0" w:color="auto"/>
        <w:bottom w:val="none" w:sz="0" w:space="0" w:color="auto"/>
        <w:right w:val="none" w:sz="0" w:space="0" w:color="auto"/>
      </w:divBdr>
      <w:divsChild>
        <w:div w:id="1864586663">
          <w:marLeft w:val="0"/>
          <w:marRight w:val="0"/>
          <w:marTop w:val="0"/>
          <w:marBottom w:val="0"/>
          <w:divBdr>
            <w:top w:val="none" w:sz="0" w:space="0" w:color="auto"/>
            <w:left w:val="none" w:sz="0" w:space="0" w:color="auto"/>
            <w:bottom w:val="none" w:sz="0" w:space="0" w:color="auto"/>
            <w:right w:val="none" w:sz="0" w:space="0" w:color="auto"/>
          </w:divBdr>
        </w:div>
      </w:divsChild>
    </w:div>
    <w:div w:id="385955164">
      <w:bodyDiv w:val="1"/>
      <w:marLeft w:val="0"/>
      <w:marRight w:val="0"/>
      <w:marTop w:val="0"/>
      <w:marBottom w:val="0"/>
      <w:divBdr>
        <w:top w:val="none" w:sz="0" w:space="0" w:color="auto"/>
        <w:left w:val="none" w:sz="0" w:space="0" w:color="auto"/>
        <w:bottom w:val="none" w:sz="0" w:space="0" w:color="auto"/>
        <w:right w:val="none" w:sz="0" w:space="0" w:color="auto"/>
      </w:divBdr>
      <w:divsChild>
        <w:div w:id="570043285">
          <w:marLeft w:val="0"/>
          <w:marRight w:val="0"/>
          <w:marTop w:val="0"/>
          <w:marBottom w:val="0"/>
          <w:divBdr>
            <w:top w:val="none" w:sz="0" w:space="0" w:color="auto"/>
            <w:left w:val="none" w:sz="0" w:space="0" w:color="auto"/>
            <w:bottom w:val="none" w:sz="0" w:space="0" w:color="auto"/>
            <w:right w:val="none" w:sz="0" w:space="0" w:color="auto"/>
          </w:divBdr>
        </w:div>
      </w:divsChild>
    </w:div>
    <w:div w:id="391195297">
      <w:bodyDiv w:val="1"/>
      <w:marLeft w:val="0"/>
      <w:marRight w:val="0"/>
      <w:marTop w:val="0"/>
      <w:marBottom w:val="0"/>
      <w:divBdr>
        <w:top w:val="none" w:sz="0" w:space="0" w:color="auto"/>
        <w:left w:val="none" w:sz="0" w:space="0" w:color="auto"/>
        <w:bottom w:val="none" w:sz="0" w:space="0" w:color="auto"/>
        <w:right w:val="none" w:sz="0" w:space="0" w:color="auto"/>
      </w:divBdr>
      <w:divsChild>
        <w:div w:id="2037270914">
          <w:marLeft w:val="0"/>
          <w:marRight w:val="0"/>
          <w:marTop w:val="0"/>
          <w:marBottom w:val="0"/>
          <w:divBdr>
            <w:top w:val="none" w:sz="0" w:space="0" w:color="auto"/>
            <w:left w:val="none" w:sz="0" w:space="0" w:color="auto"/>
            <w:bottom w:val="none" w:sz="0" w:space="0" w:color="auto"/>
            <w:right w:val="none" w:sz="0" w:space="0" w:color="auto"/>
          </w:divBdr>
        </w:div>
      </w:divsChild>
    </w:div>
    <w:div w:id="396519612">
      <w:bodyDiv w:val="1"/>
      <w:marLeft w:val="0"/>
      <w:marRight w:val="0"/>
      <w:marTop w:val="0"/>
      <w:marBottom w:val="0"/>
      <w:divBdr>
        <w:top w:val="none" w:sz="0" w:space="0" w:color="auto"/>
        <w:left w:val="none" w:sz="0" w:space="0" w:color="auto"/>
        <w:bottom w:val="none" w:sz="0" w:space="0" w:color="auto"/>
        <w:right w:val="none" w:sz="0" w:space="0" w:color="auto"/>
      </w:divBdr>
      <w:divsChild>
        <w:div w:id="1472555092">
          <w:marLeft w:val="0"/>
          <w:marRight w:val="0"/>
          <w:marTop w:val="0"/>
          <w:marBottom w:val="0"/>
          <w:divBdr>
            <w:top w:val="single" w:sz="2" w:space="0" w:color="auto"/>
            <w:left w:val="single" w:sz="2" w:space="0" w:color="auto"/>
            <w:bottom w:val="single" w:sz="6" w:space="0" w:color="auto"/>
            <w:right w:val="single" w:sz="2" w:space="0" w:color="auto"/>
          </w:divBdr>
          <w:divsChild>
            <w:div w:id="193759407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8380038">
                  <w:marLeft w:val="0"/>
                  <w:marRight w:val="0"/>
                  <w:marTop w:val="0"/>
                  <w:marBottom w:val="0"/>
                  <w:divBdr>
                    <w:top w:val="single" w:sz="2" w:space="0" w:color="D9D9E3"/>
                    <w:left w:val="single" w:sz="2" w:space="0" w:color="D9D9E3"/>
                    <w:bottom w:val="single" w:sz="2" w:space="0" w:color="D9D9E3"/>
                    <w:right w:val="single" w:sz="2" w:space="0" w:color="D9D9E3"/>
                  </w:divBdr>
                  <w:divsChild>
                    <w:div w:id="925771552">
                      <w:marLeft w:val="0"/>
                      <w:marRight w:val="0"/>
                      <w:marTop w:val="0"/>
                      <w:marBottom w:val="0"/>
                      <w:divBdr>
                        <w:top w:val="single" w:sz="2" w:space="0" w:color="D9D9E3"/>
                        <w:left w:val="single" w:sz="2" w:space="0" w:color="D9D9E3"/>
                        <w:bottom w:val="single" w:sz="2" w:space="0" w:color="D9D9E3"/>
                        <w:right w:val="single" w:sz="2" w:space="0" w:color="D9D9E3"/>
                      </w:divBdr>
                      <w:divsChild>
                        <w:div w:id="937327756">
                          <w:marLeft w:val="0"/>
                          <w:marRight w:val="0"/>
                          <w:marTop w:val="0"/>
                          <w:marBottom w:val="0"/>
                          <w:divBdr>
                            <w:top w:val="single" w:sz="2" w:space="0" w:color="D9D9E3"/>
                            <w:left w:val="single" w:sz="2" w:space="0" w:color="D9D9E3"/>
                            <w:bottom w:val="single" w:sz="2" w:space="0" w:color="D9D9E3"/>
                            <w:right w:val="single" w:sz="2" w:space="0" w:color="D9D9E3"/>
                          </w:divBdr>
                          <w:divsChild>
                            <w:div w:id="597451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558411">
      <w:bodyDiv w:val="1"/>
      <w:marLeft w:val="0"/>
      <w:marRight w:val="0"/>
      <w:marTop w:val="0"/>
      <w:marBottom w:val="0"/>
      <w:divBdr>
        <w:top w:val="none" w:sz="0" w:space="0" w:color="auto"/>
        <w:left w:val="none" w:sz="0" w:space="0" w:color="auto"/>
        <w:bottom w:val="none" w:sz="0" w:space="0" w:color="auto"/>
        <w:right w:val="none" w:sz="0" w:space="0" w:color="auto"/>
      </w:divBdr>
    </w:div>
    <w:div w:id="434442800">
      <w:bodyDiv w:val="1"/>
      <w:marLeft w:val="0"/>
      <w:marRight w:val="0"/>
      <w:marTop w:val="0"/>
      <w:marBottom w:val="0"/>
      <w:divBdr>
        <w:top w:val="none" w:sz="0" w:space="0" w:color="auto"/>
        <w:left w:val="none" w:sz="0" w:space="0" w:color="auto"/>
        <w:bottom w:val="none" w:sz="0" w:space="0" w:color="auto"/>
        <w:right w:val="none" w:sz="0" w:space="0" w:color="auto"/>
      </w:divBdr>
    </w:div>
    <w:div w:id="442067865">
      <w:bodyDiv w:val="1"/>
      <w:marLeft w:val="0"/>
      <w:marRight w:val="0"/>
      <w:marTop w:val="0"/>
      <w:marBottom w:val="0"/>
      <w:divBdr>
        <w:top w:val="none" w:sz="0" w:space="0" w:color="auto"/>
        <w:left w:val="none" w:sz="0" w:space="0" w:color="auto"/>
        <w:bottom w:val="none" w:sz="0" w:space="0" w:color="auto"/>
        <w:right w:val="none" w:sz="0" w:space="0" w:color="auto"/>
      </w:divBdr>
      <w:divsChild>
        <w:div w:id="1008368693">
          <w:marLeft w:val="0"/>
          <w:marRight w:val="0"/>
          <w:marTop w:val="0"/>
          <w:marBottom w:val="0"/>
          <w:divBdr>
            <w:top w:val="none" w:sz="0" w:space="0" w:color="auto"/>
            <w:left w:val="none" w:sz="0" w:space="0" w:color="auto"/>
            <w:bottom w:val="none" w:sz="0" w:space="0" w:color="auto"/>
            <w:right w:val="none" w:sz="0" w:space="0" w:color="auto"/>
          </w:divBdr>
        </w:div>
      </w:divsChild>
    </w:div>
    <w:div w:id="475026747">
      <w:bodyDiv w:val="1"/>
      <w:marLeft w:val="0"/>
      <w:marRight w:val="0"/>
      <w:marTop w:val="0"/>
      <w:marBottom w:val="0"/>
      <w:divBdr>
        <w:top w:val="none" w:sz="0" w:space="0" w:color="auto"/>
        <w:left w:val="none" w:sz="0" w:space="0" w:color="auto"/>
        <w:bottom w:val="none" w:sz="0" w:space="0" w:color="auto"/>
        <w:right w:val="none" w:sz="0" w:space="0" w:color="auto"/>
      </w:divBdr>
    </w:div>
    <w:div w:id="477842263">
      <w:bodyDiv w:val="1"/>
      <w:marLeft w:val="0"/>
      <w:marRight w:val="0"/>
      <w:marTop w:val="0"/>
      <w:marBottom w:val="0"/>
      <w:divBdr>
        <w:top w:val="none" w:sz="0" w:space="0" w:color="auto"/>
        <w:left w:val="none" w:sz="0" w:space="0" w:color="auto"/>
        <w:bottom w:val="none" w:sz="0" w:space="0" w:color="auto"/>
        <w:right w:val="none" w:sz="0" w:space="0" w:color="auto"/>
      </w:divBdr>
      <w:divsChild>
        <w:div w:id="1134253156">
          <w:marLeft w:val="0"/>
          <w:marRight w:val="0"/>
          <w:marTop w:val="0"/>
          <w:marBottom w:val="0"/>
          <w:divBdr>
            <w:top w:val="none" w:sz="0" w:space="0" w:color="auto"/>
            <w:left w:val="none" w:sz="0" w:space="0" w:color="auto"/>
            <w:bottom w:val="none" w:sz="0" w:space="0" w:color="auto"/>
            <w:right w:val="none" w:sz="0" w:space="0" w:color="auto"/>
          </w:divBdr>
        </w:div>
      </w:divsChild>
    </w:div>
    <w:div w:id="491144327">
      <w:bodyDiv w:val="1"/>
      <w:marLeft w:val="0"/>
      <w:marRight w:val="0"/>
      <w:marTop w:val="0"/>
      <w:marBottom w:val="0"/>
      <w:divBdr>
        <w:top w:val="none" w:sz="0" w:space="0" w:color="auto"/>
        <w:left w:val="none" w:sz="0" w:space="0" w:color="auto"/>
        <w:bottom w:val="none" w:sz="0" w:space="0" w:color="auto"/>
        <w:right w:val="none" w:sz="0" w:space="0" w:color="auto"/>
      </w:divBdr>
    </w:div>
    <w:div w:id="584002193">
      <w:bodyDiv w:val="1"/>
      <w:marLeft w:val="0"/>
      <w:marRight w:val="0"/>
      <w:marTop w:val="0"/>
      <w:marBottom w:val="0"/>
      <w:divBdr>
        <w:top w:val="none" w:sz="0" w:space="0" w:color="auto"/>
        <w:left w:val="none" w:sz="0" w:space="0" w:color="auto"/>
        <w:bottom w:val="none" w:sz="0" w:space="0" w:color="auto"/>
        <w:right w:val="none" w:sz="0" w:space="0" w:color="auto"/>
      </w:divBdr>
      <w:divsChild>
        <w:div w:id="969674627">
          <w:marLeft w:val="0"/>
          <w:marRight w:val="0"/>
          <w:marTop w:val="0"/>
          <w:marBottom w:val="0"/>
          <w:divBdr>
            <w:top w:val="none" w:sz="0" w:space="0" w:color="auto"/>
            <w:left w:val="none" w:sz="0" w:space="0" w:color="auto"/>
            <w:bottom w:val="none" w:sz="0" w:space="0" w:color="auto"/>
            <w:right w:val="none" w:sz="0" w:space="0" w:color="auto"/>
          </w:divBdr>
        </w:div>
      </w:divsChild>
    </w:div>
    <w:div w:id="643125895">
      <w:bodyDiv w:val="1"/>
      <w:marLeft w:val="0"/>
      <w:marRight w:val="0"/>
      <w:marTop w:val="0"/>
      <w:marBottom w:val="0"/>
      <w:divBdr>
        <w:top w:val="none" w:sz="0" w:space="0" w:color="auto"/>
        <w:left w:val="none" w:sz="0" w:space="0" w:color="auto"/>
        <w:bottom w:val="none" w:sz="0" w:space="0" w:color="auto"/>
        <w:right w:val="none" w:sz="0" w:space="0" w:color="auto"/>
      </w:divBdr>
      <w:divsChild>
        <w:div w:id="1217815469">
          <w:marLeft w:val="0"/>
          <w:marRight w:val="0"/>
          <w:marTop w:val="0"/>
          <w:marBottom w:val="0"/>
          <w:divBdr>
            <w:top w:val="single" w:sz="2" w:space="0" w:color="D9D9E3"/>
            <w:left w:val="single" w:sz="2" w:space="0" w:color="D9D9E3"/>
            <w:bottom w:val="single" w:sz="2" w:space="0" w:color="D9D9E3"/>
            <w:right w:val="single" w:sz="2" w:space="0" w:color="D9D9E3"/>
          </w:divBdr>
          <w:divsChild>
            <w:div w:id="550726875">
              <w:marLeft w:val="0"/>
              <w:marRight w:val="0"/>
              <w:marTop w:val="0"/>
              <w:marBottom w:val="0"/>
              <w:divBdr>
                <w:top w:val="single" w:sz="2" w:space="0" w:color="D9D9E3"/>
                <w:left w:val="single" w:sz="2" w:space="0" w:color="D9D9E3"/>
                <w:bottom w:val="single" w:sz="2" w:space="0" w:color="D9D9E3"/>
                <w:right w:val="single" w:sz="2" w:space="0" w:color="D9D9E3"/>
              </w:divBdr>
              <w:divsChild>
                <w:div w:id="1963344227">
                  <w:marLeft w:val="0"/>
                  <w:marRight w:val="0"/>
                  <w:marTop w:val="0"/>
                  <w:marBottom w:val="0"/>
                  <w:divBdr>
                    <w:top w:val="single" w:sz="2" w:space="0" w:color="D9D9E3"/>
                    <w:left w:val="single" w:sz="2" w:space="0" w:color="D9D9E3"/>
                    <w:bottom w:val="single" w:sz="2" w:space="0" w:color="D9D9E3"/>
                    <w:right w:val="single" w:sz="2" w:space="0" w:color="D9D9E3"/>
                  </w:divBdr>
                  <w:divsChild>
                    <w:div w:id="1878858947">
                      <w:marLeft w:val="0"/>
                      <w:marRight w:val="0"/>
                      <w:marTop w:val="0"/>
                      <w:marBottom w:val="0"/>
                      <w:divBdr>
                        <w:top w:val="single" w:sz="2" w:space="0" w:color="D9D9E3"/>
                        <w:left w:val="single" w:sz="2" w:space="0" w:color="D9D9E3"/>
                        <w:bottom w:val="single" w:sz="2" w:space="0" w:color="D9D9E3"/>
                        <w:right w:val="single" w:sz="2" w:space="0" w:color="D9D9E3"/>
                      </w:divBdr>
                      <w:divsChild>
                        <w:div w:id="1150900156">
                          <w:marLeft w:val="0"/>
                          <w:marRight w:val="0"/>
                          <w:marTop w:val="0"/>
                          <w:marBottom w:val="0"/>
                          <w:divBdr>
                            <w:top w:val="single" w:sz="2" w:space="0" w:color="D9D9E3"/>
                            <w:left w:val="single" w:sz="2" w:space="0" w:color="D9D9E3"/>
                            <w:bottom w:val="single" w:sz="2" w:space="0" w:color="D9D9E3"/>
                            <w:right w:val="single" w:sz="2" w:space="0" w:color="D9D9E3"/>
                          </w:divBdr>
                          <w:divsChild>
                            <w:div w:id="1167285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022324625">
                                  <w:marLeft w:val="0"/>
                                  <w:marRight w:val="0"/>
                                  <w:marTop w:val="0"/>
                                  <w:marBottom w:val="0"/>
                                  <w:divBdr>
                                    <w:top w:val="single" w:sz="2" w:space="0" w:color="D9D9E3"/>
                                    <w:left w:val="single" w:sz="2" w:space="0" w:color="D9D9E3"/>
                                    <w:bottom w:val="single" w:sz="2" w:space="0" w:color="D9D9E3"/>
                                    <w:right w:val="single" w:sz="2" w:space="0" w:color="D9D9E3"/>
                                  </w:divBdr>
                                  <w:divsChild>
                                    <w:div w:id="743334910">
                                      <w:marLeft w:val="0"/>
                                      <w:marRight w:val="0"/>
                                      <w:marTop w:val="0"/>
                                      <w:marBottom w:val="0"/>
                                      <w:divBdr>
                                        <w:top w:val="single" w:sz="2" w:space="0" w:color="D9D9E3"/>
                                        <w:left w:val="single" w:sz="2" w:space="0" w:color="D9D9E3"/>
                                        <w:bottom w:val="single" w:sz="2" w:space="0" w:color="D9D9E3"/>
                                        <w:right w:val="single" w:sz="2" w:space="0" w:color="D9D9E3"/>
                                      </w:divBdr>
                                      <w:divsChild>
                                        <w:div w:id="1022783514">
                                          <w:marLeft w:val="0"/>
                                          <w:marRight w:val="0"/>
                                          <w:marTop w:val="0"/>
                                          <w:marBottom w:val="0"/>
                                          <w:divBdr>
                                            <w:top w:val="single" w:sz="2" w:space="0" w:color="D9D9E3"/>
                                            <w:left w:val="single" w:sz="2" w:space="0" w:color="D9D9E3"/>
                                            <w:bottom w:val="single" w:sz="2" w:space="0" w:color="D9D9E3"/>
                                            <w:right w:val="single" w:sz="2" w:space="0" w:color="D9D9E3"/>
                                          </w:divBdr>
                                          <w:divsChild>
                                            <w:div w:id="1095173756">
                                              <w:marLeft w:val="0"/>
                                              <w:marRight w:val="0"/>
                                              <w:marTop w:val="0"/>
                                              <w:marBottom w:val="0"/>
                                              <w:divBdr>
                                                <w:top w:val="single" w:sz="2" w:space="0" w:color="D9D9E3"/>
                                                <w:left w:val="single" w:sz="2" w:space="0" w:color="D9D9E3"/>
                                                <w:bottom w:val="single" w:sz="2" w:space="0" w:color="D9D9E3"/>
                                                <w:right w:val="single" w:sz="2" w:space="0" w:color="D9D9E3"/>
                                              </w:divBdr>
                                              <w:divsChild>
                                                <w:div w:id="1656451915">
                                                  <w:marLeft w:val="0"/>
                                                  <w:marRight w:val="0"/>
                                                  <w:marTop w:val="0"/>
                                                  <w:marBottom w:val="0"/>
                                                  <w:divBdr>
                                                    <w:top w:val="single" w:sz="2" w:space="0" w:color="D9D9E3"/>
                                                    <w:left w:val="single" w:sz="2" w:space="0" w:color="D9D9E3"/>
                                                    <w:bottom w:val="single" w:sz="2" w:space="0" w:color="D9D9E3"/>
                                                    <w:right w:val="single" w:sz="2" w:space="0" w:color="D9D9E3"/>
                                                  </w:divBdr>
                                                  <w:divsChild>
                                                    <w:div w:id="274290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55974591">
          <w:marLeft w:val="0"/>
          <w:marRight w:val="0"/>
          <w:marTop w:val="0"/>
          <w:marBottom w:val="0"/>
          <w:divBdr>
            <w:top w:val="none" w:sz="0" w:space="0" w:color="auto"/>
            <w:left w:val="none" w:sz="0" w:space="0" w:color="auto"/>
            <w:bottom w:val="none" w:sz="0" w:space="0" w:color="auto"/>
            <w:right w:val="none" w:sz="0" w:space="0" w:color="auto"/>
          </w:divBdr>
          <w:divsChild>
            <w:div w:id="949164123">
              <w:marLeft w:val="0"/>
              <w:marRight w:val="0"/>
              <w:marTop w:val="0"/>
              <w:marBottom w:val="0"/>
              <w:divBdr>
                <w:top w:val="single" w:sz="2" w:space="0" w:color="D9D9E3"/>
                <w:left w:val="single" w:sz="2" w:space="0" w:color="D9D9E3"/>
                <w:bottom w:val="single" w:sz="2" w:space="0" w:color="D9D9E3"/>
                <w:right w:val="single" w:sz="2" w:space="0" w:color="D9D9E3"/>
              </w:divBdr>
              <w:divsChild>
                <w:div w:id="238832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67757236">
      <w:bodyDiv w:val="1"/>
      <w:marLeft w:val="0"/>
      <w:marRight w:val="0"/>
      <w:marTop w:val="0"/>
      <w:marBottom w:val="0"/>
      <w:divBdr>
        <w:top w:val="none" w:sz="0" w:space="0" w:color="auto"/>
        <w:left w:val="none" w:sz="0" w:space="0" w:color="auto"/>
        <w:bottom w:val="none" w:sz="0" w:space="0" w:color="auto"/>
        <w:right w:val="none" w:sz="0" w:space="0" w:color="auto"/>
      </w:divBdr>
      <w:divsChild>
        <w:div w:id="1609506092">
          <w:marLeft w:val="0"/>
          <w:marRight w:val="0"/>
          <w:marTop w:val="0"/>
          <w:marBottom w:val="0"/>
          <w:divBdr>
            <w:top w:val="none" w:sz="0" w:space="0" w:color="auto"/>
            <w:left w:val="none" w:sz="0" w:space="0" w:color="auto"/>
            <w:bottom w:val="none" w:sz="0" w:space="0" w:color="auto"/>
            <w:right w:val="none" w:sz="0" w:space="0" w:color="auto"/>
          </w:divBdr>
        </w:div>
      </w:divsChild>
    </w:div>
    <w:div w:id="709917817">
      <w:bodyDiv w:val="1"/>
      <w:marLeft w:val="0"/>
      <w:marRight w:val="0"/>
      <w:marTop w:val="0"/>
      <w:marBottom w:val="0"/>
      <w:divBdr>
        <w:top w:val="none" w:sz="0" w:space="0" w:color="auto"/>
        <w:left w:val="none" w:sz="0" w:space="0" w:color="auto"/>
        <w:bottom w:val="none" w:sz="0" w:space="0" w:color="auto"/>
        <w:right w:val="none" w:sz="0" w:space="0" w:color="auto"/>
      </w:divBdr>
    </w:div>
    <w:div w:id="712778318">
      <w:bodyDiv w:val="1"/>
      <w:marLeft w:val="0"/>
      <w:marRight w:val="0"/>
      <w:marTop w:val="0"/>
      <w:marBottom w:val="0"/>
      <w:divBdr>
        <w:top w:val="none" w:sz="0" w:space="0" w:color="auto"/>
        <w:left w:val="none" w:sz="0" w:space="0" w:color="auto"/>
        <w:bottom w:val="none" w:sz="0" w:space="0" w:color="auto"/>
        <w:right w:val="none" w:sz="0" w:space="0" w:color="auto"/>
      </w:divBdr>
      <w:divsChild>
        <w:div w:id="1556626616">
          <w:marLeft w:val="0"/>
          <w:marRight w:val="0"/>
          <w:marTop w:val="0"/>
          <w:marBottom w:val="0"/>
          <w:divBdr>
            <w:top w:val="none" w:sz="0" w:space="0" w:color="auto"/>
            <w:left w:val="none" w:sz="0" w:space="0" w:color="auto"/>
            <w:bottom w:val="none" w:sz="0" w:space="0" w:color="auto"/>
            <w:right w:val="none" w:sz="0" w:space="0" w:color="auto"/>
          </w:divBdr>
        </w:div>
      </w:divsChild>
    </w:div>
    <w:div w:id="741372326">
      <w:bodyDiv w:val="1"/>
      <w:marLeft w:val="0"/>
      <w:marRight w:val="0"/>
      <w:marTop w:val="0"/>
      <w:marBottom w:val="0"/>
      <w:divBdr>
        <w:top w:val="none" w:sz="0" w:space="0" w:color="auto"/>
        <w:left w:val="none" w:sz="0" w:space="0" w:color="auto"/>
        <w:bottom w:val="none" w:sz="0" w:space="0" w:color="auto"/>
        <w:right w:val="none" w:sz="0" w:space="0" w:color="auto"/>
      </w:divBdr>
      <w:divsChild>
        <w:div w:id="1617517395">
          <w:marLeft w:val="0"/>
          <w:marRight w:val="0"/>
          <w:marTop w:val="0"/>
          <w:marBottom w:val="0"/>
          <w:divBdr>
            <w:top w:val="none" w:sz="0" w:space="0" w:color="auto"/>
            <w:left w:val="none" w:sz="0" w:space="0" w:color="auto"/>
            <w:bottom w:val="none" w:sz="0" w:space="0" w:color="auto"/>
            <w:right w:val="none" w:sz="0" w:space="0" w:color="auto"/>
          </w:divBdr>
        </w:div>
      </w:divsChild>
    </w:div>
    <w:div w:id="741804065">
      <w:bodyDiv w:val="1"/>
      <w:marLeft w:val="0"/>
      <w:marRight w:val="0"/>
      <w:marTop w:val="0"/>
      <w:marBottom w:val="0"/>
      <w:divBdr>
        <w:top w:val="none" w:sz="0" w:space="0" w:color="auto"/>
        <w:left w:val="none" w:sz="0" w:space="0" w:color="auto"/>
        <w:bottom w:val="none" w:sz="0" w:space="0" w:color="auto"/>
        <w:right w:val="none" w:sz="0" w:space="0" w:color="auto"/>
      </w:divBdr>
    </w:div>
    <w:div w:id="742331719">
      <w:bodyDiv w:val="1"/>
      <w:marLeft w:val="0"/>
      <w:marRight w:val="0"/>
      <w:marTop w:val="0"/>
      <w:marBottom w:val="0"/>
      <w:divBdr>
        <w:top w:val="none" w:sz="0" w:space="0" w:color="auto"/>
        <w:left w:val="none" w:sz="0" w:space="0" w:color="auto"/>
        <w:bottom w:val="none" w:sz="0" w:space="0" w:color="auto"/>
        <w:right w:val="none" w:sz="0" w:space="0" w:color="auto"/>
      </w:divBdr>
    </w:div>
    <w:div w:id="745690053">
      <w:bodyDiv w:val="1"/>
      <w:marLeft w:val="0"/>
      <w:marRight w:val="0"/>
      <w:marTop w:val="0"/>
      <w:marBottom w:val="0"/>
      <w:divBdr>
        <w:top w:val="none" w:sz="0" w:space="0" w:color="auto"/>
        <w:left w:val="none" w:sz="0" w:space="0" w:color="auto"/>
        <w:bottom w:val="none" w:sz="0" w:space="0" w:color="auto"/>
        <w:right w:val="none" w:sz="0" w:space="0" w:color="auto"/>
      </w:divBdr>
      <w:divsChild>
        <w:div w:id="1634747801">
          <w:marLeft w:val="0"/>
          <w:marRight w:val="0"/>
          <w:marTop w:val="0"/>
          <w:marBottom w:val="0"/>
          <w:divBdr>
            <w:top w:val="none" w:sz="0" w:space="0" w:color="auto"/>
            <w:left w:val="none" w:sz="0" w:space="0" w:color="auto"/>
            <w:bottom w:val="none" w:sz="0" w:space="0" w:color="auto"/>
            <w:right w:val="none" w:sz="0" w:space="0" w:color="auto"/>
          </w:divBdr>
        </w:div>
      </w:divsChild>
    </w:div>
    <w:div w:id="764615156">
      <w:bodyDiv w:val="1"/>
      <w:marLeft w:val="0"/>
      <w:marRight w:val="0"/>
      <w:marTop w:val="0"/>
      <w:marBottom w:val="0"/>
      <w:divBdr>
        <w:top w:val="none" w:sz="0" w:space="0" w:color="auto"/>
        <w:left w:val="none" w:sz="0" w:space="0" w:color="auto"/>
        <w:bottom w:val="none" w:sz="0" w:space="0" w:color="auto"/>
        <w:right w:val="none" w:sz="0" w:space="0" w:color="auto"/>
      </w:divBdr>
      <w:divsChild>
        <w:div w:id="110133146">
          <w:marLeft w:val="0"/>
          <w:marRight w:val="0"/>
          <w:marTop w:val="0"/>
          <w:marBottom w:val="0"/>
          <w:divBdr>
            <w:top w:val="none" w:sz="0" w:space="0" w:color="auto"/>
            <w:left w:val="none" w:sz="0" w:space="0" w:color="auto"/>
            <w:bottom w:val="none" w:sz="0" w:space="0" w:color="auto"/>
            <w:right w:val="none" w:sz="0" w:space="0" w:color="auto"/>
          </w:divBdr>
        </w:div>
      </w:divsChild>
    </w:div>
    <w:div w:id="834221910">
      <w:bodyDiv w:val="1"/>
      <w:marLeft w:val="0"/>
      <w:marRight w:val="0"/>
      <w:marTop w:val="0"/>
      <w:marBottom w:val="0"/>
      <w:divBdr>
        <w:top w:val="none" w:sz="0" w:space="0" w:color="auto"/>
        <w:left w:val="none" w:sz="0" w:space="0" w:color="auto"/>
        <w:bottom w:val="none" w:sz="0" w:space="0" w:color="auto"/>
        <w:right w:val="none" w:sz="0" w:space="0" w:color="auto"/>
      </w:divBdr>
      <w:divsChild>
        <w:div w:id="834564766">
          <w:marLeft w:val="0"/>
          <w:marRight w:val="0"/>
          <w:marTop w:val="0"/>
          <w:marBottom w:val="0"/>
          <w:divBdr>
            <w:top w:val="single" w:sz="2" w:space="0" w:color="auto"/>
            <w:left w:val="single" w:sz="2" w:space="0" w:color="auto"/>
            <w:bottom w:val="single" w:sz="6" w:space="0" w:color="auto"/>
            <w:right w:val="single" w:sz="2" w:space="0" w:color="auto"/>
          </w:divBdr>
          <w:divsChild>
            <w:div w:id="611791586">
              <w:marLeft w:val="0"/>
              <w:marRight w:val="0"/>
              <w:marTop w:val="100"/>
              <w:marBottom w:val="100"/>
              <w:divBdr>
                <w:top w:val="single" w:sz="2" w:space="0" w:color="D9D9E3"/>
                <w:left w:val="single" w:sz="2" w:space="0" w:color="D9D9E3"/>
                <w:bottom w:val="single" w:sz="2" w:space="0" w:color="D9D9E3"/>
                <w:right w:val="single" w:sz="2" w:space="0" w:color="D9D9E3"/>
              </w:divBdr>
              <w:divsChild>
                <w:div w:id="678702234">
                  <w:marLeft w:val="0"/>
                  <w:marRight w:val="0"/>
                  <w:marTop w:val="0"/>
                  <w:marBottom w:val="0"/>
                  <w:divBdr>
                    <w:top w:val="single" w:sz="2" w:space="0" w:color="D9D9E3"/>
                    <w:left w:val="single" w:sz="2" w:space="0" w:color="D9D9E3"/>
                    <w:bottom w:val="single" w:sz="2" w:space="0" w:color="D9D9E3"/>
                    <w:right w:val="single" w:sz="2" w:space="0" w:color="D9D9E3"/>
                  </w:divBdr>
                  <w:divsChild>
                    <w:div w:id="1956055008">
                      <w:marLeft w:val="0"/>
                      <w:marRight w:val="0"/>
                      <w:marTop w:val="0"/>
                      <w:marBottom w:val="0"/>
                      <w:divBdr>
                        <w:top w:val="single" w:sz="2" w:space="0" w:color="D9D9E3"/>
                        <w:left w:val="single" w:sz="2" w:space="0" w:color="D9D9E3"/>
                        <w:bottom w:val="single" w:sz="2" w:space="0" w:color="D9D9E3"/>
                        <w:right w:val="single" w:sz="2" w:space="0" w:color="D9D9E3"/>
                      </w:divBdr>
                      <w:divsChild>
                        <w:div w:id="201865093">
                          <w:marLeft w:val="0"/>
                          <w:marRight w:val="0"/>
                          <w:marTop w:val="0"/>
                          <w:marBottom w:val="0"/>
                          <w:divBdr>
                            <w:top w:val="single" w:sz="2" w:space="0" w:color="D9D9E3"/>
                            <w:left w:val="single" w:sz="2" w:space="0" w:color="D9D9E3"/>
                            <w:bottom w:val="single" w:sz="2" w:space="0" w:color="D9D9E3"/>
                            <w:right w:val="single" w:sz="2" w:space="0" w:color="D9D9E3"/>
                          </w:divBdr>
                          <w:divsChild>
                            <w:div w:id="635066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0291716">
      <w:bodyDiv w:val="1"/>
      <w:marLeft w:val="0"/>
      <w:marRight w:val="0"/>
      <w:marTop w:val="0"/>
      <w:marBottom w:val="0"/>
      <w:divBdr>
        <w:top w:val="none" w:sz="0" w:space="0" w:color="auto"/>
        <w:left w:val="none" w:sz="0" w:space="0" w:color="auto"/>
        <w:bottom w:val="none" w:sz="0" w:space="0" w:color="auto"/>
        <w:right w:val="none" w:sz="0" w:space="0" w:color="auto"/>
      </w:divBdr>
    </w:div>
    <w:div w:id="860972122">
      <w:bodyDiv w:val="1"/>
      <w:marLeft w:val="0"/>
      <w:marRight w:val="0"/>
      <w:marTop w:val="0"/>
      <w:marBottom w:val="0"/>
      <w:divBdr>
        <w:top w:val="none" w:sz="0" w:space="0" w:color="auto"/>
        <w:left w:val="none" w:sz="0" w:space="0" w:color="auto"/>
        <w:bottom w:val="none" w:sz="0" w:space="0" w:color="auto"/>
        <w:right w:val="none" w:sz="0" w:space="0" w:color="auto"/>
      </w:divBdr>
      <w:divsChild>
        <w:div w:id="882131787">
          <w:marLeft w:val="0"/>
          <w:marRight w:val="0"/>
          <w:marTop w:val="0"/>
          <w:marBottom w:val="0"/>
          <w:divBdr>
            <w:top w:val="none" w:sz="0" w:space="0" w:color="auto"/>
            <w:left w:val="none" w:sz="0" w:space="0" w:color="auto"/>
            <w:bottom w:val="none" w:sz="0" w:space="0" w:color="auto"/>
            <w:right w:val="none" w:sz="0" w:space="0" w:color="auto"/>
          </w:divBdr>
        </w:div>
      </w:divsChild>
    </w:div>
    <w:div w:id="866720811">
      <w:bodyDiv w:val="1"/>
      <w:marLeft w:val="0"/>
      <w:marRight w:val="0"/>
      <w:marTop w:val="0"/>
      <w:marBottom w:val="0"/>
      <w:divBdr>
        <w:top w:val="none" w:sz="0" w:space="0" w:color="auto"/>
        <w:left w:val="none" w:sz="0" w:space="0" w:color="auto"/>
        <w:bottom w:val="none" w:sz="0" w:space="0" w:color="auto"/>
        <w:right w:val="none" w:sz="0" w:space="0" w:color="auto"/>
      </w:divBdr>
      <w:divsChild>
        <w:div w:id="1060250344">
          <w:marLeft w:val="0"/>
          <w:marRight w:val="0"/>
          <w:marTop w:val="0"/>
          <w:marBottom w:val="0"/>
          <w:divBdr>
            <w:top w:val="none" w:sz="0" w:space="0" w:color="auto"/>
            <w:left w:val="none" w:sz="0" w:space="0" w:color="auto"/>
            <w:bottom w:val="none" w:sz="0" w:space="0" w:color="auto"/>
            <w:right w:val="none" w:sz="0" w:space="0" w:color="auto"/>
          </w:divBdr>
        </w:div>
      </w:divsChild>
    </w:div>
    <w:div w:id="894778895">
      <w:bodyDiv w:val="1"/>
      <w:marLeft w:val="0"/>
      <w:marRight w:val="0"/>
      <w:marTop w:val="0"/>
      <w:marBottom w:val="0"/>
      <w:divBdr>
        <w:top w:val="none" w:sz="0" w:space="0" w:color="auto"/>
        <w:left w:val="none" w:sz="0" w:space="0" w:color="auto"/>
        <w:bottom w:val="none" w:sz="0" w:space="0" w:color="auto"/>
        <w:right w:val="none" w:sz="0" w:space="0" w:color="auto"/>
      </w:divBdr>
    </w:div>
    <w:div w:id="896553382">
      <w:bodyDiv w:val="1"/>
      <w:marLeft w:val="0"/>
      <w:marRight w:val="0"/>
      <w:marTop w:val="0"/>
      <w:marBottom w:val="0"/>
      <w:divBdr>
        <w:top w:val="none" w:sz="0" w:space="0" w:color="auto"/>
        <w:left w:val="none" w:sz="0" w:space="0" w:color="auto"/>
        <w:bottom w:val="none" w:sz="0" w:space="0" w:color="auto"/>
        <w:right w:val="none" w:sz="0" w:space="0" w:color="auto"/>
      </w:divBdr>
    </w:div>
    <w:div w:id="918099890">
      <w:bodyDiv w:val="1"/>
      <w:marLeft w:val="0"/>
      <w:marRight w:val="0"/>
      <w:marTop w:val="0"/>
      <w:marBottom w:val="0"/>
      <w:divBdr>
        <w:top w:val="none" w:sz="0" w:space="0" w:color="auto"/>
        <w:left w:val="none" w:sz="0" w:space="0" w:color="auto"/>
        <w:bottom w:val="none" w:sz="0" w:space="0" w:color="auto"/>
        <w:right w:val="none" w:sz="0" w:space="0" w:color="auto"/>
      </w:divBdr>
    </w:div>
    <w:div w:id="932976028">
      <w:bodyDiv w:val="1"/>
      <w:marLeft w:val="0"/>
      <w:marRight w:val="0"/>
      <w:marTop w:val="0"/>
      <w:marBottom w:val="0"/>
      <w:divBdr>
        <w:top w:val="none" w:sz="0" w:space="0" w:color="auto"/>
        <w:left w:val="none" w:sz="0" w:space="0" w:color="auto"/>
        <w:bottom w:val="none" w:sz="0" w:space="0" w:color="auto"/>
        <w:right w:val="none" w:sz="0" w:space="0" w:color="auto"/>
      </w:divBdr>
    </w:div>
    <w:div w:id="1023630044">
      <w:bodyDiv w:val="1"/>
      <w:marLeft w:val="0"/>
      <w:marRight w:val="0"/>
      <w:marTop w:val="0"/>
      <w:marBottom w:val="0"/>
      <w:divBdr>
        <w:top w:val="none" w:sz="0" w:space="0" w:color="auto"/>
        <w:left w:val="none" w:sz="0" w:space="0" w:color="auto"/>
        <w:bottom w:val="none" w:sz="0" w:space="0" w:color="auto"/>
        <w:right w:val="none" w:sz="0" w:space="0" w:color="auto"/>
      </w:divBdr>
      <w:divsChild>
        <w:div w:id="706106345">
          <w:marLeft w:val="0"/>
          <w:marRight w:val="0"/>
          <w:marTop w:val="0"/>
          <w:marBottom w:val="0"/>
          <w:divBdr>
            <w:top w:val="none" w:sz="0" w:space="0" w:color="auto"/>
            <w:left w:val="none" w:sz="0" w:space="0" w:color="auto"/>
            <w:bottom w:val="none" w:sz="0" w:space="0" w:color="auto"/>
            <w:right w:val="none" w:sz="0" w:space="0" w:color="auto"/>
          </w:divBdr>
        </w:div>
      </w:divsChild>
    </w:div>
    <w:div w:id="1042481389">
      <w:bodyDiv w:val="1"/>
      <w:marLeft w:val="0"/>
      <w:marRight w:val="0"/>
      <w:marTop w:val="0"/>
      <w:marBottom w:val="0"/>
      <w:divBdr>
        <w:top w:val="none" w:sz="0" w:space="0" w:color="auto"/>
        <w:left w:val="none" w:sz="0" w:space="0" w:color="auto"/>
        <w:bottom w:val="none" w:sz="0" w:space="0" w:color="auto"/>
        <w:right w:val="none" w:sz="0" w:space="0" w:color="auto"/>
      </w:divBdr>
    </w:div>
    <w:div w:id="1075325202">
      <w:bodyDiv w:val="1"/>
      <w:marLeft w:val="0"/>
      <w:marRight w:val="0"/>
      <w:marTop w:val="0"/>
      <w:marBottom w:val="0"/>
      <w:divBdr>
        <w:top w:val="none" w:sz="0" w:space="0" w:color="auto"/>
        <w:left w:val="none" w:sz="0" w:space="0" w:color="auto"/>
        <w:bottom w:val="none" w:sz="0" w:space="0" w:color="auto"/>
        <w:right w:val="none" w:sz="0" w:space="0" w:color="auto"/>
      </w:divBdr>
      <w:divsChild>
        <w:div w:id="665087599">
          <w:marLeft w:val="0"/>
          <w:marRight w:val="0"/>
          <w:marTop w:val="0"/>
          <w:marBottom w:val="0"/>
          <w:divBdr>
            <w:top w:val="none" w:sz="0" w:space="0" w:color="auto"/>
            <w:left w:val="none" w:sz="0" w:space="0" w:color="auto"/>
            <w:bottom w:val="none" w:sz="0" w:space="0" w:color="auto"/>
            <w:right w:val="none" w:sz="0" w:space="0" w:color="auto"/>
          </w:divBdr>
        </w:div>
      </w:divsChild>
    </w:div>
    <w:div w:id="1094859839">
      <w:bodyDiv w:val="1"/>
      <w:marLeft w:val="0"/>
      <w:marRight w:val="0"/>
      <w:marTop w:val="0"/>
      <w:marBottom w:val="0"/>
      <w:divBdr>
        <w:top w:val="none" w:sz="0" w:space="0" w:color="auto"/>
        <w:left w:val="none" w:sz="0" w:space="0" w:color="auto"/>
        <w:bottom w:val="none" w:sz="0" w:space="0" w:color="auto"/>
        <w:right w:val="none" w:sz="0" w:space="0" w:color="auto"/>
      </w:divBdr>
      <w:divsChild>
        <w:div w:id="1598976954">
          <w:marLeft w:val="0"/>
          <w:marRight w:val="0"/>
          <w:marTop w:val="0"/>
          <w:marBottom w:val="0"/>
          <w:divBdr>
            <w:top w:val="none" w:sz="0" w:space="0" w:color="auto"/>
            <w:left w:val="none" w:sz="0" w:space="0" w:color="auto"/>
            <w:bottom w:val="none" w:sz="0" w:space="0" w:color="auto"/>
            <w:right w:val="none" w:sz="0" w:space="0" w:color="auto"/>
          </w:divBdr>
        </w:div>
      </w:divsChild>
    </w:div>
    <w:div w:id="1113482461">
      <w:bodyDiv w:val="1"/>
      <w:marLeft w:val="0"/>
      <w:marRight w:val="0"/>
      <w:marTop w:val="0"/>
      <w:marBottom w:val="0"/>
      <w:divBdr>
        <w:top w:val="none" w:sz="0" w:space="0" w:color="auto"/>
        <w:left w:val="none" w:sz="0" w:space="0" w:color="auto"/>
        <w:bottom w:val="none" w:sz="0" w:space="0" w:color="auto"/>
        <w:right w:val="none" w:sz="0" w:space="0" w:color="auto"/>
      </w:divBdr>
    </w:div>
    <w:div w:id="1245802704">
      <w:bodyDiv w:val="1"/>
      <w:marLeft w:val="0"/>
      <w:marRight w:val="0"/>
      <w:marTop w:val="0"/>
      <w:marBottom w:val="0"/>
      <w:divBdr>
        <w:top w:val="none" w:sz="0" w:space="0" w:color="auto"/>
        <w:left w:val="none" w:sz="0" w:space="0" w:color="auto"/>
        <w:bottom w:val="none" w:sz="0" w:space="0" w:color="auto"/>
        <w:right w:val="none" w:sz="0" w:space="0" w:color="auto"/>
      </w:divBdr>
      <w:divsChild>
        <w:div w:id="136074655">
          <w:marLeft w:val="0"/>
          <w:marRight w:val="0"/>
          <w:marTop w:val="0"/>
          <w:marBottom w:val="0"/>
          <w:divBdr>
            <w:top w:val="none" w:sz="0" w:space="0" w:color="auto"/>
            <w:left w:val="none" w:sz="0" w:space="0" w:color="auto"/>
            <w:bottom w:val="none" w:sz="0" w:space="0" w:color="auto"/>
            <w:right w:val="none" w:sz="0" w:space="0" w:color="auto"/>
          </w:divBdr>
        </w:div>
        <w:div w:id="245237088">
          <w:marLeft w:val="0"/>
          <w:marRight w:val="0"/>
          <w:marTop w:val="0"/>
          <w:marBottom w:val="0"/>
          <w:divBdr>
            <w:top w:val="none" w:sz="0" w:space="0" w:color="auto"/>
            <w:left w:val="none" w:sz="0" w:space="0" w:color="auto"/>
            <w:bottom w:val="none" w:sz="0" w:space="0" w:color="auto"/>
            <w:right w:val="none" w:sz="0" w:space="0" w:color="auto"/>
          </w:divBdr>
        </w:div>
        <w:div w:id="397896829">
          <w:marLeft w:val="0"/>
          <w:marRight w:val="0"/>
          <w:marTop w:val="0"/>
          <w:marBottom w:val="0"/>
          <w:divBdr>
            <w:top w:val="none" w:sz="0" w:space="0" w:color="auto"/>
            <w:left w:val="none" w:sz="0" w:space="0" w:color="auto"/>
            <w:bottom w:val="none" w:sz="0" w:space="0" w:color="auto"/>
            <w:right w:val="none" w:sz="0" w:space="0" w:color="auto"/>
          </w:divBdr>
        </w:div>
        <w:div w:id="601031111">
          <w:marLeft w:val="0"/>
          <w:marRight w:val="0"/>
          <w:marTop w:val="0"/>
          <w:marBottom w:val="0"/>
          <w:divBdr>
            <w:top w:val="none" w:sz="0" w:space="0" w:color="auto"/>
            <w:left w:val="none" w:sz="0" w:space="0" w:color="auto"/>
            <w:bottom w:val="none" w:sz="0" w:space="0" w:color="auto"/>
            <w:right w:val="none" w:sz="0" w:space="0" w:color="auto"/>
          </w:divBdr>
        </w:div>
        <w:div w:id="675771559">
          <w:marLeft w:val="0"/>
          <w:marRight w:val="0"/>
          <w:marTop w:val="0"/>
          <w:marBottom w:val="0"/>
          <w:divBdr>
            <w:top w:val="none" w:sz="0" w:space="0" w:color="auto"/>
            <w:left w:val="none" w:sz="0" w:space="0" w:color="auto"/>
            <w:bottom w:val="none" w:sz="0" w:space="0" w:color="auto"/>
            <w:right w:val="none" w:sz="0" w:space="0" w:color="auto"/>
          </w:divBdr>
        </w:div>
        <w:div w:id="682434609">
          <w:marLeft w:val="0"/>
          <w:marRight w:val="0"/>
          <w:marTop w:val="0"/>
          <w:marBottom w:val="0"/>
          <w:divBdr>
            <w:top w:val="none" w:sz="0" w:space="0" w:color="auto"/>
            <w:left w:val="none" w:sz="0" w:space="0" w:color="auto"/>
            <w:bottom w:val="none" w:sz="0" w:space="0" w:color="auto"/>
            <w:right w:val="none" w:sz="0" w:space="0" w:color="auto"/>
          </w:divBdr>
        </w:div>
        <w:div w:id="1024287315">
          <w:marLeft w:val="0"/>
          <w:marRight w:val="0"/>
          <w:marTop w:val="0"/>
          <w:marBottom w:val="0"/>
          <w:divBdr>
            <w:top w:val="none" w:sz="0" w:space="0" w:color="auto"/>
            <w:left w:val="none" w:sz="0" w:space="0" w:color="auto"/>
            <w:bottom w:val="none" w:sz="0" w:space="0" w:color="auto"/>
            <w:right w:val="none" w:sz="0" w:space="0" w:color="auto"/>
          </w:divBdr>
        </w:div>
        <w:div w:id="1039741829">
          <w:marLeft w:val="0"/>
          <w:marRight w:val="0"/>
          <w:marTop w:val="0"/>
          <w:marBottom w:val="0"/>
          <w:divBdr>
            <w:top w:val="none" w:sz="0" w:space="0" w:color="auto"/>
            <w:left w:val="none" w:sz="0" w:space="0" w:color="auto"/>
            <w:bottom w:val="none" w:sz="0" w:space="0" w:color="auto"/>
            <w:right w:val="none" w:sz="0" w:space="0" w:color="auto"/>
          </w:divBdr>
        </w:div>
        <w:div w:id="1151947673">
          <w:marLeft w:val="0"/>
          <w:marRight w:val="0"/>
          <w:marTop w:val="0"/>
          <w:marBottom w:val="0"/>
          <w:divBdr>
            <w:top w:val="none" w:sz="0" w:space="0" w:color="auto"/>
            <w:left w:val="none" w:sz="0" w:space="0" w:color="auto"/>
            <w:bottom w:val="none" w:sz="0" w:space="0" w:color="auto"/>
            <w:right w:val="none" w:sz="0" w:space="0" w:color="auto"/>
          </w:divBdr>
        </w:div>
        <w:div w:id="1752316572">
          <w:marLeft w:val="0"/>
          <w:marRight w:val="0"/>
          <w:marTop w:val="0"/>
          <w:marBottom w:val="0"/>
          <w:divBdr>
            <w:top w:val="none" w:sz="0" w:space="0" w:color="auto"/>
            <w:left w:val="none" w:sz="0" w:space="0" w:color="auto"/>
            <w:bottom w:val="none" w:sz="0" w:space="0" w:color="auto"/>
            <w:right w:val="none" w:sz="0" w:space="0" w:color="auto"/>
          </w:divBdr>
        </w:div>
      </w:divsChild>
    </w:div>
    <w:div w:id="1247154518">
      <w:bodyDiv w:val="1"/>
      <w:marLeft w:val="0"/>
      <w:marRight w:val="0"/>
      <w:marTop w:val="0"/>
      <w:marBottom w:val="0"/>
      <w:divBdr>
        <w:top w:val="none" w:sz="0" w:space="0" w:color="auto"/>
        <w:left w:val="none" w:sz="0" w:space="0" w:color="auto"/>
        <w:bottom w:val="none" w:sz="0" w:space="0" w:color="auto"/>
        <w:right w:val="none" w:sz="0" w:space="0" w:color="auto"/>
      </w:divBdr>
    </w:div>
    <w:div w:id="1316300303">
      <w:bodyDiv w:val="1"/>
      <w:marLeft w:val="0"/>
      <w:marRight w:val="0"/>
      <w:marTop w:val="0"/>
      <w:marBottom w:val="0"/>
      <w:divBdr>
        <w:top w:val="none" w:sz="0" w:space="0" w:color="auto"/>
        <w:left w:val="none" w:sz="0" w:space="0" w:color="auto"/>
        <w:bottom w:val="none" w:sz="0" w:space="0" w:color="auto"/>
        <w:right w:val="none" w:sz="0" w:space="0" w:color="auto"/>
      </w:divBdr>
    </w:div>
    <w:div w:id="1342200263">
      <w:bodyDiv w:val="1"/>
      <w:marLeft w:val="0"/>
      <w:marRight w:val="0"/>
      <w:marTop w:val="0"/>
      <w:marBottom w:val="0"/>
      <w:divBdr>
        <w:top w:val="none" w:sz="0" w:space="0" w:color="auto"/>
        <w:left w:val="none" w:sz="0" w:space="0" w:color="auto"/>
        <w:bottom w:val="none" w:sz="0" w:space="0" w:color="auto"/>
        <w:right w:val="none" w:sz="0" w:space="0" w:color="auto"/>
      </w:divBdr>
    </w:div>
    <w:div w:id="1349714592">
      <w:bodyDiv w:val="1"/>
      <w:marLeft w:val="0"/>
      <w:marRight w:val="0"/>
      <w:marTop w:val="0"/>
      <w:marBottom w:val="0"/>
      <w:divBdr>
        <w:top w:val="none" w:sz="0" w:space="0" w:color="auto"/>
        <w:left w:val="none" w:sz="0" w:space="0" w:color="auto"/>
        <w:bottom w:val="none" w:sz="0" w:space="0" w:color="auto"/>
        <w:right w:val="none" w:sz="0" w:space="0" w:color="auto"/>
      </w:divBdr>
      <w:divsChild>
        <w:div w:id="666401606">
          <w:marLeft w:val="0"/>
          <w:marRight w:val="0"/>
          <w:marTop w:val="0"/>
          <w:marBottom w:val="0"/>
          <w:divBdr>
            <w:top w:val="none" w:sz="0" w:space="0" w:color="auto"/>
            <w:left w:val="none" w:sz="0" w:space="0" w:color="auto"/>
            <w:bottom w:val="none" w:sz="0" w:space="0" w:color="auto"/>
            <w:right w:val="none" w:sz="0" w:space="0" w:color="auto"/>
          </w:divBdr>
        </w:div>
      </w:divsChild>
    </w:div>
    <w:div w:id="1371690689">
      <w:bodyDiv w:val="1"/>
      <w:marLeft w:val="0"/>
      <w:marRight w:val="0"/>
      <w:marTop w:val="0"/>
      <w:marBottom w:val="0"/>
      <w:divBdr>
        <w:top w:val="none" w:sz="0" w:space="0" w:color="auto"/>
        <w:left w:val="none" w:sz="0" w:space="0" w:color="auto"/>
        <w:bottom w:val="none" w:sz="0" w:space="0" w:color="auto"/>
        <w:right w:val="none" w:sz="0" w:space="0" w:color="auto"/>
      </w:divBdr>
      <w:divsChild>
        <w:div w:id="501165758">
          <w:marLeft w:val="0"/>
          <w:marRight w:val="0"/>
          <w:marTop w:val="0"/>
          <w:marBottom w:val="0"/>
          <w:divBdr>
            <w:top w:val="none" w:sz="0" w:space="0" w:color="auto"/>
            <w:left w:val="none" w:sz="0" w:space="0" w:color="auto"/>
            <w:bottom w:val="none" w:sz="0" w:space="0" w:color="auto"/>
            <w:right w:val="none" w:sz="0" w:space="0" w:color="auto"/>
          </w:divBdr>
        </w:div>
      </w:divsChild>
    </w:div>
    <w:div w:id="1374572322">
      <w:bodyDiv w:val="1"/>
      <w:marLeft w:val="0"/>
      <w:marRight w:val="0"/>
      <w:marTop w:val="0"/>
      <w:marBottom w:val="0"/>
      <w:divBdr>
        <w:top w:val="none" w:sz="0" w:space="0" w:color="auto"/>
        <w:left w:val="none" w:sz="0" w:space="0" w:color="auto"/>
        <w:bottom w:val="none" w:sz="0" w:space="0" w:color="auto"/>
        <w:right w:val="none" w:sz="0" w:space="0" w:color="auto"/>
      </w:divBdr>
      <w:divsChild>
        <w:div w:id="191262875">
          <w:marLeft w:val="0"/>
          <w:marRight w:val="0"/>
          <w:marTop w:val="0"/>
          <w:marBottom w:val="0"/>
          <w:divBdr>
            <w:top w:val="none" w:sz="0" w:space="0" w:color="auto"/>
            <w:left w:val="none" w:sz="0" w:space="0" w:color="auto"/>
            <w:bottom w:val="none" w:sz="0" w:space="0" w:color="auto"/>
            <w:right w:val="none" w:sz="0" w:space="0" w:color="auto"/>
          </w:divBdr>
        </w:div>
        <w:div w:id="268270832">
          <w:marLeft w:val="0"/>
          <w:marRight w:val="0"/>
          <w:marTop w:val="0"/>
          <w:marBottom w:val="0"/>
          <w:divBdr>
            <w:top w:val="none" w:sz="0" w:space="0" w:color="auto"/>
            <w:left w:val="none" w:sz="0" w:space="0" w:color="auto"/>
            <w:bottom w:val="none" w:sz="0" w:space="0" w:color="auto"/>
            <w:right w:val="none" w:sz="0" w:space="0" w:color="auto"/>
          </w:divBdr>
        </w:div>
        <w:div w:id="274098312">
          <w:marLeft w:val="0"/>
          <w:marRight w:val="0"/>
          <w:marTop w:val="0"/>
          <w:marBottom w:val="0"/>
          <w:divBdr>
            <w:top w:val="none" w:sz="0" w:space="0" w:color="auto"/>
            <w:left w:val="none" w:sz="0" w:space="0" w:color="auto"/>
            <w:bottom w:val="none" w:sz="0" w:space="0" w:color="auto"/>
            <w:right w:val="none" w:sz="0" w:space="0" w:color="auto"/>
          </w:divBdr>
        </w:div>
        <w:div w:id="310410766">
          <w:marLeft w:val="0"/>
          <w:marRight w:val="0"/>
          <w:marTop w:val="0"/>
          <w:marBottom w:val="0"/>
          <w:divBdr>
            <w:top w:val="none" w:sz="0" w:space="0" w:color="auto"/>
            <w:left w:val="none" w:sz="0" w:space="0" w:color="auto"/>
            <w:bottom w:val="none" w:sz="0" w:space="0" w:color="auto"/>
            <w:right w:val="none" w:sz="0" w:space="0" w:color="auto"/>
          </w:divBdr>
        </w:div>
        <w:div w:id="376509960">
          <w:marLeft w:val="0"/>
          <w:marRight w:val="0"/>
          <w:marTop w:val="0"/>
          <w:marBottom w:val="0"/>
          <w:divBdr>
            <w:top w:val="none" w:sz="0" w:space="0" w:color="auto"/>
            <w:left w:val="none" w:sz="0" w:space="0" w:color="auto"/>
            <w:bottom w:val="none" w:sz="0" w:space="0" w:color="auto"/>
            <w:right w:val="none" w:sz="0" w:space="0" w:color="auto"/>
          </w:divBdr>
        </w:div>
        <w:div w:id="401409117">
          <w:marLeft w:val="0"/>
          <w:marRight w:val="0"/>
          <w:marTop w:val="0"/>
          <w:marBottom w:val="0"/>
          <w:divBdr>
            <w:top w:val="none" w:sz="0" w:space="0" w:color="auto"/>
            <w:left w:val="none" w:sz="0" w:space="0" w:color="auto"/>
            <w:bottom w:val="none" w:sz="0" w:space="0" w:color="auto"/>
            <w:right w:val="none" w:sz="0" w:space="0" w:color="auto"/>
          </w:divBdr>
        </w:div>
        <w:div w:id="602764638">
          <w:marLeft w:val="0"/>
          <w:marRight w:val="0"/>
          <w:marTop w:val="0"/>
          <w:marBottom w:val="0"/>
          <w:divBdr>
            <w:top w:val="none" w:sz="0" w:space="0" w:color="auto"/>
            <w:left w:val="none" w:sz="0" w:space="0" w:color="auto"/>
            <w:bottom w:val="none" w:sz="0" w:space="0" w:color="auto"/>
            <w:right w:val="none" w:sz="0" w:space="0" w:color="auto"/>
          </w:divBdr>
        </w:div>
        <w:div w:id="606667274">
          <w:marLeft w:val="0"/>
          <w:marRight w:val="0"/>
          <w:marTop w:val="0"/>
          <w:marBottom w:val="0"/>
          <w:divBdr>
            <w:top w:val="none" w:sz="0" w:space="0" w:color="auto"/>
            <w:left w:val="none" w:sz="0" w:space="0" w:color="auto"/>
            <w:bottom w:val="none" w:sz="0" w:space="0" w:color="auto"/>
            <w:right w:val="none" w:sz="0" w:space="0" w:color="auto"/>
          </w:divBdr>
        </w:div>
        <w:div w:id="606742488">
          <w:marLeft w:val="0"/>
          <w:marRight w:val="0"/>
          <w:marTop w:val="0"/>
          <w:marBottom w:val="0"/>
          <w:divBdr>
            <w:top w:val="none" w:sz="0" w:space="0" w:color="auto"/>
            <w:left w:val="none" w:sz="0" w:space="0" w:color="auto"/>
            <w:bottom w:val="none" w:sz="0" w:space="0" w:color="auto"/>
            <w:right w:val="none" w:sz="0" w:space="0" w:color="auto"/>
          </w:divBdr>
        </w:div>
        <w:div w:id="756555859">
          <w:marLeft w:val="0"/>
          <w:marRight w:val="0"/>
          <w:marTop w:val="0"/>
          <w:marBottom w:val="0"/>
          <w:divBdr>
            <w:top w:val="none" w:sz="0" w:space="0" w:color="auto"/>
            <w:left w:val="none" w:sz="0" w:space="0" w:color="auto"/>
            <w:bottom w:val="none" w:sz="0" w:space="0" w:color="auto"/>
            <w:right w:val="none" w:sz="0" w:space="0" w:color="auto"/>
          </w:divBdr>
        </w:div>
        <w:div w:id="789713163">
          <w:marLeft w:val="0"/>
          <w:marRight w:val="0"/>
          <w:marTop w:val="0"/>
          <w:marBottom w:val="0"/>
          <w:divBdr>
            <w:top w:val="none" w:sz="0" w:space="0" w:color="auto"/>
            <w:left w:val="none" w:sz="0" w:space="0" w:color="auto"/>
            <w:bottom w:val="none" w:sz="0" w:space="0" w:color="auto"/>
            <w:right w:val="none" w:sz="0" w:space="0" w:color="auto"/>
          </w:divBdr>
        </w:div>
        <w:div w:id="811751793">
          <w:marLeft w:val="0"/>
          <w:marRight w:val="0"/>
          <w:marTop w:val="0"/>
          <w:marBottom w:val="0"/>
          <w:divBdr>
            <w:top w:val="none" w:sz="0" w:space="0" w:color="auto"/>
            <w:left w:val="none" w:sz="0" w:space="0" w:color="auto"/>
            <w:bottom w:val="none" w:sz="0" w:space="0" w:color="auto"/>
            <w:right w:val="none" w:sz="0" w:space="0" w:color="auto"/>
          </w:divBdr>
        </w:div>
        <w:div w:id="942570059">
          <w:marLeft w:val="0"/>
          <w:marRight w:val="0"/>
          <w:marTop w:val="0"/>
          <w:marBottom w:val="0"/>
          <w:divBdr>
            <w:top w:val="none" w:sz="0" w:space="0" w:color="auto"/>
            <w:left w:val="none" w:sz="0" w:space="0" w:color="auto"/>
            <w:bottom w:val="none" w:sz="0" w:space="0" w:color="auto"/>
            <w:right w:val="none" w:sz="0" w:space="0" w:color="auto"/>
          </w:divBdr>
        </w:div>
        <w:div w:id="1070423832">
          <w:marLeft w:val="0"/>
          <w:marRight w:val="0"/>
          <w:marTop w:val="0"/>
          <w:marBottom w:val="0"/>
          <w:divBdr>
            <w:top w:val="none" w:sz="0" w:space="0" w:color="auto"/>
            <w:left w:val="none" w:sz="0" w:space="0" w:color="auto"/>
            <w:bottom w:val="none" w:sz="0" w:space="0" w:color="auto"/>
            <w:right w:val="none" w:sz="0" w:space="0" w:color="auto"/>
          </w:divBdr>
        </w:div>
        <w:div w:id="1090081460">
          <w:marLeft w:val="0"/>
          <w:marRight w:val="0"/>
          <w:marTop w:val="0"/>
          <w:marBottom w:val="0"/>
          <w:divBdr>
            <w:top w:val="none" w:sz="0" w:space="0" w:color="auto"/>
            <w:left w:val="none" w:sz="0" w:space="0" w:color="auto"/>
            <w:bottom w:val="none" w:sz="0" w:space="0" w:color="auto"/>
            <w:right w:val="none" w:sz="0" w:space="0" w:color="auto"/>
          </w:divBdr>
        </w:div>
        <w:div w:id="1266501661">
          <w:marLeft w:val="0"/>
          <w:marRight w:val="0"/>
          <w:marTop w:val="0"/>
          <w:marBottom w:val="0"/>
          <w:divBdr>
            <w:top w:val="none" w:sz="0" w:space="0" w:color="auto"/>
            <w:left w:val="none" w:sz="0" w:space="0" w:color="auto"/>
            <w:bottom w:val="none" w:sz="0" w:space="0" w:color="auto"/>
            <w:right w:val="none" w:sz="0" w:space="0" w:color="auto"/>
          </w:divBdr>
        </w:div>
        <w:div w:id="1281257463">
          <w:marLeft w:val="0"/>
          <w:marRight w:val="0"/>
          <w:marTop w:val="0"/>
          <w:marBottom w:val="0"/>
          <w:divBdr>
            <w:top w:val="none" w:sz="0" w:space="0" w:color="auto"/>
            <w:left w:val="none" w:sz="0" w:space="0" w:color="auto"/>
            <w:bottom w:val="none" w:sz="0" w:space="0" w:color="auto"/>
            <w:right w:val="none" w:sz="0" w:space="0" w:color="auto"/>
          </w:divBdr>
        </w:div>
        <w:div w:id="1352493362">
          <w:marLeft w:val="0"/>
          <w:marRight w:val="0"/>
          <w:marTop w:val="0"/>
          <w:marBottom w:val="0"/>
          <w:divBdr>
            <w:top w:val="none" w:sz="0" w:space="0" w:color="auto"/>
            <w:left w:val="none" w:sz="0" w:space="0" w:color="auto"/>
            <w:bottom w:val="none" w:sz="0" w:space="0" w:color="auto"/>
            <w:right w:val="none" w:sz="0" w:space="0" w:color="auto"/>
          </w:divBdr>
        </w:div>
        <w:div w:id="1512454324">
          <w:marLeft w:val="0"/>
          <w:marRight w:val="0"/>
          <w:marTop w:val="0"/>
          <w:marBottom w:val="0"/>
          <w:divBdr>
            <w:top w:val="none" w:sz="0" w:space="0" w:color="auto"/>
            <w:left w:val="none" w:sz="0" w:space="0" w:color="auto"/>
            <w:bottom w:val="none" w:sz="0" w:space="0" w:color="auto"/>
            <w:right w:val="none" w:sz="0" w:space="0" w:color="auto"/>
          </w:divBdr>
        </w:div>
        <w:div w:id="1775395355">
          <w:marLeft w:val="0"/>
          <w:marRight w:val="0"/>
          <w:marTop w:val="0"/>
          <w:marBottom w:val="0"/>
          <w:divBdr>
            <w:top w:val="none" w:sz="0" w:space="0" w:color="auto"/>
            <w:left w:val="none" w:sz="0" w:space="0" w:color="auto"/>
            <w:bottom w:val="none" w:sz="0" w:space="0" w:color="auto"/>
            <w:right w:val="none" w:sz="0" w:space="0" w:color="auto"/>
          </w:divBdr>
        </w:div>
        <w:div w:id="1874073860">
          <w:marLeft w:val="0"/>
          <w:marRight w:val="0"/>
          <w:marTop w:val="0"/>
          <w:marBottom w:val="0"/>
          <w:divBdr>
            <w:top w:val="none" w:sz="0" w:space="0" w:color="auto"/>
            <w:left w:val="none" w:sz="0" w:space="0" w:color="auto"/>
            <w:bottom w:val="none" w:sz="0" w:space="0" w:color="auto"/>
            <w:right w:val="none" w:sz="0" w:space="0" w:color="auto"/>
          </w:divBdr>
        </w:div>
        <w:div w:id="1891257587">
          <w:marLeft w:val="0"/>
          <w:marRight w:val="0"/>
          <w:marTop w:val="0"/>
          <w:marBottom w:val="0"/>
          <w:divBdr>
            <w:top w:val="none" w:sz="0" w:space="0" w:color="auto"/>
            <w:left w:val="none" w:sz="0" w:space="0" w:color="auto"/>
            <w:bottom w:val="none" w:sz="0" w:space="0" w:color="auto"/>
            <w:right w:val="none" w:sz="0" w:space="0" w:color="auto"/>
          </w:divBdr>
        </w:div>
        <w:div w:id="1904367519">
          <w:marLeft w:val="0"/>
          <w:marRight w:val="0"/>
          <w:marTop w:val="0"/>
          <w:marBottom w:val="0"/>
          <w:divBdr>
            <w:top w:val="none" w:sz="0" w:space="0" w:color="auto"/>
            <w:left w:val="none" w:sz="0" w:space="0" w:color="auto"/>
            <w:bottom w:val="none" w:sz="0" w:space="0" w:color="auto"/>
            <w:right w:val="none" w:sz="0" w:space="0" w:color="auto"/>
          </w:divBdr>
        </w:div>
        <w:div w:id="2087341276">
          <w:marLeft w:val="0"/>
          <w:marRight w:val="0"/>
          <w:marTop w:val="0"/>
          <w:marBottom w:val="0"/>
          <w:divBdr>
            <w:top w:val="none" w:sz="0" w:space="0" w:color="auto"/>
            <w:left w:val="none" w:sz="0" w:space="0" w:color="auto"/>
            <w:bottom w:val="none" w:sz="0" w:space="0" w:color="auto"/>
            <w:right w:val="none" w:sz="0" w:space="0" w:color="auto"/>
          </w:divBdr>
        </w:div>
      </w:divsChild>
    </w:div>
    <w:div w:id="1411808064">
      <w:bodyDiv w:val="1"/>
      <w:marLeft w:val="0"/>
      <w:marRight w:val="0"/>
      <w:marTop w:val="0"/>
      <w:marBottom w:val="0"/>
      <w:divBdr>
        <w:top w:val="none" w:sz="0" w:space="0" w:color="auto"/>
        <w:left w:val="none" w:sz="0" w:space="0" w:color="auto"/>
        <w:bottom w:val="none" w:sz="0" w:space="0" w:color="auto"/>
        <w:right w:val="none" w:sz="0" w:space="0" w:color="auto"/>
      </w:divBdr>
      <w:divsChild>
        <w:div w:id="2138797623">
          <w:marLeft w:val="0"/>
          <w:marRight w:val="0"/>
          <w:marTop w:val="0"/>
          <w:marBottom w:val="0"/>
          <w:divBdr>
            <w:top w:val="none" w:sz="0" w:space="0" w:color="auto"/>
            <w:left w:val="none" w:sz="0" w:space="0" w:color="auto"/>
            <w:bottom w:val="none" w:sz="0" w:space="0" w:color="auto"/>
            <w:right w:val="none" w:sz="0" w:space="0" w:color="auto"/>
          </w:divBdr>
          <w:divsChild>
            <w:div w:id="1404796800">
              <w:marLeft w:val="0"/>
              <w:marRight w:val="0"/>
              <w:marTop w:val="0"/>
              <w:marBottom w:val="0"/>
              <w:divBdr>
                <w:top w:val="none" w:sz="0" w:space="0" w:color="auto"/>
                <w:left w:val="none" w:sz="0" w:space="0" w:color="auto"/>
                <w:bottom w:val="none" w:sz="0" w:space="0" w:color="auto"/>
                <w:right w:val="none" w:sz="0" w:space="0" w:color="auto"/>
              </w:divBdr>
              <w:divsChild>
                <w:div w:id="245500364">
                  <w:marLeft w:val="0"/>
                  <w:marRight w:val="0"/>
                  <w:marTop w:val="0"/>
                  <w:marBottom w:val="0"/>
                  <w:divBdr>
                    <w:top w:val="none" w:sz="0" w:space="0" w:color="auto"/>
                    <w:left w:val="none" w:sz="0" w:space="0" w:color="auto"/>
                    <w:bottom w:val="none" w:sz="0" w:space="0" w:color="auto"/>
                    <w:right w:val="none" w:sz="0" w:space="0" w:color="auto"/>
                  </w:divBdr>
                  <w:divsChild>
                    <w:div w:id="17629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2511">
      <w:bodyDiv w:val="1"/>
      <w:marLeft w:val="0"/>
      <w:marRight w:val="0"/>
      <w:marTop w:val="0"/>
      <w:marBottom w:val="0"/>
      <w:divBdr>
        <w:top w:val="none" w:sz="0" w:space="0" w:color="auto"/>
        <w:left w:val="none" w:sz="0" w:space="0" w:color="auto"/>
        <w:bottom w:val="none" w:sz="0" w:space="0" w:color="auto"/>
        <w:right w:val="none" w:sz="0" w:space="0" w:color="auto"/>
      </w:divBdr>
      <w:divsChild>
        <w:div w:id="391543098">
          <w:marLeft w:val="0"/>
          <w:marRight w:val="0"/>
          <w:marTop w:val="0"/>
          <w:marBottom w:val="0"/>
          <w:divBdr>
            <w:top w:val="none" w:sz="0" w:space="0" w:color="auto"/>
            <w:left w:val="none" w:sz="0" w:space="0" w:color="auto"/>
            <w:bottom w:val="none" w:sz="0" w:space="0" w:color="auto"/>
            <w:right w:val="none" w:sz="0" w:space="0" w:color="auto"/>
          </w:divBdr>
        </w:div>
      </w:divsChild>
    </w:div>
    <w:div w:id="1512139778">
      <w:bodyDiv w:val="1"/>
      <w:marLeft w:val="0"/>
      <w:marRight w:val="0"/>
      <w:marTop w:val="0"/>
      <w:marBottom w:val="0"/>
      <w:divBdr>
        <w:top w:val="none" w:sz="0" w:space="0" w:color="auto"/>
        <w:left w:val="none" w:sz="0" w:space="0" w:color="auto"/>
        <w:bottom w:val="none" w:sz="0" w:space="0" w:color="auto"/>
        <w:right w:val="none" w:sz="0" w:space="0" w:color="auto"/>
      </w:divBdr>
      <w:divsChild>
        <w:div w:id="58482810">
          <w:marLeft w:val="0"/>
          <w:marRight w:val="0"/>
          <w:marTop w:val="0"/>
          <w:marBottom w:val="0"/>
          <w:divBdr>
            <w:top w:val="none" w:sz="0" w:space="0" w:color="auto"/>
            <w:left w:val="none" w:sz="0" w:space="0" w:color="auto"/>
            <w:bottom w:val="none" w:sz="0" w:space="0" w:color="auto"/>
            <w:right w:val="none" w:sz="0" w:space="0" w:color="auto"/>
          </w:divBdr>
        </w:div>
        <w:div w:id="76482191">
          <w:marLeft w:val="0"/>
          <w:marRight w:val="0"/>
          <w:marTop w:val="0"/>
          <w:marBottom w:val="0"/>
          <w:divBdr>
            <w:top w:val="none" w:sz="0" w:space="0" w:color="auto"/>
            <w:left w:val="none" w:sz="0" w:space="0" w:color="auto"/>
            <w:bottom w:val="none" w:sz="0" w:space="0" w:color="auto"/>
            <w:right w:val="none" w:sz="0" w:space="0" w:color="auto"/>
          </w:divBdr>
        </w:div>
        <w:div w:id="164562948">
          <w:marLeft w:val="0"/>
          <w:marRight w:val="0"/>
          <w:marTop w:val="0"/>
          <w:marBottom w:val="0"/>
          <w:divBdr>
            <w:top w:val="none" w:sz="0" w:space="0" w:color="auto"/>
            <w:left w:val="none" w:sz="0" w:space="0" w:color="auto"/>
            <w:bottom w:val="none" w:sz="0" w:space="0" w:color="auto"/>
            <w:right w:val="none" w:sz="0" w:space="0" w:color="auto"/>
          </w:divBdr>
        </w:div>
        <w:div w:id="223831250">
          <w:marLeft w:val="0"/>
          <w:marRight w:val="0"/>
          <w:marTop w:val="0"/>
          <w:marBottom w:val="0"/>
          <w:divBdr>
            <w:top w:val="none" w:sz="0" w:space="0" w:color="auto"/>
            <w:left w:val="none" w:sz="0" w:space="0" w:color="auto"/>
            <w:bottom w:val="none" w:sz="0" w:space="0" w:color="auto"/>
            <w:right w:val="none" w:sz="0" w:space="0" w:color="auto"/>
          </w:divBdr>
        </w:div>
        <w:div w:id="423233745">
          <w:marLeft w:val="0"/>
          <w:marRight w:val="0"/>
          <w:marTop w:val="0"/>
          <w:marBottom w:val="0"/>
          <w:divBdr>
            <w:top w:val="none" w:sz="0" w:space="0" w:color="auto"/>
            <w:left w:val="none" w:sz="0" w:space="0" w:color="auto"/>
            <w:bottom w:val="none" w:sz="0" w:space="0" w:color="auto"/>
            <w:right w:val="none" w:sz="0" w:space="0" w:color="auto"/>
          </w:divBdr>
        </w:div>
        <w:div w:id="551313894">
          <w:marLeft w:val="0"/>
          <w:marRight w:val="0"/>
          <w:marTop w:val="0"/>
          <w:marBottom w:val="0"/>
          <w:divBdr>
            <w:top w:val="none" w:sz="0" w:space="0" w:color="auto"/>
            <w:left w:val="none" w:sz="0" w:space="0" w:color="auto"/>
            <w:bottom w:val="none" w:sz="0" w:space="0" w:color="auto"/>
            <w:right w:val="none" w:sz="0" w:space="0" w:color="auto"/>
          </w:divBdr>
        </w:div>
        <w:div w:id="859318329">
          <w:marLeft w:val="0"/>
          <w:marRight w:val="0"/>
          <w:marTop w:val="0"/>
          <w:marBottom w:val="0"/>
          <w:divBdr>
            <w:top w:val="none" w:sz="0" w:space="0" w:color="auto"/>
            <w:left w:val="none" w:sz="0" w:space="0" w:color="auto"/>
            <w:bottom w:val="none" w:sz="0" w:space="0" w:color="auto"/>
            <w:right w:val="none" w:sz="0" w:space="0" w:color="auto"/>
          </w:divBdr>
        </w:div>
        <w:div w:id="887379674">
          <w:marLeft w:val="0"/>
          <w:marRight w:val="0"/>
          <w:marTop w:val="0"/>
          <w:marBottom w:val="0"/>
          <w:divBdr>
            <w:top w:val="none" w:sz="0" w:space="0" w:color="auto"/>
            <w:left w:val="none" w:sz="0" w:space="0" w:color="auto"/>
            <w:bottom w:val="none" w:sz="0" w:space="0" w:color="auto"/>
            <w:right w:val="none" w:sz="0" w:space="0" w:color="auto"/>
          </w:divBdr>
        </w:div>
        <w:div w:id="891893146">
          <w:marLeft w:val="0"/>
          <w:marRight w:val="0"/>
          <w:marTop w:val="0"/>
          <w:marBottom w:val="0"/>
          <w:divBdr>
            <w:top w:val="none" w:sz="0" w:space="0" w:color="auto"/>
            <w:left w:val="none" w:sz="0" w:space="0" w:color="auto"/>
            <w:bottom w:val="none" w:sz="0" w:space="0" w:color="auto"/>
            <w:right w:val="none" w:sz="0" w:space="0" w:color="auto"/>
          </w:divBdr>
        </w:div>
        <w:div w:id="1024476665">
          <w:marLeft w:val="0"/>
          <w:marRight w:val="0"/>
          <w:marTop w:val="0"/>
          <w:marBottom w:val="0"/>
          <w:divBdr>
            <w:top w:val="none" w:sz="0" w:space="0" w:color="auto"/>
            <w:left w:val="none" w:sz="0" w:space="0" w:color="auto"/>
            <w:bottom w:val="none" w:sz="0" w:space="0" w:color="auto"/>
            <w:right w:val="none" w:sz="0" w:space="0" w:color="auto"/>
          </w:divBdr>
        </w:div>
        <w:div w:id="1230461022">
          <w:marLeft w:val="0"/>
          <w:marRight w:val="0"/>
          <w:marTop w:val="0"/>
          <w:marBottom w:val="0"/>
          <w:divBdr>
            <w:top w:val="none" w:sz="0" w:space="0" w:color="auto"/>
            <w:left w:val="none" w:sz="0" w:space="0" w:color="auto"/>
            <w:bottom w:val="none" w:sz="0" w:space="0" w:color="auto"/>
            <w:right w:val="none" w:sz="0" w:space="0" w:color="auto"/>
          </w:divBdr>
        </w:div>
        <w:div w:id="1268149243">
          <w:marLeft w:val="0"/>
          <w:marRight w:val="0"/>
          <w:marTop w:val="0"/>
          <w:marBottom w:val="0"/>
          <w:divBdr>
            <w:top w:val="none" w:sz="0" w:space="0" w:color="auto"/>
            <w:left w:val="none" w:sz="0" w:space="0" w:color="auto"/>
            <w:bottom w:val="none" w:sz="0" w:space="0" w:color="auto"/>
            <w:right w:val="none" w:sz="0" w:space="0" w:color="auto"/>
          </w:divBdr>
        </w:div>
        <w:div w:id="1349134969">
          <w:marLeft w:val="0"/>
          <w:marRight w:val="0"/>
          <w:marTop w:val="0"/>
          <w:marBottom w:val="0"/>
          <w:divBdr>
            <w:top w:val="none" w:sz="0" w:space="0" w:color="auto"/>
            <w:left w:val="none" w:sz="0" w:space="0" w:color="auto"/>
            <w:bottom w:val="none" w:sz="0" w:space="0" w:color="auto"/>
            <w:right w:val="none" w:sz="0" w:space="0" w:color="auto"/>
          </w:divBdr>
        </w:div>
        <w:div w:id="1555309146">
          <w:marLeft w:val="0"/>
          <w:marRight w:val="0"/>
          <w:marTop w:val="0"/>
          <w:marBottom w:val="0"/>
          <w:divBdr>
            <w:top w:val="none" w:sz="0" w:space="0" w:color="auto"/>
            <w:left w:val="none" w:sz="0" w:space="0" w:color="auto"/>
            <w:bottom w:val="none" w:sz="0" w:space="0" w:color="auto"/>
            <w:right w:val="none" w:sz="0" w:space="0" w:color="auto"/>
          </w:divBdr>
        </w:div>
        <w:div w:id="1602955762">
          <w:marLeft w:val="0"/>
          <w:marRight w:val="0"/>
          <w:marTop w:val="0"/>
          <w:marBottom w:val="0"/>
          <w:divBdr>
            <w:top w:val="none" w:sz="0" w:space="0" w:color="auto"/>
            <w:left w:val="none" w:sz="0" w:space="0" w:color="auto"/>
            <w:bottom w:val="none" w:sz="0" w:space="0" w:color="auto"/>
            <w:right w:val="none" w:sz="0" w:space="0" w:color="auto"/>
          </w:divBdr>
        </w:div>
        <w:div w:id="1622104413">
          <w:marLeft w:val="0"/>
          <w:marRight w:val="0"/>
          <w:marTop w:val="0"/>
          <w:marBottom w:val="0"/>
          <w:divBdr>
            <w:top w:val="none" w:sz="0" w:space="0" w:color="auto"/>
            <w:left w:val="none" w:sz="0" w:space="0" w:color="auto"/>
            <w:bottom w:val="none" w:sz="0" w:space="0" w:color="auto"/>
            <w:right w:val="none" w:sz="0" w:space="0" w:color="auto"/>
          </w:divBdr>
        </w:div>
        <w:div w:id="1622571756">
          <w:marLeft w:val="0"/>
          <w:marRight w:val="0"/>
          <w:marTop w:val="0"/>
          <w:marBottom w:val="0"/>
          <w:divBdr>
            <w:top w:val="none" w:sz="0" w:space="0" w:color="auto"/>
            <w:left w:val="none" w:sz="0" w:space="0" w:color="auto"/>
            <w:bottom w:val="none" w:sz="0" w:space="0" w:color="auto"/>
            <w:right w:val="none" w:sz="0" w:space="0" w:color="auto"/>
          </w:divBdr>
        </w:div>
        <w:div w:id="1635138227">
          <w:marLeft w:val="0"/>
          <w:marRight w:val="0"/>
          <w:marTop w:val="0"/>
          <w:marBottom w:val="0"/>
          <w:divBdr>
            <w:top w:val="none" w:sz="0" w:space="0" w:color="auto"/>
            <w:left w:val="none" w:sz="0" w:space="0" w:color="auto"/>
            <w:bottom w:val="none" w:sz="0" w:space="0" w:color="auto"/>
            <w:right w:val="none" w:sz="0" w:space="0" w:color="auto"/>
          </w:divBdr>
        </w:div>
        <w:div w:id="1729301865">
          <w:marLeft w:val="0"/>
          <w:marRight w:val="0"/>
          <w:marTop w:val="0"/>
          <w:marBottom w:val="0"/>
          <w:divBdr>
            <w:top w:val="none" w:sz="0" w:space="0" w:color="auto"/>
            <w:left w:val="none" w:sz="0" w:space="0" w:color="auto"/>
            <w:bottom w:val="none" w:sz="0" w:space="0" w:color="auto"/>
            <w:right w:val="none" w:sz="0" w:space="0" w:color="auto"/>
          </w:divBdr>
        </w:div>
        <w:div w:id="1744371714">
          <w:marLeft w:val="0"/>
          <w:marRight w:val="0"/>
          <w:marTop w:val="0"/>
          <w:marBottom w:val="0"/>
          <w:divBdr>
            <w:top w:val="none" w:sz="0" w:space="0" w:color="auto"/>
            <w:left w:val="none" w:sz="0" w:space="0" w:color="auto"/>
            <w:bottom w:val="none" w:sz="0" w:space="0" w:color="auto"/>
            <w:right w:val="none" w:sz="0" w:space="0" w:color="auto"/>
          </w:divBdr>
        </w:div>
        <w:div w:id="1781559654">
          <w:marLeft w:val="0"/>
          <w:marRight w:val="0"/>
          <w:marTop w:val="0"/>
          <w:marBottom w:val="0"/>
          <w:divBdr>
            <w:top w:val="none" w:sz="0" w:space="0" w:color="auto"/>
            <w:left w:val="none" w:sz="0" w:space="0" w:color="auto"/>
            <w:bottom w:val="none" w:sz="0" w:space="0" w:color="auto"/>
            <w:right w:val="none" w:sz="0" w:space="0" w:color="auto"/>
          </w:divBdr>
        </w:div>
        <w:div w:id="1942757497">
          <w:marLeft w:val="0"/>
          <w:marRight w:val="0"/>
          <w:marTop w:val="0"/>
          <w:marBottom w:val="0"/>
          <w:divBdr>
            <w:top w:val="none" w:sz="0" w:space="0" w:color="auto"/>
            <w:left w:val="none" w:sz="0" w:space="0" w:color="auto"/>
            <w:bottom w:val="none" w:sz="0" w:space="0" w:color="auto"/>
            <w:right w:val="none" w:sz="0" w:space="0" w:color="auto"/>
          </w:divBdr>
        </w:div>
        <w:div w:id="2042198917">
          <w:marLeft w:val="0"/>
          <w:marRight w:val="0"/>
          <w:marTop w:val="0"/>
          <w:marBottom w:val="0"/>
          <w:divBdr>
            <w:top w:val="none" w:sz="0" w:space="0" w:color="auto"/>
            <w:left w:val="none" w:sz="0" w:space="0" w:color="auto"/>
            <w:bottom w:val="none" w:sz="0" w:space="0" w:color="auto"/>
            <w:right w:val="none" w:sz="0" w:space="0" w:color="auto"/>
          </w:divBdr>
        </w:div>
        <w:div w:id="2043703149">
          <w:marLeft w:val="0"/>
          <w:marRight w:val="0"/>
          <w:marTop w:val="0"/>
          <w:marBottom w:val="0"/>
          <w:divBdr>
            <w:top w:val="none" w:sz="0" w:space="0" w:color="auto"/>
            <w:left w:val="none" w:sz="0" w:space="0" w:color="auto"/>
            <w:bottom w:val="none" w:sz="0" w:space="0" w:color="auto"/>
            <w:right w:val="none" w:sz="0" w:space="0" w:color="auto"/>
          </w:divBdr>
        </w:div>
      </w:divsChild>
    </w:div>
    <w:div w:id="1525828881">
      <w:bodyDiv w:val="1"/>
      <w:marLeft w:val="0"/>
      <w:marRight w:val="0"/>
      <w:marTop w:val="0"/>
      <w:marBottom w:val="0"/>
      <w:divBdr>
        <w:top w:val="none" w:sz="0" w:space="0" w:color="auto"/>
        <w:left w:val="none" w:sz="0" w:space="0" w:color="auto"/>
        <w:bottom w:val="none" w:sz="0" w:space="0" w:color="auto"/>
        <w:right w:val="none" w:sz="0" w:space="0" w:color="auto"/>
      </w:divBdr>
    </w:div>
    <w:div w:id="1619874281">
      <w:bodyDiv w:val="1"/>
      <w:marLeft w:val="0"/>
      <w:marRight w:val="0"/>
      <w:marTop w:val="0"/>
      <w:marBottom w:val="0"/>
      <w:divBdr>
        <w:top w:val="none" w:sz="0" w:space="0" w:color="auto"/>
        <w:left w:val="none" w:sz="0" w:space="0" w:color="auto"/>
        <w:bottom w:val="none" w:sz="0" w:space="0" w:color="auto"/>
        <w:right w:val="none" w:sz="0" w:space="0" w:color="auto"/>
      </w:divBdr>
      <w:divsChild>
        <w:div w:id="666715116">
          <w:marLeft w:val="0"/>
          <w:marRight w:val="0"/>
          <w:marTop w:val="0"/>
          <w:marBottom w:val="0"/>
          <w:divBdr>
            <w:top w:val="none" w:sz="0" w:space="0" w:color="auto"/>
            <w:left w:val="none" w:sz="0" w:space="0" w:color="auto"/>
            <w:bottom w:val="none" w:sz="0" w:space="0" w:color="auto"/>
            <w:right w:val="none" w:sz="0" w:space="0" w:color="auto"/>
          </w:divBdr>
        </w:div>
      </w:divsChild>
    </w:div>
    <w:div w:id="1689986994">
      <w:bodyDiv w:val="1"/>
      <w:marLeft w:val="0"/>
      <w:marRight w:val="0"/>
      <w:marTop w:val="0"/>
      <w:marBottom w:val="0"/>
      <w:divBdr>
        <w:top w:val="none" w:sz="0" w:space="0" w:color="auto"/>
        <w:left w:val="none" w:sz="0" w:space="0" w:color="auto"/>
        <w:bottom w:val="none" w:sz="0" w:space="0" w:color="auto"/>
        <w:right w:val="none" w:sz="0" w:space="0" w:color="auto"/>
      </w:divBdr>
      <w:divsChild>
        <w:div w:id="526724996">
          <w:marLeft w:val="0"/>
          <w:marRight w:val="0"/>
          <w:marTop w:val="0"/>
          <w:marBottom w:val="0"/>
          <w:divBdr>
            <w:top w:val="none" w:sz="0" w:space="0" w:color="auto"/>
            <w:left w:val="none" w:sz="0" w:space="0" w:color="auto"/>
            <w:bottom w:val="none" w:sz="0" w:space="0" w:color="auto"/>
            <w:right w:val="none" w:sz="0" w:space="0" w:color="auto"/>
          </w:divBdr>
        </w:div>
      </w:divsChild>
    </w:div>
    <w:div w:id="1701390595">
      <w:bodyDiv w:val="1"/>
      <w:marLeft w:val="0"/>
      <w:marRight w:val="0"/>
      <w:marTop w:val="0"/>
      <w:marBottom w:val="0"/>
      <w:divBdr>
        <w:top w:val="none" w:sz="0" w:space="0" w:color="auto"/>
        <w:left w:val="none" w:sz="0" w:space="0" w:color="auto"/>
        <w:bottom w:val="none" w:sz="0" w:space="0" w:color="auto"/>
        <w:right w:val="none" w:sz="0" w:space="0" w:color="auto"/>
      </w:divBdr>
    </w:div>
    <w:div w:id="1769886442">
      <w:bodyDiv w:val="1"/>
      <w:marLeft w:val="0"/>
      <w:marRight w:val="0"/>
      <w:marTop w:val="0"/>
      <w:marBottom w:val="0"/>
      <w:divBdr>
        <w:top w:val="none" w:sz="0" w:space="0" w:color="auto"/>
        <w:left w:val="none" w:sz="0" w:space="0" w:color="auto"/>
        <w:bottom w:val="none" w:sz="0" w:space="0" w:color="auto"/>
        <w:right w:val="none" w:sz="0" w:space="0" w:color="auto"/>
      </w:divBdr>
    </w:div>
    <w:div w:id="1823306967">
      <w:bodyDiv w:val="1"/>
      <w:marLeft w:val="0"/>
      <w:marRight w:val="0"/>
      <w:marTop w:val="0"/>
      <w:marBottom w:val="0"/>
      <w:divBdr>
        <w:top w:val="none" w:sz="0" w:space="0" w:color="auto"/>
        <w:left w:val="none" w:sz="0" w:space="0" w:color="auto"/>
        <w:bottom w:val="none" w:sz="0" w:space="0" w:color="auto"/>
        <w:right w:val="none" w:sz="0" w:space="0" w:color="auto"/>
      </w:divBdr>
    </w:div>
    <w:div w:id="1854614089">
      <w:bodyDiv w:val="1"/>
      <w:marLeft w:val="0"/>
      <w:marRight w:val="0"/>
      <w:marTop w:val="0"/>
      <w:marBottom w:val="0"/>
      <w:divBdr>
        <w:top w:val="none" w:sz="0" w:space="0" w:color="auto"/>
        <w:left w:val="none" w:sz="0" w:space="0" w:color="auto"/>
        <w:bottom w:val="none" w:sz="0" w:space="0" w:color="auto"/>
        <w:right w:val="none" w:sz="0" w:space="0" w:color="auto"/>
      </w:divBdr>
    </w:div>
    <w:div w:id="1862432797">
      <w:bodyDiv w:val="1"/>
      <w:marLeft w:val="0"/>
      <w:marRight w:val="0"/>
      <w:marTop w:val="0"/>
      <w:marBottom w:val="0"/>
      <w:divBdr>
        <w:top w:val="none" w:sz="0" w:space="0" w:color="auto"/>
        <w:left w:val="none" w:sz="0" w:space="0" w:color="auto"/>
        <w:bottom w:val="none" w:sz="0" w:space="0" w:color="auto"/>
        <w:right w:val="none" w:sz="0" w:space="0" w:color="auto"/>
      </w:divBdr>
      <w:divsChild>
        <w:div w:id="1297099365">
          <w:marLeft w:val="0"/>
          <w:marRight w:val="0"/>
          <w:marTop w:val="0"/>
          <w:marBottom w:val="0"/>
          <w:divBdr>
            <w:top w:val="none" w:sz="0" w:space="0" w:color="auto"/>
            <w:left w:val="none" w:sz="0" w:space="0" w:color="auto"/>
            <w:bottom w:val="none" w:sz="0" w:space="0" w:color="auto"/>
            <w:right w:val="none" w:sz="0" w:space="0" w:color="auto"/>
          </w:divBdr>
        </w:div>
      </w:divsChild>
    </w:div>
    <w:div w:id="1883594865">
      <w:bodyDiv w:val="1"/>
      <w:marLeft w:val="0"/>
      <w:marRight w:val="0"/>
      <w:marTop w:val="0"/>
      <w:marBottom w:val="0"/>
      <w:divBdr>
        <w:top w:val="none" w:sz="0" w:space="0" w:color="auto"/>
        <w:left w:val="none" w:sz="0" w:space="0" w:color="auto"/>
        <w:bottom w:val="none" w:sz="0" w:space="0" w:color="auto"/>
        <w:right w:val="none" w:sz="0" w:space="0" w:color="auto"/>
      </w:divBdr>
    </w:div>
    <w:div w:id="1893734294">
      <w:bodyDiv w:val="1"/>
      <w:marLeft w:val="0"/>
      <w:marRight w:val="0"/>
      <w:marTop w:val="0"/>
      <w:marBottom w:val="0"/>
      <w:divBdr>
        <w:top w:val="none" w:sz="0" w:space="0" w:color="auto"/>
        <w:left w:val="none" w:sz="0" w:space="0" w:color="auto"/>
        <w:bottom w:val="none" w:sz="0" w:space="0" w:color="auto"/>
        <w:right w:val="none" w:sz="0" w:space="0" w:color="auto"/>
      </w:divBdr>
      <w:divsChild>
        <w:div w:id="101389163">
          <w:marLeft w:val="0"/>
          <w:marRight w:val="0"/>
          <w:marTop w:val="0"/>
          <w:marBottom w:val="0"/>
          <w:divBdr>
            <w:top w:val="none" w:sz="0" w:space="0" w:color="auto"/>
            <w:left w:val="none" w:sz="0" w:space="0" w:color="auto"/>
            <w:bottom w:val="none" w:sz="0" w:space="0" w:color="auto"/>
            <w:right w:val="none" w:sz="0" w:space="0" w:color="auto"/>
          </w:divBdr>
          <w:divsChild>
            <w:div w:id="948662974">
              <w:marLeft w:val="0"/>
              <w:marRight w:val="0"/>
              <w:marTop w:val="0"/>
              <w:marBottom w:val="0"/>
              <w:divBdr>
                <w:top w:val="none" w:sz="0" w:space="0" w:color="auto"/>
                <w:left w:val="none" w:sz="0" w:space="0" w:color="auto"/>
                <w:bottom w:val="none" w:sz="0" w:space="0" w:color="auto"/>
                <w:right w:val="none" w:sz="0" w:space="0" w:color="auto"/>
              </w:divBdr>
              <w:divsChild>
                <w:div w:id="739718579">
                  <w:marLeft w:val="0"/>
                  <w:marRight w:val="0"/>
                  <w:marTop w:val="0"/>
                  <w:marBottom w:val="0"/>
                  <w:divBdr>
                    <w:top w:val="none" w:sz="0" w:space="0" w:color="auto"/>
                    <w:left w:val="none" w:sz="0" w:space="0" w:color="auto"/>
                    <w:bottom w:val="none" w:sz="0" w:space="0" w:color="auto"/>
                    <w:right w:val="none" w:sz="0" w:space="0" w:color="auto"/>
                  </w:divBdr>
                  <w:divsChild>
                    <w:div w:id="1336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74645">
      <w:bodyDiv w:val="1"/>
      <w:marLeft w:val="0"/>
      <w:marRight w:val="0"/>
      <w:marTop w:val="0"/>
      <w:marBottom w:val="0"/>
      <w:divBdr>
        <w:top w:val="none" w:sz="0" w:space="0" w:color="auto"/>
        <w:left w:val="none" w:sz="0" w:space="0" w:color="auto"/>
        <w:bottom w:val="none" w:sz="0" w:space="0" w:color="auto"/>
        <w:right w:val="none" w:sz="0" w:space="0" w:color="auto"/>
      </w:divBdr>
    </w:div>
    <w:div w:id="1970820482">
      <w:bodyDiv w:val="1"/>
      <w:marLeft w:val="0"/>
      <w:marRight w:val="0"/>
      <w:marTop w:val="0"/>
      <w:marBottom w:val="0"/>
      <w:divBdr>
        <w:top w:val="none" w:sz="0" w:space="0" w:color="auto"/>
        <w:left w:val="none" w:sz="0" w:space="0" w:color="auto"/>
        <w:bottom w:val="none" w:sz="0" w:space="0" w:color="auto"/>
        <w:right w:val="none" w:sz="0" w:space="0" w:color="auto"/>
      </w:divBdr>
      <w:divsChild>
        <w:div w:id="1354652611">
          <w:marLeft w:val="0"/>
          <w:marRight w:val="0"/>
          <w:marTop w:val="0"/>
          <w:marBottom w:val="0"/>
          <w:divBdr>
            <w:top w:val="none" w:sz="0" w:space="0" w:color="auto"/>
            <w:left w:val="none" w:sz="0" w:space="0" w:color="auto"/>
            <w:bottom w:val="none" w:sz="0" w:space="0" w:color="auto"/>
            <w:right w:val="none" w:sz="0" w:space="0" w:color="auto"/>
          </w:divBdr>
          <w:divsChild>
            <w:div w:id="1089086859">
              <w:marLeft w:val="0"/>
              <w:marRight w:val="0"/>
              <w:marTop w:val="0"/>
              <w:marBottom w:val="0"/>
              <w:divBdr>
                <w:top w:val="none" w:sz="0" w:space="0" w:color="auto"/>
                <w:left w:val="none" w:sz="0" w:space="0" w:color="auto"/>
                <w:bottom w:val="none" w:sz="0" w:space="0" w:color="auto"/>
                <w:right w:val="none" w:sz="0" w:space="0" w:color="auto"/>
              </w:divBdr>
              <w:divsChild>
                <w:div w:id="1686326582">
                  <w:marLeft w:val="0"/>
                  <w:marRight w:val="0"/>
                  <w:marTop w:val="0"/>
                  <w:marBottom w:val="0"/>
                  <w:divBdr>
                    <w:top w:val="none" w:sz="0" w:space="0" w:color="auto"/>
                    <w:left w:val="none" w:sz="0" w:space="0" w:color="auto"/>
                    <w:bottom w:val="none" w:sz="0" w:space="0" w:color="auto"/>
                    <w:right w:val="none" w:sz="0" w:space="0" w:color="auto"/>
                  </w:divBdr>
                  <w:divsChild>
                    <w:div w:id="7927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65233">
      <w:bodyDiv w:val="1"/>
      <w:marLeft w:val="0"/>
      <w:marRight w:val="0"/>
      <w:marTop w:val="0"/>
      <w:marBottom w:val="0"/>
      <w:divBdr>
        <w:top w:val="none" w:sz="0" w:space="0" w:color="auto"/>
        <w:left w:val="none" w:sz="0" w:space="0" w:color="auto"/>
        <w:bottom w:val="none" w:sz="0" w:space="0" w:color="auto"/>
        <w:right w:val="none" w:sz="0" w:space="0" w:color="auto"/>
      </w:divBdr>
    </w:div>
    <w:div w:id="1990287354">
      <w:bodyDiv w:val="1"/>
      <w:marLeft w:val="0"/>
      <w:marRight w:val="0"/>
      <w:marTop w:val="0"/>
      <w:marBottom w:val="0"/>
      <w:divBdr>
        <w:top w:val="none" w:sz="0" w:space="0" w:color="auto"/>
        <w:left w:val="none" w:sz="0" w:space="0" w:color="auto"/>
        <w:bottom w:val="none" w:sz="0" w:space="0" w:color="auto"/>
        <w:right w:val="none" w:sz="0" w:space="0" w:color="auto"/>
      </w:divBdr>
      <w:divsChild>
        <w:div w:id="297031275">
          <w:marLeft w:val="0"/>
          <w:marRight w:val="0"/>
          <w:marTop w:val="0"/>
          <w:marBottom w:val="0"/>
          <w:divBdr>
            <w:top w:val="none" w:sz="0" w:space="0" w:color="auto"/>
            <w:left w:val="none" w:sz="0" w:space="0" w:color="auto"/>
            <w:bottom w:val="none" w:sz="0" w:space="0" w:color="auto"/>
            <w:right w:val="none" w:sz="0" w:space="0" w:color="auto"/>
          </w:divBdr>
        </w:div>
      </w:divsChild>
    </w:div>
    <w:div w:id="2098481796">
      <w:bodyDiv w:val="1"/>
      <w:marLeft w:val="0"/>
      <w:marRight w:val="0"/>
      <w:marTop w:val="0"/>
      <w:marBottom w:val="0"/>
      <w:divBdr>
        <w:top w:val="none" w:sz="0" w:space="0" w:color="auto"/>
        <w:left w:val="none" w:sz="0" w:space="0" w:color="auto"/>
        <w:bottom w:val="none" w:sz="0" w:space="0" w:color="auto"/>
        <w:right w:val="none" w:sz="0" w:space="0" w:color="auto"/>
      </w:divBdr>
      <w:divsChild>
        <w:div w:id="1591231118">
          <w:marLeft w:val="0"/>
          <w:marRight w:val="0"/>
          <w:marTop w:val="0"/>
          <w:marBottom w:val="0"/>
          <w:divBdr>
            <w:top w:val="none" w:sz="0" w:space="0" w:color="auto"/>
            <w:left w:val="none" w:sz="0" w:space="0" w:color="auto"/>
            <w:bottom w:val="none" w:sz="0" w:space="0" w:color="auto"/>
            <w:right w:val="none" w:sz="0" w:space="0" w:color="auto"/>
          </w:divBdr>
        </w:div>
      </w:divsChild>
    </w:div>
    <w:div w:id="2109543437">
      <w:bodyDiv w:val="1"/>
      <w:marLeft w:val="0"/>
      <w:marRight w:val="0"/>
      <w:marTop w:val="0"/>
      <w:marBottom w:val="0"/>
      <w:divBdr>
        <w:top w:val="none" w:sz="0" w:space="0" w:color="auto"/>
        <w:left w:val="none" w:sz="0" w:space="0" w:color="auto"/>
        <w:bottom w:val="none" w:sz="0" w:space="0" w:color="auto"/>
        <w:right w:val="none" w:sz="0" w:space="0" w:color="auto"/>
      </w:divBdr>
      <w:divsChild>
        <w:div w:id="20181896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val.2019.02.004" TargetMode="External"/><Relationship Id="rId18" Type="http://schemas.openxmlformats.org/officeDocument/2006/relationships/hyperlink" Target="https://doi.org/10.1016/j.brat.2005.06.006" TargetMode="External"/><Relationship Id="rId26" Type="http://schemas.openxmlformats.org/officeDocument/2006/relationships/hyperlink" Target="https://doi.org/10.2196/jmir.2600" TargetMode="External"/><Relationship Id="rId39" Type="http://schemas.openxmlformats.org/officeDocument/2006/relationships/hyperlink" Target="https://doi.org/10.1037/a0028226" TargetMode="External"/><Relationship Id="rId21" Type="http://schemas.openxmlformats.org/officeDocument/2006/relationships/hyperlink" Target="https://CRAN.R-project.org/package=AER" TargetMode="External"/><Relationship Id="rId34" Type="http://schemas.openxmlformats.org/officeDocument/2006/relationships/hyperlink" Target="http://www.posit.co/" TargetMode="External"/><Relationship Id="rId42" Type="http://schemas.openxmlformats.org/officeDocument/2006/relationships/hyperlink" Target="https://doi.org/10.2196/jmir.4493"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2196/43727" TargetMode="External"/><Relationship Id="rId29" Type="http://schemas.openxmlformats.org/officeDocument/2006/relationships/hyperlink" Target="https://doi.org/10.1016/j.invent.2017.1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tbm/ibz147" TargetMode="External"/><Relationship Id="rId24" Type="http://schemas.openxmlformats.org/officeDocument/2006/relationships/hyperlink" Target="https://psycnet.apa.org/doi/10.1037/ccp0000459" TargetMode="External"/><Relationship Id="rId32" Type="http://schemas.openxmlformats.org/officeDocument/2006/relationships/hyperlink" Target="https://doi-org.dist.lib.usu.edu/10.3389/fpsyg.2019.00075" TargetMode="External"/><Relationship Id="rId37" Type="http://schemas.openxmlformats.org/officeDocument/2006/relationships/hyperlink" Target="https://doi.org/10.1176/appi.ps.201100309" TargetMode="External"/><Relationship Id="rId40" Type="http://schemas.openxmlformats.org/officeDocument/2006/relationships/hyperlink" Target="https://doi.org/10.1017/s003329171400070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2196/jmir.9275" TargetMode="External"/><Relationship Id="rId23" Type="http://schemas.openxmlformats.org/officeDocument/2006/relationships/hyperlink" Target="https://doi.org/10.1002/jclp.22254" TargetMode="External"/><Relationship Id="rId28" Type="http://schemas.openxmlformats.org/officeDocument/2006/relationships/hyperlink" Target="https://doi.org/10.1017/s0033291710002291" TargetMode="External"/><Relationship Id="rId36" Type="http://schemas.openxmlformats.org/officeDocument/2006/relationships/hyperlink" Target="https://www.R-project.org/" TargetMode="External"/><Relationship Id="rId10" Type="http://schemas.openxmlformats.org/officeDocument/2006/relationships/hyperlink" Target="https://doi.org/10.1016/s0277-9536(00)00380-4" TargetMode="External"/><Relationship Id="rId19" Type="http://schemas.openxmlformats.org/officeDocument/2006/relationships/hyperlink" Target="https://doi.org/10.1016/j.brat.2012.04.001" TargetMode="External"/><Relationship Id="rId31" Type="http://schemas.openxmlformats.org/officeDocument/2006/relationships/hyperlink" Target="https://doi.org/10.1037/ser0000596"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tguide.usu.edu/" TargetMode="External"/><Relationship Id="rId14" Type="http://schemas.openxmlformats.org/officeDocument/2006/relationships/hyperlink" Target="https://doi.org/10.2196/jmir.1194" TargetMode="External"/><Relationship Id="rId22" Type="http://schemas.openxmlformats.org/officeDocument/2006/relationships/hyperlink" Target="https://doi.org/10.1136/bmjopen-2021-054775" TargetMode="External"/><Relationship Id="rId27" Type="http://schemas.openxmlformats.org/officeDocument/2006/relationships/hyperlink" Target="https://doi.org/10.2196/jmir.1602" TargetMode="External"/><Relationship Id="rId30" Type="http://schemas.openxmlformats.org/officeDocument/2006/relationships/hyperlink" Target="https://psycnet.apa.org/doi/10.1037/bul0000334" TargetMode="External"/><Relationship Id="rId35" Type="http://schemas.openxmlformats.org/officeDocument/2006/relationships/hyperlink" Target="https://doi.org/10.1177/2055207620905422" TargetMode="External"/><Relationship Id="rId43" Type="http://schemas.openxmlformats.org/officeDocument/2006/relationships/image" Target="media/image1.png"/><Relationship Id="rId48" Type="http://schemas.openxmlformats.org/officeDocument/2006/relationships/theme" Target="theme/theme1.xml"/><Relationship Id="rId8" Type="http://schemas.openxmlformats.org/officeDocument/2006/relationships/hyperlink" Target="mailto:Mike.Levin@usu.edu" TargetMode="External"/><Relationship Id="rId3" Type="http://schemas.openxmlformats.org/officeDocument/2006/relationships/styles" Target="styles.xml"/><Relationship Id="rId12" Type="http://schemas.openxmlformats.org/officeDocument/2006/relationships/hyperlink" Target="https://doi.org/10.1016/j.jbct.2020.03.004" TargetMode="External"/><Relationship Id="rId17" Type="http://schemas.openxmlformats.org/officeDocument/2006/relationships/hyperlink" Target="https://doi.org/10.3389/fdgth.2021.764079" TargetMode="External"/><Relationship Id="rId25" Type="http://schemas.openxmlformats.org/officeDocument/2006/relationships/hyperlink" Target="https://doi.org/10.1007/s41347-019-00099-6" TargetMode="External"/><Relationship Id="rId33" Type="http://schemas.openxmlformats.org/officeDocument/2006/relationships/hyperlink" Target="https://doi.org/10.1017/S0033291721001999" TargetMode="External"/><Relationship Id="rId38" Type="http://schemas.openxmlformats.org/officeDocument/2006/relationships/hyperlink" Target="https://doi.org/10.1093/tbm/ibaa098" TargetMode="External"/><Relationship Id="rId46" Type="http://schemas.openxmlformats.org/officeDocument/2006/relationships/footer" Target="footer2.xml"/><Relationship Id="rId20" Type="http://schemas.openxmlformats.org/officeDocument/2006/relationships/hyperlink" Target="https://doi.org/10.3389/fpsyt.2020.00137" TargetMode="External"/><Relationship Id="rId41" Type="http://schemas.openxmlformats.org/officeDocument/2006/relationships/hyperlink" Target="https://doi.org/10.1890/07-00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D6D0-F223-F04F-B6AC-026BF74D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8207</Words>
  <Characters>46786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2024-04-04T19:06:00Z</dcterms:created>
  <dcterms:modified xsi:type="dcterms:W3CDTF">2024-04-04T19:07:00Z</dcterms:modified>
</cp:coreProperties>
</file>