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BF5B7" w14:textId="3FC7C40E" w:rsidR="003219B1" w:rsidRDefault="003219B1" w:rsidP="00327A64">
      <w:pPr>
        <w:jc w:val="center"/>
        <w:rPr>
          <w:b/>
          <w:bCs/>
        </w:rPr>
      </w:pPr>
      <w:r w:rsidRPr="00882562">
        <w:rPr>
          <w:b/>
          <w:bCs/>
        </w:rPr>
        <w:t>Abstract</w:t>
      </w:r>
    </w:p>
    <w:p w14:paraId="1FCE1F63" w14:textId="77777777" w:rsidR="003219B1" w:rsidRDefault="003219B1" w:rsidP="002E1AF6">
      <w:pPr>
        <w:jc w:val="center"/>
        <w:rPr>
          <w:b/>
          <w:bCs/>
        </w:rPr>
      </w:pPr>
    </w:p>
    <w:p w14:paraId="4196CB64" w14:textId="62D9EFDA" w:rsidR="003219B1" w:rsidRDefault="003219B1" w:rsidP="00A502D6">
      <w:pPr>
        <w:spacing w:line="480" w:lineRule="auto"/>
      </w:pPr>
      <w:r>
        <w:tab/>
        <w:t xml:space="preserve">Sexual orientation intrusive thoughts are a debilitating form of obsessive compulsive disorder (OCD). The present study aimed to elucidate </w:t>
      </w:r>
      <w:r w:rsidR="00503C44">
        <w:t>how</w:t>
      </w:r>
      <w:r>
        <w:t xml:space="preserve"> psychological inflexibility and dysfunctional beliefs </w:t>
      </w:r>
      <w:r w:rsidR="00503C44">
        <w:t xml:space="preserve">may impact the </w:t>
      </w:r>
      <w:r w:rsidR="00386082">
        <w:t>relationships of</w:t>
      </w:r>
      <w:r w:rsidR="00503C44">
        <w:t xml:space="preserve"> </w:t>
      </w:r>
      <w:r>
        <w:t>sexual orientation intrusive thoughts</w:t>
      </w:r>
      <w:r w:rsidR="00503C44">
        <w:t xml:space="preserve"> and </w:t>
      </w:r>
      <w:r w:rsidR="0009332C">
        <w:t>obsessive-compulsive (OC)</w:t>
      </w:r>
      <w:r>
        <w:t xml:space="preserve"> symptoms</w:t>
      </w:r>
      <w:r w:rsidR="00A01E42">
        <w:t xml:space="preserve"> with well-being</w:t>
      </w:r>
      <w:r>
        <w:t>. A total of 181 undergraduate students completed measures of sexual orientation intrusive thoughts, OC symptoms, psychological inflexibility, dysfunctional beliefs, and well-being. Results indicated positive correlations between psychological inflexibility, sexual orientation intrusive thoughts, dysfunctional beliefs, and OC symptoms, along with negative correlations between well-being and sexual orientation intrusive thoughts, OC symptoms, dysfunctional beliefs and psychological inflexibility. Psychological inflexibility acted as a mediator between sexual orientation intrusive thoughts and well-being</w:t>
      </w:r>
      <w:r w:rsidR="000C3791">
        <w:t>,</w:t>
      </w:r>
      <w:r>
        <w:t xml:space="preserve"> </w:t>
      </w:r>
      <w:r w:rsidR="00493027">
        <w:t>and</w:t>
      </w:r>
      <w:r>
        <w:t xml:space="preserve"> between OC</w:t>
      </w:r>
      <w:r w:rsidR="00A2694A">
        <w:t xml:space="preserve"> </w:t>
      </w:r>
      <w:r>
        <w:t>symptoms and well-being. Dysfunctional beliefs were not a significant mediator. These results suggest that psychological inflexibility may partially explain the association between OC symptoms and well-being</w:t>
      </w:r>
      <w:r w:rsidR="000C3791">
        <w:t xml:space="preserve">, </w:t>
      </w:r>
      <w:r>
        <w:t>point</w:t>
      </w:r>
      <w:r w:rsidR="000C3791">
        <w:t>ing</w:t>
      </w:r>
      <w:r>
        <w:t xml:space="preserve"> towards the</w:t>
      </w:r>
      <w:r w:rsidR="00364096">
        <w:t xml:space="preserve"> need for future research on the impact of psychological inflexibility on well-being in the context of OC symptoms</w:t>
      </w:r>
      <w:r>
        <w:t>.</w:t>
      </w:r>
    </w:p>
    <w:p w14:paraId="51059E88" w14:textId="40C47744" w:rsidR="003219B1" w:rsidRDefault="003219B1">
      <w:r>
        <w:tab/>
      </w:r>
      <w:r>
        <w:rPr>
          <w:i/>
          <w:iCs/>
        </w:rPr>
        <w:t>Keywords</w:t>
      </w:r>
      <w:r>
        <w:t xml:space="preserve">: </w:t>
      </w:r>
      <w:r w:rsidR="00404A12">
        <w:t xml:space="preserve">well-being, </w:t>
      </w:r>
      <w:r>
        <w:t>psychological inflexibility, obsessive compulsive disorder, sexual orientation intrusive thoughts</w:t>
      </w:r>
      <w:r>
        <w:br w:type="page"/>
      </w:r>
    </w:p>
    <w:p w14:paraId="5F9FB420" w14:textId="77777777" w:rsidR="003219B1" w:rsidRPr="00FA10B8" w:rsidRDefault="003219B1" w:rsidP="00FA10B8">
      <w:pPr>
        <w:spacing w:line="480" w:lineRule="auto"/>
        <w:jc w:val="center"/>
        <w:rPr>
          <w:b/>
          <w:bCs/>
        </w:rPr>
      </w:pPr>
      <w:r w:rsidRPr="007F3E85">
        <w:rPr>
          <w:b/>
          <w:bCs/>
        </w:rPr>
        <w:lastRenderedPageBreak/>
        <w:t>Introduction</w:t>
      </w:r>
    </w:p>
    <w:p w14:paraId="0CCE1EF9" w14:textId="34E3B45E" w:rsidR="003219B1" w:rsidRPr="004C5FEC" w:rsidRDefault="003219B1" w:rsidP="00FA10B8">
      <w:pPr>
        <w:spacing w:line="480" w:lineRule="auto"/>
        <w:ind w:firstLine="360"/>
      </w:pPr>
      <w:r w:rsidRPr="004C5FEC">
        <w:t xml:space="preserve">Obsessive-compulsive disorder (OCD) is a debilitating condition associated with lower quality of life and significant impairment </w:t>
      </w:r>
      <w:r>
        <w:rPr>
          <w:noProof/>
        </w:rPr>
        <w:t>(Asnaani et al., 2017)</w:t>
      </w:r>
      <w:r w:rsidRPr="004C5FEC">
        <w:t>. OCD symptoms include repeated intrusive and/or distressing thoughts of varied content (</w:t>
      </w:r>
      <w:r w:rsidR="009F30F2">
        <w:t xml:space="preserve">i.e., </w:t>
      </w:r>
      <w:r w:rsidRPr="004C5FEC">
        <w:t>obsessions), frequently paired with mental or physical behaviors performed in an attempt to neutralize or remove the unpleasant thoughts (</w:t>
      </w:r>
      <w:r w:rsidR="006B16A5">
        <w:t xml:space="preserve">i.e., </w:t>
      </w:r>
      <w:r w:rsidRPr="004C5FEC">
        <w:t xml:space="preserve">compulsions; American Psychiatric Association, 2013). Obsessions in OCD </w:t>
      </w:r>
      <w:r w:rsidR="00AB27C2">
        <w:t>can cover</w:t>
      </w:r>
      <w:r w:rsidRPr="004C5FEC">
        <w:t xml:space="preserve"> a wide range of topics. For example, common obsessio</w:t>
      </w:r>
      <w:r w:rsidR="008A609B">
        <w:t xml:space="preserve">n </w:t>
      </w:r>
      <w:r>
        <w:t xml:space="preserve">topics </w:t>
      </w:r>
      <w:r w:rsidRPr="004C5FEC">
        <w:t xml:space="preserve">include worries around contamination, symmetry, religion, or </w:t>
      </w:r>
      <w:r w:rsidR="00CD21C6">
        <w:t>other</w:t>
      </w:r>
      <w:r w:rsidRPr="004C5FEC">
        <w:t xml:space="preserve"> taboo thoughts (e.g.</w:t>
      </w:r>
      <w:r w:rsidR="00234355">
        <w:t>,</w:t>
      </w:r>
      <w:r w:rsidRPr="004C5FEC">
        <w:t xml:space="preserve"> sexual or violent </w:t>
      </w:r>
      <w:r w:rsidR="004219B1">
        <w:t>topics</w:t>
      </w:r>
      <w:r w:rsidRPr="004C5FEC">
        <w:t xml:space="preserve">). Compulsions frequently include behaviors such as </w:t>
      </w:r>
      <w:r w:rsidR="007D38DC" w:rsidRPr="004C5FEC">
        <w:t>handwashing</w:t>
      </w:r>
      <w:r w:rsidRPr="004C5FEC">
        <w:t>, checking, repeating, or mental rituals</w:t>
      </w:r>
      <w:r w:rsidR="001F5951">
        <w:t xml:space="preserve"> (e.g., internal prayers).</w:t>
      </w:r>
    </w:p>
    <w:p w14:paraId="750C25E0" w14:textId="635294DF" w:rsidR="00881612" w:rsidRDefault="003219B1" w:rsidP="00EB7A66">
      <w:pPr>
        <w:spacing w:line="480" w:lineRule="auto"/>
        <w:ind w:firstLine="360"/>
      </w:pPr>
      <w:r>
        <w:t>S</w:t>
      </w:r>
      <w:r w:rsidRPr="004C5FEC">
        <w:t>exual intrusive thoughts are a common symptom of OCD</w:t>
      </w:r>
      <w:r w:rsidR="00234355">
        <w:t>; they are</w:t>
      </w:r>
      <w:r w:rsidR="00D9728D">
        <w:t xml:space="preserve"> </w:t>
      </w:r>
      <w:r w:rsidR="00823335">
        <w:t>defined by</w:t>
      </w:r>
      <w:r w:rsidR="00D9728D">
        <w:t xml:space="preserve"> concerns </w:t>
      </w:r>
      <w:r w:rsidR="00E673BF">
        <w:t>around</w:t>
      </w:r>
      <w:r>
        <w:t xml:space="preserve"> sexual subject manner, including</w:t>
      </w:r>
      <w:r w:rsidRPr="004C5FEC">
        <w:t xml:space="preserve"> obsessi</w:t>
      </w:r>
      <w:r>
        <w:t xml:space="preserve">ons </w:t>
      </w:r>
      <w:r w:rsidRPr="004C5FEC">
        <w:t xml:space="preserve">about one’s sexual orientation or fear of </w:t>
      </w:r>
      <w:r>
        <w:t>experiencing same</w:t>
      </w:r>
      <w:r w:rsidR="007D38DC">
        <w:t>-</w:t>
      </w:r>
      <w:r>
        <w:t>sex attraction</w:t>
      </w:r>
      <w:r w:rsidRPr="004C5FEC">
        <w:t xml:space="preserve">. Between 11- 25% of individuals with OCD struggle with </w:t>
      </w:r>
      <w:r>
        <w:t xml:space="preserve">general </w:t>
      </w:r>
      <w:r w:rsidRPr="004C5FEC">
        <w:t>sexual intrusive thoughts and 84% of the average population experiences the</w:t>
      </w:r>
      <w:r w:rsidR="00106BF6">
        <w:t>m</w:t>
      </w:r>
      <w:r>
        <w:t xml:space="preserve"> </w:t>
      </w:r>
      <w:r>
        <w:rPr>
          <w:noProof/>
        </w:rPr>
        <w:t>(Siev, Steketee, Fama, &amp; Wilhelm, 2011; Wetterneck, Smith, Hart, &amp; Burgess, 2011; Williams &amp; Farris, 2011)</w:t>
      </w:r>
      <w:r w:rsidRPr="004C5FEC">
        <w:t xml:space="preserve">. </w:t>
      </w:r>
      <w:r w:rsidR="004443DE">
        <w:t>S</w:t>
      </w:r>
      <w:r w:rsidRPr="004C5FEC">
        <w:t xml:space="preserve">exual </w:t>
      </w:r>
      <w:r>
        <w:t xml:space="preserve">orientation </w:t>
      </w:r>
      <w:r w:rsidRPr="004C5FEC">
        <w:t xml:space="preserve">intrusions are </w:t>
      </w:r>
      <w:r w:rsidR="00F2644B">
        <w:t>particularly distressing</w:t>
      </w:r>
      <w:r w:rsidRPr="004C5FEC">
        <w:t>, as they are ego-dystonic</w:t>
      </w:r>
      <w:r>
        <w:t>,</w:t>
      </w:r>
      <w:r w:rsidRPr="004C5FEC">
        <w:t xml:space="preserve"> lack the pleasure associated with sexual thoughts</w:t>
      </w:r>
      <w:r>
        <w:t>, and can provoke stigma-related fears of same</w:t>
      </w:r>
      <w:r w:rsidR="00EF5676">
        <w:t>-</w:t>
      </w:r>
      <w:r>
        <w:t xml:space="preserve">sex attraction </w:t>
      </w:r>
      <w:r>
        <w:rPr>
          <w:noProof/>
        </w:rPr>
        <w:t>(Langlois, Freeston, &amp; Ladouceur, 2000; Siev et al., 2011; Williams, Wetterneck, Tellawi, &amp; Duque, 2015)</w:t>
      </w:r>
      <w:r>
        <w:t xml:space="preserve">. </w:t>
      </w:r>
      <w:r w:rsidR="00AD7B4F">
        <w:t>It is important to emphasize that sexual orientation obsessions are distinct from questioning one’s sexuality or the experience of same-sex attraction</w:t>
      </w:r>
      <w:r w:rsidR="00436946">
        <w:t xml:space="preserve"> itself</w:t>
      </w:r>
      <w:r w:rsidR="00AD7B4F">
        <w:t>—</w:t>
      </w:r>
      <w:r w:rsidR="00436946">
        <w:t>such obsessions are</w:t>
      </w:r>
      <w:r w:rsidR="00AD7B4F">
        <w:t xml:space="preserve"> a </w:t>
      </w:r>
      <w:r w:rsidR="00E57A59">
        <w:t xml:space="preserve">common </w:t>
      </w:r>
      <w:r w:rsidR="00AD7B4F">
        <w:t>fear</w:t>
      </w:r>
      <w:r w:rsidR="00FC3660">
        <w:t>-</w:t>
      </w:r>
      <w:r w:rsidR="00C875DD">
        <w:t xml:space="preserve"> and anxiety-based</w:t>
      </w:r>
      <w:r w:rsidR="00AD7B4F">
        <w:t xml:space="preserve"> symptom of OCD</w:t>
      </w:r>
      <w:r w:rsidR="00EC11F3">
        <w:t xml:space="preserve"> </w:t>
      </w:r>
      <w:r w:rsidR="00566C7B">
        <w:t xml:space="preserve">and come with </w:t>
      </w:r>
      <w:r w:rsidR="00EF5676">
        <w:t>distinctive</w:t>
      </w:r>
      <w:r w:rsidR="00566C7B">
        <w:t xml:space="preserve"> avoidance and compulsive behaviors </w:t>
      </w:r>
      <w:r w:rsidR="00EC11F3">
        <w:t>(</w:t>
      </w:r>
      <w:r w:rsidR="00EC11F3">
        <w:rPr>
          <w:noProof/>
        </w:rPr>
        <w:t>Williams</w:t>
      </w:r>
      <w:r w:rsidR="009D21DD">
        <w:rPr>
          <w:noProof/>
        </w:rPr>
        <w:t xml:space="preserve"> et al.</w:t>
      </w:r>
      <w:r w:rsidR="00EC11F3">
        <w:rPr>
          <w:noProof/>
        </w:rPr>
        <w:t>, 2015)</w:t>
      </w:r>
      <w:r w:rsidR="00AD7B4F">
        <w:t>.</w:t>
      </w:r>
      <w:r w:rsidR="00D255A9">
        <w:t xml:space="preserve"> </w:t>
      </w:r>
      <w:r w:rsidR="00566C7B">
        <w:t xml:space="preserve">For example, individuals with sexual orientation obsessions may avoid being alone with a member of the same sex for fear of </w:t>
      </w:r>
      <w:r w:rsidR="00566C7B">
        <w:lastRenderedPageBreak/>
        <w:t>suddenly becoming attracted to</w:t>
      </w:r>
      <w:r w:rsidR="00823335">
        <w:t xml:space="preserve"> and/or </w:t>
      </w:r>
      <w:r w:rsidR="00AF2837">
        <w:t>engaging in</w:t>
      </w:r>
      <w:r w:rsidR="00610AEC">
        <w:t xml:space="preserve"> </w:t>
      </w:r>
      <w:r w:rsidR="00566C7B">
        <w:t>sexual activity with them.</w:t>
      </w:r>
      <w:r w:rsidR="00EC3E0D">
        <w:t xml:space="preserve"> Th</w:t>
      </w:r>
      <w:r w:rsidR="004C7527">
        <w:t>ese</w:t>
      </w:r>
      <w:r w:rsidR="00EC3E0D">
        <w:t xml:space="preserve"> obsession</w:t>
      </w:r>
      <w:r w:rsidR="004C7527">
        <w:t>s</w:t>
      </w:r>
      <w:r w:rsidR="00EC3E0D">
        <w:t xml:space="preserve"> </w:t>
      </w:r>
      <w:r w:rsidR="004C7527">
        <w:t>are</w:t>
      </w:r>
      <w:r w:rsidR="00EC3E0D">
        <w:t xml:space="preserve"> distinct from questioning </w:t>
      </w:r>
      <w:r w:rsidR="00D62080">
        <w:t xml:space="preserve">one’s </w:t>
      </w:r>
      <w:r w:rsidR="00EC3E0D">
        <w:t>sexuality, where fears are often related to</w:t>
      </w:r>
      <w:r w:rsidR="00D748ED">
        <w:t>, as one example,</w:t>
      </w:r>
      <w:r w:rsidR="00EC3E0D">
        <w:t xml:space="preserve"> possible rejection from family</w:t>
      </w:r>
      <w:r w:rsidR="00D748ED">
        <w:t xml:space="preserve"> or friends</w:t>
      </w:r>
      <w:r w:rsidR="00EC3E0D">
        <w:t>.</w:t>
      </w:r>
      <w:r w:rsidR="00566C7B">
        <w:t xml:space="preserve"> </w:t>
      </w:r>
    </w:p>
    <w:p w14:paraId="5A86E6C9" w14:textId="208A134E" w:rsidR="003219B1" w:rsidRPr="004C5FEC" w:rsidRDefault="00025D30" w:rsidP="00881612">
      <w:pPr>
        <w:spacing w:line="480" w:lineRule="auto"/>
        <w:ind w:firstLine="360"/>
      </w:pPr>
      <w:r>
        <w:t>S</w:t>
      </w:r>
      <w:r w:rsidR="00881612">
        <w:t xml:space="preserve">exual orientation </w:t>
      </w:r>
      <w:r>
        <w:t xml:space="preserve">intrusive </w:t>
      </w:r>
      <w:r w:rsidR="00881612">
        <w:t>thoughts c</w:t>
      </w:r>
      <w:r>
        <w:t>an</w:t>
      </w:r>
      <w:r w:rsidR="00881612">
        <w:t xml:space="preserve"> be considered a potential</w:t>
      </w:r>
      <w:r w:rsidR="00D916E7">
        <w:t>,</w:t>
      </w:r>
      <w:r w:rsidR="00881612">
        <w:t xml:space="preserve"> </w:t>
      </w:r>
      <w:r w:rsidR="00DF60CB">
        <w:t>distinctively</w:t>
      </w:r>
      <w:r w:rsidR="00881612">
        <w:t xml:space="preserve"> impairing OC symptom. However</w:t>
      </w:r>
      <w:r w:rsidR="00881612" w:rsidRPr="004C5FEC">
        <w:t>, sexual</w:t>
      </w:r>
      <w:r w:rsidR="00881612">
        <w:t xml:space="preserve"> orientation</w:t>
      </w:r>
      <w:r w:rsidR="00881612" w:rsidRPr="004C5FEC">
        <w:t xml:space="preserve"> intrusive thoughts are often combined with violent and</w:t>
      </w:r>
      <w:r w:rsidR="00DF60CB">
        <w:t xml:space="preserve">/or </w:t>
      </w:r>
      <w:r w:rsidR="00881612" w:rsidRPr="004C5FEC">
        <w:t xml:space="preserve">other taboo obsessions </w:t>
      </w:r>
      <w:r w:rsidR="00881612">
        <w:t xml:space="preserve">in research studies and </w:t>
      </w:r>
      <w:r w:rsidR="00D916E7">
        <w:t xml:space="preserve">are </w:t>
      </w:r>
      <w:r w:rsidR="00881612" w:rsidRPr="004C5FEC">
        <w:t xml:space="preserve">rarely </w:t>
      </w:r>
      <w:r w:rsidR="00881612">
        <w:t>examined</w:t>
      </w:r>
      <w:r w:rsidR="00881612" w:rsidRPr="004C5FEC">
        <w:t xml:space="preserve"> separately</w:t>
      </w:r>
      <w:r w:rsidR="00881612">
        <w:t xml:space="preserve">, despite research indicating </w:t>
      </w:r>
      <w:r w:rsidR="00136CB5">
        <w:t xml:space="preserve">that </w:t>
      </w:r>
      <w:r w:rsidR="00881612">
        <w:t>sexual orientation intrusive thoughts</w:t>
      </w:r>
      <w:r w:rsidR="00136CB5">
        <w:t xml:space="preserve"> may be uniquely debilitating</w:t>
      </w:r>
      <w:r w:rsidR="00881612">
        <w:t>. As one example, s</w:t>
      </w:r>
      <w:r w:rsidR="003219B1">
        <w:t>exual orientation</w:t>
      </w:r>
      <w:r w:rsidR="003219B1" w:rsidRPr="004C5FEC">
        <w:t xml:space="preserve"> intrusive thoughts are particularly problematic for individual</w:t>
      </w:r>
      <w:r w:rsidR="003219B1">
        <w:t xml:space="preserve"> </w:t>
      </w:r>
      <w:r w:rsidR="003219B1" w:rsidRPr="004C5FEC">
        <w:t xml:space="preserve">medical diagnosis. </w:t>
      </w:r>
      <w:r w:rsidR="003219B1">
        <w:t>I</w:t>
      </w:r>
      <w:r w:rsidR="003219B1" w:rsidRPr="004C5FEC">
        <w:t xml:space="preserve">n one vignette study of physicians, almost 85% of </w:t>
      </w:r>
      <w:r w:rsidR="00B955BC">
        <w:t xml:space="preserve">OCD </w:t>
      </w:r>
      <w:r w:rsidR="003219B1" w:rsidRPr="004C5FEC">
        <w:t xml:space="preserve">vignettes involving </w:t>
      </w:r>
      <w:r w:rsidR="003219B1">
        <w:t xml:space="preserve">sexual orientation </w:t>
      </w:r>
      <w:r w:rsidR="003219B1" w:rsidRPr="004C5FEC">
        <w:t>obsessions were misdiagnosed</w:t>
      </w:r>
      <w:r w:rsidR="003219B1">
        <w:t xml:space="preserve"> </w:t>
      </w:r>
      <w:r w:rsidR="003219B1">
        <w:rPr>
          <w:noProof/>
        </w:rPr>
        <w:t>(Glazier et al., 2015)</w:t>
      </w:r>
      <w:r w:rsidR="003219B1" w:rsidRPr="004C5FEC">
        <w:t xml:space="preserve">. </w:t>
      </w:r>
      <w:r w:rsidR="003219B1">
        <w:t xml:space="preserve">Furthermore, preliminary research highlights the severe distress, even suicidal ideation, provoked by sexual orientation obsessions </w:t>
      </w:r>
      <w:r w:rsidR="00881612">
        <w:t xml:space="preserve">alone </w:t>
      </w:r>
      <w:r w:rsidR="003219B1">
        <w:rPr>
          <w:noProof/>
        </w:rPr>
        <w:t>(Williams et al., 2015)</w:t>
      </w:r>
      <w:r w:rsidR="003219B1">
        <w:t xml:space="preserve">. </w:t>
      </w:r>
      <w:r w:rsidR="00881612">
        <w:t xml:space="preserve">Additionally, </w:t>
      </w:r>
      <w:r w:rsidR="002375D4">
        <w:t>i</w:t>
      </w:r>
      <w:r w:rsidR="00881612" w:rsidRPr="004C5FEC">
        <w:t>ndividuals</w:t>
      </w:r>
      <w:r w:rsidR="00881612">
        <w:t xml:space="preserve"> who</w:t>
      </w:r>
      <w:r w:rsidR="00881612" w:rsidRPr="004C5FEC">
        <w:t xml:space="preserve"> experienc</w:t>
      </w:r>
      <w:r w:rsidR="00881612">
        <w:t>e</w:t>
      </w:r>
      <w:r w:rsidR="00881612" w:rsidRPr="004C5FEC">
        <w:t xml:space="preserve"> sexual intrusive thoughts </w:t>
      </w:r>
      <w:r w:rsidR="00881612">
        <w:t>often have</w:t>
      </w:r>
      <w:r w:rsidR="00881612" w:rsidRPr="004C5FEC">
        <w:t xml:space="preserve"> poorer outcomes in treatment trials, as well as increased misdiagnosis</w:t>
      </w:r>
      <w:r w:rsidR="00881612">
        <w:t xml:space="preserve">, when compared to </w:t>
      </w:r>
      <w:r w:rsidR="00852AC3">
        <w:t>those</w:t>
      </w:r>
      <w:r w:rsidR="00881612">
        <w:t xml:space="preserve"> with other OC symptoms </w:t>
      </w:r>
      <w:r w:rsidR="00881612">
        <w:rPr>
          <w:noProof/>
        </w:rPr>
        <w:t>(Glazier, Swing, &amp; McGinn, 2015; Siev et al., 2011)</w:t>
      </w:r>
      <w:r w:rsidR="00881612" w:rsidRPr="004C5FEC">
        <w:t>.</w:t>
      </w:r>
      <w:r w:rsidR="00881612">
        <w:t xml:space="preserve"> Therefore, </w:t>
      </w:r>
      <w:r w:rsidR="00BF738F">
        <w:t>i</w:t>
      </w:r>
      <w:r w:rsidR="003219B1">
        <w:t xml:space="preserve">t may be </w:t>
      </w:r>
      <w:r w:rsidR="00F94434">
        <w:t>especially</w:t>
      </w:r>
      <w:r w:rsidR="003219B1">
        <w:t xml:space="preserve"> beneficial to</w:t>
      </w:r>
      <w:r w:rsidR="003219B1" w:rsidRPr="004C5FEC">
        <w:t xml:space="preserve"> </w:t>
      </w:r>
      <w:r w:rsidR="003219B1">
        <w:t>research</w:t>
      </w:r>
      <w:r w:rsidR="003219B1" w:rsidRPr="004C5FEC">
        <w:t xml:space="preserve"> </w:t>
      </w:r>
      <w:r w:rsidR="0017329A">
        <w:t xml:space="preserve">well-being and </w:t>
      </w:r>
      <w:r w:rsidR="003219B1" w:rsidRPr="004C5FEC">
        <w:t xml:space="preserve">sexual orientation intrusive thoughts </w:t>
      </w:r>
      <w:r w:rsidR="0045721A" w:rsidRPr="004C5FEC">
        <w:t>independently</w:t>
      </w:r>
      <w:r w:rsidR="003219B1" w:rsidRPr="004C5FEC">
        <w:t xml:space="preserve"> from other forms of taboo intrusive thoughts</w:t>
      </w:r>
      <w:r w:rsidR="00E24F81">
        <w:t xml:space="preserve">, particularly because </w:t>
      </w:r>
      <w:r w:rsidR="00811A9F">
        <w:t>sexual intrusive thoughts are</w:t>
      </w:r>
      <w:r w:rsidR="00E24F81">
        <w:t xml:space="preserve"> a highly underresearched area of OCD </w:t>
      </w:r>
      <w:r w:rsidR="00761862">
        <w:t xml:space="preserve">and have a potentially unique impact on </w:t>
      </w:r>
      <w:r w:rsidR="009E256C">
        <w:t>the</w:t>
      </w:r>
      <w:r w:rsidR="00761862">
        <w:t xml:space="preserve"> individual </w:t>
      </w:r>
      <w:r w:rsidR="003219B1">
        <w:rPr>
          <w:noProof/>
        </w:rPr>
        <w:t>(Wetterneck, Siev, Adams, Slimowicz, &amp; Smith, 2015)</w:t>
      </w:r>
      <w:r w:rsidR="003219B1">
        <w:t>.</w:t>
      </w:r>
    </w:p>
    <w:p w14:paraId="04508CEF" w14:textId="101F1BA0" w:rsidR="003219B1" w:rsidRDefault="00A95CA6" w:rsidP="005F2CB1">
      <w:pPr>
        <w:spacing w:line="480" w:lineRule="auto"/>
        <w:ind w:firstLine="360"/>
      </w:pPr>
      <w:r>
        <w:t>With this in mind, e</w:t>
      </w:r>
      <w:r w:rsidR="003219B1" w:rsidRPr="001E7B15">
        <w:t>xplor</w:t>
      </w:r>
      <w:r w:rsidR="001B295D">
        <w:t>ing</w:t>
      </w:r>
      <w:r w:rsidR="003219B1" w:rsidRPr="001E7B15">
        <w:t xml:space="preserve"> psychological variables </w:t>
      </w:r>
      <w:r w:rsidR="001A07F0">
        <w:t>associated</w:t>
      </w:r>
      <w:r w:rsidR="003219B1" w:rsidRPr="001E7B15">
        <w:t xml:space="preserve"> with sexual</w:t>
      </w:r>
      <w:r w:rsidR="003219B1">
        <w:t xml:space="preserve"> orientation </w:t>
      </w:r>
      <w:r w:rsidR="003219B1" w:rsidRPr="001E7B15">
        <w:t xml:space="preserve">intrusive thoughts </w:t>
      </w:r>
      <w:r w:rsidR="001A07F0">
        <w:t>may offer</w:t>
      </w:r>
      <w:r>
        <w:t xml:space="preserve"> more precise</w:t>
      </w:r>
      <w:r w:rsidR="003219B1" w:rsidRPr="001E7B15">
        <w:t xml:space="preserve"> </w:t>
      </w:r>
      <w:r w:rsidR="003219B1">
        <w:t xml:space="preserve">theoretical models of how </w:t>
      </w:r>
      <w:r w:rsidR="00B6680B">
        <w:t xml:space="preserve">well-being is </w:t>
      </w:r>
      <w:r w:rsidR="00261500">
        <w:t>i</w:t>
      </w:r>
      <w:r w:rsidR="004F5DA4">
        <w:t>mpacted</w:t>
      </w:r>
      <w:r>
        <w:t xml:space="preserve"> by these symptoms</w:t>
      </w:r>
      <w:r w:rsidR="003219B1" w:rsidRPr="00A15CAD">
        <w:t xml:space="preserve">. </w:t>
      </w:r>
      <w:r w:rsidR="003219B1">
        <w:t>This</w:t>
      </w:r>
      <w:r w:rsidR="003219B1" w:rsidRPr="00A15CAD">
        <w:t xml:space="preserve"> study will focus on psychological flexibility and </w:t>
      </w:r>
      <w:r w:rsidR="003219B1">
        <w:t>cognitive distortion</w:t>
      </w:r>
      <w:r w:rsidR="003219B1" w:rsidRPr="00A15CAD">
        <w:t xml:space="preserve">, ultimately aiming for a preliminary test </w:t>
      </w:r>
      <w:r w:rsidR="003219B1">
        <w:t>of</w:t>
      </w:r>
      <w:r w:rsidR="003219B1" w:rsidRPr="00A15CAD">
        <w:t xml:space="preserve"> a theory </w:t>
      </w:r>
      <w:r w:rsidR="003219B1">
        <w:t>for</w:t>
      </w:r>
      <w:r w:rsidR="003219B1" w:rsidRPr="00A15CAD">
        <w:t xml:space="preserve"> understanding the interrelationship </w:t>
      </w:r>
      <w:r w:rsidR="003219B1" w:rsidRPr="00A15CAD">
        <w:lastRenderedPageBreak/>
        <w:t>between</w:t>
      </w:r>
      <w:r w:rsidR="003219B1">
        <w:t xml:space="preserve"> sexual orientation intrusive</w:t>
      </w:r>
      <w:r w:rsidR="003219B1" w:rsidRPr="00A15CAD">
        <w:t xml:space="preserve"> thoughts and </w:t>
      </w:r>
      <w:r w:rsidR="003219B1">
        <w:t>well-being</w:t>
      </w:r>
      <w:r w:rsidR="003219B1" w:rsidRPr="00A15CAD">
        <w:t>. By examining cognitive distortion and psychological flexibility, we hope to discern the importance of</w:t>
      </w:r>
      <w:r w:rsidR="00135385">
        <w:t xml:space="preserve"> the</w:t>
      </w:r>
      <w:r w:rsidR="003219B1" w:rsidRPr="00A15CAD">
        <w:t xml:space="preserve"> </w:t>
      </w:r>
      <w:r w:rsidR="00135385" w:rsidRPr="00135385">
        <w:rPr>
          <w:i/>
          <w:iCs/>
        </w:rPr>
        <w:t>accuracy of</w:t>
      </w:r>
      <w:r w:rsidR="00135385">
        <w:t xml:space="preserve"> thoughts</w:t>
      </w:r>
      <w:r w:rsidR="003219B1">
        <w:t xml:space="preserve"> (as represented by cognitive distortion)</w:t>
      </w:r>
      <w:r w:rsidR="003219B1" w:rsidRPr="00A15CAD">
        <w:t xml:space="preserve"> as compared to </w:t>
      </w:r>
      <w:r w:rsidR="003219B1" w:rsidRPr="00135385">
        <w:rPr>
          <w:i/>
          <w:iCs/>
        </w:rPr>
        <w:t>responses to</w:t>
      </w:r>
      <w:r w:rsidR="003219B1">
        <w:t xml:space="preserve"> thoughts (as represented by psychological flexibility)</w:t>
      </w:r>
      <w:r w:rsidR="003219B1" w:rsidRPr="00A15CAD">
        <w:t>.</w:t>
      </w:r>
      <w:r w:rsidR="002A4F74">
        <w:t xml:space="preserve"> This study additionally aims to test </w:t>
      </w:r>
      <w:r w:rsidR="00085614">
        <w:t>how thes</w:t>
      </w:r>
      <w:r w:rsidR="003D17EA">
        <w:t>e preliminary</w:t>
      </w:r>
      <w:r w:rsidR="00085614">
        <w:t xml:space="preserve"> </w:t>
      </w:r>
      <w:r w:rsidR="002A4F74">
        <w:t>models of sexual orientation intrusive thoughts</w:t>
      </w:r>
      <w:r w:rsidR="00085614">
        <w:t xml:space="preserve"> </w:t>
      </w:r>
      <w:r w:rsidR="00116BC0">
        <w:t xml:space="preserve">and well-being </w:t>
      </w:r>
      <w:r w:rsidR="00085614">
        <w:t>generalize</w:t>
      </w:r>
      <w:r w:rsidR="002A4F74">
        <w:t xml:space="preserve"> to OC symptoms</w:t>
      </w:r>
      <w:r w:rsidR="003D17EA">
        <w:t xml:space="preserve"> more broadly</w:t>
      </w:r>
      <w:r w:rsidR="00AA018B">
        <w:t xml:space="preserve"> (i.e., does the model replicate when looking beyond sexual orientation intrusive thoughts</w:t>
      </w:r>
      <w:r w:rsidR="00D163A1">
        <w:t>?</w:t>
      </w:r>
      <w:r w:rsidR="00AA018B">
        <w:t>)</w:t>
      </w:r>
    </w:p>
    <w:p w14:paraId="213B4D1F" w14:textId="21EB8F1D" w:rsidR="003219B1" w:rsidRDefault="003219B1" w:rsidP="005F2CB1">
      <w:pPr>
        <w:spacing w:line="480" w:lineRule="auto"/>
        <w:ind w:firstLine="360"/>
      </w:pPr>
      <w:r>
        <w:t>P</w:t>
      </w:r>
      <w:r w:rsidRPr="001E7B15">
        <w:t>sychological flexibility is a crucial treatment target that shows potential to influence the presence and maintenance of sexual</w:t>
      </w:r>
      <w:r>
        <w:t xml:space="preserve"> orientation</w:t>
      </w:r>
      <w:r w:rsidRPr="001E7B15">
        <w:t xml:space="preserve"> intrusive thoughts</w:t>
      </w:r>
      <w:r w:rsidR="00A54781">
        <w:t xml:space="preserve"> (</w:t>
      </w:r>
      <w:r w:rsidR="00397DBA">
        <w:rPr>
          <w:noProof/>
        </w:rPr>
        <w:t>Bluett</w:t>
      </w:r>
      <w:r w:rsidR="007F3B3C">
        <w:rPr>
          <w:noProof/>
        </w:rPr>
        <w:t xml:space="preserve"> et al., </w:t>
      </w:r>
      <w:r w:rsidR="00397DBA">
        <w:rPr>
          <w:noProof/>
        </w:rPr>
        <w:t>2014</w:t>
      </w:r>
      <w:r w:rsidR="00A54781">
        <w:t>)</w:t>
      </w:r>
      <w:r w:rsidRPr="001E7B15">
        <w:t xml:space="preserve">. Psychological flexibility is the ability to remain in the present moment and respond flexibility to </w:t>
      </w:r>
      <w:r>
        <w:t>one’s internal and external environment (e.g., thoughts) while acting</w:t>
      </w:r>
      <w:r w:rsidRPr="001E7B15">
        <w:t xml:space="preserve"> in accordance </w:t>
      </w:r>
      <w:r w:rsidR="00687592" w:rsidRPr="001E7B15">
        <w:t>with</w:t>
      </w:r>
      <w:r w:rsidRPr="001E7B15">
        <w:t xml:space="preserve"> one’s values</w:t>
      </w:r>
      <w:r>
        <w:t xml:space="preserve"> </w:t>
      </w:r>
      <w:r>
        <w:rPr>
          <w:noProof/>
        </w:rPr>
        <w:t>(Hayes</w:t>
      </w:r>
      <w:r w:rsidR="006474B5">
        <w:rPr>
          <w:noProof/>
        </w:rPr>
        <w:t xml:space="preserve"> et al., </w:t>
      </w:r>
      <w:r>
        <w:rPr>
          <w:noProof/>
        </w:rPr>
        <w:t>2006)</w:t>
      </w:r>
      <w:r w:rsidRPr="001E7B15">
        <w:t xml:space="preserve">. </w:t>
      </w:r>
      <w:r>
        <w:t xml:space="preserve">A psychologically flexible response to sexual orientation intrusive thoughts may involve acknowledging the thought as a thought or practicing willingness to </w:t>
      </w:r>
      <w:r w:rsidR="005B7ECC">
        <w:t>experience</w:t>
      </w:r>
      <w:r>
        <w:t xml:space="preserve"> uncomfortable thoughts. However, l</w:t>
      </w:r>
      <w:r w:rsidRPr="001E7B15">
        <w:t xml:space="preserve">ittle research has examined psychological flexibility in the context of </w:t>
      </w:r>
      <w:r>
        <w:t>sexual orientation obsessions</w:t>
      </w:r>
      <w:r w:rsidR="00687592">
        <w:t xml:space="preserve"> specifically</w:t>
      </w:r>
      <w:r w:rsidR="008A1367">
        <w:t xml:space="preserve">, despite the fact that </w:t>
      </w:r>
      <w:r w:rsidR="00202E52">
        <w:t>p</w:t>
      </w:r>
      <w:r w:rsidRPr="001E7B15">
        <w:t xml:space="preserve">sychological </w:t>
      </w:r>
      <w:r>
        <w:t>in</w:t>
      </w:r>
      <w:r w:rsidRPr="001E7B15">
        <w:t xml:space="preserve">flexibility and </w:t>
      </w:r>
      <w:r>
        <w:t xml:space="preserve">general </w:t>
      </w:r>
      <w:r w:rsidRPr="001E7B15">
        <w:t>OCD symptoms were</w:t>
      </w:r>
      <w:r>
        <w:t xml:space="preserve"> strongly </w:t>
      </w:r>
      <w:r w:rsidRPr="001E7B15">
        <w:t xml:space="preserve">correlated in a large meta-analysis </w:t>
      </w:r>
      <w:r>
        <w:rPr>
          <w:noProof/>
        </w:rPr>
        <w:t>(Bluett</w:t>
      </w:r>
      <w:r w:rsidR="0055225E">
        <w:rPr>
          <w:noProof/>
        </w:rPr>
        <w:t xml:space="preserve"> et al.</w:t>
      </w:r>
      <w:r>
        <w:rPr>
          <w:noProof/>
        </w:rPr>
        <w:t>, 2014)</w:t>
      </w:r>
      <w:r w:rsidRPr="001E7B15">
        <w:t>.</w:t>
      </w:r>
      <w:r>
        <w:t xml:space="preserve"> </w:t>
      </w:r>
      <w:r w:rsidRPr="001E7B15">
        <w:t>Additionally, several studies have demonstrated the negative effect of mental control (</w:t>
      </w:r>
      <w:r>
        <w:t xml:space="preserve">a </w:t>
      </w:r>
      <w:r w:rsidRPr="001E7B15">
        <w:t xml:space="preserve">form of psychological </w:t>
      </w:r>
      <w:r w:rsidRPr="001E7B15">
        <w:rPr>
          <w:i/>
          <w:iCs/>
        </w:rPr>
        <w:t>inflexibility</w:t>
      </w:r>
      <w:r w:rsidRPr="001E7B15">
        <w:t xml:space="preserve">) on the presence of sexual intrusive thoughts </w:t>
      </w:r>
      <w:r>
        <w:rPr>
          <w:noProof/>
        </w:rPr>
        <w:t>(Purdon, Rowa, &amp; Antony, 2005; Salkovskis</w:t>
      </w:r>
      <w:r w:rsidR="00C47268">
        <w:rPr>
          <w:noProof/>
        </w:rPr>
        <w:t xml:space="preserve"> et al., </w:t>
      </w:r>
      <w:r>
        <w:rPr>
          <w:noProof/>
        </w:rPr>
        <w:t>2003)</w:t>
      </w:r>
      <w:r>
        <w:t>.</w:t>
      </w:r>
      <w:r w:rsidRPr="001E7B15">
        <w:t xml:space="preserve"> </w:t>
      </w:r>
      <w:r>
        <w:t xml:space="preserve">Furthermore, higher willingness, a form of acceptance and an important aspect of psychological flexibility, </w:t>
      </w:r>
      <w:r w:rsidR="00A81FC2">
        <w:t>was associated with</w:t>
      </w:r>
      <w:r>
        <w:t xml:space="preserve"> symptom reduction in adults receiving </w:t>
      </w:r>
      <w:r w:rsidR="007A5F4E">
        <w:t>exposure and response prevention (ERP)</w:t>
      </w:r>
      <w:r>
        <w:t xml:space="preserve"> for OCD, </w:t>
      </w:r>
      <w:r w:rsidR="00A42A90">
        <w:t>highlighting</w:t>
      </w:r>
      <w:r>
        <w:t xml:space="preserve"> the importance of </w:t>
      </w:r>
      <w:r w:rsidR="00554A6C">
        <w:t xml:space="preserve">developing </w:t>
      </w:r>
      <w:r>
        <w:t xml:space="preserve">willingness </w:t>
      </w:r>
      <w:r w:rsidR="00483D2C">
        <w:t>in OCD</w:t>
      </w:r>
      <w:r>
        <w:t xml:space="preserve"> </w:t>
      </w:r>
      <w:r w:rsidR="00EF401E">
        <w:t xml:space="preserve">treatment </w:t>
      </w:r>
      <w:r>
        <w:rPr>
          <w:noProof/>
        </w:rPr>
        <w:t>(Reid et al., 2017)</w:t>
      </w:r>
      <w:r>
        <w:t xml:space="preserve">. </w:t>
      </w:r>
    </w:p>
    <w:p w14:paraId="7B0A5CC0" w14:textId="031418A8" w:rsidR="003219B1" w:rsidRDefault="003219B1" w:rsidP="00EB4881">
      <w:pPr>
        <w:spacing w:line="480" w:lineRule="auto"/>
        <w:ind w:firstLine="360"/>
      </w:pPr>
      <w:r>
        <w:lastRenderedPageBreak/>
        <w:t xml:space="preserve">Cognitive distortion related to sexual orientation intrusive thoughts is another potential process that may be important to </w:t>
      </w:r>
      <w:r w:rsidR="00A20C4F">
        <w:t>examine.</w:t>
      </w:r>
      <w:r>
        <w:t xml:space="preserve"> </w:t>
      </w:r>
      <w:r w:rsidRPr="00675DDF">
        <w:t xml:space="preserve">Cognitive distortion </w:t>
      </w:r>
      <w:r>
        <w:t>can be</w:t>
      </w:r>
      <w:r w:rsidRPr="00675DDF">
        <w:t xml:space="preserve"> </w:t>
      </w:r>
      <w:r>
        <w:t xml:space="preserve">broadly understood as dysfunctional </w:t>
      </w:r>
      <w:r w:rsidR="00863814">
        <w:t>beliefs</w:t>
      </w:r>
      <w:r>
        <w:t xml:space="preserve"> around the importance and responsibility associated with one’s thoughts—a very common occurrence in OCD </w:t>
      </w:r>
      <w:r>
        <w:fldChar w:fldCharType="begin" w:fldLock="1"/>
      </w:r>
      <w:r>
        <w:instrText>ADDIN CSL_CITATION {"citationItems":[{"id":"ITEM-1","itemData":{"DOI":"10.1016/S0005-7967(00)00085-1","ISSN":"0005-7967","abstract":"In 1995 the Obsessive Compulsive Cognitions Working Group initiated a collective process to develop two measures of cognition relevant to current cognitive–behavioural models of OCD. An earlier report (Behav. Res. Therapy, 35 (1997) 667) describes the original process of defining relevant domains. This article describes the subsequent steps of the development and validation process: item generation, scale reduction, and initial examination of reliability and validity. Two scales were developed. The Obsessive Beliefs Questionnaire consists of 87 items representing dysfunctional assumptions covering six domains: overestimation of threat, tolerance of uncertainty, importance of thoughts, control of thoughts, responsibility, and perfectionism. The Interpretation of Intrusions Inventory consists of 31 items that refer to interpretations of intrusions that have occurred recently. Three of the above domains are represented: importance of thoughts, control of thoughts, and responsibility. The item reduction and validation analyses were conducted on clinical and non-clinical samples from multiple sites. Initial examination of reliability and validity indicates excellent internal consistency and stability and encouraging evidence of validity. However, high correlations indicating overlap between some of the scales, particularly importance of thoughts, control of thoughts, and responsibility will need to be addressed in subsequent empirical and theoretical investigations.","author":[{"dropping-particle":"","family":"Obsessive Compulsive Cognitions Working Group","given":"","non-dropping-particle":"","parse-names":false,"suffix":""}],"container-title":"Behaviour Research and Therapy","id":"ITEM-1","issue":"8","issued":{"date-parts":[["2001","8","1"]]},"page":"987-1006","publisher":"Pergamon","title":"Development and initial validation of the obsessive beliefs questionnaire and the interpretation of intrusions inventory","type":"article-journal","volume":"39"},"uris":["http://www.mendeley.com/documents/?uuid=fcdbc1b7-6176-3f3b-80d3-40aa9e431bfe"]},{"id":"ITEM-2","itemData":{"DOI":"10.1016/J.BIOPSYCHO.2015.10.012","ISSN":"0301-0511","abstract":"During the past 30 years, experimental psychopathologists have conducted many studies aiming to elucidate the cognitive abnormalities that may figure in the etiology and maintenance of OCD. In this paper, we review research on both dysfunctional beliefs and cognitive deficits in OCD, as findings from both traditional self-report and information-processing approaches provide distinct sources of information concerning cognitive abnormalities. First, we discuss dysfunctional beliefs and metacognitive beliefs implicated in the disorder. Research has identified a number of maladaptive appraisals (e.g., heightened responsibility) and metacognitive beliefs (e.g., need to control one’s thoughts) that are associated with the disorder, yet these are not invariably present in all cases of OCD. Next, we review the literature on memory and attentional deficits and biases in OCD. This line of research shows inconsistent evidence for deficits in memorial and attentional processes, but does indicate that people with the disorder have memory and attention biases that may be related to metacognitive beliefs about their ability to remember and attend to stimuli. Finally, we discuss recent work that suggests that people with OCD have reduced access to internal states, thus causing them to engage in rituals to resolve persistent uncertainty. Implications and future directions are discussed.","author":[{"dropping-particle":"","family":"Hezel","given":"Dianne M.","non-dropping-particle":"","parse-names":false,"suffix":""},{"dropping-particle":"","family":"McNally","given":"Richard J.","non-dropping-particle":"","parse-names":false,"suffix":""}],"container-title":"Biological Psychology","id":"ITEM-2","issued":{"date-parts":[["2016","12","1"]]},"page":"221-232","publisher":"Elsevier","title":"A Theoretical review of cognitive biases and deficits in obsessive–compulsive disorder","type":"article-journal","volume":"121"},"uris":["http://www.mendeley.com/documents/?uuid=fbeefe99-2137-3ae5-9763-728faa391c93"]}],"mendeley":{"formattedCitation":"(Hezel &amp; McNally, 2016; Obsessive Compulsive Cognitions Working Group, 2001)","plainTextFormattedCitation":"(Hezel &amp; McNally, 2016; Obsessive Compulsive Cognitions Working Group, 2001)","previouslyFormattedCitation":"(Hezel &amp; McNally, 2016; Obsessive Compulsive Cognitions Working Group, 2001)"},"properties":{"noteIndex":0},"schema":"https://github.com/citation-style-language/schema/raw/master/csl-citation.json"}</w:instrText>
      </w:r>
      <w:r>
        <w:fldChar w:fldCharType="separate"/>
      </w:r>
      <w:r w:rsidRPr="00F16B30">
        <w:rPr>
          <w:noProof/>
        </w:rPr>
        <w:t>(Hezel &amp; McNally, 2016; Obsessive Compulsive Cognitions Working Group, 2001)</w:t>
      </w:r>
      <w:r>
        <w:fldChar w:fldCharType="end"/>
      </w:r>
      <w:r>
        <w:t xml:space="preserve">. Cognitive distortion </w:t>
      </w:r>
      <w:r w:rsidR="000E1351">
        <w:t xml:space="preserve">of </w:t>
      </w:r>
      <w:r>
        <w:t xml:space="preserve">sexual orientation beliefs may look like overemphasis on the importance or meaning of thoughts (e.g., because </w:t>
      </w:r>
      <w:r w:rsidR="00E22DD3">
        <w:t>the thought occurred,</w:t>
      </w:r>
      <w:r>
        <w:t xml:space="preserve"> it must be true). There is little research examining </w:t>
      </w:r>
      <w:r w:rsidR="00953053">
        <w:t xml:space="preserve">how </w:t>
      </w:r>
      <w:r>
        <w:t xml:space="preserve">sexual orientation intrusive thoughts </w:t>
      </w:r>
      <w:r w:rsidR="00953053">
        <w:t xml:space="preserve">and the process of cognitive distortion are related </w:t>
      </w:r>
      <w:r>
        <w:fldChar w:fldCharType="begin" w:fldLock="1"/>
      </w:r>
      <w:r>
        <w:instrText>ADDIN CSL_CITATION {"citationItems":[{"id":"ITEM-1","itemData":{"DOI":"10.1016/j.cpr.2006.12.004","ISBN":"0272-7358, 0272-7358","ISSN":"02727358","PMID":"17240502","abstract":"This article reviews empirical findings on two key premises of the appraisal model of obsessive-compulsive disorder (OCD): (a) non-clinical populations experience intrusive thoughts (ITs) that are similar in form and in content to obsessions; and (b) ITs develop into obsessions because they are appraised according to dysfunctional beliefs. There is support for the universality of ITs. However, the samples used are not representative of the general population. IT measures do not relate systematically or exclusively to OCD symptom measures, and are not specific enough to exclude other types of intrusive thoughts such as negative automatic thoughts or worries, nor are they representative of all types of obsessions. When general distress is controlled, there is so far no evidence that participants with OCD endorse obsessive belief domains more strongly than anxious participants, and inconclusive evidence that OCD and non-clinical samples differ on the belief domains. Some OCD symptom subtypes are associated with belief domains. Currently, there is no coherent model to offer strong predictions about the specificity of the empirically derived belief domains in OCD symptom subtypes. Cognitive therapy based on the appraisal model is an effective treatment for OCD, although it does not add to the treatment efficacy of behaviour therapy. It is unclear how appraisals turn ITs into obsessions. Implications for future research are discussed. © 2006 Elsevier Ltd. All rights reserved.","author":[{"dropping-particle":"","family":"Julien","given":"Dominic","non-dropping-particle":"","parse-names":false,"suffix":""},{"dropping-particle":"","family":"O'Connor","given":"Kieron P.","non-dropping-particle":"","parse-names":false,"suffix":""},{"dropping-particle":"","family":"Aardema","given":"Frederick","non-dropping-particle":"","parse-names":false,"suffix":""}],"container-title":"Clinical Psychology Review","id":"ITEM-1","issue":"3","issued":{"date-parts":[["2007"]]},"page":"366-383","title":"Intrusive thoughts, obsessions, and appraisals in obsessive-compulsive disorder: A critical review","type":"article-journal","volume":"27"},"uris":["http://www.mendeley.com/documents/?uuid=56d4662c-eff3-4fe4-af55-178df6212da0"]}],"mendeley":{"formattedCitation":"(Julien, O’Connor, &amp; Aardema, 2007)","plainTextFormattedCitation":"(Julien, O’Connor, &amp; Aardema, 2007)","previouslyFormattedCitation":"(Julien, O’Connor, &amp; Aardema, 2007)"},"properties":{"noteIndex":0},"schema":"https://github.com/citation-style-language/schema/raw/master/csl-citation.json"}</w:instrText>
      </w:r>
      <w:r>
        <w:fldChar w:fldCharType="separate"/>
      </w:r>
      <w:r w:rsidRPr="007E52BD">
        <w:rPr>
          <w:noProof/>
        </w:rPr>
        <w:t>(Julien, O’Connor, &amp; Aardema, 2007)</w:t>
      </w:r>
      <w:r>
        <w:fldChar w:fldCharType="end"/>
      </w:r>
      <w:r>
        <w:t>. However, misinterpretation of thoughts is</w:t>
      </w:r>
      <w:r w:rsidR="00D82F5E">
        <w:t xml:space="preserve"> theorized </w:t>
      </w:r>
      <w:r>
        <w:t>to perpetuate OC symptoms</w:t>
      </w:r>
      <w:r w:rsidR="007D76CC">
        <w:t>. F</w:t>
      </w:r>
      <w:r>
        <w:t xml:space="preserve">or example, if an individual has an </w:t>
      </w:r>
      <w:r w:rsidR="00E64282">
        <w:t>intrusive thought</w:t>
      </w:r>
      <w:r>
        <w:t xml:space="preserve"> about same</w:t>
      </w:r>
      <w:r w:rsidR="004D61EE">
        <w:t>-</w:t>
      </w:r>
      <w:r>
        <w:t>sex attraction, attributes significance to the thought, and works to remove or suppress</w:t>
      </w:r>
      <w:r w:rsidR="004D61EE">
        <w:t xml:space="preserve"> it</w:t>
      </w:r>
      <w:r>
        <w:t xml:space="preserve">, </w:t>
      </w:r>
      <w:r w:rsidR="00AE1F72">
        <w:t>they</w:t>
      </w:r>
      <w:r>
        <w:t xml:space="preserve"> therefore ironically perpetuate</w:t>
      </w:r>
      <w:r w:rsidR="00AE1F72">
        <w:t xml:space="preserve"> </w:t>
      </w:r>
      <w:r>
        <w:t xml:space="preserve">the </w:t>
      </w:r>
      <w:r w:rsidR="00083B45">
        <w:t>intrusion</w:t>
      </w:r>
      <w:r>
        <w:t xml:space="preserve"> </w:t>
      </w:r>
      <w:r>
        <w:fldChar w:fldCharType="begin" w:fldLock="1"/>
      </w:r>
      <w:r>
        <w:instrText>ADDIN CSL_CITATION {"citationItems":[{"id":"ITEM-1","itemData":{"DOI":"10.1016/J.BIOPSYCHO.2015.10.012","ISSN":"0301-0511","abstract":"During the past 30 years, experimental psychopathologists have conducted many studies aiming to elucidate the cognitive abnormalities that may figure in the etiology and maintenance of OCD. In this paper, we review research on both dysfunctional beliefs and cognitive deficits in OCD, as findings from both traditional self-report and information-processing approaches provide distinct sources of information concerning cognitive abnormalities. First, we discuss dysfunctional beliefs and metacognitive beliefs implicated in the disorder. Research has identified a number of maladaptive appraisals (e.g., heightened responsibility) and metacognitive beliefs (e.g., need to control one’s thoughts) that are associated with the disorder, yet these are not invariably present in all cases of OCD. Next, we review the literature on memory and attentional deficits and biases in OCD. This line of research shows inconsistent evidence for deficits in memorial and attentional processes, but does indicate that people with the disorder have memory and attention biases that may be related to metacognitive beliefs about their ability to remember and attend to stimuli. Finally, we discuss recent work that suggests that people with OCD have reduced access to internal states, thus causing them to engage in rituals to resolve persistent uncertainty. Implications and future directions are discussed.","author":[{"dropping-particle":"","family":"Hezel","given":"Dianne M.","non-dropping-particle":"","parse-names":false,"suffix":""},{"dropping-particle":"","family":"McNally","given":"Richard J.","non-dropping-particle":"","parse-names":false,"suffix":""}],"container-title":"Biological Psychology","id":"ITEM-1","issued":{"date-parts":[["2016","12","1"]]},"page":"221-232","publisher":"Elsevier","title":"A Theoretical review of cognitive biases and deficits in obsessive–compulsive disorder","type":"article-journal","volume":"121"},"uris":["http://www.mendeley.com/documents/?uuid=fbeefe99-2137-3ae5-9763-728faa391c93"]},{"id":"ITEM-2","itemData":{"DOI":"10.1016/0005-7967(85)90105-6","ISSN":"0005-7967","abstract":"Cognitive-behavioural approaches have made no impact on research and treatment in obsessional-compulsive disorder, despite the obvious link between thinking and psychopathology that characterizes this disorder. A close examination of cognitive and behavioural models leads to the suggestion that intrusive thoughts are best regarded as cognitive stimuli rather than responses. Cognitive responses (negative automatic thoughts) to these stimuli are typically linked to beliefs concerning responsibility or blame for harm to self or others. A cognitive-behavioural model based on this view is outlined and illustrated by clinical material derived from a case series. The model is used to explain a wide range of phenomena observed clinically, and a number of specific predictions are made. Implications for cognitive approaches to therapy are discussed.","author":[{"dropping-particle":"","family":"Salkovskis","given":"Paul M.","non-dropping-particle":"","parse-names":false,"suffix":""}],"container-title":"Behaviour Research and Therapy","id":"ITEM-2","issue":"5","issued":{"date-parts":[["1985","1","1"]]},"page":"571-583","publisher":"Pergamon","title":"Obsessional-compulsive problems: A cognitive-behavioural analysis","type":"article-journal","volume":"23"},"uris":["http://www.mendeley.com/documents/?uuid=1e9ec240-8420-31aa-911e-392dd252b946"]}],"mendeley":{"formattedCitation":"(Hezel &amp; McNally, 2016; Salkovskis, 1985)","plainTextFormattedCitation":"(Hezel &amp; McNally, 2016; Salkovskis, 1985)","previouslyFormattedCitation":"(Hezel &amp; McNally, 2016; Salkovskis, 1985)"},"properties":{"noteIndex":0},"schema":"https://github.com/citation-style-language/schema/raw/master/csl-citation.json"}</w:instrText>
      </w:r>
      <w:r>
        <w:fldChar w:fldCharType="separate"/>
      </w:r>
      <w:r w:rsidRPr="00B614C2">
        <w:rPr>
          <w:noProof/>
        </w:rPr>
        <w:t>(Hezel &amp; McNally, 2016; Salkovskis, 1985)</w:t>
      </w:r>
      <w:r>
        <w:fldChar w:fldCharType="end"/>
      </w:r>
      <w:r>
        <w:t xml:space="preserve">. Furthermore, previous findings suggest that dysfunctional beliefs can contribute to lowered quality of life in patients with OCD </w:t>
      </w:r>
      <w:r>
        <w:rPr>
          <w:noProof/>
        </w:rPr>
        <w:t>(Barahmand, Tavakolian, &amp; Alaei, 2014; Jacoby, Leonard, Riemann, &amp; Abramowitz, 2014; Sudhir, Sharma, Mariamma, &amp; Subbakrishna, 2012)</w:t>
      </w:r>
      <w:r>
        <w:t xml:space="preserve">. </w:t>
      </w:r>
    </w:p>
    <w:p w14:paraId="57951E52" w14:textId="0BAD463C" w:rsidR="003219B1" w:rsidRPr="00577BDB" w:rsidRDefault="003219B1" w:rsidP="00F301E9">
      <w:pPr>
        <w:spacing w:line="480" w:lineRule="auto"/>
        <w:ind w:firstLine="360"/>
      </w:pPr>
      <w:r>
        <w:t xml:space="preserve">Both psychological inflexibility and cognitive distortion have been explored together and separately in connection to </w:t>
      </w:r>
      <w:r w:rsidR="006A42F7">
        <w:t xml:space="preserve">general </w:t>
      </w:r>
      <w:r>
        <w:t>OC symptoms in previous research. Dysfunctional beliefs have long been associated with OCD, typically across three domains: inflated responsibility and overestimation of threat, over-</w:t>
      </w:r>
      <w:r w:rsidR="00270923">
        <w:t>valuing thoughts</w:t>
      </w:r>
      <w:r>
        <w:t xml:space="preserve">, and perfectionism/intolerance of uncertainty </w:t>
      </w:r>
      <w:r>
        <w:rPr>
          <w:noProof/>
        </w:rPr>
        <w:t>(Hezel &amp; McNally, 2016)</w:t>
      </w:r>
      <w:r>
        <w:t xml:space="preserve">. Psychological flexibility and willingness to experience obsessions are established predictors of obsessional symptoms, </w:t>
      </w:r>
      <w:r w:rsidR="00960611">
        <w:t>particularly</w:t>
      </w:r>
      <w:r>
        <w:t xml:space="preserve"> unacceptable thoughts</w:t>
      </w:r>
      <w:r w:rsidR="00D14DDF">
        <w:t xml:space="preserve"> like sexual orientation intrusions</w:t>
      </w:r>
      <w:r>
        <w:t xml:space="preserve"> </w:t>
      </w:r>
      <w:r>
        <w:rPr>
          <w:noProof/>
        </w:rPr>
        <w:t>(Blakey, Jacoby, Reuman, &amp; Abramowitz, 2016; Reuman, Buchholz, &amp; Abramowitz, 2018; Reuman, Jacoby, &amp; Abramowitz, 2016)</w:t>
      </w:r>
      <w:r>
        <w:t xml:space="preserve">. When compared directly to </w:t>
      </w:r>
      <w:r>
        <w:lastRenderedPageBreak/>
        <w:t>cognitive distortion, psychological inflexibility was found as a stronger predictor of OC symptoms</w:t>
      </w:r>
      <w:r w:rsidR="00CD292E">
        <w:t xml:space="preserve"> </w:t>
      </w:r>
      <w:r>
        <w:t>but was no longer a significant predictor of unacceptable thought</w:t>
      </w:r>
      <w:r w:rsidR="005C62EC">
        <w:t>s</w:t>
      </w:r>
      <w:r>
        <w:t xml:space="preserve"> once controll</w:t>
      </w:r>
      <w:r w:rsidR="00360988">
        <w:t xml:space="preserve">ing </w:t>
      </w:r>
      <w:r>
        <w:t xml:space="preserve">for </w:t>
      </w:r>
      <w:r w:rsidR="00360988">
        <w:t xml:space="preserve">distress and obsessive beliefs </w:t>
      </w:r>
      <w:r>
        <w:rPr>
          <w:noProof/>
        </w:rPr>
        <w:t>(Reuman et al., 2018)</w:t>
      </w:r>
      <w:r>
        <w:t>. However, to the best of our knowledge, no studies have examined these variables as unique mediators between OC symptoms (e.g., sexual orientation intrusive thoughts) and well-being.</w:t>
      </w:r>
      <w:r w:rsidR="006838B9">
        <w:t xml:space="preserve"> It is possible that cognitive distortion and/or psychological flexibility act as mediators between the relationship</w:t>
      </w:r>
      <w:r w:rsidR="000F30FC">
        <w:t xml:space="preserve"> of</w:t>
      </w:r>
      <w:r w:rsidR="006838B9">
        <w:t xml:space="preserve"> OC symptoms and well-being.</w:t>
      </w:r>
      <w:r w:rsidR="005021C0">
        <w:t xml:space="preserve"> In other words, how a </w:t>
      </w:r>
      <w:r w:rsidR="009B3242">
        <w:t>sexual orientation</w:t>
      </w:r>
      <w:r w:rsidR="005021C0">
        <w:t xml:space="preserve"> intrusive thought is treated (i.e., in a psychologically flexible manner or corrected as a distortion) may impact well-being.</w:t>
      </w:r>
      <w:r>
        <w:t xml:space="preserve"> </w:t>
      </w:r>
    </w:p>
    <w:p w14:paraId="0EB91146" w14:textId="53D498F5" w:rsidR="003219B1" w:rsidRDefault="004770BC" w:rsidP="002D2223">
      <w:pPr>
        <w:spacing w:line="480" w:lineRule="auto"/>
        <w:ind w:firstLine="360"/>
      </w:pPr>
      <w:r>
        <w:t>In sum,</w:t>
      </w:r>
      <w:r w:rsidR="003219B1" w:rsidRPr="0004269F">
        <w:t xml:space="preserve"> this study aims to explore well-being, psychological flexibility, </w:t>
      </w:r>
      <w:r w:rsidR="003219B1">
        <w:t xml:space="preserve">dysfunctional beliefs, </w:t>
      </w:r>
      <w:r w:rsidR="003219B1" w:rsidRPr="0004269F">
        <w:t>sexual</w:t>
      </w:r>
      <w:r w:rsidR="003219B1">
        <w:t xml:space="preserve"> orientation</w:t>
      </w:r>
      <w:r w:rsidR="003219B1" w:rsidRPr="0004269F">
        <w:t xml:space="preserve"> intrusive thoughts, and </w:t>
      </w:r>
      <w:r w:rsidR="00BD5C34">
        <w:t xml:space="preserve">general </w:t>
      </w:r>
      <w:r w:rsidR="003219B1" w:rsidRPr="0004269F">
        <w:t xml:space="preserve">OC symptoms. </w:t>
      </w:r>
      <w:r w:rsidR="003219B1">
        <w:t xml:space="preserve">The hope of this paper is to provide preliminary information on two models of how best to </w:t>
      </w:r>
      <w:r w:rsidR="003A12BB">
        <w:t>understand</w:t>
      </w:r>
      <w:r w:rsidR="00BC155B">
        <w:t xml:space="preserve"> well-being in the context of</w:t>
      </w:r>
      <w:r w:rsidR="003219B1">
        <w:t xml:space="preserve"> sexual orientation intrusive thoughts</w:t>
      </w:r>
      <w:r w:rsidR="00665B9A">
        <w:t xml:space="preserve"> </w:t>
      </w:r>
      <w:r w:rsidR="00665B9A">
        <w:t xml:space="preserve">by comparing the importance of the </w:t>
      </w:r>
      <w:r w:rsidR="009C69D8">
        <w:t>cognitive distortion and psychological flexibility</w:t>
      </w:r>
      <w:r w:rsidR="00665B9A">
        <w:t>.</w:t>
      </w:r>
    </w:p>
    <w:p w14:paraId="6CD869F7" w14:textId="77777777" w:rsidR="003219B1" w:rsidRDefault="003219B1" w:rsidP="00FA10B8">
      <w:pPr>
        <w:spacing w:line="480" w:lineRule="auto"/>
        <w:jc w:val="center"/>
        <w:rPr>
          <w:b/>
          <w:bCs/>
        </w:rPr>
      </w:pPr>
      <w:r w:rsidRPr="007F3E85">
        <w:rPr>
          <w:b/>
          <w:bCs/>
        </w:rPr>
        <w:t>Methods</w:t>
      </w:r>
    </w:p>
    <w:p w14:paraId="1AFCA68A" w14:textId="05C9940B" w:rsidR="005C5E78" w:rsidRPr="005C5E78" w:rsidRDefault="005C5E78" w:rsidP="005C5E78">
      <w:pPr>
        <w:spacing w:line="480" w:lineRule="auto"/>
        <w:rPr>
          <w:b/>
          <w:bCs/>
        </w:rPr>
      </w:pPr>
      <w:r>
        <w:rPr>
          <w:b/>
          <w:bCs/>
        </w:rPr>
        <w:t>Procedure</w:t>
      </w:r>
    </w:p>
    <w:p w14:paraId="7B6B2880" w14:textId="28EA111D" w:rsidR="003219B1" w:rsidRDefault="003219B1" w:rsidP="005C5E78">
      <w:pPr>
        <w:spacing w:line="480" w:lineRule="auto"/>
        <w:ind w:firstLine="720"/>
      </w:pPr>
      <w:r>
        <w:t xml:space="preserve">Participants </w:t>
      </w:r>
      <w:r w:rsidRPr="00512C35">
        <w:t>complete</w:t>
      </w:r>
      <w:r>
        <w:t>d</w:t>
      </w:r>
      <w:r w:rsidRPr="00512C35">
        <w:t xml:space="preserve"> an online survey via </w:t>
      </w:r>
      <w:r>
        <w:t>a research credit portal</w:t>
      </w:r>
      <w:r w:rsidRPr="00512C35">
        <w:t xml:space="preserve"> using a secure survey collection website (Qualtrics.com). </w:t>
      </w:r>
      <w:r>
        <w:t>Participants received research participation credit for completing the survey.</w:t>
      </w:r>
    </w:p>
    <w:p w14:paraId="1B377642" w14:textId="77777777" w:rsidR="004D051F" w:rsidRDefault="004D051F" w:rsidP="004D051F">
      <w:pPr>
        <w:spacing w:line="480" w:lineRule="auto"/>
        <w:rPr>
          <w:b/>
          <w:bCs/>
        </w:rPr>
      </w:pPr>
      <w:r>
        <w:rPr>
          <w:b/>
          <w:bCs/>
        </w:rPr>
        <w:t>Participants</w:t>
      </w:r>
    </w:p>
    <w:p w14:paraId="369F6020" w14:textId="2AECA98D" w:rsidR="004D051F" w:rsidRPr="004D051F" w:rsidRDefault="004D051F" w:rsidP="004D051F">
      <w:pPr>
        <w:spacing w:line="480" w:lineRule="auto"/>
        <w:ind w:firstLine="720"/>
        <w:rPr>
          <w:b/>
          <w:bCs/>
        </w:rPr>
      </w:pPr>
      <w:r>
        <w:t xml:space="preserve">Participants were undergraduates currently enrolled in a university in the mountain west. A total of 223 undergraduate students responded to the study. Careless responders (n = 12) were removed based on survey completion speed and completion percentage (see Statistical </w:t>
      </w:r>
      <w:r w:rsidR="006F652D">
        <w:t>A</w:t>
      </w:r>
      <w:r>
        <w:t xml:space="preserve">nalyses section). Because this study was focusing on sexual orientation (specifically same-sex attraction) </w:t>
      </w:r>
      <w:r>
        <w:lastRenderedPageBreak/>
        <w:t>obsessions, participants (n = 30) who did not identify as heterosexual were not included in these analyses, leaving 181 total participants. The sample was primarily White (91%), female (66%), and members of the Church of Jesus Christ of Latter-Day Saints (79%), with an average age of 19.97 (SD = 4.33). See Table 1 for more detail.</w:t>
      </w:r>
    </w:p>
    <w:p w14:paraId="58FDA1A5" w14:textId="77777777" w:rsidR="003219B1" w:rsidRDefault="003219B1" w:rsidP="00FA10B8">
      <w:pPr>
        <w:spacing w:line="480" w:lineRule="auto"/>
        <w:rPr>
          <w:b/>
          <w:bCs/>
        </w:rPr>
      </w:pPr>
      <w:r>
        <w:rPr>
          <w:b/>
          <w:bCs/>
        </w:rPr>
        <w:t>Measures</w:t>
      </w:r>
    </w:p>
    <w:p w14:paraId="152F2D8E" w14:textId="343B2D01" w:rsidR="003219B1" w:rsidRDefault="003219B1" w:rsidP="00FA10B8">
      <w:pPr>
        <w:spacing w:line="480" w:lineRule="auto"/>
      </w:pPr>
      <w:r>
        <w:rPr>
          <w:b/>
          <w:bCs/>
        </w:rPr>
        <w:tab/>
        <w:t>Sexual Orientation Obsessions and Reactions Test</w:t>
      </w:r>
      <w:r w:rsidRPr="008D0A35">
        <w:t xml:space="preserve"> </w:t>
      </w:r>
      <w:r w:rsidRPr="008D0A35">
        <w:rPr>
          <w:noProof/>
        </w:rPr>
        <w:t>(SORT; Williams et al., 2018)</w:t>
      </w:r>
      <w:r w:rsidRPr="008D0A35">
        <w:t>.</w:t>
      </w:r>
      <w:r>
        <w:t xml:space="preserve"> The SORT measures obsessive-compulsive symptoms surrounding sexual orientation. Participants are asked to rate 12 items on a 5-point Likert scale (0 = </w:t>
      </w:r>
      <w:r w:rsidRPr="00D5651A">
        <w:rPr>
          <w:i/>
          <w:iCs/>
        </w:rPr>
        <w:t>never</w:t>
      </w:r>
      <w:r>
        <w:t xml:space="preserve">, 4 = </w:t>
      </w:r>
      <w:r w:rsidRPr="00D5651A">
        <w:rPr>
          <w:i/>
          <w:iCs/>
        </w:rPr>
        <w:t>always</w:t>
      </w:r>
      <w:r>
        <w:t xml:space="preserve">). </w:t>
      </w:r>
      <w:r w:rsidR="00FA129E">
        <w:t xml:space="preserve">Example items include “I try to reassure myself that I am not LGBTQ” and “I worry about the thoughts I am having about people of the same sex.” </w:t>
      </w:r>
      <w:r>
        <w:t xml:space="preserve">Higher scores indicate greater severity of OC-related sexual orientation concerns; a clinical cut-off of 10 was established in previous research in order to reliably distinguish between sexual orientation OCD and sexual identity exploration </w:t>
      </w:r>
      <w:r>
        <w:rPr>
          <w:noProof/>
        </w:rPr>
        <w:t>(Williams et al., 2018)</w:t>
      </w:r>
      <w:r>
        <w:t xml:space="preserve">. The SORT has established good reliability and validity in samples with and without OCD </w:t>
      </w:r>
      <w:r>
        <w:rPr>
          <w:noProof/>
        </w:rPr>
        <w:t>(Williams et al., 2018)</w:t>
      </w:r>
      <w:r>
        <w:t>. The Cronbach’s alpha in the current sample was .81.</w:t>
      </w:r>
    </w:p>
    <w:p w14:paraId="4DF368AB" w14:textId="7242E3FD" w:rsidR="003219B1" w:rsidRPr="0031251B" w:rsidRDefault="003219B1" w:rsidP="00FA10B8">
      <w:pPr>
        <w:spacing w:line="480" w:lineRule="auto"/>
      </w:pPr>
      <w:r>
        <w:tab/>
      </w:r>
      <w:r w:rsidRPr="00205D19">
        <w:rPr>
          <w:b/>
          <w:bCs/>
        </w:rPr>
        <w:t>D</w:t>
      </w:r>
      <w:r>
        <w:rPr>
          <w:b/>
          <w:bCs/>
        </w:rPr>
        <w:t xml:space="preserve">imensional </w:t>
      </w:r>
      <w:r w:rsidRPr="00205D19">
        <w:rPr>
          <w:b/>
          <w:bCs/>
        </w:rPr>
        <w:t>O</w:t>
      </w:r>
      <w:r>
        <w:rPr>
          <w:b/>
          <w:bCs/>
        </w:rPr>
        <w:t xml:space="preserve">bsessive </w:t>
      </w:r>
      <w:r w:rsidRPr="00205D19">
        <w:rPr>
          <w:b/>
          <w:bCs/>
        </w:rPr>
        <w:t>C</w:t>
      </w:r>
      <w:r>
        <w:rPr>
          <w:b/>
          <w:bCs/>
        </w:rPr>
        <w:t xml:space="preserve">ompulsive </w:t>
      </w:r>
      <w:r w:rsidRPr="00205D19">
        <w:rPr>
          <w:b/>
          <w:bCs/>
        </w:rPr>
        <w:t>S</w:t>
      </w:r>
      <w:r>
        <w:rPr>
          <w:b/>
          <w:bCs/>
        </w:rPr>
        <w:t>cale</w:t>
      </w:r>
      <w:r>
        <w:t xml:space="preserve"> </w:t>
      </w:r>
      <w:r>
        <w:rPr>
          <w:noProof/>
        </w:rPr>
        <w:t>(DOCS; Abramowitz et al., 2010)</w:t>
      </w:r>
      <w:r>
        <w:t xml:space="preserve">. The DOCS measures severity of obsessive-compulsive disorder (OCD) symptoms across four domains: contamination, responsibility for harm, symmetry, and unacceptable thoughts. Participants are asked to rank 20 items (5 per domain) on a 4-point Likert scale (0 = </w:t>
      </w:r>
      <w:r w:rsidRPr="00F721A1">
        <w:rPr>
          <w:i/>
          <w:iCs/>
        </w:rPr>
        <w:t>no symptoms</w:t>
      </w:r>
      <w:r>
        <w:t xml:space="preserve">, 4 = </w:t>
      </w:r>
      <w:r w:rsidRPr="00F721A1">
        <w:rPr>
          <w:i/>
          <w:iCs/>
        </w:rPr>
        <w:t>extreme symptoms</w:t>
      </w:r>
      <w:r>
        <w:t xml:space="preserve">) over the last month. </w:t>
      </w:r>
      <w:r w:rsidR="005A6D80">
        <w:t xml:space="preserve">Example items include “About how much time have you spent each day thinking about contamination and engaging in washing or cleaning behaviors because of contamination?” and “To what extent have you been avoiding situations, plaes, objects, and other reminders (e.g., numbers, people) that trigger unwanted or unpleasant thoughts?” </w:t>
      </w:r>
      <w:r>
        <w:t xml:space="preserve">Higher scores indicate greater severity, with a clinical cut off of 18 </w:t>
      </w:r>
      <w:r>
        <w:rPr>
          <w:noProof/>
        </w:rPr>
        <w:t xml:space="preserve">(Abramowitz et </w:t>
      </w:r>
      <w:r>
        <w:rPr>
          <w:noProof/>
        </w:rPr>
        <w:lastRenderedPageBreak/>
        <w:t>al., 2010)</w:t>
      </w:r>
      <w:r>
        <w:t>.</w:t>
      </w:r>
      <w:r w:rsidRPr="00670D5C">
        <w:t xml:space="preserve"> </w:t>
      </w:r>
      <w:r w:rsidR="009C69D8">
        <w:t xml:space="preserve">Previous research supports the use of the total DOCS score as a representation for overall OCD symptoms (Thibodeau et al., 2014). </w:t>
      </w:r>
      <w:r>
        <w:t>The Cronbach’s alpha in the current sample was .91.</w:t>
      </w:r>
    </w:p>
    <w:p w14:paraId="0E0337EC" w14:textId="16B69910" w:rsidR="003219B1" w:rsidRDefault="003219B1" w:rsidP="00FA10B8">
      <w:pPr>
        <w:spacing w:line="480" w:lineRule="auto"/>
        <w:rPr>
          <w:b/>
          <w:bCs/>
        </w:rPr>
      </w:pPr>
      <w:r>
        <w:rPr>
          <w:b/>
          <w:bCs/>
        </w:rPr>
        <w:tab/>
        <w:t xml:space="preserve">Mental Health Continuum – Short Form </w:t>
      </w:r>
      <w:r>
        <w:rPr>
          <w:noProof/>
        </w:rPr>
        <w:t>(MHC-SF; Keyes et al., 2008)</w:t>
      </w:r>
      <w:r w:rsidRPr="00C62608">
        <w:t>.</w:t>
      </w:r>
      <w:r>
        <w:t xml:space="preserve"> The MHC-SF measures aspects of well-being, including emotional, psychology and social well-being. Participants are asked to rate 14 items on a 6-point Likert scale (0 = </w:t>
      </w:r>
      <w:r w:rsidRPr="005439D5">
        <w:rPr>
          <w:i/>
          <w:iCs/>
        </w:rPr>
        <w:t>never</w:t>
      </w:r>
      <w:r>
        <w:t xml:space="preserve">, 5 = </w:t>
      </w:r>
      <w:r w:rsidRPr="005439D5">
        <w:rPr>
          <w:i/>
          <w:iCs/>
        </w:rPr>
        <w:t>every day</w:t>
      </w:r>
      <w:r>
        <w:t>)</w:t>
      </w:r>
      <w:r w:rsidR="00745607">
        <w:t xml:space="preserve"> for </w:t>
      </w:r>
      <w:r w:rsidR="00D163A1">
        <w:t xml:space="preserve">the frequency of the </w:t>
      </w:r>
      <w:r w:rsidR="004903D4">
        <w:t>feeling</w:t>
      </w:r>
      <w:r w:rsidR="00D163A1">
        <w:t xml:space="preserve"> in the last month</w:t>
      </w:r>
      <w:r>
        <w:t>.</w:t>
      </w:r>
      <w:r w:rsidR="00745607">
        <w:t xml:space="preserve"> Example items include “happy,” “that you have something important to contribute to society,” and “interested in life.” </w:t>
      </w:r>
      <w:r>
        <w:t>Higher scores indicate greater positive mental health and well-being</w:t>
      </w:r>
      <w:r w:rsidR="0097524C">
        <w:t>; poor mental health is indicated by a score below 25, average indicated by scores between 25 to 45, and positive mental health indicated by s</w:t>
      </w:r>
      <w:r w:rsidR="00611379">
        <w:t>cores</w:t>
      </w:r>
      <w:r w:rsidR="0097524C">
        <w:t xml:space="preserve"> greater than 46</w:t>
      </w:r>
      <w:r>
        <w:t xml:space="preserve">. Past research has established the good psychometric properties of the MHC-SF </w:t>
      </w:r>
      <w:r>
        <w:rPr>
          <w:noProof/>
        </w:rPr>
        <w:t>(Lamers</w:t>
      </w:r>
      <w:r w:rsidR="00955C44">
        <w:rPr>
          <w:noProof/>
        </w:rPr>
        <w:t xml:space="preserve"> et al.</w:t>
      </w:r>
      <w:r>
        <w:rPr>
          <w:noProof/>
        </w:rPr>
        <w:t>, 2011)</w:t>
      </w:r>
      <w:r>
        <w:t>. The Cronbach’s alpha in the current sample was .94.</w:t>
      </w:r>
    </w:p>
    <w:p w14:paraId="2C851D5F" w14:textId="222E4215" w:rsidR="003219B1" w:rsidRDefault="003219B1" w:rsidP="00FA10B8">
      <w:pPr>
        <w:spacing w:line="480" w:lineRule="auto"/>
        <w:rPr>
          <w:b/>
          <w:bCs/>
        </w:rPr>
      </w:pPr>
      <w:r>
        <w:rPr>
          <w:b/>
          <w:bCs/>
        </w:rPr>
        <w:tab/>
        <w:t xml:space="preserve">Acceptance and Action Questionnaire – II </w:t>
      </w:r>
      <w:r>
        <w:rPr>
          <w:noProof/>
        </w:rPr>
        <w:t>(AAQ-II; Bond et al., 2011)</w:t>
      </w:r>
      <w:r>
        <w:t xml:space="preserve">. The AAQ-II measures psychological inflexibility. Participants are asked to rate seven items on a 7-point Likert scale (1 = </w:t>
      </w:r>
      <w:r w:rsidRPr="00CD0379">
        <w:rPr>
          <w:i/>
          <w:iCs/>
        </w:rPr>
        <w:t>never</w:t>
      </w:r>
      <w:r>
        <w:t xml:space="preserve">, 7 = </w:t>
      </w:r>
      <w:r w:rsidRPr="00CD0379">
        <w:rPr>
          <w:i/>
          <w:iCs/>
        </w:rPr>
        <w:t>always true</w:t>
      </w:r>
      <w:r>
        <w:t xml:space="preserve">) with higher scores indicating greater psychological inflexibility. </w:t>
      </w:r>
      <w:r w:rsidR="007265AD">
        <w:t xml:space="preserve">Example items include “I’m afraid of my feelings” and “Worries get in the way of my success.” </w:t>
      </w:r>
      <w:r>
        <w:t xml:space="preserve">Previous research has established adequate reliability and validity of the AAQ-II </w:t>
      </w:r>
      <w:r>
        <w:rPr>
          <w:noProof/>
        </w:rPr>
        <w:t>(Bond et al., 2011)</w:t>
      </w:r>
      <w:r>
        <w:t>. The Cronbach’s alpha in the current sample was .91.</w:t>
      </w:r>
    </w:p>
    <w:p w14:paraId="09C487AD" w14:textId="7EB5D424" w:rsidR="003219B1" w:rsidRPr="00253A87" w:rsidRDefault="003219B1" w:rsidP="00FA10B8">
      <w:pPr>
        <w:spacing w:line="480" w:lineRule="auto"/>
      </w:pPr>
      <w:r>
        <w:rPr>
          <w:b/>
          <w:bCs/>
        </w:rPr>
        <w:tab/>
      </w:r>
      <w:r w:rsidRPr="00E32DE1">
        <w:rPr>
          <w:b/>
          <w:bCs/>
        </w:rPr>
        <w:t xml:space="preserve">Obsessive Beliefs Questionnaire – </w:t>
      </w:r>
      <w:r>
        <w:rPr>
          <w:b/>
          <w:bCs/>
        </w:rPr>
        <w:t xml:space="preserve">44 </w:t>
      </w:r>
      <w:r>
        <w:rPr>
          <w:noProof/>
        </w:rPr>
        <w:t xml:space="preserve">(OBQ; </w:t>
      </w:r>
      <w:r w:rsidR="003070B7" w:rsidRPr="004F28BA">
        <w:rPr>
          <w:noProof/>
        </w:rPr>
        <w:t>O</w:t>
      </w:r>
      <w:r w:rsidR="003070B7">
        <w:rPr>
          <w:noProof/>
        </w:rPr>
        <w:t xml:space="preserve">bsessive Compulsive Cognitions Working Group [OCCWG], </w:t>
      </w:r>
      <w:r>
        <w:rPr>
          <w:noProof/>
        </w:rPr>
        <w:t>2005)</w:t>
      </w:r>
      <w:r>
        <w:t xml:space="preserve">. The OBQ is a measure of dysfunctional beliefs related to OC symptoms. The OBQ covers three domains of dysfunctional beliefs: </w:t>
      </w:r>
      <w:r w:rsidR="00BD5C34">
        <w:t>importance of and need to control thoughts</w:t>
      </w:r>
      <w:r>
        <w:t xml:space="preserve">, perfectionism and </w:t>
      </w:r>
      <w:r w:rsidR="00BD5C34">
        <w:t>intolerance to uncertainty</w:t>
      </w:r>
      <w:r w:rsidR="00477601">
        <w:t>, and responsibility and threat estimation</w:t>
      </w:r>
      <w:r>
        <w:t xml:space="preserve">. Participants are asked to rank 44 items on a 7-point Likert scale (1 = </w:t>
      </w:r>
      <w:r>
        <w:rPr>
          <w:i/>
          <w:iCs/>
        </w:rPr>
        <w:t xml:space="preserve">disagree very </w:t>
      </w:r>
      <w:r>
        <w:rPr>
          <w:i/>
          <w:iCs/>
        </w:rPr>
        <w:lastRenderedPageBreak/>
        <w:t>much</w:t>
      </w:r>
      <w:r>
        <w:t xml:space="preserve">, 7 = </w:t>
      </w:r>
      <w:r>
        <w:rPr>
          <w:i/>
          <w:iCs/>
        </w:rPr>
        <w:t>agree very much</w:t>
      </w:r>
      <w:r>
        <w:t>), with higher scores indicating greater dysfunctional beliefs.</w:t>
      </w:r>
      <w:r w:rsidR="00D010E4">
        <w:t xml:space="preserve"> Example items include “For me, having bad urges is as bad as actually carrying them out” and “Having bad thoughts means I am weird or abnormal.”</w:t>
      </w:r>
      <w:r>
        <w:t xml:space="preserve"> Previous research has established good validity </w:t>
      </w:r>
      <w:r>
        <w:rPr>
          <w:noProof/>
        </w:rPr>
        <w:t>(</w:t>
      </w:r>
      <w:r w:rsidR="000328F3">
        <w:rPr>
          <w:noProof/>
        </w:rPr>
        <w:t>OCCWG</w:t>
      </w:r>
      <w:r>
        <w:rPr>
          <w:noProof/>
        </w:rPr>
        <w:t>, 2005)</w:t>
      </w:r>
      <w:r>
        <w:t>. The Cronbach’s alpha in the current sample was .95.</w:t>
      </w:r>
    </w:p>
    <w:p w14:paraId="5395BA3C" w14:textId="77777777" w:rsidR="003219B1" w:rsidRPr="00FA10B8" w:rsidRDefault="003219B1" w:rsidP="00FA10B8">
      <w:pPr>
        <w:spacing w:line="480" w:lineRule="auto"/>
      </w:pPr>
      <w:r>
        <w:rPr>
          <w:b/>
          <w:bCs/>
        </w:rPr>
        <w:tab/>
        <w:t xml:space="preserve">General demographics. </w:t>
      </w:r>
      <w:r>
        <w:t>Participants completed a general demographics survey including age, gender, sexual orientation, race, and religion.</w:t>
      </w:r>
    </w:p>
    <w:p w14:paraId="32166717" w14:textId="77777777" w:rsidR="003219B1" w:rsidRPr="00FA10B8" w:rsidRDefault="003219B1" w:rsidP="00FA10B8">
      <w:pPr>
        <w:spacing w:line="480" w:lineRule="auto"/>
        <w:rPr>
          <w:b/>
          <w:bCs/>
        </w:rPr>
      </w:pPr>
      <w:r w:rsidRPr="00602993">
        <w:rPr>
          <w:b/>
          <w:bCs/>
        </w:rPr>
        <w:t>Statistical Analyses</w:t>
      </w:r>
      <w:r w:rsidRPr="00602993">
        <w:rPr>
          <w:b/>
          <w:bCs/>
        </w:rPr>
        <w:tab/>
      </w:r>
    </w:p>
    <w:p w14:paraId="207DA849" w14:textId="00181B9B" w:rsidR="003219B1" w:rsidRPr="00602993" w:rsidRDefault="003219B1" w:rsidP="00FA10B8">
      <w:pPr>
        <w:spacing w:line="480" w:lineRule="auto"/>
        <w:ind w:firstLine="720"/>
      </w:pPr>
      <w:r w:rsidRPr="00602993">
        <w:t xml:space="preserve">All analyses were conducted with R in RStudio </w:t>
      </w:r>
      <w:r>
        <w:rPr>
          <w:noProof/>
        </w:rPr>
        <w:t>(R Core Team, 2019; RStudio Team, 2019)</w:t>
      </w:r>
      <w:r>
        <w:t>.</w:t>
      </w:r>
      <w:r w:rsidR="00C15A99">
        <w:t xml:space="preserve"> </w:t>
      </w:r>
      <w:r>
        <w:t>The following packages were used in analyses</w:t>
      </w:r>
      <w:r w:rsidRPr="00602993">
        <w:t>:</w:t>
      </w:r>
      <w:r>
        <w:t xml:space="preserve"> </w:t>
      </w:r>
      <w:r w:rsidRPr="00602993">
        <w:t xml:space="preserve">furniture </w:t>
      </w:r>
      <w:r>
        <w:rPr>
          <w:noProof/>
        </w:rPr>
        <w:t>(Barrett &amp; Brignone, 2017)</w:t>
      </w:r>
      <w:r>
        <w:t xml:space="preserve">, </w:t>
      </w:r>
      <w:r w:rsidRPr="00602993">
        <w:t xml:space="preserve">psych </w:t>
      </w:r>
      <w:r>
        <w:rPr>
          <w:noProof/>
        </w:rPr>
        <w:t>(Revelle, 2018)</w:t>
      </w:r>
      <w:r w:rsidRPr="00602993">
        <w:t xml:space="preserve">, </w:t>
      </w:r>
      <w:r>
        <w:t xml:space="preserve">lavaan </w:t>
      </w:r>
      <w:r>
        <w:rPr>
          <w:noProof/>
        </w:rPr>
        <w:t>(Rosseel, 2012)</w:t>
      </w:r>
      <w:r>
        <w:t xml:space="preserve">, and MaginalMediation </w:t>
      </w:r>
      <w:r>
        <w:rPr>
          <w:noProof/>
        </w:rPr>
        <w:t>(Barrett, 2018)</w:t>
      </w:r>
      <w:r>
        <w:t>.</w:t>
      </w:r>
    </w:p>
    <w:p w14:paraId="0FADC493" w14:textId="77777777" w:rsidR="003219B1" w:rsidRDefault="003219B1" w:rsidP="00BF3138">
      <w:pPr>
        <w:spacing w:line="480" w:lineRule="auto"/>
        <w:ind w:firstLine="720"/>
      </w:pPr>
      <w:r w:rsidRPr="00602993">
        <w:rPr>
          <w:b/>
          <w:bCs/>
        </w:rPr>
        <w:t>Careless responding.</w:t>
      </w:r>
      <w:r w:rsidRPr="00602993">
        <w:t xml:space="preserve"> Careless </w:t>
      </w:r>
      <w:r>
        <w:t xml:space="preserve">responders </w:t>
      </w:r>
      <w:r w:rsidRPr="00602993">
        <w:t>w</w:t>
      </w:r>
      <w:r>
        <w:t>ere</w:t>
      </w:r>
      <w:r w:rsidRPr="00602993">
        <w:t xml:space="preserve"> identified</w:t>
      </w:r>
      <w:r>
        <w:t xml:space="preserve"> and removed</w:t>
      </w:r>
      <w:r w:rsidRPr="00602993">
        <w:t xml:space="preserve"> based on response time and </w:t>
      </w:r>
      <w:r>
        <w:t>survey completion.</w:t>
      </w:r>
      <w:r w:rsidRPr="00602993">
        <w:t xml:space="preserve"> </w:t>
      </w:r>
      <w:r>
        <w:t xml:space="preserve">A cutoff of 2 seconds per item is recommended for identifying careless responders </w:t>
      </w:r>
      <w:r>
        <w:rPr>
          <w:noProof/>
        </w:rPr>
        <w:t>(Huang, Curran, Keeney, Poposki, &amp; DeShon, 2012)</w:t>
      </w:r>
      <w:r>
        <w:t>. Therefore,</w:t>
      </w:r>
      <w:r w:rsidRPr="00602993">
        <w:t xml:space="preserve"> we excluded cases that took less than </w:t>
      </w:r>
      <w:r>
        <w:t>five minutes (298 seconds = 149</w:t>
      </w:r>
      <w:r w:rsidRPr="00602993">
        <w:t xml:space="preserve"> items </w:t>
      </w:r>
      <w:r w:rsidRPr="00602993">
        <w:sym w:font="Symbol" w:char="F0B4"/>
      </w:r>
      <w:r w:rsidRPr="00602993">
        <w:t xml:space="preserve"> 2s) for completion. </w:t>
      </w:r>
      <w:r>
        <w:t>Additionally, surveys not fully completed were removed.</w:t>
      </w:r>
    </w:p>
    <w:p w14:paraId="185AFCE4" w14:textId="3B283F6B" w:rsidR="003219B1" w:rsidRDefault="003219B1" w:rsidP="00BF3138">
      <w:pPr>
        <w:spacing w:line="480" w:lineRule="auto"/>
        <w:ind w:firstLine="720"/>
      </w:pPr>
      <w:r>
        <w:t xml:space="preserve">General descriptives and correlations were calculated for all measures. </w:t>
      </w:r>
      <w:r w:rsidRPr="009F086F">
        <w:t xml:space="preserve">Simple linear regression was used to predict MHC-SF based on SORT. </w:t>
      </w:r>
      <w:r>
        <w:t xml:space="preserve">Standardized mediational models were used to test psychological flexibility (AAQ-II) and cognitive distortion (OBQ) as mediators between SORT and MHC-SF. The same analytic process was repeated for predicting MHC-SF based on DOCS. </w:t>
      </w:r>
      <w:r w:rsidR="00CD1A27">
        <w:t xml:space="preserve">Given the disparity in males </w:t>
      </w:r>
      <w:r w:rsidR="00EE1DA1">
        <w:t xml:space="preserve">(n = 60) </w:t>
      </w:r>
      <w:r w:rsidR="00CD1A27">
        <w:t>and females</w:t>
      </w:r>
      <w:r w:rsidR="00EE1DA1">
        <w:t xml:space="preserve"> (n = 121)</w:t>
      </w:r>
      <w:r w:rsidR="00CD1A27">
        <w:t xml:space="preserve"> in our sample, we also ran</w:t>
      </w:r>
      <w:r w:rsidR="002070E2">
        <w:t xml:space="preserve"> the same</w:t>
      </w:r>
      <w:r w:rsidR="00CD1A27">
        <w:t xml:space="preserve"> analyses separated by gender identity</w:t>
      </w:r>
      <w:r w:rsidR="00C15A99">
        <w:t>. B</w:t>
      </w:r>
      <w:r w:rsidR="00CD1A27">
        <w:t>ecause no difference</w:t>
      </w:r>
      <w:r w:rsidR="00146978">
        <w:t>s</w:t>
      </w:r>
      <w:r w:rsidR="00CD1A27">
        <w:t xml:space="preserve"> w</w:t>
      </w:r>
      <w:r w:rsidR="00146978">
        <w:t>ere</w:t>
      </w:r>
      <w:r w:rsidR="00CD1A27">
        <w:t xml:space="preserve"> found between the separated and full samples, we report </w:t>
      </w:r>
      <w:r w:rsidR="00C734AC">
        <w:t>analyses using the full sample</w:t>
      </w:r>
      <w:r w:rsidR="000276B1">
        <w:t xml:space="preserve"> only</w:t>
      </w:r>
      <w:r w:rsidR="00B11031">
        <w:t>.</w:t>
      </w:r>
    </w:p>
    <w:p w14:paraId="75A48739" w14:textId="77777777" w:rsidR="003219B1" w:rsidRDefault="003219B1" w:rsidP="00FA52FC">
      <w:pPr>
        <w:spacing w:line="480" w:lineRule="auto"/>
        <w:jc w:val="center"/>
        <w:rPr>
          <w:b/>
          <w:bCs/>
        </w:rPr>
      </w:pPr>
      <w:r>
        <w:rPr>
          <w:b/>
          <w:bCs/>
        </w:rPr>
        <w:t>Results</w:t>
      </w:r>
    </w:p>
    <w:p w14:paraId="54CB2D64" w14:textId="77777777" w:rsidR="003219B1" w:rsidRPr="00FA52FC" w:rsidRDefault="003219B1" w:rsidP="00FA10B8">
      <w:pPr>
        <w:spacing w:line="480" w:lineRule="auto"/>
        <w:rPr>
          <w:b/>
          <w:bCs/>
        </w:rPr>
      </w:pPr>
      <w:r>
        <w:rPr>
          <w:b/>
          <w:bCs/>
        </w:rPr>
        <w:lastRenderedPageBreak/>
        <w:t>Descriptive statistic and c</w:t>
      </w:r>
      <w:r w:rsidRPr="00CE0A3C">
        <w:rPr>
          <w:b/>
          <w:bCs/>
        </w:rPr>
        <w:t>orrelations</w:t>
      </w:r>
    </w:p>
    <w:p w14:paraId="39857521" w14:textId="56BE887B" w:rsidR="00077590" w:rsidRDefault="003219B1" w:rsidP="009A2077">
      <w:pPr>
        <w:spacing w:line="480" w:lineRule="auto"/>
        <w:ind w:firstLine="720"/>
        <w:rPr>
          <w:color w:val="000000" w:themeColor="text1"/>
        </w:rPr>
      </w:pPr>
      <w:r w:rsidRPr="00AE6089">
        <w:rPr>
          <w:color w:val="000000" w:themeColor="text1"/>
        </w:rPr>
        <w:t xml:space="preserve">See Table 2 for the descriptive and correlational statistics for all measures. The sample </w:t>
      </w:r>
      <w:r w:rsidR="003650B8" w:rsidRPr="00AE6089">
        <w:rPr>
          <w:color w:val="000000" w:themeColor="text1"/>
        </w:rPr>
        <w:t xml:space="preserve">reported average </w:t>
      </w:r>
      <w:r w:rsidRPr="00AE6089">
        <w:rPr>
          <w:color w:val="000000" w:themeColor="text1"/>
        </w:rPr>
        <w:t xml:space="preserve">levels of well-being (M = 41.70) </w:t>
      </w:r>
      <w:r w:rsidR="00D82BF0" w:rsidRPr="00AE6089">
        <w:rPr>
          <w:color w:val="000000" w:themeColor="text1"/>
        </w:rPr>
        <w:t xml:space="preserve">as compared to past research with undergraduate populations </w:t>
      </w:r>
      <w:r w:rsidR="003650B8" w:rsidRPr="00AE6089">
        <w:rPr>
          <w:color w:val="000000" w:themeColor="text1"/>
        </w:rPr>
        <w:t xml:space="preserve">and pre-established cut-offs for the MHC-SF </w:t>
      </w:r>
      <w:r w:rsidR="00D82BF0" w:rsidRPr="00AE6089">
        <w:rPr>
          <w:color w:val="000000" w:themeColor="text1"/>
        </w:rPr>
        <w:t>(</w:t>
      </w:r>
      <w:r w:rsidR="00A5393A" w:rsidRPr="00AE6089">
        <w:rPr>
          <w:color w:val="000000" w:themeColor="text1"/>
        </w:rPr>
        <w:t xml:space="preserve">See measures section; </w:t>
      </w:r>
      <w:r w:rsidR="003650B8" w:rsidRPr="00AE6089">
        <w:rPr>
          <w:color w:val="000000" w:themeColor="text1"/>
        </w:rPr>
        <w:t>Irfan, 2016; Keyes, 200</w:t>
      </w:r>
      <w:r w:rsidR="00CC4C23" w:rsidRPr="00AE6089">
        <w:rPr>
          <w:color w:val="000000" w:themeColor="text1"/>
        </w:rPr>
        <w:t>8</w:t>
      </w:r>
      <w:r w:rsidR="00D82BF0" w:rsidRPr="00AE6089">
        <w:rPr>
          <w:color w:val="000000" w:themeColor="text1"/>
        </w:rPr>
        <w:t xml:space="preserve">). The sample also reported </w:t>
      </w:r>
      <w:r w:rsidRPr="00AE6089">
        <w:rPr>
          <w:color w:val="000000" w:themeColor="text1"/>
        </w:rPr>
        <w:t>low levels of sexual orientation obsessions (M = 2.91</w:t>
      </w:r>
      <w:r w:rsidR="00D82BF0" w:rsidRPr="00AE6089">
        <w:rPr>
          <w:color w:val="000000" w:themeColor="text1"/>
        </w:rPr>
        <w:t xml:space="preserve"> out of maximum score of </w:t>
      </w:r>
      <w:r w:rsidR="00940BE6" w:rsidRPr="00AE6089">
        <w:rPr>
          <w:color w:val="000000" w:themeColor="text1"/>
        </w:rPr>
        <w:t>48</w:t>
      </w:r>
      <w:r w:rsidR="00D453E6">
        <w:rPr>
          <w:color w:val="000000" w:themeColor="text1"/>
        </w:rPr>
        <w:t xml:space="preserve">; </w:t>
      </w:r>
      <w:r w:rsidR="001B11E0">
        <w:rPr>
          <w:color w:val="000000" w:themeColor="text1"/>
        </w:rPr>
        <w:t xml:space="preserve">sample </w:t>
      </w:r>
      <w:r w:rsidR="002535C8">
        <w:rPr>
          <w:color w:val="000000" w:themeColor="text1"/>
        </w:rPr>
        <w:t>range</w:t>
      </w:r>
      <w:r w:rsidR="006F3488">
        <w:rPr>
          <w:color w:val="000000" w:themeColor="text1"/>
        </w:rPr>
        <w:t>:</w:t>
      </w:r>
      <w:r w:rsidR="002535C8">
        <w:rPr>
          <w:color w:val="000000" w:themeColor="text1"/>
        </w:rPr>
        <w:t xml:space="preserve"> 0 -</w:t>
      </w:r>
      <w:r w:rsidR="00436F4A">
        <w:rPr>
          <w:color w:val="000000" w:themeColor="text1"/>
        </w:rPr>
        <w:t xml:space="preserve"> </w:t>
      </w:r>
      <w:r w:rsidR="002535C8">
        <w:rPr>
          <w:color w:val="000000" w:themeColor="text1"/>
        </w:rPr>
        <w:t>20</w:t>
      </w:r>
      <w:r w:rsidRPr="00AE6089">
        <w:rPr>
          <w:color w:val="000000" w:themeColor="text1"/>
        </w:rPr>
        <w:t>)</w:t>
      </w:r>
      <w:r w:rsidR="00CB434E" w:rsidRPr="00AE6089">
        <w:rPr>
          <w:color w:val="000000" w:themeColor="text1"/>
        </w:rPr>
        <w:t xml:space="preserve"> as compared to clinical samples</w:t>
      </w:r>
      <w:r w:rsidR="006D4364" w:rsidRPr="00AE6089">
        <w:rPr>
          <w:color w:val="000000" w:themeColor="text1"/>
        </w:rPr>
        <w:t>—</w:t>
      </w:r>
      <w:r w:rsidR="00D82BF0" w:rsidRPr="00AE6089">
        <w:rPr>
          <w:color w:val="000000" w:themeColor="text1"/>
        </w:rPr>
        <w:t xml:space="preserve">the clinical cutoff for sexual orientation obsessions on the SORT is </w:t>
      </w:r>
      <w:r w:rsidR="008C5CE1" w:rsidRPr="00AE6089">
        <w:rPr>
          <w:color w:val="000000" w:themeColor="text1"/>
        </w:rPr>
        <w:t>10</w:t>
      </w:r>
      <w:r w:rsidR="00D82BF0" w:rsidRPr="00AE6089">
        <w:rPr>
          <w:color w:val="000000" w:themeColor="text1"/>
        </w:rPr>
        <w:t xml:space="preserve"> (</w:t>
      </w:r>
      <w:r w:rsidR="008C5CE1" w:rsidRPr="00AE6089">
        <w:rPr>
          <w:color w:val="000000" w:themeColor="text1"/>
        </w:rPr>
        <w:t>Williams et al., 2018</w:t>
      </w:r>
      <w:r w:rsidR="00D82BF0" w:rsidRPr="00AE6089">
        <w:rPr>
          <w:color w:val="000000" w:themeColor="text1"/>
        </w:rPr>
        <w:t xml:space="preserve">). </w:t>
      </w:r>
      <w:r w:rsidR="00A2379E" w:rsidRPr="00AE6089">
        <w:rPr>
          <w:color w:val="000000" w:themeColor="text1"/>
        </w:rPr>
        <w:t xml:space="preserve">The sample also reported </w:t>
      </w:r>
      <w:r w:rsidR="00686260" w:rsidRPr="00AE6089">
        <w:rPr>
          <w:color w:val="000000" w:themeColor="text1"/>
        </w:rPr>
        <w:t>typical</w:t>
      </w:r>
      <w:r w:rsidR="00C6690D">
        <w:rPr>
          <w:color w:val="000000" w:themeColor="text1"/>
        </w:rPr>
        <w:t>,</w:t>
      </w:r>
      <w:r w:rsidR="00DE41B4" w:rsidRPr="00AE6089">
        <w:rPr>
          <w:color w:val="000000" w:themeColor="text1"/>
        </w:rPr>
        <w:t xml:space="preserve"> subclinical</w:t>
      </w:r>
      <w:r w:rsidR="00A2379E" w:rsidRPr="00AE6089">
        <w:rPr>
          <w:color w:val="000000" w:themeColor="text1"/>
        </w:rPr>
        <w:t xml:space="preserve"> levels of </w:t>
      </w:r>
      <w:r w:rsidRPr="00AE6089">
        <w:rPr>
          <w:color w:val="000000" w:themeColor="text1"/>
        </w:rPr>
        <w:t>OC symptoms (M = 14.35)</w:t>
      </w:r>
      <w:r w:rsidR="00A2379E" w:rsidRPr="00AE6089">
        <w:rPr>
          <w:color w:val="000000" w:themeColor="text1"/>
        </w:rPr>
        <w:t xml:space="preserve"> as compared to the clinical cutoff of </w:t>
      </w:r>
      <w:r w:rsidR="005D7947" w:rsidRPr="00AE6089">
        <w:rPr>
          <w:color w:val="000000" w:themeColor="text1"/>
        </w:rPr>
        <w:t>21</w:t>
      </w:r>
      <w:r w:rsidR="00A2379E" w:rsidRPr="00AE6089">
        <w:rPr>
          <w:color w:val="000000" w:themeColor="text1"/>
        </w:rPr>
        <w:t xml:space="preserve"> on the DOCS (</w:t>
      </w:r>
      <w:r w:rsidR="005D7947" w:rsidRPr="00AE6089">
        <w:rPr>
          <w:color w:val="000000" w:themeColor="text1"/>
        </w:rPr>
        <w:t>Abramowitz et al., 2010</w:t>
      </w:r>
      <w:r w:rsidR="00A2379E" w:rsidRPr="00AE6089">
        <w:rPr>
          <w:color w:val="000000" w:themeColor="text1"/>
        </w:rPr>
        <w:t>)</w:t>
      </w:r>
      <w:r w:rsidR="00831CC8" w:rsidRPr="00AE6089">
        <w:rPr>
          <w:color w:val="000000" w:themeColor="text1"/>
        </w:rPr>
        <w:t xml:space="preserve"> and </w:t>
      </w:r>
      <w:r w:rsidR="00A2379E" w:rsidRPr="00AE6089">
        <w:rPr>
          <w:color w:val="000000" w:themeColor="text1"/>
        </w:rPr>
        <w:t>past research on OC symptoms in undergraduate samples (Blakey et al., 2017)</w:t>
      </w:r>
      <w:r w:rsidRPr="00AE6089">
        <w:rPr>
          <w:color w:val="000000" w:themeColor="text1"/>
        </w:rPr>
        <w:t>. The sample had borderline clinical levels of general psychological inflexibility (M = 20.51)</w:t>
      </w:r>
      <w:r w:rsidR="00746C74">
        <w:rPr>
          <w:color w:val="000000" w:themeColor="text1"/>
        </w:rPr>
        <w:t xml:space="preserve"> and </w:t>
      </w:r>
      <w:r w:rsidRPr="00AE6089">
        <w:rPr>
          <w:color w:val="000000" w:themeColor="text1"/>
        </w:rPr>
        <w:t>cognitive distortion (M = 140.71).</w:t>
      </w:r>
      <w:r w:rsidR="00AE6089">
        <w:rPr>
          <w:color w:val="000000" w:themeColor="text1"/>
        </w:rPr>
        <w:t xml:space="preserve"> </w:t>
      </w:r>
      <w:r w:rsidR="00C6690D">
        <w:rPr>
          <w:color w:val="000000" w:themeColor="text1"/>
        </w:rPr>
        <w:t>T</w:t>
      </w:r>
      <w:r w:rsidR="009262AF" w:rsidRPr="00AE6089">
        <w:rPr>
          <w:color w:val="000000" w:themeColor="text1"/>
        </w:rPr>
        <w:t xml:space="preserve">hese means are comparable to past undergraduate samples </w:t>
      </w:r>
      <w:r w:rsidR="009262AF">
        <w:t xml:space="preserve">in studies examining OC symptoms and </w:t>
      </w:r>
      <w:r w:rsidR="009262AF" w:rsidRPr="00D9014F">
        <w:rPr>
          <w:color w:val="000000" w:themeColor="text1"/>
        </w:rPr>
        <w:t>psychological inflexibility (e.g., Blakey et al., 2017</w:t>
      </w:r>
      <w:r w:rsidR="00114690" w:rsidRPr="00D9014F">
        <w:rPr>
          <w:color w:val="000000" w:themeColor="text1"/>
        </w:rPr>
        <w:t>).</w:t>
      </w:r>
      <w:r w:rsidR="00077590">
        <w:rPr>
          <w:color w:val="000000" w:themeColor="text1"/>
        </w:rPr>
        <w:t xml:space="preserve"> </w:t>
      </w:r>
    </w:p>
    <w:p w14:paraId="3DD8891A" w14:textId="7573A7D4" w:rsidR="003219B1" w:rsidRDefault="003219B1" w:rsidP="00FA52FC">
      <w:pPr>
        <w:spacing w:line="480" w:lineRule="auto"/>
        <w:ind w:firstLine="720"/>
      </w:pPr>
      <w:r w:rsidRPr="00D9014F">
        <w:rPr>
          <w:color w:val="000000" w:themeColor="text1"/>
        </w:rPr>
        <w:t>Correlations were calculated between all measures (SORT, MHC-SF, AAQ-II, OBQ, and DOCS). As expected, sexual orientation intrusive thoughts (</w:t>
      </w:r>
      <w:r w:rsidRPr="00D9014F">
        <w:rPr>
          <w:i/>
          <w:iCs/>
          <w:color w:val="000000" w:themeColor="text1"/>
        </w:rPr>
        <w:t>p</w:t>
      </w:r>
      <w:r w:rsidR="00D9014F">
        <w:rPr>
          <w:i/>
          <w:iCs/>
          <w:color w:val="000000" w:themeColor="text1"/>
        </w:rPr>
        <w:t xml:space="preserve"> </w:t>
      </w:r>
      <w:r w:rsidRPr="00D9014F">
        <w:rPr>
          <w:color w:val="000000" w:themeColor="text1"/>
        </w:rPr>
        <w:t>&lt;</w:t>
      </w:r>
      <w:r w:rsidR="00D9014F">
        <w:rPr>
          <w:color w:val="000000" w:themeColor="text1"/>
        </w:rPr>
        <w:t xml:space="preserve"> </w:t>
      </w:r>
      <w:r w:rsidRPr="00D9014F">
        <w:rPr>
          <w:color w:val="000000" w:themeColor="text1"/>
        </w:rPr>
        <w:t>.001), general OC symptoms (</w:t>
      </w:r>
      <w:r w:rsidRPr="00D9014F">
        <w:rPr>
          <w:i/>
          <w:iCs/>
          <w:color w:val="000000" w:themeColor="text1"/>
        </w:rPr>
        <w:t>p</w:t>
      </w:r>
      <w:r w:rsidRPr="00D9014F">
        <w:rPr>
          <w:color w:val="000000" w:themeColor="text1"/>
        </w:rPr>
        <w:t xml:space="preserve"> = .007), and dysfunctional beliefs (</w:t>
      </w:r>
      <w:r w:rsidRPr="00D9014F">
        <w:rPr>
          <w:i/>
          <w:iCs/>
          <w:color w:val="000000" w:themeColor="text1"/>
        </w:rPr>
        <w:t>p</w:t>
      </w:r>
      <w:r w:rsidRPr="00D9014F">
        <w:rPr>
          <w:color w:val="000000" w:themeColor="text1"/>
        </w:rPr>
        <w:t xml:space="preserve"> = .004) were negatively correlated with well-being and positively correlated with psychological inflexibility (</w:t>
      </w:r>
      <w:r w:rsidRPr="00D9014F">
        <w:rPr>
          <w:i/>
          <w:iCs/>
          <w:color w:val="000000" w:themeColor="text1"/>
        </w:rPr>
        <w:t>p</w:t>
      </w:r>
      <w:r w:rsidRPr="00D9014F">
        <w:rPr>
          <w:color w:val="000000" w:themeColor="text1"/>
        </w:rPr>
        <w:t>s &lt; .001). Sexual orientation intrusive thoughts and OC symptoms were positively corelated (</w:t>
      </w:r>
      <w:r w:rsidRPr="00D9014F">
        <w:rPr>
          <w:i/>
          <w:iCs/>
          <w:color w:val="000000" w:themeColor="text1"/>
        </w:rPr>
        <w:t>p</w:t>
      </w:r>
      <w:r w:rsidRPr="00D9014F">
        <w:rPr>
          <w:color w:val="000000" w:themeColor="text1"/>
        </w:rPr>
        <w:t xml:space="preserve"> = .002). Dysfunctional beliefs </w:t>
      </w:r>
      <w:r w:rsidR="00D9014F">
        <w:rPr>
          <w:color w:val="000000" w:themeColor="text1"/>
        </w:rPr>
        <w:t>w</w:t>
      </w:r>
      <w:r w:rsidRPr="00D9014F">
        <w:rPr>
          <w:color w:val="000000" w:themeColor="text1"/>
        </w:rPr>
        <w:t xml:space="preserve">as positively correlated with sexual orientation intrusive thoughts </w:t>
      </w:r>
      <w:r>
        <w:t>(</w:t>
      </w:r>
      <w:r w:rsidRPr="00D54824">
        <w:rPr>
          <w:i/>
          <w:iCs/>
        </w:rPr>
        <w:t>p</w:t>
      </w:r>
      <w:r>
        <w:t xml:space="preserve"> &lt; .001) and OC symptoms (</w:t>
      </w:r>
      <w:r w:rsidRPr="00D54824">
        <w:rPr>
          <w:i/>
          <w:iCs/>
        </w:rPr>
        <w:t>p</w:t>
      </w:r>
      <w:r>
        <w:t xml:space="preserve"> &lt; .001). Well-being was negatively correlated with general psychological inflexibility (</w:t>
      </w:r>
      <w:r w:rsidRPr="00D54824">
        <w:rPr>
          <w:i/>
          <w:iCs/>
        </w:rPr>
        <w:t>p</w:t>
      </w:r>
      <w:r>
        <w:t xml:space="preserve"> &lt; .001).</w:t>
      </w:r>
    </w:p>
    <w:p w14:paraId="3710857C" w14:textId="77777777" w:rsidR="003219B1" w:rsidRDefault="003219B1" w:rsidP="00FA10B8">
      <w:pPr>
        <w:spacing w:line="480" w:lineRule="auto"/>
        <w:rPr>
          <w:b/>
          <w:bCs/>
        </w:rPr>
      </w:pPr>
      <w:r>
        <w:rPr>
          <w:b/>
          <w:bCs/>
        </w:rPr>
        <w:t>Regression and m</w:t>
      </w:r>
      <w:r w:rsidRPr="00F56640">
        <w:rPr>
          <w:b/>
          <w:bCs/>
        </w:rPr>
        <w:t>ediation analyses</w:t>
      </w:r>
    </w:p>
    <w:p w14:paraId="0FDDB420" w14:textId="2DC4F565" w:rsidR="003219B1" w:rsidRDefault="003219B1" w:rsidP="00FA10B8">
      <w:pPr>
        <w:spacing w:line="480" w:lineRule="auto"/>
        <w:ind w:firstLine="720"/>
        <w:rPr>
          <w:b/>
          <w:bCs/>
        </w:rPr>
      </w:pPr>
      <w:r w:rsidRPr="00D16076">
        <w:rPr>
          <w:b/>
          <w:bCs/>
        </w:rPr>
        <w:t>Sexual orientation intrusive thoughts.</w:t>
      </w:r>
      <w:r w:rsidRPr="00D16076">
        <w:t xml:space="preserve"> Simple linear regression was used to predict well-being </w:t>
      </w:r>
      <w:r>
        <w:t xml:space="preserve">(MHC-SF) </w:t>
      </w:r>
      <w:r w:rsidRPr="00D16076">
        <w:t xml:space="preserve">based on </w:t>
      </w:r>
      <w:r>
        <w:t>sexual orientation intrusive thoughts (SORT)</w:t>
      </w:r>
      <w:r w:rsidRPr="00D16076">
        <w:t xml:space="preserve">. A significant </w:t>
      </w:r>
      <w:r w:rsidRPr="00D16076">
        <w:lastRenderedPageBreak/>
        <w:t>effect was found (</w:t>
      </w:r>
      <w:r w:rsidRPr="00D54824">
        <w:rPr>
          <w:i/>
          <w:iCs/>
        </w:rPr>
        <w:t>F</w:t>
      </w:r>
      <w:r w:rsidRPr="00D16076">
        <w:t>(1,169) = 11.</w:t>
      </w:r>
      <w:r>
        <w:t>25</w:t>
      </w:r>
      <w:r w:rsidRPr="00D16076">
        <w:t xml:space="preserve">, </w:t>
      </w:r>
      <w:r w:rsidRPr="00D54824">
        <w:rPr>
          <w:i/>
          <w:iCs/>
        </w:rPr>
        <w:t>p</w:t>
      </w:r>
      <w:r w:rsidRPr="00D16076">
        <w:t xml:space="preserve"> </w:t>
      </w:r>
      <w:r>
        <w:t>= .001</w:t>
      </w:r>
      <w:r w:rsidRPr="00D16076">
        <w:t xml:space="preserve">. </w:t>
      </w:r>
      <w:r w:rsidRPr="00D54824">
        <w:rPr>
          <w:i/>
          <w:iCs/>
        </w:rPr>
        <w:t>R</w:t>
      </w:r>
      <w:r w:rsidRPr="00D54824">
        <w:rPr>
          <w:i/>
          <w:iCs/>
          <w:vertAlign w:val="superscript"/>
        </w:rPr>
        <w:t>2</w:t>
      </w:r>
      <w:r w:rsidRPr="00D16076">
        <w:t xml:space="preserve"> = 0.05</w:t>
      </w:r>
      <w:r>
        <w:t>6</w:t>
      </w:r>
      <w:r w:rsidRPr="00D16076">
        <w:t>). For every 1 unit increase in S</w:t>
      </w:r>
      <w:r>
        <w:t>ORT</w:t>
      </w:r>
      <w:r w:rsidRPr="00D16076">
        <w:t xml:space="preserve">, there is a </w:t>
      </w:r>
      <w:r w:rsidR="001E4AE0">
        <w:t>0</w:t>
      </w:r>
      <w:r w:rsidRPr="00D16076">
        <w:t>.0</w:t>
      </w:r>
      <w:r>
        <w:t>6</w:t>
      </w:r>
      <w:r w:rsidRPr="00D16076">
        <w:t xml:space="preserve"> decrease in well-being. </w:t>
      </w:r>
    </w:p>
    <w:p w14:paraId="4753ED71" w14:textId="5E0A016C" w:rsidR="003219B1" w:rsidRDefault="003219B1" w:rsidP="00FA10B8">
      <w:pPr>
        <w:spacing w:line="480" w:lineRule="auto"/>
        <w:ind w:firstLine="720"/>
      </w:pPr>
      <w:r>
        <w:t xml:space="preserve">Psychological inflexibility (AAQ-II) was tested as a potential mediator between SORT and MHC-SF. The </w:t>
      </w:r>
      <w:r w:rsidRPr="00294E2F">
        <w:t xml:space="preserve">relationship between </w:t>
      </w:r>
      <w:r>
        <w:t>SORT and MHC-SF</w:t>
      </w:r>
      <w:r w:rsidRPr="00294E2F">
        <w:t xml:space="preserve"> was mediated by psychological inflexibility</w:t>
      </w:r>
      <w:r>
        <w:t xml:space="preserve"> (see Figure 1)</w:t>
      </w:r>
      <w:r w:rsidRPr="00294E2F">
        <w:t>. The standardized regression coefficients between S</w:t>
      </w:r>
      <w:r>
        <w:t>ORT</w:t>
      </w:r>
      <w:r w:rsidRPr="00294E2F">
        <w:t xml:space="preserve"> and </w:t>
      </w:r>
      <w:r>
        <w:t>AAQ-II</w:t>
      </w:r>
      <w:r w:rsidRPr="00294E2F">
        <w:t xml:space="preserve"> and then </w:t>
      </w:r>
      <w:r>
        <w:t xml:space="preserve">AAQ-II </w:t>
      </w:r>
      <w:r w:rsidRPr="00294E2F">
        <w:t xml:space="preserve">and </w:t>
      </w:r>
      <w:r>
        <w:t>MHC-SF</w:t>
      </w:r>
      <w:r w:rsidRPr="00294E2F">
        <w:t xml:space="preserve"> were significant</w:t>
      </w:r>
      <w:r>
        <w:t xml:space="preserve"> (</w:t>
      </w:r>
      <w:r w:rsidRPr="00D54824">
        <w:rPr>
          <w:i/>
          <w:iCs/>
        </w:rPr>
        <w:t>p</w:t>
      </w:r>
      <w:r w:rsidR="00D54824">
        <w:t xml:space="preserve"> </w:t>
      </w:r>
      <w:r>
        <w:t>&lt;</w:t>
      </w:r>
      <w:r w:rsidR="00D54824">
        <w:t xml:space="preserve"> </w:t>
      </w:r>
      <w:r>
        <w:t>.001)</w:t>
      </w:r>
      <w:r w:rsidRPr="00294E2F">
        <w:t>. The coefficient between S</w:t>
      </w:r>
      <w:r>
        <w:t>ORT</w:t>
      </w:r>
      <w:r w:rsidRPr="00294E2F">
        <w:t xml:space="preserve"> and </w:t>
      </w:r>
      <w:r>
        <w:t>MHC-SF (i.e., the “direct effect”)</w:t>
      </w:r>
      <w:r w:rsidRPr="00294E2F">
        <w:t xml:space="preserve"> was not significant. The standardized indirect effect was tested using boots</w:t>
      </w:r>
      <w:r>
        <w:t>t</w:t>
      </w:r>
      <w:r w:rsidRPr="00294E2F">
        <w:t>rapping. The bootstrapped standardized indirect effect was -</w:t>
      </w:r>
      <w:r>
        <w:t>0</w:t>
      </w:r>
      <w:r w:rsidRPr="00294E2F">
        <w:t>.</w:t>
      </w:r>
      <w:r>
        <w:t>035</w:t>
      </w:r>
      <w:r w:rsidRPr="00294E2F">
        <w:t xml:space="preserve">, </w:t>
      </w:r>
      <w:r w:rsidRPr="00351CA7">
        <w:rPr>
          <w:i/>
          <w:iCs/>
        </w:rPr>
        <w:t>p</w:t>
      </w:r>
      <w:r w:rsidRPr="00294E2F">
        <w:t xml:space="preserve"> = .00</w:t>
      </w:r>
      <w:r>
        <w:t>1, suggesting that for a 1 unit increase in SORT, there is a 0.035 standard deviation decrease in MHC-SF through the AAQ-II mediator</w:t>
      </w:r>
      <w:r w:rsidRPr="00294E2F">
        <w:t xml:space="preserve">. </w:t>
      </w:r>
    </w:p>
    <w:p w14:paraId="79C8DC44" w14:textId="55F5EAA9" w:rsidR="003219B1" w:rsidRDefault="003219B1" w:rsidP="00EA7F55">
      <w:pPr>
        <w:spacing w:line="480" w:lineRule="auto"/>
        <w:ind w:firstLine="720"/>
      </w:pPr>
      <w:r>
        <w:t>Next, cognitive distortion</w:t>
      </w:r>
      <w:r w:rsidR="00D9014F">
        <w:t xml:space="preserve"> (OBQ</w:t>
      </w:r>
      <w:r w:rsidR="003D045A">
        <w:t>)</w:t>
      </w:r>
      <w:r>
        <w:t xml:space="preserve"> was tested as a potential mediator between SORT and MHC-SF. The </w:t>
      </w:r>
      <w:r w:rsidRPr="00294E2F">
        <w:t xml:space="preserve">relationship between </w:t>
      </w:r>
      <w:r>
        <w:t>SORT and MHC-SF</w:t>
      </w:r>
      <w:r w:rsidRPr="00294E2F">
        <w:t xml:space="preserve"> was</w:t>
      </w:r>
      <w:r>
        <w:t xml:space="preserve"> not</w:t>
      </w:r>
      <w:r w:rsidRPr="00294E2F">
        <w:t xml:space="preserve"> mediated by </w:t>
      </w:r>
      <w:r>
        <w:t>cognitive distortion (see Figure 2)</w:t>
      </w:r>
      <w:r w:rsidRPr="00294E2F">
        <w:t>. The standardized regression coefficient</w:t>
      </w:r>
      <w:r>
        <w:t xml:space="preserve"> </w:t>
      </w:r>
      <w:r w:rsidRPr="00294E2F">
        <w:t>between S</w:t>
      </w:r>
      <w:r>
        <w:t>ORT</w:t>
      </w:r>
      <w:r w:rsidRPr="00294E2F">
        <w:t xml:space="preserve"> and</w:t>
      </w:r>
      <w:r>
        <w:t xml:space="preserve"> OBQ</w:t>
      </w:r>
      <w:r w:rsidRPr="00294E2F">
        <w:t xml:space="preserve"> w</w:t>
      </w:r>
      <w:r>
        <w:t>as</w:t>
      </w:r>
      <w:r w:rsidRPr="00294E2F">
        <w:t xml:space="preserve"> significant</w:t>
      </w:r>
      <w:r>
        <w:t xml:space="preserve"> (</w:t>
      </w:r>
      <w:r w:rsidRPr="00F7146A">
        <w:rPr>
          <w:i/>
          <w:iCs/>
        </w:rPr>
        <w:t>p</w:t>
      </w:r>
      <w:r w:rsidR="00F7146A">
        <w:t xml:space="preserve"> </w:t>
      </w:r>
      <w:r>
        <w:t>&lt;</w:t>
      </w:r>
      <w:r w:rsidR="00F7146A">
        <w:t xml:space="preserve"> </w:t>
      </w:r>
      <w:r>
        <w:t>.001)</w:t>
      </w:r>
      <w:r w:rsidRPr="00294E2F">
        <w:t>. The coefficient between S</w:t>
      </w:r>
      <w:r>
        <w:t>ORT</w:t>
      </w:r>
      <w:r w:rsidRPr="00294E2F">
        <w:t xml:space="preserve"> and </w:t>
      </w:r>
      <w:r>
        <w:t>MHC-SF (i.e., the “direct effect”)</w:t>
      </w:r>
      <w:r w:rsidRPr="00294E2F">
        <w:t xml:space="preserve"> </w:t>
      </w:r>
      <w:r>
        <w:t xml:space="preserve">and the coefficient between OBQ and MHC-SF </w:t>
      </w:r>
      <w:r w:rsidRPr="00294E2F">
        <w:t>w</w:t>
      </w:r>
      <w:r>
        <w:t>ere</w:t>
      </w:r>
      <w:r w:rsidRPr="00294E2F">
        <w:t xml:space="preserve"> not significant. The standardized indirect effect was tested using boots</w:t>
      </w:r>
      <w:r>
        <w:t>t</w:t>
      </w:r>
      <w:r w:rsidRPr="00294E2F">
        <w:t>rapping. The bootstrapped standardized indirect effect was -</w:t>
      </w:r>
      <w:r>
        <w:t>0</w:t>
      </w:r>
      <w:r w:rsidRPr="00294E2F">
        <w:t>.</w:t>
      </w:r>
      <w:r>
        <w:t>012</w:t>
      </w:r>
      <w:r w:rsidRPr="00294E2F">
        <w:t xml:space="preserve">, </w:t>
      </w:r>
      <w:r w:rsidRPr="00351CA7">
        <w:rPr>
          <w:i/>
          <w:iCs/>
        </w:rPr>
        <w:t>p</w:t>
      </w:r>
      <w:r w:rsidRPr="00294E2F">
        <w:t xml:space="preserve"> = .</w:t>
      </w:r>
      <w:r>
        <w:t>1</w:t>
      </w:r>
      <w:r w:rsidRPr="00294E2F">
        <w:t>0</w:t>
      </w:r>
      <w:r>
        <w:t>1, suggesting the OBQ is not a mediator between SORT and MHC-SF</w:t>
      </w:r>
      <w:r w:rsidRPr="00294E2F">
        <w:t xml:space="preserve">. </w:t>
      </w:r>
    </w:p>
    <w:p w14:paraId="29B72333" w14:textId="7806FB6E" w:rsidR="003219B1" w:rsidRDefault="003219B1" w:rsidP="00FA10B8">
      <w:pPr>
        <w:spacing w:line="480" w:lineRule="auto"/>
        <w:ind w:firstLine="720"/>
        <w:rPr>
          <w:b/>
          <w:bCs/>
        </w:rPr>
      </w:pPr>
      <w:r w:rsidRPr="00D16076">
        <w:rPr>
          <w:b/>
          <w:bCs/>
        </w:rPr>
        <w:t>Obsessive compulsive disorder symptoms.</w:t>
      </w:r>
      <w:r w:rsidRPr="00D16076">
        <w:t xml:space="preserve"> Simple linear regression was used to predict well-being </w:t>
      </w:r>
      <w:r>
        <w:t xml:space="preserve">(MHC-SF) </w:t>
      </w:r>
      <w:r w:rsidRPr="00D16076">
        <w:t xml:space="preserve">based on </w:t>
      </w:r>
      <w:r w:rsidR="006F6738">
        <w:t xml:space="preserve">general </w:t>
      </w:r>
      <w:r w:rsidRPr="00D16076">
        <w:t>OC symptoms</w:t>
      </w:r>
      <w:r>
        <w:t xml:space="preserve"> (</w:t>
      </w:r>
      <w:r w:rsidR="006F6738">
        <w:t xml:space="preserve">total </w:t>
      </w:r>
      <w:r>
        <w:t>DOCS</w:t>
      </w:r>
      <w:r w:rsidR="006F6738">
        <w:t xml:space="preserve"> score</w:t>
      </w:r>
      <w:r>
        <w:t>)</w:t>
      </w:r>
      <w:r w:rsidRPr="00D16076">
        <w:t>. A significant effect was found (</w:t>
      </w:r>
      <w:r w:rsidRPr="00351CA7">
        <w:rPr>
          <w:i/>
          <w:iCs/>
        </w:rPr>
        <w:t>F</w:t>
      </w:r>
      <w:r w:rsidRPr="00D16076">
        <w:t>(1,168) = 7.</w:t>
      </w:r>
      <w:r>
        <w:t>51</w:t>
      </w:r>
      <w:r w:rsidRPr="00D16076">
        <w:t xml:space="preserve">, </w:t>
      </w:r>
      <w:r w:rsidRPr="00351CA7">
        <w:rPr>
          <w:i/>
          <w:iCs/>
        </w:rPr>
        <w:t>p</w:t>
      </w:r>
      <w:r w:rsidRPr="00D16076">
        <w:t xml:space="preserve"> = .00</w:t>
      </w:r>
      <w:r>
        <w:t>7</w:t>
      </w:r>
      <w:r w:rsidRPr="00D16076">
        <w:t xml:space="preserve">. </w:t>
      </w:r>
      <w:r w:rsidRPr="00351CA7">
        <w:rPr>
          <w:i/>
          <w:iCs/>
        </w:rPr>
        <w:t>R</w:t>
      </w:r>
      <w:r w:rsidRPr="00351CA7">
        <w:rPr>
          <w:i/>
          <w:iCs/>
          <w:vertAlign w:val="superscript"/>
        </w:rPr>
        <w:t>2</w:t>
      </w:r>
      <w:r w:rsidRPr="00D16076">
        <w:t xml:space="preserve"> = 0.0</w:t>
      </w:r>
      <w:r>
        <w:t>37</w:t>
      </w:r>
      <w:r w:rsidRPr="00D16076">
        <w:t xml:space="preserve">). For every 1 unit increase in </w:t>
      </w:r>
      <w:r>
        <w:t>the DOCS</w:t>
      </w:r>
      <w:r w:rsidRPr="00D16076">
        <w:t xml:space="preserve">, there is a </w:t>
      </w:r>
      <w:r w:rsidR="001E4AE0">
        <w:t>0</w:t>
      </w:r>
      <w:r>
        <w:t>.02</w:t>
      </w:r>
      <w:r w:rsidRPr="00D16076">
        <w:t xml:space="preserve"> decrease in </w:t>
      </w:r>
      <w:r>
        <w:t>MHC-SF</w:t>
      </w:r>
      <w:r w:rsidRPr="00D16076">
        <w:t>.</w:t>
      </w:r>
    </w:p>
    <w:p w14:paraId="71CE3729" w14:textId="2414FC64" w:rsidR="003219B1" w:rsidRDefault="003219B1" w:rsidP="00FA10B8">
      <w:pPr>
        <w:spacing w:line="480" w:lineRule="auto"/>
        <w:ind w:firstLine="720"/>
      </w:pPr>
      <w:r>
        <w:t xml:space="preserve">Psychological inflexibility (AAQ-II) was then tested as a potential mediator between DOCS and MHC-SF. The </w:t>
      </w:r>
      <w:r w:rsidRPr="00294E2F">
        <w:t xml:space="preserve">relationship between </w:t>
      </w:r>
      <w:r>
        <w:t>DOCS and MHC-SF</w:t>
      </w:r>
      <w:r w:rsidRPr="00294E2F">
        <w:t xml:space="preserve"> was mediated by </w:t>
      </w:r>
      <w:r>
        <w:t>the AAQ-</w:t>
      </w:r>
      <w:r>
        <w:lastRenderedPageBreak/>
        <w:t>II (see Figure 3)</w:t>
      </w:r>
      <w:r w:rsidRPr="00294E2F">
        <w:t xml:space="preserve">. The standardized regression coefficients between </w:t>
      </w:r>
      <w:r>
        <w:t>DOCS</w:t>
      </w:r>
      <w:r w:rsidRPr="00294E2F">
        <w:t xml:space="preserve"> and </w:t>
      </w:r>
      <w:r>
        <w:t>AAQ-II</w:t>
      </w:r>
      <w:r w:rsidRPr="00294E2F">
        <w:t xml:space="preserve"> and then </w:t>
      </w:r>
      <w:r>
        <w:t xml:space="preserve">AAQ-II </w:t>
      </w:r>
      <w:r w:rsidRPr="00294E2F">
        <w:t xml:space="preserve">and </w:t>
      </w:r>
      <w:r>
        <w:t>MHC-SF</w:t>
      </w:r>
      <w:r w:rsidRPr="00294E2F">
        <w:t xml:space="preserve"> were significant</w:t>
      </w:r>
      <w:r>
        <w:t xml:space="preserve"> (</w:t>
      </w:r>
      <w:r w:rsidRPr="00351CA7">
        <w:rPr>
          <w:i/>
          <w:iCs/>
        </w:rPr>
        <w:t>p</w:t>
      </w:r>
      <w:r w:rsidR="00351CA7" w:rsidRPr="00351CA7">
        <w:rPr>
          <w:i/>
          <w:iCs/>
        </w:rPr>
        <w:t xml:space="preserve"> </w:t>
      </w:r>
      <w:r>
        <w:t>&lt;.001)</w:t>
      </w:r>
      <w:r w:rsidRPr="00294E2F">
        <w:t xml:space="preserve">. The coefficient between </w:t>
      </w:r>
      <w:r>
        <w:t>DOCS</w:t>
      </w:r>
      <w:r w:rsidRPr="00294E2F">
        <w:t xml:space="preserve"> and </w:t>
      </w:r>
      <w:r>
        <w:t>MHC-SF (i.e., the “direct effect”)</w:t>
      </w:r>
      <w:r w:rsidRPr="00294E2F">
        <w:t xml:space="preserve"> was not significant</w:t>
      </w:r>
      <w:r>
        <w:t xml:space="preserve"> (</w:t>
      </w:r>
      <w:r w:rsidRPr="00351CA7">
        <w:rPr>
          <w:i/>
          <w:iCs/>
        </w:rPr>
        <w:t>p</w:t>
      </w:r>
      <w:r w:rsidR="00351CA7">
        <w:t xml:space="preserve"> </w:t>
      </w:r>
      <w:r>
        <w:t>=</w:t>
      </w:r>
      <w:r w:rsidR="00351CA7">
        <w:t xml:space="preserve"> </w:t>
      </w:r>
      <w:r>
        <w:t>.45)</w:t>
      </w:r>
      <w:r w:rsidRPr="00294E2F">
        <w:t>. The standardized indirect effect was tested using boots</w:t>
      </w:r>
      <w:r>
        <w:t>t</w:t>
      </w:r>
      <w:r w:rsidRPr="00294E2F">
        <w:t>rapping. The bootstrapped standardized indirect effect was -</w:t>
      </w:r>
      <w:r>
        <w:t>0</w:t>
      </w:r>
      <w:r w:rsidRPr="00294E2F">
        <w:t>.</w:t>
      </w:r>
      <w:r>
        <w:t>026</w:t>
      </w:r>
      <w:r w:rsidRPr="00294E2F">
        <w:t xml:space="preserve">, </w:t>
      </w:r>
      <w:r w:rsidRPr="00D47A8E">
        <w:rPr>
          <w:i/>
          <w:iCs/>
        </w:rPr>
        <w:t>p</w:t>
      </w:r>
      <w:r w:rsidRPr="00294E2F">
        <w:t xml:space="preserve"> </w:t>
      </w:r>
      <w:r>
        <w:t>&lt; .001 suggesting that for a 1 unit increase in DOCS, there is a 0.026 standard deviation decrease in MHC-SF through the AAQ-II mediator</w:t>
      </w:r>
      <w:r w:rsidRPr="00294E2F">
        <w:t xml:space="preserve">. </w:t>
      </w:r>
    </w:p>
    <w:p w14:paraId="0F2725B8" w14:textId="7AF255EB" w:rsidR="003219B1" w:rsidRDefault="003219B1" w:rsidP="00807E1C">
      <w:pPr>
        <w:spacing w:line="480" w:lineRule="auto"/>
        <w:ind w:firstLine="720"/>
      </w:pPr>
      <w:r>
        <w:t>Next, cognitive distortion</w:t>
      </w:r>
      <w:r w:rsidR="00F66606">
        <w:t xml:space="preserve"> (OBQ)</w:t>
      </w:r>
      <w:r>
        <w:t xml:space="preserve"> was tested as a potential mediator between DOCS and MHC-SF. The </w:t>
      </w:r>
      <w:r w:rsidRPr="00294E2F">
        <w:t xml:space="preserve">relationship between </w:t>
      </w:r>
      <w:r>
        <w:t>DOCS and MHC-SF</w:t>
      </w:r>
      <w:r w:rsidRPr="00294E2F">
        <w:t xml:space="preserve"> was</w:t>
      </w:r>
      <w:r>
        <w:t xml:space="preserve"> not</w:t>
      </w:r>
      <w:r w:rsidRPr="00294E2F">
        <w:t xml:space="preserve"> mediated by </w:t>
      </w:r>
      <w:r w:rsidR="002C5D27">
        <w:t xml:space="preserve">the OBQ </w:t>
      </w:r>
      <w:r>
        <w:t>(see Figure 4)</w:t>
      </w:r>
      <w:r w:rsidRPr="00294E2F">
        <w:t>. The standardized regression coefficient</w:t>
      </w:r>
      <w:r>
        <w:t xml:space="preserve"> </w:t>
      </w:r>
      <w:r w:rsidRPr="00294E2F">
        <w:t>between S</w:t>
      </w:r>
      <w:r>
        <w:t>ORT</w:t>
      </w:r>
      <w:r w:rsidRPr="00294E2F">
        <w:t xml:space="preserve"> and</w:t>
      </w:r>
      <w:r>
        <w:t xml:space="preserve"> OBQ</w:t>
      </w:r>
      <w:r w:rsidRPr="00294E2F">
        <w:t xml:space="preserve"> w</w:t>
      </w:r>
      <w:r>
        <w:t>as</w:t>
      </w:r>
      <w:r w:rsidRPr="00294E2F">
        <w:t xml:space="preserve"> significant</w:t>
      </w:r>
      <w:r>
        <w:t xml:space="preserve"> (</w:t>
      </w:r>
      <w:r w:rsidRPr="00D47A8E">
        <w:rPr>
          <w:i/>
          <w:iCs/>
        </w:rPr>
        <w:t>p</w:t>
      </w:r>
      <w:r w:rsidR="00D47A8E">
        <w:t xml:space="preserve"> </w:t>
      </w:r>
      <w:r>
        <w:t>&lt;</w:t>
      </w:r>
      <w:r w:rsidR="00D47A8E">
        <w:t xml:space="preserve"> </w:t>
      </w:r>
      <w:r>
        <w:t>.001)</w:t>
      </w:r>
      <w:r w:rsidRPr="00294E2F">
        <w:t>. The coefficient between S</w:t>
      </w:r>
      <w:r>
        <w:t>ORT</w:t>
      </w:r>
      <w:r w:rsidRPr="00294E2F">
        <w:t xml:space="preserve"> and </w:t>
      </w:r>
      <w:r>
        <w:t>MHC-SF (i.e., the “direct effect”)</w:t>
      </w:r>
      <w:r w:rsidRPr="00294E2F">
        <w:t xml:space="preserve"> </w:t>
      </w:r>
      <w:r>
        <w:t xml:space="preserve">and the coefficient between OBQ and MHC-SF </w:t>
      </w:r>
      <w:r w:rsidRPr="00294E2F">
        <w:t>w</w:t>
      </w:r>
      <w:r>
        <w:t>ere</w:t>
      </w:r>
      <w:r w:rsidRPr="00294E2F">
        <w:t xml:space="preserve"> not significant. The standardized indirect effect was tested using boots</w:t>
      </w:r>
      <w:r>
        <w:t>t</w:t>
      </w:r>
      <w:r w:rsidRPr="00294E2F">
        <w:t>rapping. The bootstrapped standardized indirect effect was -</w:t>
      </w:r>
      <w:r>
        <w:t>0</w:t>
      </w:r>
      <w:r w:rsidRPr="00294E2F">
        <w:t>.</w:t>
      </w:r>
      <w:r>
        <w:t>007</w:t>
      </w:r>
      <w:r w:rsidRPr="00294E2F">
        <w:t xml:space="preserve">, </w:t>
      </w:r>
      <w:r w:rsidRPr="00D47A8E">
        <w:rPr>
          <w:i/>
          <w:iCs/>
        </w:rPr>
        <w:t>p</w:t>
      </w:r>
      <w:r w:rsidRPr="00294E2F">
        <w:t xml:space="preserve"> = .</w:t>
      </w:r>
      <w:r>
        <w:t>07, suggesting the OBQ is not a mediator between DOCS and MHC-SF</w:t>
      </w:r>
      <w:r w:rsidRPr="00294E2F">
        <w:t>.</w:t>
      </w:r>
    </w:p>
    <w:p w14:paraId="6BDEC734" w14:textId="77777777" w:rsidR="003219B1" w:rsidRDefault="003219B1" w:rsidP="00FA10B8">
      <w:pPr>
        <w:spacing w:line="480" w:lineRule="auto"/>
        <w:jc w:val="center"/>
        <w:rPr>
          <w:b/>
          <w:bCs/>
        </w:rPr>
      </w:pPr>
      <w:r w:rsidRPr="004F168A">
        <w:rPr>
          <w:b/>
          <w:bCs/>
        </w:rPr>
        <w:t>Discussion</w:t>
      </w:r>
    </w:p>
    <w:p w14:paraId="5C8CFB0B" w14:textId="0AD71336" w:rsidR="003219B1" w:rsidRDefault="003219B1" w:rsidP="00D11786">
      <w:pPr>
        <w:spacing w:line="480" w:lineRule="auto"/>
        <w:ind w:firstLine="360"/>
      </w:pPr>
      <w:r>
        <w:t>T</w:t>
      </w:r>
      <w:r w:rsidRPr="00372EA6">
        <w:t xml:space="preserve">his study aimed to </w:t>
      </w:r>
      <w:r>
        <w:t>explore well-being</w:t>
      </w:r>
      <w:r w:rsidRPr="00372EA6">
        <w:t xml:space="preserve"> and the role of psychological </w:t>
      </w:r>
      <w:r w:rsidR="008750C1">
        <w:t>in</w:t>
      </w:r>
      <w:r w:rsidRPr="00372EA6">
        <w:t xml:space="preserve">flexibility </w:t>
      </w:r>
      <w:r>
        <w:t xml:space="preserve">and dysfunctional beliefs </w:t>
      </w:r>
      <w:r w:rsidRPr="00372EA6">
        <w:t xml:space="preserve">within </w:t>
      </w:r>
      <w:r>
        <w:t>sexual orientation</w:t>
      </w:r>
      <w:r w:rsidRPr="00372EA6">
        <w:t xml:space="preserve"> intrusive thoughts </w:t>
      </w:r>
      <w:r>
        <w:t xml:space="preserve">and general </w:t>
      </w:r>
      <w:r w:rsidRPr="00372EA6">
        <w:t>obsessive-compulsive</w:t>
      </w:r>
      <w:r w:rsidR="00C06439">
        <w:t xml:space="preserve"> (OC)</w:t>
      </w:r>
      <w:r w:rsidRPr="00372EA6">
        <w:t xml:space="preserve"> symptoms</w:t>
      </w:r>
      <w:r>
        <w:t xml:space="preserve">. We found small to moderate correlations between all variables (well-being, sexual orientation intrusions, OC symptoms, psychological inflexibility, and dysfunctional beliefs) in the expected directions. More specifically, we observed negative correlations between well-being and sexual orientation intrusive thoughts, as well as with OC symptoms. Similarly, linear regression analyses indicated that sexual orientation intrusive thoughts and OC symptoms each significantly predict well-being. These findings are consistent with prior research </w:t>
      </w:r>
      <w:r w:rsidR="000D7689">
        <w:t xml:space="preserve">that supports </w:t>
      </w:r>
      <w:r>
        <w:t>negative relationship</w:t>
      </w:r>
      <w:r w:rsidR="00C7577B">
        <w:t xml:space="preserve">s </w:t>
      </w:r>
      <w:r w:rsidR="00692B13">
        <w:t xml:space="preserve">of </w:t>
      </w:r>
      <w:r w:rsidR="00C7577B">
        <w:t xml:space="preserve">well-being </w:t>
      </w:r>
      <w:r w:rsidR="00692B13">
        <w:t>with</w:t>
      </w:r>
      <w:r w:rsidR="00C7577B">
        <w:t xml:space="preserve"> </w:t>
      </w:r>
      <w:r>
        <w:t xml:space="preserve">sexual orientation </w:t>
      </w:r>
      <w:r>
        <w:lastRenderedPageBreak/>
        <w:t xml:space="preserve">intrusive thoughts and OCD symptoms </w:t>
      </w:r>
      <w:r>
        <w:rPr>
          <w:noProof/>
        </w:rPr>
        <w:t>(Asnaani et al., 2017; Williams et al., 2015)</w:t>
      </w:r>
      <w:r>
        <w:t xml:space="preserve">. Additionally, sexual orientation intrusive thoughts, OC symptoms, psychological inflexibility, and dysfunctional beliefs were </w:t>
      </w:r>
      <w:r w:rsidR="00DB2EC6">
        <w:t xml:space="preserve">all </w:t>
      </w:r>
      <w:r>
        <w:t xml:space="preserve">positively correlated. Similarly, these findings are supported by several studies, as documented in a large meta-analysis </w:t>
      </w:r>
      <w:r w:rsidR="008750C1">
        <w:t>reporting a positive</w:t>
      </w:r>
      <w:r>
        <w:t xml:space="preserve"> relationship between OC symptoms and psychological inflexibility </w:t>
      </w:r>
      <w:r>
        <w:rPr>
          <w:noProof/>
        </w:rPr>
        <w:t>(Bluett et al., 2014)</w:t>
      </w:r>
      <w:r w:rsidR="00831B0E">
        <w:t>, along with</w:t>
      </w:r>
      <w:r>
        <w:t xml:space="preserve"> aforementioned research documenting the relationship between dysfunctional beliefs and quality of life </w:t>
      </w:r>
      <w:r>
        <w:rPr>
          <w:noProof/>
        </w:rPr>
        <w:t>(e.g., Barahmand et al., 2014)</w:t>
      </w:r>
      <w:r>
        <w:t>. Broadly speaking, t</w:t>
      </w:r>
      <w:r w:rsidRPr="00CB2922">
        <w:t>h</w:t>
      </w:r>
      <w:r>
        <w:t xml:space="preserve">ese results </w:t>
      </w:r>
      <w:r w:rsidRPr="00CB2922">
        <w:t xml:space="preserve">may be beneficial for clinicians to consider when working with heterosexual clients struggling with sexual </w:t>
      </w:r>
      <w:r>
        <w:t xml:space="preserve">orientation </w:t>
      </w:r>
      <w:r w:rsidRPr="00CB2922">
        <w:t>intrusive thoughts</w:t>
      </w:r>
      <w:r>
        <w:t>, as there may be impairments in well-being and functioning.</w:t>
      </w:r>
    </w:p>
    <w:p w14:paraId="2787B73B" w14:textId="482DB46E" w:rsidR="003219B1" w:rsidRPr="00F90824" w:rsidRDefault="003219B1" w:rsidP="00A82BD5">
      <w:pPr>
        <w:spacing w:line="480" w:lineRule="auto"/>
        <w:ind w:firstLine="360"/>
      </w:pPr>
      <w:r>
        <w:t>We also found</w:t>
      </w:r>
      <w:r w:rsidRPr="00DE1E1C">
        <w:t xml:space="preserve"> that psychological inflexibility mediate</w:t>
      </w:r>
      <w:r>
        <w:t>d</w:t>
      </w:r>
      <w:r w:rsidRPr="00DE1E1C">
        <w:t xml:space="preserve"> the relationship between sexual</w:t>
      </w:r>
      <w:r>
        <w:t xml:space="preserve"> orientation</w:t>
      </w:r>
      <w:r w:rsidRPr="00DE1E1C">
        <w:t xml:space="preserve"> intrusive thoughts and </w:t>
      </w:r>
      <w:r>
        <w:t>well-being</w:t>
      </w:r>
      <w:r w:rsidRPr="00DE1E1C">
        <w:t>. Thus, higher psychological inflexibility may be part of the pathway through which sexual</w:t>
      </w:r>
      <w:r>
        <w:t xml:space="preserve"> orientation</w:t>
      </w:r>
      <w:r w:rsidRPr="00DE1E1C">
        <w:t xml:space="preserve"> intrusive thoughts</w:t>
      </w:r>
      <w:r>
        <w:t xml:space="preserve"> </w:t>
      </w:r>
      <w:r w:rsidRPr="00DE1E1C">
        <w:t xml:space="preserve">affect </w:t>
      </w:r>
      <w:r w:rsidR="00831B0E">
        <w:t>well-being</w:t>
      </w:r>
      <w:r w:rsidRPr="00DE1E1C">
        <w:t xml:space="preserve">. </w:t>
      </w:r>
      <w:r>
        <w:t xml:space="preserve">We did not find dysfunctional beliefs </w:t>
      </w:r>
      <w:r w:rsidR="00B15E37">
        <w:t>as a</w:t>
      </w:r>
      <w:r>
        <w:t xml:space="preserve"> significant mediator between sexual orientation intrusive thoughts and well-being. </w:t>
      </w:r>
      <w:r w:rsidR="00430FD6">
        <w:t>While psychological inflexibility has not b</w:t>
      </w:r>
      <w:r w:rsidR="001103FA">
        <w:t>e</w:t>
      </w:r>
      <w:r w:rsidR="00430FD6">
        <w:t>e</w:t>
      </w:r>
      <w:r w:rsidR="001103FA">
        <w:t>n</w:t>
      </w:r>
      <w:r w:rsidR="00430FD6">
        <w:t xml:space="preserve"> previously explored as a mediator </w:t>
      </w:r>
      <w:r w:rsidR="00B07003">
        <w:t xml:space="preserve">between </w:t>
      </w:r>
      <w:r w:rsidR="00430FD6">
        <w:t>OC symptoms</w:t>
      </w:r>
      <w:r w:rsidR="00B07003">
        <w:t xml:space="preserve"> and well-being</w:t>
      </w:r>
      <w:r w:rsidR="00430FD6">
        <w:t>,</w:t>
      </w:r>
      <w:r>
        <w:t xml:space="preserve"> these findings </w:t>
      </w:r>
      <w:r w:rsidR="00F521BC">
        <w:t>are</w:t>
      </w:r>
      <w:r>
        <w:t xml:space="preserve"> </w:t>
      </w:r>
      <w:r w:rsidR="009717AC">
        <w:t xml:space="preserve">somewhat </w:t>
      </w:r>
      <w:r>
        <w:t xml:space="preserve">consistent with past research </w:t>
      </w:r>
      <w:r w:rsidR="009717AC">
        <w:t>generally exploring</w:t>
      </w:r>
      <w:r w:rsidR="00B1228A">
        <w:t xml:space="preserve"> </w:t>
      </w:r>
      <w:r>
        <w:t xml:space="preserve">psychological inflexibility and obsessive beliefs. For example, psychological inflexibility and related constructs (e.g., experiential avoidance, cognitive fusion) were found as stronger predictors of unacceptable thoughts than obsessive beliefs </w:t>
      </w:r>
      <w:r>
        <w:rPr>
          <w:noProof/>
        </w:rPr>
        <w:t>(Reuman et al., 2018; Reuman et al., 2016)</w:t>
      </w:r>
      <w:r>
        <w:t>. While our study is examining these constructs as mediators between sexual orientation intrusive thoughts</w:t>
      </w:r>
      <w:r w:rsidR="0053231A">
        <w:t xml:space="preserve"> </w:t>
      </w:r>
      <w:r>
        <w:t>and well-being</w:t>
      </w:r>
      <w:r w:rsidR="004B321F">
        <w:t xml:space="preserve"> rather than predictors of unacceptable thoughts</w:t>
      </w:r>
      <w:r>
        <w:t>, our findings</w:t>
      </w:r>
      <w:r w:rsidR="004B321F">
        <w:t xml:space="preserve"> may broadly</w:t>
      </w:r>
      <w:r>
        <w:t xml:space="preserve"> </w:t>
      </w:r>
      <w:r w:rsidR="00D555A4">
        <w:t>add to the growing research</w:t>
      </w:r>
      <w:r w:rsidR="00E34F4C">
        <w:t xml:space="preserve"> base</w:t>
      </w:r>
      <w:r w:rsidR="00D555A4">
        <w:t xml:space="preserve"> exploring</w:t>
      </w:r>
      <w:r>
        <w:t xml:space="preserve"> </w:t>
      </w:r>
      <w:r w:rsidR="00191364">
        <w:t xml:space="preserve">the potential importance of </w:t>
      </w:r>
      <w:r>
        <w:t xml:space="preserve">psychological inflexibility </w:t>
      </w:r>
      <w:r w:rsidR="00191364">
        <w:t>in</w:t>
      </w:r>
      <w:r w:rsidR="00A24EBC">
        <w:t xml:space="preserve"> </w:t>
      </w:r>
      <w:r>
        <w:t>OC taboo thoughts. However, after controlling for distress and obsessive beliefs in the aforementioned study, th</w:t>
      </w:r>
      <w:r w:rsidR="00B1228A">
        <w:t xml:space="preserve">ese elements of </w:t>
      </w:r>
      <w:r>
        <w:t xml:space="preserve">psychological </w:t>
      </w:r>
      <w:r>
        <w:lastRenderedPageBreak/>
        <w:t>inflexibility were no</w:t>
      </w:r>
      <w:r w:rsidR="000B1C6B">
        <w:t xml:space="preserve"> longer significant predictors </w:t>
      </w:r>
      <w:r>
        <w:rPr>
          <w:noProof/>
        </w:rPr>
        <w:t>(Reuman et al., 2018)</w:t>
      </w:r>
      <w:r>
        <w:t>.</w:t>
      </w:r>
      <w:r>
        <w:rPr>
          <w:b/>
          <w:bCs/>
        </w:rPr>
        <w:t xml:space="preserve"> </w:t>
      </w:r>
      <w:r>
        <w:t xml:space="preserve">Our models do not </w:t>
      </w:r>
      <w:r w:rsidR="00550293">
        <w:t>account for this distinction and</w:t>
      </w:r>
      <w:r>
        <w:t xml:space="preserve"> further research is needed to confirm and expand upon the understanding of psychological inflexibility’s role in sexual orientation intrusive thoughts specifically.</w:t>
      </w:r>
    </w:p>
    <w:p w14:paraId="1C8D0AEF" w14:textId="36052627" w:rsidR="003219B1" w:rsidRDefault="003219B1" w:rsidP="007535B3">
      <w:pPr>
        <w:spacing w:line="480" w:lineRule="auto"/>
        <w:ind w:firstLine="360"/>
      </w:pPr>
      <w:r>
        <w:t>R</w:t>
      </w:r>
      <w:r w:rsidRPr="0082112B">
        <w:t xml:space="preserve">esults of the same </w:t>
      </w:r>
      <w:r w:rsidR="0067085C">
        <w:t xml:space="preserve">mediational </w:t>
      </w:r>
      <w:r w:rsidRPr="0082112B">
        <w:t>analyses with a general measure of OC</w:t>
      </w:r>
      <w:r w:rsidR="00393541">
        <w:t xml:space="preserve"> symptoms</w:t>
      </w:r>
      <w:r w:rsidRPr="0082112B">
        <w:t xml:space="preserve"> (the DOCS)—instead of sexual orientation intrusive thoughts alone—were similar. </w:t>
      </w:r>
      <w:r w:rsidR="00244609">
        <w:t>P</w:t>
      </w:r>
      <w:r w:rsidRPr="0082112B">
        <w:t>sychological inflexibility was a significant mediator of the relationship between general OC symptoms and well-being. Dysfunctional beliefs w</w:t>
      </w:r>
      <w:r>
        <w:t>ere</w:t>
      </w:r>
      <w:r w:rsidRPr="0082112B">
        <w:t xml:space="preserve"> not a significant mediator between general OC symptoms and well-being. </w:t>
      </w:r>
      <w:r>
        <w:t xml:space="preserve">As previously discussed, these results fall in line with past research highlighting the importance of psychological inflexibility as a factor to consider alongside OC symptoms broadly </w:t>
      </w:r>
      <w:r>
        <w:rPr>
          <w:noProof/>
        </w:rPr>
        <w:t>(Reuman et al., 2018; Reuman et al., 2016)</w:t>
      </w:r>
      <w:r>
        <w:t xml:space="preserve">. Furthermore, in a prior study, an individual’s willingness to endure OC symptoms (e.g., unacceptable thoughts around sexuality) was a stronger predictor over distress tolerance in a non-clinical sample </w:t>
      </w:r>
      <w:r>
        <w:rPr>
          <w:noProof/>
        </w:rPr>
        <w:t>(Blakey et al., 2016)</w:t>
      </w:r>
      <w:r>
        <w:t xml:space="preserve">. While we did not measure distress tolerance in the present study, </w:t>
      </w:r>
      <w:r w:rsidR="00FD6132">
        <w:t xml:space="preserve">our </w:t>
      </w:r>
      <w:r>
        <w:t>findings</w:t>
      </w:r>
      <w:r w:rsidR="00FD6132">
        <w:t>, alongside the work of Blakey (2016)</w:t>
      </w:r>
      <w:r w:rsidR="006F79FC">
        <w:t xml:space="preserve"> and </w:t>
      </w:r>
      <w:r w:rsidR="002E5340">
        <w:t>Reuman and colleagues</w:t>
      </w:r>
      <w:r w:rsidR="00FD6132">
        <w:t xml:space="preserve"> (2018, 2016)</w:t>
      </w:r>
      <w:r w:rsidR="00CC2955">
        <w:t>,</w:t>
      </w:r>
      <w:r>
        <w:t xml:space="preserve"> collectively point towards </w:t>
      </w:r>
      <w:r w:rsidR="00AB1E56">
        <w:t xml:space="preserve">the need for more research on </w:t>
      </w:r>
      <w:r>
        <w:t xml:space="preserve">psychological </w:t>
      </w:r>
      <w:r w:rsidR="007037FB">
        <w:t>in</w:t>
      </w:r>
      <w:r>
        <w:t xml:space="preserve">flexibility </w:t>
      </w:r>
      <w:r w:rsidR="007037FB">
        <w:t>in</w:t>
      </w:r>
      <w:r>
        <w:t xml:space="preserve"> </w:t>
      </w:r>
      <w:r w:rsidR="00CC4B13">
        <w:t xml:space="preserve">specific </w:t>
      </w:r>
      <w:r>
        <w:t>theoretical model</w:t>
      </w:r>
      <w:r w:rsidR="007037FB">
        <w:t>s</w:t>
      </w:r>
      <w:r>
        <w:t xml:space="preserve"> for </w:t>
      </w:r>
      <w:r w:rsidR="00B74319">
        <w:t>OC symptoms like sexual orientation</w:t>
      </w:r>
      <w:r w:rsidR="0018092C">
        <w:t xml:space="preserve"> intrusive thoughts</w:t>
      </w:r>
      <w:r>
        <w:t>. Furthermore,</w:t>
      </w:r>
      <w:r w:rsidR="007037FB">
        <w:t xml:space="preserve"> in a recent study,</w:t>
      </w:r>
      <w:r>
        <w:t xml:space="preserve"> psychological inflexibility was a documented mediator between hoarding symptoms and life satisfaction </w:t>
      </w:r>
      <w:r>
        <w:rPr>
          <w:noProof/>
        </w:rPr>
        <w:t>(Ong, Krafft, Levin, &amp; Twohig, 2018)</w:t>
      </w:r>
      <w:r>
        <w:t xml:space="preserve">. Because of the close relationship between OCD and hoarding, this result is also important to consider when </w:t>
      </w:r>
      <w:r w:rsidR="002814A8">
        <w:t>researching</w:t>
      </w:r>
      <w:r>
        <w:t xml:space="preserve"> psychological inflexibility as a mediator between OC symptoms and well-being.</w:t>
      </w:r>
    </w:p>
    <w:p w14:paraId="69E924A6" w14:textId="28389508" w:rsidR="003219B1" w:rsidRDefault="003219B1" w:rsidP="00354B9C">
      <w:pPr>
        <w:spacing w:line="480" w:lineRule="auto"/>
        <w:ind w:firstLine="360"/>
      </w:pPr>
      <w:r>
        <w:t xml:space="preserve">Broadly speaking, these results are relatively in line with past understandings of psychological inflexibility. </w:t>
      </w:r>
      <w:r w:rsidR="003E587F">
        <w:t>It is possible that p</w:t>
      </w:r>
      <w:r>
        <w:t xml:space="preserve">sychological inflexibility could be a pathway </w:t>
      </w:r>
      <w:r>
        <w:lastRenderedPageBreak/>
        <w:t xml:space="preserve">through which OC symptoms, particularly obsessions about sexual orientation, may affect well-being. For example, a psychologically inflexible response to a sexual orientation intrusive thought (e.g., avoidance of </w:t>
      </w:r>
      <w:r w:rsidR="00164951">
        <w:t>entertainment</w:t>
      </w:r>
      <w:r>
        <w:t xml:space="preserve"> or places that may trigger </w:t>
      </w:r>
      <w:r w:rsidR="00355C75">
        <w:t xml:space="preserve">obsessions </w:t>
      </w:r>
      <w:r>
        <w:t>about same</w:t>
      </w:r>
      <w:r w:rsidR="00355C75">
        <w:t>-</w:t>
      </w:r>
      <w:r>
        <w:t xml:space="preserve">sex attraction) may contribute to lower well-being as </w:t>
      </w:r>
      <w:r w:rsidR="00AB2697">
        <w:t xml:space="preserve">the </w:t>
      </w:r>
      <w:r>
        <w:t xml:space="preserve">avoidance in turn impacts important aspects of one’s life (e.g., social activities). As the individual becomes preoccupied </w:t>
      </w:r>
      <w:r w:rsidR="00456CDE">
        <w:t xml:space="preserve">by </w:t>
      </w:r>
      <w:r>
        <w:t xml:space="preserve">psychologically inflexible responses to their internal world, less attention is paid to engaging in important, meaningful behaviors that could </w:t>
      </w:r>
      <w:r w:rsidR="002D32B1">
        <w:t>potentially</w:t>
      </w:r>
      <w:r>
        <w:t xml:space="preserve"> boost and/or contribute to their overall well-being.</w:t>
      </w:r>
      <w:r w:rsidR="00C004DB">
        <w:t xml:space="preserve"> </w:t>
      </w:r>
      <w:r w:rsidR="00CB622A">
        <w:t>Our preliminary study of a non-clinical, undergraduate sample suggests that</w:t>
      </w:r>
      <w:r>
        <w:t xml:space="preserve"> this model </w:t>
      </w:r>
      <w:r w:rsidR="00CB622A">
        <w:t>could</w:t>
      </w:r>
      <w:r>
        <w:t xml:space="preserve"> be more important to focus on instead of </w:t>
      </w:r>
      <w:r w:rsidR="00456CDE">
        <w:t xml:space="preserve">an emphasis on </w:t>
      </w:r>
      <w:r>
        <w:t xml:space="preserve">correcting or </w:t>
      </w:r>
      <w:r w:rsidR="00AB2697">
        <w:t xml:space="preserve">learning to </w:t>
      </w:r>
      <w:r>
        <w:t xml:space="preserve">accurately </w:t>
      </w:r>
      <w:r w:rsidR="00C60C3E">
        <w:t>interpret</w:t>
      </w:r>
      <w:r>
        <w:t xml:space="preserve"> thoughts.</w:t>
      </w:r>
      <w:r w:rsidR="00350041">
        <w:t xml:space="preserve"> However, future research with clinical populations and larger, more powered samples is necessary</w:t>
      </w:r>
      <w:r w:rsidR="00A71062">
        <w:t xml:space="preserve"> for confirmation and/or generalizability</w:t>
      </w:r>
      <w:r w:rsidR="00350041">
        <w:t>.</w:t>
      </w:r>
    </w:p>
    <w:p w14:paraId="302FEC7E" w14:textId="3BB497D4" w:rsidR="003219B1" w:rsidRPr="00F751DE" w:rsidRDefault="008F1DA0" w:rsidP="006F5995">
      <w:pPr>
        <w:spacing w:line="480" w:lineRule="auto"/>
        <w:ind w:firstLine="360"/>
      </w:pPr>
      <w:r>
        <w:t xml:space="preserve">With the significant limitation of our homogenous </w:t>
      </w:r>
      <w:r w:rsidR="00215BE6">
        <w:t xml:space="preserve">and nonclinical </w:t>
      </w:r>
      <w:r>
        <w:t>sample in mind</w:t>
      </w:r>
      <w:r w:rsidR="00350FFE">
        <w:t>,</w:t>
      </w:r>
      <w:r w:rsidR="007F78A0">
        <w:t xml:space="preserve"> this study points towards the potential importance of</w:t>
      </w:r>
      <w:r w:rsidR="00350FFE">
        <w:t xml:space="preserve"> p</w:t>
      </w:r>
      <w:r w:rsidR="003219B1">
        <w:t>sychological</w:t>
      </w:r>
      <w:r w:rsidR="003219B1" w:rsidRPr="00DE1E1C">
        <w:t xml:space="preserve"> inflexibility when working with clients struggling with sexual</w:t>
      </w:r>
      <w:r w:rsidR="003219B1">
        <w:t xml:space="preserve"> orientation</w:t>
      </w:r>
      <w:r w:rsidR="003219B1" w:rsidRPr="00DE1E1C">
        <w:t xml:space="preserve"> intrusive thoughts</w:t>
      </w:r>
      <w:r w:rsidR="003219B1">
        <w:t xml:space="preserve">. It may be helpful to </w:t>
      </w:r>
      <w:r w:rsidR="00C60C3E">
        <w:t>guide</w:t>
      </w:r>
      <w:r w:rsidR="003219B1">
        <w:t xml:space="preserve"> clients to develop more flexible responses to internal experiences (e.g.</w:t>
      </w:r>
      <w:r w:rsidR="00127923">
        <w:t>,</w:t>
      </w:r>
      <w:r w:rsidR="003219B1">
        <w:t xml:space="preserve"> sexual orientation intrusive thoughts) so that they do not interfere with the client’s life or behavior rather than targeting dysfunctional beliefs via challenging or attempting to change thoughts. Therefore, treatment approaches focusing on improving psychological flexibility (e.g., acceptance and mindfulness-based approaches) may be useful</w:t>
      </w:r>
      <w:r w:rsidR="003219B1" w:rsidRPr="00DE1E1C">
        <w:t>.</w:t>
      </w:r>
      <w:r w:rsidR="003219B1">
        <w:t xml:space="preserve"> </w:t>
      </w:r>
      <w:r w:rsidR="00DE673B">
        <w:t>This is further</w:t>
      </w:r>
      <w:r w:rsidR="003219B1">
        <w:t xml:space="preserve"> </w:t>
      </w:r>
      <w:r w:rsidR="007F78A0">
        <w:t>supported</w:t>
      </w:r>
      <w:r w:rsidR="003219B1">
        <w:t xml:space="preserve"> by</w:t>
      </w:r>
      <w:r w:rsidR="00DE673B">
        <w:t xml:space="preserve"> the existing</w:t>
      </w:r>
      <w:r w:rsidR="003219B1">
        <w:t xml:space="preserve"> empirical support for acceptance and commitment therapy (ACT), a treatment geared at targeting psychological inflexibility, as a treatment for OCD </w:t>
      </w:r>
      <w:r w:rsidR="003219B1">
        <w:rPr>
          <w:noProof/>
        </w:rPr>
        <w:t>(Twohig et al., 2015; Twohig, Hayes, &amp; Masuda, 2006</w:t>
      </w:r>
      <w:r w:rsidR="003E587F">
        <w:rPr>
          <w:noProof/>
        </w:rPr>
        <w:t>)</w:t>
      </w:r>
      <w:r w:rsidR="003E587F">
        <w:t>.</w:t>
      </w:r>
      <w:r w:rsidR="003E587F" w:rsidRPr="001E7B15">
        <w:t xml:space="preserve"> While</w:t>
      </w:r>
      <w:r w:rsidR="003219B1" w:rsidRPr="001E7B15">
        <w:t xml:space="preserve"> this</w:t>
      </w:r>
      <w:r w:rsidR="0086102D">
        <w:t xml:space="preserve"> study</w:t>
      </w:r>
      <w:r w:rsidR="003219B1" w:rsidRPr="001E7B15">
        <w:t xml:space="preserve"> does not</w:t>
      </w:r>
      <w:r w:rsidR="003219B1">
        <w:t xml:space="preserve"> necessarily confirm</w:t>
      </w:r>
      <w:r w:rsidR="003219B1" w:rsidRPr="001E7B15">
        <w:t xml:space="preserve"> the role of psychological </w:t>
      </w:r>
      <w:r w:rsidR="008A72F3">
        <w:t>in</w:t>
      </w:r>
      <w:r w:rsidR="003219B1" w:rsidRPr="001E7B15">
        <w:t>flexibility in the presence or maintenance of sexual</w:t>
      </w:r>
      <w:r w:rsidR="003219B1">
        <w:t xml:space="preserve"> orientation</w:t>
      </w:r>
      <w:r w:rsidR="003219B1" w:rsidRPr="001E7B15">
        <w:t xml:space="preserve"> intrusive thoughts, it suggests that enhanced </w:t>
      </w:r>
      <w:r w:rsidR="003219B1" w:rsidRPr="001E7B15">
        <w:lastRenderedPageBreak/>
        <w:t xml:space="preserve">psychological flexibility may contribute to </w:t>
      </w:r>
      <w:r w:rsidR="008A72F3">
        <w:t xml:space="preserve">improving </w:t>
      </w:r>
      <w:r w:rsidR="00752A8F">
        <w:t>well-being</w:t>
      </w:r>
      <w:r w:rsidR="00B67D91">
        <w:t xml:space="preserve"> in a non-clinical, undergraduate sample</w:t>
      </w:r>
      <w:r w:rsidR="003219B1" w:rsidRPr="001C5D83">
        <w:t>. However,</w:t>
      </w:r>
      <w:r w:rsidR="002E1911">
        <w:t xml:space="preserve"> it is important to underscore that</w:t>
      </w:r>
      <w:r w:rsidR="003219B1" w:rsidRPr="001C5D83">
        <w:t xml:space="preserve"> these results are ultimately limited by the homogenous sample—further research is needed to broaden the understanding of sexual </w:t>
      </w:r>
      <w:r w:rsidR="003219B1">
        <w:t xml:space="preserve">orientation </w:t>
      </w:r>
      <w:r w:rsidR="003219B1" w:rsidRPr="001C5D83">
        <w:t>intrusive thoughts</w:t>
      </w:r>
      <w:r w:rsidR="003219B1">
        <w:t>.</w:t>
      </w:r>
    </w:p>
    <w:p w14:paraId="39905EBD" w14:textId="77777777" w:rsidR="003219B1" w:rsidRDefault="003219B1" w:rsidP="001C5D83">
      <w:pPr>
        <w:spacing w:line="480" w:lineRule="auto"/>
      </w:pPr>
      <w:r>
        <w:rPr>
          <w:i/>
          <w:iCs/>
        </w:rPr>
        <w:t>Limitations</w:t>
      </w:r>
    </w:p>
    <w:p w14:paraId="4A7DBE61" w14:textId="75272D2C" w:rsidR="00EF7104" w:rsidRDefault="003219B1" w:rsidP="00DF4D7C">
      <w:pPr>
        <w:spacing w:line="480" w:lineRule="auto"/>
      </w:pPr>
      <w:r>
        <w:tab/>
        <w:t>As previously discussed, this study is limited by its small undergraduate sample</w:t>
      </w:r>
      <w:r w:rsidR="00EF7104">
        <w:t xml:space="preserve"> that is primarily female and </w:t>
      </w:r>
      <w:r w:rsidR="00EA34E8">
        <w:t>identifying as religious</w:t>
      </w:r>
      <w:r>
        <w:t>.</w:t>
      </w:r>
      <w:r w:rsidR="00EF7104">
        <w:t xml:space="preserve"> </w:t>
      </w:r>
      <w:r w:rsidR="00842C47">
        <w:t>The large proportion of those who identified as religious may have impacted our findings, particularly given our focus on sexual orientation.</w:t>
      </w:r>
      <w:r w:rsidR="00AD1A46" w:rsidRPr="00C36367">
        <w:t xml:space="preserve"> </w:t>
      </w:r>
      <w:r w:rsidR="00842C47">
        <w:t>W</w:t>
      </w:r>
      <w:r w:rsidR="00EF7104" w:rsidRPr="00C36367">
        <w:t>e</w:t>
      </w:r>
      <w:r w:rsidR="00842C47">
        <w:t xml:space="preserve"> did</w:t>
      </w:r>
      <w:r w:rsidR="00EF7104" w:rsidRPr="00C36367">
        <w:t xml:space="preserve"> f</w:t>
      </w:r>
      <w:r w:rsidR="00842C47">
        <w:t>in</w:t>
      </w:r>
      <w:r w:rsidR="00EF7104" w:rsidRPr="00C36367">
        <w:t>d a significant difference</w:t>
      </w:r>
      <w:r w:rsidR="008E4DC2" w:rsidRPr="00C36367">
        <w:t xml:space="preserve"> (</w:t>
      </w:r>
      <w:r w:rsidR="008E4DC2" w:rsidRPr="00C36367">
        <w:rPr>
          <w:i/>
          <w:iCs/>
        </w:rPr>
        <w:t>p</w:t>
      </w:r>
      <w:r w:rsidR="008E4DC2" w:rsidRPr="00C36367">
        <w:t xml:space="preserve"> = .04)</w:t>
      </w:r>
      <w:r w:rsidR="00EF7104" w:rsidRPr="00C36367">
        <w:t xml:space="preserve"> </w:t>
      </w:r>
      <w:r w:rsidR="003C443E" w:rsidRPr="00C36367">
        <w:t xml:space="preserve">on the AAQ-II </w:t>
      </w:r>
      <w:r w:rsidR="00EF7104" w:rsidRPr="00C36367">
        <w:t>between those who identified as religious (</w:t>
      </w:r>
      <w:r w:rsidR="00EF7104" w:rsidRPr="00C36367">
        <w:rPr>
          <w:i/>
          <w:iCs/>
        </w:rPr>
        <w:t>M</w:t>
      </w:r>
      <w:r w:rsidR="00EF7104" w:rsidRPr="00C36367">
        <w:t xml:space="preserve"> = 23.0, </w:t>
      </w:r>
      <w:r w:rsidR="00EF7104" w:rsidRPr="00C36367">
        <w:rPr>
          <w:i/>
          <w:iCs/>
        </w:rPr>
        <w:t>SD</w:t>
      </w:r>
      <w:r w:rsidR="00EF7104" w:rsidRPr="00C36367">
        <w:t xml:space="preserve"> = 8.6) and non-religious (</w:t>
      </w:r>
      <w:r w:rsidR="00EF7104" w:rsidRPr="00C36367">
        <w:rPr>
          <w:i/>
          <w:iCs/>
        </w:rPr>
        <w:t xml:space="preserve">M </w:t>
      </w:r>
      <w:r w:rsidR="00EF7104" w:rsidRPr="00C36367">
        <w:t xml:space="preserve">= 19.6, </w:t>
      </w:r>
      <w:r w:rsidR="00EF7104" w:rsidRPr="00C36367">
        <w:rPr>
          <w:i/>
          <w:iCs/>
        </w:rPr>
        <w:t>SD</w:t>
      </w:r>
      <w:r w:rsidR="00EF7104" w:rsidRPr="00C36367">
        <w:t xml:space="preserve"> = 8.1).</w:t>
      </w:r>
      <w:r w:rsidRPr="00C36367">
        <w:t xml:space="preserve"> </w:t>
      </w:r>
      <w:r w:rsidR="00A34D8D" w:rsidRPr="00C36367">
        <w:t xml:space="preserve">This disparity is important to highlight for </w:t>
      </w:r>
      <w:r w:rsidR="00C36367">
        <w:t>generalizability of results between and beyond religious and non-religious undergraduates</w:t>
      </w:r>
      <w:r w:rsidR="00A34D8D" w:rsidRPr="00C36367">
        <w:t xml:space="preserve">; however, a </w:t>
      </w:r>
      <w:r w:rsidR="00C36367" w:rsidRPr="00C36367">
        <w:t>four</w:t>
      </w:r>
      <w:r w:rsidR="00914D69">
        <w:t xml:space="preserve"> </w:t>
      </w:r>
      <w:r w:rsidR="00A34D8D" w:rsidRPr="00C36367">
        <w:t>point difference</w:t>
      </w:r>
      <w:r w:rsidR="00C36367" w:rsidRPr="00C36367">
        <w:t xml:space="preserve">—with both </w:t>
      </w:r>
      <w:r w:rsidR="00C36367">
        <w:t>averages</w:t>
      </w:r>
      <w:r w:rsidR="00C36367" w:rsidRPr="00C36367">
        <w:t xml:space="preserve"> below the clinical range—</w:t>
      </w:r>
      <w:r w:rsidR="00A34D8D" w:rsidRPr="00C36367">
        <w:t>on the AAQ-II is</w:t>
      </w:r>
      <w:r w:rsidR="00C36367" w:rsidRPr="00C36367">
        <w:t xml:space="preserve"> likely</w:t>
      </w:r>
      <w:r w:rsidR="00A34D8D" w:rsidRPr="00C36367">
        <w:t xml:space="preserve"> not a clinically meaningful one (</w:t>
      </w:r>
      <w:r w:rsidR="00C36367" w:rsidRPr="00C36367">
        <w:t>Bond et al., 2011</w:t>
      </w:r>
      <w:r w:rsidR="00A34D8D" w:rsidRPr="00C36367">
        <w:t>)</w:t>
      </w:r>
      <w:r w:rsidR="00C36367">
        <w:t>. Additionally,</w:t>
      </w:r>
      <w:r w:rsidR="00A34D8D" w:rsidRPr="00C36367">
        <w:t xml:space="preserve"> it is important to note that </w:t>
      </w:r>
      <w:r w:rsidR="00D94151" w:rsidRPr="00C36367">
        <w:t xml:space="preserve">identified membership in a religion does not indicate </w:t>
      </w:r>
      <w:r w:rsidR="002C1580">
        <w:t xml:space="preserve">engagement in </w:t>
      </w:r>
      <w:r w:rsidR="00D94151" w:rsidRPr="00C36367">
        <w:t xml:space="preserve">religiosity and/or spirituality, </w:t>
      </w:r>
      <w:r w:rsidR="00A34D8D" w:rsidRPr="00C36367">
        <w:t>particularly for undergraduates (e.g., Sloane &amp; Petra, 2021)</w:t>
      </w:r>
      <w:r w:rsidR="00D94151" w:rsidRPr="00C36367">
        <w:t>.</w:t>
      </w:r>
      <w:r w:rsidR="00D94151">
        <w:t xml:space="preserve"> </w:t>
      </w:r>
      <w:r w:rsidR="005C0AED">
        <w:t>Regardless, f</w:t>
      </w:r>
      <w:r>
        <w:t>uture research should focus on exploring psychological inflexibility, dysfunctional beliefs, well-being, and sexual orientation intrusive thoughts in more diverse populations, particularly across sexual orientations</w:t>
      </w:r>
      <w:r w:rsidR="00CC2A08">
        <w:t>,</w:t>
      </w:r>
      <w:r>
        <w:t xml:space="preserve"> clinical severity</w:t>
      </w:r>
      <w:r w:rsidR="00CC2A08">
        <w:t>, age and religious groups</w:t>
      </w:r>
      <w:r>
        <w:t>.</w:t>
      </w:r>
      <w:r w:rsidR="00EC1180">
        <w:t xml:space="preserve"> </w:t>
      </w:r>
      <w:r w:rsidR="00594BE7">
        <w:t>As another example</w:t>
      </w:r>
      <w:r w:rsidR="006831A2">
        <w:t xml:space="preserve">, </w:t>
      </w:r>
      <w:r w:rsidR="00EC1180">
        <w:t>l</w:t>
      </w:r>
      <w:r>
        <w:t xml:space="preserve">ittle information is known about the mechanisms of sexual orientation intrusive thoughts in non-heterosexual groups </w:t>
      </w:r>
      <w:r>
        <w:rPr>
          <w:noProof/>
        </w:rPr>
        <w:t>(Williams et al., 2018)</w:t>
      </w:r>
      <w:r>
        <w:t>; this study points to the impact that sexual orientation intrusive thoughts can have</w:t>
      </w:r>
      <w:r w:rsidR="00587661">
        <w:t xml:space="preserve">, </w:t>
      </w:r>
      <w:r>
        <w:t xml:space="preserve">highlighting the need to </w:t>
      </w:r>
      <w:r w:rsidR="00EB28A7">
        <w:t>collect</w:t>
      </w:r>
      <w:r>
        <w:t xml:space="preserve"> diverse perspectives</w:t>
      </w:r>
      <w:r w:rsidR="00D92B61">
        <w:t xml:space="preserve"> to better understand who these symptoms might be impacting the most</w:t>
      </w:r>
      <w:r>
        <w:t xml:space="preserve">. </w:t>
      </w:r>
    </w:p>
    <w:p w14:paraId="728F3EA4" w14:textId="498D4021" w:rsidR="003219B1" w:rsidRDefault="003219B1" w:rsidP="00EF7104">
      <w:pPr>
        <w:spacing w:line="480" w:lineRule="auto"/>
        <w:ind w:firstLine="720"/>
        <w:rPr>
          <w:b/>
          <w:bCs/>
        </w:rPr>
      </w:pPr>
      <w:r>
        <w:lastRenderedPageBreak/>
        <w:t xml:space="preserve">Additionally, the present data is cross-sectional. Because of evidence suggesting that college environments have lower numbers of sexually active individuals </w:t>
      </w:r>
      <w:r>
        <w:rPr>
          <w:noProof/>
        </w:rPr>
        <w:t>(Raley, 2012)</w:t>
      </w:r>
      <w:r>
        <w:t xml:space="preserve">, it would be important to track symptoms and experiences across time, through experimental </w:t>
      </w:r>
      <w:r w:rsidRPr="00E225F1">
        <w:t>manipulation of some kind</w:t>
      </w:r>
      <w:r>
        <w:t>, or against groups of differing sexual activity levels. It is an additional limitation that sexual activity was not measured, so this potential confound cannot be confirmed.</w:t>
      </w:r>
      <w:r w:rsidR="00A04C44">
        <w:t xml:space="preserve"> </w:t>
      </w:r>
      <w:r w:rsidR="000153C3">
        <w:t xml:space="preserve">Similarly, other important confounds in relation to well-being were not assessed (e.g., depressive symptoms), which may have impacted findings. </w:t>
      </w:r>
      <w:r w:rsidR="00A04C44">
        <w:t xml:space="preserve">Lastly, the </w:t>
      </w:r>
      <w:r w:rsidR="001B2EF0">
        <w:t xml:space="preserve">average </w:t>
      </w:r>
      <w:r w:rsidR="00A04C44">
        <w:t>levels of sexual orientation obsessions in this sample were low and below the recommended clinical cut-off</w:t>
      </w:r>
      <w:r w:rsidR="001B187B">
        <w:t xml:space="preserve"> for diagnosing sexual orientation obsessions</w:t>
      </w:r>
      <w:r w:rsidR="00A04C44">
        <w:t xml:space="preserve">. </w:t>
      </w:r>
      <w:r w:rsidR="00244C97">
        <w:t xml:space="preserve">The range of </w:t>
      </w:r>
      <w:r w:rsidR="00C67B6E">
        <w:t>SORT scores</w:t>
      </w:r>
      <w:r w:rsidR="00AA7F23">
        <w:t xml:space="preserve"> in the present sample</w:t>
      </w:r>
      <w:r w:rsidR="00244C97">
        <w:t xml:space="preserve"> was also </w:t>
      </w:r>
      <w:r w:rsidR="009C69D8">
        <w:t xml:space="preserve">significantly </w:t>
      </w:r>
      <w:r w:rsidR="00244C97">
        <w:t xml:space="preserve">limited, suggesting potential floor effects. </w:t>
      </w:r>
      <w:r w:rsidR="00A04C44">
        <w:t>Thus, the results should be interpreted with caution and further research in clinical samples is necessary.</w:t>
      </w:r>
      <w:r w:rsidR="00244C97">
        <w:t xml:space="preserve"> It is possible that these floor effects from the SORT contributed to the lack of significance found in mediational analyses using the OBQ.</w:t>
      </w:r>
    </w:p>
    <w:p w14:paraId="7C630C71" w14:textId="0299AA81" w:rsidR="003219B1" w:rsidRDefault="003219B1" w:rsidP="003D0CF7">
      <w:pPr>
        <w:spacing w:line="480" w:lineRule="auto"/>
        <w:ind w:firstLine="720"/>
      </w:pPr>
      <w:r>
        <w:t xml:space="preserve">Despite limitations, this study provides important preliminary evidence of the importance of psychological inflexibility when considering sexual orientation intrusive thoughts, OC symptoms, and well-being. Future research should explore these relationships in clinical groups in order to best inform treatment practices. </w:t>
      </w:r>
    </w:p>
    <w:p w14:paraId="7EE1366B" w14:textId="77777777" w:rsidR="003219B1" w:rsidRDefault="003219B1"/>
    <w:p w14:paraId="20F1B251" w14:textId="77777777" w:rsidR="003219B1" w:rsidRDefault="003219B1">
      <w:pPr>
        <w:rPr>
          <w:b/>
          <w:bCs/>
        </w:rPr>
      </w:pPr>
      <w:r>
        <w:rPr>
          <w:b/>
          <w:bCs/>
        </w:rPr>
        <w:br w:type="page"/>
      </w:r>
    </w:p>
    <w:p w14:paraId="3F5BAD43" w14:textId="07BBF163" w:rsidR="003219B1" w:rsidRDefault="003219B1" w:rsidP="007711AC">
      <w:pPr>
        <w:jc w:val="center"/>
        <w:rPr>
          <w:b/>
          <w:bCs/>
        </w:rPr>
      </w:pPr>
      <w:r>
        <w:rPr>
          <w:b/>
          <w:bCs/>
        </w:rPr>
        <w:lastRenderedPageBreak/>
        <w:t>References</w:t>
      </w:r>
    </w:p>
    <w:p w14:paraId="5028092D" w14:textId="77777777" w:rsidR="007711AC" w:rsidRDefault="007711AC" w:rsidP="007711AC">
      <w:pPr>
        <w:jc w:val="center"/>
        <w:rPr>
          <w:b/>
          <w:bCs/>
        </w:rPr>
      </w:pPr>
    </w:p>
    <w:p w14:paraId="5940DBC3" w14:textId="6BEC9DFA" w:rsidR="003219B1" w:rsidRPr="004F28BA" w:rsidRDefault="003219B1" w:rsidP="007711AC">
      <w:pPr>
        <w:spacing w:line="480" w:lineRule="auto"/>
      </w:pPr>
      <w:r w:rsidRPr="004F28BA">
        <w:rPr>
          <w:shd w:val="clear" w:color="auto" w:fill="FFFFFF"/>
        </w:rPr>
        <w:t xml:space="preserve">American Psychiatric Association: Diagnostic and Statistical Manual of Mental Disorders: </w:t>
      </w:r>
      <w:r w:rsidR="004F28BA">
        <w:rPr>
          <w:shd w:val="clear" w:color="auto" w:fill="FFFFFF"/>
        </w:rPr>
        <w:tab/>
      </w:r>
      <w:r w:rsidRPr="004F28BA">
        <w:rPr>
          <w:shd w:val="clear" w:color="auto" w:fill="FFFFFF"/>
        </w:rPr>
        <w:t xml:space="preserve">Diagnostic and Statistical Manual of Mental Disorders, Fifth Edition. Arlington, VA: </w:t>
      </w:r>
      <w:r w:rsidR="004F28BA">
        <w:rPr>
          <w:shd w:val="clear" w:color="auto" w:fill="FFFFFF"/>
        </w:rPr>
        <w:tab/>
      </w:r>
      <w:r w:rsidRPr="004F28BA">
        <w:rPr>
          <w:shd w:val="clear" w:color="auto" w:fill="FFFFFF"/>
        </w:rPr>
        <w:t>American Psychiatric Association, 2013.</w:t>
      </w:r>
    </w:p>
    <w:p w14:paraId="283BA0EE" w14:textId="77777777"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Abramowitz, J. S., Deacon, B. J., Olatunji, B. O., Wheaton, M. G., Berman, N. C., Losardo, D., . . . Adams, T. (2010). Assessment of obsessive-compulsive symptom dimensions: Development and evaluation of the Dimensional Obsessive-Compulsive Scale. </w:t>
      </w:r>
      <w:r w:rsidRPr="004F28BA">
        <w:rPr>
          <w:rFonts w:ascii="Times New Roman" w:hAnsi="Times New Roman" w:cs="Times New Roman"/>
          <w:i/>
          <w:noProof/>
        </w:rPr>
        <w:t>Psychological assessment, 22</w:t>
      </w:r>
      <w:r w:rsidRPr="004F28BA">
        <w:rPr>
          <w:rFonts w:ascii="Times New Roman" w:hAnsi="Times New Roman" w:cs="Times New Roman"/>
          <w:noProof/>
        </w:rPr>
        <w:t xml:space="preserve">(1), 180. </w:t>
      </w:r>
    </w:p>
    <w:p w14:paraId="1299A32E" w14:textId="33B5726D"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Asnaani, A., Kaczkurkin, A. N., Alpert, E., McLean, C. P., Simpson, H. B., &amp; Foa, E. B. (2017). The effect of treatment on quality of life and functioning in OCD. </w:t>
      </w:r>
      <w:r w:rsidRPr="004F28BA">
        <w:rPr>
          <w:rFonts w:ascii="Times New Roman" w:hAnsi="Times New Roman" w:cs="Times New Roman"/>
          <w:i/>
          <w:noProof/>
        </w:rPr>
        <w:t xml:space="preserve">Comprehensive </w:t>
      </w:r>
      <w:r w:rsidR="00861F3B">
        <w:rPr>
          <w:rFonts w:ascii="Times New Roman" w:hAnsi="Times New Roman" w:cs="Times New Roman"/>
          <w:i/>
          <w:noProof/>
        </w:rPr>
        <w:t>P</w:t>
      </w:r>
      <w:r w:rsidRPr="004F28BA">
        <w:rPr>
          <w:rFonts w:ascii="Times New Roman" w:hAnsi="Times New Roman" w:cs="Times New Roman"/>
          <w:i/>
          <w:noProof/>
        </w:rPr>
        <w:t>sychiatry, 73</w:t>
      </w:r>
      <w:r w:rsidRPr="004F28BA">
        <w:rPr>
          <w:rFonts w:ascii="Times New Roman" w:hAnsi="Times New Roman" w:cs="Times New Roman"/>
          <w:noProof/>
        </w:rPr>
        <w:t xml:space="preserve">, 7-14. </w:t>
      </w:r>
    </w:p>
    <w:p w14:paraId="2B15D196" w14:textId="52320B64"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Barahmand, U., Tavakolian, E., &amp; Alaei, S. (2014). Association of metacognitive beliefs, obsessive beliefs and symptom severity with quality of life in obsessive–compulsive patients. </w:t>
      </w:r>
      <w:r w:rsidRPr="004F28BA">
        <w:rPr>
          <w:rFonts w:ascii="Times New Roman" w:hAnsi="Times New Roman" w:cs="Times New Roman"/>
          <w:i/>
          <w:noProof/>
        </w:rPr>
        <w:t xml:space="preserve">Archives of </w:t>
      </w:r>
      <w:r w:rsidR="007901B8">
        <w:rPr>
          <w:rFonts w:ascii="Times New Roman" w:hAnsi="Times New Roman" w:cs="Times New Roman"/>
          <w:i/>
          <w:noProof/>
        </w:rPr>
        <w:t>P</w:t>
      </w:r>
      <w:r w:rsidRPr="004F28BA">
        <w:rPr>
          <w:rFonts w:ascii="Times New Roman" w:hAnsi="Times New Roman" w:cs="Times New Roman"/>
          <w:i/>
          <w:noProof/>
        </w:rPr>
        <w:t xml:space="preserve">sychiatric </w:t>
      </w:r>
      <w:r w:rsidR="007901B8">
        <w:rPr>
          <w:rFonts w:ascii="Times New Roman" w:hAnsi="Times New Roman" w:cs="Times New Roman"/>
          <w:i/>
          <w:noProof/>
        </w:rPr>
        <w:t>N</w:t>
      </w:r>
      <w:r w:rsidRPr="004F28BA">
        <w:rPr>
          <w:rFonts w:ascii="Times New Roman" w:hAnsi="Times New Roman" w:cs="Times New Roman"/>
          <w:i/>
          <w:noProof/>
        </w:rPr>
        <w:t>ursing, 28</w:t>
      </w:r>
      <w:r w:rsidRPr="004F28BA">
        <w:rPr>
          <w:rFonts w:ascii="Times New Roman" w:hAnsi="Times New Roman" w:cs="Times New Roman"/>
          <w:noProof/>
        </w:rPr>
        <w:t xml:space="preserve">(5), 345-351. </w:t>
      </w:r>
    </w:p>
    <w:p w14:paraId="7F1631F8" w14:textId="226B65DA"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Barrett, T. S. (2018). </w:t>
      </w:r>
      <w:r w:rsidRPr="004F28BA">
        <w:rPr>
          <w:rFonts w:ascii="Times New Roman" w:hAnsi="Times New Roman" w:cs="Times New Roman"/>
          <w:i/>
          <w:noProof/>
        </w:rPr>
        <w:t>Marginal Mediation Analysis: A New Framework for Interpretable Mediated Effects.</w:t>
      </w:r>
      <w:r w:rsidRPr="004F28BA">
        <w:rPr>
          <w:rFonts w:ascii="Times New Roman" w:hAnsi="Times New Roman" w:cs="Times New Roman"/>
          <w:noProof/>
        </w:rPr>
        <w:t xml:space="preserve"> </w:t>
      </w:r>
      <w:r w:rsidR="00557A0A">
        <w:rPr>
          <w:rFonts w:ascii="Times New Roman" w:hAnsi="Times New Roman" w:cs="Times New Roman"/>
          <w:noProof/>
        </w:rPr>
        <w:t>Utah State University.</w:t>
      </w:r>
      <w:r w:rsidRPr="004F28BA">
        <w:rPr>
          <w:rFonts w:ascii="Times New Roman" w:hAnsi="Times New Roman" w:cs="Times New Roman"/>
          <w:noProof/>
        </w:rPr>
        <w:t xml:space="preserve"> </w:t>
      </w:r>
    </w:p>
    <w:p w14:paraId="1187E611" w14:textId="77777777"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Barrett, T. S., &amp; Brignone, E. (2017). Furniture for quantitative scientists. </w:t>
      </w:r>
      <w:r w:rsidRPr="004F28BA">
        <w:rPr>
          <w:rFonts w:ascii="Times New Roman" w:hAnsi="Times New Roman" w:cs="Times New Roman"/>
          <w:i/>
          <w:noProof/>
        </w:rPr>
        <w:t>R Journal, 9</w:t>
      </w:r>
      <w:r w:rsidRPr="004F28BA">
        <w:rPr>
          <w:rFonts w:ascii="Times New Roman" w:hAnsi="Times New Roman" w:cs="Times New Roman"/>
          <w:noProof/>
        </w:rPr>
        <w:t xml:space="preserve">. </w:t>
      </w:r>
    </w:p>
    <w:p w14:paraId="2591CE1A" w14:textId="77777777"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Blakey, S. M., Jacoby, R. J., Reuman, L., &amp; Abramowitz, J. S. (2016). The relative contributions of experiential avoidance and distress tolerance to OC symptoms. </w:t>
      </w:r>
      <w:r w:rsidRPr="004F28BA">
        <w:rPr>
          <w:rFonts w:ascii="Times New Roman" w:hAnsi="Times New Roman" w:cs="Times New Roman"/>
          <w:i/>
          <w:noProof/>
        </w:rPr>
        <w:t>Behavioural and Cognitive Psychotherapy, 44</w:t>
      </w:r>
      <w:r w:rsidRPr="004F28BA">
        <w:rPr>
          <w:rFonts w:ascii="Times New Roman" w:hAnsi="Times New Roman" w:cs="Times New Roman"/>
          <w:noProof/>
        </w:rPr>
        <w:t xml:space="preserve">(4), 460. </w:t>
      </w:r>
    </w:p>
    <w:p w14:paraId="659C9090" w14:textId="5D0941CA"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Bluett, E. J., Homan, K. J., Morrison, K. L., Levin, M. E., &amp; Twohig, M. P. (2014). Acceptance and commitment therapy for anxiety and OCD spectrum disorders: An empirical review. </w:t>
      </w:r>
      <w:r w:rsidRPr="004F28BA">
        <w:rPr>
          <w:rFonts w:ascii="Times New Roman" w:hAnsi="Times New Roman" w:cs="Times New Roman"/>
          <w:i/>
          <w:noProof/>
        </w:rPr>
        <w:t xml:space="preserve">Journal of </w:t>
      </w:r>
      <w:r w:rsidR="006B4214">
        <w:rPr>
          <w:rFonts w:ascii="Times New Roman" w:hAnsi="Times New Roman" w:cs="Times New Roman"/>
          <w:i/>
          <w:noProof/>
        </w:rPr>
        <w:t>A</w:t>
      </w:r>
      <w:r w:rsidRPr="004F28BA">
        <w:rPr>
          <w:rFonts w:ascii="Times New Roman" w:hAnsi="Times New Roman" w:cs="Times New Roman"/>
          <w:i/>
          <w:noProof/>
        </w:rPr>
        <w:t xml:space="preserve">nxiety </w:t>
      </w:r>
      <w:r w:rsidR="006B4214">
        <w:rPr>
          <w:rFonts w:ascii="Times New Roman" w:hAnsi="Times New Roman" w:cs="Times New Roman"/>
          <w:i/>
          <w:noProof/>
        </w:rPr>
        <w:t>D</w:t>
      </w:r>
      <w:r w:rsidRPr="004F28BA">
        <w:rPr>
          <w:rFonts w:ascii="Times New Roman" w:hAnsi="Times New Roman" w:cs="Times New Roman"/>
          <w:i/>
          <w:noProof/>
        </w:rPr>
        <w:t>isorders, 28</w:t>
      </w:r>
      <w:r w:rsidRPr="004F28BA">
        <w:rPr>
          <w:rFonts w:ascii="Times New Roman" w:hAnsi="Times New Roman" w:cs="Times New Roman"/>
          <w:noProof/>
        </w:rPr>
        <w:t xml:space="preserve">(6), 612-624. </w:t>
      </w:r>
    </w:p>
    <w:p w14:paraId="4262CB57" w14:textId="0289F1A1"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lastRenderedPageBreak/>
        <w:t xml:space="preserve">Bond, F. W., Hayes, S. C., Baer, R. A., Carpenter, K. M., Guenole, N., Orcutt, H. K., . . . Zettle, R. D. (2011). Preliminary psychometric properties of the Acceptance and Action Questionnaire–II: A revised measure of psychological inflexibility and experiential avoidance. </w:t>
      </w:r>
      <w:r w:rsidRPr="004F28BA">
        <w:rPr>
          <w:rFonts w:ascii="Times New Roman" w:hAnsi="Times New Roman" w:cs="Times New Roman"/>
          <w:i/>
          <w:noProof/>
        </w:rPr>
        <w:t xml:space="preserve">Behavior </w:t>
      </w:r>
      <w:r w:rsidR="004C3FB8">
        <w:rPr>
          <w:rFonts w:ascii="Times New Roman" w:hAnsi="Times New Roman" w:cs="Times New Roman"/>
          <w:i/>
          <w:noProof/>
        </w:rPr>
        <w:t>T</w:t>
      </w:r>
      <w:r w:rsidRPr="004F28BA">
        <w:rPr>
          <w:rFonts w:ascii="Times New Roman" w:hAnsi="Times New Roman" w:cs="Times New Roman"/>
          <w:i/>
          <w:noProof/>
        </w:rPr>
        <w:t>herapy, 42</w:t>
      </w:r>
      <w:r w:rsidRPr="004F28BA">
        <w:rPr>
          <w:rFonts w:ascii="Times New Roman" w:hAnsi="Times New Roman" w:cs="Times New Roman"/>
          <w:noProof/>
        </w:rPr>
        <w:t xml:space="preserve">(4), 676-688. </w:t>
      </w:r>
    </w:p>
    <w:p w14:paraId="631F9914" w14:textId="26A846DD"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Glazier, K., Swing, M., &amp; McGinn, L. K. (2015). Half of obsessive-compulsive disorder cases misdiagnosed: </w:t>
      </w:r>
      <w:r w:rsidR="00B763E1">
        <w:rPr>
          <w:rFonts w:ascii="Times New Roman" w:hAnsi="Times New Roman" w:cs="Times New Roman"/>
          <w:noProof/>
        </w:rPr>
        <w:t>V</w:t>
      </w:r>
      <w:r w:rsidRPr="004F28BA">
        <w:rPr>
          <w:rFonts w:ascii="Times New Roman" w:hAnsi="Times New Roman" w:cs="Times New Roman"/>
          <w:noProof/>
        </w:rPr>
        <w:t xml:space="preserve">ignette-based survey of primary care physicians. </w:t>
      </w:r>
      <w:r w:rsidRPr="004F28BA">
        <w:rPr>
          <w:rFonts w:ascii="Times New Roman" w:hAnsi="Times New Roman" w:cs="Times New Roman"/>
          <w:i/>
          <w:noProof/>
        </w:rPr>
        <w:t xml:space="preserve">The Journal of </w:t>
      </w:r>
      <w:r w:rsidR="00B763E1">
        <w:rPr>
          <w:rFonts w:ascii="Times New Roman" w:hAnsi="Times New Roman" w:cs="Times New Roman"/>
          <w:i/>
          <w:noProof/>
        </w:rPr>
        <w:t>C</w:t>
      </w:r>
      <w:r w:rsidRPr="004F28BA">
        <w:rPr>
          <w:rFonts w:ascii="Times New Roman" w:hAnsi="Times New Roman" w:cs="Times New Roman"/>
          <w:i/>
          <w:noProof/>
        </w:rPr>
        <w:t xml:space="preserve">linical </w:t>
      </w:r>
      <w:r w:rsidR="00B763E1">
        <w:rPr>
          <w:rFonts w:ascii="Times New Roman" w:hAnsi="Times New Roman" w:cs="Times New Roman"/>
          <w:i/>
          <w:noProof/>
        </w:rPr>
        <w:t>P</w:t>
      </w:r>
      <w:r w:rsidRPr="004F28BA">
        <w:rPr>
          <w:rFonts w:ascii="Times New Roman" w:hAnsi="Times New Roman" w:cs="Times New Roman"/>
          <w:i/>
          <w:noProof/>
        </w:rPr>
        <w:t>sychiatry</w:t>
      </w:r>
      <w:r w:rsidRPr="004F28BA">
        <w:rPr>
          <w:rFonts w:ascii="Times New Roman" w:hAnsi="Times New Roman" w:cs="Times New Roman"/>
          <w:noProof/>
        </w:rPr>
        <w:t xml:space="preserve">. </w:t>
      </w:r>
    </w:p>
    <w:p w14:paraId="19458E0D" w14:textId="3CE86CBB"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Hayes, S. C., Luoma, J. B., Bond, F. W., Masuda, A., &amp; Lillis, J. (2006). Acceptance and commitment therapy: Model, processes and outcomes. </w:t>
      </w:r>
      <w:r w:rsidRPr="004F28BA">
        <w:rPr>
          <w:rFonts w:ascii="Times New Roman" w:hAnsi="Times New Roman" w:cs="Times New Roman"/>
          <w:i/>
          <w:noProof/>
        </w:rPr>
        <w:t xml:space="preserve">Behaviour </w:t>
      </w:r>
      <w:r w:rsidR="00F2647F">
        <w:rPr>
          <w:rFonts w:ascii="Times New Roman" w:hAnsi="Times New Roman" w:cs="Times New Roman"/>
          <w:i/>
          <w:noProof/>
        </w:rPr>
        <w:t>R</w:t>
      </w:r>
      <w:r w:rsidRPr="004F28BA">
        <w:rPr>
          <w:rFonts w:ascii="Times New Roman" w:hAnsi="Times New Roman" w:cs="Times New Roman"/>
          <w:i/>
          <w:noProof/>
        </w:rPr>
        <w:t xml:space="preserve">esearch and </w:t>
      </w:r>
      <w:r w:rsidR="00F2647F">
        <w:rPr>
          <w:rFonts w:ascii="Times New Roman" w:hAnsi="Times New Roman" w:cs="Times New Roman"/>
          <w:i/>
          <w:noProof/>
        </w:rPr>
        <w:t>T</w:t>
      </w:r>
      <w:r w:rsidRPr="004F28BA">
        <w:rPr>
          <w:rFonts w:ascii="Times New Roman" w:hAnsi="Times New Roman" w:cs="Times New Roman"/>
          <w:i/>
          <w:noProof/>
        </w:rPr>
        <w:t>herapy, 44</w:t>
      </w:r>
      <w:r w:rsidRPr="004F28BA">
        <w:rPr>
          <w:rFonts w:ascii="Times New Roman" w:hAnsi="Times New Roman" w:cs="Times New Roman"/>
          <w:noProof/>
        </w:rPr>
        <w:t xml:space="preserve">(1), 1-25. </w:t>
      </w:r>
    </w:p>
    <w:p w14:paraId="1C674E7C" w14:textId="77777777"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Hezel, D. M., &amp; McNally, R. J. (2016). A theoretical review of cognitive biases and deficits in obsessive–compulsive disorder. </w:t>
      </w:r>
      <w:r w:rsidRPr="004F28BA">
        <w:rPr>
          <w:rFonts w:ascii="Times New Roman" w:hAnsi="Times New Roman" w:cs="Times New Roman"/>
          <w:i/>
          <w:noProof/>
        </w:rPr>
        <w:t>Biological Psychology, 121</w:t>
      </w:r>
      <w:r w:rsidRPr="004F28BA">
        <w:rPr>
          <w:rFonts w:ascii="Times New Roman" w:hAnsi="Times New Roman" w:cs="Times New Roman"/>
          <w:noProof/>
        </w:rPr>
        <w:t xml:space="preserve">, 221-232. </w:t>
      </w:r>
    </w:p>
    <w:p w14:paraId="423AA2A5" w14:textId="3E0BD4DE" w:rsidR="003219B1"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Huang, J. L., Curran, P. G., Keeney, J., Poposki, E. M., &amp; DeShon, R. P. (2012). Detecting and deterring insufficient effort responding to surveys. </w:t>
      </w:r>
      <w:r w:rsidRPr="004F28BA">
        <w:rPr>
          <w:rFonts w:ascii="Times New Roman" w:hAnsi="Times New Roman" w:cs="Times New Roman"/>
          <w:i/>
          <w:noProof/>
        </w:rPr>
        <w:t>Journal of Business and Psychology, 27</w:t>
      </w:r>
      <w:r w:rsidRPr="004F28BA">
        <w:rPr>
          <w:rFonts w:ascii="Times New Roman" w:hAnsi="Times New Roman" w:cs="Times New Roman"/>
          <w:noProof/>
        </w:rPr>
        <w:t xml:space="preserve">(1), 99-114. </w:t>
      </w:r>
    </w:p>
    <w:p w14:paraId="5D9F9F52" w14:textId="255737D5" w:rsidR="00925059" w:rsidRPr="00925059" w:rsidRDefault="00925059" w:rsidP="00925059">
      <w:pPr>
        <w:pStyle w:val="EndNoteBibliography"/>
        <w:spacing w:line="480" w:lineRule="auto"/>
        <w:ind w:left="720" w:hanging="720"/>
        <w:rPr>
          <w:rFonts w:ascii="Times New Roman" w:hAnsi="Times New Roman" w:cs="Times New Roman"/>
          <w:noProof/>
        </w:rPr>
      </w:pPr>
      <w:r w:rsidRPr="00925059">
        <w:rPr>
          <w:rFonts w:ascii="Times New Roman" w:hAnsi="Times New Roman" w:cs="Times New Roman"/>
          <w:noProof/>
        </w:rPr>
        <w:t xml:space="preserve">Irfan, U. (2016). </w:t>
      </w:r>
      <w:r w:rsidRPr="00925059">
        <w:rPr>
          <w:rFonts w:ascii="Times New Roman" w:hAnsi="Times New Roman" w:cs="Times New Roman"/>
          <w:i/>
          <w:iCs/>
          <w:noProof/>
        </w:rPr>
        <w:t>Mental health and factors related to mental health among Pakistani university students</w:t>
      </w:r>
      <w:r w:rsidRPr="00925059">
        <w:rPr>
          <w:rFonts w:ascii="Times New Roman" w:hAnsi="Times New Roman" w:cs="Times New Roman"/>
          <w:noProof/>
        </w:rPr>
        <w:t>.</w:t>
      </w:r>
      <w:r>
        <w:rPr>
          <w:rFonts w:ascii="Times New Roman" w:hAnsi="Times New Roman" w:cs="Times New Roman"/>
          <w:noProof/>
        </w:rPr>
        <w:t xml:space="preserve"> [Doctoral dissertation, University of Canterbury]. </w:t>
      </w:r>
    </w:p>
    <w:p w14:paraId="5E7E653D" w14:textId="01E3D997"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Jacoby, R. J., Leonard, R. C., Riemann, B. C., &amp; Abramowitz, J. S. (2014). Predictors of quality of life and functional impairment in obsessive–compulsive disorder. </w:t>
      </w:r>
      <w:r w:rsidRPr="004F28BA">
        <w:rPr>
          <w:rFonts w:ascii="Times New Roman" w:hAnsi="Times New Roman" w:cs="Times New Roman"/>
          <w:i/>
          <w:noProof/>
        </w:rPr>
        <w:t xml:space="preserve">Comprehensive </w:t>
      </w:r>
      <w:r w:rsidR="00E14DA6">
        <w:rPr>
          <w:rFonts w:ascii="Times New Roman" w:hAnsi="Times New Roman" w:cs="Times New Roman"/>
          <w:i/>
          <w:noProof/>
        </w:rPr>
        <w:t>P</w:t>
      </w:r>
      <w:r w:rsidRPr="004F28BA">
        <w:rPr>
          <w:rFonts w:ascii="Times New Roman" w:hAnsi="Times New Roman" w:cs="Times New Roman"/>
          <w:i/>
          <w:noProof/>
        </w:rPr>
        <w:t>sychiatry, 55</w:t>
      </w:r>
      <w:r w:rsidRPr="004F28BA">
        <w:rPr>
          <w:rFonts w:ascii="Times New Roman" w:hAnsi="Times New Roman" w:cs="Times New Roman"/>
          <w:noProof/>
        </w:rPr>
        <w:t xml:space="preserve">(5), 1195-1202. </w:t>
      </w:r>
    </w:p>
    <w:p w14:paraId="31FEB213" w14:textId="16F5A70E"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Keyes, C. L., Wissing, M., Potgieter, J. P., Temane, M., Kruger, A., &amp; Van Rooy, S. (2008). Evaluation of the mental health continuum–short form (MHC–SF) in </w:t>
      </w:r>
      <w:r w:rsidR="00173D81">
        <w:rPr>
          <w:rFonts w:ascii="Times New Roman" w:hAnsi="Times New Roman" w:cs="Times New Roman"/>
          <w:noProof/>
        </w:rPr>
        <w:t>S</w:t>
      </w:r>
      <w:r w:rsidRPr="004F28BA">
        <w:rPr>
          <w:rFonts w:ascii="Times New Roman" w:hAnsi="Times New Roman" w:cs="Times New Roman"/>
          <w:noProof/>
        </w:rPr>
        <w:t xml:space="preserve">etswana‐speaking South Africans. </w:t>
      </w:r>
      <w:r w:rsidRPr="004F28BA">
        <w:rPr>
          <w:rFonts w:ascii="Times New Roman" w:hAnsi="Times New Roman" w:cs="Times New Roman"/>
          <w:i/>
          <w:noProof/>
        </w:rPr>
        <w:t>Clinical Psychology &amp; Psychotherapy, 15</w:t>
      </w:r>
      <w:r w:rsidRPr="004F28BA">
        <w:rPr>
          <w:rFonts w:ascii="Times New Roman" w:hAnsi="Times New Roman" w:cs="Times New Roman"/>
          <w:noProof/>
        </w:rPr>
        <w:t xml:space="preserve">(3), 181-192. </w:t>
      </w:r>
    </w:p>
    <w:p w14:paraId="13023F5F" w14:textId="7AD96ED2"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lastRenderedPageBreak/>
        <w:t xml:space="preserve">Lamers, S. M., Westerhof, G. J., Bohlmeijer, E. T., ten Klooster, P. M., &amp; Keyes, C. L. (2011). Evaluating the psychometric properties of the mental health continuum‐short form (MHC‐SF). </w:t>
      </w:r>
      <w:r w:rsidRPr="004F28BA">
        <w:rPr>
          <w:rFonts w:ascii="Times New Roman" w:hAnsi="Times New Roman" w:cs="Times New Roman"/>
          <w:i/>
          <w:noProof/>
        </w:rPr>
        <w:t xml:space="preserve">Journal of </w:t>
      </w:r>
      <w:r w:rsidR="00A34CEE">
        <w:rPr>
          <w:rFonts w:ascii="Times New Roman" w:hAnsi="Times New Roman" w:cs="Times New Roman"/>
          <w:i/>
          <w:noProof/>
        </w:rPr>
        <w:t>C</w:t>
      </w:r>
      <w:r w:rsidRPr="004F28BA">
        <w:rPr>
          <w:rFonts w:ascii="Times New Roman" w:hAnsi="Times New Roman" w:cs="Times New Roman"/>
          <w:i/>
          <w:noProof/>
        </w:rPr>
        <w:t xml:space="preserve">linical </w:t>
      </w:r>
      <w:r w:rsidR="00A34CEE">
        <w:rPr>
          <w:rFonts w:ascii="Times New Roman" w:hAnsi="Times New Roman" w:cs="Times New Roman"/>
          <w:i/>
          <w:noProof/>
        </w:rPr>
        <w:t>P</w:t>
      </w:r>
      <w:r w:rsidRPr="004F28BA">
        <w:rPr>
          <w:rFonts w:ascii="Times New Roman" w:hAnsi="Times New Roman" w:cs="Times New Roman"/>
          <w:i/>
          <w:noProof/>
        </w:rPr>
        <w:t>sychology, 67</w:t>
      </w:r>
      <w:r w:rsidRPr="004F28BA">
        <w:rPr>
          <w:rFonts w:ascii="Times New Roman" w:hAnsi="Times New Roman" w:cs="Times New Roman"/>
          <w:noProof/>
        </w:rPr>
        <w:t xml:space="preserve">(1), 99-110. </w:t>
      </w:r>
    </w:p>
    <w:p w14:paraId="5845E964" w14:textId="1B5C94C4" w:rsidR="003219B1"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Langlois, F., Freeston, M. H., &amp; Ladouceur, R. (2000). Differences and similarities between obsessive intrusive thoughts and worry in a non-clinical population: Study 1. </w:t>
      </w:r>
      <w:r w:rsidRPr="004F28BA">
        <w:rPr>
          <w:rFonts w:ascii="Times New Roman" w:hAnsi="Times New Roman" w:cs="Times New Roman"/>
          <w:i/>
          <w:noProof/>
        </w:rPr>
        <w:t xml:space="preserve">Behaviour </w:t>
      </w:r>
      <w:r w:rsidR="001B1E6E">
        <w:rPr>
          <w:rFonts w:ascii="Times New Roman" w:hAnsi="Times New Roman" w:cs="Times New Roman"/>
          <w:i/>
          <w:noProof/>
        </w:rPr>
        <w:t>R</w:t>
      </w:r>
      <w:r w:rsidRPr="004F28BA">
        <w:rPr>
          <w:rFonts w:ascii="Times New Roman" w:hAnsi="Times New Roman" w:cs="Times New Roman"/>
          <w:i/>
          <w:noProof/>
        </w:rPr>
        <w:t xml:space="preserve">esearch and </w:t>
      </w:r>
      <w:r w:rsidR="001B1E6E">
        <w:rPr>
          <w:rFonts w:ascii="Times New Roman" w:hAnsi="Times New Roman" w:cs="Times New Roman"/>
          <w:i/>
          <w:noProof/>
        </w:rPr>
        <w:t>T</w:t>
      </w:r>
      <w:r w:rsidRPr="004F28BA">
        <w:rPr>
          <w:rFonts w:ascii="Times New Roman" w:hAnsi="Times New Roman" w:cs="Times New Roman"/>
          <w:i/>
          <w:noProof/>
        </w:rPr>
        <w:t>herapy, 38</w:t>
      </w:r>
      <w:r w:rsidRPr="004F28BA">
        <w:rPr>
          <w:rFonts w:ascii="Times New Roman" w:hAnsi="Times New Roman" w:cs="Times New Roman"/>
          <w:noProof/>
        </w:rPr>
        <w:t xml:space="preserve">(2), 157-173. </w:t>
      </w:r>
    </w:p>
    <w:p w14:paraId="49C3DE65" w14:textId="4C0D3BC2" w:rsidR="003070B7" w:rsidRPr="004F28BA" w:rsidRDefault="003070B7" w:rsidP="003070B7">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O</w:t>
      </w:r>
      <w:r>
        <w:rPr>
          <w:rFonts w:ascii="Times New Roman" w:hAnsi="Times New Roman" w:cs="Times New Roman"/>
          <w:noProof/>
        </w:rPr>
        <w:t>bsessive Compulsive Cognitions Working Group</w:t>
      </w:r>
      <w:r w:rsidRPr="004F28BA">
        <w:rPr>
          <w:rFonts w:ascii="Times New Roman" w:hAnsi="Times New Roman" w:cs="Times New Roman"/>
          <w:noProof/>
        </w:rPr>
        <w:t xml:space="preserve"> (2005). Psychometric validation of the obsessive belief questionnaire and interpretation of intrusions inventory—Part 2: Factor analyses and testing of a brief version. </w:t>
      </w:r>
      <w:r w:rsidRPr="004F28BA">
        <w:rPr>
          <w:rFonts w:ascii="Times New Roman" w:hAnsi="Times New Roman" w:cs="Times New Roman"/>
          <w:i/>
          <w:noProof/>
        </w:rPr>
        <w:t>Behaviour Research and Therapy, 43</w:t>
      </w:r>
      <w:r w:rsidRPr="004F28BA">
        <w:rPr>
          <w:rFonts w:ascii="Times New Roman" w:hAnsi="Times New Roman" w:cs="Times New Roman"/>
          <w:noProof/>
        </w:rPr>
        <w:t xml:space="preserve">(11), 1527-1542. </w:t>
      </w:r>
    </w:p>
    <w:p w14:paraId="0D177EEB" w14:textId="65CB314F"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Ong, C. W., Krafft, J., Levin, M. E., &amp; Twohig, M. P. (2018). An examination of the role of psychological inflexibility in hoarding using multiple mediator models. </w:t>
      </w:r>
      <w:r w:rsidRPr="004F28BA">
        <w:rPr>
          <w:rFonts w:ascii="Times New Roman" w:hAnsi="Times New Roman" w:cs="Times New Roman"/>
          <w:i/>
          <w:noProof/>
        </w:rPr>
        <w:t xml:space="preserve">Journal of </w:t>
      </w:r>
      <w:r w:rsidR="00F304CA">
        <w:rPr>
          <w:rFonts w:ascii="Times New Roman" w:hAnsi="Times New Roman" w:cs="Times New Roman"/>
          <w:i/>
          <w:noProof/>
        </w:rPr>
        <w:t>C</w:t>
      </w:r>
      <w:r w:rsidRPr="004F28BA">
        <w:rPr>
          <w:rFonts w:ascii="Times New Roman" w:hAnsi="Times New Roman" w:cs="Times New Roman"/>
          <w:i/>
          <w:noProof/>
        </w:rPr>
        <w:t xml:space="preserve">ognitive </w:t>
      </w:r>
      <w:r w:rsidR="00F304CA">
        <w:rPr>
          <w:rFonts w:ascii="Times New Roman" w:hAnsi="Times New Roman" w:cs="Times New Roman"/>
          <w:i/>
          <w:noProof/>
        </w:rPr>
        <w:t>P</w:t>
      </w:r>
      <w:r w:rsidRPr="004F28BA">
        <w:rPr>
          <w:rFonts w:ascii="Times New Roman" w:hAnsi="Times New Roman" w:cs="Times New Roman"/>
          <w:i/>
          <w:noProof/>
        </w:rPr>
        <w:t>sychotherapy, 32</w:t>
      </w:r>
      <w:r w:rsidRPr="004F28BA">
        <w:rPr>
          <w:rFonts w:ascii="Times New Roman" w:hAnsi="Times New Roman" w:cs="Times New Roman"/>
          <w:noProof/>
        </w:rPr>
        <w:t xml:space="preserve">(2), 97-111. </w:t>
      </w:r>
    </w:p>
    <w:p w14:paraId="596CABD3" w14:textId="7762BFEA"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Purdon, C., Rowa, K., &amp; Antony, M. M. (2005). Thought suppression and its effects on thought frequency, appraisal and mood state in individuals with obsessive-compulsive disorder. </w:t>
      </w:r>
      <w:r w:rsidRPr="004F28BA">
        <w:rPr>
          <w:rFonts w:ascii="Times New Roman" w:hAnsi="Times New Roman" w:cs="Times New Roman"/>
          <w:i/>
          <w:noProof/>
        </w:rPr>
        <w:t xml:space="preserve">Behaviour </w:t>
      </w:r>
      <w:r w:rsidR="006A0A57">
        <w:rPr>
          <w:rFonts w:ascii="Times New Roman" w:hAnsi="Times New Roman" w:cs="Times New Roman"/>
          <w:i/>
          <w:noProof/>
        </w:rPr>
        <w:t>R</w:t>
      </w:r>
      <w:r w:rsidRPr="004F28BA">
        <w:rPr>
          <w:rFonts w:ascii="Times New Roman" w:hAnsi="Times New Roman" w:cs="Times New Roman"/>
          <w:i/>
          <w:noProof/>
        </w:rPr>
        <w:t xml:space="preserve">esearch and </w:t>
      </w:r>
      <w:r w:rsidR="006A0A57">
        <w:rPr>
          <w:rFonts w:ascii="Times New Roman" w:hAnsi="Times New Roman" w:cs="Times New Roman"/>
          <w:i/>
          <w:noProof/>
        </w:rPr>
        <w:t>T</w:t>
      </w:r>
      <w:r w:rsidRPr="004F28BA">
        <w:rPr>
          <w:rFonts w:ascii="Times New Roman" w:hAnsi="Times New Roman" w:cs="Times New Roman"/>
          <w:i/>
          <w:noProof/>
        </w:rPr>
        <w:t>herapy, 43</w:t>
      </w:r>
      <w:r w:rsidRPr="004F28BA">
        <w:rPr>
          <w:rFonts w:ascii="Times New Roman" w:hAnsi="Times New Roman" w:cs="Times New Roman"/>
          <w:noProof/>
        </w:rPr>
        <w:t xml:space="preserve">(1), 93-108. </w:t>
      </w:r>
    </w:p>
    <w:p w14:paraId="3908AF2B" w14:textId="77777777"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R Core Team. (2019). </w:t>
      </w:r>
      <w:r w:rsidRPr="004F28BA">
        <w:rPr>
          <w:rFonts w:ascii="Times New Roman" w:hAnsi="Times New Roman" w:cs="Times New Roman"/>
          <w:i/>
          <w:noProof/>
        </w:rPr>
        <w:t>R: A language and environment for statistical computing</w:t>
      </w:r>
      <w:r w:rsidRPr="004F28BA">
        <w:rPr>
          <w:rFonts w:ascii="Times New Roman" w:hAnsi="Times New Roman" w:cs="Times New Roman"/>
          <w:noProof/>
        </w:rPr>
        <w:t>. Vienna, Austria: R Foundation for Statistical Computing.</w:t>
      </w:r>
    </w:p>
    <w:p w14:paraId="1D34E595" w14:textId="77777777"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Raley, K. (2012). I just want your kiss? Sexual relationships in young adulthood. In </w:t>
      </w:r>
      <w:r w:rsidRPr="004F28BA">
        <w:rPr>
          <w:rFonts w:ascii="Times New Roman" w:hAnsi="Times New Roman" w:cs="Times New Roman"/>
          <w:i/>
          <w:noProof/>
        </w:rPr>
        <w:t>Early Adulthood in a Family Context</w:t>
      </w:r>
      <w:r w:rsidRPr="004F28BA">
        <w:rPr>
          <w:rFonts w:ascii="Times New Roman" w:hAnsi="Times New Roman" w:cs="Times New Roman"/>
          <w:noProof/>
        </w:rPr>
        <w:t xml:space="preserve"> (pp. 173-182): Springer.</w:t>
      </w:r>
    </w:p>
    <w:p w14:paraId="11583A42" w14:textId="77777777"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Reid, A. M., Garner, L. E., Van Kirk, N., Gironda, C., Krompinger, J. W., Brennan, B. P., . . . André, M. C. (2017). How willing are you? Willingness as a predictor of change during </w:t>
      </w:r>
      <w:r w:rsidRPr="004F28BA">
        <w:rPr>
          <w:rFonts w:ascii="Times New Roman" w:hAnsi="Times New Roman" w:cs="Times New Roman"/>
          <w:noProof/>
        </w:rPr>
        <w:lastRenderedPageBreak/>
        <w:t xml:space="preserve">treatment of adults with obsessive–compulsive disorder. </w:t>
      </w:r>
      <w:r w:rsidRPr="004F28BA">
        <w:rPr>
          <w:rFonts w:ascii="Times New Roman" w:hAnsi="Times New Roman" w:cs="Times New Roman"/>
          <w:i/>
          <w:noProof/>
        </w:rPr>
        <w:t>Depression and Anxiety, 34</w:t>
      </w:r>
      <w:r w:rsidRPr="004F28BA">
        <w:rPr>
          <w:rFonts w:ascii="Times New Roman" w:hAnsi="Times New Roman" w:cs="Times New Roman"/>
          <w:noProof/>
        </w:rPr>
        <w:t xml:space="preserve">(11), 1057-1064. </w:t>
      </w:r>
    </w:p>
    <w:p w14:paraId="00BFA124" w14:textId="35D674B7"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Reuman, L., Buchholz, J., &amp; Abramowitz, J. S. (2018). Obsessive beliefs, experiential avoidance, and cognitive fusion as predictors of obsessive-compulsive disorder symptom dimensions. </w:t>
      </w:r>
      <w:r w:rsidRPr="004F28BA">
        <w:rPr>
          <w:rFonts w:ascii="Times New Roman" w:hAnsi="Times New Roman" w:cs="Times New Roman"/>
          <w:i/>
          <w:noProof/>
        </w:rPr>
        <w:t xml:space="preserve">Journal of </w:t>
      </w:r>
      <w:r w:rsidR="009802FF">
        <w:rPr>
          <w:rFonts w:ascii="Times New Roman" w:hAnsi="Times New Roman" w:cs="Times New Roman"/>
          <w:i/>
          <w:noProof/>
        </w:rPr>
        <w:t>C</w:t>
      </w:r>
      <w:r w:rsidRPr="004F28BA">
        <w:rPr>
          <w:rFonts w:ascii="Times New Roman" w:hAnsi="Times New Roman" w:cs="Times New Roman"/>
          <w:i/>
          <w:noProof/>
        </w:rPr>
        <w:t xml:space="preserve">ontextual </w:t>
      </w:r>
      <w:r w:rsidR="009802FF">
        <w:rPr>
          <w:rFonts w:ascii="Times New Roman" w:hAnsi="Times New Roman" w:cs="Times New Roman"/>
          <w:i/>
          <w:noProof/>
        </w:rPr>
        <w:t>B</w:t>
      </w:r>
      <w:r w:rsidRPr="004F28BA">
        <w:rPr>
          <w:rFonts w:ascii="Times New Roman" w:hAnsi="Times New Roman" w:cs="Times New Roman"/>
          <w:i/>
          <w:noProof/>
        </w:rPr>
        <w:t xml:space="preserve">ehavioral </w:t>
      </w:r>
      <w:r w:rsidR="002E243D">
        <w:rPr>
          <w:rFonts w:ascii="Times New Roman" w:hAnsi="Times New Roman" w:cs="Times New Roman"/>
          <w:i/>
          <w:noProof/>
        </w:rPr>
        <w:t>S</w:t>
      </w:r>
      <w:r w:rsidRPr="004F28BA">
        <w:rPr>
          <w:rFonts w:ascii="Times New Roman" w:hAnsi="Times New Roman" w:cs="Times New Roman"/>
          <w:i/>
          <w:noProof/>
        </w:rPr>
        <w:t>cience, 9</w:t>
      </w:r>
      <w:r w:rsidRPr="004F28BA">
        <w:rPr>
          <w:rFonts w:ascii="Times New Roman" w:hAnsi="Times New Roman" w:cs="Times New Roman"/>
          <w:noProof/>
        </w:rPr>
        <w:t xml:space="preserve">, 15-20. </w:t>
      </w:r>
    </w:p>
    <w:p w14:paraId="5295872B" w14:textId="77777777"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Reuman, L., Jacoby, R. J., &amp; Abramowitz, J. S. (2016). Cognitive fusion, experiential avoidance, and obsessive beliefs as predictors of obsessive-compulsive symptom dimensions. </w:t>
      </w:r>
      <w:r w:rsidRPr="004F28BA">
        <w:rPr>
          <w:rFonts w:ascii="Times New Roman" w:hAnsi="Times New Roman" w:cs="Times New Roman"/>
          <w:i/>
          <w:noProof/>
        </w:rPr>
        <w:t>International Journal of Cognitive Therapy, 9</w:t>
      </w:r>
      <w:r w:rsidRPr="004F28BA">
        <w:rPr>
          <w:rFonts w:ascii="Times New Roman" w:hAnsi="Times New Roman" w:cs="Times New Roman"/>
          <w:noProof/>
        </w:rPr>
        <w:t xml:space="preserve">(4), 313-326. </w:t>
      </w:r>
    </w:p>
    <w:p w14:paraId="4D6F5317" w14:textId="5FFE7643"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Revelle, W. (2018). psych: Procedures for psychological, psychometric, and personality research. R package version 1.8.10</w:t>
      </w:r>
      <w:r w:rsidR="007B6049">
        <w:rPr>
          <w:rFonts w:ascii="Times New Roman" w:hAnsi="Times New Roman" w:cs="Times New Roman"/>
          <w:noProof/>
        </w:rPr>
        <w:t>.</w:t>
      </w:r>
    </w:p>
    <w:p w14:paraId="42D36FD3" w14:textId="30B6E868"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Rosseel, Y. (2012). Lavaan: An R package for structural equation modeling and more. Version 0.5–12 (BETA). </w:t>
      </w:r>
      <w:r w:rsidRPr="004F28BA">
        <w:rPr>
          <w:rFonts w:ascii="Times New Roman" w:hAnsi="Times New Roman" w:cs="Times New Roman"/>
          <w:i/>
          <w:noProof/>
        </w:rPr>
        <w:t xml:space="preserve">Journal of </w:t>
      </w:r>
      <w:r w:rsidR="00245821">
        <w:rPr>
          <w:rFonts w:ascii="Times New Roman" w:hAnsi="Times New Roman" w:cs="Times New Roman"/>
          <w:i/>
          <w:noProof/>
        </w:rPr>
        <w:t>S</w:t>
      </w:r>
      <w:r w:rsidRPr="004F28BA">
        <w:rPr>
          <w:rFonts w:ascii="Times New Roman" w:hAnsi="Times New Roman" w:cs="Times New Roman"/>
          <w:i/>
          <w:noProof/>
        </w:rPr>
        <w:t xml:space="preserve">tatistical </w:t>
      </w:r>
      <w:r w:rsidR="00245821">
        <w:rPr>
          <w:rFonts w:ascii="Times New Roman" w:hAnsi="Times New Roman" w:cs="Times New Roman"/>
          <w:i/>
          <w:noProof/>
        </w:rPr>
        <w:t>S</w:t>
      </w:r>
      <w:r w:rsidRPr="004F28BA">
        <w:rPr>
          <w:rFonts w:ascii="Times New Roman" w:hAnsi="Times New Roman" w:cs="Times New Roman"/>
          <w:i/>
          <w:noProof/>
        </w:rPr>
        <w:t>oftware, 48</w:t>
      </w:r>
      <w:r w:rsidRPr="004F28BA">
        <w:rPr>
          <w:rFonts w:ascii="Times New Roman" w:hAnsi="Times New Roman" w:cs="Times New Roman"/>
          <w:noProof/>
        </w:rPr>
        <w:t xml:space="preserve">(2), 1-36. </w:t>
      </w:r>
    </w:p>
    <w:p w14:paraId="4475BCA8" w14:textId="77777777"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RStudio Team. (2019). RStudio: Integrated Development for R. Retrieved from http://www.rstudio.com/</w:t>
      </w:r>
    </w:p>
    <w:p w14:paraId="73D34C0D" w14:textId="77777777"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Salkovskis, P. M., Thorpe, S., Wahl, K., Wroe, A. L., &amp; Forrester, E. (2003). Neutralizing increases discomfort associated with obsessional thoughts: An experimental study with obsessional patients. </w:t>
      </w:r>
      <w:r w:rsidRPr="004F28BA">
        <w:rPr>
          <w:rFonts w:ascii="Times New Roman" w:hAnsi="Times New Roman" w:cs="Times New Roman"/>
          <w:i/>
          <w:noProof/>
        </w:rPr>
        <w:t>Journal of Abnormal Psychology, 112</w:t>
      </w:r>
      <w:r w:rsidRPr="004F28BA">
        <w:rPr>
          <w:rFonts w:ascii="Times New Roman" w:hAnsi="Times New Roman" w:cs="Times New Roman"/>
          <w:noProof/>
        </w:rPr>
        <w:t xml:space="preserve">(4), 709. </w:t>
      </w:r>
    </w:p>
    <w:p w14:paraId="0C197275" w14:textId="499C7399" w:rsidR="003219B1"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Siev, J., Steketee, G., Fama, J. M., &amp; Wilhelm, S. (2011). Cognitive and clinical characteristics of sexual and religious obsessions. </w:t>
      </w:r>
      <w:r w:rsidRPr="004F28BA">
        <w:rPr>
          <w:rFonts w:ascii="Times New Roman" w:hAnsi="Times New Roman" w:cs="Times New Roman"/>
          <w:i/>
          <w:noProof/>
        </w:rPr>
        <w:t xml:space="preserve">Journal of </w:t>
      </w:r>
      <w:r w:rsidR="00D43F6A">
        <w:rPr>
          <w:rFonts w:ascii="Times New Roman" w:hAnsi="Times New Roman" w:cs="Times New Roman"/>
          <w:i/>
          <w:noProof/>
        </w:rPr>
        <w:t>C</w:t>
      </w:r>
      <w:r w:rsidRPr="004F28BA">
        <w:rPr>
          <w:rFonts w:ascii="Times New Roman" w:hAnsi="Times New Roman" w:cs="Times New Roman"/>
          <w:i/>
          <w:noProof/>
        </w:rPr>
        <w:t xml:space="preserve">ognitive </w:t>
      </w:r>
      <w:r w:rsidR="00D43F6A">
        <w:rPr>
          <w:rFonts w:ascii="Times New Roman" w:hAnsi="Times New Roman" w:cs="Times New Roman"/>
          <w:i/>
          <w:noProof/>
        </w:rPr>
        <w:t>P</w:t>
      </w:r>
      <w:r w:rsidRPr="004F28BA">
        <w:rPr>
          <w:rFonts w:ascii="Times New Roman" w:hAnsi="Times New Roman" w:cs="Times New Roman"/>
          <w:i/>
          <w:noProof/>
        </w:rPr>
        <w:t>sychotherapy, 25</w:t>
      </w:r>
      <w:r w:rsidRPr="004F28BA">
        <w:rPr>
          <w:rFonts w:ascii="Times New Roman" w:hAnsi="Times New Roman" w:cs="Times New Roman"/>
          <w:noProof/>
        </w:rPr>
        <w:t xml:space="preserve">(3), 167. </w:t>
      </w:r>
    </w:p>
    <w:p w14:paraId="120B9E4F" w14:textId="2303CDA1" w:rsidR="00AF2843" w:rsidRPr="00AF2843" w:rsidRDefault="00AF2843" w:rsidP="00AF2843">
      <w:pPr>
        <w:pStyle w:val="EndNoteBibliography"/>
        <w:spacing w:line="480" w:lineRule="auto"/>
        <w:ind w:left="720" w:hanging="720"/>
        <w:rPr>
          <w:rFonts w:ascii="Times New Roman" w:hAnsi="Times New Roman" w:cs="Times New Roman"/>
          <w:noProof/>
        </w:rPr>
      </w:pPr>
      <w:r w:rsidRPr="00AF2843">
        <w:rPr>
          <w:rFonts w:ascii="Times New Roman" w:hAnsi="Times New Roman" w:cs="Times New Roman"/>
          <w:noProof/>
        </w:rPr>
        <w:t xml:space="preserve">Sloane, H., &amp; Petra, M. (2021). Modeling </w:t>
      </w:r>
      <w:r>
        <w:rPr>
          <w:rFonts w:ascii="Times New Roman" w:hAnsi="Times New Roman" w:cs="Times New Roman"/>
          <w:noProof/>
        </w:rPr>
        <w:t>c</w:t>
      </w:r>
      <w:r w:rsidRPr="00AF2843">
        <w:rPr>
          <w:rFonts w:ascii="Times New Roman" w:hAnsi="Times New Roman" w:cs="Times New Roman"/>
          <w:noProof/>
        </w:rPr>
        <w:t xml:space="preserve">ultural </w:t>
      </w:r>
      <w:r>
        <w:rPr>
          <w:rFonts w:ascii="Times New Roman" w:hAnsi="Times New Roman" w:cs="Times New Roman"/>
          <w:noProof/>
        </w:rPr>
        <w:t>h</w:t>
      </w:r>
      <w:r w:rsidRPr="00AF2843">
        <w:rPr>
          <w:rFonts w:ascii="Times New Roman" w:hAnsi="Times New Roman" w:cs="Times New Roman"/>
          <w:noProof/>
        </w:rPr>
        <w:t xml:space="preserve">umility: Listening to </w:t>
      </w:r>
      <w:r>
        <w:rPr>
          <w:rFonts w:ascii="Times New Roman" w:hAnsi="Times New Roman" w:cs="Times New Roman"/>
          <w:noProof/>
        </w:rPr>
        <w:t>s</w:t>
      </w:r>
      <w:r w:rsidRPr="00AF2843">
        <w:rPr>
          <w:rFonts w:ascii="Times New Roman" w:hAnsi="Times New Roman" w:cs="Times New Roman"/>
          <w:noProof/>
        </w:rPr>
        <w:t xml:space="preserve">tudents’ </w:t>
      </w:r>
      <w:r>
        <w:rPr>
          <w:rFonts w:ascii="Times New Roman" w:hAnsi="Times New Roman" w:cs="Times New Roman"/>
          <w:noProof/>
        </w:rPr>
        <w:t>s</w:t>
      </w:r>
      <w:r w:rsidRPr="00AF2843">
        <w:rPr>
          <w:rFonts w:ascii="Times New Roman" w:hAnsi="Times New Roman" w:cs="Times New Roman"/>
          <w:noProof/>
        </w:rPr>
        <w:t xml:space="preserve">tories of </w:t>
      </w:r>
      <w:r>
        <w:rPr>
          <w:rFonts w:ascii="Times New Roman" w:hAnsi="Times New Roman" w:cs="Times New Roman"/>
          <w:noProof/>
        </w:rPr>
        <w:t>r</w:t>
      </w:r>
      <w:r w:rsidRPr="00AF2843">
        <w:rPr>
          <w:rFonts w:ascii="Times New Roman" w:hAnsi="Times New Roman" w:cs="Times New Roman"/>
          <w:noProof/>
        </w:rPr>
        <w:t xml:space="preserve">eligious </w:t>
      </w:r>
      <w:r>
        <w:rPr>
          <w:rFonts w:ascii="Times New Roman" w:hAnsi="Times New Roman" w:cs="Times New Roman"/>
          <w:noProof/>
        </w:rPr>
        <w:t>i</w:t>
      </w:r>
      <w:r w:rsidRPr="00AF2843">
        <w:rPr>
          <w:rFonts w:ascii="Times New Roman" w:hAnsi="Times New Roman" w:cs="Times New Roman"/>
          <w:noProof/>
        </w:rPr>
        <w:t>dentity. </w:t>
      </w:r>
      <w:r w:rsidRPr="00AF2843">
        <w:rPr>
          <w:rFonts w:ascii="Times New Roman" w:hAnsi="Times New Roman" w:cs="Times New Roman"/>
          <w:i/>
          <w:iCs/>
          <w:noProof/>
        </w:rPr>
        <w:t>Journal of Social Work Education</w:t>
      </w:r>
      <w:r w:rsidRPr="00AF2843">
        <w:rPr>
          <w:rFonts w:ascii="Times New Roman" w:hAnsi="Times New Roman" w:cs="Times New Roman"/>
          <w:noProof/>
        </w:rPr>
        <w:t>, </w:t>
      </w:r>
      <w:r w:rsidRPr="00AF2843">
        <w:rPr>
          <w:rFonts w:ascii="Times New Roman" w:hAnsi="Times New Roman" w:cs="Times New Roman"/>
          <w:i/>
          <w:iCs/>
          <w:noProof/>
        </w:rPr>
        <w:t>57</w:t>
      </w:r>
      <w:r w:rsidRPr="00AF2843">
        <w:rPr>
          <w:rFonts w:ascii="Times New Roman" w:hAnsi="Times New Roman" w:cs="Times New Roman"/>
          <w:noProof/>
        </w:rPr>
        <w:t>(1), 28-39.</w:t>
      </w:r>
    </w:p>
    <w:p w14:paraId="47489CFD" w14:textId="6662CD57" w:rsidR="003219B1"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lastRenderedPageBreak/>
        <w:t xml:space="preserve">Sudhir, P. M., Sharma, M. P., Mariamma, P., &amp; Subbakrishna, D. (2012). Quality of life in anxiety disorders: Its relation to work and social functioning and dysfunctional cognitions: An exploratory study from India. </w:t>
      </w:r>
      <w:r w:rsidRPr="004F28BA">
        <w:rPr>
          <w:rFonts w:ascii="Times New Roman" w:hAnsi="Times New Roman" w:cs="Times New Roman"/>
          <w:i/>
          <w:noProof/>
        </w:rPr>
        <w:t>Asian Journal of Psychiatry, 5</w:t>
      </w:r>
      <w:r w:rsidRPr="004F28BA">
        <w:rPr>
          <w:rFonts w:ascii="Times New Roman" w:hAnsi="Times New Roman" w:cs="Times New Roman"/>
          <w:noProof/>
        </w:rPr>
        <w:t xml:space="preserve">(4), 309-314. </w:t>
      </w:r>
    </w:p>
    <w:p w14:paraId="776C7398" w14:textId="5A245C48" w:rsidR="00F103DB" w:rsidRPr="00F103DB" w:rsidRDefault="00F103DB" w:rsidP="00F103DB">
      <w:pPr>
        <w:pStyle w:val="EndNoteBibliography"/>
        <w:spacing w:line="480" w:lineRule="auto"/>
        <w:ind w:left="720" w:hanging="720"/>
        <w:rPr>
          <w:rFonts w:ascii="Times New Roman" w:hAnsi="Times New Roman" w:cs="Times New Roman"/>
          <w:noProof/>
        </w:rPr>
      </w:pPr>
      <w:r w:rsidRPr="00F103DB">
        <w:rPr>
          <w:rFonts w:ascii="Times New Roman" w:hAnsi="Times New Roman" w:cs="Times New Roman"/>
          <w:noProof/>
        </w:rPr>
        <w:t>Thibodeau, M. A., Leonard, R. C., Abramowitz, J. S., &amp; Riemann, B. C. (2015). Secondary psychometric examination of the Dimensional Obsessive-Compulsive Scale: Classical testing, item response theory, and differential item functioning. </w:t>
      </w:r>
      <w:r w:rsidRPr="00F103DB">
        <w:rPr>
          <w:rFonts w:ascii="Times New Roman" w:hAnsi="Times New Roman" w:cs="Times New Roman"/>
          <w:i/>
          <w:iCs/>
          <w:noProof/>
        </w:rPr>
        <w:t>Assessment</w:t>
      </w:r>
      <w:r w:rsidRPr="00F103DB">
        <w:rPr>
          <w:rFonts w:ascii="Times New Roman" w:hAnsi="Times New Roman" w:cs="Times New Roman"/>
          <w:noProof/>
        </w:rPr>
        <w:t>, </w:t>
      </w:r>
      <w:r w:rsidRPr="00F103DB">
        <w:rPr>
          <w:rFonts w:ascii="Times New Roman" w:hAnsi="Times New Roman" w:cs="Times New Roman"/>
          <w:i/>
          <w:iCs/>
          <w:noProof/>
        </w:rPr>
        <w:t>22</w:t>
      </w:r>
      <w:r w:rsidRPr="00F103DB">
        <w:rPr>
          <w:rFonts w:ascii="Times New Roman" w:hAnsi="Times New Roman" w:cs="Times New Roman"/>
          <w:noProof/>
        </w:rPr>
        <w:t>(6), 681-689.</w:t>
      </w:r>
    </w:p>
    <w:p w14:paraId="47BB6F60" w14:textId="578DCF08"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Twohig, M. P., Abramowitz, J. S., Bluett, E. J., Fabricant, L. E., Jacoby, R. J., Morrison, K. L., . . . Smith, B. M. (2015). Exposure therapy for OCD from an acceptance and commitment therapy (ACT) framework. </w:t>
      </w:r>
      <w:r w:rsidRPr="004F28BA">
        <w:rPr>
          <w:rFonts w:ascii="Times New Roman" w:hAnsi="Times New Roman" w:cs="Times New Roman"/>
          <w:i/>
          <w:noProof/>
        </w:rPr>
        <w:t>Journal of Obsessive-Compulsive and Related Disorders, 6</w:t>
      </w:r>
      <w:r w:rsidRPr="004F28BA">
        <w:rPr>
          <w:rFonts w:ascii="Times New Roman" w:hAnsi="Times New Roman" w:cs="Times New Roman"/>
          <w:noProof/>
        </w:rPr>
        <w:t xml:space="preserve">, 167-173. </w:t>
      </w:r>
    </w:p>
    <w:p w14:paraId="7CAC8B11" w14:textId="1F438028"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Twohig, M. P., Hayes, S. C., &amp; Masuda, A. (2006). Increasing willingness to experience obsessions: Acceptance and commitment therapy as a treatment for obsessive-compulsive disorder. </w:t>
      </w:r>
      <w:r w:rsidRPr="004F28BA">
        <w:rPr>
          <w:rFonts w:ascii="Times New Roman" w:hAnsi="Times New Roman" w:cs="Times New Roman"/>
          <w:i/>
          <w:noProof/>
        </w:rPr>
        <w:t>Behavior Therapy, 37</w:t>
      </w:r>
      <w:r w:rsidRPr="004F28BA">
        <w:rPr>
          <w:rFonts w:ascii="Times New Roman" w:hAnsi="Times New Roman" w:cs="Times New Roman"/>
          <w:noProof/>
        </w:rPr>
        <w:t xml:space="preserve">(1), 3-13. </w:t>
      </w:r>
    </w:p>
    <w:p w14:paraId="025FF92D" w14:textId="68684FC4"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Wetterneck, C., Smith, A., Hart, J., &amp; Burgess, A. (2011). Predictors of distress from sexual thoughts in a non-clinical population: The influence of religion, emotions, and thought processes. </w:t>
      </w:r>
      <w:r w:rsidRPr="004F28BA">
        <w:rPr>
          <w:rFonts w:ascii="Times New Roman" w:hAnsi="Times New Roman" w:cs="Times New Roman"/>
          <w:i/>
          <w:noProof/>
        </w:rPr>
        <w:t xml:space="preserve">Journal of </w:t>
      </w:r>
      <w:r w:rsidR="00337630">
        <w:rPr>
          <w:rFonts w:ascii="Times New Roman" w:hAnsi="Times New Roman" w:cs="Times New Roman"/>
          <w:i/>
          <w:noProof/>
        </w:rPr>
        <w:t>C</w:t>
      </w:r>
      <w:r w:rsidRPr="004F28BA">
        <w:rPr>
          <w:rFonts w:ascii="Times New Roman" w:hAnsi="Times New Roman" w:cs="Times New Roman"/>
          <w:i/>
          <w:noProof/>
        </w:rPr>
        <w:t xml:space="preserve">ognitive </w:t>
      </w:r>
      <w:r w:rsidR="00337630">
        <w:rPr>
          <w:rFonts w:ascii="Times New Roman" w:hAnsi="Times New Roman" w:cs="Times New Roman"/>
          <w:i/>
          <w:noProof/>
        </w:rPr>
        <w:t>P</w:t>
      </w:r>
      <w:r w:rsidRPr="004F28BA">
        <w:rPr>
          <w:rFonts w:ascii="Times New Roman" w:hAnsi="Times New Roman" w:cs="Times New Roman"/>
          <w:i/>
          <w:noProof/>
        </w:rPr>
        <w:t>sychotherapy, 25</w:t>
      </w:r>
      <w:r w:rsidRPr="004F28BA">
        <w:rPr>
          <w:rFonts w:ascii="Times New Roman" w:hAnsi="Times New Roman" w:cs="Times New Roman"/>
          <w:noProof/>
        </w:rPr>
        <w:t xml:space="preserve">(3), 189-202. </w:t>
      </w:r>
    </w:p>
    <w:p w14:paraId="36E6D956" w14:textId="39EC7498"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Wetterneck, C. T., Siev, J., Adams, T. G., Slimowicz, J. C., &amp; Smith, A. H. (2015). Assessing sexually intrusive thoughts: Parsing unacceptable thoughts on the Dimensional Obsessive-Compulsive Scale. </w:t>
      </w:r>
      <w:r w:rsidRPr="004F28BA">
        <w:rPr>
          <w:rFonts w:ascii="Times New Roman" w:hAnsi="Times New Roman" w:cs="Times New Roman"/>
          <w:i/>
          <w:noProof/>
        </w:rPr>
        <w:t xml:space="preserve">Behavior </w:t>
      </w:r>
      <w:r w:rsidR="00A20A0B">
        <w:rPr>
          <w:rFonts w:ascii="Times New Roman" w:hAnsi="Times New Roman" w:cs="Times New Roman"/>
          <w:i/>
          <w:noProof/>
        </w:rPr>
        <w:t>T</w:t>
      </w:r>
      <w:r w:rsidRPr="004F28BA">
        <w:rPr>
          <w:rFonts w:ascii="Times New Roman" w:hAnsi="Times New Roman" w:cs="Times New Roman"/>
          <w:i/>
          <w:noProof/>
        </w:rPr>
        <w:t>herapy, 46</w:t>
      </w:r>
      <w:r w:rsidRPr="004F28BA">
        <w:rPr>
          <w:rFonts w:ascii="Times New Roman" w:hAnsi="Times New Roman" w:cs="Times New Roman"/>
          <w:noProof/>
        </w:rPr>
        <w:t xml:space="preserve">(4), 544-556. </w:t>
      </w:r>
    </w:p>
    <w:p w14:paraId="512C959B" w14:textId="42F6AEF7"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Williams, M. T., Ching, T. H., Tellawi, G., Siev, J., Dowell, J., Schlaudt, V., . . . Wetterneck, C. T. (2018). Assessing sexual orientation symptoms in obsessive-compulsive disorder: </w:t>
      </w:r>
      <w:r w:rsidRPr="004F28BA">
        <w:rPr>
          <w:rFonts w:ascii="Times New Roman" w:hAnsi="Times New Roman" w:cs="Times New Roman"/>
          <w:noProof/>
        </w:rPr>
        <w:lastRenderedPageBreak/>
        <w:t xml:space="preserve">Development and validation of the Sexual Orientation Obsessions and Reactions Test (SORT). </w:t>
      </w:r>
      <w:r w:rsidRPr="004F28BA">
        <w:rPr>
          <w:rFonts w:ascii="Times New Roman" w:hAnsi="Times New Roman" w:cs="Times New Roman"/>
          <w:i/>
          <w:noProof/>
        </w:rPr>
        <w:t xml:space="preserve">Behavior </w:t>
      </w:r>
      <w:r w:rsidR="007F351D">
        <w:rPr>
          <w:rFonts w:ascii="Times New Roman" w:hAnsi="Times New Roman" w:cs="Times New Roman"/>
          <w:i/>
          <w:noProof/>
        </w:rPr>
        <w:t>T</w:t>
      </w:r>
      <w:r w:rsidRPr="004F28BA">
        <w:rPr>
          <w:rFonts w:ascii="Times New Roman" w:hAnsi="Times New Roman" w:cs="Times New Roman"/>
          <w:i/>
          <w:noProof/>
        </w:rPr>
        <w:t>herapy, 49</w:t>
      </w:r>
      <w:r w:rsidRPr="004F28BA">
        <w:rPr>
          <w:rFonts w:ascii="Times New Roman" w:hAnsi="Times New Roman" w:cs="Times New Roman"/>
          <w:noProof/>
        </w:rPr>
        <w:t xml:space="preserve">(5), 715-729. </w:t>
      </w:r>
    </w:p>
    <w:p w14:paraId="3674323A" w14:textId="1733E041"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Williams, M. T., &amp; Farris, S. G. (2011). Sexual orientation obsessions in obsessive–compulsive disorder: Prevalence and correlates. </w:t>
      </w:r>
      <w:r w:rsidRPr="004F28BA">
        <w:rPr>
          <w:rFonts w:ascii="Times New Roman" w:hAnsi="Times New Roman" w:cs="Times New Roman"/>
          <w:i/>
          <w:noProof/>
        </w:rPr>
        <w:t xml:space="preserve">Psychiatry </w:t>
      </w:r>
      <w:r w:rsidR="004E6F46">
        <w:rPr>
          <w:rFonts w:ascii="Times New Roman" w:hAnsi="Times New Roman" w:cs="Times New Roman"/>
          <w:i/>
          <w:noProof/>
        </w:rPr>
        <w:t>R</w:t>
      </w:r>
      <w:r w:rsidRPr="004F28BA">
        <w:rPr>
          <w:rFonts w:ascii="Times New Roman" w:hAnsi="Times New Roman" w:cs="Times New Roman"/>
          <w:i/>
          <w:noProof/>
        </w:rPr>
        <w:t>esearch, 187</w:t>
      </w:r>
      <w:r w:rsidRPr="004F28BA">
        <w:rPr>
          <w:rFonts w:ascii="Times New Roman" w:hAnsi="Times New Roman" w:cs="Times New Roman"/>
          <w:noProof/>
        </w:rPr>
        <w:t xml:space="preserve">(1-2), 156-159. </w:t>
      </w:r>
    </w:p>
    <w:p w14:paraId="22B7A986" w14:textId="3C592A37" w:rsidR="003219B1" w:rsidRPr="004F28BA" w:rsidRDefault="003219B1" w:rsidP="007711AC">
      <w:pPr>
        <w:pStyle w:val="EndNoteBibliography"/>
        <w:spacing w:line="480" w:lineRule="auto"/>
        <w:ind w:left="720" w:hanging="720"/>
        <w:rPr>
          <w:rFonts w:ascii="Times New Roman" w:hAnsi="Times New Roman" w:cs="Times New Roman"/>
          <w:noProof/>
        </w:rPr>
      </w:pPr>
      <w:r w:rsidRPr="004F28BA">
        <w:rPr>
          <w:rFonts w:ascii="Times New Roman" w:hAnsi="Times New Roman" w:cs="Times New Roman"/>
          <w:noProof/>
        </w:rPr>
        <w:t xml:space="preserve">Williams, M. T., Wetterneck, C., Tellawi, G., &amp; Duque, G. (2015). Domains of distress among people with sexual orientation obsessions. </w:t>
      </w:r>
      <w:r w:rsidRPr="004F28BA">
        <w:rPr>
          <w:rFonts w:ascii="Times New Roman" w:hAnsi="Times New Roman" w:cs="Times New Roman"/>
          <w:i/>
          <w:noProof/>
        </w:rPr>
        <w:t xml:space="preserve">Archives of </w:t>
      </w:r>
      <w:r w:rsidR="0077426F">
        <w:rPr>
          <w:rFonts w:ascii="Times New Roman" w:hAnsi="Times New Roman" w:cs="Times New Roman"/>
          <w:i/>
          <w:noProof/>
        </w:rPr>
        <w:t>S</w:t>
      </w:r>
      <w:r w:rsidRPr="004F28BA">
        <w:rPr>
          <w:rFonts w:ascii="Times New Roman" w:hAnsi="Times New Roman" w:cs="Times New Roman"/>
          <w:i/>
          <w:noProof/>
        </w:rPr>
        <w:t xml:space="preserve">exual </w:t>
      </w:r>
      <w:r w:rsidR="0077426F">
        <w:rPr>
          <w:rFonts w:ascii="Times New Roman" w:hAnsi="Times New Roman" w:cs="Times New Roman"/>
          <w:i/>
          <w:noProof/>
        </w:rPr>
        <w:t>B</w:t>
      </w:r>
      <w:r w:rsidRPr="004F28BA">
        <w:rPr>
          <w:rFonts w:ascii="Times New Roman" w:hAnsi="Times New Roman" w:cs="Times New Roman"/>
          <w:i/>
          <w:noProof/>
        </w:rPr>
        <w:t>ehavior, 44</w:t>
      </w:r>
      <w:r w:rsidRPr="004F28BA">
        <w:rPr>
          <w:rFonts w:ascii="Times New Roman" w:hAnsi="Times New Roman" w:cs="Times New Roman"/>
          <w:noProof/>
        </w:rPr>
        <w:t xml:space="preserve">(3), 783-789. </w:t>
      </w:r>
    </w:p>
    <w:p w14:paraId="7AEF33F8" w14:textId="77777777" w:rsidR="003219B1" w:rsidRDefault="003219B1" w:rsidP="00222A11">
      <w:pPr>
        <w:rPr>
          <w:b/>
          <w:bCs/>
        </w:rPr>
      </w:pPr>
    </w:p>
    <w:p w14:paraId="45A9BD6F" w14:textId="77777777" w:rsidR="003219B1" w:rsidRDefault="003219B1">
      <w:pPr>
        <w:rPr>
          <w:b/>
          <w:bCs/>
        </w:rPr>
      </w:pPr>
      <w:r>
        <w:rPr>
          <w:b/>
          <w:bCs/>
        </w:rPr>
        <w:br w:type="page"/>
      </w:r>
    </w:p>
    <w:p w14:paraId="1BD52D68" w14:textId="77777777" w:rsidR="003219B1" w:rsidRPr="00753002" w:rsidRDefault="003219B1" w:rsidP="00427D49">
      <w:pPr>
        <w:rPr>
          <w:b/>
          <w:bCs/>
        </w:rPr>
      </w:pPr>
      <w:r w:rsidRPr="001F00E4">
        <w:lastRenderedPageBreak/>
        <w:t>Table 1</w:t>
      </w:r>
    </w:p>
    <w:p w14:paraId="5C3BBFB4" w14:textId="77777777" w:rsidR="003219B1" w:rsidRDefault="003219B1" w:rsidP="00427D49"/>
    <w:p w14:paraId="1EA816BB" w14:textId="2282C37A" w:rsidR="003219B1" w:rsidRPr="000A1906" w:rsidRDefault="003219B1" w:rsidP="00427D49">
      <w:r w:rsidRPr="0040204B">
        <w:rPr>
          <w:i/>
          <w:iCs/>
        </w:rPr>
        <w:t>General demographics for entire sample.</w:t>
      </w:r>
    </w:p>
    <w:p w14:paraId="317CB46A" w14:textId="77777777" w:rsidR="003219B1" w:rsidRDefault="003219B1" w:rsidP="00427D49"/>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860"/>
        <w:gridCol w:w="3690"/>
      </w:tblGrid>
      <w:tr w:rsidR="003219B1" w:rsidRPr="00794394" w14:paraId="256FA3AA" w14:textId="77777777" w:rsidTr="003F7A82">
        <w:trPr>
          <w:trHeight w:val="689"/>
        </w:trPr>
        <w:tc>
          <w:tcPr>
            <w:tcW w:w="4860" w:type="dxa"/>
            <w:tcBorders>
              <w:top w:val="nil"/>
              <w:bottom w:val="single" w:sz="4" w:space="0" w:color="auto"/>
              <w:right w:val="nil"/>
            </w:tcBorders>
            <w:shd w:val="clear" w:color="auto" w:fill="auto"/>
            <w:vAlign w:val="center"/>
          </w:tcPr>
          <w:p w14:paraId="18220DFE" w14:textId="77777777" w:rsidR="003219B1" w:rsidRPr="00794394" w:rsidRDefault="003219B1" w:rsidP="005869E6">
            <w:pPr>
              <w:jc w:val="center"/>
            </w:pPr>
          </w:p>
        </w:tc>
        <w:tc>
          <w:tcPr>
            <w:tcW w:w="3690" w:type="dxa"/>
            <w:tcBorders>
              <w:top w:val="nil"/>
              <w:left w:val="nil"/>
              <w:bottom w:val="single" w:sz="4" w:space="0" w:color="auto"/>
              <w:right w:val="nil"/>
            </w:tcBorders>
            <w:shd w:val="clear" w:color="auto" w:fill="auto"/>
          </w:tcPr>
          <w:p w14:paraId="6D7F87B0" w14:textId="77777777" w:rsidR="003219B1" w:rsidRPr="00794394" w:rsidRDefault="003219B1" w:rsidP="005869E6">
            <w:pPr>
              <w:jc w:val="center"/>
            </w:pPr>
            <w:r w:rsidRPr="00794394">
              <w:t>Total sample</w:t>
            </w:r>
          </w:p>
          <w:p w14:paraId="5085508A" w14:textId="77777777" w:rsidR="003219B1" w:rsidRPr="00794394" w:rsidRDefault="003219B1" w:rsidP="005869E6">
            <w:pPr>
              <w:jc w:val="center"/>
            </w:pPr>
            <w:r w:rsidRPr="00794394">
              <w:t>(</w:t>
            </w:r>
            <w:r>
              <w:rPr>
                <w:i/>
                <w:iCs/>
              </w:rPr>
              <w:t xml:space="preserve">N </w:t>
            </w:r>
            <w:r w:rsidRPr="00794394">
              <w:t>=</w:t>
            </w:r>
            <w:r>
              <w:t xml:space="preserve"> 181</w:t>
            </w:r>
            <w:r w:rsidRPr="00794394">
              <w:t>)</w:t>
            </w:r>
          </w:p>
        </w:tc>
      </w:tr>
      <w:tr w:rsidR="003219B1" w:rsidRPr="00794394" w14:paraId="7437CD8B" w14:textId="77777777" w:rsidTr="003F7A82">
        <w:trPr>
          <w:trHeight w:val="596"/>
        </w:trPr>
        <w:tc>
          <w:tcPr>
            <w:tcW w:w="4860" w:type="dxa"/>
            <w:tcBorders>
              <w:top w:val="single" w:sz="4" w:space="0" w:color="auto"/>
              <w:bottom w:val="nil"/>
              <w:right w:val="nil"/>
            </w:tcBorders>
            <w:shd w:val="clear" w:color="auto" w:fill="auto"/>
            <w:vAlign w:val="center"/>
          </w:tcPr>
          <w:p w14:paraId="46E668F4" w14:textId="77777777" w:rsidR="003219B1" w:rsidRDefault="003219B1" w:rsidP="005869E6">
            <w:pPr>
              <w:jc w:val="center"/>
            </w:pPr>
            <w:r w:rsidRPr="00794394">
              <w:t>Age (SD)</w:t>
            </w:r>
          </w:p>
          <w:p w14:paraId="10553B53" w14:textId="77777777" w:rsidR="003219B1" w:rsidRPr="008300B4" w:rsidRDefault="003219B1" w:rsidP="005869E6">
            <w:pPr>
              <w:jc w:val="center"/>
            </w:pPr>
          </w:p>
        </w:tc>
        <w:tc>
          <w:tcPr>
            <w:tcW w:w="3690" w:type="dxa"/>
            <w:tcBorders>
              <w:top w:val="single" w:sz="4" w:space="0" w:color="auto"/>
              <w:left w:val="nil"/>
              <w:bottom w:val="nil"/>
              <w:right w:val="nil"/>
            </w:tcBorders>
            <w:shd w:val="clear" w:color="auto" w:fill="auto"/>
            <w:vAlign w:val="center"/>
          </w:tcPr>
          <w:p w14:paraId="30D19B19" w14:textId="77777777" w:rsidR="003219B1" w:rsidRPr="00794394" w:rsidRDefault="003219B1" w:rsidP="005869E6">
            <w:pPr>
              <w:jc w:val="center"/>
            </w:pPr>
            <w:r>
              <w:t>19.97 (4.33)</w:t>
            </w:r>
          </w:p>
        </w:tc>
      </w:tr>
      <w:tr w:rsidR="003219B1" w:rsidRPr="00794394" w14:paraId="5FA89785" w14:textId="77777777" w:rsidTr="003F7A82">
        <w:trPr>
          <w:trHeight w:val="1169"/>
        </w:trPr>
        <w:tc>
          <w:tcPr>
            <w:tcW w:w="4860" w:type="dxa"/>
            <w:tcBorders>
              <w:top w:val="nil"/>
              <w:bottom w:val="nil"/>
              <w:right w:val="nil"/>
            </w:tcBorders>
            <w:shd w:val="clear" w:color="auto" w:fill="auto"/>
            <w:vAlign w:val="center"/>
          </w:tcPr>
          <w:p w14:paraId="1BD547EE" w14:textId="77777777" w:rsidR="003219B1" w:rsidRPr="00794394" w:rsidRDefault="003219B1" w:rsidP="005869E6">
            <w:pPr>
              <w:jc w:val="center"/>
            </w:pPr>
            <w:r w:rsidRPr="00794394">
              <w:t>Gender</w:t>
            </w:r>
          </w:p>
          <w:p w14:paraId="603547CE" w14:textId="77777777" w:rsidR="003219B1" w:rsidRPr="00794394" w:rsidRDefault="003219B1" w:rsidP="005869E6">
            <w:pPr>
              <w:jc w:val="center"/>
              <w:rPr>
                <w:i/>
              </w:rPr>
            </w:pPr>
            <w:r w:rsidRPr="00794394">
              <w:rPr>
                <w:i/>
              </w:rPr>
              <w:t>Female</w:t>
            </w:r>
          </w:p>
          <w:p w14:paraId="77109B93" w14:textId="77777777" w:rsidR="003219B1" w:rsidRDefault="003219B1" w:rsidP="005869E6">
            <w:pPr>
              <w:jc w:val="center"/>
              <w:rPr>
                <w:i/>
              </w:rPr>
            </w:pPr>
            <w:r w:rsidRPr="00794394">
              <w:rPr>
                <w:i/>
              </w:rPr>
              <w:t>Male</w:t>
            </w:r>
          </w:p>
          <w:p w14:paraId="532D4C44" w14:textId="77777777" w:rsidR="003219B1" w:rsidRPr="00794394" w:rsidRDefault="003219B1" w:rsidP="005869E6">
            <w:pPr>
              <w:jc w:val="center"/>
            </w:pPr>
          </w:p>
        </w:tc>
        <w:tc>
          <w:tcPr>
            <w:tcW w:w="3690" w:type="dxa"/>
            <w:tcBorders>
              <w:top w:val="nil"/>
              <w:left w:val="nil"/>
              <w:bottom w:val="nil"/>
              <w:right w:val="nil"/>
            </w:tcBorders>
            <w:shd w:val="clear" w:color="auto" w:fill="auto"/>
          </w:tcPr>
          <w:p w14:paraId="0BD39BE8" w14:textId="77777777" w:rsidR="003219B1" w:rsidRPr="00794394" w:rsidRDefault="003219B1" w:rsidP="005869E6">
            <w:pPr>
              <w:jc w:val="center"/>
            </w:pPr>
          </w:p>
          <w:p w14:paraId="5010C688" w14:textId="77777777" w:rsidR="003219B1" w:rsidRPr="00794394" w:rsidRDefault="003219B1" w:rsidP="005869E6">
            <w:pPr>
              <w:jc w:val="center"/>
            </w:pPr>
            <w:r>
              <w:t>121</w:t>
            </w:r>
          </w:p>
          <w:p w14:paraId="2E9D328A" w14:textId="77777777" w:rsidR="003219B1" w:rsidRPr="00794394" w:rsidRDefault="003219B1" w:rsidP="005869E6">
            <w:pPr>
              <w:jc w:val="center"/>
            </w:pPr>
            <w:r>
              <w:t>60</w:t>
            </w:r>
          </w:p>
        </w:tc>
      </w:tr>
      <w:tr w:rsidR="003219B1" w:rsidRPr="00794394" w14:paraId="2C871F71" w14:textId="77777777" w:rsidTr="003F7A82">
        <w:trPr>
          <w:trHeight w:val="1148"/>
        </w:trPr>
        <w:tc>
          <w:tcPr>
            <w:tcW w:w="4860" w:type="dxa"/>
            <w:tcBorders>
              <w:top w:val="nil"/>
              <w:bottom w:val="nil"/>
              <w:right w:val="nil"/>
            </w:tcBorders>
            <w:shd w:val="clear" w:color="auto" w:fill="auto"/>
            <w:vAlign w:val="center"/>
          </w:tcPr>
          <w:p w14:paraId="61C9BCC7" w14:textId="77777777" w:rsidR="003219B1" w:rsidRPr="00794394" w:rsidRDefault="003219B1" w:rsidP="005869E6">
            <w:pPr>
              <w:jc w:val="center"/>
            </w:pPr>
            <w:r w:rsidRPr="00794394">
              <w:t xml:space="preserve">Race </w:t>
            </w:r>
          </w:p>
          <w:p w14:paraId="135C1AFA" w14:textId="77777777" w:rsidR="003219B1" w:rsidRPr="00794394" w:rsidRDefault="003219B1" w:rsidP="005869E6">
            <w:pPr>
              <w:jc w:val="center"/>
              <w:rPr>
                <w:i/>
              </w:rPr>
            </w:pPr>
            <w:r w:rsidRPr="00794394">
              <w:rPr>
                <w:i/>
              </w:rPr>
              <w:t>White</w:t>
            </w:r>
          </w:p>
          <w:p w14:paraId="4F83A5E3" w14:textId="77777777" w:rsidR="003219B1" w:rsidRPr="00794394" w:rsidRDefault="003219B1" w:rsidP="005869E6">
            <w:pPr>
              <w:jc w:val="center"/>
              <w:rPr>
                <w:i/>
              </w:rPr>
            </w:pPr>
            <w:r w:rsidRPr="00794394">
              <w:rPr>
                <w:i/>
              </w:rPr>
              <w:t>Asian</w:t>
            </w:r>
          </w:p>
          <w:p w14:paraId="087FD0BB" w14:textId="77777777" w:rsidR="003219B1" w:rsidRPr="0042373C" w:rsidRDefault="003219B1" w:rsidP="005869E6">
            <w:pPr>
              <w:jc w:val="center"/>
              <w:rPr>
                <w:i/>
              </w:rPr>
            </w:pPr>
            <w:r>
              <w:rPr>
                <w:i/>
              </w:rPr>
              <w:t>Latinx</w:t>
            </w:r>
          </w:p>
        </w:tc>
        <w:tc>
          <w:tcPr>
            <w:tcW w:w="3690" w:type="dxa"/>
            <w:tcBorders>
              <w:top w:val="nil"/>
              <w:left w:val="nil"/>
              <w:bottom w:val="nil"/>
              <w:right w:val="nil"/>
            </w:tcBorders>
            <w:shd w:val="clear" w:color="auto" w:fill="auto"/>
          </w:tcPr>
          <w:p w14:paraId="2A77528D" w14:textId="77777777" w:rsidR="003219B1" w:rsidRPr="00794394" w:rsidRDefault="003219B1" w:rsidP="005869E6">
            <w:pPr>
              <w:jc w:val="center"/>
            </w:pPr>
          </w:p>
          <w:p w14:paraId="3EA6C30A" w14:textId="77777777" w:rsidR="003219B1" w:rsidRPr="00794394" w:rsidRDefault="003219B1" w:rsidP="005869E6">
            <w:pPr>
              <w:jc w:val="center"/>
            </w:pPr>
            <w:r>
              <w:t>165</w:t>
            </w:r>
          </w:p>
          <w:p w14:paraId="1E952BFA" w14:textId="77777777" w:rsidR="003219B1" w:rsidRPr="00794394" w:rsidRDefault="003219B1" w:rsidP="005869E6">
            <w:pPr>
              <w:jc w:val="center"/>
            </w:pPr>
            <w:r>
              <w:t>3</w:t>
            </w:r>
          </w:p>
          <w:p w14:paraId="5BC4EB63" w14:textId="77777777" w:rsidR="003219B1" w:rsidRPr="00794394" w:rsidRDefault="003219B1" w:rsidP="005869E6">
            <w:pPr>
              <w:jc w:val="center"/>
            </w:pPr>
            <w:r>
              <w:t>7</w:t>
            </w:r>
          </w:p>
        </w:tc>
      </w:tr>
      <w:tr w:rsidR="003219B1" w:rsidRPr="00794394" w14:paraId="705902A3" w14:textId="77777777" w:rsidTr="003F7A82">
        <w:trPr>
          <w:trHeight w:val="298"/>
        </w:trPr>
        <w:tc>
          <w:tcPr>
            <w:tcW w:w="4860" w:type="dxa"/>
            <w:tcBorders>
              <w:top w:val="nil"/>
              <w:bottom w:val="nil"/>
              <w:right w:val="nil"/>
            </w:tcBorders>
            <w:shd w:val="clear" w:color="auto" w:fill="auto"/>
            <w:vAlign w:val="center"/>
          </w:tcPr>
          <w:p w14:paraId="56CDE9CC" w14:textId="77777777" w:rsidR="003219B1" w:rsidRPr="00D70789" w:rsidRDefault="003219B1" w:rsidP="005869E6">
            <w:pPr>
              <w:jc w:val="center"/>
              <w:rPr>
                <w:i/>
                <w:iCs/>
              </w:rPr>
            </w:pPr>
            <w:r w:rsidRPr="00D70789">
              <w:rPr>
                <w:i/>
                <w:iCs/>
              </w:rPr>
              <w:t>Middle Eastern</w:t>
            </w:r>
          </w:p>
        </w:tc>
        <w:tc>
          <w:tcPr>
            <w:tcW w:w="3690" w:type="dxa"/>
            <w:tcBorders>
              <w:top w:val="nil"/>
              <w:left w:val="nil"/>
              <w:bottom w:val="nil"/>
              <w:right w:val="nil"/>
            </w:tcBorders>
            <w:shd w:val="clear" w:color="auto" w:fill="auto"/>
          </w:tcPr>
          <w:p w14:paraId="348F1658" w14:textId="77777777" w:rsidR="003219B1" w:rsidRPr="00794394" w:rsidRDefault="003219B1" w:rsidP="005869E6">
            <w:pPr>
              <w:jc w:val="center"/>
            </w:pPr>
            <w:r>
              <w:t>1</w:t>
            </w:r>
          </w:p>
        </w:tc>
      </w:tr>
      <w:tr w:rsidR="003219B1" w:rsidRPr="00794394" w14:paraId="56125C86" w14:textId="77777777" w:rsidTr="003F7A82">
        <w:trPr>
          <w:trHeight w:val="277"/>
        </w:trPr>
        <w:tc>
          <w:tcPr>
            <w:tcW w:w="4860" w:type="dxa"/>
            <w:tcBorders>
              <w:top w:val="nil"/>
              <w:bottom w:val="nil"/>
              <w:right w:val="nil"/>
            </w:tcBorders>
            <w:shd w:val="clear" w:color="auto" w:fill="auto"/>
            <w:vAlign w:val="center"/>
          </w:tcPr>
          <w:p w14:paraId="21C70ACC" w14:textId="77777777" w:rsidR="003219B1" w:rsidRPr="00D70789" w:rsidRDefault="003219B1" w:rsidP="005869E6">
            <w:pPr>
              <w:jc w:val="center"/>
              <w:rPr>
                <w:i/>
                <w:iCs/>
              </w:rPr>
            </w:pPr>
            <w:r w:rsidRPr="00D70789">
              <w:rPr>
                <w:i/>
                <w:iCs/>
              </w:rPr>
              <w:t>American Indian</w:t>
            </w:r>
          </w:p>
        </w:tc>
        <w:tc>
          <w:tcPr>
            <w:tcW w:w="3690" w:type="dxa"/>
            <w:tcBorders>
              <w:top w:val="nil"/>
              <w:left w:val="nil"/>
              <w:bottom w:val="nil"/>
              <w:right w:val="nil"/>
            </w:tcBorders>
            <w:shd w:val="clear" w:color="auto" w:fill="auto"/>
          </w:tcPr>
          <w:p w14:paraId="6BF5F705" w14:textId="77777777" w:rsidR="003219B1" w:rsidRDefault="003219B1" w:rsidP="005869E6">
            <w:pPr>
              <w:jc w:val="center"/>
            </w:pPr>
            <w:r>
              <w:t>2</w:t>
            </w:r>
          </w:p>
        </w:tc>
      </w:tr>
      <w:tr w:rsidR="003219B1" w:rsidRPr="00794394" w14:paraId="5771082C" w14:textId="77777777" w:rsidTr="003F7A82">
        <w:trPr>
          <w:trHeight w:val="298"/>
        </w:trPr>
        <w:tc>
          <w:tcPr>
            <w:tcW w:w="4860" w:type="dxa"/>
            <w:tcBorders>
              <w:top w:val="nil"/>
              <w:bottom w:val="nil"/>
              <w:right w:val="nil"/>
            </w:tcBorders>
            <w:shd w:val="clear" w:color="auto" w:fill="auto"/>
            <w:vAlign w:val="center"/>
          </w:tcPr>
          <w:p w14:paraId="19745520" w14:textId="77777777" w:rsidR="003219B1" w:rsidRPr="00D70789" w:rsidRDefault="003219B1" w:rsidP="005869E6">
            <w:pPr>
              <w:jc w:val="center"/>
              <w:rPr>
                <w:i/>
                <w:iCs/>
              </w:rPr>
            </w:pPr>
            <w:r w:rsidRPr="00D70789">
              <w:rPr>
                <w:i/>
                <w:iCs/>
              </w:rPr>
              <w:t>Pacific Islander</w:t>
            </w:r>
          </w:p>
        </w:tc>
        <w:tc>
          <w:tcPr>
            <w:tcW w:w="3690" w:type="dxa"/>
            <w:tcBorders>
              <w:top w:val="nil"/>
              <w:left w:val="nil"/>
              <w:bottom w:val="nil"/>
              <w:right w:val="nil"/>
            </w:tcBorders>
            <w:shd w:val="clear" w:color="auto" w:fill="auto"/>
          </w:tcPr>
          <w:p w14:paraId="1EF27B4D" w14:textId="77777777" w:rsidR="003219B1" w:rsidRDefault="003219B1" w:rsidP="005869E6">
            <w:pPr>
              <w:jc w:val="center"/>
            </w:pPr>
            <w:r>
              <w:t>1</w:t>
            </w:r>
          </w:p>
        </w:tc>
      </w:tr>
      <w:tr w:rsidR="003219B1" w:rsidRPr="00794394" w14:paraId="4F309CDF" w14:textId="77777777" w:rsidTr="003F7A82">
        <w:trPr>
          <w:trHeight w:val="277"/>
        </w:trPr>
        <w:tc>
          <w:tcPr>
            <w:tcW w:w="4860" w:type="dxa"/>
            <w:tcBorders>
              <w:top w:val="nil"/>
              <w:bottom w:val="nil"/>
              <w:right w:val="nil"/>
            </w:tcBorders>
            <w:shd w:val="clear" w:color="auto" w:fill="auto"/>
            <w:vAlign w:val="center"/>
          </w:tcPr>
          <w:p w14:paraId="2653599A" w14:textId="77777777" w:rsidR="003219B1" w:rsidRPr="00D70789" w:rsidRDefault="003219B1" w:rsidP="005869E6">
            <w:pPr>
              <w:jc w:val="center"/>
              <w:rPr>
                <w:i/>
                <w:iCs/>
              </w:rPr>
            </w:pPr>
            <w:r w:rsidRPr="00D70789">
              <w:rPr>
                <w:i/>
                <w:iCs/>
              </w:rPr>
              <w:t>Multiracial</w:t>
            </w:r>
          </w:p>
        </w:tc>
        <w:tc>
          <w:tcPr>
            <w:tcW w:w="3690" w:type="dxa"/>
            <w:tcBorders>
              <w:top w:val="nil"/>
              <w:left w:val="nil"/>
              <w:bottom w:val="nil"/>
              <w:right w:val="nil"/>
            </w:tcBorders>
            <w:shd w:val="clear" w:color="auto" w:fill="auto"/>
          </w:tcPr>
          <w:p w14:paraId="66A125B6" w14:textId="77777777" w:rsidR="003219B1" w:rsidRDefault="003219B1" w:rsidP="005869E6">
            <w:pPr>
              <w:jc w:val="center"/>
            </w:pPr>
            <w:r>
              <w:t>2</w:t>
            </w:r>
          </w:p>
        </w:tc>
      </w:tr>
      <w:tr w:rsidR="003219B1" w:rsidRPr="00794394" w14:paraId="55B448A0" w14:textId="77777777" w:rsidTr="003F7A82">
        <w:trPr>
          <w:trHeight w:val="298"/>
        </w:trPr>
        <w:tc>
          <w:tcPr>
            <w:tcW w:w="4860" w:type="dxa"/>
            <w:tcBorders>
              <w:top w:val="nil"/>
              <w:bottom w:val="nil"/>
              <w:right w:val="nil"/>
            </w:tcBorders>
            <w:shd w:val="clear" w:color="auto" w:fill="auto"/>
            <w:vAlign w:val="center"/>
          </w:tcPr>
          <w:p w14:paraId="16FEE41E" w14:textId="77777777" w:rsidR="003219B1" w:rsidRPr="00D70789" w:rsidRDefault="003219B1" w:rsidP="005869E6">
            <w:pPr>
              <w:jc w:val="center"/>
              <w:rPr>
                <w:i/>
                <w:iCs/>
              </w:rPr>
            </w:pPr>
          </w:p>
        </w:tc>
        <w:tc>
          <w:tcPr>
            <w:tcW w:w="3690" w:type="dxa"/>
            <w:tcBorders>
              <w:top w:val="nil"/>
              <w:left w:val="nil"/>
              <w:bottom w:val="nil"/>
              <w:right w:val="nil"/>
            </w:tcBorders>
            <w:shd w:val="clear" w:color="auto" w:fill="auto"/>
          </w:tcPr>
          <w:p w14:paraId="4B8202DA" w14:textId="77777777" w:rsidR="003219B1" w:rsidRDefault="003219B1" w:rsidP="005869E6">
            <w:pPr>
              <w:jc w:val="center"/>
            </w:pPr>
          </w:p>
        </w:tc>
      </w:tr>
      <w:tr w:rsidR="003219B1" w:rsidRPr="00794394" w14:paraId="5A8498BB" w14:textId="77777777" w:rsidTr="003F7A82">
        <w:trPr>
          <w:trHeight w:val="298"/>
        </w:trPr>
        <w:tc>
          <w:tcPr>
            <w:tcW w:w="4860" w:type="dxa"/>
            <w:tcBorders>
              <w:top w:val="nil"/>
              <w:bottom w:val="nil"/>
              <w:right w:val="nil"/>
            </w:tcBorders>
            <w:shd w:val="clear" w:color="auto" w:fill="auto"/>
            <w:vAlign w:val="center"/>
          </w:tcPr>
          <w:p w14:paraId="0052FD64" w14:textId="77777777" w:rsidR="003219B1" w:rsidRPr="00452C3D" w:rsidRDefault="003219B1" w:rsidP="005869E6">
            <w:pPr>
              <w:jc w:val="center"/>
            </w:pPr>
            <w:r>
              <w:t>Religion</w:t>
            </w:r>
          </w:p>
        </w:tc>
        <w:tc>
          <w:tcPr>
            <w:tcW w:w="3690" w:type="dxa"/>
            <w:tcBorders>
              <w:top w:val="nil"/>
              <w:left w:val="nil"/>
              <w:bottom w:val="nil"/>
              <w:right w:val="nil"/>
            </w:tcBorders>
            <w:shd w:val="clear" w:color="auto" w:fill="auto"/>
          </w:tcPr>
          <w:p w14:paraId="0ACFA1F3" w14:textId="77777777" w:rsidR="003219B1" w:rsidRDefault="003219B1" w:rsidP="005869E6">
            <w:pPr>
              <w:jc w:val="center"/>
            </w:pPr>
          </w:p>
        </w:tc>
      </w:tr>
      <w:tr w:rsidR="003219B1" w:rsidRPr="00794394" w14:paraId="1AB71DB8" w14:textId="77777777" w:rsidTr="003F7A82">
        <w:trPr>
          <w:trHeight w:val="277"/>
        </w:trPr>
        <w:tc>
          <w:tcPr>
            <w:tcW w:w="4860" w:type="dxa"/>
            <w:tcBorders>
              <w:top w:val="nil"/>
              <w:bottom w:val="nil"/>
              <w:right w:val="nil"/>
            </w:tcBorders>
            <w:shd w:val="clear" w:color="auto" w:fill="auto"/>
            <w:vAlign w:val="center"/>
          </w:tcPr>
          <w:p w14:paraId="2BE421A8" w14:textId="77777777" w:rsidR="003219B1" w:rsidRPr="00D70789" w:rsidRDefault="003219B1" w:rsidP="005869E6">
            <w:pPr>
              <w:jc w:val="center"/>
              <w:rPr>
                <w:i/>
                <w:iCs/>
              </w:rPr>
            </w:pPr>
            <w:r>
              <w:rPr>
                <w:i/>
                <w:iCs/>
              </w:rPr>
              <w:t>Church of Jesus Christ of Latter-Day Saints</w:t>
            </w:r>
          </w:p>
        </w:tc>
        <w:tc>
          <w:tcPr>
            <w:tcW w:w="3690" w:type="dxa"/>
            <w:tcBorders>
              <w:top w:val="nil"/>
              <w:left w:val="nil"/>
              <w:bottom w:val="nil"/>
              <w:right w:val="nil"/>
            </w:tcBorders>
            <w:shd w:val="clear" w:color="auto" w:fill="auto"/>
          </w:tcPr>
          <w:p w14:paraId="69EBEB84" w14:textId="77777777" w:rsidR="003219B1" w:rsidRDefault="003219B1" w:rsidP="005869E6">
            <w:pPr>
              <w:jc w:val="center"/>
            </w:pPr>
            <w:r>
              <w:t>144</w:t>
            </w:r>
          </w:p>
        </w:tc>
      </w:tr>
      <w:tr w:rsidR="003219B1" w:rsidRPr="00794394" w14:paraId="78C0C5E8" w14:textId="77777777" w:rsidTr="003F7A82">
        <w:trPr>
          <w:trHeight w:val="298"/>
        </w:trPr>
        <w:tc>
          <w:tcPr>
            <w:tcW w:w="4860" w:type="dxa"/>
            <w:tcBorders>
              <w:top w:val="nil"/>
              <w:bottom w:val="nil"/>
              <w:right w:val="nil"/>
            </w:tcBorders>
            <w:shd w:val="clear" w:color="auto" w:fill="auto"/>
            <w:vAlign w:val="center"/>
          </w:tcPr>
          <w:p w14:paraId="7DFBCB7F" w14:textId="77777777" w:rsidR="003219B1" w:rsidRDefault="003219B1" w:rsidP="005869E6">
            <w:pPr>
              <w:jc w:val="center"/>
              <w:rPr>
                <w:i/>
                <w:iCs/>
              </w:rPr>
            </w:pPr>
            <w:r>
              <w:rPr>
                <w:i/>
                <w:iCs/>
              </w:rPr>
              <w:t>Catholic</w:t>
            </w:r>
          </w:p>
        </w:tc>
        <w:tc>
          <w:tcPr>
            <w:tcW w:w="3690" w:type="dxa"/>
            <w:tcBorders>
              <w:top w:val="nil"/>
              <w:left w:val="nil"/>
              <w:bottom w:val="nil"/>
              <w:right w:val="nil"/>
            </w:tcBorders>
            <w:shd w:val="clear" w:color="auto" w:fill="auto"/>
          </w:tcPr>
          <w:p w14:paraId="3FBAB50F" w14:textId="77777777" w:rsidR="003219B1" w:rsidRDefault="003219B1" w:rsidP="005869E6">
            <w:pPr>
              <w:jc w:val="center"/>
            </w:pPr>
            <w:r>
              <w:t>2</w:t>
            </w:r>
          </w:p>
        </w:tc>
      </w:tr>
      <w:tr w:rsidR="003219B1" w:rsidRPr="00794394" w14:paraId="3E69D7A2" w14:textId="77777777" w:rsidTr="003F7A82">
        <w:trPr>
          <w:trHeight w:val="277"/>
        </w:trPr>
        <w:tc>
          <w:tcPr>
            <w:tcW w:w="4860" w:type="dxa"/>
            <w:tcBorders>
              <w:top w:val="nil"/>
              <w:bottom w:val="nil"/>
              <w:right w:val="nil"/>
            </w:tcBorders>
            <w:shd w:val="clear" w:color="auto" w:fill="auto"/>
            <w:vAlign w:val="center"/>
          </w:tcPr>
          <w:p w14:paraId="16753DBC" w14:textId="77777777" w:rsidR="003219B1" w:rsidRDefault="003219B1" w:rsidP="005869E6">
            <w:pPr>
              <w:jc w:val="center"/>
              <w:rPr>
                <w:i/>
                <w:iCs/>
              </w:rPr>
            </w:pPr>
            <w:r>
              <w:rPr>
                <w:i/>
                <w:iCs/>
              </w:rPr>
              <w:t>Protestant</w:t>
            </w:r>
          </w:p>
        </w:tc>
        <w:tc>
          <w:tcPr>
            <w:tcW w:w="3690" w:type="dxa"/>
            <w:tcBorders>
              <w:top w:val="nil"/>
              <w:left w:val="nil"/>
              <w:bottom w:val="nil"/>
              <w:right w:val="nil"/>
            </w:tcBorders>
            <w:shd w:val="clear" w:color="auto" w:fill="auto"/>
          </w:tcPr>
          <w:p w14:paraId="2ACE10DE" w14:textId="77777777" w:rsidR="003219B1" w:rsidRDefault="003219B1" w:rsidP="005869E6">
            <w:pPr>
              <w:jc w:val="center"/>
            </w:pPr>
            <w:r>
              <w:t>1</w:t>
            </w:r>
          </w:p>
        </w:tc>
      </w:tr>
      <w:tr w:rsidR="003219B1" w:rsidRPr="00794394" w14:paraId="4FABFE32" w14:textId="77777777" w:rsidTr="003F7A82">
        <w:trPr>
          <w:trHeight w:val="298"/>
        </w:trPr>
        <w:tc>
          <w:tcPr>
            <w:tcW w:w="4860" w:type="dxa"/>
            <w:tcBorders>
              <w:top w:val="nil"/>
              <w:bottom w:val="nil"/>
              <w:right w:val="nil"/>
            </w:tcBorders>
            <w:shd w:val="clear" w:color="auto" w:fill="auto"/>
            <w:vAlign w:val="center"/>
          </w:tcPr>
          <w:p w14:paraId="7D824A86" w14:textId="77777777" w:rsidR="003219B1" w:rsidRDefault="003219B1" w:rsidP="005869E6">
            <w:pPr>
              <w:jc w:val="center"/>
              <w:rPr>
                <w:i/>
                <w:iCs/>
              </w:rPr>
            </w:pPr>
            <w:r>
              <w:rPr>
                <w:i/>
                <w:iCs/>
              </w:rPr>
              <w:t>Jewish</w:t>
            </w:r>
          </w:p>
        </w:tc>
        <w:tc>
          <w:tcPr>
            <w:tcW w:w="3690" w:type="dxa"/>
            <w:tcBorders>
              <w:top w:val="nil"/>
              <w:left w:val="nil"/>
              <w:bottom w:val="nil"/>
              <w:right w:val="nil"/>
            </w:tcBorders>
            <w:shd w:val="clear" w:color="auto" w:fill="auto"/>
          </w:tcPr>
          <w:p w14:paraId="0A71ED5F" w14:textId="77777777" w:rsidR="003219B1" w:rsidRDefault="003219B1" w:rsidP="005869E6">
            <w:pPr>
              <w:jc w:val="center"/>
            </w:pPr>
            <w:r>
              <w:t>1</w:t>
            </w:r>
          </w:p>
        </w:tc>
      </w:tr>
      <w:tr w:rsidR="003219B1" w:rsidRPr="00794394" w14:paraId="3528F358" w14:textId="77777777" w:rsidTr="003F7A82">
        <w:trPr>
          <w:trHeight w:val="298"/>
        </w:trPr>
        <w:tc>
          <w:tcPr>
            <w:tcW w:w="4860" w:type="dxa"/>
            <w:tcBorders>
              <w:top w:val="nil"/>
              <w:bottom w:val="nil"/>
              <w:right w:val="nil"/>
            </w:tcBorders>
            <w:shd w:val="clear" w:color="auto" w:fill="auto"/>
            <w:vAlign w:val="center"/>
          </w:tcPr>
          <w:p w14:paraId="1443B635" w14:textId="77777777" w:rsidR="003219B1" w:rsidRDefault="003219B1" w:rsidP="005869E6">
            <w:pPr>
              <w:jc w:val="center"/>
              <w:rPr>
                <w:i/>
                <w:iCs/>
              </w:rPr>
            </w:pPr>
            <w:r>
              <w:rPr>
                <w:i/>
                <w:iCs/>
              </w:rPr>
              <w:t>Not religious</w:t>
            </w:r>
          </w:p>
        </w:tc>
        <w:tc>
          <w:tcPr>
            <w:tcW w:w="3690" w:type="dxa"/>
            <w:tcBorders>
              <w:top w:val="nil"/>
              <w:left w:val="nil"/>
              <w:bottom w:val="nil"/>
              <w:right w:val="nil"/>
            </w:tcBorders>
            <w:shd w:val="clear" w:color="auto" w:fill="auto"/>
          </w:tcPr>
          <w:p w14:paraId="04B1D444" w14:textId="48889345" w:rsidR="003219B1" w:rsidRDefault="00EF7104" w:rsidP="005869E6">
            <w:pPr>
              <w:jc w:val="center"/>
            </w:pPr>
            <w:r>
              <w:t>3</w:t>
            </w:r>
            <w:r w:rsidR="003219B1">
              <w:t>1</w:t>
            </w:r>
          </w:p>
        </w:tc>
      </w:tr>
      <w:tr w:rsidR="003219B1" w:rsidRPr="00794394" w14:paraId="46B262DC" w14:textId="77777777" w:rsidTr="003F7A82">
        <w:trPr>
          <w:trHeight w:val="277"/>
        </w:trPr>
        <w:tc>
          <w:tcPr>
            <w:tcW w:w="4860" w:type="dxa"/>
            <w:tcBorders>
              <w:top w:val="nil"/>
              <w:bottom w:val="nil"/>
              <w:right w:val="nil"/>
            </w:tcBorders>
            <w:shd w:val="clear" w:color="auto" w:fill="auto"/>
            <w:vAlign w:val="center"/>
          </w:tcPr>
          <w:p w14:paraId="7F0C4B1C" w14:textId="77777777" w:rsidR="003219B1" w:rsidRDefault="003219B1" w:rsidP="005869E6">
            <w:pPr>
              <w:jc w:val="center"/>
              <w:rPr>
                <w:i/>
                <w:iCs/>
              </w:rPr>
            </w:pPr>
            <w:r>
              <w:rPr>
                <w:i/>
                <w:iCs/>
              </w:rPr>
              <w:t>Not listed</w:t>
            </w:r>
          </w:p>
        </w:tc>
        <w:tc>
          <w:tcPr>
            <w:tcW w:w="3690" w:type="dxa"/>
            <w:tcBorders>
              <w:top w:val="nil"/>
              <w:left w:val="nil"/>
              <w:bottom w:val="nil"/>
              <w:right w:val="nil"/>
            </w:tcBorders>
            <w:shd w:val="clear" w:color="auto" w:fill="auto"/>
          </w:tcPr>
          <w:p w14:paraId="15AA70B4" w14:textId="77777777" w:rsidR="003219B1" w:rsidRDefault="003219B1" w:rsidP="005869E6">
            <w:pPr>
              <w:jc w:val="center"/>
            </w:pPr>
            <w:r>
              <w:t>2</w:t>
            </w:r>
          </w:p>
        </w:tc>
      </w:tr>
      <w:tr w:rsidR="003219B1" w:rsidRPr="00794394" w14:paraId="0B098C29" w14:textId="77777777" w:rsidTr="003F7A82">
        <w:trPr>
          <w:trHeight w:val="298"/>
        </w:trPr>
        <w:tc>
          <w:tcPr>
            <w:tcW w:w="4860" w:type="dxa"/>
            <w:tcBorders>
              <w:top w:val="nil"/>
              <w:bottom w:val="single" w:sz="4" w:space="0" w:color="auto"/>
              <w:right w:val="nil"/>
            </w:tcBorders>
            <w:shd w:val="clear" w:color="auto" w:fill="auto"/>
            <w:vAlign w:val="center"/>
          </w:tcPr>
          <w:p w14:paraId="448777F9" w14:textId="77777777" w:rsidR="003219B1" w:rsidRPr="00794394" w:rsidRDefault="003219B1" w:rsidP="005869E6">
            <w:pPr>
              <w:jc w:val="center"/>
            </w:pPr>
          </w:p>
        </w:tc>
        <w:tc>
          <w:tcPr>
            <w:tcW w:w="3690" w:type="dxa"/>
            <w:tcBorders>
              <w:top w:val="nil"/>
              <w:left w:val="nil"/>
              <w:bottom w:val="single" w:sz="4" w:space="0" w:color="auto"/>
              <w:right w:val="nil"/>
            </w:tcBorders>
            <w:shd w:val="clear" w:color="auto" w:fill="auto"/>
          </w:tcPr>
          <w:p w14:paraId="1C12746F" w14:textId="77777777" w:rsidR="003219B1" w:rsidRPr="00794394" w:rsidRDefault="003219B1" w:rsidP="005869E6">
            <w:pPr>
              <w:jc w:val="center"/>
            </w:pPr>
          </w:p>
        </w:tc>
      </w:tr>
    </w:tbl>
    <w:p w14:paraId="0852BF77" w14:textId="77777777" w:rsidR="003219B1" w:rsidRDefault="003219B1" w:rsidP="00427D49">
      <w:r>
        <w:br w:type="page"/>
      </w:r>
    </w:p>
    <w:p w14:paraId="6987DF0B" w14:textId="77777777" w:rsidR="003219B1" w:rsidRDefault="003219B1" w:rsidP="00427D49">
      <w:r w:rsidRPr="0052714A">
        <w:lastRenderedPageBreak/>
        <w:t xml:space="preserve">Table </w:t>
      </w:r>
      <w:r>
        <w:t>2</w:t>
      </w:r>
    </w:p>
    <w:p w14:paraId="1C848649" w14:textId="77777777" w:rsidR="003219B1" w:rsidRDefault="003219B1" w:rsidP="00427D49">
      <w:pPr>
        <w:rPr>
          <w:i/>
        </w:rPr>
      </w:pPr>
    </w:p>
    <w:p w14:paraId="23205778" w14:textId="77777777" w:rsidR="003219B1" w:rsidRDefault="003219B1" w:rsidP="00427D49">
      <w:pPr>
        <w:rPr>
          <w:i/>
        </w:rPr>
      </w:pPr>
      <w:r>
        <w:rPr>
          <w:i/>
        </w:rPr>
        <w:t>Correlations, means, and standard deviations  for all measures.</w:t>
      </w:r>
    </w:p>
    <w:p w14:paraId="2AC84BDF" w14:textId="77777777" w:rsidR="003219B1" w:rsidRPr="0052714A" w:rsidRDefault="003219B1" w:rsidP="00427D49"/>
    <w:tbl>
      <w:tblPr>
        <w:tblW w:w="10007" w:type="dxa"/>
        <w:tblBorders>
          <w:top w:val="single" w:sz="4" w:space="0" w:color="auto"/>
          <w:bottom w:val="single" w:sz="4" w:space="0" w:color="auto"/>
        </w:tblBorders>
        <w:tblLook w:val="04A0" w:firstRow="1" w:lastRow="0" w:firstColumn="1" w:lastColumn="0" w:noHBand="0" w:noVBand="1"/>
      </w:tblPr>
      <w:tblGrid>
        <w:gridCol w:w="1468"/>
        <w:gridCol w:w="1112"/>
        <w:gridCol w:w="1451"/>
        <w:gridCol w:w="1360"/>
        <w:gridCol w:w="1144"/>
        <w:gridCol w:w="1064"/>
        <w:gridCol w:w="1224"/>
        <w:gridCol w:w="1184"/>
      </w:tblGrid>
      <w:tr w:rsidR="003219B1" w:rsidRPr="0052714A" w14:paraId="18C65AE1" w14:textId="77777777" w:rsidTr="005869E6">
        <w:trPr>
          <w:trHeight w:val="883"/>
        </w:trPr>
        <w:tc>
          <w:tcPr>
            <w:tcW w:w="1468" w:type="dxa"/>
            <w:shd w:val="clear" w:color="auto" w:fill="auto"/>
          </w:tcPr>
          <w:p w14:paraId="6113631B" w14:textId="77777777" w:rsidR="003219B1" w:rsidRPr="0052714A" w:rsidRDefault="003219B1" w:rsidP="005869E6">
            <w:r>
              <w:t>Measure</w:t>
            </w:r>
          </w:p>
        </w:tc>
        <w:tc>
          <w:tcPr>
            <w:tcW w:w="1112" w:type="dxa"/>
            <w:shd w:val="clear" w:color="auto" w:fill="auto"/>
          </w:tcPr>
          <w:p w14:paraId="3FCDEC62" w14:textId="77777777" w:rsidR="003219B1" w:rsidRPr="00C8433A" w:rsidRDefault="003219B1" w:rsidP="005869E6">
            <w:pPr>
              <w:jc w:val="center"/>
              <w:rPr>
                <w:i/>
                <w:iCs/>
              </w:rPr>
            </w:pPr>
            <w:r w:rsidRPr="00C8433A">
              <w:rPr>
                <w:i/>
                <w:iCs/>
              </w:rPr>
              <w:t>1</w:t>
            </w:r>
          </w:p>
        </w:tc>
        <w:tc>
          <w:tcPr>
            <w:tcW w:w="1451" w:type="dxa"/>
            <w:shd w:val="clear" w:color="auto" w:fill="auto"/>
          </w:tcPr>
          <w:p w14:paraId="59F242D1" w14:textId="77777777" w:rsidR="003219B1" w:rsidRPr="00C8433A" w:rsidRDefault="003219B1" w:rsidP="005869E6">
            <w:pPr>
              <w:jc w:val="center"/>
              <w:rPr>
                <w:i/>
                <w:iCs/>
              </w:rPr>
            </w:pPr>
            <w:r w:rsidRPr="00C8433A">
              <w:rPr>
                <w:i/>
                <w:iCs/>
              </w:rPr>
              <w:t>2</w:t>
            </w:r>
          </w:p>
        </w:tc>
        <w:tc>
          <w:tcPr>
            <w:tcW w:w="1360" w:type="dxa"/>
          </w:tcPr>
          <w:p w14:paraId="3DFA3640" w14:textId="77777777" w:rsidR="003219B1" w:rsidRPr="00C8433A" w:rsidRDefault="003219B1" w:rsidP="005869E6">
            <w:pPr>
              <w:jc w:val="center"/>
              <w:rPr>
                <w:i/>
                <w:iCs/>
              </w:rPr>
            </w:pPr>
            <w:r w:rsidRPr="00C8433A">
              <w:rPr>
                <w:i/>
                <w:iCs/>
              </w:rPr>
              <w:t>3</w:t>
            </w:r>
          </w:p>
        </w:tc>
        <w:tc>
          <w:tcPr>
            <w:tcW w:w="1144" w:type="dxa"/>
            <w:shd w:val="clear" w:color="auto" w:fill="auto"/>
          </w:tcPr>
          <w:p w14:paraId="4300056C" w14:textId="77777777" w:rsidR="003219B1" w:rsidRPr="00C8433A" w:rsidRDefault="003219B1" w:rsidP="005869E6">
            <w:pPr>
              <w:jc w:val="center"/>
              <w:rPr>
                <w:i/>
                <w:iCs/>
              </w:rPr>
            </w:pPr>
            <w:r w:rsidRPr="00C8433A">
              <w:rPr>
                <w:i/>
                <w:iCs/>
              </w:rPr>
              <w:t>4</w:t>
            </w:r>
          </w:p>
        </w:tc>
        <w:tc>
          <w:tcPr>
            <w:tcW w:w="1064" w:type="dxa"/>
          </w:tcPr>
          <w:p w14:paraId="72DCE7B5" w14:textId="77777777" w:rsidR="003219B1" w:rsidRDefault="003219B1" w:rsidP="005869E6">
            <w:pPr>
              <w:jc w:val="center"/>
              <w:rPr>
                <w:i/>
                <w:iCs/>
              </w:rPr>
            </w:pPr>
            <w:r>
              <w:rPr>
                <w:i/>
                <w:iCs/>
              </w:rPr>
              <w:t>5</w:t>
            </w:r>
          </w:p>
        </w:tc>
        <w:tc>
          <w:tcPr>
            <w:tcW w:w="1224" w:type="dxa"/>
          </w:tcPr>
          <w:p w14:paraId="1FB2050A" w14:textId="77777777" w:rsidR="003219B1" w:rsidRPr="00C8433A" w:rsidRDefault="003219B1" w:rsidP="005869E6">
            <w:pPr>
              <w:jc w:val="center"/>
              <w:rPr>
                <w:i/>
                <w:iCs/>
              </w:rPr>
            </w:pPr>
            <w:r>
              <w:rPr>
                <w:i/>
                <w:iCs/>
              </w:rPr>
              <w:t>M</w:t>
            </w:r>
          </w:p>
        </w:tc>
        <w:tc>
          <w:tcPr>
            <w:tcW w:w="1184" w:type="dxa"/>
          </w:tcPr>
          <w:p w14:paraId="0B7814E5" w14:textId="77777777" w:rsidR="003219B1" w:rsidRDefault="003219B1" w:rsidP="005869E6">
            <w:pPr>
              <w:jc w:val="center"/>
              <w:rPr>
                <w:i/>
                <w:iCs/>
              </w:rPr>
            </w:pPr>
            <w:r>
              <w:rPr>
                <w:i/>
                <w:iCs/>
              </w:rPr>
              <w:t>SD</w:t>
            </w:r>
          </w:p>
        </w:tc>
      </w:tr>
      <w:tr w:rsidR="003219B1" w:rsidRPr="0052714A" w14:paraId="3E516FB2" w14:textId="77777777" w:rsidTr="005869E6">
        <w:trPr>
          <w:trHeight w:val="449"/>
        </w:trPr>
        <w:tc>
          <w:tcPr>
            <w:tcW w:w="1468" w:type="dxa"/>
            <w:shd w:val="clear" w:color="auto" w:fill="auto"/>
          </w:tcPr>
          <w:p w14:paraId="0C991A5F" w14:textId="77777777" w:rsidR="003219B1" w:rsidRPr="0052714A" w:rsidRDefault="003219B1" w:rsidP="005869E6">
            <w:r>
              <w:t>1. SORT</w:t>
            </w:r>
          </w:p>
        </w:tc>
        <w:tc>
          <w:tcPr>
            <w:tcW w:w="1112" w:type="dxa"/>
            <w:shd w:val="clear" w:color="auto" w:fill="auto"/>
          </w:tcPr>
          <w:p w14:paraId="68955D91" w14:textId="77777777" w:rsidR="003219B1" w:rsidRPr="0052714A" w:rsidRDefault="003219B1" w:rsidP="005869E6">
            <w:pPr>
              <w:jc w:val="center"/>
            </w:pPr>
            <w:r>
              <w:t>—</w:t>
            </w:r>
          </w:p>
        </w:tc>
        <w:tc>
          <w:tcPr>
            <w:tcW w:w="1451" w:type="dxa"/>
            <w:shd w:val="clear" w:color="auto" w:fill="auto"/>
          </w:tcPr>
          <w:p w14:paraId="45336036" w14:textId="77777777" w:rsidR="003219B1" w:rsidRPr="0052714A" w:rsidRDefault="003219B1" w:rsidP="005869E6">
            <w:pPr>
              <w:jc w:val="center"/>
            </w:pPr>
            <w:r>
              <w:t>—</w:t>
            </w:r>
          </w:p>
        </w:tc>
        <w:tc>
          <w:tcPr>
            <w:tcW w:w="1360" w:type="dxa"/>
          </w:tcPr>
          <w:p w14:paraId="5EFEDDF8" w14:textId="77777777" w:rsidR="003219B1" w:rsidRPr="0052714A" w:rsidRDefault="003219B1" w:rsidP="005869E6">
            <w:pPr>
              <w:jc w:val="center"/>
            </w:pPr>
            <w:r>
              <w:t>—</w:t>
            </w:r>
          </w:p>
        </w:tc>
        <w:tc>
          <w:tcPr>
            <w:tcW w:w="1144" w:type="dxa"/>
            <w:shd w:val="clear" w:color="auto" w:fill="auto"/>
          </w:tcPr>
          <w:p w14:paraId="72965193" w14:textId="77777777" w:rsidR="003219B1" w:rsidRPr="0052714A" w:rsidRDefault="003219B1" w:rsidP="005869E6">
            <w:pPr>
              <w:jc w:val="center"/>
            </w:pPr>
            <w:r>
              <w:t>—</w:t>
            </w:r>
          </w:p>
        </w:tc>
        <w:tc>
          <w:tcPr>
            <w:tcW w:w="1064" w:type="dxa"/>
          </w:tcPr>
          <w:p w14:paraId="0BC4767B" w14:textId="77777777" w:rsidR="003219B1" w:rsidRDefault="003219B1" w:rsidP="005869E6">
            <w:pPr>
              <w:jc w:val="center"/>
            </w:pPr>
            <w:r>
              <w:t>—</w:t>
            </w:r>
          </w:p>
        </w:tc>
        <w:tc>
          <w:tcPr>
            <w:tcW w:w="1224" w:type="dxa"/>
          </w:tcPr>
          <w:p w14:paraId="0B020CC0" w14:textId="77777777" w:rsidR="003219B1" w:rsidRDefault="003219B1" w:rsidP="005869E6">
            <w:pPr>
              <w:jc w:val="center"/>
            </w:pPr>
            <w:r>
              <w:t>2.91</w:t>
            </w:r>
          </w:p>
        </w:tc>
        <w:tc>
          <w:tcPr>
            <w:tcW w:w="1184" w:type="dxa"/>
          </w:tcPr>
          <w:p w14:paraId="68AFE0D6" w14:textId="77777777" w:rsidR="003219B1" w:rsidRDefault="003219B1" w:rsidP="005869E6">
            <w:pPr>
              <w:jc w:val="center"/>
            </w:pPr>
            <w:r>
              <w:t>4.01</w:t>
            </w:r>
          </w:p>
        </w:tc>
      </w:tr>
      <w:tr w:rsidR="003219B1" w:rsidRPr="0052714A" w14:paraId="00AEB195" w14:textId="77777777" w:rsidTr="005869E6">
        <w:trPr>
          <w:trHeight w:val="433"/>
        </w:trPr>
        <w:tc>
          <w:tcPr>
            <w:tcW w:w="1468" w:type="dxa"/>
            <w:shd w:val="clear" w:color="auto" w:fill="auto"/>
          </w:tcPr>
          <w:p w14:paraId="5536E677" w14:textId="77777777" w:rsidR="003219B1" w:rsidRPr="0052714A" w:rsidRDefault="003219B1" w:rsidP="005869E6">
            <w:r>
              <w:t>2. MHC-SF</w:t>
            </w:r>
          </w:p>
        </w:tc>
        <w:tc>
          <w:tcPr>
            <w:tcW w:w="1112" w:type="dxa"/>
            <w:shd w:val="clear" w:color="auto" w:fill="auto"/>
          </w:tcPr>
          <w:p w14:paraId="3634452A" w14:textId="77777777" w:rsidR="003219B1" w:rsidRPr="0052714A" w:rsidRDefault="003219B1" w:rsidP="005869E6">
            <w:pPr>
              <w:jc w:val="center"/>
            </w:pPr>
            <w:r>
              <w:t>-.27***</w:t>
            </w:r>
          </w:p>
        </w:tc>
        <w:tc>
          <w:tcPr>
            <w:tcW w:w="1451" w:type="dxa"/>
            <w:shd w:val="clear" w:color="auto" w:fill="auto"/>
          </w:tcPr>
          <w:p w14:paraId="0E4E1F3F" w14:textId="77777777" w:rsidR="003219B1" w:rsidRPr="0052714A" w:rsidRDefault="003219B1" w:rsidP="005869E6">
            <w:pPr>
              <w:jc w:val="center"/>
            </w:pPr>
            <w:r>
              <w:t>—</w:t>
            </w:r>
          </w:p>
        </w:tc>
        <w:tc>
          <w:tcPr>
            <w:tcW w:w="1360" w:type="dxa"/>
          </w:tcPr>
          <w:p w14:paraId="66117632" w14:textId="77777777" w:rsidR="003219B1" w:rsidRPr="0052714A" w:rsidRDefault="003219B1" w:rsidP="005869E6">
            <w:pPr>
              <w:jc w:val="center"/>
            </w:pPr>
            <w:r>
              <w:t>—</w:t>
            </w:r>
          </w:p>
        </w:tc>
        <w:tc>
          <w:tcPr>
            <w:tcW w:w="1144" w:type="dxa"/>
            <w:shd w:val="clear" w:color="auto" w:fill="auto"/>
          </w:tcPr>
          <w:p w14:paraId="46F052DA" w14:textId="77777777" w:rsidR="003219B1" w:rsidRPr="0052714A" w:rsidRDefault="003219B1" w:rsidP="005869E6">
            <w:pPr>
              <w:jc w:val="center"/>
            </w:pPr>
            <w:r>
              <w:t>—</w:t>
            </w:r>
          </w:p>
        </w:tc>
        <w:tc>
          <w:tcPr>
            <w:tcW w:w="1064" w:type="dxa"/>
          </w:tcPr>
          <w:p w14:paraId="0CA74440" w14:textId="77777777" w:rsidR="003219B1" w:rsidRDefault="003219B1" w:rsidP="005869E6">
            <w:pPr>
              <w:jc w:val="center"/>
            </w:pPr>
            <w:r>
              <w:t>—</w:t>
            </w:r>
          </w:p>
        </w:tc>
        <w:tc>
          <w:tcPr>
            <w:tcW w:w="1224" w:type="dxa"/>
          </w:tcPr>
          <w:p w14:paraId="07F1F091" w14:textId="77777777" w:rsidR="003219B1" w:rsidRDefault="003219B1" w:rsidP="005869E6">
            <w:pPr>
              <w:jc w:val="center"/>
            </w:pPr>
            <w:r>
              <w:t>55.70</w:t>
            </w:r>
          </w:p>
        </w:tc>
        <w:tc>
          <w:tcPr>
            <w:tcW w:w="1184" w:type="dxa"/>
          </w:tcPr>
          <w:p w14:paraId="67A6AFAF" w14:textId="77777777" w:rsidR="003219B1" w:rsidRDefault="003219B1" w:rsidP="005869E6">
            <w:pPr>
              <w:jc w:val="center"/>
            </w:pPr>
            <w:r>
              <w:t>15.79</w:t>
            </w:r>
          </w:p>
        </w:tc>
      </w:tr>
      <w:tr w:rsidR="003219B1" w:rsidRPr="0052714A" w14:paraId="349760E7" w14:textId="77777777" w:rsidTr="005869E6">
        <w:trPr>
          <w:trHeight w:val="449"/>
        </w:trPr>
        <w:tc>
          <w:tcPr>
            <w:tcW w:w="1468" w:type="dxa"/>
            <w:shd w:val="clear" w:color="auto" w:fill="auto"/>
          </w:tcPr>
          <w:p w14:paraId="48DF4EE9" w14:textId="77777777" w:rsidR="003219B1" w:rsidRPr="0052714A" w:rsidRDefault="003219B1" w:rsidP="005869E6">
            <w:r>
              <w:t>3. AAQ-II</w:t>
            </w:r>
          </w:p>
        </w:tc>
        <w:tc>
          <w:tcPr>
            <w:tcW w:w="1112" w:type="dxa"/>
            <w:shd w:val="clear" w:color="auto" w:fill="auto"/>
          </w:tcPr>
          <w:p w14:paraId="39E319D0" w14:textId="77777777" w:rsidR="003219B1" w:rsidRPr="0052714A" w:rsidRDefault="003219B1" w:rsidP="005869E6">
            <w:pPr>
              <w:jc w:val="center"/>
            </w:pPr>
            <w:r w:rsidRPr="0052714A">
              <w:t>.</w:t>
            </w:r>
            <w:r>
              <w:t>28***</w:t>
            </w:r>
          </w:p>
        </w:tc>
        <w:tc>
          <w:tcPr>
            <w:tcW w:w="1451" w:type="dxa"/>
            <w:shd w:val="clear" w:color="auto" w:fill="auto"/>
          </w:tcPr>
          <w:p w14:paraId="58620558" w14:textId="77777777" w:rsidR="003219B1" w:rsidRPr="0052714A" w:rsidRDefault="003219B1" w:rsidP="005869E6">
            <w:pPr>
              <w:jc w:val="center"/>
            </w:pPr>
            <w:r>
              <w:t>-.58*</w:t>
            </w:r>
            <w:r w:rsidRPr="0052714A">
              <w:t>**</w:t>
            </w:r>
          </w:p>
        </w:tc>
        <w:tc>
          <w:tcPr>
            <w:tcW w:w="1360" w:type="dxa"/>
          </w:tcPr>
          <w:p w14:paraId="4373F76E" w14:textId="77777777" w:rsidR="003219B1" w:rsidRPr="0052714A" w:rsidRDefault="003219B1" w:rsidP="005869E6">
            <w:pPr>
              <w:jc w:val="center"/>
            </w:pPr>
            <w:r>
              <w:t>—</w:t>
            </w:r>
          </w:p>
        </w:tc>
        <w:tc>
          <w:tcPr>
            <w:tcW w:w="1144" w:type="dxa"/>
            <w:shd w:val="clear" w:color="auto" w:fill="auto"/>
          </w:tcPr>
          <w:p w14:paraId="52E81778" w14:textId="77777777" w:rsidR="003219B1" w:rsidRPr="0052714A" w:rsidRDefault="003219B1" w:rsidP="005869E6">
            <w:pPr>
              <w:jc w:val="center"/>
            </w:pPr>
            <w:r>
              <w:t>—</w:t>
            </w:r>
          </w:p>
        </w:tc>
        <w:tc>
          <w:tcPr>
            <w:tcW w:w="1064" w:type="dxa"/>
          </w:tcPr>
          <w:p w14:paraId="2CD92EA3" w14:textId="77777777" w:rsidR="003219B1" w:rsidRDefault="003219B1" w:rsidP="005869E6">
            <w:pPr>
              <w:jc w:val="center"/>
            </w:pPr>
            <w:r>
              <w:t>—</w:t>
            </w:r>
          </w:p>
        </w:tc>
        <w:tc>
          <w:tcPr>
            <w:tcW w:w="1224" w:type="dxa"/>
          </w:tcPr>
          <w:p w14:paraId="22DEE71A" w14:textId="77777777" w:rsidR="003219B1" w:rsidRDefault="003219B1" w:rsidP="005869E6">
            <w:pPr>
              <w:jc w:val="center"/>
            </w:pPr>
            <w:r>
              <w:t>20.51</w:t>
            </w:r>
          </w:p>
        </w:tc>
        <w:tc>
          <w:tcPr>
            <w:tcW w:w="1184" w:type="dxa"/>
          </w:tcPr>
          <w:p w14:paraId="5C5499A6" w14:textId="77777777" w:rsidR="003219B1" w:rsidRDefault="003219B1" w:rsidP="005869E6">
            <w:pPr>
              <w:jc w:val="center"/>
            </w:pPr>
            <w:r>
              <w:t>8.74</w:t>
            </w:r>
          </w:p>
        </w:tc>
      </w:tr>
      <w:tr w:rsidR="003219B1" w:rsidRPr="0052714A" w14:paraId="23423ADA" w14:textId="77777777" w:rsidTr="005869E6">
        <w:trPr>
          <w:trHeight w:val="449"/>
        </w:trPr>
        <w:tc>
          <w:tcPr>
            <w:tcW w:w="1468" w:type="dxa"/>
            <w:shd w:val="clear" w:color="auto" w:fill="auto"/>
          </w:tcPr>
          <w:p w14:paraId="2E6D5177" w14:textId="77777777" w:rsidR="003219B1" w:rsidRPr="0052714A" w:rsidRDefault="003219B1" w:rsidP="005869E6">
            <w:r>
              <w:t>4. OBQ</w:t>
            </w:r>
          </w:p>
        </w:tc>
        <w:tc>
          <w:tcPr>
            <w:tcW w:w="1112" w:type="dxa"/>
            <w:shd w:val="clear" w:color="auto" w:fill="auto"/>
          </w:tcPr>
          <w:p w14:paraId="32DB0A03" w14:textId="77777777" w:rsidR="003219B1" w:rsidRPr="0052714A" w:rsidRDefault="003219B1" w:rsidP="005869E6">
            <w:pPr>
              <w:jc w:val="center"/>
            </w:pPr>
            <w:r>
              <w:t>.34***</w:t>
            </w:r>
          </w:p>
        </w:tc>
        <w:tc>
          <w:tcPr>
            <w:tcW w:w="1451" w:type="dxa"/>
            <w:shd w:val="clear" w:color="auto" w:fill="auto"/>
          </w:tcPr>
          <w:p w14:paraId="181BEF62" w14:textId="77777777" w:rsidR="003219B1" w:rsidRPr="0052714A" w:rsidRDefault="003219B1" w:rsidP="005869E6">
            <w:pPr>
              <w:jc w:val="center"/>
            </w:pPr>
            <w:r>
              <w:t>-.21**</w:t>
            </w:r>
          </w:p>
        </w:tc>
        <w:tc>
          <w:tcPr>
            <w:tcW w:w="1360" w:type="dxa"/>
          </w:tcPr>
          <w:p w14:paraId="02BB315C" w14:textId="77777777" w:rsidR="003219B1" w:rsidRPr="0052714A" w:rsidRDefault="003219B1" w:rsidP="005869E6">
            <w:pPr>
              <w:jc w:val="center"/>
            </w:pPr>
            <w:r w:rsidRPr="0052714A">
              <w:t>.</w:t>
            </w:r>
            <w:r>
              <w:t>48***</w:t>
            </w:r>
          </w:p>
        </w:tc>
        <w:tc>
          <w:tcPr>
            <w:tcW w:w="1144" w:type="dxa"/>
            <w:shd w:val="clear" w:color="auto" w:fill="auto"/>
          </w:tcPr>
          <w:p w14:paraId="62615715" w14:textId="77777777" w:rsidR="003219B1" w:rsidRPr="0052714A" w:rsidRDefault="003219B1" w:rsidP="005869E6">
            <w:pPr>
              <w:jc w:val="center"/>
            </w:pPr>
            <w:r>
              <w:t>—</w:t>
            </w:r>
          </w:p>
        </w:tc>
        <w:tc>
          <w:tcPr>
            <w:tcW w:w="1064" w:type="dxa"/>
          </w:tcPr>
          <w:p w14:paraId="4B56B778" w14:textId="77777777" w:rsidR="003219B1" w:rsidRDefault="003219B1" w:rsidP="005869E6">
            <w:pPr>
              <w:jc w:val="center"/>
            </w:pPr>
            <w:r>
              <w:t>—</w:t>
            </w:r>
          </w:p>
        </w:tc>
        <w:tc>
          <w:tcPr>
            <w:tcW w:w="1224" w:type="dxa"/>
          </w:tcPr>
          <w:p w14:paraId="58C94438" w14:textId="77777777" w:rsidR="003219B1" w:rsidRDefault="003219B1" w:rsidP="005869E6">
            <w:pPr>
              <w:jc w:val="center"/>
            </w:pPr>
            <w:r>
              <w:t>140.71</w:t>
            </w:r>
          </w:p>
        </w:tc>
        <w:tc>
          <w:tcPr>
            <w:tcW w:w="1184" w:type="dxa"/>
          </w:tcPr>
          <w:p w14:paraId="3C4AF914" w14:textId="77777777" w:rsidR="003219B1" w:rsidRDefault="003219B1" w:rsidP="005869E6">
            <w:pPr>
              <w:jc w:val="center"/>
            </w:pPr>
            <w:r>
              <w:t>41.79</w:t>
            </w:r>
          </w:p>
        </w:tc>
      </w:tr>
      <w:tr w:rsidR="003219B1" w:rsidRPr="0052714A" w14:paraId="369F39AE" w14:textId="77777777" w:rsidTr="005869E6">
        <w:trPr>
          <w:trHeight w:val="449"/>
        </w:trPr>
        <w:tc>
          <w:tcPr>
            <w:tcW w:w="1468" w:type="dxa"/>
            <w:shd w:val="clear" w:color="auto" w:fill="auto"/>
          </w:tcPr>
          <w:p w14:paraId="3ED874B8" w14:textId="77777777" w:rsidR="003219B1" w:rsidRDefault="003219B1" w:rsidP="005869E6">
            <w:r>
              <w:t>5. DOCS</w:t>
            </w:r>
          </w:p>
        </w:tc>
        <w:tc>
          <w:tcPr>
            <w:tcW w:w="1112" w:type="dxa"/>
            <w:shd w:val="clear" w:color="auto" w:fill="auto"/>
          </w:tcPr>
          <w:p w14:paraId="1102812D" w14:textId="77777777" w:rsidR="003219B1" w:rsidRPr="0052714A" w:rsidRDefault="003219B1" w:rsidP="005869E6">
            <w:pPr>
              <w:jc w:val="center"/>
            </w:pPr>
            <w:r>
              <w:t>.24**</w:t>
            </w:r>
          </w:p>
        </w:tc>
        <w:tc>
          <w:tcPr>
            <w:tcW w:w="1451" w:type="dxa"/>
            <w:shd w:val="clear" w:color="auto" w:fill="auto"/>
          </w:tcPr>
          <w:p w14:paraId="28225605" w14:textId="77777777" w:rsidR="003219B1" w:rsidRPr="0052714A" w:rsidRDefault="003219B1" w:rsidP="005869E6">
            <w:pPr>
              <w:jc w:val="center"/>
            </w:pPr>
            <w:r>
              <w:t>-.21**</w:t>
            </w:r>
          </w:p>
        </w:tc>
        <w:tc>
          <w:tcPr>
            <w:tcW w:w="1360" w:type="dxa"/>
          </w:tcPr>
          <w:p w14:paraId="484AB9E9" w14:textId="77777777" w:rsidR="003219B1" w:rsidRPr="0052714A" w:rsidRDefault="003219B1" w:rsidP="005869E6">
            <w:pPr>
              <w:jc w:val="center"/>
            </w:pPr>
            <w:r>
              <w:t>.44***</w:t>
            </w:r>
          </w:p>
        </w:tc>
        <w:tc>
          <w:tcPr>
            <w:tcW w:w="1144" w:type="dxa"/>
            <w:shd w:val="clear" w:color="auto" w:fill="auto"/>
          </w:tcPr>
          <w:p w14:paraId="75CAED0B" w14:textId="77777777" w:rsidR="003219B1" w:rsidRDefault="003219B1" w:rsidP="005869E6">
            <w:pPr>
              <w:jc w:val="center"/>
            </w:pPr>
            <w:r>
              <w:t>.45***</w:t>
            </w:r>
          </w:p>
        </w:tc>
        <w:tc>
          <w:tcPr>
            <w:tcW w:w="1064" w:type="dxa"/>
          </w:tcPr>
          <w:p w14:paraId="04F4B131" w14:textId="77777777" w:rsidR="003219B1" w:rsidRDefault="003219B1" w:rsidP="005869E6">
            <w:pPr>
              <w:jc w:val="center"/>
            </w:pPr>
            <w:r>
              <w:t>—</w:t>
            </w:r>
          </w:p>
        </w:tc>
        <w:tc>
          <w:tcPr>
            <w:tcW w:w="1224" w:type="dxa"/>
          </w:tcPr>
          <w:p w14:paraId="3A3E5162" w14:textId="77777777" w:rsidR="003219B1" w:rsidRDefault="003219B1" w:rsidP="005869E6">
            <w:pPr>
              <w:jc w:val="center"/>
            </w:pPr>
            <w:r>
              <w:t>14.35</w:t>
            </w:r>
          </w:p>
        </w:tc>
        <w:tc>
          <w:tcPr>
            <w:tcW w:w="1184" w:type="dxa"/>
          </w:tcPr>
          <w:p w14:paraId="03C4F95E" w14:textId="77777777" w:rsidR="003219B1" w:rsidRDefault="003219B1" w:rsidP="005869E6">
            <w:pPr>
              <w:jc w:val="center"/>
            </w:pPr>
            <w:r>
              <w:t>9.77</w:t>
            </w:r>
          </w:p>
        </w:tc>
      </w:tr>
    </w:tbl>
    <w:p w14:paraId="15749A56" w14:textId="77777777" w:rsidR="003219B1" w:rsidRPr="0052714A" w:rsidRDefault="003219B1" w:rsidP="00427D49">
      <w:r>
        <w:t>*</w:t>
      </w:r>
      <w:r>
        <w:rPr>
          <w:i/>
          <w:iCs/>
        </w:rPr>
        <w:t xml:space="preserve">p </w:t>
      </w:r>
      <w:r>
        <w:t>&lt; .05, **</w:t>
      </w:r>
      <w:r>
        <w:rPr>
          <w:i/>
          <w:iCs/>
        </w:rPr>
        <w:t>p</w:t>
      </w:r>
      <w:r>
        <w:t xml:space="preserve"> &lt; .01, </w:t>
      </w:r>
      <w:r w:rsidRPr="0052714A">
        <w:t>***</w:t>
      </w:r>
      <w:r w:rsidRPr="0052714A">
        <w:rPr>
          <w:i/>
          <w:iCs/>
        </w:rPr>
        <w:t xml:space="preserve">p </w:t>
      </w:r>
      <w:r w:rsidRPr="0052714A">
        <w:t>&lt; .001.</w:t>
      </w:r>
    </w:p>
    <w:p w14:paraId="35518BB7" w14:textId="01851F08" w:rsidR="003219B1" w:rsidRDefault="00F714AD" w:rsidP="00427D49">
      <w:r>
        <w:rPr>
          <w:i/>
          <w:iCs/>
        </w:rPr>
        <w:t>Note</w:t>
      </w:r>
      <w:r w:rsidR="003D4C5A">
        <w:t>:</w:t>
      </w:r>
      <w:r>
        <w:t xml:space="preserve"> </w:t>
      </w:r>
      <w:r w:rsidR="0032656A">
        <w:t xml:space="preserve">SORT = </w:t>
      </w:r>
      <w:r w:rsidR="0032656A" w:rsidRPr="003D4C5A">
        <w:t>Sexual Orientation Obsessions and Reactions Test; MHC-SF = Mental Health Continuum – Short Form; AAQ-II = Acceptance and Action Questionnaire – II; OBQ = Obsessive Beliefs Questionnaire – 44; DOCS = Dimensional Obsessive Compulsive Scale</w:t>
      </w:r>
      <w:r w:rsidR="003D4C5A" w:rsidRPr="003D4C5A">
        <w:t>.</w:t>
      </w:r>
      <w:r w:rsidR="003219B1" w:rsidRPr="0052714A">
        <w:br w:type="page"/>
      </w:r>
    </w:p>
    <w:p w14:paraId="1469C758" w14:textId="77777777" w:rsidR="003219B1" w:rsidRPr="00F6719E" w:rsidRDefault="003219B1" w:rsidP="00427D49"/>
    <w:p w14:paraId="391148F8" w14:textId="4B7D1B84" w:rsidR="003219B1" w:rsidRDefault="00CB2278" w:rsidP="00427D49">
      <w:pPr>
        <w:rPr>
          <w:b/>
          <w:bCs/>
        </w:rPr>
      </w:pPr>
      <w:r w:rsidRPr="00CB2278">
        <w:rPr>
          <w:b/>
          <w:bCs/>
          <w:noProof/>
        </w:rPr>
        <w:drawing>
          <wp:inline distT="0" distB="0" distL="0" distR="0" wp14:anchorId="19956F12" wp14:editId="53F02268">
            <wp:extent cx="5943600" cy="2459355"/>
            <wp:effectExtent l="0" t="0" r="0" b="444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a:stretch>
                      <a:fillRect/>
                    </a:stretch>
                  </pic:blipFill>
                  <pic:spPr>
                    <a:xfrm>
                      <a:off x="0" y="0"/>
                      <a:ext cx="5943600" cy="2459355"/>
                    </a:xfrm>
                    <a:prstGeom prst="rect">
                      <a:avLst/>
                    </a:prstGeom>
                  </pic:spPr>
                </pic:pic>
              </a:graphicData>
            </a:graphic>
          </wp:inline>
        </w:drawing>
      </w:r>
    </w:p>
    <w:p w14:paraId="67292F4D" w14:textId="04198872" w:rsidR="003219B1" w:rsidRDefault="003219B1" w:rsidP="00427D49">
      <w:pPr>
        <w:rPr>
          <w:b/>
          <w:bCs/>
        </w:rPr>
      </w:pPr>
      <w:r w:rsidRPr="006B2952">
        <w:rPr>
          <w:b/>
          <w:bCs/>
        </w:rPr>
        <w:t xml:space="preserve"> </w:t>
      </w:r>
    </w:p>
    <w:p w14:paraId="32089BAD" w14:textId="77777777" w:rsidR="003219B1" w:rsidRDefault="003219B1" w:rsidP="00427D49">
      <w:r w:rsidRPr="00F66276">
        <w:rPr>
          <w:i/>
          <w:iCs/>
        </w:rPr>
        <w:t>Figure 1.</w:t>
      </w:r>
      <w:r w:rsidRPr="00F66276">
        <w:t xml:space="preserve"> Standardized regression coefficients for the relationship between sexual orientation intrusive thoughts and </w:t>
      </w:r>
      <w:r>
        <w:t>well-being</w:t>
      </w:r>
      <w:r w:rsidRPr="00F66276">
        <w:t xml:space="preserve"> as mediated by psychological inflexibility.</w:t>
      </w:r>
    </w:p>
    <w:p w14:paraId="0F491B9C" w14:textId="77777777" w:rsidR="003219B1" w:rsidRPr="00F66276" w:rsidRDefault="003219B1" w:rsidP="00427D49">
      <w:r>
        <w:t>***p &lt; .001</w:t>
      </w:r>
    </w:p>
    <w:p w14:paraId="02B4E866" w14:textId="68401F43" w:rsidR="003219B1" w:rsidRDefault="00EF213F" w:rsidP="00427D49">
      <w:pPr>
        <w:rPr>
          <w:b/>
          <w:bCs/>
        </w:rPr>
      </w:pPr>
      <w:r>
        <w:rPr>
          <w:i/>
          <w:iCs/>
        </w:rPr>
        <w:t>Note</w:t>
      </w:r>
      <w:r>
        <w:t xml:space="preserve">: SORT = </w:t>
      </w:r>
      <w:r w:rsidRPr="003D4C5A">
        <w:t>Sexual Orientation Obsessions and Reactions Test; MHC-SF = Mental Health Continuum – Short Form; AAQ-II = Acceptance and Action Questionnaire – II</w:t>
      </w:r>
      <w:r>
        <w:t>.</w:t>
      </w:r>
      <w:r w:rsidR="003219B1">
        <w:rPr>
          <w:b/>
          <w:bCs/>
        </w:rPr>
        <w:br w:type="page"/>
      </w:r>
    </w:p>
    <w:p w14:paraId="7144316C" w14:textId="2064D470" w:rsidR="003219B1" w:rsidRPr="00BB2114" w:rsidRDefault="00C35DFA" w:rsidP="00427D49">
      <w:pPr>
        <w:rPr>
          <w:b/>
          <w:bCs/>
        </w:rPr>
      </w:pPr>
      <w:r w:rsidRPr="00C35DFA">
        <w:rPr>
          <w:b/>
          <w:bCs/>
          <w:noProof/>
        </w:rPr>
        <w:lastRenderedPageBreak/>
        <w:drawing>
          <wp:inline distT="0" distB="0" distL="0" distR="0" wp14:anchorId="57369751" wp14:editId="68CAB838">
            <wp:extent cx="5943600" cy="227838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5943600" cy="2278380"/>
                    </a:xfrm>
                    <a:prstGeom prst="rect">
                      <a:avLst/>
                    </a:prstGeom>
                  </pic:spPr>
                </pic:pic>
              </a:graphicData>
            </a:graphic>
          </wp:inline>
        </w:drawing>
      </w:r>
    </w:p>
    <w:p w14:paraId="6028E80F" w14:textId="77777777" w:rsidR="003219B1" w:rsidRDefault="003219B1" w:rsidP="00BB2023">
      <w:r w:rsidRPr="00F66276">
        <w:rPr>
          <w:i/>
          <w:iCs/>
        </w:rPr>
        <w:t xml:space="preserve">Figure </w:t>
      </w:r>
      <w:r>
        <w:rPr>
          <w:i/>
          <w:iCs/>
        </w:rPr>
        <w:t>2</w:t>
      </w:r>
      <w:r w:rsidRPr="00F66276">
        <w:rPr>
          <w:i/>
          <w:iCs/>
        </w:rPr>
        <w:t>.</w:t>
      </w:r>
      <w:r w:rsidRPr="00F66276">
        <w:t xml:space="preserve"> Standardized regression coefficients for the relationship between sexual orientation intrusive thoughts and </w:t>
      </w:r>
      <w:r>
        <w:t>well-being</w:t>
      </w:r>
      <w:r w:rsidRPr="00F66276">
        <w:t xml:space="preserve"> as mediated by </w:t>
      </w:r>
      <w:r>
        <w:t>cognitive distortion</w:t>
      </w:r>
      <w:r w:rsidRPr="00F66276">
        <w:t>.</w:t>
      </w:r>
    </w:p>
    <w:p w14:paraId="1C5B608B" w14:textId="77777777" w:rsidR="003219B1" w:rsidRPr="00F66276" w:rsidRDefault="003219B1" w:rsidP="00BB2023">
      <w:r>
        <w:t>***p &lt; .001</w:t>
      </w:r>
    </w:p>
    <w:p w14:paraId="789366D8" w14:textId="4EC84C92" w:rsidR="003219B1" w:rsidRDefault="00EF213F" w:rsidP="00BB2023">
      <w:r>
        <w:rPr>
          <w:i/>
          <w:iCs/>
        </w:rPr>
        <w:t>Note</w:t>
      </w:r>
      <w:r>
        <w:t xml:space="preserve">: SORT = </w:t>
      </w:r>
      <w:r w:rsidRPr="003D4C5A">
        <w:t>Sexual Orientation Obsessions and Reactions Test; MHC-SF = Mental Health Continuum – Short Form; OBQ = Obsessive Beliefs Questionnaire – 44</w:t>
      </w:r>
      <w:r>
        <w:t>.</w:t>
      </w:r>
    </w:p>
    <w:p w14:paraId="49DD6F12" w14:textId="77777777" w:rsidR="003219B1" w:rsidRDefault="003219B1">
      <w:r>
        <w:br w:type="page"/>
      </w:r>
    </w:p>
    <w:p w14:paraId="4EFAD018" w14:textId="4E0852B8" w:rsidR="003219B1" w:rsidRPr="00255062" w:rsidRDefault="00AE56DC" w:rsidP="00255062">
      <w:r w:rsidRPr="00AE56DC">
        <w:rPr>
          <w:noProof/>
        </w:rPr>
        <w:lastRenderedPageBreak/>
        <w:drawing>
          <wp:inline distT="0" distB="0" distL="0" distR="0" wp14:anchorId="305A366C" wp14:editId="3AFFCD58">
            <wp:extent cx="5943600" cy="2321560"/>
            <wp:effectExtent l="0" t="0" r="0" b="254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0"/>
                    <a:stretch>
                      <a:fillRect/>
                    </a:stretch>
                  </pic:blipFill>
                  <pic:spPr>
                    <a:xfrm>
                      <a:off x="0" y="0"/>
                      <a:ext cx="5943600" cy="2321560"/>
                    </a:xfrm>
                    <a:prstGeom prst="rect">
                      <a:avLst/>
                    </a:prstGeom>
                  </pic:spPr>
                </pic:pic>
              </a:graphicData>
            </a:graphic>
          </wp:inline>
        </w:drawing>
      </w:r>
    </w:p>
    <w:p w14:paraId="070DF84C" w14:textId="5D70E539" w:rsidR="003219B1" w:rsidRDefault="003219B1" w:rsidP="00874BEF">
      <w:r w:rsidRPr="00F66276">
        <w:rPr>
          <w:i/>
          <w:iCs/>
        </w:rPr>
        <w:t xml:space="preserve">Figure </w:t>
      </w:r>
      <w:r>
        <w:rPr>
          <w:i/>
          <w:iCs/>
        </w:rPr>
        <w:t>3</w:t>
      </w:r>
      <w:r w:rsidRPr="00F66276">
        <w:rPr>
          <w:i/>
          <w:iCs/>
        </w:rPr>
        <w:t>.</w:t>
      </w:r>
      <w:r w:rsidRPr="00F66276">
        <w:t xml:space="preserve"> Standardized regression coefficients for the relationship between </w:t>
      </w:r>
      <w:r>
        <w:t>OC symptoms</w:t>
      </w:r>
      <w:r w:rsidRPr="00F66276">
        <w:t xml:space="preserve"> and </w:t>
      </w:r>
      <w:r>
        <w:t>well-being</w:t>
      </w:r>
      <w:r w:rsidRPr="00F66276">
        <w:t xml:space="preserve"> as mediated by psychological inflexibility.</w:t>
      </w:r>
    </w:p>
    <w:p w14:paraId="3DFB2B57" w14:textId="752E4950" w:rsidR="003219B1" w:rsidRDefault="003219B1" w:rsidP="00874BEF">
      <w:r>
        <w:t>***p &lt; .001</w:t>
      </w:r>
    </w:p>
    <w:p w14:paraId="0BBF7ED2" w14:textId="2E10338F" w:rsidR="00EF213F" w:rsidRPr="00F66276" w:rsidRDefault="00EF213F" w:rsidP="00874BEF">
      <w:r>
        <w:rPr>
          <w:i/>
          <w:iCs/>
        </w:rPr>
        <w:t>Note</w:t>
      </w:r>
      <w:r>
        <w:t xml:space="preserve">: </w:t>
      </w:r>
      <w:r w:rsidRPr="003D4C5A">
        <w:t>MHC-SF = Mental Health Continuum – Short Form; AAQ-II = Acceptance and Action Questionnaire – II; DOCS = Dimensional Obsessive Compulsive Scale.</w:t>
      </w:r>
    </w:p>
    <w:p w14:paraId="67BA7721" w14:textId="77777777" w:rsidR="003219B1" w:rsidRDefault="003219B1">
      <w:pPr>
        <w:rPr>
          <w:b/>
          <w:bCs/>
        </w:rPr>
      </w:pPr>
      <w:r>
        <w:rPr>
          <w:b/>
          <w:bCs/>
        </w:rPr>
        <w:br w:type="page"/>
      </w:r>
    </w:p>
    <w:p w14:paraId="7779149C" w14:textId="77777777" w:rsidR="003219B1" w:rsidRDefault="003219B1" w:rsidP="00222A11">
      <w:pPr>
        <w:rPr>
          <w:b/>
          <w:bCs/>
        </w:rPr>
      </w:pPr>
    </w:p>
    <w:p w14:paraId="7B18ACE3" w14:textId="77777777" w:rsidR="003219B1" w:rsidRDefault="003219B1" w:rsidP="00BB2114">
      <w:pPr>
        <w:rPr>
          <w:i/>
          <w:iCs/>
        </w:rPr>
      </w:pPr>
    </w:p>
    <w:p w14:paraId="287B62DE" w14:textId="103C3F84" w:rsidR="003219B1" w:rsidRDefault="00AB1120" w:rsidP="00BB2114">
      <w:pPr>
        <w:rPr>
          <w:i/>
          <w:iCs/>
        </w:rPr>
      </w:pPr>
      <w:r w:rsidRPr="00AB1120">
        <w:rPr>
          <w:i/>
          <w:iCs/>
          <w:noProof/>
        </w:rPr>
        <w:drawing>
          <wp:inline distT="0" distB="0" distL="0" distR="0" wp14:anchorId="3C8A7F52" wp14:editId="41EF311F">
            <wp:extent cx="5943600" cy="229870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1"/>
                    <a:stretch>
                      <a:fillRect/>
                    </a:stretch>
                  </pic:blipFill>
                  <pic:spPr>
                    <a:xfrm>
                      <a:off x="0" y="0"/>
                      <a:ext cx="5943600" cy="2298700"/>
                    </a:xfrm>
                    <a:prstGeom prst="rect">
                      <a:avLst/>
                    </a:prstGeom>
                  </pic:spPr>
                </pic:pic>
              </a:graphicData>
            </a:graphic>
          </wp:inline>
        </w:drawing>
      </w:r>
    </w:p>
    <w:p w14:paraId="208CAD66" w14:textId="4F16B5FD" w:rsidR="003219B1" w:rsidRDefault="003219B1" w:rsidP="00BB2114">
      <w:r w:rsidRPr="00F66276">
        <w:rPr>
          <w:i/>
          <w:iCs/>
        </w:rPr>
        <w:t xml:space="preserve">Figure </w:t>
      </w:r>
      <w:r>
        <w:rPr>
          <w:i/>
          <w:iCs/>
        </w:rPr>
        <w:t>4</w:t>
      </w:r>
      <w:r w:rsidRPr="00F66276">
        <w:rPr>
          <w:i/>
          <w:iCs/>
        </w:rPr>
        <w:t>.</w:t>
      </w:r>
      <w:r w:rsidRPr="00F66276">
        <w:t xml:space="preserve"> Standardized regression coefficients for the relationship between </w:t>
      </w:r>
      <w:r>
        <w:t>OC symptoms</w:t>
      </w:r>
      <w:r w:rsidRPr="00F66276">
        <w:t xml:space="preserve"> and </w:t>
      </w:r>
      <w:r>
        <w:t>well-being</w:t>
      </w:r>
      <w:r w:rsidRPr="00F66276">
        <w:t xml:space="preserve"> as mediated by </w:t>
      </w:r>
      <w:r>
        <w:t>cognitive distortion</w:t>
      </w:r>
      <w:r w:rsidRPr="00F66276">
        <w:t>.</w:t>
      </w:r>
    </w:p>
    <w:p w14:paraId="4FE4F839" w14:textId="77777777" w:rsidR="003219B1" w:rsidRPr="00F66276" w:rsidRDefault="003219B1" w:rsidP="00BB2114">
      <w:r>
        <w:t>***p &lt; .001</w:t>
      </w:r>
    </w:p>
    <w:p w14:paraId="1E137834" w14:textId="399A1E18" w:rsidR="003219B1" w:rsidRPr="007F3E85" w:rsidRDefault="0034027F" w:rsidP="00BB2114">
      <w:pPr>
        <w:rPr>
          <w:b/>
          <w:bCs/>
        </w:rPr>
      </w:pPr>
      <w:r>
        <w:rPr>
          <w:i/>
          <w:iCs/>
        </w:rPr>
        <w:t>Note</w:t>
      </w:r>
      <w:r>
        <w:t xml:space="preserve">: </w:t>
      </w:r>
      <w:r w:rsidRPr="003D4C5A">
        <w:t>MHC-SF = Mental Health Continuum – Short Form; OBQ = Obsessive Beliefs Questionnaire – 44; DOCS = Dimensional Obsessive Compulsive Scale.</w:t>
      </w:r>
    </w:p>
    <w:p w14:paraId="6BF72008" w14:textId="77777777" w:rsidR="00C8444B" w:rsidRDefault="006E7B6C"/>
    <w:sectPr w:rsidR="00C8444B" w:rsidSect="00064FB7">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32DE4" w14:textId="77777777" w:rsidR="006E7B6C" w:rsidRDefault="006E7B6C">
      <w:r>
        <w:separator/>
      </w:r>
    </w:p>
  </w:endnote>
  <w:endnote w:type="continuationSeparator" w:id="0">
    <w:p w14:paraId="21EB2300" w14:textId="77777777" w:rsidR="006E7B6C" w:rsidRDefault="006E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51D65" w14:textId="77777777" w:rsidR="006E7B6C" w:rsidRDefault="006E7B6C">
      <w:r>
        <w:separator/>
      </w:r>
    </w:p>
  </w:footnote>
  <w:footnote w:type="continuationSeparator" w:id="0">
    <w:p w14:paraId="0A061E77" w14:textId="77777777" w:rsidR="006E7B6C" w:rsidRDefault="006E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0224868"/>
      <w:docPartObj>
        <w:docPartGallery w:val="Page Numbers (Top of Page)"/>
        <w:docPartUnique/>
      </w:docPartObj>
    </w:sdtPr>
    <w:sdtEndPr>
      <w:rPr>
        <w:rStyle w:val="PageNumber"/>
      </w:rPr>
    </w:sdtEndPr>
    <w:sdtContent>
      <w:p w14:paraId="1CB185BD" w14:textId="77777777" w:rsidR="005869E6" w:rsidRDefault="00CD292E" w:rsidP="005869E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4739B" w14:textId="77777777" w:rsidR="005869E6" w:rsidRDefault="006E7B6C" w:rsidP="00A456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949291509"/>
      <w:docPartObj>
        <w:docPartGallery w:val="Page Numbers (Top of Page)"/>
        <w:docPartUnique/>
      </w:docPartObj>
    </w:sdtPr>
    <w:sdtEndPr>
      <w:rPr>
        <w:rStyle w:val="PageNumber"/>
      </w:rPr>
    </w:sdtEndPr>
    <w:sdtContent>
      <w:p w14:paraId="4493FCCE" w14:textId="77777777" w:rsidR="005869E6" w:rsidRPr="00A456F1" w:rsidRDefault="00CD292E" w:rsidP="005869E6">
        <w:pPr>
          <w:pStyle w:val="Header"/>
          <w:framePr w:wrap="none" w:vAnchor="text" w:hAnchor="margin" w:xAlign="right" w:y="1"/>
          <w:rPr>
            <w:rStyle w:val="PageNumber"/>
            <w:rFonts w:ascii="Times New Roman" w:hAnsi="Times New Roman" w:cs="Times New Roman"/>
          </w:rPr>
        </w:pPr>
        <w:r w:rsidRPr="00A456F1">
          <w:rPr>
            <w:rStyle w:val="PageNumber"/>
            <w:rFonts w:ascii="Times New Roman" w:hAnsi="Times New Roman" w:cs="Times New Roman"/>
          </w:rPr>
          <w:fldChar w:fldCharType="begin"/>
        </w:r>
        <w:r w:rsidRPr="00A456F1">
          <w:rPr>
            <w:rStyle w:val="PageNumber"/>
            <w:rFonts w:ascii="Times New Roman" w:hAnsi="Times New Roman" w:cs="Times New Roman"/>
          </w:rPr>
          <w:instrText xml:space="preserve"> PAGE </w:instrText>
        </w:r>
        <w:r w:rsidRPr="00A456F1">
          <w:rPr>
            <w:rStyle w:val="PageNumber"/>
            <w:rFonts w:ascii="Times New Roman" w:hAnsi="Times New Roman" w:cs="Times New Roman"/>
          </w:rPr>
          <w:fldChar w:fldCharType="separate"/>
        </w:r>
        <w:r w:rsidRPr="00A456F1">
          <w:rPr>
            <w:rStyle w:val="PageNumber"/>
            <w:rFonts w:ascii="Times New Roman" w:hAnsi="Times New Roman" w:cs="Times New Roman"/>
            <w:noProof/>
          </w:rPr>
          <w:t>1</w:t>
        </w:r>
        <w:r w:rsidRPr="00A456F1">
          <w:rPr>
            <w:rStyle w:val="PageNumber"/>
            <w:rFonts w:ascii="Times New Roman" w:hAnsi="Times New Roman" w:cs="Times New Roman"/>
          </w:rPr>
          <w:fldChar w:fldCharType="end"/>
        </w:r>
      </w:p>
    </w:sdtContent>
  </w:sdt>
  <w:p w14:paraId="7C565455" w14:textId="77777777" w:rsidR="005869E6" w:rsidRPr="00E62A1D" w:rsidRDefault="00CD292E" w:rsidP="00E62A1D">
    <w:pPr>
      <w:pStyle w:val="Header"/>
      <w:ind w:right="360"/>
      <w:rPr>
        <w:rFonts w:ascii="Times New Roman" w:hAnsi="Times New Roman" w:cs="Times New Roman"/>
      </w:rPr>
    </w:pPr>
    <w:r w:rsidRPr="00E62A1D">
      <w:rPr>
        <w:rFonts w:ascii="Times New Roman" w:hAnsi="Times New Roman" w:cs="Times New Roman"/>
      </w:rPr>
      <w:t>Sexual orientation intrusive thoughts and well-being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672"/>
    <w:multiLevelType w:val="hybridMultilevel"/>
    <w:tmpl w:val="CFF2F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147E0"/>
    <w:multiLevelType w:val="hybridMultilevel"/>
    <w:tmpl w:val="40F2F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E61BA9"/>
    <w:multiLevelType w:val="hybridMultilevel"/>
    <w:tmpl w:val="B88C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A5CE4"/>
    <w:multiLevelType w:val="hybridMultilevel"/>
    <w:tmpl w:val="B182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622EF"/>
    <w:multiLevelType w:val="hybridMultilevel"/>
    <w:tmpl w:val="D96EFC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5BD5571E"/>
    <w:multiLevelType w:val="hybridMultilevel"/>
    <w:tmpl w:val="BFA83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13382"/>
    <w:multiLevelType w:val="hybridMultilevel"/>
    <w:tmpl w:val="7EB2FB9C"/>
    <w:lvl w:ilvl="0" w:tplc="08EA59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219B1"/>
    <w:rsid w:val="00004283"/>
    <w:rsid w:val="000153C3"/>
    <w:rsid w:val="00017A8A"/>
    <w:rsid w:val="00025D30"/>
    <w:rsid w:val="000276B1"/>
    <w:rsid w:val="000328F3"/>
    <w:rsid w:val="000508DC"/>
    <w:rsid w:val="00052355"/>
    <w:rsid w:val="000555DF"/>
    <w:rsid w:val="00064FB7"/>
    <w:rsid w:val="00077590"/>
    <w:rsid w:val="00077BD7"/>
    <w:rsid w:val="00080CE5"/>
    <w:rsid w:val="00083B45"/>
    <w:rsid w:val="00085614"/>
    <w:rsid w:val="000926B8"/>
    <w:rsid w:val="0009332C"/>
    <w:rsid w:val="000A1906"/>
    <w:rsid w:val="000B1C6B"/>
    <w:rsid w:val="000B6C50"/>
    <w:rsid w:val="000C3791"/>
    <w:rsid w:val="000C54EA"/>
    <w:rsid w:val="000D7689"/>
    <w:rsid w:val="000E1351"/>
    <w:rsid w:val="000E52C7"/>
    <w:rsid w:val="000F30FC"/>
    <w:rsid w:val="00104C5E"/>
    <w:rsid w:val="00106BF6"/>
    <w:rsid w:val="001103FA"/>
    <w:rsid w:val="00114690"/>
    <w:rsid w:val="00116BC0"/>
    <w:rsid w:val="00127923"/>
    <w:rsid w:val="001301AF"/>
    <w:rsid w:val="0013358B"/>
    <w:rsid w:val="00135385"/>
    <w:rsid w:val="00136CB5"/>
    <w:rsid w:val="0014674D"/>
    <w:rsid w:val="00146978"/>
    <w:rsid w:val="001469C3"/>
    <w:rsid w:val="0014704E"/>
    <w:rsid w:val="00163DE8"/>
    <w:rsid w:val="00164951"/>
    <w:rsid w:val="00166321"/>
    <w:rsid w:val="0017329A"/>
    <w:rsid w:val="00173D81"/>
    <w:rsid w:val="0018092C"/>
    <w:rsid w:val="001866CA"/>
    <w:rsid w:val="00191364"/>
    <w:rsid w:val="00194D57"/>
    <w:rsid w:val="00195298"/>
    <w:rsid w:val="001952EA"/>
    <w:rsid w:val="001958ED"/>
    <w:rsid w:val="001A07F0"/>
    <w:rsid w:val="001B11E0"/>
    <w:rsid w:val="001B1342"/>
    <w:rsid w:val="001B187B"/>
    <w:rsid w:val="001B1E6E"/>
    <w:rsid w:val="001B295D"/>
    <w:rsid w:val="001B2EF0"/>
    <w:rsid w:val="001B30C4"/>
    <w:rsid w:val="001B7249"/>
    <w:rsid w:val="001D10DF"/>
    <w:rsid w:val="001E4AE0"/>
    <w:rsid w:val="001F09DE"/>
    <w:rsid w:val="001F5951"/>
    <w:rsid w:val="001F7BB7"/>
    <w:rsid w:val="00202E52"/>
    <w:rsid w:val="002070E2"/>
    <w:rsid w:val="00207D88"/>
    <w:rsid w:val="00215BE6"/>
    <w:rsid w:val="00234355"/>
    <w:rsid w:val="002375D4"/>
    <w:rsid w:val="00244609"/>
    <w:rsid w:val="00244C97"/>
    <w:rsid w:val="00245821"/>
    <w:rsid w:val="0025127F"/>
    <w:rsid w:val="002532D4"/>
    <w:rsid w:val="002535C8"/>
    <w:rsid w:val="00255CF1"/>
    <w:rsid w:val="00260CAC"/>
    <w:rsid w:val="00261500"/>
    <w:rsid w:val="00270923"/>
    <w:rsid w:val="002814A8"/>
    <w:rsid w:val="00290402"/>
    <w:rsid w:val="002924D6"/>
    <w:rsid w:val="002A4F74"/>
    <w:rsid w:val="002C1580"/>
    <w:rsid w:val="002C5D27"/>
    <w:rsid w:val="002D32B1"/>
    <w:rsid w:val="002D4C37"/>
    <w:rsid w:val="002E1911"/>
    <w:rsid w:val="002E243D"/>
    <w:rsid w:val="002E5340"/>
    <w:rsid w:val="00300A16"/>
    <w:rsid w:val="003070B7"/>
    <w:rsid w:val="00310614"/>
    <w:rsid w:val="003162E4"/>
    <w:rsid w:val="003219B1"/>
    <w:rsid w:val="003235D3"/>
    <w:rsid w:val="0032656A"/>
    <w:rsid w:val="00327A64"/>
    <w:rsid w:val="00337630"/>
    <w:rsid w:val="0034027F"/>
    <w:rsid w:val="0034568F"/>
    <w:rsid w:val="00350041"/>
    <w:rsid w:val="00350FFE"/>
    <w:rsid w:val="00351CA7"/>
    <w:rsid w:val="00354552"/>
    <w:rsid w:val="00355C75"/>
    <w:rsid w:val="003570FD"/>
    <w:rsid w:val="00360988"/>
    <w:rsid w:val="00364096"/>
    <w:rsid w:val="003650B8"/>
    <w:rsid w:val="003732CC"/>
    <w:rsid w:val="00373FE9"/>
    <w:rsid w:val="00383AD2"/>
    <w:rsid w:val="00386082"/>
    <w:rsid w:val="00393541"/>
    <w:rsid w:val="00397DBA"/>
    <w:rsid w:val="003A12BB"/>
    <w:rsid w:val="003C443E"/>
    <w:rsid w:val="003D045A"/>
    <w:rsid w:val="003D17EA"/>
    <w:rsid w:val="003D370E"/>
    <w:rsid w:val="003D48A6"/>
    <w:rsid w:val="003D4C5A"/>
    <w:rsid w:val="003D4FAB"/>
    <w:rsid w:val="003E587F"/>
    <w:rsid w:val="00404A12"/>
    <w:rsid w:val="004219B1"/>
    <w:rsid w:val="00430FD6"/>
    <w:rsid w:val="00436946"/>
    <w:rsid w:val="00436F4A"/>
    <w:rsid w:val="0044351D"/>
    <w:rsid w:val="004443DE"/>
    <w:rsid w:val="004475DB"/>
    <w:rsid w:val="00456CDE"/>
    <w:rsid w:val="0045721A"/>
    <w:rsid w:val="004770BC"/>
    <w:rsid w:val="00477601"/>
    <w:rsid w:val="00482FF9"/>
    <w:rsid w:val="00483D2C"/>
    <w:rsid w:val="004875E3"/>
    <w:rsid w:val="004903D4"/>
    <w:rsid w:val="00493027"/>
    <w:rsid w:val="00493A65"/>
    <w:rsid w:val="004A5C47"/>
    <w:rsid w:val="004B321F"/>
    <w:rsid w:val="004C3FB8"/>
    <w:rsid w:val="004C7527"/>
    <w:rsid w:val="004D051F"/>
    <w:rsid w:val="004D29C6"/>
    <w:rsid w:val="004D4CA6"/>
    <w:rsid w:val="004D61EE"/>
    <w:rsid w:val="004D73D8"/>
    <w:rsid w:val="004E5B3C"/>
    <w:rsid w:val="004E6F46"/>
    <w:rsid w:val="004F28BA"/>
    <w:rsid w:val="004F5DA4"/>
    <w:rsid w:val="005008AE"/>
    <w:rsid w:val="00501469"/>
    <w:rsid w:val="005021C0"/>
    <w:rsid w:val="00503C44"/>
    <w:rsid w:val="00503FF0"/>
    <w:rsid w:val="005229AE"/>
    <w:rsid w:val="0053231A"/>
    <w:rsid w:val="0054790A"/>
    <w:rsid w:val="00550293"/>
    <w:rsid w:val="00551BE8"/>
    <w:rsid w:val="0055225E"/>
    <w:rsid w:val="00554A6C"/>
    <w:rsid w:val="00557610"/>
    <w:rsid w:val="00557A0A"/>
    <w:rsid w:val="005665E3"/>
    <w:rsid w:val="00566C7B"/>
    <w:rsid w:val="005706F1"/>
    <w:rsid w:val="005716C0"/>
    <w:rsid w:val="00572EB4"/>
    <w:rsid w:val="00573C29"/>
    <w:rsid w:val="00575615"/>
    <w:rsid w:val="00581A97"/>
    <w:rsid w:val="005825BF"/>
    <w:rsid w:val="00586753"/>
    <w:rsid w:val="00587661"/>
    <w:rsid w:val="00594BE7"/>
    <w:rsid w:val="00597663"/>
    <w:rsid w:val="005A190E"/>
    <w:rsid w:val="005A6D80"/>
    <w:rsid w:val="005B7ECC"/>
    <w:rsid w:val="005C0AED"/>
    <w:rsid w:val="005C5E78"/>
    <w:rsid w:val="005C62EC"/>
    <w:rsid w:val="005D5458"/>
    <w:rsid w:val="005D7947"/>
    <w:rsid w:val="005F396D"/>
    <w:rsid w:val="00610AEC"/>
    <w:rsid w:val="00611379"/>
    <w:rsid w:val="00624ACB"/>
    <w:rsid w:val="00627EDE"/>
    <w:rsid w:val="00631788"/>
    <w:rsid w:val="006474B5"/>
    <w:rsid w:val="00647665"/>
    <w:rsid w:val="00665B9A"/>
    <w:rsid w:val="0067085C"/>
    <w:rsid w:val="006831A2"/>
    <w:rsid w:val="006838B9"/>
    <w:rsid w:val="00686260"/>
    <w:rsid w:val="00687592"/>
    <w:rsid w:val="00692B13"/>
    <w:rsid w:val="006A0A57"/>
    <w:rsid w:val="006A42F7"/>
    <w:rsid w:val="006A6D35"/>
    <w:rsid w:val="006B16A5"/>
    <w:rsid w:val="006B4214"/>
    <w:rsid w:val="006C5068"/>
    <w:rsid w:val="006D4364"/>
    <w:rsid w:val="006E7B6C"/>
    <w:rsid w:val="006F179D"/>
    <w:rsid w:val="006F3488"/>
    <w:rsid w:val="006F652D"/>
    <w:rsid w:val="006F6738"/>
    <w:rsid w:val="006F79FC"/>
    <w:rsid w:val="007037FB"/>
    <w:rsid w:val="007265AD"/>
    <w:rsid w:val="00745607"/>
    <w:rsid w:val="00746C74"/>
    <w:rsid w:val="00752A8F"/>
    <w:rsid w:val="00753030"/>
    <w:rsid w:val="00761862"/>
    <w:rsid w:val="00762826"/>
    <w:rsid w:val="007628EE"/>
    <w:rsid w:val="007711AC"/>
    <w:rsid w:val="00771367"/>
    <w:rsid w:val="007722EA"/>
    <w:rsid w:val="0077426F"/>
    <w:rsid w:val="00787B1F"/>
    <w:rsid w:val="007901B8"/>
    <w:rsid w:val="007A2F24"/>
    <w:rsid w:val="007A3F24"/>
    <w:rsid w:val="007A5F4E"/>
    <w:rsid w:val="007A6672"/>
    <w:rsid w:val="007B0048"/>
    <w:rsid w:val="007B6049"/>
    <w:rsid w:val="007C6A3A"/>
    <w:rsid w:val="007D38DC"/>
    <w:rsid w:val="007D76CC"/>
    <w:rsid w:val="007F351D"/>
    <w:rsid w:val="007F3B3C"/>
    <w:rsid w:val="007F705A"/>
    <w:rsid w:val="007F78A0"/>
    <w:rsid w:val="00805AAD"/>
    <w:rsid w:val="00811A9F"/>
    <w:rsid w:val="00823335"/>
    <w:rsid w:val="00831B0E"/>
    <w:rsid w:val="00831CC8"/>
    <w:rsid w:val="00837114"/>
    <w:rsid w:val="00842C47"/>
    <w:rsid w:val="00852AC3"/>
    <w:rsid w:val="00855E1B"/>
    <w:rsid w:val="0086102D"/>
    <w:rsid w:val="00861F3B"/>
    <w:rsid w:val="00863814"/>
    <w:rsid w:val="008750C1"/>
    <w:rsid w:val="00881612"/>
    <w:rsid w:val="00890042"/>
    <w:rsid w:val="008A1367"/>
    <w:rsid w:val="008A1A65"/>
    <w:rsid w:val="008A29B8"/>
    <w:rsid w:val="008A609B"/>
    <w:rsid w:val="008A72F3"/>
    <w:rsid w:val="008B3704"/>
    <w:rsid w:val="008B3DFA"/>
    <w:rsid w:val="008C5CE1"/>
    <w:rsid w:val="008E4DC2"/>
    <w:rsid w:val="008F1DA0"/>
    <w:rsid w:val="00914D69"/>
    <w:rsid w:val="00924EDD"/>
    <w:rsid w:val="00925059"/>
    <w:rsid w:val="009262AF"/>
    <w:rsid w:val="00935795"/>
    <w:rsid w:val="00940BE6"/>
    <w:rsid w:val="00953053"/>
    <w:rsid w:val="00955C44"/>
    <w:rsid w:val="00960611"/>
    <w:rsid w:val="009717AC"/>
    <w:rsid w:val="009724D0"/>
    <w:rsid w:val="0097496D"/>
    <w:rsid w:val="0097524C"/>
    <w:rsid w:val="009802FF"/>
    <w:rsid w:val="00981343"/>
    <w:rsid w:val="00993CB6"/>
    <w:rsid w:val="009A2077"/>
    <w:rsid w:val="009B3242"/>
    <w:rsid w:val="009C2281"/>
    <w:rsid w:val="009C4D1F"/>
    <w:rsid w:val="009C5A95"/>
    <w:rsid w:val="009C69D8"/>
    <w:rsid w:val="009D21DD"/>
    <w:rsid w:val="009E256C"/>
    <w:rsid w:val="009F1605"/>
    <w:rsid w:val="009F30F2"/>
    <w:rsid w:val="00A01E42"/>
    <w:rsid w:val="00A042B1"/>
    <w:rsid w:val="00A04C44"/>
    <w:rsid w:val="00A20A0B"/>
    <w:rsid w:val="00A20C4F"/>
    <w:rsid w:val="00A2379E"/>
    <w:rsid w:val="00A24EBC"/>
    <w:rsid w:val="00A2694A"/>
    <w:rsid w:val="00A34CEE"/>
    <w:rsid w:val="00A34D8D"/>
    <w:rsid w:val="00A42A90"/>
    <w:rsid w:val="00A446D3"/>
    <w:rsid w:val="00A5393A"/>
    <w:rsid w:val="00A54229"/>
    <w:rsid w:val="00A54781"/>
    <w:rsid w:val="00A71062"/>
    <w:rsid w:val="00A81D25"/>
    <w:rsid w:val="00A81FC2"/>
    <w:rsid w:val="00A86A62"/>
    <w:rsid w:val="00A95CA6"/>
    <w:rsid w:val="00AA018B"/>
    <w:rsid w:val="00AA7F23"/>
    <w:rsid w:val="00AB1120"/>
    <w:rsid w:val="00AB1504"/>
    <w:rsid w:val="00AB1E56"/>
    <w:rsid w:val="00AB2697"/>
    <w:rsid w:val="00AB27C2"/>
    <w:rsid w:val="00AC059C"/>
    <w:rsid w:val="00AD1A46"/>
    <w:rsid w:val="00AD32C7"/>
    <w:rsid w:val="00AD7B4F"/>
    <w:rsid w:val="00AE1F72"/>
    <w:rsid w:val="00AE4F17"/>
    <w:rsid w:val="00AE56DC"/>
    <w:rsid w:val="00AE6089"/>
    <w:rsid w:val="00AF2837"/>
    <w:rsid w:val="00AF2843"/>
    <w:rsid w:val="00B03527"/>
    <w:rsid w:val="00B03D17"/>
    <w:rsid w:val="00B07003"/>
    <w:rsid w:val="00B11031"/>
    <w:rsid w:val="00B1228A"/>
    <w:rsid w:val="00B15E37"/>
    <w:rsid w:val="00B32789"/>
    <w:rsid w:val="00B3288C"/>
    <w:rsid w:val="00B35C51"/>
    <w:rsid w:val="00B369AF"/>
    <w:rsid w:val="00B44283"/>
    <w:rsid w:val="00B50A8E"/>
    <w:rsid w:val="00B51559"/>
    <w:rsid w:val="00B6680B"/>
    <w:rsid w:val="00B67D91"/>
    <w:rsid w:val="00B72D43"/>
    <w:rsid w:val="00B73AE5"/>
    <w:rsid w:val="00B74319"/>
    <w:rsid w:val="00B763E1"/>
    <w:rsid w:val="00B8039B"/>
    <w:rsid w:val="00B955BC"/>
    <w:rsid w:val="00BB47A1"/>
    <w:rsid w:val="00BC155B"/>
    <w:rsid w:val="00BC7D13"/>
    <w:rsid w:val="00BD5C34"/>
    <w:rsid w:val="00BE1075"/>
    <w:rsid w:val="00BF3C2D"/>
    <w:rsid w:val="00BF738F"/>
    <w:rsid w:val="00C004DB"/>
    <w:rsid w:val="00C04D88"/>
    <w:rsid w:val="00C06439"/>
    <w:rsid w:val="00C15A99"/>
    <w:rsid w:val="00C25A86"/>
    <w:rsid w:val="00C35DFA"/>
    <w:rsid w:val="00C36367"/>
    <w:rsid w:val="00C47268"/>
    <w:rsid w:val="00C604DB"/>
    <w:rsid w:val="00C60C3E"/>
    <w:rsid w:val="00C6690D"/>
    <w:rsid w:val="00C67B6E"/>
    <w:rsid w:val="00C72A1E"/>
    <w:rsid w:val="00C734AC"/>
    <w:rsid w:val="00C7562E"/>
    <w:rsid w:val="00C7577B"/>
    <w:rsid w:val="00C844E5"/>
    <w:rsid w:val="00C875DD"/>
    <w:rsid w:val="00C9459D"/>
    <w:rsid w:val="00CB0800"/>
    <w:rsid w:val="00CB2278"/>
    <w:rsid w:val="00CB434E"/>
    <w:rsid w:val="00CB622A"/>
    <w:rsid w:val="00CC2955"/>
    <w:rsid w:val="00CC2A08"/>
    <w:rsid w:val="00CC4B13"/>
    <w:rsid w:val="00CC4C23"/>
    <w:rsid w:val="00CD1A27"/>
    <w:rsid w:val="00CD1C6C"/>
    <w:rsid w:val="00CD21C6"/>
    <w:rsid w:val="00CD292E"/>
    <w:rsid w:val="00CD745A"/>
    <w:rsid w:val="00D010E4"/>
    <w:rsid w:val="00D11D04"/>
    <w:rsid w:val="00D14DDF"/>
    <w:rsid w:val="00D163A1"/>
    <w:rsid w:val="00D255A9"/>
    <w:rsid w:val="00D264CF"/>
    <w:rsid w:val="00D354FE"/>
    <w:rsid w:val="00D40B5C"/>
    <w:rsid w:val="00D43F6A"/>
    <w:rsid w:val="00D453E6"/>
    <w:rsid w:val="00D47A8E"/>
    <w:rsid w:val="00D54824"/>
    <w:rsid w:val="00D555A4"/>
    <w:rsid w:val="00D62080"/>
    <w:rsid w:val="00D748ED"/>
    <w:rsid w:val="00D82BF0"/>
    <w:rsid w:val="00D82F5E"/>
    <w:rsid w:val="00D84164"/>
    <w:rsid w:val="00D85230"/>
    <w:rsid w:val="00D9014F"/>
    <w:rsid w:val="00D916E7"/>
    <w:rsid w:val="00D92B61"/>
    <w:rsid w:val="00D94151"/>
    <w:rsid w:val="00D9728D"/>
    <w:rsid w:val="00DB080F"/>
    <w:rsid w:val="00DB2EC6"/>
    <w:rsid w:val="00DE41B4"/>
    <w:rsid w:val="00DE673B"/>
    <w:rsid w:val="00DF60CB"/>
    <w:rsid w:val="00E1291B"/>
    <w:rsid w:val="00E14DA6"/>
    <w:rsid w:val="00E22DD3"/>
    <w:rsid w:val="00E24F81"/>
    <w:rsid w:val="00E34F4C"/>
    <w:rsid w:val="00E57A59"/>
    <w:rsid w:val="00E64282"/>
    <w:rsid w:val="00E673BF"/>
    <w:rsid w:val="00E82365"/>
    <w:rsid w:val="00E911D5"/>
    <w:rsid w:val="00EA2596"/>
    <w:rsid w:val="00EA34E8"/>
    <w:rsid w:val="00EA670C"/>
    <w:rsid w:val="00EB0F91"/>
    <w:rsid w:val="00EB28A7"/>
    <w:rsid w:val="00EC1180"/>
    <w:rsid w:val="00EC11F3"/>
    <w:rsid w:val="00EC2C00"/>
    <w:rsid w:val="00EC3E0D"/>
    <w:rsid w:val="00EE000B"/>
    <w:rsid w:val="00EE1DA1"/>
    <w:rsid w:val="00EE6A90"/>
    <w:rsid w:val="00EF213F"/>
    <w:rsid w:val="00EF401E"/>
    <w:rsid w:val="00EF5676"/>
    <w:rsid w:val="00EF7104"/>
    <w:rsid w:val="00F103DB"/>
    <w:rsid w:val="00F211D2"/>
    <w:rsid w:val="00F2644B"/>
    <w:rsid w:val="00F2647F"/>
    <w:rsid w:val="00F301E9"/>
    <w:rsid w:val="00F304CA"/>
    <w:rsid w:val="00F31C04"/>
    <w:rsid w:val="00F327C7"/>
    <w:rsid w:val="00F508F8"/>
    <w:rsid w:val="00F521BC"/>
    <w:rsid w:val="00F66606"/>
    <w:rsid w:val="00F7146A"/>
    <w:rsid w:val="00F714AD"/>
    <w:rsid w:val="00F73121"/>
    <w:rsid w:val="00F8361B"/>
    <w:rsid w:val="00F93A03"/>
    <w:rsid w:val="00F94434"/>
    <w:rsid w:val="00F973C2"/>
    <w:rsid w:val="00FA0D6B"/>
    <w:rsid w:val="00FA129E"/>
    <w:rsid w:val="00FA4A4A"/>
    <w:rsid w:val="00FB4B7A"/>
    <w:rsid w:val="00FC3660"/>
    <w:rsid w:val="00FC7AB8"/>
    <w:rsid w:val="00FD50F6"/>
    <w:rsid w:val="00FD6132"/>
    <w:rsid w:val="00FE17C6"/>
    <w:rsid w:val="00FE1B84"/>
    <w:rsid w:val="00FF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1A38F2"/>
  <w15:chartTrackingRefBased/>
  <w15:docId w15:val="{89717E55-A5EB-A149-82F7-A6641974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9B1"/>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9B1"/>
    <w:rPr>
      <w:color w:val="0563C1" w:themeColor="hyperlink"/>
      <w:u w:val="single"/>
    </w:rPr>
  </w:style>
  <w:style w:type="character" w:styleId="UnresolvedMention">
    <w:name w:val="Unresolved Mention"/>
    <w:basedOn w:val="DefaultParagraphFont"/>
    <w:uiPriority w:val="99"/>
    <w:semiHidden/>
    <w:unhideWhenUsed/>
    <w:rsid w:val="003219B1"/>
    <w:rPr>
      <w:color w:val="605E5C"/>
      <w:shd w:val="clear" w:color="auto" w:fill="E1DFDD"/>
    </w:rPr>
  </w:style>
  <w:style w:type="paragraph" w:styleId="BalloonText">
    <w:name w:val="Balloon Text"/>
    <w:basedOn w:val="Normal"/>
    <w:link w:val="BalloonTextChar"/>
    <w:uiPriority w:val="99"/>
    <w:semiHidden/>
    <w:unhideWhenUsed/>
    <w:rsid w:val="003219B1"/>
    <w:rPr>
      <w:rFonts w:eastAsiaTheme="minorHAnsi"/>
      <w:sz w:val="18"/>
      <w:szCs w:val="18"/>
    </w:rPr>
  </w:style>
  <w:style w:type="character" w:customStyle="1" w:styleId="BalloonTextChar">
    <w:name w:val="Balloon Text Char"/>
    <w:basedOn w:val="DefaultParagraphFont"/>
    <w:link w:val="BalloonText"/>
    <w:uiPriority w:val="99"/>
    <w:semiHidden/>
    <w:rsid w:val="003219B1"/>
    <w:rPr>
      <w:rFonts w:ascii="Times New Roman" w:hAnsi="Times New Roman" w:cs="Times New Roman"/>
      <w:sz w:val="18"/>
      <w:szCs w:val="18"/>
    </w:rPr>
  </w:style>
  <w:style w:type="paragraph" w:styleId="ListParagraph">
    <w:name w:val="List Paragraph"/>
    <w:basedOn w:val="Normal"/>
    <w:uiPriority w:val="34"/>
    <w:qFormat/>
    <w:rsid w:val="003219B1"/>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219B1"/>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219B1"/>
  </w:style>
  <w:style w:type="character" w:styleId="PageNumber">
    <w:name w:val="page number"/>
    <w:basedOn w:val="DefaultParagraphFont"/>
    <w:uiPriority w:val="99"/>
    <w:semiHidden/>
    <w:unhideWhenUsed/>
    <w:rsid w:val="003219B1"/>
  </w:style>
  <w:style w:type="paragraph" w:styleId="Footer">
    <w:name w:val="footer"/>
    <w:basedOn w:val="Normal"/>
    <w:link w:val="FooterChar"/>
    <w:uiPriority w:val="99"/>
    <w:unhideWhenUsed/>
    <w:rsid w:val="003219B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219B1"/>
  </w:style>
  <w:style w:type="paragraph" w:customStyle="1" w:styleId="EndNoteBibliographyTitle">
    <w:name w:val="EndNote Bibliography Title"/>
    <w:basedOn w:val="Normal"/>
    <w:link w:val="EndNoteBibliographyTitleChar"/>
    <w:rsid w:val="003219B1"/>
    <w:pPr>
      <w:jc w:val="center"/>
    </w:pPr>
    <w:rPr>
      <w:rFonts w:ascii="Calibri" w:eastAsiaTheme="minorHAnsi" w:hAnsi="Calibri" w:cs="Calibri"/>
    </w:rPr>
  </w:style>
  <w:style w:type="character" w:customStyle="1" w:styleId="EndNoteBibliographyTitleChar">
    <w:name w:val="EndNote Bibliography Title Char"/>
    <w:basedOn w:val="DefaultParagraphFont"/>
    <w:link w:val="EndNoteBibliographyTitle"/>
    <w:rsid w:val="003219B1"/>
    <w:rPr>
      <w:rFonts w:ascii="Calibri" w:hAnsi="Calibri" w:cs="Calibri"/>
    </w:rPr>
  </w:style>
  <w:style w:type="paragraph" w:customStyle="1" w:styleId="EndNoteBibliography">
    <w:name w:val="EndNote Bibliography"/>
    <w:basedOn w:val="Normal"/>
    <w:link w:val="EndNoteBibliographyChar"/>
    <w:rsid w:val="003219B1"/>
    <w:rPr>
      <w:rFonts w:ascii="Calibri" w:eastAsiaTheme="minorHAnsi" w:hAnsi="Calibri" w:cs="Calibri"/>
    </w:rPr>
  </w:style>
  <w:style w:type="character" w:customStyle="1" w:styleId="EndNoteBibliographyChar">
    <w:name w:val="EndNote Bibliography Char"/>
    <w:basedOn w:val="DefaultParagraphFont"/>
    <w:link w:val="EndNoteBibliography"/>
    <w:rsid w:val="003219B1"/>
    <w:rPr>
      <w:rFonts w:ascii="Calibri" w:hAnsi="Calibri" w:cs="Calibri"/>
    </w:rPr>
  </w:style>
  <w:style w:type="character" w:styleId="CommentReference">
    <w:name w:val="annotation reference"/>
    <w:basedOn w:val="DefaultParagraphFont"/>
    <w:uiPriority w:val="99"/>
    <w:semiHidden/>
    <w:unhideWhenUsed/>
    <w:rsid w:val="003219B1"/>
    <w:rPr>
      <w:sz w:val="16"/>
      <w:szCs w:val="16"/>
    </w:rPr>
  </w:style>
  <w:style w:type="paragraph" w:styleId="CommentText">
    <w:name w:val="annotation text"/>
    <w:basedOn w:val="Normal"/>
    <w:link w:val="CommentTextChar"/>
    <w:uiPriority w:val="99"/>
    <w:semiHidden/>
    <w:unhideWhenUsed/>
    <w:rsid w:val="003219B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219B1"/>
    <w:rPr>
      <w:sz w:val="20"/>
      <w:szCs w:val="20"/>
    </w:rPr>
  </w:style>
  <w:style w:type="paragraph" w:styleId="CommentSubject">
    <w:name w:val="annotation subject"/>
    <w:basedOn w:val="CommentText"/>
    <w:next w:val="CommentText"/>
    <w:link w:val="CommentSubjectChar"/>
    <w:uiPriority w:val="99"/>
    <w:semiHidden/>
    <w:unhideWhenUsed/>
    <w:rsid w:val="003219B1"/>
    <w:rPr>
      <w:b/>
      <w:bCs/>
    </w:rPr>
  </w:style>
  <w:style w:type="character" w:customStyle="1" w:styleId="CommentSubjectChar">
    <w:name w:val="Comment Subject Char"/>
    <w:basedOn w:val="CommentTextChar"/>
    <w:link w:val="CommentSubject"/>
    <w:uiPriority w:val="99"/>
    <w:semiHidden/>
    <w:rsid w:val="003219B1"/>
    <w:rPr>
      <w:b/>
      <w:bCs/>
      <w:sz w:val="20"/>
      <w:szCs w:val="20"/>
    </w:rPr>
  </w:style>
  <w:style w:type="paragraph" w:styleId="Revision">
    <w:name w:val="Revision"/>
    <w:hidden/>
    <w:uiPriority w:val="99"/>
    <w:semiHidden/>
    <w:rsid w:val="003219B1"/>
    <w:rPr>
      <w:rFonts w:ascii="Times New Roman" w:eastAsia="Times New Roman" w:hAnsi="Times New Roman" w:cs="Times New Roman"/>
    </w:rPr>
  </w:style>
  <w:style w:type="character" w:customStyle="1" w:styleId="apple-converted-space">
    <w:name w:val="apple-converted-space"/>
    <w:basedOn w:val="DefaultParagraphFont"/>
    <w:rsid w:val="003219B1"/>
  </w:style>
  <w:style w:type="character" w:styleId="Emphasis">
    <w:name w:val="Emphasis"/>
    <w:basedOn w:val="DefaultParagraphFont"/>
    <w:uiPriority w:val="20"/>
    <w:qFormat/>
    <w:rsid w:val="009250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3328">
      <w:bodyDiv w:val="1"/>
      <w:marLeft w:val="0"/>
      <w:marRight w:val="0"/>
      <w:marTop w:val="0"/>
      <w:marBottom w:val="0"/>
      <w:divBdr>
        <w:top w:val="none" w:sz="0" w:space="0" w:color="auto"/>
        <w:left w:val="none" w:sz="0" w:space="0" w:color="auto"/>
        <w:bottom w:val="none" w:sz="0" w:space="0" w:color="auto"/>
        <w:right w:val="none" w:sz="0" w:space="0" w:color="auto"/>
      </w:divBdr>
    </w:div>
    <w:div w:id="775714302">
      <w:bodyDiv w:val="1"/>
      <w:marLeft w:val="0"/>
      <w:marRight w:val="0"/>
      <w:marTop w:val="0"/>
      <w:marBottom w:val="0"/>
      <w:divBdr>
        <w:top w:val="none" w:sz="0" w:space="0" w:color="auto"/>
        <w:left w:val="none" w:sz="0" w:space="0" w:color="auto"/>
        <w:bottom w:val="none" w:sz="0" w:space="0" w:color="auto"/>
        <w:right w:val="none" w:sz="0" w:space="0" w:color="auto"/>
      </w:divBdr>
    </w:div>
    <w:div w:id="1603607670">
      <w:bodyDiv w:val="1"/>
      <w:marLeft w:val="0"/>
      <w:marRight w:val="0"/>
      <w:marTop w:val="0"/>
      <w:marBottom w:val="0"/>
      <w:divBdr>
        <w:top w:val="none" w:sz="0" w:space="0" w:color="auto"/>
        <w:left w:val="none" w:sz="0" w:space="0" w:color="auto"/>
        <w:bottom w:val="none" w:sz="0" w:space="0" w:color="auto"/>
        <w:right w:val="none" w:sz="0" w:space="0" w:color="auto"/>
      </w:divBdr>
    </w:div>
    <w:div w:id="1709253316">
      <w:bodyDiv w:val="1"/>
      <w:marLeft w:val="0"/>
      <w:marRight w:val="0"/>
      <w:marTop w:val="0"/>
      <w:marBottom w:val="0"/>
      <w:divBdr>
        <w:top w:val="none" w:sz="0" w:space="0" w:color="auto"/>
        <w:left w:val="none" w:sz="0" w:space="0" w:color="auto"/>
        <w:bottom w:val="none" w:sz="0" w:space="0" w:color="auto"/>
        <w:right w:val="none" w:sz="0" w:space="0" w:color="auto"/>
      </w:divBdr>
    </w:div>
    <w:div w:id="194033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63E40-B375-3243-8931-436633F6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29</Pages>
  <Words>8679</Words>
  <Characters>46088</Characters>
  <Application>Microsoft Office Word</Application>
  <DocSecurity>0</DocSecurity>
  <Lines>980</Lines>
  <Paragraphs>170</Paragraphs>
  <ScaleCrop>false</ScaleCrop>
  <Company/>
  <LinksUpToDate>false</LinksUpToDate>
  <CharactersWithSpaces>54597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Petersen</dc:creator>
  <cp:keywords/>
  <dc:description/>
  <cp:lastModifiedBy>Julie Petersen</cp:lastModifiedBy>
  <cp:revision>190</cp:revision>
  <cp:lastPrinted>2021-08-12T15:56:00Z</cp:lastPrinted>
  <dcterms:created xsi:type="dcterms:W3CDTF">2021-07-17T21:38:00Z</dcterms:created>
  <dcterms:modified xsi:type="dcterms:W3CDTF">2021-08-18T19:05:00Z</dcterms:modified>
</cp:coreProperties>
</file>